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2C7C" w14:textId="77777777" w:rsidR="00F11C74" w:rsidRDefault="00F11C74">
      <w:pPr>
        <w:pStyle w:val="Corpodetexto"/>
        <w:spacing w:before="147"/>
        <w:ind w:left="0"/>
        <w:jc w:val="left"/>
      </w:pPr>
    </w:p>
    <w:p w14:paraId="4A8E6AA9" w14:textId="77777777" w:rsidR="00F11C74" w:rsidRDefault="00000000">
      <w:pPr>
        <w:ind w:left="129" w:right="1"/>
        <w:jc w:val="center"/>
        <w:rPr>
          <w:b/>
          <w:sz w:val="24"/>
        </w:rPr>
      </w:pPr>
      <w:r>
        <w:rPr>
          <w:b/>
          <w:sz w:val="24"/>
        </w:rPr>
        <w:t>INFLUÊNCIA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PARES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NORMALIZAÇÃO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COMPORTAMENTOS DE SAÚDE PROPENSOS A RISCO ENTRE ADOLESCENTES ESCOLARES</w:t>
      </w:r>
    </w:p>
    <w:p w14:paraId="549EB886" w14:textId="77777777" w:rsidR="00F11C74" w:rsidRDefault="00F11C74">
      <w:pPr>
        <w:pStyle w:val="Corpodetexto"/>
        <w:ind w:left="0"/>
        <w:jc w:val="left"/>
        <w:rPr>
          <w:b/>
        </w:rPr>
      </w:pPr>
    </w:p>
    <w:p w14:paraId="6819D26E" w14:textId="77777777" w:rsidR="00F11C74" w:rsidRDefault="00000000">
      <w:pPr>
        <w:ind w:left="129"/>
        <w:jc w:val="center"/>
        <w:rPr>
          <w:b/>
          <w:sz w:val="24"/>
        </w:rPr>
      </w:pPr>
      <w:r>
        <w:rPr>
          <w:b/>
          <w:sz w:val="24"/>
        </w:rPr>
        <w:t>Esther</w:t>
      </w:r>
      <w:r>
        <w:rPr>
          <w:b/>
          <w:spacing w:val="-12"/>
          <w:sz w:val="24"/>
        </w:rPr>
        <w:t xml:space="preserve"> </w:t>
      </w:r>
      <w:proofErr w:type="spellStart"/>
      <w:r>
        <w:rPr>
          <w:b/>
          <w:sz w:val="24"/>
        </w:rPr>
        <w:t>Eloi</w:t>
      </w:r>
      <w:proofErr w:type="spellEnd"/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Pinheiro</w:t>
      </w:r>
      <w:r>
        <w:rPr>
          <w:b/>
          <w:sz w:val="24"/>
          <w:vertAlign w:val="superscript"/>
        </w:rPr>
        <w:t>1</w:t>
      </w:r>
      <w:r>
        <w:rPr>
          <w:b/>
          <w:sz w:val="24"/>
        </w:rPr>
        <w:t>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Francisco</w:t>
      </w:r>
      <w:r>
        <w:rPr>
          <w:b/>
          <w:spacing w:val="-12"/>
          <w:sz w:val="24"/>
        </w:rPr>
        <w:t xml:space="preserve"> </w:t>
      </w:r>
      <w:proofErr w:type="spellStart"/>
      <w:r>
        <w:rPr>
          <w:b/>
          <w:sz w:val="24"/>
        </w:rPr>
        <w:t>Ayslan</w:t>
      </w:r>
      <w:proofErr w:type="spellEnd"/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Ferreira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Torres</w:t>
      </w:r>
      <w:r>
        <w:rPr>
          <w:b/>
          <w:sz w:val="24"/>
          <w:vertAlign w:val="superscript"/>
        </w:rPr>
        <w:t>2</w:t>
      </w:r>
      <w:r>
        <w:rPr>
          <w:b/>
          <w:sz w:val="24"/>
        </w:rPr>
        <w:t>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Marcelo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Alves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Pereira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 Mendonça</w:t>
      </w:r>
      <w:r>
        <w:rPr>
          <w:b/>
          <w:sz w:val="24"/>
          <w:vertAlign w:val="superscript"/>
        </w:rPr>
        <w:t>3</w:t>
      </w:r>
      <w:r>
        <w:rPr>
          <w:b/>
          <w:sz w:val="24"/>
        </w:rPr>
        <w:t>, Kelly Fernanda Silva Santana</w:t>
      </w:r>
      <w:r>
        <w:rPr>
          <w:b/>
          <w:sz w:val="24"/>
          <w:vertAlign w:val="superscript"/>
        </w:rPr>
        <w:t>4</w:t>
      </w:r>
      <w:r>
        <w:rPr>
          <w:b/>
          <w:sz w:val="24"/>
        </w:rPr>
        <w:t>, Pedro Lucas Ferreira Mota</w:t>
      </w:r>
      <w:r>
        <w:rPr>
          <w:b/>
          <w:sz w:val="24"/>
          <w:vertAlign w:val="superscript"/>
        </w:rPr>
        <w:t>5</w:t>
      </w:r>
      <w:r>
        <w:rPr>
          <w:b/>
          <w:sz w:val="24"/>
        </w:rPr>
        <w:t>, Lucas</w:t>
      </w:r>
    </w:p>
    <w:p w14:paraId="41AAB96D" w14:textId="77777777" w:rsidR="00F11C74" w:rsidRDefault="00000000">
      <w:pPr>
        <w:ind w:left="129" w:right="3"/>
        <w:jc w:val="center"/>
        <w:rPr>
          <w:b/>
          <w:sz w:val="24"/>
        </w:rPr>
      </w:pPr>
      <w:r>
        <w:rPr>
          <w:b/>
          <w:sz w:val="24"/>
        </w:rPr>
        <w:t>Dias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Soares</w:t>
      </w:r>
      <w:r>
        <w:rPr>
          <w:b/>
          <w:spacing w:val="-2"/>
          <w:sz w:val="24"/>
        </w:rPr>
        <w:t xml:space="preserve"> Machado</w:t>
      </w:r>
      <w:r>
        <w:rPr>
          <w:b/>
          <w:spacing w:val="-2"/>
          <w:sz w:val="24"/>
          <w:vertAlign w:val="superscript"/>
        </w:rPr>
        <w:t>6</w:t>
      </w:r>
    </w:p>
    <w:p w14:paraId="4D9860EA" w14:textId="77777777" w:rsidR="00F11C74" w:rsidRDefault="00F11C74">
      <w:pPr>
        <w:pStyle w:val="Corpodetexto"/>
        <w:ind w:left="0"/>
        <w:jc w:val="left"/>
        <w:rPr>
          <w:b/>
        </w:rPr>
      </w:pPr>
    </w:p>
    <w:p w14:paraId="69CAD46F" w14:textId="77777777" w:rsidR="00F11C74" w:rsidRDefault="00000000">
      <w:pPr>
        <w:pStyle w:val="Corpodetexto"/>
        <w:ind w:right="13"/>
      </w:pPr>
      <w:r>
        <w:rPr>
          <w:b/>
        </w:rPr>
        <w:t>Resumo:</w:t>
      </w:r>
      <w:r>
        <w:rPr>
          <w:b/>
          <w:spacing w:val="40"/>
        </w:rPr>
        <w:t xml:space="preserve"> </w:t>
      </w:r>
      <w:r>
        <w:t>A adolescência é marcada por um processo de maturação biopsicossocial e por maior vulnerabilidade à experimentação de condutas nocivas à</w:t>
      </w:r>
      <w:r>
        <w:rPr>
          <w:spacing w:val="-2"/>
        </w:rPr>
        <w:t xml:space="preserve"> </w:t>
      </w:r>
      <w:r>
        <w:t>saúde.</w:t>
      </w:r>
      <w:r>
        <w:rPr>
          <w:spacing w:val="-2"/>
        </w:rPr>
        <w:t xml:space="preserve"> </w:t>
      </w:r>
      <w:r>
        <w:t>Nessa</w:t>
      </w:r>
      <w:r>
        <w:rPr>
          <w:spacing w:val="-2"/>
        </w:rPr>
        <w:t xml:space="preserve"> </w:t>
      </w:r>
      <w:r>
        <w:t>fase,</w:t>
      </w:r>
      <w:r>
        <w:rPr>
          <w:spacing w:val="-2"/>
        </w:rPr>
        <w:t xml:space="preserve"> </w:t>
      </w:r>
      <w:r>
        <w:t>a presença dos pares potencializa a propensão ao risco, e o consumo de álcool tende a funcionar como mecanismo de socialização e de integração grupal. O comportamento</w:t>
      </w:r>
      <w:r>
        <w:rPr>
          <w:spacing w:val="40"/>
        </w:rPr>
        <w:t xml:space="preserve"> </w:t>
      </w:r>
      <w:r>
        <w:t xml:space="preserve">de saúde propenso a risco é um estado intermediário e não consolidado entre práticas protetivas e comportamentos de risco estabelecidos, em que a ação está presente na intenção, mas ainda não se tornou prática. O estudo tem como objetivo analisar e compreender a </w:t>
      </w:r>
      <w:proofErr w:type="spellStart"/>
      <w:r>
        <w:t>percepção</w:t>
      </w:r>
      <w:proofErr w:type="spellEnd"/>
      <w:r>
        <w:t xml:space="preserve"> dos adolescentes sobre a influência dos pares e a</w:t>
      </w:r>
      <w:r>
        <w:rPr>
          <w:spacing w:val="40"/>
        </w:rPr>
        <w:t xml:space="preserve"> </w:t>
      </w:r>
      <w:r>
        <w:t>normalização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comportamentos</w:t>
      </w:r>
      <w:r>
        <w:rPr>
          <w:spacing w:val="-4"/>
        </w:rPr>
        <w:t xml:space="preserve"> </w:t>
      </w:r>
      <w:r>
        <w:t>propensos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risco.</w:t>
      </w:r>
      <w:r>
        <w:rPr>
          <w:spacing w:val="-4"/>
        </w:rPr>
        <w:t xml:space="preserve"> </w:t>
      </w:r>
      <w:r>
        <w:t>Trata-se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estudo</w:t>
      </w:r>
      <w:r>
        <w:rPr>
          <w:spacing w:val="-4"/>
        </w:rPr>
        <w:t xml:space="preserve"> </w:t>
      </w:r>
      <w:r>
        <w:t xml:space="preserve">exploratório, de abordagem qualitativa, realizado em maio de 2026 com 28 adolescentes de duas escolas públicas de ensino médio de Juazeiro do Norte, Ceará. A coleta ocorreu por meio de dois grupos focais, com duração média de 48 minutos, conduzidos a partir de roteiro semiestruturado. Os grupos foram gravados em áudio digital, transcritos e submetidos à Classificação Hierárquica Descendente (CHD) no software </w:t>
      </w:r>
      <w:proofErr w:type="spellStart"/>
      <w:r>
        <w:t>IRaMuTeQ</w:t>
      </w:r>
      <w:proofErr w:type="spellEnd"/>
      <w:r>
        <w:t>.</w:t>
      </w:r>
      <w:r>
        <w:rPr>
          <w:spacing w:val="40"/>
        </w:rPr>
        <w:t xml:space="preserve"> </w:t>
      </w:r>
      <w:r>
        <w:t>As classes foram tratadas como categorias empíricas e discutidas à luz da literatura. O estudo foi aprovado pelo Comitê de Ética em Pesquisa, parecer nº 8.299.812.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corpus foi composto por 113 segmentos de texto, 969 formas e 3.798 ocorrências, com aproveitamento de 35,2%, e originou duas classes. A classe 1 (18,7%), sobre a influência do grupo de pares na adoção de</w:t>
      </w:r>
      <w:r>
        <w:rPr>
          <w:spacing w:val="-2"/>
        </w:rPr>
        <w:t xml:space="preserve"> </w:t>
      </w:r>
      <w:r>
        <w:t>comportamentos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</w:t>
      </w:r>
      <w:r>
        <w:rPr>
          <w:spacing w:val="-2"/>
        </w:rPr>
        <w:t xml:space="preserve"> </w:t>
      </w:r>
      <w:r>
        <w:t>propensos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risco, mostrou que os adolescentes reconhecem a influência dos amigos, a busca por pertencimento e aprovação e a curiosidade por novas experiências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elementos</w:t>
      </w:r>
      <w:r>
        <w:rPr>
          <w:spacing w:val="-3"/>
        </w:rPr>
        <w:t xml:space="preserve"> </w:t>
      </w:r>
      <w:r>
        <w:t xml:space="preserve">que favorecem condutas de risco. Eles também percebem criticamente os prejuízos de reproduzir essas condutas para obter aceitação. A classe 2 (16,5%), sobre </w:t>
      </w:r>
      <w:proofErr w:type="spellStart"/>
      <w:r>
        <w:t>percepção</w:t>
      </w:r>
      <w:proofErr w:type="spellEnd"/>
      <w:r>
        <w:t xml:space="preserve"> crítica e responsabilização individual, evidenciou que os adolescentes admitem o papel das próprias escolhas, mas questionam a responsabilização exclusivamente individual. Eles apontam pressões sociais que associam práticas arriscadas à admiração e à aceitação.</w:t>
      </w:r>
      <w:r>
        <w:rPr>
          <w:spacing w:val="45"/>
        </w:rPr>
        <w:t xml:space="preserve"> </w:t>
      </w:r>
      <w:r>
        <w:t>Depreende-se,</w:t>
      </w:r>
      <w:r>
        <w:rPr>
          <w:spacing w:val="45"/>
        </w:rPr>
        <w:t xml:space="preserve"> </w:t>
      </w:r>
      <w:r>
        <w:t>portanto,</w:t>
      </w:r>
      <w:r>
        <w:rPr>
          <w:spacing w:val="45"/>
        </w:rPr>
        <w:t xml:space="preserve"> </w:t>
      </w:r>
      <w:r>
        <w:t>que</w:t>
      </w:r>
      <w:r>
        <w:rPr>
          <w:spacing w:val="45"/>
        </w:rPr>
        <w:t xml:space="preserve"> </w:t>
      </w:r>
      <w:r>
        <w:t>os</w:t>
      </w:r>
      <w:r>
        <w:rPr>
          <w:spacing w:val="30"/>
        </w:rPr>
        <w:t xml:space="preserve"> </w:t>
      </w:r>
      <w:r>
        <w:t>adolescentes</w:t>
      </w:r>
      <w:r>
        <w:rPr>
          <w:spacing w:val="30"/>
        </w:rPr>
        <w:t xml:space="preserve"> </w:t>
      </w:r>
      <w:r>
        <w:t>reconhecem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grupo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2"/>
        </w:rPr>
        <w:t>pares</w:t>
      </w:r>
    </w:p>
    <w:p w14:paraId="2544A7F4" w14:textId="77777777" w:rsidR="00F11C74" w:rsidRDefault="00000000">
      <w:pPr>
        <w:pStyle w:val="Corpodetexto"/>
        <w:spacing w:before="84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06F9E5" wp14:editId="68AD87FA">
                <wp:simplePos x="0" y="0"/>
                <wp:positionH relativeFrom="page">
                  <wp:posOffset>1076325</wp:posOffset>
                </wp:positionH>
                <wp:positionV relativeFrom="paragraph">
                  <wp:posOffset>214833</wp:posOffset>
                </wp:positionV>
                <wp:extent cx="1828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.75pt;margin-top:16.916021pt;width:144pt;height:.1pt;mso-position-horizontal-relative:page;mso-position-vertical-relative:paragraph;z-index:-15728640;mso-wrap-distance-left:0;mso-wrap-distance-right:0" id="docshape2" coordorigin="1695,338" coordsize="2880,0" path="m1695,338l4575,338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55EBF842" w14:textId="77777777" w:rsidR="00F11C74" w:rsidRDefault="00000000">
      <w:pPr>
        <w:tabs>
          <w:tab w:val="left" w:pos="487"/>
        </w:tabs>
        <w:spacing w:before="107"/>
        <w:ind w:left="142"/>
        <w:rPr>
          <w:rFonts w:ascii="Arial"/>
        </w:rPr>
      </w:pPr>
      <w:r>
        <w:rPr>
          <w:rFonts w:ascii="Arial"/>
          <w:spacing w:val="-10"/>
          <w:vertAlign w:val="superscript"/>
        </w:rPr>
        <w:t>1</w:t>
      </w:r>
      <w:r>
        <w:rPr>
          <w:rFonts w:ascii="Arial"/>
        </w:rPr>
        <w:tab/>
        <w:t>Universidade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Regional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do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Cariri,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email:</w:t>
      </w:r>
      <w:r>
        <w:rPr>
          <w:rFonts w:ascii="Arial"/>
          <w:spacing w:val="-7"/>
        </w:rPr>
        <w:t xml:space="preserve"> </w:t>
      </w:r>
      <w:hyperlink r:id="rId7">
        <w:r>
          <w:rPr>
            <w:rFonts w:ascii="Arial"/>
            <w:spacing w:val="-2"/>
          </w:rPr>
          <w:t>esther.eloipinheiro@urca.br</w:t>
        </w:r>
      </w:hyperlink>
    </w:p>
    <w:p w14:paraId="589FD3CB" w14:textId="77777777" w:rsidR="00F11C74" w:rsidRDefault="00000000">
      <w:pPr>
        <w:tabs>
          <w:tab w:val="left" w:pos="487"/>
        </w:tabs>
        <w:ind w:left="142"/>
        <w:rPr>
          <w:rFonts w:ascii="Arial"/>
        </w:rPr>
      </w:pPr>
      <w:r>
        <w:rPr>
          <w:rFonts w:ascii="Arial"/>
          <w:spacing w:val="-10"/>
          <w:vertAlign w:val="superscript"/>
        </w:rPr>
        <w:t>2</w:t>
      </w:r>
      <w:r>
        <w:rPr>
          <w:rFonts w:ascii="Arial"/>
        </w:rPr>
        <w:tab/>
        <w:t>Universidade</w:t>
      </w:r>
      <w:r>
        <w:rPr>
          <w:rFonts w:ascii="Arial"/>
          <w:spacing w:val="-10"/>
        </w:rPr>
        <w:t xml:space="preserve"> </w:t>
      </w:r>
      <w:r>
        <w:rPr>
          <w:rFonts w:ascii="Arial"/>
        </w:rPr>
        <w:t>Regional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do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Cariri,</w:t>
      </w:r>
      <w:r>
        <w:rPr>
          <w:rFonts w:ascii="Arial"/>
          <w:spacing w:val="-7"/>
        </w:rPr>
        <w:t xml:space="preserve"> </w:t>
      </w:r>
      <w:r>
        <w:rPr>
          <w:rFonts w:ascii="Arial"/>
          <w:spacing w:val="-2"/>
        </w:rPr>
        <w:t>email:</w:t>
      </w:r>
      <w:hyperlink r:id="rId8">
        <w:r>
          <w:rPr>
            <w:rFonts w:ascii="Arial"/>
            <w:spacing w:val="-2"/>
          </w:rPr>
          <w:t>ayslantorresj1@gmail.com</w:t>
        </w:r>
      </w:hyperlink>
    </w:p>
    <w:p w14:paraId="068CE818" w14:textId="77777777" w:rsidR="00F11C74" w:rsidRDefault="00000000">
      <w:pPr>
        <w:tabs>
          <w:tab w:val="left" w:pos="948"/>
        </w:tabs>
        <w:ind w:left="142" w:right="1121"/>
        <w:rPr>
          <w:rFonts w:ascii="Arial"/>
        </w:rPr>
      </w:pPr>
      <w:r>
        <w:rPr>
          <w:rFonts w:ascii="Arial"/>
          <w:spacing w:val="-10"/>
          <w:vertAlign w:val="superscript"/>
        </w:rPr>
        <w:t>3</w:t>
      </w:r>
      <w:r>
        <w:rPr>
          <w:rFonts w:ascii="Arial"/>
        </w:rPr>
        <w:tab/>
        <w:t>Universidade</w:t>
      </w:r>
      <w:r>
        <w:rPr>
          <w:rFonts w:ascii="Arial"/>
          <w:spacing w:val="-11"/>
        </w:rPr>
        <w:t xml:space="preserve"> </w:t>
      </w:r>
      <w:r>
        <w:rPr>
          <w:rFonts w:ascii="Arial"/>
        </w:rPr>
        <w:t>Regional</w:t>
      </w:r>
      <w:r>
        <w:rPr>
          <w:rFonts w:ascii="Arial"/>
          <w:spacing w:val="-11"/>
        </w:rPr>
        <w:t xml:space="preserve"> </w:t>
      </w:r>
      <w:r>
        <w:rPr>
          <w:rFonts w:ascii="Arial"/>
        </w:rPr>
        <w:t>do</w:t>
      </w:r>
      <w:r>
        <w:rPr>
          <w:rFonts w:ascii="Arial"/>
          <w:spacing w:val="-11"/>
        </w:rPr>
        <w:t xml:space="preserve"> </w:t>
      </w:r>
      <w:r>
        <w:rPr>
          <w:rFonts w:ascii="Arial"/>
        </w:rPr>
        <w:t>Cariri,</w:t>
      </w:r>
      <w:r>
        <w:rPr>
          <w:rFonts w:ascii="Arial"/>
          <w:spacing w:val="-11"/>
        </w:rPr>
        <w:t xml:space="preserve"> </w:t>
      </w:r>
      <w:r>
        <w:rPr>
          <w:rFonts w:ascii="Arial"/>
        </w:rPr>
        <w:t>email:</w:t>
      </w:r>
      <w:hyperlink r:id="rId9">
        <w:r>
          <w:rPr>
            <w:rFonts w:ascii="Arial"/>
            <w:color w:val="1154CC"/>
            <w:u w:val="thick" w:color="1154CC"/>
          </w:rPr>
          <w:t>marcelo.mendonca@urca.br</w:t>
        </w:r>
      </w:hyperlink>
      <w:r>
        <w:rPr>
          <w:rFonts w:ascii="Arial"/>
          <w:color w:val="1154CC"/>
        </w:rPr>
        <w:t xml:space="preserve"> </w:t>
      </w:r>
      <w:r>
        <w:rPr>
          <w:rFonts w:ascii="Arial"/>
        </w:rPr>
        <w:t>Universidade Regional do Cariri, email:</w:t>
      </w:r>
      <w:hyperlink r:id="rId10">
        <w:r>
          <w:rPr>
            <w:rFonts w:ascii="Arial"/>
          </w:rPr>
          <w:t>kelly.santana@urca.br</w:t>
        </w:r>
      </w:hyperlink>
    </w:p>
    <w:p w14:paraId="66B08FEC" w14:textId="77777777" w:rsidR="00F11C74" w:rsidRDefault="00000000">
      <w:pPr>
        <w:ind w:left="142" w:right="1121"/>
        <w:rPr>
          <w:rFonts w:ascii="Arial" w:hAnsi="Arial"/>
        </w:rPr>
      </w:pPr>
      <w:r>
        <w:rPr>
          <w:rFonts w:ascii="Arial" w:hAnsi="Arial"/>
        </w:rPr>
        <w:t>Universidade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</w:rPr>
        <w:t>Federal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</w:rPr>
        <w:t>do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</w:rPr>
        <w:t>Ceará,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</w:rPr>
        <w:t>email:</w:t>
      </w:r>
      <w:hyperlink r:id="rId11">
        <w:r>
          <w:rPr>
            <w:rFonts w:ascii="Arial" w:hAnsi="Arial"/>
          </w:rPr>
          <w:t>pedrolfm600@gmail.com</w:t>
        </w:r>
      </w:hyperlink>
      <w:r>
        <w:rPr>
          <w:rFonts w:ascii="Arial" w:hAnsi="Arial"/>
        </w:rPr>
        <w:t xml:space="preserve"> Universidade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>Regional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do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Cariri,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  <w:spacing w:val="-2"/>
        </w:rPr>
        <w:t>email:</w:t>
      </w:r>
      <w:hyperlink r:id="rId12">
        <w:r>
          <w:rPr>
            <w:rFonts w:ascii="Arial" w:hAnsi="Arial"/>
            <w:spacing w:val="-2"/>
          </w:rPr>
          <w:t>lucas.machado@urca.br</w:t>
        </w:r>
      </w:hyperlink>
    </w:p>
    <w:p w14:paraId="1E8E3B36" w14:textId="77777777" w:rsidR="00F11C74" w:rsidRDefault="00F11C74">
      <w:pPr>
        <w:rPr>
          <w:rFonts w:ascii="Arial" w:hAnsi="Arial"/>
        </w:rPr>
        <w:sectPr w:rsidR="00F11C74">
          <w:headerReference w:type="default" r:id="rId13"/>
          <w:footerReference w:type="default" r:id="rId14"/>
          <w:type w:val="continuous"/>
          <w:pgSz w:w="11920" w:h="16840"/>
          <w:pgMar w:top="3120" w:right="1700" w:bottom="460" w:left="1559" w:header="288" w:footer="224" w:gutter="0"/>
          <w:pgNumType w:start="1"/>
          <w:cols w:space="720"/>
        </w:sectPr>
      </w:pPr>
    </w:p>
    <w:p w14:paraId="51823E5D" w14:textId="77777777" w:rsidR="00F11C74" w:rsidRDefault="00000000">
      <w:pPr>
        <w:pStyle w:val="Corpodetexto"/>
        <w:spacing w:before="147"/>
        <w:ind w:right="14"/>
      </w:pPr>
      <w:r>
        <w:lastRenderedPageBreak/>
        <w:t>como fator que favorece comportamentos propensos a risco. Percebem que o meio</w:t>
      </w:r>
      <w:r>
        <w:rPr>
          <w:spacing w:val="40"/>
        </w:rPr>
        <w:t xml:space="preserve"> </w:t>
      </w:r>
      <w:r>
        <w:t xml:space="preserve">social associa essas práticas à admiração e à aceitação, o que indica a normalização desses comportamentos. A enfermagem tem papel de promover ações no contexto escolar e considerar a influência dos pares e as normas sociais para fortalecer o </w:t>
      </w:r>
      <w:r>
        <w:rPr>
          <w:spacing w:val="-2"/>
        </w:rPr>
        <w:t>autocuidado.</w:t>
      </w:r>
    </w:p>
    <w:p w14:paraId="0C9F5506" w14:textId="77777777" w:rsidR="00F11C74" w:rsidRDefault="00000000">
      <w:pPr>
        <w:pStyle w:val="Corpodetexto"/>
        <w:rPr>
          <w:spacing w:val="-2"/>
        </w:rPr>
      </w:pPr>
      <w:r>
        <w:rPr>
          <w:b/>
        </w:rPr>
        <w:t xml:space="preserve">Palavras-chave: </w:t>
      </w:r>
      <w:r>
        <w:t xml:space="preserve">Adolescente. Comportamento de Risco à Saúde. Influência dos </w:t>
      </w:r>
      <w:r>
        <w:rPr>
          <w:spacing w:val="-2"/>
        </w:rPr>
        <w:t>Pares.</w:t>
      </w:r>
    </w:p>
    <w:p w14:paraId="2227E1A8" w14:textId="77777777" w:rsidR="004A056F" w:rsidRDefault="004A056F">
      <w:pPr>
        <w:pStyle w:val="Corpodetexto"/>
      </w:pPr>
    </w:p>
    <w:p w14:paraId="578D757C" w14:textId="77777777" w:rsidR="00F11C74" w:rsidRDefault="00000000">
      <w:pPr>
        <w:pStyle w:val="Ttulo1"/>
        <w:numPr>
          <w:ilvl w:val="0"/>
          <w:numId w:val="1"/>
        </w:numPr>
        <w:tabs>
          <w:tab w:val="left" w:pos="561"/>
        </w:tabs>
        <w:ind w:left="561" w:hanging="419"/>
        <w:jc w:val="both"/>
      </w:pPr>
      <w:r>
        <w:rPr>
          <w:spacing w:val="-2"/>
        </w:rPr>
        <w:t>Introdução</w:t>
      </w:r>
    </w:p>
    <w:p w14:paraId="68E0F9A0" w14:textId="77777777" w:rsidR="00F11C74" w:rsidRDefault="00000000">
      <w:pPr>
        <w:pStyle w:val="Corpodetexto"/>
        <w:ind w:right="16" w:firstLine="720"/>
      </w:pPr>
      <w:r>
        <w:t>A adolescência é marcada por um ciclo de maturação biopsicossocial. Embora haja um leque de definições, a Organização Mundial da Saúde (OMS) a define como</w:t>
      </w:r>
      <w:r>
        <w:rPr>
          <w:spacing w:val="-3"/>
        </w:rPr>
        <w:t xml:space="preserve"> </w:t>
      </w:r>
      <w:r>
        <w:t>a fase da vida entre a infância e a idade adulta, dos 10 aos 19 anos (</w:t>
      </w:r>
      <w:proofErr w:type="spellStart"/>
      <w:r>
        <w:t>Sawyer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al., 2018).</w:t>
      </w:r>
    </w:p>
    <w:p w14:paraId="19D55854" w14:textId="77777777" w:rsidR="00F11C74" w:rsidRDefault="00000000">
      <w:pPr>
        <w:pStyle w:val="Corpodetexto"/>
        <w:ind w:right="15" w:firstLine="720"/>
      </w:pPr>
      <w:r>
        <w:t>É nesse período que se inicia a formação da consciência</w:t>
      </w:r>
      <w:r>
        <w:rPr>
          <w:spacing w:val="-3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estilo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vida</w:t>
      </w:r>
      <w:r>
        <w:rPr>
          <w:spacing w:val="-3"/>
        </w:rPr>
        <w:t xml:space="preserve"> </w:t>
      </w:r>
      <w:r>
        <w:t>e as escolhas de saúde, como atividade física, alimentação, consumo de álcool e tabagismo. Em contrapartida,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momento</w:t>
      </w:r>
      <w:r>
        <w:rPr>
          <w:spacing w:val="-3"/>
        </w:rPr>
        <w:t xml:space="preserve"> </w:t>
      </w:r>
      <w:r>
        <w:t>destaca-se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maior</w:t>
      </w:r>
      <w:r>
        <w:rPr>
          <w:spacing w:val="-3"/>
        </w:rPr>
        <w:t xml:space="preserve"> </w:t>
      </w:r>
      <w:r>
        <w:t>vulnerabilidade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 experimentação de condutas nocivas à saúde, as quais tendem a coexistir e persistir ao longo do tempo (</w:t>
      </w:r>
      <w:proofErr w:type="spellStart"/>
      <w:r>
        <w:t>Sawyer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al., 2018).</w:t>
      </w:r>
    </w:p>
    <w:p w14:paraId="28AA42E4" w14:textId="403D6333" w:rsidR="00F11C74" w:rsidRDefault="00000000">
      <w:pPr>
        <w:pStyle w:val="Corpodetexto"/>
        <w:ind w:right="13" w:firstLine="720"/>
      </w:pPr>
      <w:r>
        <w:t>A tomada de decisão na adolescência torna-se</w:t>
      </w:r>
      <w:r>
        <w:rPr>
          <w:spacing w:val="-3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t>vulnerável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companhia</w:t>
      </w:r>
      <w:r>
        <w:rPr>
          <w:spacing w:val="-3"/>
        </w:rPr>
        <w:t xml:space="preserve"> </w:t>
      </w:r>
      <w:r>
        <w:t>de pares devido à maior sensibilidade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recompensas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controle</w:t>
      </w:r>
      <w:r>
        <w:rPr>
          <w:spacing w:val="-2"/>
        </w:rPr>
        <w:t xml:space="preserve"> </w:t>
      </w:r>
      <w:r>
        <w:t>ainda</w:t>
      </w:r>
      <w:r>
        <w:rPr>
          <w:spacing w:val="-2"/>
        </w:rPr>
        <w:t xml:space="preserve"> </w:t>
      </w:r>
      <w:r>
        <w:t>imaturo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 xml:space="preserve">córtex pré-frontal, responsável por avaliar custos, benefícios e risco. Além do exposto, em contextos de incerteza, o contágio emocional e a necessidade de validação diminuem a aversão ao risco (Van </w:t>
      </w:r>
      <w:proofErr w:type="spellStart"/>
      <w:r>
        <w:t>Leijenhorst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al., 201</w:t>
      </w:r>
      <w:r w:rsidR="004A056F">
        <w:t>0</w:t>
      </w:r>
      <w:r>
        <w:t>).</w:t>
      </w:r>
    </w:p>
    <w:p w14:paraId="26D4FD65" w14:textId="77777777" w:rsidR="00F11C74" w:rsidRDefault="00000000">
      <w:pPr>
        <w:pStyle w:val="Corpodetexto"/>
        <w:ind w:right="14" w:firstLine="720"/>
      </w:pPr>
      <w:r>
        <w:t>Os comportamentos de risco, dentre eles, o consumo de álcool tende a ser mecanismo de socialização, integração grupal e facilitação de laços afetivos. Esse consumo traz mudanças</w:t>
      </w:r>
      <w:r>
        <w:rPr>
          <w:spacing w:val="-3"/>
        </w:rPr>
        <w:t xml:space="preserve"> </w:t>
      </w:r>
      <w:r>
        <w:t>temporárias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comportamento,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desinibição.</w:t>
      </w:r>
      <w:r>
        <w:rPr>
          <w:spacing w:val="-3"/>
        </w:rPr>
        <w:t xml:space="preserve"> </w:t>
      </w:r>
      <w:r>
        <w:t>Segundo</w:t>
      </w:r>
      <w:r>
        <w:rPr>
          <w:spacing w:val="-3"/>
        </w:rPr>
        <w:t xml:space="preserve"> </w:t>
      </w:r>
      <w:r>
        <w:t xml:space="preserve">a literatura neurocientífica, a carga motivacional da aceitação social potencializa a conformidade normativa dos jovens (Mota </w:t>
      </w:r>
      <w:proofErr w:type="spellStart"/>
      <w:r>
        <w:t>et</w:t>
      </w:r>
      <w:proofErr w:type="spellEnd"/>
      <w:r>
        <w:t xml:space="preserve"> al., 2026).</w:t>
      </w:r>
    </w:p>
    <w:p w14:paraId="5409D9FE" w14:textId="77777777" w:rsidR="00F11C74" w:rsidRDefault="00000000">
      <w:pPr>
        <w:pStyle w:val="Corpodetexto"/>
        <w:ind w:right="16" w:firstLine="720"/>
      </w:pPr>
      <w:r>
        <w:t>O comportamento de saúde propenso a risco corresponde a um estado intermediário e não consolidado entre práticas preventivas e comportamentos de risco estabelecidos,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beber,</w:t>
      </w:r>
      <w:r>
        <w:rPr>
          <w:spacing w:val="-4"/>
        </w:rPr>
        <w:t xml:space="preserve"> </w:t>
      </w:r>
      <w:r>
        <w:t>fumar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análogos</w:t>
      </w:r>
      <w:r>
        <w:rPr>
          <w:spacing w:val="-4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intenção,</w:t>
      </w:r>
      <w:r>
        <w:rPr>
          <w:spacing w:val="-4"/>
        </w:rPr>
        <w:t xml:space="preserve"> </w:t>
      </w:r>
      <w:r>
        <w:t xml:space="preserve">mas ainda não se tornou prática (Mota </w:t>
      </w:r>
      <w:proofErr w:type="spellStart"/>
      <w:r>
        <w:t>et</w:t>
      </w:r>
      <w:proofErr w:type="spellEnd"/>
      <w:r>
        <w:t xml:space="preserve"> al., 2026).</w:t>
      </w:r>
    </w:p>
    <w:p w14:paraId="18FCB7FF" w14:textId="77777777" w:rsidR="00F11C74" w:rsidRDefault="00000000">
      <w:pPr>
        <w:pStyle w:val="Corpodetexto"/>
        <w:ind w:right="16" w:firstLine="720"/>
      </w:pPr>
      <w:r>
        <w:t>Apesar da vasta produção científica sobre adolescentes e comportamentos de risco,</w:t>
      </w:r>
      <w:r>
        <w:rPr>
          <w:spacing w:val="-3"/>
        </w:rPr>
        <w:t xml:space="preserve"> </w:t>
      </w:r>
      <w:r>
        <w:t>há</w:t>
      </w:r>
      <w:r>
        <w:rPr>
          <w:spacing w:val="-3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lacuna</w:t>
      </w:r>
      <w:r>
        <w:rPr>
          <w:spacing w:val="-3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proofErr w:type="spellStart"/>
      <w:r>
        <w:t>percepção</w:t>
      </w:r>
      <w:proofErr w:type="spellEnd"/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adolescente</w:t>
      </w:r>
      <w:r>
        <w:rPr>
          <w:spacing w:val="-3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esses</w:t>
      </w:r>
      <w:r>
        <w:rPr>
          <w:spacing w:val="-3"/>
        </w:rPr>
        <w:t xml:space="preserve"> </w:t>
      </w:r>
      <w:r>
        <w:t>comportamentos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a escuta sobre a propensão a eles. Nesse sentido, o presente estudo teve como objetivo analisar e compreender a </w:t>
      </w:r>
      <w:proofErr w:type="spellStart"/>
      <w:r>
        <w:t>percepção</w:t>
      </w:r>
      <w:proofErr w:type="spellEnd"/>
      <w:r>
        <w:t xml:space="preserve"> dos adolescentes sobre a influência dos pares e a normalização de comportamentos propensos a risco.</w:t>
      </w:r>
    </w:p>
    <w:p w14:paraId="322B797E" w14:textId="77777777" w:rsidR="00F11C74" w:rsidRDefault="00F11C74">
      <w:pPr>
        <w:pStyle w:val="Corpodetexto"/>
        <w:ind w:left="0"/>
        <w:jc w:val="left"/>
      </w:pPr>
    </w:p>
    <w:p w14:paraId="48E0B808" w14:textId="77777777" w:rsidR="00F11C74" w:rsidRDefault="00000000">
      <w:pPr>
        <w:pStyle w:val="Ttulo1"/>
        <w:numPr>
          <w:ilvl w:val="0"/>
          <w:numId w:val="1"/>
        </w:numPr>
        <w:tabs>
          <w:tab w:val="left" w:pos="561"/>
        </w:tabs>
        <w:ind w:left="561" w:hanging="419"/>
        <w:jc w:val="both"/>
      </w:pPr>
      <w:r>
        <w:rPr>
          <w:spacing w:val="-2"/>
        </w:rPr>
        <w:t>Metodologia</w:t>
      </w:r>
    </w:p>
    <w:p w14:paraId="7000DBE7" w14:textId="77777777" w:rsidR="00F11C74" w:rsidRDefault="00000000">
      <w:pPr>
        <w:pStyle w:val="Corpodetexto"/>
        <w:ind w:right="14" w:firstLine="720"/>
      </w:pPr>
      <w:r>
        <w:t>Trata-se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um</w:t>
      </w:r>
      <w:r>
        <w:rPr>
          <w:spacing w:val="-5"/>
        </w:rPr>
        <w:t xml:space="preserve"> </w:t>
      </w:r>
      <w:r>
        <w:t>estudo</w:t>
      </w:r>
      <w:r>
        <w:rPr>
          <w:spacing w:val="-5"/>
        </w:rPr>
        <w:t xml:space="preserve"> </w:t>
      </w:r>
      <w:r>
        <w:t>exploratório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abordagem</w:t>
      </w:r>
      <w:r>
        <w:rPr>
          <w:spacing w:val="-5"/>
        </w:rPr>
        <w:t xml:space="preserve"> </w:t>
      </w:r>
      <w:r>
        <w:t>qualitativo,</w:t>
      </w:r>
      <w:r>
        <w:rPr>
          <w:spacing w:val="-5"/>
        </w:rPr>
        <w:t xml:space="preserve"> </w:t>
      </w:r>
      <w:r>
        <w:t>elaborado</w:t>
      </w:r>
      <w:r>
        <w:rPr>
          <w:spacing w:val="-5"/>
        </w:rPr>
        <w:t xml:space="preserve"> </w:t>
      </w:r>
      <w:r>
        <w:t xml:space="preserve">segundo as recomendações do </w:t>
      </w:r>
      <w:proofErr w:type="spellStart"/>
      <w:r>
        <w:rPr>
          <w:i/>
        </w:rPr>
        <w:t>Consolidated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Criteria</w:t>
      </w:r>
      <w:proofErr w:type="spellEnd"/>
      <w:r>
        <w:rPr>
          <w:i/>
        </w:rPr>
        <w:t xml:space="preserve"> for </w:t>
      </w:r>
      <w:proofErr w:type="spellStart"/>
      <w:r>
        <w:rPr>
          <w:i/>
        </w:rPr>
        <w:t>Reporting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Qualitative</w:t>
      </w:r>
      <w:proofErr w:type="spellEnd"/>
      <w:r>
        <w:rPr>
          <w:i/>
        </w:rPr>
        <w:t xml:space="preserve"> Research </w:t>
      </w:r>
      <w:r>
        <w:t>(COREQ),</w:t>
      </w:r>
      <w:r>
        <w:rPr>
          <w:spacing w:val="25"/>
        </w:rPr>
        <w:t xml:space="preserve"> </w:t>
      </w:r>
      <w:r>
        <w:t>fundamentado na análise do conceito de comportamento de saúde propenso</w:t>
      </w:r>
      <w:r>
        <w:rPr>
          <w:spacing w:val="40"/>
        </w:rPr>
        <w:t xml:space="preserve"> </w:t>
      </w:r>
      <w:r>
        <w:t>a risco em adolescentes escolares que define esse fenômeno como um estado intermediário e não consolidado, situado entre práticas protetivas e comportamentos</w:t>
      </w:r>
      <w:r>
        <w:rPr>
          <w:spacing w:val="-3"/>
        </w:rPr>
        <w:t xml:space="preserve"> </w:t>
      </w:r>
      <w:r>
        <w:t>de risco estabelecidos, caracterizado por suscetibilidade cognitivo-intencional, normalização</w:t>
      </w:r>
      <w:r>
        <w:rPr>
          <w:spacing w:val="45"/>
        </w:rPr>
        <w:t xml:space="preserve"> </w:t>
      </w:r>
      <w:r>
        <w:t>do</w:t>
      </w:r>
      <w:r>
        <w:rPr>
          <w:spacing w:val="45"/>
        </w:rPr>
        <w:t xml:space="preserve"> </w:t>
      </w:r>
      <w:r>
        <w:t>risco</w:t>
      </w:r>
      <w:r>
        <w:rPr>
          <w:spacing w:val="45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dificuldade</w:t>
      </w:r>
      <w:r>
        <w:rPr>
          <w:spacing w:val="45"/>
        </w:rPr>
        <w:t xml:space="preserve"> </w:t>
      </w:r>
      <w:r>
        <w:t>em</w:t>
      </w:r>
      <w:r>
        <w:rPr>
          <w:spacing w:val="45"/>
        </w:rPr>
        <w:t xml:space="preserve"> </w:t>
      </w:r>
      <w:r>
        <w:t>sustentar</w:t>
      </w:r>
      <w:r>
        <w:rPr>
          <w:spacing w:val="45"/>
        </w:rPr>
        <w:t xml:space="preserve"> </w:t>
      </w:r>
      <w:r>
        <w:t>decisões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autocuidado</w:t>
      </w:r>
      <w:r>
        <w:rPr>
          <w:spacing w:val="45"/>
        </w:rPr>
        <w:t xml:space="preserve"> </w:t>
      </w:r>
      <w:r>
        <w:t>diante</w:t>
      </w:r>
      <w:r>
        <w:rPr>
          <w:spacing w:val="30"/>
        </w:rPr>
        <w:t xml:space="preserve"> </w:t>
      </w:r>
      <w:r>
        <w:rPr>
          <w:spacing w:val="-5"/>
        </w:rPr>
        <w:t>de</w:t>
      </w:r>
    </w:p>
    <w:p w14:paraId="6C011451" w14:textId="77777777" w:rsidR="00F11C74" w:rsidRDefault="00F11C74">
      <w:pPr>
        <w:pStyle w:val="Corpodetexto"/>
        <w:sectPr w:rsidR="00F11C74">
          <w:pgSz w:w="11920" w:h="16840"/>
          <w:pgMar w:top="3120" w:right="1700" w:bottom="460" w:left="1559" w:header="288" w:footer="224" w:gutter="0"/>
          <w:cols w:space="720"/>
        </w:sectPr>
      </w:pPr>
    </w:p>
    <w:p w14:paraId="00755ABF" w14:textId="77777777" w:rsidR="00F11C74" w:rsidRDefault="00000000">
      <w:pPr>
        <w:pStyle w:val="Corpodetexto"/>
        <w:spacing w:before="147"/>
        <w:ind w:right="17"/>
      </w:pPr>
      <w:r>
        <w:lastRenderedPageBreak/>
        <w:t>influências normativas, contextuais e relacionais. Esse estado, associado a vulnerabilidade psicossocial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vínculos</w:t>
      </w:r>
      <w:r>
        <w:rPr>
          <w:spacing w:val="-5"/>
        </w:rPr>
        <w:t xml:space="preserve"> </w:t>
      </w:r>
      <w:r>
        <w:t>institucionais</w:t>
      </w:r>
      <w:r>
        <w:rPr>
          <w:spacing w:val="-5"/>
        </w:rPr>
        <w:t xml:space="preserve"> </w:t>
      </w:r>
      <w:r>
        <w:t>protetivos</w:t>
      </w:r>
      <w:r>
        <w:rPr>
          <w:spacing w:val="-5"/>
        </w:rPr>
        <w:t xml:space="preserve"> </w:t>
      </w:r>
      <w:r>
        <w:t>insuficientes,</w:t>
      </w:r>
      <w:r>
        <w:rPr>
          <w:spacing w:val="-5"/>
        </w:rPr>
        <w:t xml:space="preserve"> </w:t>
      </w:r>
      <w:r>
        <w:t>aumenta a probabilidade de transição para comportamentos prejudiciais ao longo da</w:t>
      </w:r>
      <w:r>
        <w:rPr>
          <w:spacing w:val="40"/>
        </w:rPr>
        <w:t xml:space="preserve"> </w:t>
      </w:r>
      <w:r>
        <w:rPr>
          <w:spacing w:val="-2"/>
        </w:rPr>
        <w:t>adolescência.</w:t>
      </w:r>
    </w:p>
    <w:p w14:paraId="3126F37B" w14:textId="77777777" w:rsidR="00F11C74" w:rsidRDefault="00000000">
      <w:pPr>
        <w:pStyle w:val="Corpodetexto"/>
        <w:ind w:right="17" w:firstLine="720"/>
      </w:pPr>
      <w:r>
        <w:t>O estudo foi realizado em maio de 2026 em duas escolas públicas de ensino médio de Juazeiro do Norte, Ceará. Participaram do estudo</w:t>
      </w:r>
      <w:r>
        <w:rPr>
          <w:spacing w:val="-3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estudantes,</w:t>
      </w:r>
      <w:r>
        <w:rPr>
          <w:spacing w:val="-3"/>
        </w:rPr>
        <w:t xml:space="preserve"> </w:t>
      </w:r>
      <w:r>
        <w:t xml:space="preserve">selecionados por </w:t>
      </w:r>
      <w:proofErr w:type="spellStart"/>
      <w:r>
        <w:t>conveniênciasob</w:t>
      </w:r>
      <w:proofErr w:type="spellEnd"/>
      <w:r>
        <w:t xml:space="preserve"> recomendação da coordenação das instituições. Os participantes tinham entre 16 e 18 anos, sendo em sua maioria do sexo feminino (60,71%; n=17) e pertenciam às turmas de 1º ano.</w:t>
      </w:r>
    </w:p>
    <w:p w14:paraId="3E5781F6" w14:textId="77777777" w:rsidR="00F11C74" w:rsidRDefault="00000000">
      <w:pPr>
        <w:pStyle w:val="Corpodetexto"/>
        <w:ind w:right="17" w:firstLine="720"/>
      </w:pPr>
      <w:r>
        <w:t>A coleta de dados envolveu a realização de dois grupos-focais, um de cada escola e duração média de 48</w:t>
      </w:r>
      <w:r>
        <w:rPr>
          <w:spacing w:val="-3"/>
        </w:rPr>
        <w:t xml:space="preserve"> </w:t>
      </w:r>
      <w:r>
        <w:t>minutos.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sessões</w:t>
      </w:r>
      <w:r>
        <w:rPr>
          <w:spacing w:val="-3"/>
        </w:rPr>
        <w:t xml:space="preserve"> </w:t>
      </w:r>
      <w:r>
        <w:t>foram</w:t>
      </w:r>
      <w:r>
        <w:rPr>
          <w:spacing w:val="-3"/>
        </w:rPr>
        <w:t xml:space="preserve"> </w:t>
      </w:r>
      <w:r>
        <w:t>conduzidas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 xml:space="preserve">moderador que utilizou um roteiro semiestruturado com questões sobre a adolescência, comportamentos de risco e propensão ao risco e a relação desses com o ambiente </w:t>
      </w:r>
      <w:r>
        <w:rPr>
          <w:spacing w:val="-2"/>
        </w:rPr>
        <w:t>escolar.</w:t>
      </w:r>
    </w:p>
    <w:p w14:paraId="3E219C43" w14:textId="77777777" w:rsidR="00F11C74" w:rsidRDefault="00000000">
      <w:pPr>
        <w:pStyle w:val="Corpodetexto"/>
        <w:ind w:right="13" w:firstLine="720"/>
      </w:pPr>
      <w:r>
        <w:t xml:space="preserve">As entrevistas foram realizadas em uma sala de aula, organizada de maneira circular para assegurar um ambiente acolhedor, durante o intervalo entres aulas da manhã e tarde, conforme </w:t>
      </w:r>
      <w:proofErr w:type="spellStart"/>
      <w:r>
        <w:t>pactuação</w:t>
      </w:r>
      <w:proofErr w:type="spellEnd"/>
      <w:r>
        <w:t xml:space="preserve"> com a coordenação. Os momentos foram gravados em áudio digital, posteriormente transcritos na íntegra pelo</w:t>
      </w:r>
      <w:r>
        <w:rPr>
          <w:spacing w:val="-4"/>
        </w:rPr>
        <w:t xml:space="preserve"> </w:t>
      </w:r>
      <w:r>
        <w:t>moderador.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dados</w:t>
      </w:r>
      <w:r>
        <w:rPr>
          <w:spacing w:val="-4"/>
        </w:rPr>
        <w:t xml:space="preserve"> </w:t>
      </w:r>
      <w:r>
        <w:t xml:space="preserve">foram organizados segundo Classificação Hierárquica Descendente a partir de análise lexical pelo software </w:t>
      </w:r>
      <w:proofErr w:type="spellStart"/>
      <w:r>
        <w:t>IRaMuTeQ</w:t>
      </w:r>
      <w:proofErr w:type="spellEnd"/>
      <w:r>
        <w:t>. As classes foram estruturadas segundo qui-quadrado</w:t>
      </w:r>
      <w:r>
        <w:rPr>
          <w:spacing w:val="40"/>
        </w:rPr>
        <w:t xml:space="preserve"> </w:t>
      </w:r>
      <w:r>
        <w:t xml:space="preserve">referente a termos lexicalmente relevantes nos discursos, essas foram tratadas como categorias empíricas e discutidas sob a </w:t>
      </w:r>
      <w:proofErr w:type="spellStart"/>
      <w:r>
        <w:t>perspectiva</w:t>
      </w:r>
      <w:proofErr w:type="spellEnd"/>
      <w:r>
        <w:t xml:space="preserve"> de conteúdo com base na literatura </w:t>
      </w:r>
      <w:r>
        <w:rPr>
          <w:spacing w:val="-2"/>
        </w:rPr>
        <w:t>pertinente.</w:t>
      </w:r>
    </w:p>
    <w:p w14:paraId="2A748910" w14:textId="77777777" w:rsidR="00F11C74" w:rsidRDefault="00000000">
      <w:pPr>
        <w:pStyle w:val="Corpodetexto"/>
        <w:ind w:right="17" w:firstLine="720"/>
      </w:pPr>
      <w:r>
        <w:t>O estudo seguiu as orientações éticas do Conselho Nacional de Saúde, assegurando o consentimento dos pais e/ou responsáveis pelos adolescentes e o assentimento pelos jovens participantes. A pesquisa foi apreciada e aprovada por</w:t>
      </w:r>
      <w:r>
        <w:rPr>
          <w:spacing w:val="40"/>
        </w:rPr>
        <w:t xml:space="preserve"> </w:t>
      </w:r>
      <w:r>
        <w:t>Comitê de Ética em Pesquisa sob nº 8.299.812.</w:t>
      </w:r>
    </w:p>
    <w:p w14:paraId="53BAF2AB" w14:textId="77777777" w:rsidR="00F11C74" w:rsidRDefault="00F11C74">
      <w:pPr>
        <w:pStyle w:val="Corpodetexto"/>
        <w:ind w:left="0"/>
        <w:jc w:val="left"/>
      </w:pPr>
    </w:p>
    <w:p w14:paraId="45FC6B61" w14:textId="77777777" w:rsidR="00F11C74" w:rsidRDefault="00000000">
      <w:pPr>
        <w:pStyle w:val="Ttulo1"/>
        <w:numPr>
          <w:ilvl w:val="0"/>
          <w:numId w:val="1"/>
        </w:numPr>
        <w:tabs>
          <w:tab w:val="left" w:pos="561"/>
        </w:tabs>
        <w:ind w:left="561" w:hanging="419"/>
        <w:jc w:val="both"/>
      </w:pPr>
      <w:r>
        <w:rPr>
          <w:spacing w:val="-2"/>
        </w:rPr>
        <w:t>Resultados</w:t>
      </w:r>
    </w:p>
    <w:p w14:paraId="7FB0393B" w14:textId="5856EA3A" w:rsidR="00F11C74" w:rsidRDefault="00000000">
      <w:pPr>
        <w:pStyle w:val="Corpodetexto"/>
        <w:ind w:right="13" w:firstLine="705"/>
      </w:pPr>
      <w:r>
        <w:t xml:space="preserve">A análise do corpus textual resultou em 113 segmentos de texto, 969 formas e 3.798 ocorrências. </w:t>
      </w:r>
      <w:r w:rsidR="004A056F">
        <w:t>Inicialmente foram originadas seis classes, com aproveitamento total de 86,7% do corpus textual. Desse, foram extraídas d</w:t>
      </w:r>
      <w:r>
        <w:t xml:space="preserve">uas classes originadas da Classificação Hierárquica Descendente </w:t>
      </w:r>
      <w:r w:rsidR="004A056F">
        <w:t xml:space="preserve">que </w:t>
      </w:r>
      <w:r>
        <w:t>versaram sobre a influência dos pares e a normalização dos comportamentos de saúde propenso a risco,</w:t>
      </w:r>
      <w:r w:rsidR="004A056F">
        <w:t xml:space="preserve"> objetivo do estudo,</w:t>
      </w:r>
      <w:r>
        <w:t xml:space="preserve"> com aproveitamento de 35,2%. O eixo “Influência dos pares e normalização dos comportamentos de saúde propensos a risco” reuniu as classes 1 e</w:t>
      </w:r>
      <w:r>
        <w:rPr>
          <w:spacing w:val="-2"/>
        </w:rPr>
        <w:t xml:space="preserve"> </w:t>
      </w:r>
      <w:r>
        <w:t xml:space="preserve">2, correspondentes, </w:t>
      </w:r>
      <w:proofErr w:type="spellStart"/>
      <w:r>
        <w:t>respectivamente</w:t>
      </w:r>
      <w:proofErr w:type="spellEnd"/>
      <w:r>
        <w:t xml:space="preserve">, a 18,7% e 16,5% dos segmentos de texto classificados. Os conteúdos evidenciaram duas </w:t>
      </w:r>
      <w:proofErr w:type="spellStart"/>
      <w:r>
        <w:t>perspectivas</w:t>
      </w:r>
      <w:proofErr w:type="spellEnd"/>
      <w:r>
        <w:t xml:space="preserve"> complementares: a influência das relações grupais na adoção desses comportamentos e a </w:t>
      </w:r>
      <w:proofErr w:type="spellStart"/>
      <w:r>
        <w:t>percepção</w:t>
      </w:r>
      <w:proofErr w:type="spellEnd"/>
      <w:r>
        <w:t xml:space="preserve"> da responsabilidade individual diante das escolhas e possibilidades de mudança.</w:t>
      </w:r>
    </w:p>
    <w:p w14:paraId="26909A33" w14:textId="77777777" w:rsidR="00F11C74" w:rsidRDefault="00000000">
      <w:pPr>
        <w:pStyle w:val="Corpodetexto"/>
        <w:ind w:right="16" w:firstLine="705"/>
      </w:pPr>
      <w:r>
        <w:t>A classe 1, denominada “Influência do grupo de pares na adoção de comportamentos de saúde propensos a risco”, apresentou maior associação com as expressões “grupo de amigos” (χ²=27,9) e “influência” (χ²=22,4), seguidas por “falar” (χ²=10,6) e “</w:t>
      </w:r>
      <w:proofErr w:type="spellStart"/>
      <w:r>
        <w:t>bullying</w:t>
      </w:r>
      <w:proofErr w:type="spellEnd"/>
      <w:r>
        <w:t>” (χ²=5,6). Também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destacaram</w:t>
      </w:r>
      <w:r>
        <w:rPr>
          <w:spacing w:val="-6"/>
        </w:rPr>
        <w:t xml:space="preserve"> </w:t>
      </w:r>
      <w:r>
        <w:t>“bebidas</w:t>
      </w:r>
      <w:r>
        <w:rPr>
          <w:spacing w:val="-6"/>
        </w:rPr>
        <w:t xml:space="preserve"> </w:t>
      </w:r>
      <w:r>
        <w:t>alcoólicas”,</w:t>
      </w:r>
      <w:r>
        <w:rPr>
          <w:spacing w:val="-6"/>
        </w:rPr>
        <w:t xml:space="preserve"> </w:t>
      </w:r>
      <w:r>
        <w:t>“vontade” e</w:t>
      </w:r>
      <w:r>
        <w:rPr>
          <w:spacing w:val="43"/>
        </w:rPr>
        <w:t xml:space="preserve"> </w:t>
      </w:r>
      <w:r>
        <w:t>“oferecer”</w:t>
      </w:r>
      <w:r>
        <w:rPr>
          <w:spacing w:val="45"/>
        </w:rPr>
        <w:t xml:space="preserve"> </w:t>
      </w:r>
      <w:r>
        <w:t>(χ²=4,7</w:t>
      </w:r>
      <w:r>
        <w:rPr>
          <w:spacing w:val="45"/>
        </w:rPr>
        <w:t xml:space="preserve"> </w:t>
      </w:r>
      <w:r>
        <w:t>cada),</w:t>
      </w:r>
      <w:r>
        <w:rPr>
          <w:spacing w:val="45"/>
        </w:rPr>
        <w:t xml:space="preserve"> </w:t>
      </w:r>
      <w:r>
        <w:t>além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“coisas</w:t>
      </w:r>
      <w:r>
        <w:rPr>
          <w:spacing w:val="30"/>
        </w:rPr>
        <w:t xml:space="preserve"> </w:t>
      </w:r>
      <w:r>
        <w:t>erradas”</w:t>
      </w:r>
      <w:r>
        <w:rPr>
          <w:spacing w:val="30"/>
        </w:rPr>
        <w:t xml:space="preserve"> </w:t>
      </w:r>
      <w:r>
        <w:t>(χ²=2,9)</w:t>
      </w:r>
      <w:r>
        <w:rPr>
          <w:spacing w:val="30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“concordar”</w:t>
      </w:r>
      <w:r>
        <w:rPr>
          <w:spacing w:val="30"/>
        </w:rPr>
        <w:t xml:space="preserve"> </w:t>
      </w:r>
      <w:r>
        <w:rPr>
          <w:spacing w:val="-2"/>
        </w:rPr>
        <w:t>(χ²=2,7).</w:t>
      </w:r>
    </w:p>
    <w:p w14:paraId="1478637B" w14:textId="77777777" w:rsidR="00F11C74" w:rsidRDefault="00F11C74">
      <w:pPr>
        <w:pStyle w:val="Corpodetexto"/>
        <w:sectPr w:rsidR="00F11C74">
          <w:pgSz w:w="11920" w:h="16840"/>
          <w:pgMar w:top="3120" w:right="1700" w:bottom="460" w:left="1559" w:header="288" w:footer="224" w:gutter="0"/>
          <w:cols w:space="720"/>
        </w:sectPr>
      </w:pPr>
    </w:p>
    <w:p w14:paraId="698D2E10" w14:textId="77777777" w:rsidR="00F11C74" w:rsidRDefault="00000000">
      <w:pPr>
        <w:pStyle w:val="Corpodetexto"/>
        <w:spacing w:before="147"/>
        <w:ind w:right="13"/>
      </w:pPr>
      <w:r>
        <w:lastRenderedPageBreak/>
        <w:t>Esse conjunto lexical sugere a centralidade dos amigos e das interações entre pares na construção de escolhas relacionadas à saúde, incluindo situações de oferta de bebidas alcoólicas, pressão</w:t>
      </w:r>
      <w:r>
        <w:rPr>
          <w:spacing w:val="-3"/>
        </w:rPr>
        <w:t xml:space="preserve"> </w:t>
      </w:r>
      <w:r>
        <w:t>grupal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concordância</w:t>
      </w:r>
      <w:r>
        <w:rPr>
          <w:spacing w:val="-3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práticas</w:t>
      </w:r>
      <w:r>
        <w:rPr>
          <w:spacing w:val="-3"/>
        </w:rPr>
        <w:t xml:space="preserve"> </w:t>
      </w:r>
      <w:r>
        <w:t>percebidas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inadequadas.</w:t>
      </w:r>
      <w:r>
        <w:rPr>
          <w:spacing w:val="-3"/>
        </w:rPr>
        <w:t xml:space="preserve"> </w:t>
      </w:r>
      <w:r>
        <w:t>A presença desses termos aponta para processos de aceitação e normalização dos comportamentos de risco no convívio social.</w:t>
      </w:r>
    </w:p>
    <w:p w14:paraId="682D077B" w14:textId="77777777" w:rsidR="00F11C74" w:rsidRDefault="00000000">
      <w:pPr>
        <w:pStyle w:val="Corpodetexto"/>
        <w:ind w:right="21" w:firstLine="705"/>
      </w:pPr>
      <w:r>
        <w:t>A presença de colegas altera substancialmente a propensão ao risco em adolescentes. Modelos experimentais revelam que a observação ou monitoramento por outros jovens amplifica escolhas arriscadas tanto no trânsito quanto em tarefas laboratoriais de tomada de decisão (</w:t>
      </w:r>
      <w:proofErr w:type="spellStart"/>
      <w:r>
        <w:t>Malhotra</w:t>
      </w:r>
      <w:proofErr w:type="spellEnd"/>
      <w:r>
        <w:t>, 2026).</w:t>
      </w:r>
    </w:p>
    <w:p w14:paraId="2284FA90" w14:textId="77777777" w:rsidR="00F11C74" w:rsidRDefault="00000000">
      <w:pPr>
        <w:pStyle w:val="Corpodetexto"/>
        <w:ind w:right="16" w:firstLine="705"/>
      </w:pPr>
      <w:r>
        <w:t>Ao passo, a sensibilidade à exclusão social faz com que a aceitação do grupo muitas vezes se sobreponha a perigos físicos ou legais. A literatura destaca que a conformidade social atua como uma estratégia adaptativa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minimizar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rejeição</w:t>
      </w:r>
      <w:r>
        <w:rPr>
          <w:spacing w:val="-3"/>
        </w:rPr>
        <w:t xml:space="preserve"> </w:t>
      </w:r>
      <w:r>
        <w:t>dos pares (</w:t>
      </w:r>
      <w:proofErr w:type="spellStart"/>
      <w:r>
        <w:t>Allen</w:t>
      </w:r>
      <w:proofErr w:type="spellEnd"/>
      <w:r>
        <w:t>, 2024). Por</w:t>
      </w:r>
      <w:r>
        <w:rPr>
          <w:spacing w:val="-3"/>
        </w:rPr>
        <w:t xml:space="preserve"> </w:t>
      </w:r>
      <w:r>
        <w:t>exemplo,</w:t>
      </w:r>
      <w:r>
        <w:rPr>
          <w:spacing w:val="-3"/>
        </w:rPr>
        <w:t xml:space="preserve"> </w:t>
      </w:r>
      <w:r>
        <w:t>adolescentes</w:t>
      </w:r>
      <w:r>
        <w:rPr>
          <w:spacing w:val="-3"/>
        </w:rPr>
        <w:t xml:space="preserve"> </w:t>
      </w:r>
      <w:r>
        <w:t>pesam</w:t>
      </w:r>
      <w:r>
        <w:rPr>
          <w:spacing w:val="-3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risco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rejeição</w:t>
      </w:r>
      <w:r>
        <w:rPr>
          <w:spacing w:val="-3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do que possíveis</w:t>
      </w:r>
      <w:r>
        <w:rPr>
          <w:spacing w:val="-3"/>
        </w:rPr>
        <w:t xml:space="preserve"> </w:t>
      </w:r>
      <w:r>
        <w:t>danos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saúde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motivação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obter</w:t>
      </w:r>
      <w:r>
        <w:rPr>
          <w:spacing w:val="-3"/>
        </w:rPr>
        <w:t xml:space="preserve"> </w:t>
      </w:r>
      <w:r>
        <w:t>aprovação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incentiva o uso de</w:t>
      </w:r>
      <w:r>
        <w:rPr>
          <w:spacing w:val="-3"/>
        </w:rPr>
        <w:t xml:space="preserve"> </w:t>
      </w:r>
      <w:r>
        <w:t>substâncias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direção</w:t>
      </w:r>
      <w:r>
        <w:rPr>
          <w:spacing w:val="-3"/>
        </w:rPr>
        <w:t xml:space="preserve"> </w:t>
      </w:r>
      <w:r>
        <w:t>imprudente.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modo</w:t>
      </w:r>
      <w:r>
        <w:rPr>
          <w:spacing w:val="-3"/>
        </w:rPr>
        <w:t xml:space="preserve"> </w:t>
      </w:r>
      <w:r>
        <w:t>semelhante,</w:t>
      </w:r>
      <w:r>
        <w:rPr>
          <w:spacing w:val="-3"/>
        </w:rPr>
        <w:t xml:space="preserve"> </w:t>
      </w:r>
      <w:r>
        <w:t>redes</w:t>
      </w:r>
      <w:r>
        <w:rPr>
          <w:spacing w:val="-3"/>
        </w:rPr>
        <w:t xml:space="preserve"> </w:t>
      </w:r>
      <w:r>
        <w:t>sociais</w:t>
      </w:r>
      <w:r>
        <w:rPr>
          <w:spacing w:val="-3"/>
        </w:rPr>
        <w:t xml:space="preserve"> </w:t>
      </w:r>
      <w:r>
        <w:t>virtuais</w:t>
      </w:r>
      <w:r>
        <w:rPr>
          <w:spacing w:val="-3"/>
        </w:rPr>
        <w:t xml:space="preserve"> </w:t>
      </w:r>
      <w:r>
        <w:t>e pares presenciais exercem pressões semelhantes de conformidade normativa (</w:t>
      </w:r>
      <w:proofErr w:type="spellStart"/>
      <w:r>
        <w:t>Allen</w:t>
      </w:r>
      <w:proofErr w:type="spellEnd"/>
      <w:r>
        <w:t xml:space="preserve">, </w:t>
      </w:r>
      <w:r>
        <w:rPr>
          <w:spacing w:val="-2"/>
        </w:rPr>
        <w:t>2024).</w:t>
      </w:r>
    </w:p>
    <w:p w14:paraId="628D29F9" w14:textId="77777777" w:rsidR="00F11C74" w:rsidRDefault="00000000">
      <w:pPr>
        <w:pStyle w:val="Corpodetexto"/>
        <w:ind w:right="13" w:firstLine="705"/>
      </w:pPr>
      <w:r>
        <w:t>A</w:t>
      </w:r>
      <w:r>
        <w:rPr>
          <w:spacing w:val="-3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intitulada</w:t>
      </w:r>
      <w:r>
        <w:rPr>
          <w:spacing w:val="-3"/>
        </w:rPr>
        <w:t xml:space="preserve"> </w:t>
      </w:r>
      <w:r>
        <w:t>“</w:t>
      </w:r>
      <w:proofErr w:type="spellStart"/>
      <w:r>
        <w:t>Percepção</w:t>
      </w:r>
      <w:proofErr w:type="spellEnd"/>
      <w:r>
        <w:rPr>
          <w:spacing w:val="-3"/>
        </w:rPr>
        <w:t xml:space="preserve"> </w:t>
      </w:r>
      <w:r>
        <w:t>crítica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responsabilização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frente</w:t>
      </w:r>
      <w:r>
        <w:rPr>
          <w:spacing w:val="-3"/>
        </w:rPr>
        <w:t xml:space="preserve"> </w:t>
      </w:r>
      <w:r>
        <w:t>aos comportamentos de saúde propensos a risco”, teve como palavras mais associadas “pessoa” (χ²=26,6), “próprio” e “perceber” (χ²=15,5 cada) e “depender” (χ²=10,4). Complementaram essa classe “sociedade”, “mudança” e “agir” (χ²=5,6 cada), “atitude” (χ²=3,4) e “conviver” (χ²=2,1). A organização lexical sugere o reconhecimento da capacidade individual de perceber os riscos, avaliar atitudes e promover mudanças, em articulação com o contexto social. Assim, enquanto a primeira classe enfatiza a influência dos pares, a segunda destaca a reflexão 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participação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próprio</w:t>
      </w:r>
      <w:r>
        <w:rPr>
          <w:spacing w:val="-3"/>
        </w:rPr>
        <w:t xml:space="preserve"> </w:t>
      </w:r>
      <w:r>
        <w:t>indivíduo nas decisões sobre seus comportamentos de saúde.</w:t>
      </w:r>
    </w:p>
    <w:p w14:paraId="5C90101E" w14:textId="77777777" w:rsidR="00F11C74" w:rsidRDefault="00000000">
      <w:pPr>
        <w:pStyle w:val="Corpodetexto"/>
        <w:ind w:right="18" w:firstLine="720"/>
      </w:pPr>
      <w:r>
        <w:t>As evidências indicam que a tomada de decisão em contextos de risco não decorre de mera falta de discernimento cognitivo, mas de um processo deliberado e motivado socialmente (</w:t>
      </w:r>
      <w:proofErr w:type="spellStart"/>
      <w:r>
        <w:t>Reiter</w:t>
      </w:r>
      <w:proofErr w:type="spellEnd"/>
      <w:r>
        <w:t xml:space="preserve"> </w:t>
      </w:r>
      <w:proofErr w:type="spellStart"/>
      <w:r>
        <w:rPr>
          <w:i/>
        </w:rPr>
        <w:t>et</w:t>
      </w:r>
      <w:proofErr w:type="spellEnd"/>
      <w:r>
        <w:rPr>
          <w:i/>
        </w:rPr>
        <w:t xml:space="preserve"> al</w:t>
      </w:r>
      <w:r>
        <w:t xml:space="preserve">, 2019). Adolescentes possuem capacidade de processamento equivalente </w:t>
      </w:r>
      <w:proofErr w:type="gramStart"/>
      <w:r>
        <w:t>a</w:t>
      </w:r>
      <w:proofErr w:type="gramEnd"/>
      <w:r>
        <w:t xml:space="preserve"> de adultos para avaliar riscos, mas optam ativamente por calcular custos versus recompensas imediatas (</w:t>
      </w:r>
      <w:proofErr w:type="spellStart"/>
      <w:r>
        <w:t>Ciranka</w:t>
      </w:r>
      <w:proofErr w:type="spellEnd"/>
      <w:r>
        <w:t xml:space="preserve"> e </w:t>
      </w:r>
      <w:proofErr w:type="spellStart"/>
      <w:r>
        <w:t>Bos</w:t>
      </w:r>
      <w:proofErr w:type="spellEnd"/>
      <w:r>
        <w:t>, 2021).</w:t>
      </w:r>
    </w:p>
    <w:p w14:paraId="1DC746DC" w14:textId="77777777" w:rsidR="00F11C74" w:rsidRDefault="00000000">
      <w:pPr>
        <w:pStyle w:val="Corpodetexto"/>
        <w:ind w:right="14" w:firstLine="720"/>
      </w:pPr>
      <w:r>
        <w:t>Por sua vez, a vulnerabilidade às pressões grupais manifesta-se com acentuada variabilidade individual ligada à</w:t>
      </w:r>
      <w:r>
        <w:rPr>
          <w:spacing w:val="-4"/>
        </w:rPr>
        <w:t xml:space="preserve"> </w:t>
      </w:r>
      <w:r>
        <w:t>sensibilidade</w:t>
      </w:r>
      <w:r>
        <w:rPr>
          <w:spacing w:val="-4"/>
        </w:rPr>
        <w:t xml:space="preserve"> </w:t>
      </w:r>
      <w:r>
        <w:t>neurobiológica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normas</w:t>
      </w:r>
      <w:r>
        <w:rPr>
          <w:spacing w:val="-4"/>
        </w:rPr>
        <w:t xml:space="preserve"> </w:t>
      </w:r>
      <w:r>
        <w:t>contextuais.</w:t>
      </w:r>
      <w:r>
        <w:rPr>
          <w:spacing w:val="-4"/>
        </w:rPr>
        <w:t xml:space="preserve"> </w:t>
      </w:r>
      <w:r>
        <w:t>A mera presença de colegas amplifica expressivamente a propensão a escolhas perigosas (</w:t>
      </w:r>
      <w:proofErr w:type="spellStart"/>
      <w:r>
        <w:t>Powers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al., 2022).</w:t>
      </w:r>
    </w:p>
    <w:p w14:paraId="00F63859" w14:textId="77777777" w:rsidR="00F11C74" w:rsidRDefault="00000000">
      <w:pPr>
        <w:pStyle w:val="Corpodetexto"/>
        <w:ind w:right="13" w:firstLine="705"/>
      </w:pPr>
      <w:r>
        <w:t>A disposição para reproduzir ações de colegas fundamenta-se na aprendizagem social, na busca por status e na necessidade de evitar rejeição interpessoal. O ajuste comportamental não ocorre de forma passiva: muitos jovens chegam a exceder o nível de ousadia exibido pelo grupo para demonstrar coragem e competência.</w:t>
      </w:r>
    </w:p>
    <w:p w14:paraId="00DC5A52" w14:textId="77777777" w:rsidR="00F11C74" w:rsidRDefault="00000000">
      <w:pPr>
        <w:pStyle w:val="Corpodetexto"/>
        <w:ind w:right="15" w:firstLine="705"/>
      </w:pPr>
      <w:r>
        <w:t>Assim, a influência dos pares e normalização dos comportamentos de saúde propensos a risco merecem atenção dos profissionais de saúde, em especial da enfermagem,</w:t>
      </w:r>
      <w:r>
        <w:rPr>
          <w:spacing w:val="75"/>
        </w:rPr>
        <w:t xml:space="preserve"> </w:t>
      </w:r>
      <w:r>
        <w:t>com</w:t>
      </w:r>
      <w:r>
        <w:rPr>
          <w:spacing w:val="75"/>
        </w:rPr>
        <w:t xml:space="preserve"> </w:t>
      </w:r>
      <w:r>
        <w:t>foco</w:t>
      </w:r>
      <w:r>
        <w:rPr>
          <w:spacing w:val="75"/>
        </w:rPr>
        <w:t xml:space="preserve"> </w:t>
      </w:r>
      <w:r>
        <w:t>na</w:t>
      </w:r>
      <w:r>
        <w:rPr>
          <w:spacing w:val="75"/>
        </w:rPr>
        <w:t xml:space="preserve"> </w:t>
      </w:r>
      <w:r>
        <w:t>promoção</w:t>
      </w:r>
      <w:r>
        <w:rPr>
          <w:spacing w:val="75"/>
        </w:rPr>
        <w:t xml:space="preserve"> </w:t>
      </w:r>
      <w:r>
        <w:t>da</w:t>
      </w:r>
      <w:r>
        <w:rPr>
          <w:spacing w:val="75"/>
        </w:rPr>
        <w:t xml:space="preserve"> </w:t>
      </w:r>
      <w:r>
        <w:t>saúde</w:t>
      </w:r>
      <w:r>
        <w:rPr>
          <w:spacing w:val="75"/>
        </w:rPr>
        <w:t xml:space="preserve"> </w:t>
      </w:r>
      <w:r>
        <w:t>e</w:t>
      </w:r>
      <w:r>
        <w:rPr>
          <w:spacing w:val="60"/>
        </w:rPr>
        <w:t xml:space="preserve"> </w:t>
      </w:r>
      <w:r>
        <w:t>proteção</w:t>
      </w:r>
      <w:r>
        <w:rPr>
          <w:spacing w:val="60"/>
        </w:rPr>
        <w:t xml:space="preserve"> </w:t>
      </w:r>
      <w:r>
        <w:t>desse</w:t>
      </w:r>
      <w:r>
        <w:rPr>
          <w:spacing w:val="60"/>
        </w:rPr>
        <w:t xml:space="preserve"> </w:t>
      </w:r>
      <w:r>
        <w:t>público.</w:t>
      </w:r>
      <w:r>
        <w:rPr>
          <w:spacing w:val="60"/>
        </w:rPr>
        <w:t xml:space="preserve"> </w:t>
      </w:r>
      <w:r>
        <w:t>O</w:t>
      </w:r>
      <w:r>
        <w:rPr>
          <w:spacing w:val="60"/>
        </w:rPr>
        <w:t xml:space="preserve"> </w:t>
      </w:r>
      <w:r>
        <w:rPr>
          <w:spacing w:val="-2"/>
        </w:rPr>
        <w:t>olhar</w:t>
      </w:r>
    </w:p>
    <w:p w14:paraId="2081A0CF" w14:textId="77777777" w:rsidR="00F11C74" w:rsidRDefault="00F11C74">
      <w:pPr>
        <w:pStyle w:val="Corpodetexto"/>
        <w:sectPr w:rsidR="00F11C74">
          <w:pgSz w:w="11920" w:h="16840"/>
          <w:pgMar w:top="3120" w:right="1700" w:bottom="460" w:left="1559" w:header="288" w:footer="224" w:gutter="0"/>
          <w:cols w:space="720"/>
        </w:sectPr>
      </w:pPr>
    </w:p>
    <w:p w14:paraId="2802D9D6" w14:textId="77777777" w:rsidR="00F11C74" w:rsidRDefault="00000000">
      <w:pPr>
        <w:pStyle w:val="Corpodetexto"/>
        <w:spacing w:before="147"/>
        <w:ind w:right="24"/>
      </w:pPr>
      <w:r>
        <w:lastRenderedPageBreak/>
        <w:t>holístico e fundamentado em teorias de enfermagem pode orientar um cuidado mais acurado, efetivo, inclusivo e assertivo.</w:t>
      </w:r>
    </w:p>
    <w:p w14:paraId="106BAD84" w14:textId="77777777" w:rsidR="00F11C74" w:rsidRDefault="00000000">
      <w:pPr>
        <w:pStyle w:val="Ttulo1"/>
        <w:numPr>
          <w:ilvl w:val="0"/>
          <w:numId w:val="1"/>
        </w:numPr>
        <w:tabs>
          <w:tab w:val="left" w:pos="561"/>
        </w:tabs>
        <w:spacing w:before="276"/>
        <w:ind w:left="561" w:hanging="419"/>
        <w:jc w:val="both"/>
      </w:pPr>
      <w:r>
        <w:rPr>
          <w:spacing w:val="-2"/>
        </w:rPr>
        <w:t>Conclusão</w:t>
      </w:r>
    </w:p>
    <w:p w14:paraId="0DEC56B8" w14:textId="77777777" w:rsidR="00F11C74" w:rsidRDefault="00000000">
      <w:pPr>
        <w:pStyle w:val="Corpodetexto"/>
        <w:spacing w:line="276" w:lineRule="auto"/>
        <w:ind w:right="14" w:firstLine="720"/>
      </w:pPr>
      <w:r>
        <w:t xml:space="preserve">O estudo analisa e compreende a </w:t>
      </w:r>
      <w:proofErr w:type="spellStart"/>
      <w:r>
        <w:t>percepção</w:t>
      </w:r>
      <w:proofErr w:type="spellEnd"/>
      <w:r>
        <w:t xml:space="preserve"> dos adolescentes sobre a influência dos pares e a normalização de comportamentos propensos a risco. Os adolescentes reconhecem o grupo de pares como fator que favorece esses comportamentos e percebem que a busca por pertencimento e aprovação são os principais motivos dessas condutas. Os mesmos, identificam os prejuízos de reproduzir comportamentos para serem aceitos, porém, admitem o papel das próprias escolhas e questionam a responsabilização exclusivamente individual.</w:t>
      </w:r>
    </w:p>
    <w:p w14:paraId="3EC77DB0" w14:textId="77777777" w:rsidR="00F11C74" w:rsidRDefault="00000000">
      <w:pPr>
        <w:pStyle w:val="Corpodetexto"/>
        <w:ind w:right="15" w:firstLine="720"/>
      </w:pPr>
      <w:r>
        <w:t>Tendem a perceber que o meio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associa</w:t>
      </w:r>
      <w:r>
        <w:rPr>
          <w:spacing w:val="-4"/>
        </w:rPr>
        <w:t xml:space="preserve"> </w:t>
      </w:r>
      <w:r>
        <w:t>práticas</w:t>
      </w:r>
      <w:r>
        <w:rPr>
          <w:spacing w:val="-4"/>
        </w:rPr>
        <w:t xml:space="preserve"> </w:t>
      </w:r>
      <w:r>
        <w:t>arriscadas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admiração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à aceitação, levando a normalização desses comportamentos entre os participantes. A enfermagem é linha de frente na promoção da saúde e na proteção desse público. As ações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contexto</w:t>
      </w:r>
      <w:r>
        <w:rPr>
          <w:spacing w:val="-3"/>
        </w:rPr>
        <w:t xml:space="preserve"> </w:t>
      </w:r>
      <w:r>
        <w:t>escolar</w:t>
      </w:r>
      <w:r>
        <w:rPr>
          <w:spacing w:val="-3"/>
        </w:rPr>
        <w:t xml:space="preserve"> </w:t>
      </w:r>
      <w:r>
        <w:t>precisam</w:t>
      </w:r>
      <w:r>
        <w:rPr>
          <w:spacing w:val="-3"/>
        </w:rPr>
        <w:t xml:space="preserve"> </w:t>
      </w:r>
      <w:r>
        <w:t>considerar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influência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pares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sociais do grupo para fortalecer o autocuidado.</w:t>
      </w:r>
    </w:p>
    <w:p w14:paraId="062DAAE9" w14:textId="77777777" w:rsidR="00F11C74" w:rsidRDefault="00F11C74">
      <w:pPr>
        <w:pStyle w:val="Corpodetexto"/>
        <w:spacing w:before="275"/>
        <w:ind w:left="0"/>
        <w:jc w:val="left"/>
      </w:pPr>
    </w:p>
    <w:p w14:paraId="21025FF9" w14:textId="77777777" w:rsidR="00F11C74" w:rsidRDefault="00000000">
      <w:pPr>
        <w:pStyle w:val="Ttulo1"/>
        <w:numPr>
          <w:ilvl w:val="0"/>
          <w:numId w:val="1"/>
        </w:numPr>
        <w:tabs>
          <w:tab w:val="left" w:pos="561"/>
        </w:tabs>
        <w:spacing w:before="1"/>
        <w:ind w:left="561" w:hanging="419"/>
        <w:jc w:val="both"/>
      </w:pPr>
      <w:r>
        <w:rPr>
          <w:spacing w:val="-2"/>
        </w:rPr>
        <w:t>Referências</w:t>
      </w:r>
    </w:p>
    <w:p w14:paraId="73289730" w14:textId="19648B30" w:rsidR="00F11C74" w:rsidRDefault="00000000">
      <w:pPr>
        <w:pStyle w:val="Corpodetexto"/>
        <w:ind w:right="24"/>
      </w:pPr>
      <w:r>
        <w:t xml:space="preserve">ALLEN, J. P. </w:t>
      </w:r>
      <w:proofErr w:type="spellStart"/>
      <w:r>
        <w:t>Rethinking</w:t>
      </w:r>
      <w:proofErr w:type="spellEnd"/>
      <w:r>
        <w:t xml:space="preserve"> </w:t>
      </w:r>
      <w:proofErr w:type="spellStart"/>
      <w:r>
        <w:t>peer</w:t>
      </w:r>
      <w:proofErr w:type="spellEnd"/>
      <w:r>
        <w:t xml:space="preserve"> </w:t>
      </w:r>
      <w:proofErr w:type="spellStart"/>
      <w:r>
        <w:t>influence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risk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: a </w:t>
      </w:r>
      <w:proofErr w:type="spellStart"/>
      <w:r>
        <w:t>strengths-based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to </w:t>
      </w:r>
      <w:proofErr w:type="spellStart"/>
      <w:r>
        <w:t>adolescence</w:t>
      </w:r>
      <w:proofErr w:type="spellEnd"/>
      <w:r>
        <w:t xml:space="preserve"> in a </w:t>
      </w:r>
      <w:proofErr w:type="spellStart"/>
      <w:r>
        <w:t>new</w:t>
      </w:r>
      <w:proofErr w:type="spellEnd"/>
      <w:r>
        <w:t xml:space="preserve"> era. </w:t>
      </w:r>
      <w:proofErr w:type="spellStart"/>
      <w:r>
        <w:rPr>
          <w:b/>
        </w:rPr>
        <w:t>Development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Psychopathology</w:t>
      </w:r>
      <w:proofErr w:type="spellEnd"/>
      <w:r>
        <w:t xml:space="preserve">, [S. l.], v. 36, n. 5, p. 2244-2255, dez. 2024. </w:t>
      </w:r>
    </w:p>
    <w:p w14:paraId="1D14371B" w14:textId="15BDB8D6" w:rsidR="004A056F" w:rsidRDefault="004A056F">
      <w:pPr>
        <w:pStyle w:val="Corpodetexto"/>
        <w:spacing w:before="276"/>
        <w:jc w:val="left"/>
      </w:pPr>
      <w:r>
        <w:t xml:space="preserve">MOTA, P.L.F.; PAIVA, G.M.F.; LEITE, P.L.; BEZERRA, A.M.; FARIAS, M.S.; MACHADO, L.D.S.; BRITO, N.S. Comportamento de saúde propenso a risco em universitários: uma análise conceitual. </w:t>
      </w:r>
      <w:proofErr w:type="spellStart"/>
      <w:r w:rsidRPr="004A056F">
        <w:rPr>
          <w:b/>
          <w:bCs/>
        </w:rPr>
        <w:t>Cienc</w:t>
      </w:r>
      <w:proofErr w:type="spellEnd"/>
      <w:r w:rsidRPr="004A056F">
        <w:rPr>
          <w:b/>
          <w:bCs/>
        </w:rPr>
        <w:t>. Saúde coletiva</w:t>
      </w:r>
      <w:r>
        <w:t>. v.31, n. 4, 2026.</w:t>
      </w:r>
    </w:p>
    <w:p w14:paraId="773D146E" w14:textId="0E137FA3" w:rsidR="00F11C74" w:rsidRDefault="00000000">
      <w:pPr>
        <w:pStyle w:val="Corpodetexto"/>
        <w:spacing w:before="276"/>
        <w:jc w:val="left"/>
      </w:pPr>
      <w:r>
        <w:t>POWERS,</w:t>
      </w:r>
      <w:r>
        <w:rPr>
          <w:spacing w:val="12"/>
        </w:rPr>
        <w:t xml:space="preserve"> </w:t>
      </w:r>
      <w:r>
        <w:t>K.</w:t>
      </w:r>
      <w:r>
        <w:rPr>
          <w:spacing w:val="13"/>
        </w:rPr>
        <w:t xml:space="preserve"> </w:t>
      </w:r>
      <w:r>
        <w:t>E.;</w:t>
      </w:r>
      <w:r>
        <w:rPr>
          <w:spacing w:val="13"/>
        </w:rPr>
        <w:t xml:space="preserve"> </w:t>
      </w:r>
      <w:r>
        <w:t>SCHAEFER,</w:t>
      </w:r>
      <w:r>
        <w:rPr>
          <w:spacing w:val="13"/>
        </w:rPr>
        <w:t xml:space="preserve"> </w:t>
      </w:r>
      <w:r>
        <w:t>L.;</w:t>
      </w:r>
      <w:r>
        <w:rPr>
          <w:spacing w:val="13"/>
        </w:rPr>
        <w:t xml:space="preserve"> </w:t>
      </w:r>
      <w:r>
        <w:t>FIGNER,</w:t>
      </w:r>
      <w:r>
        <w:rPr>
          <w:spacing w:val="13"/>
        </w:rPr>
        <w:t xml:space="preserve"> </w:t>
      </w:r>
      <w:r>
        <w:t>B.;</w:t>
      </w:r>
      <w:r>
        <w:rPr>
          <w:spacing w:val="13"/>
        </w:rPr>
        <w:t xml:space="preserve"> </w:t>
      </w:r>
      <w:r>
        <w:t>SOMERVILLE,</w:t>
      </w:r>
      <w:r>
        <w:rPr>
          <w:spacing w:val="13"/>
        </w:rPr>
        <w:t xml:space="preserve"> </w:t>
      </w:r>
      <w:r>
        <w:t>L.</w:t>
      </w:r>
      <w:r>
        <w:rPr>
          <w:spacing w:val="13"/>
        </w:rPr>
        <w:t xml:space="preserve"> </w:t>
      </w:r>
      <w:r>
        <w:t>H.</w:t>
      </w:r>
      <w:r>
        <w:rPr>
          <w:spacing w:val="13"/>
        </w:rPr>
        <w:t xml:space="preserve"> </w:t>
      </w:r>
      <w:proofErr w:type="spellStart"/>
      <w:r>
        <w:t>Effects</w:t>
      </w:r>
      <w:proofErr w:type="spellEnd"/>
      <w:r>
        <w:rPr>
          <w:spacing w:val="13"/>
        </w:rPr>
        <w:t xml:space="preserve"> </w:t>
      </w:r>
      <w:proofErr w:type="spellStart"/>
      <w:r>
        <w:t>of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4"/>
        </w:rPr>
        <w:t>peer</w:t>
      </w:r>
      <w:proofErr w:type="spellEnd"/>
    </w:p>
    <w:p w14:paraId="7D45B3DF" w14:textId="59EACB66" w:rsidR="00F11C74" w:rsidRDefault="00000000">
      <w:pPr>
        <w:pStyle w:val="Corpodetexto"/>
        <w:ind w:right="18"/>
      </w:pPr>
      <w:proofErr w:type="spellStart"/>
      <w:r>
        <w:t>observation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risky</w:t>
      </w:r>
      <w:proofErr w:type="spellEnd"/>
      <w:r>
        <w:t xml:space="preserve"> </w:t>
      </w:r>
      <w:proofErr w:type="spellStart"/>
      <w:r>
        <w:t>decision-making</w:t>
      </w:r>
      <w:proofErr w:type="spellEnd"/>
      <w:r>
        <w:t xml:space="preserve"> in </w:t>
      </w:r>
      <w:proofErr w:type="spellStart"/>
      <w:r>
        <w:t>adolescence</w:t>
      </w:r>
      <w:proofErr w:type="spellEnd"/>
      <w:r>
        <w:t>: a meta-</w:t>
      </w:r>
      <w:proofErr w:type="spellStart"/>
      <w:r>
        <w:t>analytic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. </w:t>
      </w:r>
      <w:proofErr w:type="spellStart"/>
      <w:r>
        <w:rPr>
          <w:b/>
        </w:rPr>
        <w:t>Psychological</w:t>
      </w:r>
      <w:proofErr w:type="spellEnd"/>
      <w:r>
        <w:rPr>
          <w:b/>
        </w:rPr>
        <w:t xml:space="preserve"> Bulletin</w:t>
      </w:r>
      <w:r>
        <w:t xml:space="preserve">, [S. l.], v. 148, n. 11-12, p. 783-812, 2022. </w:t>
      </w:r>
    </w:p>
    <w:p w14:paraId="76127236" w14:textId="77777777" w:rsidR="00F11C74" w:rsidRDefault="00000000">
      <w:pPr>
        <w:pStyle w:val="Corpodetexto"/>
        <w:spacing w:before="276"/>
        <w:jc w:val="left"/>
      </w:pPr>
      <w:r>
        <w:t>REITER,</w:t>
      </w:r>
      <w:r>
        <w:rPr>
          <w:spacing w:val="22"/>
        </w:rPr>
        <w:t xml:space="preserve"> </w:t>
      </w:r>
      <w:r>
        <w:t>A.</w:t>
      </w:r>
      <w:r>
        <w:rPr>
          <w:spacing w:val="23"/>
        </w:rPr>
        <w:t xml:space="preserve"> </w:t>
      </w:r>
      <w:r>
        <w:t>M.</w:t>
      </w:r>
      <w:r>
        <w:rPr>
          <w:spacing w:val="22"/>
        </w:rPr>
        <w:t xml:space="preserve"> </w:t>
      </w:r>
      <w:r>
        <w:t>F.;</w:t>
      </w:r>
      <w:r>
        <w:rPr>
          <w:spacing w:val="23"/>
        </w:rPr>
        <w:t xml:space="preserve"> </w:t>
      </w:r>
      <w:r>
        <w:t>SUZUKI,</w:t>
      </w:r>
      <w:r>
        <w:rPr>
          <w:spacing w:val="23"/>
        </w:rPr>
        <w:t xml:space="preserve"> </w:t>
      </w:r>
      <w:r>
        <w:t>S.;</w:t>
      </w:r>
      <w:r>
        <w:rPr>
          <w:spacing w:val="22"/>
        </w:rPr>
        <w:t xml:space="preserve"> </w:t>
      </w:r>
      <w:r>
        <w:t>O’DOHERTY,</w:t>
      </w:r>
      <w:r>
        <w:rPr>
          <w:spacing w:val="23"/>
        </w:rPr>
        <w:t xml:space="preserve"> </w:t>
      </w:r>
      <w:r>
        <w:t>J.</w:t>
      </w:r>
      <w:r>
        <w:rPr>
          <w:spacing w:val="23"/>
        </w:rPr>
        <w:t xml:space="preserve"> </w:t>
      </w:r>
      <w:r>
        <w:t>P.;</w:t>
      </w:r>
      <w:r>
        <w:rPr>
          <w:spacing w:val="22"/>
        </w:rPr>
        <w:t xml:space="preserve"> </w:t>
      </w:r>
      <w:r>
        <w:t>LI,</w:t>
      </w:r>
      <w:r>
        <w:rPr>
          <w:spacing w:val="23"/>
        </w:rPr>
        <w:t xml:space="preserve"> </w:t>
      </w:r>
      <w:r>
        <w:t>S.-C.;</w:t>
      </w:r>
      <w:r>
        <w:rPr>
          <w:spacing w:val="23"/>
        </w:rPr>
        <w:t xml:space="preserve"> </w:t>
      </w:r>
      <w:r>
        <w:t>EPPINGER,</w:t>
      </w:r>
      <w:r>
        <w:rPr>
          <w:spacing w:val="9"/>
        </w:rPr>
        <w:t xml:space="preserve"> </w:t>
      </w:r>
      <w:r>
        <w:t>B.</w:t>
      </w:r>
      <w:r>
        <w:rPr>
          <w:spacing w:val="9"/>
        </w:rPr>
        <w:t xml:space="preserve"> </w:t>
      </w:r>
      <w:proofErr w:type="spellStart"/>
      <w:r>
        <w:rPr>
          <w:spacing w:val="-4"/>
        </w:rPr>
        <w:t>Risk</w:t>
      </w:r>
      <w:proofErr w:type="spellEnd"/>
    </w:p>
    <w:p w14:paraId="3CB479BA" w14:textId="048C192A" w:rsidR="00F11C74" w:rsidRDefault="00000000">
      <w:pPr>
        <w:ind w:left="142" w:right="21"/>
        <w:jc w:val="both"/>
        <w:rPr>
          <w:sz w:val="24"/>
        </w:rPr>
      </w:pPr>
      <w:proofErr w:type="spellStart"/>
      <w:r>
        <w:rPr>
          <w:sz w:val="24"/>
        </w:rPr>
        <w:t>contagion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peers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affects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learning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decision-making</w:t>
      </w:r>
      <w:proofErr w:type="spellEnd"/>
      <w:r>
        <w:rPr>
          <w:sz w:val="24"/>
        </w:rPr>
        <w:t xml:space="preserve"> in </w:t>
      </w:r>
      <w:proofErr w:type="spellStart"/>
      <w:r>
        <w:rPr>
          <w:sz w:val="24"/>
        </w:rPr>
        <w:t>adolescents</w:t>
      </w:r>
      <w:proofErr w:type="spellEnd"/>
      <w:r>
        <w:rPr>
          <w:sz w:val="24"/>
        </w:rPr>
        <w:t xml:space="preserve">. </w:t>
      </w:r>
      <w:proofErr w:type="spellStart"/>
      <w:r>
        <w:rPr>
          <w:b/>
          <w:sz w:val="24"/>
        </w:rPr>
        <w:t>Journal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of</w:t>
      </w:r>
      <w:proofErr w:type="spellEnd"/>
      <w:r>
        <w:rPr>
          <w:b/>
          <w:sz w:val="24"/>
        </w:rPr>
        <w:t xml:space="preserve"> Experimental </w:t>
      </w:r>
      <w:proofErr w:type="spellStart"/>
      <w:r>
        <w:rPr>
          <w:b/>
          <w:sz w:val="24"/>
        </w:rPr>
        <w:t>Psychology</w:t>
      </w:r>
      <w:proofErr w:type="spellEnd"/>
      <w:r>
        <w:rPr>
          <w:b/>
          <w:sz w:val="24"/>
        </w:rPr>
        <w:t>: General</w:t>
      </w:r>
      <w:r>
        <w:rPr>
          <w:sz w:val="24"/>
        </w:rPr>
        <w:t xml:space="preserve">, [S. l.], v. 148, n. 9, p. 1494-1504, 2019. </w:t>
      </w:r>
    </w:p>
    <w:p w14:paraId="72AEB500" w14:textId="77777777" w:rsidR="00F11C74" w:rsidRDefault="00000000">
      <w:pPr>
        <w:pStyle w:val="Corpodetexto"/>
        <w:spacing w:before="276"/>
        <w:jc w:val="left"/>
      </w:pPr>
      <w:r>
        <w:t>SAWYER,</w:t>
      </w:r>
      <w:r>
        <w:rPr>
          <w:spacing w:val="-16"/>
        </w:rPr>
        <w:t xml:space="preserve"> </w:t>
      </w:r>
      <w:r>
        <w:t>S.</w:t>
      </w:r>
      <w:r>
        <w:rPr>
          <w:spacing w:val="-14"/>
        </w:rPr>
        <w:t xml:space="preserve"> </w:t>
      </w:r>
      <w:r>
        <w:t>M.;</w:t>
      </w:r>
      <w:r>
        <w:rPr>
          <w:spacing w:val="-14"/>
        </w:rPr>
        <w:t xml:space="preserve"> </w:t>
      </w:r>
      <w:r>
        <w:t>AZZOPARDI,</w:t>
      </w:r>
      <w:r>
        <w:rPr>
          <w:spacing w:val="-14"/>
        </w:rPr>
        <w:t xml:space="preserve"> </w:t>
      </w:r>
      <w:r>
        <w:t>P.</w:t>
      </w:r>
      <w:r>
        <w:rPr>
          <w:spacing w:val="-14"/>
        </w:rPr>
        <w:t xml:space="preserve"> </w:t>
      </w:r>
      <w:r>
        <w:t>S.;</w:t>
      </w:r>
      <w:r>
        <w:rPr>
          <w:spacing w:val="-13"/>
        </w:rPr>
        <w:t xml:space="preserve"> </w:t>
      </w:r>
      <w:r>
        <w:t>WICKREMARATHNE,</w:t>
      </w:r>
      <w:r>
        <w:rPr>
          <w:spacing w:val="-14"/>
        </w:rPr>
        <w:t xml:space="preserve"> </w:t>
      </w:r>
      <w:r>
        <w:t>D.;</w:t>
      </w:r>
      <w:r>
        <w:rPr>
          <w:spacing w:val="-14"/>
        </w:rPr>
        <w:t xml:space="preserve"> </w:t>
      </w:r>
      <w:r>
        <w:t>PATTON,</w:t>
      </w:r>
      <w:r>
        <w:rPr>
          <w:spacing w:val="-14"/>
        </w:rPr>
        <w:t xml:space="preserve"> </w:t>
      </w:r>
      <w:r>
        <w:t>G.</w:t>
      </w:r>
      <w:r>
        <w:rPr>
          <w:spacing w:val="-14"/>
        </w:rPr>
        <w:t xml:space="preserve"> </w:t>
      </w:r>
      <w:r>
        <w:t>C.</w:t>
      </w:r>
      <w:r>
        <w:rPr>
          <w:spacing w:val="-13"/>
        </w:rPr>
        <w:t xml:space="preserve"> </w:t>
      </w:r>
      <w:proofErr w:type="spellStart"/>
      <w:r>
        <w:rPr>
          <w:spacing w:val="-5"/>
        </w:rPr>
        <w:t>The</w:t>
      </w:r>
      <w:proofErr w:type="spellEnd"/>
    </w:p>
    <w:p w14:paraId="3362B870" w14:textId="2769CF7D" w:rsidR="00F11C74" w:rsidRDefault="00000000">
      <w:pPr>
        <w:ind w:left="142" w:right="22"/>
        <w:jc w:val="both"/>
        <w:rPr>
          <w:sz w:val="24"/>
        </w:rPr>
      </w:pPr>
      <w:r>
        <w:rPr>
          <w:sz w:val="24"/>
        </w:rPr>
        <w:t xml:space="preserve">age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adolescence</w:t>
      </w:r>
      <w:proofErr w:type="spellEnd"/>
      <w:r>
        <w:rPr>
          <w:sz w:val="24"/>
        </w:rPr>
        <w:t xml:space="preserve">. </w:t>
      </w:r>
      <w:proofErr w:type="spellStart"/>
      <w:r>
        <w:rPr>
          <w:b/>
          <w:sz w:val="24"/>
        </w:rPr>
        <w:t>The</w:t>
      </w:r>
      <w:proofErr w:type="spellEnd"/>
      <w:r>
        <w:rPr>
          <w:b/>
          <w:sz w:val="24"/>
        </w:rPr>
        <w:t xml:space="preserve"> Lancet </w:t>
      </w:r>
      <w:proofErr w:type="spellStart"/>
      <w:r>
        <w:rPr>
          <w:b/>
          <w:sz w:val="24"/>
        </w:rPr>
        <w:t>Child</w:t>
      </w:r>
      <w:proofErr w:type="spellEnd"/>
      <w:r>
        <w:rPr>
          <w:b/>
          <w:sz w:val="24"/>
        </w:rPr>
        <w:t xml:space="preserve"> &amp; </w:t>
      </w:r>
      <w:proofErr w:type="spellStart"/>
      <w:r>
        <w:rPr>
          <w:b/>
          <w:sz w:val="24"/>
        </w:rPr>
        <w:t>Adolescent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Health</w:t>
      </w:r>
      <w:proofErr w:type="spellEnd"/>
      <w:r>
        <w:rPr>
          <w:sz w:val="24"/>
        </w:rPr>
        <w:t xml:space="preserve">, [S. l.], v. 2, p. 223-228, 2018. </w:t>
      </w:r>
    </w:p>
    <w:p w14:paraId="6D4A68B1" w14:textId="77777777" w:rsidR="00F11C74" w:rsidRDefault="00000000">
      <w:pPr>
        <w:pStyle w:val="Corpodetexto"/>
        <w:spacing w:before="276"/>
        <w:jc w:val="left"/>
      </w:pPr>
      <w:r>
        <w:t>VAN</w:t>
      </w:r>
      <w:r>
        <w:rPr>
          <w:spacing w:val="9"/>
        </w:rPr>
        <w:t xml:space="preserve"> </w:t>
      </w:r>
      <w:r>
        <w:t>LEIJENHORST,</w:t>
      </w:r>
      <w:r>
        <w:rPr>
          <w:spacing w:val="11"/>
        </w:rPr>
        <w:t xml:space="preserve"> </w:t>
      </w:r>
      <w:r>
        <w:t>L.;</w:t>
      </w:r>
      <w:r>
        <w:rPr>
          <w:spacing w:val="11"/>
        </w:rPr>
        <w:t xml:space="preserve"> </w:t>
      </w:r>
      <w:r>
        <w:t>MOOR,</w:t>
      </w:r>
      <w:r>
        <w:rPr>
          <w:spacing w:val="11"/>
        </w:rPr>
        <w:t xml:space="preserve"> </w:t>
      </w:r>
      <w:r>
        <w:t>B.</w:t>
      </w:r>
      <w:r>
        <w:rPr>
          <w:spacing w:val="11"/>
        </w:rPr>
        <w:t xml:space="preserve"> </w:t>
      </w:r>
      <w:r>
        <w:t>G.;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MACKS,</w:t>
      </w:r>
      <w:r>
        <w:rPr>
          <w:spacing w:val="11"/>
        </w:rPr>
        <w:t xml:space="preserve"> </w:t>
      </w:r>
      <w:r>
        <w:t>Z.</w:t>
      </w:r>
      <w:r>
        <w:rPr>
          <w:spacing w:val="11"/>
        </w:rPr>
        <w:t xml:space="preserve"> </w:t>
      </w:r>
      <w:r>
        <w:t>O.</w:t>
      </w:r>
      <w:r>
        <w:rPr>
          <w:spacing w:val="11"/>
        </w:rPr>
        <w:t xml:space="preserve"> </w:t>
      </w:r>
      <w:r>
        <w:t>D.;</w:t>
      </w:r>
      <w:r>
        <w:rPr>
          <w:spacing w:val="11"/>
        </w:rPr>
        <w:t xml:space="preserve"> </w:t>
      </w:r>
      <w:r>
        <w:t>ROMBOUTS,</w:t>
      </w:r>
      <w:r>
        <w:rPr>
          <w:spacing w:val="1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rPr>
          <w:spacing w:val="-5"/>
        </w:rPr>
        <w:t>A.;</w:t>
      </w:r>
    </w:p>
    <w:p w14:paraId="5A9F3D7E" w14:textId="1F89DC0D" w:rsidR="00F11C74" w:rsidRDefault="00000000">
      <w:pPr>
        <w:pStyle w:val="Corpodetexto"/>
        <w:ind w:right="23"/>
      </w:pPr>
      <w:r>
        <w:t xml:space="preserve">WESTENBERG, P.; CRONE, E. </w:t>
      </w:r>
      <w:proofErr w:type="spellStart"/>
      <w:r>
        <w:t>Adolescent</w:t>
      </w:r>
      <w:proofErr w:type="spellEnd"/>
      <w:r>
        <w:t xml:space="preserve"> </w:t>
      </w:r>
      <w:proofErr w:type="spellStart"/>
      <w:r>
        <w:t>risky</w:t>
      </w:r>
      <w:proofErr w:type="spellEnd"/>
      <w:r>
        <w:t xml:space="preserve"> </w:t>
      </w:r>
      <w:proofErr w:type="spellStart"/>
      <w:r>
        <w:t>decision-making</w:t>
      </w:r>
      <w:proofErr w:type="spellEnd"/>
      <w:r>
        <w:t xml:space="preserve">: </w:t>
      </w:r>
      <w:proofErr w:type="spellStart"/>
      <w:r>
        <w:t>neurocognitive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5"/>
        </w:rPr>
        <w:t xml:space="preserve"> </w:t>
      </w:r>
      <w:proofErr w:type="spellStart"/>
      <w:r>
        <w:t>reward</w:t>
      </w:r>
      <w:proofErr w:type="spellEnd"/>
      <w:r>
        <w:rPr>
          <w:spacing w:val="-5"/>
        </w:rPr>
        <w:t xml:space="preserve"> </w:t>
      </w:r>
      <w:proofErr w:type="spellStart"/>
      <w:r>
        <w:t>and</w:t>
      </w:r>
      <w:proofErr w:type="spellEnd"/>
      <w:r>
        <w:rPr>
          <w:spacing w:val="-5"/>
        </w:rPr>
        <w:t xml:space="preserve"> </w:t>
      </w:r>
      <w:proofErr w:type="spellStart"/>
      <w:r>
        <w:t>control</w:t>
      </w:r>
      <w:proofErr w:type="spellEnd"/>
      <w:r>
        <w:rPr>
          <w:spacing w:val="-5"/>
        </w:rPr>
        <w:t xml:space="preserve"> </w:t>
      </w:r>
      <w:proofErr w:type="spellStart"/>
      <w:r>
        <w:t>regions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rPr>
          <w:b/>
        </w:rPr>
        <w:t>NeuroImage</w:t>
      </w:r>
      <w:proofErr w:type="spellEnd"/>
      <w:r>
        <w:t>,</w:t>
      </w:r>
      <w:r>
        <w:rPr>
          <w:spacing w:val="-5"/>
        </w:rPr>
        <w:t xml:space="preserve"> </w:t>
      </w:r>
      <w:r>
        <w:t>[S.</w:t>
      </w:r>
      <w:r>
        <w:rPr>
          <w:spacing w:val="-5"/>
        </w:rPr>
        <w:t xml:space="preserve"> </w:t>
      </w:r>
      <w:r>
        <w:t>l.],</w:t>
      </w:r>
      <w:r>
        <w:rPr>
          <w:spacing w:val="-5"/>
        </w:rPr>
        <w:t xml:space="preserve"> </w:t>
      </w:r>
      <w:r>
        <w:t>v.</w:t>
      </w:r>
      <w:r>
        <w:rPr>
          <w:spacing w:val="-5"/>
        </w:rPr>
        <w:t xml:space="preserve"> </w:t>
      </w:r>
      <w:r>
        <w:t>51,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1,</w:t>
      </w:r>
      <w:r>
        <w:rPr>
          <w:spacing w:val="-5"/>
        </w:rPr>
        <w:t xml:space="preserve"> </w:t>
      </w:r>
      <w:r>
        <w:t>p.</w:t>
      </w:r>
      <w:r>
        <w:rPr>
          <w:spacing w:val="-5"/>
        </w:rPr>
        <w:t xml:space="preserve"> </w:t>
      </w:r>
      <w:r>
        <w:t xml:space="preserve">345-355, 2010. </w:t>
      </w:r>
    </w:p>
    <w:sectPr w:rsidR="00F11C74">
      <w:pgSz w:w="11920" w:h="16840"/>
      <w:pgMar w:top="3120" w:right="1700" w:bottom="460" w:left="1559" w:header="288" w:footer="2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02151" w14:textId="77777777" w:rsidR="00BB1C85" w:rsidRDefault="00BB1C85">
      <w:r>
        <w:separator/>
      </w:r>
    </w:p>
  </w:endnote>
  <w:endnote w:type="continuationSeparator" w:id="0">
    <w:p w14:paraId="7A050D55" w14:textId="77777777" w:rsidR="00BB1C85" w:rsidRDefault="00BB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197A0" w14:textId="77777777" w:rsidR="00F11C74" w:rsidRDefault="00000000">
    <w:pPr>
      <w:pStyle w:val="Corpodetexto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517A31C0" wp14:editId="57D37DBF">
              <wp:simplePos x="0" y="0"/>
              <wp:positionH relativeFrom="page">
                <wp:posOffset>3360847</wp:posOffset>
              </wp:positionH>
              <wp:positionV relativeFrom="page">
                <wp:posOffset>10386342</wp:posOffset>
              </wp:positionV>
              <wp:extent cx="83883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8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8BF0E9" w14:textId="77777777" w:rsidR="00F11C74" w:rsidRDefault="00000000">
                          <w:pPr>
                            <w:spacing w:line="224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ISSN</w:t>
                          </w:r>
                          <w:r>
                            <w:rPr>
                              <w:rFonts w:ascii="Calibri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1983-</w:t>
                          </w:r>
                          <w:r>
                            <w:rPr>
                              <w:rFonts w:ascii="Calibri"/>
                              <w:spacing w:val="-4"/>
                              <w:sz w:val="20"/>
                            </w:rPr>
                            <w:t>8174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64.633698pt;margin-top:817.822266pt;width:66.05pt;height:12pt;mso-position-horizontal-relative:page;mso-position-vertical-relative:page;z-index:-15787520" type="#_x0000_t202" id="docshape1" filled="false" stroked="false">
              <v:textbox inset="0,0,0,0">
                <w:txbxContent>
                  <w:p>
                    <w:pPr>
                      <w:spacing w:line="224" w:lineRule="exact" w:before="0"/>
                      <w:ind w:left="2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ISSN</w:t>
                    </w:r>
                    <w:r>
                      <w:rPr>
                        <w:rFonts w:ascii="Calibri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1983-</w:t>
                    </w:r>
                    <w:r>
                      <w:rPr>
                        <w:rFonts w:ascii="Calibri"/>
                        <w:spacing w:val="-4"/>
                        <w:sz w:val="20"/>
                      </w:rPr>
                      <w:t>8174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D40F9" w14:textId="77777777" w:rsidR="00BB1C85" w:rsidRDefault="00BB1C85">
      <w:r>
        <w:separator/>
      </w:r>
    </w:p>
  </w:footnote>
  <w:footnote w:type="continuationSeparator" w:id="0">
    <w:p w14:paraId="432455DC" w14:textId="77777777" w:rsidR="00BB1C85" w:rsidRDefault="00BB1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AB4D" w14:textId="77777777" w:rsidR="00F11C74" w:rsidRDefault="00000000">
    <w:pPr>
      <w:pStyle w:val="Corpodetexto"/>
      <w:spacing w:line="200" w:lineRule="exact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528448" behindDoc="1" locked="0" layoutInCell="1" allowOverlap="1" wp14:anchorId="7633AE4B" wp14:editId="37B26284">
          <wp:simplePos x="0" y="0"/>
          <wp:positionH relativeFrom="page">
            <wp:posOffset>1346834</wp:posOffset>
          </wp:positionH>
          <wp:positionV relativeFrom="page">
            <wp:posOffset>335280</wp:posOffset>
          </wp:positionV>
          <wp:extent cx="4848225" cy="16573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8225" cy="1657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8431F"/>
    <w:multiLevelType w:val="hybridMultilevel"/>
    <w:tmpl w:val="65305C14"/>
    <w:lvl w:ilvl="0" w:tplc="ED7A0E0A">
      <w:start w:val="1"/>
      <w:numFmt w:val="decimal"/>
      <w:lvlText w:val="%1."/>
      <w:lvlJc w:val="left"/>
      <w:pPr>
        <w:ind w:left="562" w:hanging="4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29AABE4">
      <w:numFmt w:val="bullet"/>
      <w:lvlText w:val="•"/>
      <w:lvlJc w:val="left"/>
      <w:pPr>
        <w:ind w:left="1370" w:hanging="420"/>
      </w:pPr>
      <w:rPr>
        <w:rFonts w:hint="default"/>
        <w:lang w:val="pt-PT" w:eastAsia="en-US" w:bidi="ar-SA"/>
      </w:rPr>
    </w:lvl>
    <w:lvl w:ilvl="2" w:tplc="BA1A1AF6">
      <w:numFmt w:val="bullet"/>
      <w:lvlText w:val="•"/>
      <w:lvlJc w:val="left"/>
      <w:pPr>
        <w:ind w:left="2180" w:hanging="420"/>
      </w:pPr>
      <w:rPr>
        <w:rFonts w:hint="default"/>
        <w:lang w:val="pt-PT" w:eastAsia="en-US" w:bidi="ar-SA"/>
      </w:rPr>
    </w:lvl>
    <w:lvl w:ilvl="3" w:tplc="C9C417E4">
      <w:numFmt w:val="bullet"/>
      <w:lvlText w:val="•"/>
      <w:lvlJc w:val="left"/>
      <w:pPr>
        <w:ind w:left="2990" w:hanging="420"/>
      </w:pPr>
      <w:rPr>
        <w:rFonts w:hint="default"/>
        <w:lang w:val="pt-PT" w:eastAsia="en-US" w:bidi="ar-SA"/>
      </w:rPr>
    </w:lvl>
    <w:lvl w:ilvl="4" w:tplc="D996F484">
      <w:numFmt w:val="bullet"/>
      <w:lvlText w:val="•"/>
      <w:lvlJc w:val="left"/>
      <w:pPr>
        <w:ind w:left="3800" w:hanging="420"/>
      </w:pPr>
      <w:rPr>
        <w:rFonts w:hint="default"/>
        <w:lang w:val="pt-PT" w:eastAsia="en-US" w:bidi="ar-SA"/>
      </w:rPr>
    </w:lvl>
    <w:lvl w:ilvl="5" w:tplc="0122CB7A">
      <w:numFmt w:val="bullet"/>
      <w:lvlText w:val="•"/>
      <w:lvlJc w:val="left"/>
      <w:pPr>
        <w:ind w:left="4610" w:hanging="420"/>
      </w:pPr>
      <w:rPr>
        <w:rFonts w:hint="default"/>
        <w:lang w:val="pt-PT" w:eastAsia="en-US" w:bidi="ar-SA"/>
      </w:rPr>
    </w:lvl>
    <w:lvl w:ilvl="6" w:tplc="9F98FDA8">
      <w:numFmt w:val="bullet"/>
      <w:lvlText w:val="•"/>
      <w:lvlJc w:val="left"/>
      <w:pPr>
        <w:ind w:left="5420" w:hanging="420"/>
      </w:pPr>
      <w:rPr>
        <w:rFonts w:hint="default"/>
        <w:lang w:val="pt-PT" w:eastAsia="en-US" w:bidi="ar-SA"/>
      </w:rPr>
    </w:lvl>
    <w:lvl w:ilvl="7" w:tplc="AF864DFE">
      <w:numFmt w:val="bullet"/>
      <w:lvlText w:val="•"/>
      <w:lvlJc w:val="left"/>
      <w:pPr>
        <w:ind w:left="6230" w:hanging="420"/>
      </w:pPr>
      <w:rPr>
        <w:rFonts w:hint="default"/>
        <w:lang w:val="pt-PT" w:eastAsia="en-US" w:bidi="ar-SA"/>
      </w:rPr>
    </w:lvl>
    <w:lvl w:ilvl="8" w:tplc="8A486BAC">
      <w:numFmt w:val="bullet"/>
      <w:lvlText w:val="•"/>
      <w:lvlJc w:val="left"/>
      <w:pPr>
        <w:ind w:left="7040" w:hanging="420"/>
      </w:pPr>
      <w:rPr>
        <w:rFonts w:hint="default"/>
        <w:lang w:val="pt-PT" w:eastAsia="en-US" w:bidi="ar-SA"/>
      </w:rPr>
    </w:lvl>
  </w:abstractNum>
  <w:num w:numId="1" w16cid:durableId="210386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1C74"/>
    <w:rsid w:val="004A056F"/>
    <w:rsid w:val="00A23F2B"/>
    <w:rsid w:val="00A50556"/>
    <w:rsid w:val="00BB1C85"/>
    <w:rsid w:val="00F1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F51A3E"/>
  <w15:docId w15:val="{0E743A1E-4E65-5D4B-B1C7-6E3407DC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561" w:hanging="419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2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561" w:hanging="41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yslantorresj1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sther.eloipinheiro@urca.br" TargetMode="External"/><Relationship Id="rId12" Type="http://schemas.openxmlformats.org/officeDocument/2006/relationships/hyperlink" Target="mailto:lucas.machado@urca.b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edrolfm600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kelly.santana@urca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celo.mendonca@urca.b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2325</Words>
  <Characters>12559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INFLUÊNCIA DOS PARES E NORMALIZAÇÃO DOS COMPORTAMENTOS DE SAÚDE PROPENSOS A RISCO ENTRE ADOLESCENTES ESCOLARES (1).docx</vt:lpstr>
    </vt:vector>
  </TitlesOfParts>
  <Company/>
  <LinksUpToDate>false</LinksUpToDate>
  <CharactersWithSpaces>14855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INFLUÊNCIA DOS PARES E NORMALIZAÇÃO DOS COMPORTAMENTOS DE SAÚDE PROPENSOS A RISCO ENTRE ADOLESCENTES ESCOLARES (1).docx</dc:title>
  <cp:lastModifiedBy>Lucas Machado</cp:lastModifiedBy>
  <cp:revision>2</cp:revision>
  <dcterms:created xsi:type="dcterms:W3CDTF">2026-11-01T13:06:00Z</dcterms:created>
  <dcterms:modified xsi:type="dcterms:W3CDTF">2026-11-01T13:27:00Z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2026-11-01T00:00:00Z</vt:filetime>
  </property>
  <property fmtid="{D5CDD505-2E9C-101B-9397-08002B2CF9AE}" pid="4" name="Producer">
    <vt:lpwstr>Skia/PDF m158 Google Docs Renderer</vt:lpwstr>
  </property>
  <property fmtid="{D5CDD505-2E9C-101B-9397-08002B2CF9AE}" pid="5" name="LastSaved">
    <vt:filetime>2026-11-01T00:00:00Z</vt:filetime>
  </property>
</Properties>
</file>