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6AA3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7519F0E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7F3C2B07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424BACA5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C2B0E94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4ADB3F66" w14:textId="77777777" w:rsidR="0005713B" w:rsidRDefault="004F7D4D" w:rsidP="004F7D4D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ab/>
      </w:r>
    </w:p>
    <w:p w14:paraId="581BFACE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44718701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525506D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22F4E311" w14:textId="77777777" w:rsidR="00F91EF8" w:rsidRDefault="003B072D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ENTRE O TATAME E A FORMAÇÃO: OLHARES DE DOCENTES E BOLSISTA SOBRE UM PROJETO DE EXTENSÃO EM KARATE SHOTOKAN</w:t>
      </w:r>
    </w:p>
    <w:p w14:paraId="27B7BF0C" w14:textId="77777777" w:rsidR="00F91EF8" w:rsidRDefault="00F91EF8">
      <w:pPr>
        <w:spacing w:after="0" w:line="240" w:lineRule="auto"/>
      </w:pPr>
    </w:p>
    <w:p w14:paraId="4F28E7DB" w14:textId="71728E57" w:rsidR="0005713B" w:rsidRDefault="00BB7336" w:rsidP="051B1E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51B1E32">
        <w:rPr>
          <w:rFonts w:ascii="Times New Roman" w:hAnsi="Times New Roman"/>
          <w:b/>
          <w:bCs/>
          <w:sz w:val="24"/>
          <w:szCs w:val="24"/>
        </w:rPr>
        <w:t>Erick</w:t>
      </w:r>
      <w:r w:rsidR="00EA070C" w:rsidRPr="051B1E32">
        <w:rPr>
          <w:rFonts w:ascii="Times New Roman" w:hAnsi="Times New Roman"/>
          <w:b/>
          <w:bCs/>
          <w:sz w:val="24"/>
          <w:szCs w:val="24"/>
        </w:rPr>
        <w:t xml:space="preserve"> Oliveira Barbosa</w:t>
      </w:r>
      <w:r w:rsidR="00834B28" w:rsidRPr="051B1E32">
        <w:rPr>
          <w:rStyle w:val="ncoradanotaderodap"/>
          <w:rFonts w:ascii="Times New Roman" w:hAnsi="Times New Roman"/>
          <w:b/>
          <w:bCs/>
          <w:sz w:val="24"/>
          <w:szCs w:val="24"/>
        </w:rPr>
        <w:footnoteReference w:id="1"/>
      </w:r>
      <w:r w:rsidR="00834B28" w:rsidRPr="051B1E32">
        <w:rPr>
          <w:rFonts w:ascii="Times New Roman" w:hAnsi="Times New Roman"/>
          <w:b/>
          <w:bCs/>
          <w:caps/>
          <w:sz w:val="24"/>
          <w:szCs w:val="24"/>
        </w:rPr>
        <w:t>,</w:t>
      </w:r>
      <w:r w:rsidRPr="00BB7336">
        <w:t xml:space="preserve"> </w:t>
      </w:r>
      <w:r w:rsidRPr="051B1E32">
        <w:rPr>
          <w:rFonts w:ascii="Times New Roman" w:hAnsi="Times New Roman"/>
          <w:b/>
          <w:bCs/>
          <w:sz w:val="24"/>
          <w:szCs w:val="24"/>
        </w:rPr>
        <w:t>Douglas</w:t>
      </w:r>
      <w:r w:rsidRPr="051B1E32">
        <w:rPr>
          <w:rStyle w:val="ncoradanotaderodap"/>
          <w:rFonts w:ascii="Times New Roman" w:hAnsi="Times New Roman"/>
          <w:b/>
          <w:bCs/>
          <w:sz w:val="24"/>
          <w:szCs w:val="24"/>
          <w:vertAlign w:val="baseline"/>
        </w:rPr>
        <w:t xml:space="preserve"> </w:t>
      </w:r>
      <w:r w:rsidR="00EB31A1" w:rsidRPr="051B1E32">
        <w:rPr>
          <w:rStyle w:val="ncoradanotaderodap"/>
          <w:rFonts w:ascii="Times New Roman" w:hAnsi="Times New Roman"/>
          <w:b/>
          <w:bCs/>
          <w:sz w:val="24"/>
          <w:szCs w:val="24"/>
          <w:vertAlign w:val="baseline"/>
        </w:rPr>
        <w:t>Alves da Silva</w:t>
      </w:r>
      <w:r w:rsidR="00834B28" w:rsidRPr="051B1E32">
        <w:rPr>
          <w:rStyle w:val="ncoradanotaderodap"/>
          <w:rFonts w:ascii="Times New Roman" w:hAnsi="Times New Roman"/>
          <w:b/>
          <w:bCs/>
          <w:sz w:val="24"/>
          <w:szCs w:val="24"/>
        </w:rPr>
        <w:footnoteReference w:id="2"/>
      </w:r>
      <w:r w:rsidR="00834B28" w:rsidRPr="051B1E32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51B1E32">
        <w:rPr>
          <w:rFonts w:ascii="Times New Roman" w:hAnsi="Times New Roman"/>
          <w:b/>
          <w:bCs/>
          <w:sz w:val="24"/>
          <w:szCs w:val="24"/>
        </w:rPr>
        <w:t>João Marcos Ferreira de Lima Silva</w:t>
      </w:r>
      <w:r w:rsidR="00834B28" w:rsidRPr="051B1E32">
        <w:rPr>
          <w:rStyle w:val="ncoradanotaderodap"/>
          <w:rFonts w:ascii="Times New Roman" w:hAnsi="Times New Roman"/>
          <w:b/>
          <w:bCs/>
          <w:sz w:val="24"/>
          <w:szCs w:val="24"/>
        </w:rPr>
        <w:footnoteReference w:id="3"/>
      </w:r>
    </w:p>
    <w:p w14:paraId="747E5B92" w14:textId="11876543" w:rsidR="00F91EF8" w:rsidRDefault="00F91EF8" w:rsidP="051B1E32">
      <w:pPr>
        <w:spacing w:after="0" w:line="240" w:lineRule="auto"/>
      </w:pPr>
    </w:p>
    <w:p w14:paraId="061BBD8E" w14:textId="140D63B9" w:rsidR="009764BB" w:rsidRPr="009764BB" w:rsidRDefault="051B1E32" w:rsidP="051B1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51B1E32">
        <w:rPr>
          <w:rFonts w:ascii="Times New Roman" w:hAnsi="Times New Roman"/>
          <w:b/>
          <w:bCs/>
          <w:sz w:val="24"/>
          <w:szCs w:val="24"/>
        </w:rPr>
        <w:t>Resumo:</w:t>
      </w:r>
      <w:r w:rsidRPr="051B1E32">
        <w:rPr>
          <w:rFonts w:ascii="Times New Roman" w:hAnsi="Times New Roman"/>
          <w:sz w:val="24"/>
          <w:szCs w:val="24"/>
        </w:rPr>
        <w:t xml:space="preserve"> Projetos de extensão universitária aproximam a universidade da comunidade e constituem um espaço privilegiado na formação acadêmica. Desta forma as lutas, conteúdo da educação física, colabora tanto para o desenvolvimento dos aspectos didáticos, como nas concepções de autodesenvolvimento pessoal relacionados a esta modalidade. Ainda assim, são pouco frequentes os relatos que consideram, de forma articulada, as percepções de quem orienta e de quem é orientado nessas experiências. Este trabalho tem como objetivo analisar a experiência e percepções dos docentes orientadores e do discente bolsista sobre o processo formativo vivenciado pelo bolsista de um projeto de extensão de Karatê </w:t>
      </w:r>
      <w:proofErr w:type="spellStart"/>
      <w:r w:rsidRPr="051B1E32">
        <w:rPr>
          <w:rFonts w:ascii="Times New Roman" w:hAnsi="Times New Roman"/>
          <w:sz w:val="24"/>
          <w:szCs w:val="24"/>
        </w:rPr>
        <w:t>Shotokan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 desenvolvido no Laboratório de Lutas da Universidade Regional do Cariri (URCA), campus Iguatu-CE. Trata-se de um estudo qualitativo, através de um relato de experiência descritivo-reflexivo, referente a aproximadamente dez meses de atividades, com turmas de crianças, adolescentes e adultos, compostas por estudantes universitários e sobretudo pela comunidade externa. Utilizou-se escritas individual, pelos docentes e pelo bolsista, a partir de um roteiro comum de questões, e complementado por registros do projeto, como planejamentos, listas de frequência e fotografias. As narrativas foram lidas de forma cruzada e organizadas em eixos temáticos, com a identificação de convergências e singularidades entre os olhares. Os resultados foram organizados em três eixos: desenvolvimento técnico e postural do bolsista como praticante da modalidade;</w:t>
      </w:r>
      <w:r w:rsidR="00E65941">
        <w:rPr>
          <w:rFonts w:ascii="Times New Roman" w:hAnsi="Times New Roman"/>
          <w:sz w:val="24"/>
          <w:szCs w:val="24"/>
        </w:rPr>
        <w:t xml:space="preserve"> </w:t>
      </w:r>
      <w:r w:rsidRPr="051B1E32">
        <w:rPr>
          <w:rFonts w:ascii="Times New Roman" w:hAnsi="Times New Roman"/>
          <w:sz w:val="24"/>
          <w:szCs w:val="24"/>
        </w:rPr>
        <w:t xml:space="preserve">responsabilização e autonomia diante das demandas do projeto; e formação docente e pessoal. Os docentes destacaram mudanças observáveis na postura do bolsista no tatame e na condução das atividades, enquanto para o bolsista a importância da experiência prática para o desenvolvimento de sua autonomia, responsabilidade e aprendizagem docente. </w:t>
      </w:r>
      <w:r w:rsidR="00E65941">
        <w:rPr>
          <w:rFonts w:ascii="Times New Roman" w:hAnsi="Times New Roman"/>
          <w:sz w:val="24"/>
          <w:szCs w:val="24"/>
        </w:rPr>
        <w:t>C</w:t>
      </w:r>
      <w:r w:rsidRPr="051B1E32">
        <w:rPr>
          <w:rFonts w:ascii="Times New Roman" w:hAnsi="Times New Roman"/>
          <w:sz w:val="24"/>
          <w:szCs w:val="24"/>
        </w:rPr>
        <w:t>onclui-se que o projeto de extensão em karatê constitui espaço formativo que ultrapassa a dimensão técnica da modalidade e contribui para a formação pessoal e profissional do estudante, e que o confronto entre as perspectivas de docentes e bolsista amplia a compreensão desse processo.</w:t>
      </w:r>
    </w:p>
    <w:p w14:paraId="665DCF03" w14:textId="4C2F6DB5" w:rsidR="051B1E32" w:rsidRDefault="051B1E32" w:rsidP="051B1E3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057FBA" w14:textId="77777777" w:rsidR="00F91EF8" w:rsidRDefault="003B072D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Palavras-chave: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Karate</w:t>
      </w:r>
      <w:proofErr w:type="spellEnd"/>
      <w:r>
        <w:rPr>
          <w:rFonts w:ascii="Times New Roman" w:hAnsi="Times New Roman"/>
          <w:sz w:val="24"/>
          <w:szCs w:val="24"/>
        </w:rPr>
        <w:t>. Extensão universitária. Formação profissional. Educação Física. Relato de experiência.</w:t>
      </w:r>
    </w:p>
    <w:p w14:paraId="2501C363" w14:textId="77777777" w:rsidR="00F91EF8" w:rsidRDefault="003B072D">
      <w:pPr>
        <w:pStyle w:val="NormalWeb"/>
        <w:keepNext/>
        <w:numPr>
          <w:ilvl w:val="0"/>
          <w:numId w:val="1"/>
        </w:numPr>
        <w:spacing w:before="240" w:beforeAutospacing="0" w:after="120" w:afterAutospacing="0"/>
        <w:ind w:left="426" w:hanging="426"/>
        <w:jc w:val="both"/>
      </w:pPr>
      <w:r>
        <w:rPr>
          <w:b/>
        </w:rPr>
        <w:lastRenderedPageBreak/>
        <w:t>Introdução</w:t>
      </w:r>
    </w:p>
    <w:p w14:paraId="4FB16503" w14:textId="5EF75A33" w:rsidR="00F91EF8" w:rsidRDefault="051B1E32">
      <w:pPr>
        <w:spacing w:after="120" w:line="240" w:lineRule="auto"/>
        <w:ind w:firstLine="709"/>
        <w:jc w:val="both"/>
      </w:pPr>
      <w:r w:rsidRPr="051B1E32">
        <w:rPr>
          <w:rFonts w:ascii="Times New Roman" w:hAnsi="Times New Roman"/>
          <w:sz w:val="24"/>
          <w:szCs w:val="24"/>
        </w:rPr>
        <w:t>As lutas compõem o conjunto de práticas corporais tematizadas pela Educação Física e vêm ocupando espaço em diferentes ambientes educacionais, como escolas, clubes, academias e projetos sociais (Rufino; Gomes, 2024). Desta forma Rufino (2016) aponta que nos ambientes não formais o ensino das lutas ainda tende a se apoiar em práticas ritualizadas, hierarquias rígidas e métodos centrados na repetição, o que reforça a necessidade de propostas pedagógicas críticas e reflexivas e de profissionais preparados para conduzi-las.</w:t>
      </w:r>
    </w:p>
    <w:p w14:paraId="637CF8D5" w14:textId="3E3AB51B" w:rsidR="00F91EF8" w:rsidRDefault="051B1E32" w:rsidP="051B1E3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51B1E32">
        <w:rPr>
          <w:rFonts w:ascii="Times New Roman" w:hAnsi="Times New Roman"/>
          <w:sz w:val="24"/>
          <w:szCs w:val="24"/>
        </w:rPr>
        <w:t>Nesse cenário, a extensão universitária assume papel estratégico. A Política Nacional de Extensão Universitária a define como processo interdisciplinar, educativo, cultural, científico e político que promove a interação transformadora entre a universidade e outros setores da sociedade, e inclui, entre suas diretrizes, o impacto na formação do estudante (FORPROEX, 2012). Deste modo além da colaboração no processo de formação, Lins e Colaboradores (2014), ampliam o acesso da comunidade externa a essas práticas, mas também colocam os conhecimentos acadêmicos em benéficos à sociedade, contribuem positivamente dentro e fora dos muros da Universidade (</w:t>
      </w:r>
      <w:proofErr w:type="spellStart"/>
      <w:r w:rsidRPr="051B1E32">
        <w:rPr>
          <w:rFonts w:ascii="Times New Roman" w:hAnsi="Times New Roman"/>
          <w:sz w:val="24"/>
          <w:szCs w:val="24"/>
        </w:rPr>
        <w:t>Pocidonio</w:t>
      </w:r>
      <w:proofErr w:type="spellEnd"/>
      <w:r w:rsidRPr="051B1E32">
        <w:rPr>
          <w:rFonts w:ascii="Times New Roman" w:hAnsi="Times New Roman"/>
          <w:sz w:val="24"/>
          <w:szCs w:val="24"/>
        </w:rPr>
        <w:t>, Da Silva, 2025).</w:t>
      </w:r>
    </w:p>
    <w:p w14:paraId="4C62EDED" w14:textId="400C6022" w:rsidR="00F91EF8" w:rsidRDefault="051B1E32">
      <w:pPr>
        <w:spacing w:after="120" w:line="240" w:lineRule="auto"/>
        <w:ind w:firstLine="709"/>
        <w:jc w:val="both"/>
      </w:pPr>
      <w:r w:rsidRPr="051B1E32">
        <w:rPr>
          <w:rFonts w:ascii="Times New Roman" w:hAnsi="Times New Roman"/>
          <w:sz w:val="24"/>
          <w:szCs w:val="24"/>
        </w:rPr>
        <w:t>Considerar conjuntamente o olhar docente e o olhar discente permite compreender esse processo de modo mais completo, pois cada perspectiva alcança aspectos que a outra não enxerga: o orientador percebe mudanças visíveis de comportamento e desempenho, enquanto o estudante acessa os sentidos, as dúvidas e as motivações que acompanham essas mudanças.</w:t>
      </w:r>
    </w:p>
    <w:p w14:paraId="0A4E822E" w14:textId="1C0CEC43" w:rsidR="00F91EF8" w:rsidRDefault="051B1E32">
      <w:pPr>
        <w:spacing w:after="120" w:line="240" w:lineRule="auto"/>
        <w:ind w:firstLine="709"/>
        <w:jc w:val="both"/>
      </w:pPr>
      <w:r w:rsidRPr="051B1E32">
        <w:rPr>
          <w:rFonts w:ascii="Times New Roman" w:hAnsi="Times New Roman"/>
          <w:sz w:val="24"/>
          <w:szCs w:val="24"/>
        </w:rPr>
        <w:t xml:space="preserve">Portanto este trabalho tem como objetivo relatar a experiência de um projeto de extensão de Karatê </w:t>
      </w:r>
      <w:proofErr w:type="spellStart"/>
      <w:r w:rsidRPr="051B1E32">
        <w:rPr>
          <w:rFonts w:ascii="Times New Roman" w:hAnsi="Times New Roman"/>
          <w:sz w:val="24"/>
          <w:szCs w:val="24"/>
        </w:rPr>
        <w:t>Shotokan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 desenvolvido no Laboratório de Lutas da Universidade Regional do Cariri (URCA), campus Iguatu e analisar, de forma articulada, as percepções dos docentes orientadores e do discente bolsista sobre o processo formativo vivenciado pelo bolsista.</w:t>
      </w:r>
    </w:p>
    <w:p w14:paraId="00E4D377" w14:textId="77777777" w:rsidR="00F91EF8" w:rsidRDefault="003B072D">
      <w:pPr>
        <w:pStyle w:val="NormalWeb"/>
        <w:keepNext/>
        <w:numPr>
          <w:ilvl w:val="0"/>
          <w:numId w:val="1"/>
        </w:numPr>
        <w:spacing w:before="240" w:beforeAutospacing="0" w:after="120" w:afterAutospacing="0"/>
        <w:ind w:left="426" w:hanging="426"/>
        <w:jc w:val="both"/>
      </w:pPr>
      <w:r>
        <w:rPr>
          <w:b/>
        </w:rPr>
        <w:t>Metodologia</w:t>
      </w:r>
    </w:p>
    <w:p w14:paraId="65912AE9" w14:textId="77777777" w:rsidR="00F91EF8" w:rsidRDefault="003B072D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Trata-se de um relato de experiência de natureza descritivo-reflexiva, elaborado conforme os pressupostos de </w:t>
      </w:r>
      <w:proofErr w:type="spellStart"/>
      <w:r>
        <w:rPr>
          <w:rFonts w:ascii="Times New Roman" w:hAnsi="Times New Roman"/>
          <w:sz w:val="24"/>
          <w:szCs w:val="24"/>
        </w:rPr>
        <w:t>Mussi</w:t>
      </w:r>
      <w:proofErr w:type="spellEnd"/>
      <w:r>
        <w:rPr>
          <w:rFonts w:ascii="Times New Roman" w:hAnsi="Times New Roman"/>
          <w:sz w:val="24"/>
          <w:szCs w:val="24"/>
        </w:rPr>
        <w:t>, Flores e Almeida (2021), que compreendem o relato como forma de produção de conhecimento científico quando descreve com precisão o período, o contexto, os sujeitos e os procedimentos da experiência e a articula a uma reflexão crítica fundamentada. Assume-se, ainda, o relato como narrativa científica legítima, na qual a implicação dos autores com a experiência é reconhecida e explicitada, e não ocultada (DALTRO; FARIA, 2019).</w:t>
      </w:r>
    </w:p>
    <w:p w14:paraId="6470AC8B" w14:textId="2B903FD7" w:rsidR="00290B27" w:rsidRDefault="003B072D" w:rsidP="00290B27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projeto é desenvolvido no Laboratório de Lutas da URCA, campus Iguatu desde </w:t>
      </w:r>
      <w:r w:rsidR="00C83EAA">
        <w:rPr>
          <w:rFonts w:ascii="Times New Roman" w:hAnsi="Times New Roman"/>
          <w:sz w:val="24"/>
          <w:szCs w:val="24"/>
        </w:rPr>
        <w:t xml:space="preserve">novembro </w:t>
      </w:r>
      <w:r w:rsidR="00840F5C">
        <w:rPr>
          <w:rFonts w:ascii="Times New Roman" w:hAnsi="Times New Roman"/>
          <w:sz w:val="24"/>
          <w:szCs w:val="24"/>
        </w:rPr>
        <w:t>d</w:t>
      </w:r>
      <w:r w:rsidR="00487DF4">
        <w:rPr>
          <w:rFonts w:ascii="Times New Roman" w:hAnsi="Times New Roman"/>
          <w:sz w:val="24"/>
          <w:szCs w:val="24"/>
        </w:rPr>
        <w:t>e 2025</w:t>
      </w:r>
      <w:r>
        <w:rPr>
          <w:rFonts w:ascii="Times New Roman" w:hAnsi="Times New Roman"/>
          <w:sz w:val="24"/>
          <w:szCs w:val="24"/>
        </w:rPr>
        <w:t xml:space="preserve">, totalizando aproximadamente </w:t>
      </w:r>
      <w:r w:rsidR="00215995" w:rsidRPr="00033943">
        <w:rPr>
          <w:rFonts w:ascii="Times New Roman" w:hAnsi="Times New Roman"/>
          <w:sz w:val="24"/>
          <w:szCs w:val="24"/>
        </w:rPr>
        <w:t>10</w:t>
      </w:r>
      <w:r w:rsidRPr="00033943">
        <w:rPr>
          <w:rFonts w:ascii="Times New Roman" w:hAnsi="Times New Roman"/>
          <w:sz w:val="24"/>
          <w:szCs w:val="24"/>
        </w:rPr>
        <w:t xml:space="preserve"> meses</w:t>
      </w:r>
      <w:r w:rsidR="00033943">
        <w:rPr>
          <w:rFonts w:ascii="Times New Roman" w:hAnsi="Times New Roman"/>
          <w:sz w:val="24"/>
          <w:szCs w:val="24"/>
        </w:rPr>
        <w:t xml:space="preserve"> </w:t>
      </w:r>
      <w:r w:rsidR="004B53A5" w:rsidRPr="00033943">
        <w:rPr>
          <w:rFonts w:ascii="Times New Roman" w:hAnsi="Times New Roman"/>
          <w:sz w:val="24"/>
          <w:szCs w:val="24"/>
        </w:rPr>
        <w:t>de atividades efetivas até a elaboração deste relato, considerando os períodos de recesso e férias do calendário acadêmico da universidade</w:t>
      </w:r>
      <w:r>
        <w:rPr>
          <w:rFonts w:ascii="Times New Roman" w:hAnsi="Times New Roman"/>
          <w:sz w:val="24"/>
          <w:szCs w:val="24"/>
        </w:rPr>
        <w:t xml:space="preserve">. </w:t>
      </w:r>
      <w:r w:rsidR="00D43382" w:rsidRPr="00D43382">
        <w:rPr>
          <w:rFonts w:ascii="Times New Roman" w:hAnsi="Times New Roman"/>
          <w:sz w:val="24"/>
          <w:szCs w:val="24"/>
        </w:rPr>
        <w:t>As aulas ocorrem duas vezes por semana para cada turma (crianças, adolescentes e adultos</w:t>
      </w:r>
      <w:r w:rsidR="00E612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e atendem cerca de </w:t>
      </w:r>
      <w:r w:rsidR="00B61BB1">
        <w:rPr>
          <w:rFonts w:ascii="Times New Roman" w:hAnsi="Times New Roman"/>
          <w:sz w:val="24"/>
          <w:szCs w:val="24"/>
        </w:rPr>
        <w:t>3</w:t>
      </w:r>
      <w:r w:rsidR="001C1AFF">
        <w:rPr>
          <w:rFonts w:ascii="Times New Roman" w:hAnsi="Times New Roman"/>
          <w:sz w:val="24"/>
          <w:szCs w:val="24"/>
        </w:rPr>
        <w:t>2</w:t>
      </w:r>
      <w:r w:rsidR="00290B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praticantes, entre estudantes da universidade e, majoritariamente, pessoas da comunidade externa. A equipe é composta por</w:t>
      </w:r>
      <w:r w:rsidR="00290B27">
        <w:rPr>
          <w:rFonts w:ascii="Times New Roman" w:hAnsi="Times New Roman"/>
          <w:sz w:val="24"/>
          <w:szCs w:val="24"/>
        </w:rPr>
        <w:t xml:space="preserve"> 2 </w:t>
      </w:r>
      <w:r>
        <w:rPr>
          <w:rFonts w:ascii="Times New Roman" w:hAnsi="Times New Roman"/>
          <w:sz w:val="24"/>
          <w:szCs w:val="24"/>
        </w:rPr>
        <w:t xml:space="preserve">docentes orientadores e um discente bolsista do curso de </w:t>
      </w:r>
      <w:r w:rsidR="00290B27">
        <w:rPr>
          <w:rFonts w:ascii="Times New Roman" w:hAnsi="Times New Roman"/>
          <w:sz w:val="24"/>
          <w:szCs w:val="24"/>
        </w:rPr>
        <w:t xml:space="preserve">educação física, vinculado ao laboratório de lutas da respectiva instituição. Para este aluno é oferecida uma bolsa (apoio financeiro) </w:t>
      </w:r>
      <w:r w:rsidR="001B3B7C">
        <w:rPr>
          <w:rFonts w:ascii="Times New Roman" w:hAnsi="Times New Roman"/>
          <w:sz w:val="24"/>
          <w:szCs w:val="24"/>
        </w:rPr>
        <w:t>mensa</w:t>
      </w:r>
      <w:r w:rsidR="00290B27">
        <w:rPr>
          <w:rFonts w:ascii="Times New Roman" w:hAnsi="Times New Roman"/>
          <w:sz w:val="24"/>
          <w:szCs w:val="24"/>
        </w:rPr>
        <w:t>l</w:t>
      </w:r>
      <w:r w:rsidR="001B3B7C">
        <w:rPr>
          <w:rFonts w:ascii="Times New Roman" w:hAnsi="Times New Roman"/>
          <w:sz w:val="24"/>
          <w:szCs w:val="24"/>
        </w:rPr>
        <w:t>mente</w:t>
      </w:r>
      <w:r w:rsidR="00290B27">
        <w:rPr>
          <w:rFonts w:ascii="Times New Roman" w:hAnsi="Times New Roman"/>
          <w:sz w:val="24"/>
          <w:szCs w:val="24"/>
        </w:rPr>
        <w:t>.</w:t>
      </w:r>
      <w:r w:rsidR="00C250A9">
        <w:rPr>
          <w:rFonts w:ascii="Times New Roman" w:hAnsi="Times New Roman"/>
          <w:sz w:val="24"/>
          <w:szCs w:val="24"/>
        </w:rPr>
        <w:t xml:space="preserve"> </w:t>
      </w:r>
      <w:r w:rsidR="00290B27">
        <w:rPr>
          <w:rFonts w:ascii="Times New Roman" w:hAnsi="Times New Roman"/>
          <w:sz w:val="24"/>
          <w:szCs w:val="24"/>
        </w:rPr>
        <w:t xml:space="preserve">Este bolsista reserva </w:t>
      </w:r>
      <w:r w:rsidR="002F50F0">
        <w:rPr>
          <w:rFonts w:ascii="Times New Roman" w:hAnsi="Times New Roman"/>
          <w:sz w:val="24"/>
          <w:szCs w:val="24"/>
        </w:rPr>
        <w:t>20 horas</w:t>
      </w:r>
      <w:r w:rsidR="00290B27">
        <w:rPr>
          <w:rFonts w:ascii="Times New Roman" w:hAnsi="Times New Roman"/>
          <w:sz w:val="24"/>
          <w:szCs w:val="24"/>
        </w:rPr>
        <w:t xml:space="preserve"> semanais para serem distribuídas entre planejamento, acompanhamento e condução de práticas do Karat</w:t>
      </w:r>
      <w:r w:rsidR="009B1656">
        <w:rPr>
          <w:rFonts w:ascii="Times New Roman" w:hAnsi="Times New Roman"/>
          <w:sz w:val="24"/>
          <w:szCs w:val="24"/>
        </w:rPr>
        <w:t>ê</w:t>
      </w:r>
      <w:r w:rsidR="00290B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0B27">
        <w:rPr>
          <w:rFonts w:ascii="Times New Roman" w:hAnsi="Times New Roman"/>
          <w:sz w:val="24"/>
          <w:szCs w:val="24"/>
        </w:rPr>
        <w:t>Shotokan</w:t>
      </w:r>
      <w:proofErr w:type="spellEnd"/>
      <w:r w:rsidR="00290B27">
        <w:rPr>
          <w:rFonts w:ascii="Times New Roman" w:hAnsi="Times New Roman"/>
          <w:sz w:val="24"/>
          <w:szCs w:val="24"/>
        </w:rPr>
        <w:t>. O bolsista tem graduação</w:t>
      </w:r>
      <w:r w:rsidR="009B2771">
        <w:rPr>
          <w:rFonts w:ascii="Times New Roman" w:hAnsi="Times New Roman"/>
          <w:sz w:val="24"/>
          <w:szCs w:val="24"/>
        </w:rPr>
        <w:t xml:space="preserve"> na modalidade</w:t>
      </w:r>
      <w:r w:rsidR="00290B27">
        <w:rPr>
          <w:rFonts w:ascii="Times New Roman" w:hAnsi="Times New Roman"/>
          <w:sz w:val="24"/>
          <w:szCs w:val="24"/>
        </w:rPr>
        <w:t xml:space="preserve"> e orientação constante sobre as atividades a serem conduzidas.</w:t>
      </w:r>
    </w:p>
    <w:p w14:paraId="3C1B515F" w14:textId="77777777" w:rsidR="00F91EF8" w:rsidRDefault="003B072D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A análise inspirou-se na pesquisa narrativa de </w:t>
      </w:r>
      <w:proofErr w:type="spellStart"/>
      <w:r>
        <w:rPr>
          <w:rFonts w:ascii="Times New Roman" w:hAnsi="Times New Roman"/>
          <w:sz w:val="24"/>
          <w:szCs w:val="24"/>
        </w:rPr>
        <w:t>Clandinin</w:t>
      </w:r>
      <w:proofErr w:type="spellEnd"/>
      <w:r>
        <w:rPr>
          <w:rFonts w:ascii="Times New Roman" w:hAnsi="Times New Roman"/>
          <w:sz w:val="24"/>
          <w:szCs w:val="24"/>
        </w:rPr>
        <w:t xml:space="preserve"> e Connelly (2011), que compreende a experiência como algo que se conhece ao ser contado e recontado. Os autores realizaram a leitura cruzada das narrativas, agruparam os trechos em eixos temáticos e, em cada eixo, identificaram as convergências entre os olhares e as singularidades de cada perspectiva. O resultado é apresentado em texto, com trechos das narrativas, e sintetizado em quadro comparativo.</w:t>
      </w:r>
    </w:p>
    <w:p w14:paraId="7F0D861F" w14:textId="77DDE19C" w:rsidR="00F91EF8" w:rsidRDefault="003B072D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Por se tratar de relato construído a partir das percepções dos próprios autores, sem coleta de dados que identifiquem os praticantes, o trabalho enquadra-se no inciso VII do parágrafo único do art. 1º da Resolução nº 510/2016 do Conselho Nacional de Saúde, que dispensa o registro e a avaliação pelo sistema CEP/</w:t>
      </w:r>
      <w:proofErr w:type="spellStart"/>
      <w:r>
        <w:rPr>
          <w:rFonts w:ascii="Times New Roman" w:hAnsi="Times New Roman"/>
          <w:sz w:val="24"/>
          <w:szCs w:val="24"/>
        </w:rPr>
        <w:t>Conep</w:t>
      </w:r>
      <w:proofErr w:type="spellEnd"/>
      <w:r>
        <w:rPr>
          <w:rFonts w:ascii="Times New Roman" w:hAnsi="Times New Roman"/>
          <w:sz w:val="24"/>
          <w:szCs w:val="24"/>
        </w:rPr>
        <w:t xml:space="preserve"> (BRASIL, 2016). As imagens utilizadas</w:t>
      </w:r>
      <w:r w:rsidR="00290B27">
        <w:rPr>
          <w:rFonts w:ascii="Times New Roman" w:hAnsi="Times New Roman"/>
          <w:sz w:val="24"/>
          <w:szCs w:val="24"/>
        </w:rPr>
        <w:t xml:space="preserve"> que foram consideradas foram registradas durante as práticas pelos praticantes, compartilhadas em redes sociais</w:t>
      </w:r>
      <w:r w:rsidR="00601D04">
        <w:rPr>
          <w:rFonts w:ascii="Times New Roman" w:hAnsi="Times New Roman"/>
          <w:sz w:val="24"/>
          <w:szCs w:val="24"/>
        </w:rPr>
        <w:t xml:space="preserve"> e no grupo de contato criado para interação entre os praticantes, bolsista e professores</w:t>
      </w:r>
      <w:r>
        <w:rPr>
          <w:rFonts w:ascii="Times New Roman" w:hAnsi="Times New Roman"/>
          <w:sz w:val="24"/>
          <w:szCs w:val="24"/>
        </w:rPr>
        <w:t>.</w:t>
      </w:r>
    </w:p>
    <w:p w14:paraId="44DF4095" w14:textId="77777777" w:rsidR="00F91EF8" w:rsidRDefault="003B072D">
      <w:pPr>
        <w:pStyle w:val="NormalWeb"/>
        <w:keepNext/>
        <w:numPr>
          <w:ilvl w:val="0"/>
          <w:numId w:val="1"/>
        </w:numPr>
        <w:spacing w:before="240" w:beforeAutospacing="0" w:after="120" w:afterAutospacing="0"/>
        <w:ind w:left="426" w:hanging="426"/>
        <w:jc w:val="both"/>
      </w:pPr>
      <w:r>
        <w:rPr>
          <w:b/>
        </w:rPr>
        <w:t>Resultados e Discussão</w:t>
      </w:r>
    </w:p>
    <w:p w14:paraId="43BD6E91" w14:textId="66BBAE89" w:rsidR="00F91EF8" w:rsidRDefault="003B072D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A leitura cruzada das narrativas resultou em três eixos: desenvolvimento técnico e postural no karat</w:t>
      </w:r>
      <w:r w:rsidR="00D80DE1"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; responsabilização e autonomia; e formação docente e pessoal. O Quadro 1 sintetiza, para cada eixo, os olhares de docentes e bolsista, bem como suas convergências e singularidades.</w:t>
      </w:r>
    </w:p>
    <w:p w14:paraId="554793BB" w14:textId="4041B87C" w:rsidR="00F91EF8" w:rsidRDefault="051B1E32" w:rsidP="051B1E32">
      <w:pPr>
        <w:spacing w:after="120" w:line="240" w:lineRule="auto"/>
        <w:ind w:firstLine="709"/>
        <w:jc w:val="both"/>
      </w:pPr>
      <w:r w:rsidRPr="051B1E32">
        <w:rPr>
          <w:rFonts w:ascii="Times New Roman" w:hAnsi="Times New Roman"/>
          <w:b/>
          <w:bCs/>
          <w:sz w:val="24"/>
          <w:szCs w:val="24"/>
        </w:rPr>
        <w:t xml:space="preserve">Desenvolvimento técnico e postural no karatê: </w:t>
      </w:r>
      <w:r w:rsidRPr="051B1E32">
        <w:rPr>
          <w:rFonts w:ascii="Times New Roman" w:hAnsi="Times New Roman"/>
          <w:sz w:val="24"/>
          <w:szCs w:val="24"/>
        </w:rPr>
        <w:t xml:space="preserve">Nas narrativas dos docentes, o primeiro aspecto destacado foi a mudança na postura do bolsista como praticante da modalidade, especialmente no desenvolvimento das execuções dos movimentos técnicos, na atenção à postura corporal, na disciplina e confiança demonstrada durante as atividades. O bolsista, por sua vez, relacionou essa evolução à oportunidade de aprofundar seus conhecimentos sobre o Karatê </w:t>
      </w:r>
      <w:proofErr w:type="spellStart"/>
      <w:r w:rsidRPr="051B1E32">
        <w:rPr>
          <w:rFonts w:ascii="Times New Roman" w:hAnsi="Times New Roman"/>
          <w:sz w:val="24"/>
          <w:szCs w:val="24"/>
        </w:rPr>
        <w:t>Shotokan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 e compreender melhor os aspectos técnicos e pedagógicos da modalidade (Rufino; Oliveira, 2022), como expressa no trecho: “A experiência no projeto tem contribuído para aprimorar meus conhecimentos e técnicas em relação ao karatê, e compreendi a importância de juntar o desenvolvimento técnico à capacidade de ensinar e orientar praticantes”. A passagem da condição de praticante para a de quem também ensina exige compreender a modalidade para além da reprodução de gestos, o que dialoga com a defesa de Rufino (2016) por um ensino das lutas mais reflexivo e menos centrado na repetição.</w:t>
      </w:r>
    </w:p>
    <w:p w14:paraId="35FB4BB8" w14:textId="320F4F9E" w:rsidR="00F91EF8" w:rsidRDefault="003B072D">
      <w:pPr>
        <w:spacing w:after="120" w:line="240" w:lineRule="auto"/>
        <w:ind w:firstLine="709"/>
        <w:jc w:val="both"/>
      </w:pPr>
      <w:r>
        <w:rPr>
          <w:rFonts w:ascii="Times New Roman" w:hAnsi="Times New Roman"/>
          <w:b/>
          <w:sz w:val="24"/>
          <w:szCs w:val="24"/>
        </w:rPr>
        <w:t>Responsabilização e autonomia</w:t>
      </w:r>
      <w:r w:rsidR="00781F6F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Este foi o eixo de maior convergência. Os docentes descreveram a progressiva assunção de responsabilidades pelo bolsista, como</w:t>
      </w:r>
      <w:r w:rsidR="00905C59">
        <w:rPr>
          <w:rFonts w:ascii="Times New Roman" w:hAnsi="Times New Roman"/>
          <w:sz w:val="24"/>
          <w:szCs w:val="24"/>
        </w:rPr>
        <w:t xml:space="preserve"> comprometimento com as atividade</w:t>
      </w:r>
      <w:r w:rsidR="005E2357">
        <w:rPr>
          <w:rFonts w:ascii="Times New Roman" w:hAnsi="Times New Roman"/>
          <w:sz w:val="24"/>
          <w:szCs w:val="24"/>
        </w:rPr>
        <w:t>s, a participação no planejamento</w:t>
      </w:r>
      <w:r w:rsidR="00E3782D">
        <w:rPr>
          <w:rFonts w:ascii="Times New Roman" w:hAnsi="Times New Roman"/>
          <w:sz w:val="24"/>
          <w:szCs w:val="24"/>
        </w:rPr>
        <w:t xml:space="preserve"> e na organização das aulas</w:t>
      </w:r>
      <w:r w:rsidR="00984FDC">
        <w:rPr>
          <w:rFonts w:ascii="Times New Roman" w:hAnsi="Times New Roman"/>
          <w:sz w:val="24"/>
          <w:szCs w:val="24"/>
        </w:rPr>
        <w:t>,</w:t>
      </w:r>
      <w:r w:rsidR="001C4BB8">
        <w:rPr>
          <w:rFonts w:ascii="Times New Roman" w:hAnsi="Times New Roman"/>
          <w:sz w:val="24"/>
          <w:szCs w:val="24"/>
        </w:rPr>
        <w:t xml:space="preserve"> o auxílio na condução das turmas</w:t>
      </w:r>
      <w:r w:rsidR="00261F32">
        <w:rPr>
          <w:rFonts w:ascii="Times New Roman" w:hAnsi="Times New Roman"/>
          <w:sz w:val="24"/>
          <w:szCs w:val="24"/>
        </w:rPr>
        <w:t>,</w:t>
      </w:r>
      <w:r w:rsidR="00AD2A5C">
        <w:rPr>
          <w:rFonts w:ascii="Times New Roman" w:hAnsi="Times New Roman"/>
          <w:sz w:val="24"/>
          <w:szCs w:val="24"/>
        </w:rPr>
        <w:t xml:space="preserve"> pela necessidade de lidar com diferentes situações </w:t>
      </w:r>
      <w:r w:rsidR="00FC042E">
        <w:rPr>
          <w:rFonts w:ascii="Times New Roman" w:hAnsi="Times New Roman"/>
          <w:sz w:val="24"/>
          <w:szCs w:val="24"/>
        </w:rPr>
        <w:t>durante a prática</w:t>
      </w:r>
      <w:r w:rsidR="001C4BB8">
        <w:rPr>
          <w:rFonts w:ascii="Times New Roman" w:hAnsi="Times New Roman"/>
          <w:sz w:val="24"/>
          <w:szCs w:val="24"/>
        </w:rPr>
        <w:t xml:space="preserve"> e a interação com os </w:t>
      </w:r>
      <w:r w:rsidR="003B7C0A">
        <w:rPr>
          <w:rFonts w:ascii="Times New Roman" w:hAnsi="Times New Roman"/>
          <w:sz w:val="24"/>
          <w:szCs w:val="24"/>
        </w:rPr>
        <w:t>praticantes e seus responsáveis</w:t>
      </w:r>
      <w:r w:rsidR="002E0F8C">
        <w:rPr>
          <w:rFonts w:ascii="Times New Roman" w:hAnsi="Times New Roman"/>
          <w:sz w:val="24"/>
          <w:szCs w:val="24"/>
        </w:rPr>
        <w:t>. O bolsista reconheceu esse movimento, destacando a importância de assumir diretamente a responsabilidade</w:t>
      </w:r>
      <w:r w:rsidR="00787838">
        <w:rPr>
          <w:rFonts w:ascii="Times New Roman" w:hAnsi="Times New Roman"/>
          <w:sz w:val="24"/>
          <w:szCs w:val="24"/>
        </w:rPr>
        <w:t xml:space="preserve"> pelo desenvolvimento </w:t>
      </w:r>
      <w:r w:rsidR="00CC2D91">
        <w:rPr>
          <w:rFonts w:ascii="Times New Roman" w:hAnsi="Times New Roman"/>
          <w:sz w:val="24"/>
          <w:szCs w:val="24"/>
        </w:rPr>
        <w:t>das aulas</w:t>
      </w:r>
      <w:r w:rsidR="0078783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“</w:t>
      </w:r>
      <w:r w:rsidR="008C7CD1">
        <w:rPr>
          <w:rFonts w:ascii="Times New Roman" w:hAnsi="Times New Roman"/>
          <w:sz w:val="24"/>
          <w:szCs w:val="24"/>
        </w:rPr>
        <w:t>Conduzir as atividades do projeto foi uma experi</w:t>
      </w:r>
      <w:r w:rsidR="00596853">
        <w:rPr>
          <w:rFonts w:ascii="Times New Roman" w:hAnsi="Times New Roman"/>
          <w:sz w:val="24"/>
          <w:szCs w:val="24"/>
        </w:rPr>
        <w:t>ê</w:t>
      </w:r>
      <w:r w:rsidR="008C7CD1">
        <w:rPr>
          <w:rFonts w:ascii="Times New Roman" w:hAnsi="Times New Roman"/>
          <w:sz w:val="24"/>
          <w:szCs w:val="24"/>
        </w:rPr>
        <w:t xml:space="preserve">ncia </w:t>
      </w:r>
      <w:r w:rsidR="00596853">
        <w:rPr>
          <w:rFonts w:ascii="Times New Roman" w:hAnsi="Times New Roman"/>
          <w:sz w:val="24"/>
          <w:szCs w:val="24"/>
        </w:rPr>
        <w:t>importante para minha formação</w:t>
      </w:r>
      <w:r w:rsidR="009F68E3">
        <w:rPr>
          <w:rFonts w:ascii="Times New Roman" w:hAnsi="Times New Roman"/>
          <w:sz w:val="24"/>
          <w:szCs w:val="24"/>
        </w:rPr>
        <w:t>, pois exigiu organização, compromisso</w:t>
      </w:r>
      <w:r w:rsidR="00530D6C">
        <w:rPr>
          <w:rFonts w:ascii="Times New Roman" w:hAnsi="Times New Roman"/>
          <w:sz w:val="24"/>
          <w:szCs w:val="24"/>
        </w:rPr>
        <w:t xml:space="preserve"> e autonomia para planejar e desenvolver as aulas, além de </w:t>
      </w:r>
      <w:r w:rsidR="001574C8">
        <w:rPr>
          <w:rFonts w:ascii="Times New Roman" w:hAnsi="Times New Roman"/>
          <w:sz w:val="24"/>
          <w:szCs w:val="24"/>
        </w:rPr>
        <w:t>adaptar as atividades ás necessidades dos praticantes</w:t>
      </w:r>
      <w:r>
        <w:rPr>
          <w:rFonts w:ascii="Times New Roman" w:hAnsi="Times New Roman"/>
          <w:sz w:val="24"/>
          <w:szCs w:val="24"/>
        </w:rPr>
        <w:t xml:space="preserve">”. Enquanto o olhar docente lê a responsabilização como sinal de amadurecimento profissional, o olhar discente revela </w:t>
      </w:r>
      <w:r w:rsidR="00BE2E39">
        <w:rPr>
          <w:rFonts w:ascii="Times New Roman" w:hAnsi="Times New Roman"/>
          <w:sz w:val="24"/>
          <w:szCs w:val="24"/>
        </w:rPr>
        <w:t>os desa</w:t>
      </w:r>
      <w:r w:rsidR="00EC23CA">
        <w:rPr>
          <w:rFonts w:ascii="Times New Roman" w:hAnsi="Times New Roman"/>
          <w:sz w:val="24"/>
          <w:szCs w:val="24"/>
        </w:rPr>
        <w:t>fios</w:t>
      </w:r>
      <w:r w:rsidR="00AB2235">
        <w:rPr>
          <w:rFonts w:ascii="Times New Roman" w:hAnsi="Times New Roman"/>
          <w:sz w:val="24"/>
          <w:szCs w:val="24"/>
        </w:rPr>
        <w:t xml:space="preserve"> e os aprendizados </w:t>
      </w:r>
      <w:r w:rsidR="00814F59">
        <w:rPr>
          <w:rFonts w:ascii="Times New Roman" w:hAnsi="Times New Roman"/>
          <w:sz w:val="24"/>
          <w:szCs w:val="24"/>
        </w:rPr>
        <w:t xml:space="preserve">decorrentes da experiência de assumir a condução </w:t>
      </w:r>
      <w:r w:rsidR="00BE298F">
        <w:rPr>
          <w:rFonts w:ascii="Times New Roman" w:hAnsi="Times New Roman"/>
          <w:sz w:val="24"/>
          <w:szCs w:val="24"/>
        </w:rPr>
        <w:t xml:space="preserve">das atividades, desenvolvendo confiança, iniciativa e </w:t>
      </w:r>
      <w:r w:rsidR="0030780B">
        <w:rPr>
          <w:rFonts w:ascii="Times New Roman" w:hAnsi="Times New Roman"/>
          <w:sz w:val="24"/>
          <w:szCs w:val="24"/>
        </w:rPr>
        <w:t xml:space="preserve">capacidade de tomar decisões. Essa </w:t>
      </w:r>
      <w:r>
        <w:rPr>
          <w:rFonts w:ascii="Times New Roman" w:hAnsi="Times New Roman"/>
          <w:sz w:val="24"/>
          <w:szCs w:val="24"/>
        </w:rPr>
        <w:t>dimensão que dificilmente seria acessada apenas pela observação externa. Esse achado reforça a diretriz de impacto na formação do estudante, que a Política Nacional de Extensão Universitária atribui às ações extensionistas (FORPROEX, 2012).</w:t>
      </w:r>
    </w:p>
    <w:p w14:paraId="0494A312" w14:textId="3A225F45" w:rsidR="00F91EF8" w:rsidRDefault="051B1E32" w:rsidP="051B1E32">
      <w:pPr>
        <w:spacing w:after="120" w:line="240" w:lineRule="auto"/>
        <w:ind w:firstLine="709"/>
        <w:jc w:val="both"/>
      </w:pPr>
      <w:r w:rsidRPr="051B1E32">
        <w:rPr>
          <w:rFonts w:ascii="Times New Roman" w:hAnsi="Times New Roman"/>
          <w:b/>
          <w:bCs/>
          <w:sz w:val="24"/>
          <w:szCs w:val="24"/>
        </w:rPr>
        <w:lastRenderedPageBreak/>
        <w:t>Formação docente e pessoal.</w:t>
      </w:r>
      <w:r w:rsidRPr="051B1E32">
        <w:rPr>
          <w:rFonts w:ascii="Times New Roman" w:hAnsi="Times New Roman"/>
          <w:sz w:val="24"/>
          <w:szCs w:val="24"/>
        </w:rPr>
        <w:t xml:space="preserve"> As narrativas mostraram que a experiência formativa não se restringiu ao bolsista. Os docentes relataram que orientar o bolsista os levou a refletir sobre suas práticas pedagógicas, compartilhar conhecimentos e acompanhar o desenvolvimento de sua autonomia na condução das aulas (</w:t>
      </w:r>
      <w:proofErr w:type="spellStart"/>
      <w:r w:rsidRPr="051B1E32">
        <w:rPr>
          <w:rFonts w:ascii="Times New Roman" w:hAnsi="Times New Roman"/>
          <w:sz w:val="24"/>
          <w:szCs w:val="24"/>
        </w:rPr>
        <w:t>Pocidonio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, Da Silva, 2025). O bolsista, por sua vez, associou o projeto ao desenvolvimento de sua identidade profissional como futuro professor de Educação Física, à aquisição de experiência prática no ensino do karatê e à construção de vínculos com os praticantes e a comunidade. A responsabilidade de conduzir as atividades com diferentes públicos possibilitou aproximar os conhecimentos acadêmicos das demandas reais da atuação profissional, contribuindo para o desenvolvimento da comunicação, da organização e da capacidade de planejamento. Ao recontar a experiência a partir de diferentes posições, os autores atribuíram novos sentidos ao que viveram, como propõem </w:t>
      </w:r>
      <w:proofErr w:type="spellStart"/>
      <w:r w:rsidRPr="051B1E32">
        <w:rPr>
          <w:rFonts w:ascii="Times New Roman" w:hAnsi="Times New Roman"/>
          <w:sz w:val="24"/>
          <w:szCs w:val="24"/>
        </w:rPr>
        <w:t>Clandinin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 e Connelly (2011), e transformaram o registro do percurso em interpretação crítica, conforme a lógica da sistematização de experiências (JARA HOLLIDAY, 2006).</w:t>
      </w:r>
    </w:p>
    <w:p w14:paraId="5540991E" w14:textId="77777777" w:rsidR="00F91EF8" w:rsidRDefault="003B072D">
      <w:pPr>
        <w:keepNext/>
        <w:spacing w:before="120" w:after="60" w:line="240" w:lineRule="auto"/>
        <w:jc w:val="center"/>
      </w:pPr>
      <w:r>
        <w:rPr>
          <w:rFonts w:ascii="Times New Roman" w:hAnsi="Times New Roman"/>
          <w:b/>
          <w:sz w:val="20"/>
          <w:szCs w:val="20"/>
        </w:rPr>
        <w:t>Quadro 1 – Síntese dos olhares de docentes e bolsista por eixo temático</w:t>
      </w:r>
    </w:p>
    <w:tbl>
      <w:tblPr>
        <w:tblW w:w="8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2250"/>
        <w:gridCol w:w="2250"/>
      </w:tblGrid>
      <w:tr w:rsidR="00F91EF8" w:rsidRPr="00601D04" w14:paraId="456EAA93" w14:textId="77777777">
        <w:trPr>
          <w:cantSplit/>
          <w:tblHeader/>
          <w:jc w:val="center"/>
        </w:trPr>
        <w:tc>
          <w:tcPr>
            <w:tcW w:w="1700" w:type="dxa"/>
            <w:shd w:val="clear" w:color="auto" w:fill="D9D9D9"/>
          </w:tcPr>
          <w:p w14:paraId="2A3EFADA" w14:textId="77777777" w:rsidR="00F91EF8" w:rsidRPr="00601D04" w:rsidRDefault="003B072D">
            <w:pPr>
              <w:spacing w:after="0" w:line="240" w:lineRule="auto"/>
              <w:jc w:val="center"/>
            </w:pPr>
            <w:r w:rsidRPr="00601D04">
              <w:rPr>
                <w:rFonts w:ascii="Times New Roman" w:hAnsi="Times New Roman"/>
                <w:b/>
                <w:sz w:val="20"/>
                <w:szCs w:val="20"/>
              </w:rPr>
              <w:t>Eixo</w:t>
            </w:r>
          </w:p>
        </w:tc>
        <w:tc>
          <w:tcPr>
            <w:tcW w:w="2300" w:type="dxa"/>
            <w:shd w:val="clear" w:color="auto" w:fill="D9D9D9"/>
          </w:tcPr>
          <w:p w14:paraId="4D2A46B3" w14:textId="77777777" w:rsidR="00F91EF8" w:rsidRPr="00601D04" w:rsidRDefault="003B072D">
            <w:pPr>
              <w:spacing w:after="0" w:line="240" w:lineRule="auto"/>
              <w:jc w:val="center"/>
            </w:pPr>
            <w:r w:rsidRPr="00601D04">
              <w:rPr>
                <w:rFonts w:ascii="Times New Roman" w:hAnsi="Times New Roman"/>
                <w:b/>
                <w:sz w:val="20"/>
                <w:szCs w:val="20"/>
              </w:rPr>
              <w:t>Olhar dos docentes</w:t>
            </w:r>
          </w:p>
        </w:tc>
        <w:tc>
          <w:tcPr>
            <w:tcW w:w="2250" w:type="dxa"/>
            <w:shd w:val="clear" w:color="auto" w:fill="D9D9D9"/>
          </w:tcPr>
          <w:p w14:paraId="69E72222" w14:textId="77777777" w:rsidR="00F91EF8" w:rsidRPr="00601D04" w:rsidRDefault="003B072D">
            <w:pPr>
              <w:spacing w:after="0" w:line="240" w:lineRule="auto"/>
              <w:jc w:val="center"/>
            </w:pPr>
            <w:r w:rsidRPr="00601D04">
              <w:rPr>
                <w:rFonts w:ascii="Times New Roman" w:hAnsi="Times New Roman"/>
                <w:b/>
                <w:sz w:val="20"/>
                <w:szCs w:val="20"/>
              </w:rPr>
              <w:t>Olhar do bolsista</w:t>
            </w:r>
          </w:p>
        </w:tc>
        <w:tc>
          <w:tcPr>
            <w:tcW w:w="2250" w:type="dxa"/>
            <w:shd w:val="clear" w:color="auto" w:fill="D9D9D9"/>
          </w:tcPr>
          <w:p w14:paraId="63155BC6" w14:textId="77777777" w:rsidR="00F91EF8" w:rsidRPr="00601D04" w:rsidRDefault="003B072D">
            <w:pPr>
              <w:spacing w:after="0" w:line="240" w:lineRule="auto"/>
              <w:jc w:val="center"/>
            </w:pPr>
            <w:r w:rsidRPr="00601D04">
              <w:rPr>
                <w:rFonts w:ascii="Times New Roman" w:hAnsi="Times New Roman"/>
                <w:b/>
                <w:sz w:val="20"/>
                <w:szCs w:val="20"/>
              </w:rPr>
              <w:t>Convergências e singularidades</w:t>
            </w:r>
          </w:p>
        </w:tc>
      </w:tr>
      <w:tr w:rsidR="00F91EF8" w:rsidRPr="00601D04" w14:paraId="49206928" w14:textId="77777777">
        <w:trPr>
          <w:cantSplit/>
          <w:jc w:val="center"/>
        </w:trPr>
        <w:tc>
          <w:tcPr>
            <w:tcW w:w="1700" w:type="dxa"/>
          </w:tcPr>
          <w:p w14:paraId="4192959B" w14:textId="77777777" w:rsidR="00F91EF8" w:rsidRPr="00601D04" w:rsidRDefault="003B072D">
            <w:pPr>
              <w:spacing w:after="0" w:line="240" w:lineRule="auto"/>
            </w:pPr>
            <w:r w:rsidRPr="00601D04">
              <w:rPr>
                <w:rFonts w:ascii="Times New Roman" w:hAnsi="Times New Roman"/>
                <w:sz w:val="20"/>
                <w:szCs w:val="20"/>
              </w:rPr>
              <w:t>Desenvolvimento técnico e postural</w:t>
            </w:r>
          </w:p>
        </w:tc>
        <w:tc>
          <w:tcPr>
            <w:tcW w:w="2300" w:type="dxa"/>
          </w:tcPr>
          <w:p w14:paraId="2F822ABC" w14:textId="4957AAD3" w:rsidR="00F91EF8" w:rsidRPr="00601D04" w:rsidRDefault="00CF5746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Mudanças </w:t>
            </w:r>
            <w:r w:rsidR="0098312E">
              <w:rPr>
                <w:rFonts w:ascii="Times New Roman" w:hAnsi="Times New Roman"/>
                <w:sz w:val="20"/>
                <w:szCs w:val="20"/>
              </w:rPr>
              <w:t>na execução técnica, na postura e na confiança durante as práticas</w:t>
            </w:r>
          </w:p>
        </w:tc>
        <w:tc>
          <w:tcPr>
            <w:tcW w:w="2250" w:type="dxa"/>
          </w:tcPr>
          <w:p w14:paraId="2FAE3674" w14:textId="43D268AB" w:rsidR="00F91EF8" w:rsidRPr="00DA3F63" w:rsidRDefault="003E23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3F63">
              <w:rPr>
                <w:rFonts w:ascii="Times New Roman" w:hAnsi="Times New Roman"/>
                <w:sz w:val="20"/>
                <w:szCs w:val="20"/>
              </w:rPr>
              <w:t>Percepção do próprio desenvolvimento técnico e ampliação dos conhecimentos sobre a modalidade.</w:t>
            </w:r>
          </w:p>
        </w:tc>
        <w:tc>
          <w:tcPr>
            <w:tcW w:w="2250" w:type="dxa"/>
          </w:tcPr>
          <w:p w14:paraId="496BD6E8" w14:textId="4E555FFC" w:rsidR="00F91EF8" w:rsidRPr="00B67E54" w:rsidRDefault="00DA3F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7E54">
              <w:rPr>
                <w:rFonts w:ascii="Times New Roman" w:hAnsi="Times New Roman"/>
                <w:sz w:val="20"/>
                <w:szCs w:val="20"/>
              </w:rPr>
              <w:t>Ambos reconhecem a evolução; o bolsista destaca a relação entre a prática e a experiência de ensinar.</w:t>
            </w:r>
          </w:p>
        </w:tc>
      </w:tr>
      <w:tr w:rsidR="00F91EF8" w:rsidRPr="00601D04" w14:paraId="73D4C52F" w14:textId="77777777">
        <w:trPr>
          <w:cantSplit/>
          <w:jc w:val="center"/>
        </w:trPr>
        <w:tc>
          <w:tcPr>
            <w:tcW w:w="1700" w:type="dxa"/>
          </w:tcPr>
          <w:p w14:paraId="7B6F0C6D" w14:textId="77777777" w:rsidR="00F91EF8" w:rsidRPr="00601D04" w:rsidRDefault="003B072D">
            <w:pPr>
              <w:spacing w:after="0" w:line="240" w:lineRule="auto"/>
            </w:pPr>
            <w:r w:rsidRPr="00601D04">
              <w:rPr>
                <w:rFonts w:ascii="Times New Roman" w:hAnsi="Times New Roman"/>
                <w:sz w:val="20"/>
                <w:szCs w:val="20"/>
              </w:rPr>
              <w:t>Responsabilização e autonomia</w:t>
            </w:r>
          </w:p>
        </w:tc>
        <w:tc>
          <w:tcPr>
            <w:tcW w:w="2300" w:type="dxa"/>
          </w:tcPr>
          <w:p w14:paraId="6E3CBD30" w14:textId="77777777" w:rsidR="00F91EF8" w:rsidRPr="00601D04" w:rsidRDefault="003B072D">
            <w:pPr>
              <w:spacing w:after="0" w:line="240" w:lineRule="auto"/>
            </w:pPr>
            <w:r w:rsidRPr="00601D04">
              <w:rPr>
                <w:rFonts w:ascii="Times New Roman" w:hAnsi="Times New Roman"/>
                <w:sz w:val="20"/>
                <w:szCs w:val="20"/>
              </w:rPr>
              <w:t>Assunção progressiva de demandas; amadurecimento profissional</w:t>
            </w:r>
          </w:p>
        </w:tc>
        <w:tc>
          <w:tcPr>
            <w:tcW w:w="2250" w:type="dxa"/>
          </w:tcPr>
          <w:p w14:paraId="2B32C390" w14:textId="1E98DBA7" w:rsidR="00F91EF8" w:rsidRPr="00500633" w:rsidRDefault="00500633">
            <w:pPr>
              <w:spacing w:after="0" w:line="240" w:lineRule="auto"/>
            </w:pPr>
            <w:r w:rsidRPr="00500633">
              <w:rPr>
                <w:rFonts w:ascii="Times New Roman" w:hAnsi="Times New Roman"/>
                <w:sz w:val="20"/>
                <w:szCs w:val="20"/>
              </w:rPr>
              <w:t>Desenvolvimento da autonomia por meio do planejamento, da organização e da condução das aulas.</w:t>
            </w:r>
          </w:p>
        </w:tc>
        <w:tc>
          <w:tcPr>
            <w:tcW w:w="2250" w:type="dxa"/>
          </w:tcPr>
          <w:p w14:paraId="55853F28" w14:textId="4BE3CE95" w:rsidR="00F91EF8" w:rsidRPr="00601D04" w:rsidRDefault="002B2EC4">
            <w:pPr>
              <w:spacing w:after="0" w:line="240" w:lineRule="auto"/>
            </w:pPr>
            <w:r w:rsidRPr="002B2EC4">
              <w:rPr>
                <w:rFonts w:ascii="Times New Roman" w:hAnsi="Times New Roman"/>
                <w:sz w:val="20"/>
                <w:szCs w:val="20"/>
              </w:rPr>
              <w:t>Ambos reconhecem a importância da responsabilização, percebida pelos docentes como amadurecimento e pelo bolsista como aprendizagem prática.</w:t>
            </w:r>
          </w:p>
        </w:tc>
      </w:tr>
      <w:tr w:rsidR="00F91EF8" w:rsidRPr="00601D04" w14:paraId="5C19BCE6" w14:textId="77777777">
        <w:trPr>
          <w:cantSplit/>
          <w:jc w:val="center"/>
        </w:trPr>
        <w:tc>
          <w:tcPr>
            <w:tcW w:w="1700" w:type="dxa"/>
          </w:tcPr>
          <w:p w14:paraId="449D8C3E" w14:textId="77777777" w:rsidR="00F91EF8" w:rsidRPr="00601D04" w:rsidRDefault="003B072D">
            <w:pPr>
              <w:spacing w:after="0" w:line="240" w:lineRule="auto"/>
            </w:pPr>
            <w:r w:rsidRPr="00601D04">
              <w:rPr>
                <w:rFonts w:ascii="Times New Roman" w:hAnsi="Times New Roman"/>
                <w:sz w:val="20"/>
                <w:szCs w:val="20"/>
              </w:rPr>
              <w:t>Formação docente e pessoal</w:t>
            </w:r>
          </w:p>
        </w:tc>
        <w:tc>
          <w:tcPr>
            <w:tcW w:w="2300" w:type="dxa"/>
          </w:tcPr>
          <w:p w14:paraId="6B19FD37" w14:textId="02C5F089" w:rsidR="00F91EF8" w:rsidRPr="00601D04" w:rsidRDefault="002B2EC4">
            <w:pPr>
              <w:spacing w:after="0" w:line="240" w:lineRule="auto"/>
            </w:pPr>
            <w:r w:rsidRPr="002B2EC4">
              <w:rPr>
                <w:rFonts w:ascii="Times New Roman" w:hAnsi="Times New Roman"/>
                <w:sz w:val="20"/>
                <w:szCs w:val="20"/>
              </w:rPr>
              <w:t>Reflexão sobre as práticas pedagógicas e acompanhamento da formação do bolsista.</w:t>
            </w:r>
          </w:p>
        </w:tc>
        <w:tc>
          <w:tcPr>
            <w:tcW w:w="2250" w:type="dxa"/>
          </w:tcPr>
          <w:p w14:paraId="5F1406E3" w14:textId="539DB56E" w:rsidR="00F91EF8" w:rsidRPr="00601D04" w:rsidRDefault="0009361C">
            <w:pPr>
              <w:spacing w:after="0" w:line="240" w:lineRule="auto"/>
            </w:pPr>
            <w:r w:rsidRPr="0009361C">
              <w:rPr>
                <w:rFonts w:ascii="Times New Roman" w:hAnsi="Times New Roman"/>
                <w:sz w:val="20"/>
                <w:szCs w:val="20"/>
              </w:rPr>
              <w:t>Desenvolvimento da identidade profissional, aquisição de experiência docente e construção de vínculos com a comunidade.</w:t>
            </w:r>
          </w:p>
        </w:tc>
        <w:tc>
          <w:tcPr>
            <w:tcW w:w="2250" w:type="dxa"/>
          </w:tcPr>
          <w:p w14:paraId="1E591F7D" w14:textId="77777777" w:rsidR="00F91EF8" w:rsidRPr="00601D04" w:rsidRDefault="003B072D">
            <w:pPr>
              <w:spacing w:after="0" w:line="240" w:lineRule="auto"/>
            </w:pPr>
            <w:r w:rsidRPr="00601D04">
              <w:rPr>
                <w:rFonts w:ascii="Times New Roman" w:hAnsi="Times New Roman"/>
                <w:sz w:val="20"/>
                <w:szCs w:val="20"/>
              </w:rPr>
              <w:t>Formação recíproca entre orientadores e orientando</w:t>
            </w:r>
          </w:p>
        </w:tc>
      </w:tr>
    </w:tbl>
    <w:p w14:paraId="75BAC60A" w14:textId="266521EE" w:rsidR="00C14BFF" w:rsidRPr="00C15F6D" w:rsidRDefault="003B072D" w:rsidP="00C15F6D">
      <w:pPr>
        <w:spacing w:after="120" w:line="240" w:lineRule="auto"/>
      </w:pPr>
      <w:r>
        <w:rPr>
          <w:rFonts w:ascii="Times New Roman" w:hAnsi="Times New Roman"/>
          <w:sz w:val="20"/>
          <w:szCs w:val="20"/>
        </w:rPr>
        <w:t>Fonte: elaborado pelos autores (2026).</w:t>
      </w:r>
    </w:p>
    <w:p w14:paraId="0018481B" w14:textId="0580EFC1" w:rsidR="0066057A" w:rsidRDefault="0066057A" w:rsidP="0066057A">
      <w:pPr>
        <w:keepNext/>
        <w:spacing w:before="120" w:after="6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CEB5AB4" wp14:editId="72DA9C0D">
            <wp:simplePos x="0" y="0"/>
            <wp:positionH relativeFrom="column">
              <wp:posOffset>3810</wp:posOffset>
            </wp:positionH>
            <wp:positionV relativeFrom="paragraph">
              <wp:posOffset>313055</wp:posOffset>
            </wp:positionV>
            <wp:extent cx="3441065" cy="3596640"/>
            <wp:effectExtent l="0" t="0" r="6985" b="3810"/>
            <wp:wrapTopAndBottom/>
            <wp:docPr id="20365014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01426" name="Imagem 20365014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93">
        <w:rPr>
          <w:rFonts w:ascii="Times New Roman" w:hAnsi="Times New Roman"/>
          <w:b/>
          <w:sz w:val="20"/>
          <w:szCs w:val="20"/>
        </w:rPr>
        <w:t xml:space="preserve">Figura 1 – Fotografia de uma aula conduzida pelo bolsista </w:t>
      </w:r>
    </w:p>
    <w:p w14:paraId="0CCCA271" w14:textId="52A0FFC4" w:rsidR="00271F7B" w:rsidRPr="0066057A" w:rsidRDefault="00271F7B" w:rsidP="0066057A">
      <w:pPr>
        <w:keepNext/>
        <w:spacing w:before="120" w:after="6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B5BFF8E" w14:textId="2EB87462" w:rsidR="00CD2EE9" w:rsidRPr="00CD2EE9" w:rsidRDefault="00CD2EE9" w:rsidP="009D340A">
      <w:pPr>
        <w:keepNext/>
        <w:spacing w:before="120" w:after="60" w:line="240" w:lineRule="auto"/>
        <w:rPr>
          <w:rFonts w:ascii="Times New Roman" w:hAnsi="Times New Roman"/>
          <w:sz w:val="20"/>
          <w:szCs w:val="20"/>
        </w:rPr>
      </w:pPr>
      <w:r>
        <w:t>Fonte: elaborado pelos autores (2026).</w:t>
      </w:r>
    </w:p>
    <w:p w14:paraId="7B1188C0" w14:textId="341DDD04" w:rsidR="003B0093" w:rsidRPr="00C14BFF" w:rsidRDefault="003B0093" w:rsidP="003B0093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5C921AD7" w14:textId="77777777" w:rsidR="00F91EF8" w:rsidRDefault="003B072D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Como limites, destaca-se que o relato se refere a um único bolsista e que as narrativas foram produzidas pelos próprios envolvidos na experiência. Essa implicação, porém, é constitutiva do relato de experiência e foi explicitada ao longo do trabalho (DALTRO; FARIA, 2019). Como desdobramento, pretende-se incluir em etapas futuras a percepção dos praticantes do projeto e acompanhar novos bolsistas com o mesmo procedimento.</w:t>
      </w:r>
    </w:p>
    <w:p w14:paraId="6C1C8943" w14:textId="77777777" w:rsidR="00F91EF8" w:rsidRDefault="003B072D">
      <w:pPr>
        <w:pStyle w:val="NormalWeb"/>
        <w:keepNext/>
        <w:numPr>
          <w:ilvl w:val="0"/>
          <w:numId w:val="1"/>
        </w:numPr>
        <w:spacing w:before="240" w:beforeAutospacing="0" w:after="120" w:afterAutospacing="0"/>
        <w:ind w:left="426" w:hanging="426"/>
        <w:jc w:val="both"/>
      </w:pPr>
      <w:r>
        <w:rPr>
          <w:b/>
        </w:rPr>
        <w:t>Conclusão</w:t>
      </w:r>
    </w:p>
    <w:p w14:paraId="1DCAC368" w14:textId="3EBF182E" w:rsidR="00F91EF8" w:rsidRDefault="051B1E32">
      <w:pPr>
        <w:spacing w:after="120" w:line="240" w:lineRule="auto"/>
        <w:ind w:firstLine="709"/>
        <w:jc w:val="both"/>
      </w:pPr>
      <w:r w:rsidRPr="051B1E32">
        <w:rPr>
          <w:rFonts w:ascii="Times New Roman" w:hAnsi="Times New Roman"/>
          <w:sz w:val="24"/>
          <w:szCs w:val="24"/>
        </w:rPr>
        <w:t xml:space="preserve">O projeto de extensão em </w:t>
      </w:r>
      <w:proofErr w:type="spellStart"/>
      <w:r w:rsidRPr="051B1E32">
        <w:rPr>
          <w:rFonts w:ascii="Times New Roman" w:hAnsi="Times New Roman"/>
          <w:sz w:val="24"/>
          <w:szCs w:val="24"/>
        </w:rPr>
        <w:t>karate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51B1E32">
        <w:rPr>
          <w:rFonts w:ascii="Times New Roman" w:hAnsi="Times New Roman"/>
          <w:sz w:val="24"/>
          <w:szCs w:val="24"/>
        </w:rPr>
        <w:t>Shotokan</w:t>
      </w:r>
      <w:proofErr w:type="spellEnd"/>
      <w:r w:rsidRPr="051B1E32">
        <w:rPr>
          <w:rFonts w:ascii="Times New Roman" w:hAnsi="Times New Roman"/>
          <w:sz w:val="24"/>
          <w:szCs w:val="24"/>
        </w:rPr>
        <w:t xml:space="preserve"> constitui espaço formativo para o bolsista. Essa formação ultrapassa a dimensão técnica da modalidade, desenvolve sua postura como praticante e assume responsabilidades de ensino e organização. Docentes e bolsista convergem ao reconhecer a responsabilização como marca central da experiência, mas atribuem a ela sentidos distintos. O confronto entre as narrativas revela dimensões que um único olhar não alcança. A formação também é recíproca, pois orientar transforma a prática dos docentes. As narrativas reflexivas cruzadas mostram-se estratégia viável para acompanhar bolsistas em projetos de extensão.</w:t>
      </w:r>
    </w:p>
    <w:p w14:paraId="06B72E33" w14:textId="77777777" w:rsidR="00F91EF8" w:rsidRDefault="003B072D">
      <w:pPr>
        <w:pStyle w:val="NormalWeb"/>
        <w:keepNext/>
        <w:numPr>
          <w:ilvl w:val="0"/>
          <w:numId w:val="1"/>
        </w:numPr>
        <w:spacing w:before="240" w:beforeAutospacing="0" w:after="120" w:afterAutospacing="0"/>
        <w:ind w:left="426" w:hanging="426"/>
        <w:jc w:val="both"/>
      </w:pPr>
      <w:r>
        <w:rPr>
          <w:b/>
        </w:rPr>
        <w:t>Agradecimentos</w:t>
      </w:r>
    </w:p>
    <w:p w14:paraId="3C73FD98" w14:textId="709FB1F9" w:rsidR="00F91EF8" w:rsidRPr="00E2270F" w:rsidRDefault="003B072D" w:rsidP="00E2270F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À Universidade Regional do Cariri (URCA)</w:t>
      </w:r>
      <w:r w:rsidR="00D05B6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à</w:t>
      </w:r>
      <w:r w:rsidR="00D05B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5B6E" w:rsidRPr="00D05B6E">
        <w:rPr>
          <w:rFonts w:ascii="Times New Roman" w:hAnsi="Times New Roman"/>
          <w:sz w:val="24"/>
          <w:szCs w:val="24"/>
        </w:rPr>
        <w:t>Pró-Reitoria</w:t>
      </w:r>
      <w:proofErr w:type="spellEnd"/>
      <w:r w:rsidR="00D05B6E" w:rsidRPr="00D05B6E">
        <w:rPr>
          <w:rFonts w:ascii="Times New Roman" w:hAnsi="Times New Roman"/>
          <w:sz w:val="24"/>
          <w:szCs w:val="24"/>
        </w:rPr>
        <w:t xml:space="preserve"> de Assuntos Estudantis (P</w:t>
      </w:r>
      <w:r w:rsidR="00B00576">
        <w:rPr>
          <w:rFonts w:ascii="Times New Roman" w:hAnsi="Times New Roman"/>
          <w:sz w:val="24"/>
          <w:szCs w:val="24"/>
        </w:rPr>
        <w:t>ROAE)</w:t>
      </w:r>
      <w:r w:rsidR="008F42AA">
        <w:rPr>
          <w:rFonts w:ascii="Times New Roman" w:hAnsi="Times New Roman"/>
          <w:sz w:val="24"/>
          <w:szCs w:val="24"/>
        </w:rPr>
        <w:t xml:space="preserve"> e ao </w:t>
      </w:r>
      <w:r w:rsidR="008F42AA" w:rsidRPr="008F42AA">
        <w:rPr>
          <w:rFonts w:ascii="Times New Roman" w:hAnsi="Times New Roman"/>
          <w:sz w:val="24"/>
          <w:szCs w:val="24"/>
        </w:rPr>
        <w:t>Fundo Estadual de Combate à Pobreza (FECOP)</w:t>
      </w:r>
      <w:r w:rsidR="008965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pela concessão da bolsa. Aos praticantes do projeto e às suas famílias.</w:t>
      </w:r>
    </w:p>
    <w:p w14:paraId="48D48A5B" w14:textId="77777777" w:rsidR="00F91EF8" w:rsidRDefault="003B072D">
      <w:pPr>
        <w:pStyle w:val="NormalWeb"/>
        <w:keepNext/>
        <w:numPr>
          <w:ilvl w:val="0"/>
          <w:numId w:val="1"/>
        </w:numPr>
        <w:spacing w:before="240" w:beforeAutospacing="0" w:after="120" w:afterAutospacing="0"/>
        <w:ind w:left="426" w:hanging="426"/>
        <w:jc w:val="both"/>
      </w:pPr>
      <w:r>
        <w:rPr>
          <w:b/>
        </w:rPr>
        <w:lastRenderedPageBreak/>
        <w:t>Referências</w:t>
      </w:r>
    </w:p>
    <w:p w14:paraId="1CCCB29B" w14:textId="77777777" w:rsidR="00F91EF8" w:rsidRDefault="003B072D">
      <w:pPr>
        <w:spacing w:line="240" w:lineRule="auto"/>
      </w:pPr>
      <w:r>
        <w:rPr>
          <w:rFonts w:ascii="Times New Roman" w:hAnsi="Times New Roman"/>
          <w:sz w:val="24"/>
          <w:szCs w:val="24"/>
        </w:rPr>
        <w:t xml:space="preserve">BRASIL. Conselho Nacional de Saúde. Resolução nº 510, de 7 de abril de 2016. Dispõe sobre as normas aplicáveis a pesquisas em Ciências Humanas e Sociais. </w:t>
      </w:r>
      <w:r>
        <w:rPr>
          <w:rFonts w:ascii="Times New Roman" w:hAnsi="Times New Roman"/>
          <w:b/>
          <w:sz w:val="24"/>
          <w:szCs w:val="24"/>
        </w:rPr>
        <w:t>Diário Oficial da União</w:t>
      </w:r>
      <w:r>
        <w:rPr>
          <w:rFonts w:ascii="Times New Roman" w:hAnsi="Times New Roman"/>
          <w:sz w:val="24"/>
          <w:szCs w:val="24"/>
        </w:rPr>
        <w:t>: seção 1, Brasília, DF, p. 44-46, 24 maio 2016.</w:t>
      </w:r>
    </w:p>
    <w:p w14:paraId="73ECAD36" w14:textId="77777777" w:rsidR="00F91EF8" w:rsidRDefault="003B072D">
      <w:pPr>
        <w:spacing w:line="240" w:lineRule="auto"/>
      </w:pPr>
      <w:r>
        <w:rPr>
          <w:rFonts w:ascii="Times New Roman" w:hAnsi="Times New Roman"/>
          <w:sz w:val="24"/>
          <w:szCs w:val="24"/>
        </w:rPr>
        <w:t xml:space="preserve">CLANDININ, D. J.; CONNELLY, F. M. </w:t>
      </w:r>
      <w:r>
        <w:rPr>
          <w:rFonts w:ascii="Times New Roman" w:hAnsi="Times New Roman"/>
          <w:b/>
          <w:sz w:val="24"/>
          <w:szCs w:val="24"/>
        </w:rPr>
        <w:t>Pesquisa narrativa</w:t>
      </w:r>
      <w:r>
        <w:rPr>
          <w:rFonts w:ascii="Times New Roman" w:hAnsi="Times New Roman"/>
          <w:sz w:val="24"/>
          <w:szCs w:val="24"/>
        </w:rPr>
        <w:t>: experiência e história em pesquisa qualitativa. Tradução: Grupo de Pesquisa Narrativa e Educação de Professores ILEEI/UFU. Uberlândia: EDUFU, 2011.</w:t>
      </w:r>
    </w:p>
    <w:p w14:paraId="59BDE6B4" w14:textId="77777777" w:rsidR="00F91EF8" w:rsidRDefault="003B072D">
      <w:pPr>
        <w:spacing w:line="240" w:lineRule="auto"/>
      </w:pPr>
      <w:r>
        <w:rPr>
          <w:rFonts w:ascii="Times New Roman" w:hAnsi="Times New Roman"/>
          <w:sz w:val="24"/>
          <w:szCs w:val="24"/>
        </w:rPr>
        <w:t xml:space="preserve">DALTRO, M. R.; FARIA, A. A. Relato de experiência: uma narrativa científica na pós-modernidade. </w:t>
      </w:r>
      <w:r>
        <w:rPr>
          <w:rFonts w:ascii="Times New Roman" w:hAnsi="Times New Roman"/>
          <w:b/>
          <w:sz w:val="24"/>
          <w:szCs w:val="24"/>
        </w:rPr>
        <w:t>Estudos e Pesquisas em Psicologia</w:t>
      </w:r>
      <w:r>
        <w:rPr>
          <w:rFonts w:ascii="Times New Roman" w:hAnsi="Times New Roman"/>
          <w:sz w:val="24"/>
          <w:szCs w:val="24"/>
        </w:rPr>
        <w:t>, Rio de Janeiro, v. 19, n. 1, p. 223-237, 2019.</w:t>
      </w:r>
    </w:p>
    <w:p w14:paraId="4585EEEA" w14:textId="044C4B38" w:rsidR="00486C19" w:rsidRDefault="003B072D">
      <w:pPr>
        <w:spacing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FÓRUM DE PRÓ-REITORES DAS INSTITUIÇÕES PÚBLICAS DE EDUCAÇÃO SUPERIOR BRASILEIRAS (FORPROEX). </w:t>
      </w:r>
      <w:r>
        <w:rPr>
          <w:rFonts w:ascii="Times New Roman" w:hAnsi="Times New Roman"/>
          <w:b/>
          <w:sz w:val="24"/>
          <w:szCs w:val="24"/>
        </w:rPr>
        <w:t>Política Nacional de Extensão Universitária</w:t>
      </w:r>
      <w:r>
        <w:rPr>
          <w:rFonts w:ascii="Times New Roman" w:hAnsi="Times New Roman"/>
          <w:sz w:val="24"/>
          <w:szCs w:val="24"/>
        </w:rPr>
        <w:t>. Manaus: FORPROEX, 2012.</w:t>
      </w:r>
      <w:r w:rsidR="002554E9">
        <w:rPr>
          <w:rFonts w:ascii="Times New Roman" w:hAnsi="Times New Roman"/>
          <w:sz w:val="24"/>
          <w:szCs w:val="24"/>
        </w:rPr>
        <w:t xml:space="preserve"> </w:t>
      </w:r>
    </w:p>
    <w:p w14:paraId="264DD485" w14:textId="7D65CD67" w:rsidR="00F91EF8" w:rsidRDefault="003B072D">
      <w:pPr>
        <w:spacing w:line="240" w:lineRule="auto"/>
      </w:pPr>
      <w:r>
        <w:rPr>
          <w:rFonts w:ascii="Times New Roman" w:hAnsi="Times New Roman"/>
          <w:sz w:val="24"/>
          <w:szCs w:val="24"/>
        </w:rPr>
        <w:t xml:space="preserve">JARA HOLLIDAY, O. </w:t>
      </w:r>
      <w:r>
        <w:rPr>
          <w:rFonts w:ascii="Times New Roman" w:hAnsi="Times New Roman"/>
          <w:b/>
          <w:sz w:val="24"/>
          <w:szCs w:val="24"/>
        </w:rPr>
        <w:t>Para sistematizar experiências</w:t>
      </w:r>
      <w:r>
        <w:rPr>
          <w:rFonts w:ascii="Times New Roman" w:hAnsi="Times New Roman"/>
          <w:sz w:val="24"/>
          <w:szCs w:val="24"/>
        </w:rPr>
        <w:t>. Tradução: Maria Viviana V. Resende. 2. ed. rev. Brasília: MMA, 2006.</w:t>
      </w:r>
    </w:p>
    <w:p w14:paraId="07FCA785" w14:textId="02B340F5" w:rsidR="00427B3B" w:rsidRDefault="00427B3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LINS, L. et al. Extensão universitária e inclusão social de estudantes do ensino médio público. Trabalho, Educação e Saúde, v. 12, n. 3, p. 679–694, 2014.</w:t>
      </w:r>
    </w:p>
    <w:p w14:paraId="12DEB455" w14:textId="671411D3" w:rsidR="00F91EF8" w:rsidRDefault="003B072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MUSSI, R. F. F.; FLORES, F. F.; ALMEIDA, C. B. Pressupostos para a elaboração de relato de experiência como conhecimento científico. </w:t>
      </w:r>
      <w:r>
        <w:rPr>
          <w:rFonts w:ascii="Times New Roman" w:hAnsi="Times New Roman"/>
          <w:b/>
          <w:sz w:val="24"/>
          <w:szCs w:val="24"/>
        </w:rPr>
        <w:t>Revista Práxis Educacional</w:t>
      </w:r>
      <w:r>
        <w:rPr>
          <w:rFonts w:ascii="Times New Roman" w:hAnsi="Times New Roman"/>
          <w:sz w:val="24"/>
          <w:szCs w:val="24"/>
        </w:rPr>
        <w:t>, Vitória da Conquista, v. 17, n. 48, p. 60-77, 2021. DOI: https://doi.org/10.22481/praxisedu.v17i48.9010.</w:t>
      </w:r>
    </w:p>
    <w:p w14:paraId="7760E6C1" w14:textId="5EDCD978" w:rsidR="00EC6E5E" w:rsidRPr="009F5913" w:rsidRDefault="00EC6E5E">
      <w:pPr>
        <w:spacing w:line="240" w:lineRule="auto"/>
        <w:rPr>
          <w:rFonts w:ascii="Times New Roman" w:hAnsi="Times New Roman"/>
          <w:sz w:val="24"/>
          <w:szCs w:val="24"/>
        </w:rPr>
      </w:pPr>
      <w:r w:rsidRPr="009F5913">
        <w:rPr>
          <w:rFonts w:ascii="Times New Roman" w:hAnsi="Times New Roman"/>
          <w:sz w:val="24"/>
          <w:szCs w:val="24"/>
        </w:rPr>
        <w:t xml:space="preserve">POCIDONIO, </w:t>
      </w:r>
      <w:proofErr w:type="spellStart"/>
      <w:r w:rsidRPr="009F5913">
        <w:rPr>
          <w:rFonts w:ascii="Times New Roman" w:hAnsi="Times New Roman"/>
          <w:sz w:val="24"/>
          <w:szCs w:val="24"/>
        </w:rPr>
        <w:t>Kauan</w:t>
      </w:r>
      <w:proofErr w:type="spellEnd"/>
      <w:r w:rsidRPr="009F5913">
        <w:rPr>
          <w:rFonts w:ascii="Times New Roman" w:hAnsi="Times New Roman"/>
          <w:sz w:val="24"/>
          <w:szCs w:val="24"/>
        </w:rPr>
        <w:t>; DA SILVA, Douglas Alves. Projeto de extensão “FUTSAL UNIVERSITÁRIO”: Dificuldades e aprendizados. Revista de Extensão – REVEXT, vol. 4, n.1, p. 10-17, 2025.</w:t>
      </w:r>
    </w:p>
    <w:p w14:paraId="04B8D555" w14:textId="77777777" w:rsidR="00F91EF8" w:rsidRDefault="051B1E32">
      <w:pPr>
        <w:spacing w:line="240" w:lineRule="auto"/>
      </w:pPr>
      <w:r w:rsidRPr="051B1E32">
        <w:rPr>
          <w:rFonts w:ascii="Times New Roman" w:hAnsi="Times New Roman"/>
          <w:sz w:val="24"/>
          <w:szCs w:val="24"/>
        </w:rPr>
        <w:t xml:space="preserve">RUFINO, L. G. B. As lutas no contexto escolar e outros ambientes educacionais. </w:t>
      </w:r>
      <w:r w:rsidRPr="051B1E32">
        <w:rPr>
          <w:rFonts w:ascii="Times New Roman" w:hAnsi="Times New Roman"/>
          <w:b/>
          <w:bCs/>
          <w:sz w:val="24"/>
          <w:szCs w:val="24"/>
        </w:rPr>
        <w:t>Revista Brasileira de Prescrição e Fisiologia do Exercício</w:t>
      </w:r>
      <w:r w:rsidRPr="051B1E32">
        <w:rPr>
          <w:rFonts w:ascii="Times New Roman" w:hAnsi="Times New Roman"/>
          <w:sz w:val="24"/>
          <w:szCs w:val="24"/>
        </w:rPr>
        <w:t>, São Paulo, v. 11, n. 63, p. 914-916, 2016. Edição especial.</w:t>
      </w:r>
    </w:p>
    <w:p w14:paraId="1F2ADFA0" w14:textId="6A9510A8" w:rsidR="051B1E32" w:rsidRDefault="051B1E32" w:rsidP="051B1E32">
      <w:pPr>
        <w:spacing w:line="240" w:lineRule="auto"/>
      </w:pPr>
      <w:r w:rsidRPr="051B1E32">
        <w:rPr>
          <w:rFonts w:ascii="Times New Roman" w:eastAsia="Times New Roman" w:hAnsi="Times New Roman"/>
          <w:color w:val="222222"/>
          <w:sz w:val="24"/>
          <w:szCs w:val="24"/>
        </w:rPr>
        <w:t xml:space="preserve">RUFINO, Luiz Gustavo Bonatto; GOMES, Mariana Simões Pimentel. Breve panorama histórico sobre o ensino das lutas, artes marciais e esportes de combate no Brasil: caminhos, processos e proposições. </w:t>
      </w:r>
      <w:r w:rsidRPr="051B1E32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Conexões,</w:t>
      </w:r>
      <w:r w:rsidRPr="051B1E32">
        <w:rPr>
          <w:rFonts w:ascii="Times New Roman" w:eastAsia="Times New Roman" w:hAnsi="Times New Roman"/>
          <w:color w:val="222222"/>
          <w:sz w:val="24"/>
          <w:szCs w:val="24"/>
        </w:rPr>
        <w:t xml:space="preserve"> v. 22, p. e024047-e024047, 2024.</w:t>
      </w:r>
    </w:p>
    <w:p w14:paraId="3C1E305F" w14:textId="6CFD9D10" w:rsidR="051B1E32" w:rsidRDefault="051B1E32" w:rsidP="051B1E32">
      <w:pPr>
        <w:spacing w:line="240" w:lineRule="auto"/>
      </w:pPr>
      <w:r w:rsidRPr="051B1E32">
        <w:rPr>
          <w:rFonts w:ascii="Times New Roman" w:eastAsia="Times New Roman" w:hAnsi="Times New Roman"/>
          <w:color w:val="222222"/>
          <w:sz w:val="24"/>
          <w:szCs w:val="24"/>
        </w:rPr>
        <w:t xml:space="preserve">RUFINO, Luiz Gustavo Bonatto; OLIVEIRA, Amauri Aparecido </w:t>
      </w:r>
      <w:proofErr w:type="spellStart"/>
      <w:r w:rsidRPr="051B1E32">
        <w:rPr>
          <w:rFonts w:ascii="Times New Roman" w:eastAsia="Times New Roman" w:hAnsi="Times New Roman"/>
          <w:color w:val="222222"/>
          <w:sz w:val="24"/>
          <w:szCs w:val="24"/>
        </w:rPr>
        <w:t>Bássoli</w:t>
      </w:r>
      <w:proofErr w:type="spellEnd"/>
      <w:r w:rsidRPr="051B1E32">
        <w:rPr>
          <w:rFonts w:ascii="Times New Roman" w:eastAsia="Times New Roman" w:hAnsi="Times New Roman"/>
          <w:color w:val="222222"/>
          <w:sz w:val="24"/>
          <w:szCs w:val="24"/>
        </w:rPr>
        <w:t xml:space="preserve">; RINALDI, Ieda Parra Barbosa. Fundamentos pedagógicos do esporte educacional–Lutas–volume I: aspectos pedagógicos das lutas e as vivências múltiplas em jogos de luta e atividades de oposição dirigida. </w:t>
      </w:r>
      <w:r w:rsidRPr="051B1E32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Curitiba: Editora CRV</w:t>
      </w:r>
      <w:r w:rsidRPr="051B1E32">
        <w:rPr>
          <w:rFonts w:ascii="Times New Roman" w:eastAsia="Times New Roman" w:hAnsi="Times New Roman"/>
          <w:color w:val="222222"/>
          <w:sz w:val="24"/>
          <w:szCs w:val="24"/>
        </w:rPr>
        <w:t>, 2022.</w:t>
      </w:r>
    </w:p>
    <w:p w14:paraId="3EE47383" w14:textId="2FA4E715" w:rsidR="051B1E32" w:rsidRDefault="051B1E32" w:rsidP="051B1E32">
      <w:pPr>
        <w:spacing w:line="240" w:lineRule="auto"/>
        <w:rPr>
          <w:rFonts w:ascii="Arial" w:eastAsia="Arial" w:hAnsi="Arial" w:cs="Arial"/>
          <w:color w:val="222222"/>
          <w:sz w:val="19"/>
          <w:szCs w:val="19"/>
        </w:rPr>
      </w:pPr>
    </w:p>
    <w:sectPr w:rsidR="051B1E3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A6C7D" w14:textId="77777777" w:rsidR="000F68BE" w:rsidRDefault="000F68BE">
      <w:pPr>
        <w:spacing w:line="240" w:lineRule="auto"/>
      </w:pPr>
      <w:r>
        <w:separator/>
      </w:r>
    </w:p>
  </w:endnote>
  <w:endnote w:type="continuationSeparator" w:id="0">
    <w:p w14:paraId="5945E3C7" w14:textId="77777777" w:rsidR="000F68BE" w:rsidRDefault="000F6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0AC4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0BD904C8" w14:textId="77777777" w:rsidR="0005713B" w:rsidRDefault="000571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6513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2D6725A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2E862" w14:textId="77777777" w:rsidR="000F68BE" w:rsidRDefault="000F68BE">
      <w:pPr>
        <w:spacing w:after="0"/>
      </w:pPr>
      <w:r>
        <w:separator/>
      </w:r>
    </w:p>
  </w:footnote>
  <w:footnote w:type="continuationSeparator" w:id="0">
    <w:p w14:paraId="61C5DE4A" w14:textId="77777777" w:rsidR="000F68BE" w:rsidRDefault="000F68BE">
      <w:pPr>
        <w:spacing w:after="0"/>
      </w:pPr>
      <w:r>
        <w:continuationSeparator/>
      </w:r>
    </w:p>
  </w:footnote>
  <w:footnote w:id="1">
    <w:p w14:paraId="6304B5D9" w14:textId="43E7D3FD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</w:rPr>
        <w:t xml:space="preserve"> Discente do curso de Educação Física, Universidade Regional do Cariri (URCA), bolsista </w:t>
      </w:r>
      <w:r w:rsidR="00073E98">
        <w:rPr>
          <w:rFonts w:ascii="Arial" w:hAnsi="Arial" w:cs="Arial"/>
        </w:rPr>
        <w:t xml:space="preserve">do </w:t>
      </w:r>
      <w:r w:rsidR="00B120B3">
        <w:rPr>
          <w:rFonts w:ascii="Arial" w:hAnsi="Arial" w:cs="Arial"/>
        </w:rPr>
        <w:t>L</w:t>
      </w:r>
      <w:r w:rsidR="00073E98">
        <w:rPr>
          <w:rFonts w:ascii="Arial" w:hAnsi="Arial" w:cs="Arial"/>
        </w:rPr>
        <w:t>aboratório de lutas</w:t>
      </w:r>
      <w:r>
        <w:rPr>
          <w:rFonts w:ascii="Arial" w:hAnsi="Arial" w:cs="Arial"/>
        </w:rPr>
        <w:t xml:space="preserve">. E-mail: </w:t>
      </w:r>
      <w:r w:rsidR="000B4C41">
        <w:rPr>
          <w:rFonts w:ascii="Arial" w:hAnsi="Arial" w:cs="Arial"/>
        </w:rPr>
        <w:t>erick.barbosa05</w:t>
      </w:r>
      <w:r w:rsidR="00781FE6">
        <w:rPr>
          <w:rFonts w:ascii="Arial" w:hAnsi="Arial" w:cs="Arial"/>
        </w:rPr>
        <w:t>@</w:t>
      </w:r>
      <w:r w:rsidR="00B76221">
        <w:rPr>
          <w:rFonts w:ascii="Arial" w:hAnsi="Arial" w:cs="Arial"/>
        </w:rPr>
        <w:t>urca.br</w:t>
      </w:r>
    </w:p>
  </w:footnote>
  <w:footnote w:id="2">
    <w:p w14:paraId="46C13BC5" w14:textId="0595408B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Docente </w:t>
      </w:r>
      <w:r w:rsidR="00BB7336">
        <w:rPr>
          <w:rFonts w:ascii="Arial" w:hAnsi="Arial" w:cs="Arial"/>
        </w:rPr>
        <w:t xml:space="preserve">Colaborador </w:t>
      </w:r>
      <w:r>
        <w:rPr>
          <w:rFonts w:ascii="Arial" w:hAnsi="Arial" w:cs="Arial"/>
        </w:rPr>
        <w:t>da Universidade Regional do Cariri (URCA), orientador do projeto. E-mail:</w:t>
      </w:r>
      <w:r w:rsidR="00FA7449">
        <w:rPr>
          <w:rFonts w:ascii="Arial" w:hAnsi="Arial" w:cs="Arial"/>
        </w:rPr>
        <w:t xml:space="preserve"> douglas.silva@urca.br</w:t>
      </w:r>
    </w:p>
  </w:footnote>
  <w:footnote w:id="3">
    <w:p w14:paraId="7E1ECAA8" w14:textId="1F27F799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Docente da Universidade Regional do Cariri (URCA), orientador(a) do projeto. E-mail:</w:t>
      </w:r>
      <w:r w:rsidR="00BB7336">
        <w:rPr>
          <w:rFonts w:ascii="Arial" w:hAnsi="Arial" w:cs="Arial"/>
        </w:rPr>
        <w:t xml:space="preserve"> joaomarcosef@gmail.com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219C" w14:textId="77777777" w:rsidR="00F91EF8" w:rsidRDefault="00F91EF8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0C9C" w14:textId="7E2B90B8" w:rsidR="0005713B" w:rsidRDefault="00D2170D">
    <w:pPr>
      <w:pStyle w:val="Cabealho"/>
      <w:jc w:val="right"/>
    </w:pPr>
    <w:r>
      <w:rPr>
        <w:noProof/>
      </w:rPr>
      <w:drawing>
        <wp:anchor distT="0" distB="0" distL="0" distR="0" simplePos="0" relativeHeight="251658240" behindDoc="0" locked="0" layoutInCell="1" allowOverlap="1" wp14:anchorId="351B73AF" wp14:editId="645A7AF2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2670" cy="165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A59BC2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9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BD"/>
    <w:rsid w:val="00002119"/>
    <w:rsid w:val="00007E7F"/>
    <w:rsid w:val="00025595"/>
    <w:rsid w:val="00033943"/>
    <w:rsid w:val="00042468"/>
    <w:rsid w:val="00055344"/>
    <w:rsid w:val="0005713B"/>
    <w:rsid w:val="000601E7"/>
    <w:rsid w:val="00073E98"/>
    <w:rsid w:val="00076B8E"/>
    <w:rsid w:val="0009361C"/>
    <w:rsid w:val="00095641"/>
    <w:rsid w:val="000B4C41"/>
    <w:rsid w:val="000C63FA"/>
    <w:rsid w:val="000E296A"/>
    <w:rsid w:val="000E4668"/>
    <w:rsid w:val="000F26E5"/>
    <w:rsid w:val="000F486D"/>
    <w:rsid w:val="000F68BE"/>
    <w:rsid w:val="00113C70"/>
    <w:rsid w:val="00117BBB"/>
    <w:rsid w:val="00133314"/>
    <w:rsid w:val="0014206D"/>
    <w:rsid w:val="001574C8"/>
    <w:rsid w:val="001579E6"/>
    <w:rsid w:val="00162A7F"/>
    <w:rsid w:val="001648F6"/>
    <w:rsid w:val="0017477E"/>
    <w:rsid w:val="00181209"/>
    <w:rsid w:val="00186D06"/>
    <w:rsid w:val="001A6C43"/>
    <w:rsid w:val="001A7E95"/>
    <w:rsid w:val="001B3577"/>
    <w:rsid w:val="001B3B7C"/>
    <w:rsid w:val="001B6E4A"/>
    <w:rsid w:val="001C1AFF"/>
    <w:rsid w:val="001C4BB8"/>
    <w:rsid w:val="001C66B1"/>
    <w:rsid w:val="001C7EBC"/>
    <w:rsid w:val="001D00A4"/>
    <w:rsid w:val="001D346F"/>
    <w:rsid w:val="001D39FB"/>
    <w:rsid w:val="001E10CB"/>
    <w:rsid w:val="001E3FF2"/>
    <w:rsid w:val="001E5ED9"/>
    <w:rsid w:val="001F639F"/>
    <w:rsid w:val="00202618"/>
    <w:rsid w:val="002045D3"/>
    <w:rsid w:val="00214535"/>
    <w:rsid w:val="00215995"/>
    <w:rsid w:val="00216236"/>
    <w:rsid w:val="00225E84"/>
    <w:rsid w:val="0022719B"/>
    <w:rsid w:val="002554E9"/>
    <w:rsid w:val="00261F32"/>
    <w:rsid w:val="00267B70"/>
    <w:rsid w:val="002703ED"/>
    <w:rsid w:val="00271F7B"/>
    <w:rsid w:val="002723AB"/>
    <w:rsid w:val="00281DC2"/>
    <w:rsid w:val="00282D2B"/>
    <w:rsid w:val="00290911"/>
    <w:rsid w:val="00290B27"/>
    <w:rsid w:val="0029315A"/>
    <w:rsid w:val="002A1731"/>
    <w:rsid w:val="002B03F7"/>
    <w:rsid w:val="002B2EC4"/>
    <w:rsid w:val="002B57C3"/>
    <w:rsid w:val="002D6C44"/>
    <w:rsid w:val="002E0F8C"/>
    <w:rsid w:val="002F4E64"/>
    <w:rsid w:val="002F50F0"/>
    <w:rsid w:val="00300586"/>
    <w:rsid w:val="00307457"/>
    <w:rsid w:val="0030780B"/>
    <w:rsid w:val="00310722"/>
    <w:rsid w:val="0031275E"/>
    <w:rsid w:val="00316EB6"/>
    <w:rsid w:val="00331EF6"/>
    <w:rsid w:val="003501D5"/>
    <w:rsid w:val="003552B8"/>
    <w:rsid w:val="00355751"/>
    <w:rsid w:val="003708D3"/>
    <w:rsid w:val="00373181"/>
    <w:rsid w:val="003925A0"/>
    <w:rsid w:val="0039738B"/>
    <w:rsid w:val="003A5BB5"/>
    <w:rsid w:val="003B0093"/>
    <w:rsid w:val="003B072D"/>
    <w:rsid w:val="003B6D8B"/>
    <w:rsid w:val="003B7C0A"/>
    <w:rsid w:val="003C1DDC"/>
    <w:rsid w:val="003C4604"/>
    <w:rsid w:val="003C753E"/>
    <w:rsid w:val="003D2523"/>
    <w:rsid w:val="003D711C"/>
    <w:rsid w:val="003E2359"/>
    <w:rsid w:val="00405713"/>
    <w:rsid w:val="00427B3B"/>
    <w:rsid w:val="0043164D"/>
    <w:rsid w:val="00443CB2"/>
    <w:rsid w:val="00445A98"/>
    <w:rsid w:val="00445EFB"/>
    <w:rsid w:val="0044774A"/>
    <w:rsid w:val="00447F18"/>
    <w:rsid w:val="004510E7"/>
    <w:rsid w:val="0046000E"/>
    <w:rsid w:val="004620A7"/>
    <w:rsid w:val="00463BC5"/>
    <w:rsid w:val="0046791B"/>
    <w:rsid w:val="00486C19"/>
    <w:rsid w:val="00487DF4"/>
    <w:rsid w:val="00492259"/>
    <w:rsid w:val="0049451F"/>
    <w:rsid w:val="00494EFA"/>
    <w:rsid w:val="00495241"/>
    <w:rsid w:val="004965A6"/>
    <w:rsid w:val="004A0AFC"/>
    <w:rsid w:val="004A45C1"/>
    <w:rsid w:val="004B53A5"/>
    <w:rsid w:val="004B7D80"/>
    <w:rsid w:val="004C1EC0"/>
    <w:rsid w:val="004E1C65"/>
    <w:rsid w:val="004E59D3"/>
    <w:rsid w:val="004F7D4D"/>
    <w:rsid w:val="00500633"/>
    <w:rsid w:val="0051637F"/>
    <w:rsid w:val="0051760E"/>
    <w:rsid w:val="0052737B"/>
    <w:rsid w:val="00530D6C"/>
    <w:rsid w:val="00534DBA"/>
    <w:rsid w:val="0053529C"/>
    <w:rsid w:val="0054131D"/>
    <w:rsid w:val="00542839"/>
    <w:rsid w:val="00574BAD"/>
    <w:rsid w:val="00596853"/>
    <w:rsid w:val="005B76BF"/>
    <w:rsid w:val="005C416A"/>
    <w:rsid w:val="005C41C7"/>
    <w:rsid w:val="005C6E86"/>
    <w:rsid w:val="005D3EE7"/>
    <w:rsid w:val="005D6A42"/>
    <w:rsid w:val="005E2357"/>
    <w:rsid w:val="005E599F"/>
    <w:rsid w:val="005F12B1"/>
    <w:rsid w:val="005F138B"/>
    <w:rsid w:val="00601D04"/>
    <w:rsid w:val="0061366A"/>
    <w:rsid w:val="006136FB"/>
    <w:rsid w:val="006361FF"/>
    <w:rsid w:val="0065401F"/>
    <w:rsid w:val="0066057A"/>
    <w:rsid w:val="00677510"/>
    <w:rsid w:val="0069402E"/>
    <w:rsid w:val="0069416A"/>
    <w:rsid w:val="006B47A3"/>
    <w:rsid w:val="006B6877"/>
    <w:rsid w:val="006C0D69"/>
    <w:rsid w:val="006D1BD2"/>
    <w:rsid w:val="006D5EBD"/>
    <w:rsid w:val="006D748F"/>
    <w:rsid w:val="006F0000"/>
    <w:rsid w:val="006F1F94"/>
    <w:rsid w:val="00705848"/>
    <w:rsid w:val="00712DDE"/>
    <w:rsid w:val="00716DF3"/>
    <w:rsid w:val="0072050D"/>
    <w:rsid w:val="007205AA"/>
    <w:rsid w:val="00723465"/>
    <w:rsid w:val="00723EE2"/>
    <w:rsid w:val="00725D99"/>
    <w:rsid w:val="00732839"/>
    <w:rsid w:val="00740325"/>
    <w:rsid w:val="00752337"/>
    <w:rsid w:val="00753110"/>
    <w:rsid w:val="00754EFD"/>
    <w:rsid w:val="00756584"/>
    <w:rsid w:val="007601CA"/>
    <w:rsid w:val="007679C9"/>
    <w:rsid w:val="00770983"/>
    <w:rsid w:val="00773A44"/>
    <w:rsid w:val="007806E9"/>
    <w:rsid w:val="00780D4E"/>
    <w:rsid w:val="00781F6F"/>
    <w:rsid w:val="00781FE6"/>
    <w:rsid w:val="00787838"/>
    <w:rsid w:val="0079147E"/>
    <w:rsid w:val="007961F6"/>
    <w:rsid w:val="00796EE6"/>
    <w:rsid w:val="007A37FF"/>
    <w:rsid w:val="007A402E"/>
    <w:rsid w:val="007A739C"/>
    <w:rsid w:val="00805445"/>
    <w:rsid w:val="008101E6"/>
    <w:rsid w:val="00814746"/>
    <w:rsid w:val="00814F59"/>
    <w:rsid w:val="00817A05"/>
    <w:rsid w:val="0082067D"/>
    <w:rsid w:val="0082232C"/>
    <w:rsid w:val="0082344E"/>
    <w:rsid w:val="00825402"/>
    <w:rsid w:val="00830623"/>
    <w:rsid w:val="00834B28"/>
    <w:rsid w:val="00836120"/>
    <w:rsid w:val="008375CB"/>
    <w:rsid w:val="00840F3E"/>
    <w:rsid w:val="00840F5C"/>
    <w:rsid w:val="00842A92"/>
    <w:rsid w:val="0085759B"/>
    <w:rsid w:val="00861353"/>
    <w:rsid w:val="008733F5"/>
    <w:rsid w:val="008765AC"/>
    <w:rsid w:val="00896533"/>
    <w:rsid w:val="00897238"/>
    <w:rsid w:val="008A5C26"/>
    <w:rsid w:val="008A5F55"/>
    <w:rsid w:val="008A66D3"/>
    <w:rsid w:val="008A6DA5"/>
    <w:rsid w:val="008C1ED5"/>
    <w:rsid w:val="008C32A5"/>
    <w:rsid w:val="008C41C2"/>
    <w:rsid w:val="008C7CD1"/>
    <w:rsid w:val="008D2EED"/>
    <w:rsid w:val="008E64F1"/>
    <w:rsid w:val="008F0729"/>
    <w:rsid w:val="008F42AA"/>
    <w:rsid w:val="008F593D"/>
    <w:rsid w:val="008F6B60"/>
    <w:rsid w:val="008F7CED"/>
    <w:rsid w:val="00904947"/>
    <w:rsid w:val="00904D93"/>
    <w:rsid w:val="00905C59"/>
    <w:rsid w:val="00907F46"/>
    <w:rsid w:val="00914122"/>
    <w:rsid w:val="009164E3"/>
    <w:rsid w:val="009250BE"/>
    <w:rsid w:val="00925710"/>
    <w:rsid w:val="0093267B"/>
    <w:rsid w:val="00943BC2"/>
    <w:rsid w:val="0096200A"/>
    <w:rsid w:val="009623CC"/>
    <w:rsid w:val="009659A5"/>
    <w:rsid w:val="009764BB"/>
    <w:rsid w:val="0098312E"/>
    <w:rsid w:val="00984FDC"/>
    <w:rsid w:val="0098621B"/>
    <w:rsid w:val="00987D19"/>
    <w:rsid w:val="0099757A"/>
    <w:rsid w:val="009B1656"/>
    <w:rsid w:val="009B191A"/>
    <w:rsid w:val="009B2771"/>
    <w:rsid w:val="009C5FF5"/>
    <w:rsid w:val="009D0CA6"/>
    <w:rsid w:val="009D340A"/>
    <w:rsid w:val="009D49F7"/>
    <w:rsid w:val="009E2AEB"/>
    <w:rsid w:val="009E4D48"/>
    <w:rsid w:val="009F33B1"/>
    <w:rsid w:val="009F5913"/>
    <w:rsid w:val="009F68E3"/>
    <w:rsid w:val="009F76BD"/>
    <w:rsid w:val="00A03A70"/>
    <w:rsid w:val="00A127E2"/>
    <w:rsid w:val="00A1468C"/>
    <w:rsid w:val="00A20645"/>
    <w:rsid w:val="00A26CF9"/>
    <w:rsid w:val="00A37DC8"/>
    <w:rsid w:val="00A46CEE"/>
    <w:rsid w:val="00A5150E"/>
    <w:rsid w:val="00A6022D"/>
    <w:rsid w:val="00A61063"/>
    <w:rsid w:val="00A66981"/>
    <w:rsid w:val="00A87D12"/>
    <w:rsid w:val="00AA0BCD"/>
    <w:rsid w:val="00AA2902"/>
    <w:rsid w:val="00AA43FA"/>
    <w:rsid w:val="00AA59A6"/>
    <w:rsid w:val="00AB2235"/>
    <w:rsid w:val="00AB38B4"/>
    <w:rsid w:val="00AC706D"/>
    <w:rsid w:val="00AD2A5C"/>
    <w:rsid w:val="00AD7093"/>
    <w:rsid w:val="00AE4B65"/>
    <w:rsid w:val="00B00576"/>
    <w:rsid w:val="00B02CFD"/>
    <w:rsid w:val="00B07A2B"/>
    <w:rsid w:val="00B120B3"/>
    <w:rsid w:val="00B13853"/>
    <w:rsid w:val="00B2178F"/>
    <w:rsid w:val="00B44056"/>
    <w:rsid w:val="00B4410C"/>
    <w:rsid w:val="00B4464E"/>
    <w:rsid w:val="00B46F15"/>
    <w:rsid w:val="00B57434"/>
    <w:rsid w:val="00B61BB1"/>
    <w:rsid w:val="00B63882"/>
    <w:rsid w:val="00B67E54"/>
    <w:rsid w:val="00B76221"/>
    <w:rsid w:val="00B81770"/>
    <w:rsid w:val="00B857ED"/>
    <w:rsid w:val="00B86A58"/>
    <w:rsid w:val="00B93945"/>
    <w:rsid w:val="00B9595B"/>
    <w:rsid w:val="00B9764D"/>
    <w:rsid w:val="00BA20A9"/>
    <w:rsid w:val="00BA29E4"/>
    <w:rsid w:val="00BB53FC"/>
    <w:rsid w:val="00BB7336"/>
    <w:rsid w:val="00BC7E39"/>
    <w:rsid w:val="00BD2524"/>
    <w:rsid w:val="00BD343F"/>
    <w:rsid w:val="00BD4073"/>
    <w:rsid w:val="00BD6049"/>
    <w:rsid w:val="00BE1A9C"/>
    <w:rsid w:val="00BE216C"/>
    <w:rsid w:val="00BE298F"/>
    <w:rsid w:val="00BE2E39"/>
    <w:rsid w:val="00BE4F69"/>
    <w:rsid w:val="00C05C68"/>
    <w:rsid w:val="00C05C94"/>
    <w:rsid w:val="00C11360"/>
    <w:rsid w:val="00C14BFF"/>
    <w:rsid w:val="00C15C11"/>
    <w:rsid w:val="00C15F6D"/>
    <w:rsid w:val="00C17F92"/>
    <w:rsid w:val="00C2214E"/>
    <w:rsid w:val="00C250A9"/>
    <w:rsid w:val="00C314C0"/>
    <w:rsid w:val="00C35510"/>
    <w:rsid w:val="00C36D7E"/>
    <w:rsid w:val="00C37733"/>
    <w:rsid w:val="00C46921"/>
    <w:rsid w:val="00C63262"/>
    <w:rsid w:val="00C83EAA"/>
    <w:rsid w:val="00C90191"/>
    <w:rsid w:val="00C9069B"/>
    <w:rsid w:val="00C9476D"/>
    <w:rsid w:val="00C962FC"/>
    <w:rsid w:val="00CA5447"/>
    <w:rsid w:val="00CC2D91"/>
    <w:rsid w:val="00CD2EE9"/>
    <w:rsid w:val="00CE5C0D"/>
    <w:rsid w:val="00CF0568"/>
    <w:rsid w:val="00CF5746"/>
    <w:rsid w:val="00D00093"/>
    <w:rsid w:val="00D05B6E"/>
    <w:rsid w:val="00D14C5F"/>
    <w:rsid w:val="00D2170D"/>
    <w:rsid w:val="00D27B87"/>
    <w:rsid w:val="00D319EB"/>
    <w:rsid w:val="00D43382"/>
    <w:rsid w:val="00D50BAD"/>
    <w:rsid w:val="00D576D5"/>
    <w:rsid w:val="00D630FB"/>
    <w:rsid w:val="00D74649"/>
    <w:rsid w:val="00D80DE1"/>
    <w:rsid w:val="00D83BF2"/>
    <w:rsid w:val="00D94360"/>
    <w:rsid w:val="00D94549"/>
    <w:rsid w:val="00DA3F63"/>
    <w:rsid w:val="00DB6233"/>
    <w:rsid w:val="00DE2248"/>
    <w:rsid w:val="00DE2F1B"/>
    <w:rsid w:val="00DE75E9"/>
    <w:rsid w:val="00DF2F55"/>
    <w:rsid w:val="00DF7470"/>
    <w:rsid w:val="00E025B3"/>
    <w:rsid w:val="00E0378F"/>
    <w:rsid w:val="00E15EA6"/>
    <w:rsid w:val="00E2270F"/>
    <w:rsid w:val="00E26EB3"/>
    <w:rsid w:val="00E3782D"/>
    <w:rsid w:val="00E565F6"/>
    <w:rsid w:val="00E61268"/>
    <w:rsid w:val="00E65941"/>
    <w:rsid w:val="00E83A4A"/>
    <w:rsid w:val="00EA070C"/>
    <w:rsid w:val="00EA4BA9"/>
    <w:rsid w:val="00EA721C"/>
    <w:rsid w:val="00EB25DD"/>
    <w:rsid w:val="00EB31A1"/>
    <w:rsid w:val="00EB5DC5"/>
    <w:rsid w:val="00EC1CF1"/>
    <w:rsid w:val="00EC23CA"/>
    <w:rsid w:val="00EC6E5E"/>
    <w:rsid w:val="00ED6DAF"/>
    <w:rsid w:val="00EE120E"/>
    <w:rsid w:val="00EE2EB4"/>
    <w:rsid w:val="00EF0EB8"/>
    <w:rsid w:val="00F02560"/>
    <w:rsid w:val="00F03EA4"/>
    <w:rsid w:val="00F31D96"/>
    <w:rsid w:val="00F33E7C"/>
    <w:rsid w:val="00F46A94"/>
    <w:rsid w:val="00F46E45"/>
    <w:rsid w:val="00F4732F"/>
    <w:rsid w:val="00F565B6"/>
    <w:rsid w:val="00F65440"/>
    <w:rsid w:val="00F71C41"/>
    <w:rsid w:val="00F7338B"/>
    <w:rsid w:val="00F760BB"/>
    <w:rsid w:val="00F81566"/>
    <w:rsid w:val="00F86948"/>
    <w:rsid w:val="00F91EF8"/>
    <w:rsid w:val="00F954BC"/>
    <w:rsid w:val="00FA7449"/>
    <w:rsid w:val="00FB2D5E"/>
    <w:rsid w:val="00FB4B82"/>
    <w:rsid w:val="00FB5827"/>
    <w:rsid w:val="00FB5DFC"/>
    <w:rsid w:val="00FB6CC8"/>
    <w:rsid w:val="00FC042E"/>
    <w:rsid w:val="00FD46F9"/>
    <w:rsid w:val="00FE56CF"/>
    <w:rsid w:val="00FF5604"/>
    <w:rsid w:val="00FF7B13"/>
    <w:rsid w:val="00FF7C29"/>
    <w:rsid w:val="04330D71"/>
    <w:rsid w:val="04993D3D"/>
    <w:rsid w:val="051B1E32"/>
    <w:rsid w:val="0B105FDE"/>
    <w:rsid w:val="155D0768"/>
    <w:rsid w:val="25DB1032"/>
    <w:rsid w:val="2FFE0914"/>
    <w:rsid w:val="3309244E"/>
    <w:rsid w:val="51A51BC9"/>
    <w:rsid w:val="629A5DC2"/>
    <w:rsid w:val="70020AE3"/>
    <w:rsid w:val="7476F2D9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F7906"/>
  <w15:docId w15:val="{208EC8A0-7F14-B24D-98D9-A6C7CC38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8147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DengXian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Hyperlink">
    <w:name w:val="Hyperlink"/>
    <w:uiPriority w:val="99"/>
    <w:unhideWhenUsed/>
    <w:rsid w:val="00BB7336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BB7336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8147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theme" Target="theme/theme1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2422</Words>
  <Characters>13083</Characters>
  <Application>Microsoft Office Word</Application>
  <DocSecurity>0</DocSecurity>
  <Lines>109</Lines>
  <Paragraphs>30</Paragraphs>
  <ScaleCrop>false</ScaleCrop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cp:lastModifiedBy>Erick Oliveira</cp:lastModifiedBy>
  <cp:revision>2</cp:revision>
  <dcterms:created xsi:type="dcterms:W3CDTF">2026-10-29T00:22:00Z</dcterms:created>
  <dcterms:modified xsi:type="dcterms:W3CDTF">2026-10-29T00:22:00Z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