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INTELIGÊNCIA ARTIFICIAL NA GESTÃO DO CUIDADO EM TERAPIA INTENSIVA: ANÁLISE DE PRODUÇÕES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STRICTO SENSU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Luís Eduardo Santiago Holanda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 Amábile Aires Pinheiro Carnaúba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 Amanda Aires Pinheiro Carnaúba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 Mariana Yasmim Bezerra Vieira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  <w:footnoteReference w:customMarkFollows="0" w:id="3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 Thiago Nascimento Moura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  <w:footnoteReference w:customMarkFollows="0" w:id="4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 Esther Eloi Pinheiro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  <w:footnoteReference w:customMarkFollows="0" w:id="5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 Rayane Moreira de Alencar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  <w:footnoteReference w:customMarkFollows="0" w:id="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Resumo: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inteligência artificial tem sido investigada como recurso de apoio à tomada de decisão e à organização do cuidado em unidades de terapia intensiva. Objetivou-se analisar suas aplicações no planejamento e na gestão do cuidado em unidades de terapia intensiva, considerando as finalidades gerenciais e as abordagens tecnológicas em produções brasileiras stricto sensu. Trata-se de estudo documental, exploratório-descritivo, com abordagem quali-quantitativa, desenvolvido como recorte temático de investigação realizada no Banco de Teses e Dissertações da Coordenação de Aperfeiçoamento de Pessoal de Nível Superior. As buscas ocorreram entre outubro e dezembro de 2025. Das 18 produções da investigação original, selecionaram-se seis relacionadas à gestão da informação assistencial, ao planejamento da equipe de enfermagem ou às decisões de admissão, permanência e alta. Os dados foram recuperados da matriz original, complementados com registros de repositórios institucionais e submetidos à caracterização descritiva e à síntese narrativa. Analisaram-se quatro dissertações e duas teses, publicadas entre 2020 e 2024. Identificaram-se aplicações direcionadas à gestão do cuidado de enfermagem, à previsão do tempo de permanência, à estimativa da carga de trabalho, à triagem e priorização de acesso aos leitos, à predição da necessidade de internação e ao apoio à decisão de alta. As abordagens compreenderam redes bayesianas, redes neurais, outros algoritmos de aprendizado de máquina e associação entre inteligência artificial e inteligência de negócios. Os achados indicam possibilidades de apoio ao planejamento da equipe, à utilização dos leitos e à organização das transições do cuidado. Entretanto, a heterogeneidade das produções e o detalhamento disponível nas fontes consultadas limitaram a comparação entre as ferramentas e a avaliação de sua efetividade. Conclui-se que as aplicações sistematizadas oferecem subsídios para compreender as finalidades gerenciais investigadas, sendo necessárias avaliações em contextos assistenciais que examinem a adequação às rotinas profissionais e as repercussões sobre a organização do trabalho e a segurança do cuidado.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Palavras-chave: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Inteligência artificial. Unidades de terapia intensiva. Gestão do cuidado.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unidades de terapia intensiva (UTI) constituem ambientes de elevada complexidade clínica, nos quais a necessidade de decisões oportunas se associa à produção contínua de informações e ao uso intensivo de recursos humanos e tecnológicos. Nesse contexto, o planejamento e a gestão do cuidado exigem articulação entre as necessidades assistenciais, a disponibilidade de recursos e a organização do trabalho. A incorporação de tecnologias digitais apresenta possibilidades de apoio a esses processos, cuja utilização requer integração às práticas profissionais e às condições institucionais (Cecconi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., 2025).</w:t>
      </w:r>
    </w:p>
    <w:p w:rsidR="00000000" w:rsidDel="00000000" w:rsidP="00000000" w:rsidRDefault="00000000" w:rsidRPr="00000000" w14:paraId="0000000A">
      <w:pPr>
        <w:spacing w:after="0" w:before="0"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Entre essas tecnologias, a inteligência artificial (IA) tem sido investigada para apoiar a interpretação de dados, a tomada de decisão e a organização dos processos assistenciais. Na enfermagem em terapia intensiva, suas aplicações abrangem sistemas de alerta, apoio à decisão, documentação e estimativa da demanda de trabalho. Entretanto, a utilidade dessas ferramentas depende de sua adequação às rotinas do serviço, da qualidade dos dados e da participação dos profissionais no desenvolvimento e na avaliação das soluções propostas (Bi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., 2025).</w:t>
      </w:r>
    </w:p>
    <w:p w:rsidR="00000000" w:rsidDel="00000000" w:rsidP="00000000" w:rsidRDefault="00000000" w:rsidRPr="00000000" w14:paraId="0000000B">
      <w:pPr>
        <w:spacing w:after="0" w:before="0"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Embora a produção científica apresente aplicações relacionadas à previsão da permanência, da readmissão e da necessidade de recursos, a transição entre o desenvolvimento computacional e a aplicação clínica permanece limitada. A predominância de estudos em estágios iniciais de desenvolvimento ou de validação reforça a necessidade de examinar como as ferramentas podem ser incorporadas aos serviços e quais efeitos produzem no cuidado. Dessa forma, o desempenho preditivo deve ser interpretado em conjunto com evidências de aplicabilidade e de avaliação em condições assistenciais (Berkhout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et 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., 2025).</w:t>
      </w:r>
    </w:p>
    <w:p w:rsidR="00000000" w:rsidDel="00000000" w:rsidP="00000000" w:rsidRDefault="00000000" w:rsidRPr="00000000" w14:paraId="0000000C">
      <w:pPr>
        <w:spacing w:after="0" w:before="0"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Sob essa perspectiva, o presente estudo tem o objetivo de analisar as aplicações da inteligência artificial no planejamento e na gestão do cuidado em unidades de terapia intensiva, considerando suas finalidades gerenciais e as abordagens tecnológicas em produções stricto sensu brasileiras.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40" w:lineRule="auto"/>
        <w:ind w:firstLine="7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Trata-se de um estudo documental, exploratório-descritivo, com abordagem quali-quantitativa, desenvolvido como recorte temático de uma investigação sobre inteligência artificial em unidades de terapia intensiva. A busca da investigação original foi realizada entre outubro e dezembro de 2025, no Banco de Teses e Dissertações da Coordenação de Aperfeiçoamento de Pessoal de Nível Superior (CAPES), utilizando os descritores “Inteligência Artificial” e “Unidades de Terapia Intensiva”, associados pelo operador booleano AND, sem delimitação do ano de publicação.</w:t>
      </w:r>
    </w:p>
    <w:p w:rsidR="00000000" w:rsidDel="00000000" w:rsidP="00000000" w:rsidRDefault="00000000" w:rsidRPr="00000000" w14:paraId="0000001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40" w:lineRule="auto"/>
        <w:ind w:firstLine="7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Entre as 18 produções incluídas na investigação original, foram selecionadas aquelas que apresentaram aplicações explicitamente relacionadas à gestão da informação assistencial, ao planejamento da equipe de enfermagem ou ao apoio às decisões de admissão, permanência e alta da unidade de terapia intensiva. Não compuseram o recorte as produções sem vínculo organizacional identificável nas fontes consultadas. A seleção compreendeu seis produções, correspondentes a quatro dissertações e duas teses, publicadas entre 2020 e 2024.</w:t>
      </w:r>
    </w:p>
    <w:p w:rsidR="00000000" w:rsidDel="00000000" w:rsidP="00000000" w:rsidRDefault="00000000" w:rsidRPr="00000000" w14:paraId="0000001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40" w:lineRule="auto"/>
        <w:ind w:firstLine="7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dados foram recuperados da matriz de caracterização da investigação original e complementados com registros e descrições acadêmicas disponíveis em repositórios institucionais. Foram consideradas informações sobre a autoria, o ano de publicação, a modalidade acadêmica, o delineamento, a abordagem tecnológica e a finalidade da aplicação. Os achados foram organizados em um quadro comparativo e submetidos à caracterização descritiva e à síntese narrativa, considerando as relações entre as aplicações identificadas e o planejamento de recursos, a organização do trabalho e os processos de acesso e de transição do cuidado em terapia intensiva.</w:t>
      </w:r>
    </w:p>
    <w:p w:rsidR="00000000" w:rsidDel="00000000" w:rsidP="00000000" w:rsidRDefault="00000000" w:rsidRPr="00000000" w14:paraId="0000001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40" w:lineRule="auto"/>
        <w:ind w:firstLine="70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Resultados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QUADRO 1 -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Caracterização das produções sobre inteligência artificial no planejamento e na gestão do cuidado em terapia intensiva.</w:t>
      </w:r>
    </w:p>
    <w:tbl>
      <w:tblPr>
        <w:tblStyle w:val="Table1"/>
        <w:tblW w:w="85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245"/>
        <w:gridCol w:w="1635"/>
        <w:gridCol w:w="1755"/>
        <w:gridCol w:w="3870"/>
        <w:tblGridChange w:id="0">
          <w:tblGrid>
            <w:gridCol w:w="1245"/>
            <w:gridCol w:w="1635"/>
            <w:gridCol w:w="1755"/>
            <w:gridCol w:w="3870"/>
          </w:tblGrid>
        </w:tblGridChange>
      </w:tblGrid>
      <w:tr>
        <w:trPr>
          <w:cantSplit w:val="0"/>
          <w:trHeight w:val="566.9291338582677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Produção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Delineamento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Abordagem tecnológica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Aplicação identificada e relação com a gestão do cuidado</w:t>
            </w:r>
          </w:p>
        </w:tc>
      </w:tr>
      <w:tr>
        <w:trPr>
          <w:cantSplit w:val="0"/>
          <w:trHeight w:val="1484.882812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Santos (2020)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Estudo retrospectivo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Redes bayesianas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Análise probabilística do tempo de permanência na UTI, com finalidade de apoio à tomada de decisão e ao planejamento da utilização dos leitos.</w:t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Santa Cruz (2022)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Estudo de desenvolvimento tecnológico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Redes neurais, Internet das Coisas e processamento em névoa (IoT-fog)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Desenvolvimento de componentes para registrar atividades de enfermagem, simular dados e estimar a demanda de trabalho, utilizando o Nursing Activities Score como referência para apoiar o planejamento da equipe.</w:t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Fabrizzio (2023)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Pesquisa em quatro etapas, incluindo estudo retrospectivo multicêntrico e desenvolvimento tecnológico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Algoritmos de aprendizado de máquina e aplicativo web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Desenvolvimento do COVID-19 UTI PREDICTOR, destinado à estimativa do risco de internação em UTI de pacientes com COVID-19. A aplicação oferece suporte à identificação de pacientes com maior probabilidade de necessitar de cuidados intensivos e ao planejamento das intervenções assistenciais.</w:t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Sassi (2023)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Estudo de desenvolvimento de modelo computacional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Aprendizado de máquina supervisionado, fundamentado no protocolo de triagem da AMIB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Proposição de sistema para apresentar os dados dos pacientes e suas respectivas prioridades de internação, apoiando a triagem e a definição de prioridades de acesso aos leitos de UTI.</w:t>
            </w:r>
          </w:p>
        </w:tc>
      </w:tr>
      <w:tr>
        <w:trPr>
          <w:cantSplit w:val="0"/>
          <w:trHeight w:val="1991.835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Silva (2023)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Estudo retrospectivo multicêntrico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Modelos de aprendizado de máquina, incluindo LGBM, TabNet, RuleFit e FIGS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Predição do risco de óbito ou readmissão nas primeiras 48 horas após a alta da UTI. A finalidade explicitada é apoiar a decisão de alta, estabelecendo vínculo com a organização das transições do cuidado e a segurança assistencial.</w:t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Somensi (2024)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Estudo metodológico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Inteligência artificial associada à inteligência de negócios (Business Intelligence)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Aplicação direcionada à gestão do cuidado de enfermagem na UTI, conforme a classificação apresentada na matriz do manuscrito.</w:t>
            </w:r>
          </w:p>
        </w:tc>
      </w:tr>
    </w:tbl>
    <w:p w:rsidR="00000000" w:rsidDel="00000000" w:rsidP="00000000" w:rsidRDefault="00000000" w:rsidRPr="00000000" w14:paraId="0000003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Fonte: Elaborado pelos autores, 2026.</w:t>
      </w:r>
    </w:p>
    <w:p w:rsidR="00000000" w:rsidDel="00000000" w:rsidP="00000000" w:rsidRDefault="00000000" w:rsidRPr="00000000" w14:paraId="0000003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aplicações identificadas apontam possibilidades de apoio ao planejamento de recursos e à organização do cuidado. Sua utilidade gerencial, entretanto, depende da integração às rotinas e da avaliação das repercussões sobre os registros e a distribuição das atividades de enfermagem, aspectos destacados por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Bi et al.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(2025).</w:t>
      </w:r>
    </w:p>
    <w:p w:rsidR="00000000" w:rsidDel="00000000" w:rsidP="00000000" w:rsidRDefault="00000000" w:rsidRPr="00000000" w14:paraId="0000003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Nas decisões de admissão e alta, a confiabilidade das ferramentas exige avaliação em diferentes contextos. Rockenschaub et al. (2025) identificaram validação externa em apenas 14,7% de 572 estudos, com redução do desempenho em dados externos, reforçando a necessidade de considerar diferenças entre populações, práticas assistenciais e sistemas de registro antes da utilização dos modelos em outros serviços.</w:t>
      </w:r>
    </w:p>
    <w:p w:rsidR="00000000" w:rsidDel="00000000" w:rsidP="00000000" w:rsidRDefault="00000000" w:rsidRPr="00000000" w14:paraId="0000003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Ademais, a alocação de recursos requer transparência e atenção à equidade, conforme preocupações identificadas por Elgin e Elgin (2024). A incorporação da IA também demanda capacitação profissional, supervisão humana e governança institucional (Cecconi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., 2025). Essas condições permitem acompanhar as recomendações e seus efeitos sobre a organização do trabalho e a segurança assistencial.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40" w:lineRule="auto"/>
        <w:ind w:firstLine="70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Conclusão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before="0"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estudo identificou aplicações da inteligência artificial no planejamento e na gestão do cuidado em terapia intensiva, abrangendo a organização de informações assistenciais, a estimativa da carga de trabalho e o apoio às decisões relacionadas à admissão, à permanência e à alta da unidade. As seis produções analisadas evidenciaram diferentes abordagens computacionais propostas para subsidiar o planejamento de recursos e a organização do trabalho assistencial.</w:t>
      </w:r>
    </w:p>
    <w:p w:rsidR="00000000" w:rsidDel="00000000" w:rsidP="00000000" w:rsidRDefault="00000000" w:rsidRPr="00000000" w14:paraId="00000039">
      <w:pPr>
        <w:spacing w:after="0" w:before="0"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Entretanto, a heterogeneidade das produções e o detalhamento disponível nas fontes consultadas limitam a comparação entre as ferramentas e a avaliação de sua efetividade nos serviços. A contribuição deste recorte consiste na sistematização das finalidades gerenciais investigadas, oferecendo subsídios para compreender suas possibilidades de aplicação. Recomendam-se avaliações em contextos assistenciais que considerem a qualidade das estimativas, a adequação às rotinas profissionais e os efeitos sobre o planejamento da equipe, a utilização dos leitos e a segurança do cuidado.</w:t>
      </w:r>
    </w:p>
    <w:p w:rsidR="00000000" w:rsidDel="00000000" w:rsidP="00000000" w:rsidRDefault="00000000" w:rsidRPr="00000000" w14:paraId="0000003A">
      <w:pPr>
        <w:spacing w:after="0" w:before="0"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Referências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BERKHOUT, Willemijn E. M. et al. Operationalization of artificial intelligence applications in the intensive care unit: a systematic review.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JAMA Network Open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v. 8, n. 7, e2522866, 2025. DOI: 10.1001/jamanetworkopen.2025.22866.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before="20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BI, Aiping; LI, Tie; CHENG, Guohui; HU, Jing. Artificial intelligence applications in intensive care unit nursing: a narrative review (2020–2025).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Digital Health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v. 11, 20552076251406302, 2025. DOI: 10.1177/20552076251406302.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20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CECCONI, Maurizio et al. Implementing artificial intelligence in critical care medicine: a consensus of 22.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Critical Care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v. 29, n. 1, art. 290, 2025. DOI: 10.1186/s13054-025-05532-2.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before="20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ELGIN, Cansu Yüksel; ELGIN, Ceyhun. Ethical implications of AI-driven clinical decision support systems on healthcare resource allocation: a qualitative study of healthcare professionals’ perspectives.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BMC Medical Ethics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v. 25, art. 148, 2024. DOI: 10.1186/s12910-024-01151-8.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before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FABRIZZIO, Greici Capellari.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Enfermagem de precisão e inteligência artificial: variáveis preditoras e modelos de decisão da internação de pacientes infectados pela COVID-19 em unidade de terapia intensiva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2023. Tese (Doutorado em Enfermagem) – Universidade Federal de Santa Catarina, Florianópolis, 2023. </w:t>
      </w:r>
    </w:p>
    <w:p w:rsidR="00000000" w:rsidDel="00000000" w:rsidP="00000000" w:rsidRDefault="00000000" w:rsidRPr="00000000" w14:paraId="00000041">
      <w:pPr>
        <w:spacing w:after="0" w:before="20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ROCKENSCHAUB, Patrick et al. External validation of AI-based scoring systems in the ICU: a systematic review and meta-analysis.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BMC Medical Informatics and Decision Making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v. 25, art. 5, 2025. DOI: 10.1186/s12911-024-02830-7.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before="20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SANTA CRUZ, René Nolio.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Estimativa de carga de trabalho de enfermeiros em uma UTI por meio de redes neurais e IoT-fog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2022. Dissertação (Mestrado em Ciência da Computação) – Universidade Federal de Santa Catarina, Florianópolis, 2022.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before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SANTOS, Patrícia Couto Macedo dos.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Tempo de permanência na unidade de terapia intensiva e o uso de redes bayesianas como ferramenta de gestão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2020. Dissertação (Mestrado em Bioengenharia) – Universidade Brasil, São Paulo, 2020. </w:t>
      </w:r>
    </w:p>
    <w:p w:rsidR="00000000" w:rsidDel="00000000" w:rsidP="00000000" w:rsidRDefault="00000000" w:rsidRPr="00000000" w14:paraId="00000044">
      <w:pPr>
        <w:spacing w:after="0" w:before="20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SASSI, Alison Luis.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Modelo de inteligência artificial para auxiliar na triagem de unidades de terapia intensiva: um estudo baseado no protocolo da AMIB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2023. Dissertação (Mestrado em Modelagem Matemática e Computacional) – Universidade Regional do Noroeste do Estado do Rio Grande do Sul, Ijuí, 2023.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before="20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SILVA, Gustavo Henrique dos Santos.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Predição de mortalidade e reinternamento em 48 horas em unidades de terapia intensiva utilizando modelos de machine learning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2023. Dissertação (Mestrado em Ciências da Saúde) – Pontifícia Universidade Católica do Paraná, Curitiba, 2023.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before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SOMENSI, Rute Merlo.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Inteligência artificial para gestão de cuidados de enfermagem em unidade de terapia intensiva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2024. Tese (Doutorado em Ciências Pneumológicas) – Universidade Federal do Rio Grande do Sul, Porto Alegre, 2024. 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38" w:w="11906" w:orient="portrait"/>
      <w:pgMar w:bottom="1417" w:top="1417" w:left="1700.7874015748032" w:right="1701" w:header="70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ISSN 1983-8174</w:t>
    </w:r>
  </w:p>
  <w:p w:rsidR="00000000" w:rsidDel="00000000" w:rsidP="00000000" w:rsidRDefault="00000000" w:rsidRPr="00000000" w14:paraId="0000005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Universidade Regional do Cariri, email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eduardo.holanda@urca.br</w:t>
      </w:r>
    </w:p>
  </w:footnote>
  <w:footnote w:id="1"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Universidade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Regional do Cariri,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email: amabile.aires@urca.br</w:t>
      </w:r>
    </w:p>
  </w:footnote>
  <w:footnote w:id="2"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Universidade Regional do Cariri, email: amanda.aires@urca.br</w:t>
      </w:r>
    </w:p>
  </w:footnote>
  <w:footnote w:id="6"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Universidade Regional do Cariri, email: rayane.alencar@urca.br </w:t>
      </w:r>
    </w:p>
  </w:footnote>
  <w:footnote w:id="3">
    <w:p w:rsidR="00000000" w:rsidDel="00000000" w:rsidP="00000000" w:rsidRDefault="00000000" w:rsidRPr="00000000" w14:paraId="0000004B">
      <w:pPr>
        <w:tabs>
          <w:tab w:val="left" w:leader="none" w:pos="284"/>
        </w:tabs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Universidade Regional do Cariri, email: mariana.yasmim@urca.br</w:t>
      </w:r>
    </w:p>
  </w:footnote>
  <w:footnote w:id="4">
    <w:p w:rsidR="00000000" w:rsidDel="00000000" w:rsidP="00000000" w:rsidRDefault="00000000" w:rsidRPr="00000000" w14:paraId="0000004C">
      <w:pPr>
        <w:tabs>
          <w:tab w:val="left" w:leader="none" w:pos="284"/>
        </w:tabs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Universidade Regional do Cariri, email: thiago.nascimento@urca.br </w:t>
      </w:r>
    </w:p>
  </w:footnote>
  <w:footnote w:id="5">
    <w:p w:rsidR="00000000" w:rsidDel="00000000" w:rsidP="00000000" w:rsidRDefault="00000000" w:rsidRPr="00000000" w14:paraId="0000005A">
      <w:pPr>
        <w:tabs>
          <w:tab w:val="left" w:leader="none" w:pos="284"/>
        </w:tabs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Universidade Regional do Cariri, email: esther.eloipinheiro@urca.br 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spacing w:line="240" w:lineRule="auto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275820</wp:posOffset>
          </wp:positionH>
          <wp:positionV relativeFrom="paragraph">
            <wp:posOffset>-282103</wp:posOffset>
          </wp:positionV>
          <wp:extent cx="4848225" cy="1450658"/>
          <wp:effectExtent b="0" l="0" r="0" t="0"/>
          <wp:wrapNone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848225" cy="145065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i w:val="1"/>
        <w:iCs w:val="1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i w:val="1"/>
        <w:iCs w:val="1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i w:val="1"/>
        <w:iCs w:val="1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i w:val="1"/>
        <w:iCs w:val="1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i w:val="1"/>
        <w:iCs w:val="1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i w:val="1"/>
        <w:iCs w:val="1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i w:val="1"/>
        <w:iCs w:val="1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i w:val="1"/>
        <w:iCs w:val="1"/>
        <w:sz w:val="14"/>
        <w:szCs w:val="1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spacing w:line="240" w:lineRule="auto"/>
      <w:jc w:val="center"/>
      <w:rPr/>
    </w:pPr>
    <w:r w:rsidDel="00000000" w:rsidR="00000000" w:rsidRPr="00000000">
      <w:rPr>
        <w:rFonts w:ascii="Arial" w:cs="Arial" w:eastAsia="Arial" w:hAnsi="Arial"/>
        <w:b w:val="1"/>
        <w:bCs w:val="1"/>
        <w:sz w:val="24"/>
        <w:szCs w:val="24"/>
      </w:rPr>
      <w:drawing>
        <wp:inline distB="0" distT="0" distL="0" distR="0">
          <wp:extent cx="4852670" cy="1658620"/>
          <wp:effectExtent b="0" l="0" r="0" t="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852670" cy="16586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Lista">
    <w:name w:val="List"/>
    <w:basedOn w:val="Corpodetexto"/>
    <w:qFormat w:val="1"/>
    <w:rPr>
      <w:rFonts w:cs="Lohit Devanagari"/>
    </w:rPr>
  </w:style>
  <w:style w:type="paragraph" w:styleId="Corpodetexto">
    <w:name w:val="Body Text"/>
    <w:basedOn w:val="Normal"/>
    <w:qFormat w:val="1"/>
    <w:pPr>
      <w:spacing w:after="140"/>
    </w:pPr>
  </w:style>
  <w:style w:type="paragraph" w:styleId="NormalWeb">
    <w:name w:val="Normal (Web)"/>
    <w:basedOn w:val="Normal"/>
    <w:unhideWhenUsed w:val="1"/>
    <w:qFormat w:val="1"/>
    <w:pPr>
      <w:suppressAutoHyphens w:val="0"/>
      <w:spacing w:afterAutospacing="1" w:before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 w:val="1"/>
    <w:qFormat w:val="1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 w:val="1"/>
    <w:qFormat w:val="1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Lohit Devanagari"/>
      <w:i w:val="1"/>
      <w:iCs w:val="1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qFormat w:val="1"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 w:val="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abealhoChar" w:customStyle="1">
    <w:name w:val="Cabeçalho Char"/>
    <w:basedOn w:val="Fontepargpadro"/>
    <w:link w:val="Cabealho"/>
    <w:uiPriority w:val="99"/>
    <w:qFormat w:val="1"/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 w:val="1"/>
    <w:qFormat w:val="1"/>
    <w:rPr>
      <w:rFonts w:ascii="Calibri" w:cs="Times New Roman" w:eastAsia="Calibri" w:hAnsi="Calibri"/>
      <w:sz w:val="20"/>
      <w:szCs w:val="20"/>
      <w:lang w:eastAsia="zh-CN"/>
    </w:rPr>
  </w:style>
  <w:style w:type="character" w:styleId="ncoradanotaderodap" w:customStyle="1">
    <w:name w:val="Âncora da nota de rodapé"/>
    <w:qFormat w:val="1"/>
    <w:rPr>
      <w:vertAlign w:val="superscript"/>
    </w:rPr>
  </w:style>
  <w:style w:type="character" w:styleId="FootnoteCharacters" w:customStyle="1">
    <w:name w:val="Footnote Characters"/>
    <w:basedOn w:val="Fontepargpadro"/>
    <w:uiPriority w:val="99"/>
    <w:semiHidden w:val="1"/>
    <w:unhideWhenUsed w:val="1"/>
    <w:qFormat w:val="1"/>
    <w:rPr>
      <w:vertAlign w:val="superscript"/>
    </w:rPr>
  </w:style>
  <w:style w:type="character" w:styleId="RodapChar" w:customStyle="1">
    <w:name w:val="Rodapé Char"/>
    <w:basedOn w:val="Fontepargpadro"/>
    <w:link w:val="Rodap"/>
    <w:uiPriority w:val="99"/>
    <w:qFormat w:val="1"/>
    <w:rPr>
      <w:rFonts w:ascii="Calibri" w:cs="Times New Roman" w:eastAsia="Calibri" w:hAnsi="Calibri"/>
      <w:lang w:eastAsia="zh-CN"/>
    </w:rPr>
  </w:style>
  <w:style w:type="character" w:styleId="fontstyle01" w:customStyle="1">
    <w:name w:val="fontstyle01"/>
    <w:basedOn w:val="Fontepargpadro"/>
    <w:qFormat w:val="1"/>
    <w:rPr>
      <w:rFonts w:ascii="Verdana" w:hAnsi="Verdana"/>
      <w:b w:val="1"/>
      <w:bCs w:val="1"/>
      <w:color w:val="000000"/>
      <w:sz w:val="20"/>
      <w:szCs w:val="20"/>
    </w:rPr>
  </w:style>
  <w:style w:type="character" w:styleId="fontstyle21" w:customStyle="1">
    <w:name w:val="fontstyle21"/>
    <w:basedOn w:val="Fontepargpadro"/>
    <w:qFormat w:val="1"/>
    <w:rPr>
      <w:rFonts w:ascii="Verdana" w:hAnsi="Verdana"/>
      <w:color w:val="000000"/>
      <w:sz w:val="20"/>
      <w:szCs w:val="20"/>
    </w:rPr>
  </w:style>
  <w:style w:type="character" w:styleId="fontstyle31" w:customStyle="1">
    <w:name w:val="fontstyle31"/>
    <w:basedOn w:val="Fontepargpadro"/>
    <w:qFormat w:val="1"/>
    <w:rPr>
      <w:rFonts w:ascii="Times New Roman" w:cs="Times New Roman" w:hAnsi="Times New Roman"/>
      <w:color w:val="000000"/>
      <w:sz w:val="24"/>
      <w:szCs w:val="24"/>
    </w:rPr>
  </w:style>
  <w:style w:type="character" w:styleId="fontstyle11" w:customStyle="1">
    <w:name w:val="fontstyle11"/>
    <w:basedOn w:val="Fontepargpadro"/>
    <w:qFormat w:val="1"/>
    <w:rPr>
      <w:rFonts w:ascii="TimesNewRomanPSMT" w:hAnsi="TimesNewRomanPSMT"/>
      <w:color w:val="000000"/>
      <w:sz w:val="24"/>
      <w:szCs w:val="24"/>
    </w:rPr>
  </w:style>
  <w:style w:type="character" w:styleId="ListLabel1" w:customStyle="1">
    <w:name w:val="ListLabel 1"/>
    <w:qFormat w:val="1"/>
    <w:rPr>
      <w:sz w:val="26"/>
    </w:rPr>
  </w:style>
  <w:style w:type="character" w:styleId="ListLabel2" w:customStyle="1">
    <w:name w:val="ListLabel 2"/>
    <w:qFormat w:val="1"/>
    <w:rPr>
      <w:sz w:val="26"/>
    </w:rPr>
  </w:style>
  <w:style w:type="character" w:styleId="ListLabel3" w:customStyle="1">
    <w:name w:val="ListLabel 3"/>
    <w:qFormat w:val="1"/>
    <w:rPr>
      <w:rFonts w:ascii="Arial" w:hAnsi="Arial"/>
      <w:sz w:val="24"/>
    </w:rPr>
  </w:style>
  <w:style w:type="character" w:styleId="Caracteresdenotaderodap" w:customStyle="1">
    <w:name w:val="Caracteres de nota de rodapé"/>
    <w:qFormat w:val="1"/>
  </w:style>
  <w:style w:type="character" w:styleId="ncoradanotadefim" w:customStyle="1">
    <w:name w:val="Âncora da nota de fim"/>
    <w:qFormat w:val="1"/>
    <w:rPr>
      <w:vertAlign w:val="superscript"/>
    </w:rPr>
  </w:style>
  <w:style w:type="character" w:styleId="Caracteresdenotadefim" w:customStyle="1">
    <w:name w:val="Caracteres de nota de fim"/>
    <w:qFormat w:val="1"/>
  </w:style>
  <w:style w:type="paragraph" w:styleId="ndice" w:customStyle="1">
    <w:name w:val="Índice"/>
    <w:basedOn w:val="Normal"/>
    <w:qFormat w:val="1"/>
    <w:pPr>
      <w:suppressLineNumbers w:val="1"/>
    </w:pPr>
    <w:rPr>
      <w:rFonts w:cs="Lohit Devanagari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Fp53ZtnKMMtrnSQnmDWqrnDBug==">CgMxLjA4AHIhMVpyRmdLb1JUZWstR25uX0tPTWZVNGRCb01nUnBKeXAz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2022-11-23T11:50:00Z</dcterms:created>
  <dc:creator>Flávio França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1046-12.1.0.28032</vt:lpwstr>
  </property>
  <property fmtid="{D5CDD505-2E9C-101B-9397-08002B2CF9AE}" pid="9" name="ICV">
    <vt:lpwstr>A30526B2E69540F5B4E2DE16C52D09A4_13</vt:lpwstr>
  </property>
  <property fmtid="{D5CDD505-2E9C-101B-9397-08002B2CF9AE}" pid="10" name="KSOTemplateDocerSaveRecord">
    <vt:lpwstr>eyJoZGlkIjoiOWU1M2ViZTg0OThkZGNmZGYwNWMyNTAzYTc3Y2E3MTQiLCJ1c2VySWQiOiIxMjU0NjYwMDMzMDU5In0=</vt:lpwstr>
  </property>
</Properties>
</file>