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CDCC30">
      <w:pPr>
        <w:tabs>
          <w:tab w:val="left" w:pos="6899"/>
        </w:tabs>
        <w:spacing w:after="0" w:line="240" w:lineRule="auto"/>
        <w:rPr>
          <w:rFonts w:ascii="Arial" w:hAnsi="Arial" w:cs="Arial"/>
          <w:b/>
          <w:caps/>
          <w:sz w:val="24"/>
          <w:szCs w:val="24"/>
        </w:rPr>
      </w:pPr>
    </w:p>
    <w:p w14:paraId="6ACDCC31">
      <w:pPr>
        <w:spacing w:after="0" w:line="240" w:lineRule="auto"/>
        <w:jc w:val="center"/>
        <w:rPr>
          <w:rFonts w:ascii="Arial" w:hAnsi="Arial" w:cs="Arial"/>
          <w:b/>
          <w:caps/>
          <w:sz w:val="24"/>
          <w:szCs w:val="24"/>
        </w:rPr>
      </w:pPr>
    </w:p>
    <w:p w14:paraId="6ACDCC32">
      <w:pPr>
        <w:spacing w:after="0" w:line="240" w:lineRule="auto"/>
        <w:jc w:val="center"/>
        <w:rPr>
          <w:rFonts w:ascii="Times New Roman" w:hAnsi="Times New Roman"/>
          <w:b w:val="0"/>
          <w:bCs/>
          <w:sz w:val="24"/>
          <w:szCs w:val="24"/>
        </w:rPr>
      </w:pPr>
      <w:r>
        <w:rPr>
          <w:rFonts w:ascii="Times New Roman" w:hAnsi="Times New Roman"/>
          <w:b/>
          <w:caps/>
          <w:sz w:val="24"/>
          <w:szCs w:val="24"/>
        </w:rPr>
        <w:t xml:space="preserve">A excepcionalidade da prisão preventiva no processo penal brasileiro: </w:t>
      </w:r>
      <w:r>
        <w:rPr>
          <w:rFonts w:ascii="Times New Roman" w:hAnsi="Times New Roman"/>
          <w:b w:val="0"/>
          <w:bCs/>
          <w:sz w:val="24"/>
          <w:szCs w:val="24"/>
        </w:rPr>
        <w:t>entre a previsão legal e os desafios de sua aplicação</w:t>
      </w:r>
    </w:p>
    <w:p w14:paraId="6ACDCC33">
      <w:pPr>
        <w:spacing w:after="0" w:line="240" w:lineRule="auto"/>
        <w:jc w:val="center"/>
        <w:rPr>
          <w:rFonts w:ascii="Arial" w:hAnsi="Arial" w:cs="Arial"/>
          <w:b/>
          <w:caps/>
          <w:sz w:val="24"/>
          <w:szCs w:val="24"/>
        </w:rPr>
      </w:pPr>
    </w:p>
    <w:p w14:paraId="6ACDCC34">
      <w:pPr>
        <w:spacing w:after="0" w:line="240" w:lineRule="auto"/>
        <w:jc w:val="center"/>
        <w:rPr>
          <w:rFonts w:ascii="Times New Roman" w:hAnsi="Times New Roman"/>
          <w:b/>
          <w:sz w:val="24"/>
          <w:szCs w:val="24"/>
        </w:rPr>
      </w:pPr>
      <w:r>
        <w:rPr>
          <w:rFonts w:ascii="Times New Roman" w:hAnsi="Times New Roman"/>
          <w:b/>
          <w:sz w:val="24"/>
          <w:szCs w:val="24"/>
        </w:rPr>
        <w:t>Antônia Milena Pinheiro</w:t>
      </w:r>
      <w:r>
        <w:rPr>
          <w:rStyle w:val="17"/>
          <w:rFonts w:ascii="Times New Roman" w:hAnsi="Times New Roman"/>
          <w:b/>
          <w:sz w:val="24"/>
          <w:szCs w:val="24"/>
        </w:rPr>
        <w:footnoteReference w:id="0"/>
      </w:r>
      <w:r>
        <w:rPr>
          <w:rFonts w:ascii="Times New Roman" w:hAnsi="Times New Roman"/>
          <w:b/>
          <w:caps/>
          <w:sz w:val="24"/>
          <w:szCs w:val="24"/>
        </w:rPr>
        <w:t>,</w:t>
      </w:r>
      <w:r>
        <w:rPr>
          <w:rFonts w:ascii="Times New Roman" w:hAnsi="Times New Roman"/>
          <w:b/>
          <w:sz w:val="24"/>
          <w:szCs w:val="24"/>
        </w:rPr>
        <w:t xml:space="preserve"> Roberta Gonçalves Bezerra de Menezes</w:t>
      </w:r>
      <w:r>
        <w:rPr>
          <w:rStyle w:val="17"/>
          <w:rFonts w:ascii="Times New Roman" w:hAnsi="Times New Roman"/>
          <w:b/>
          <w:sz w:val="24"/>
          <w:szCs w:val="24"/>
        </w:rPr>
        <w:footnoteReference w:id="1"/>
      </w:r>
      <w:r>
        <w:rPr>
          <w:rFonts w:ascii="Times New Roman" w:hAnsi="Times New Roman"/>
          <w:b/>
          <w:sz w:val="24"/>
          <w:szCs w:val="24"/>
        </w:rPr>
        <w:t>.</w:t>
      </w:r>
    </w:p>
    <w:p w14:paraId="6ACDCC35">
      <w:pPr>
        <w:spacing w:after="0" w:line="240" w:lineRule="auto"/>
        <w:jc w:val="both"/>
        <w:rPr>
          <w:rFonts w:ascii="Times New Roman" w:hAnsi="Times New Roman"/>
          <w:b/>
          <w:sz w:val="24"/>
          <w:szCs w:val="24"/>
        </w:rPr>
      </w:pPr>
    </w:p>
    <w:p w14:paraId="6ACDCC38">
      <w:pPr>
        <w:spacing w:after="0" w:line="240" w:lineRule="auto"/>
        <w:rPr>
          <w:rFonts w:ascii="Times New Roman" w:hAnsi="Times New Roman"/>
          <w:b/>
          <w:sz w:val="24"/>
          <w:szCs w:val="24"/>
        </w:rPr>
      </w:pPr>
    </w:p>
    <w:p w14:paraId="45F130F4">
      <w:pPr>
        <w:pStyle w:val="9"/>
        <w:spacing w:beforeAutospacing="0" w:after="0" w:afterAutospacing="0"/>
        <w:jc w:val="both"/>
        <w:rPr>
          <w:rFonts w:ascii="Times New Roman" w:hAnsi="Times New Roman"/>
          <w:b/>
          <w:sz w:val="24"/>
          <w:szCs w:val="24"/>
        </w:rPr>
      </w:pPr>
      <w:r>
        <w:rPr>
          <w:rFonts w:ascii="Times New Roman" w:hAnsi="Times New Roman"/>
          <w:b/>
          <w:sz w:val="24"/>
          <w:szCs w:val="24"/>
        </w:rPr>
        <w:t xml:space="preserve">Resumo: </w:t>
      </w:r>
      <w:r>
        <w:rPr>
          <w:rFonts w:hint="default" w:ascii="Times New Roman" w:hAnsi="Times New Roman"/>
          <w:b w:val="0"/>
          <w:bCs/>
          <w:sz w:val="24"/>
          <w:szCs w:val="24"/>
        </w:rPr>
        <w:t xml:space="preserve">A prisão preventiva é medida cautelar excepcional, cuja decretação exige fundamentação concreta e demonstração da insuficiência de alternativas à prisão. Este estudo analisa como a indeterminação dos fundamentos da garantia da ordem pública e da ordem econômica, associada às expectativas sociais e midiáticas de punição, pode comprometer </w:t>
      </w:r>
      <w:bookmarkStart w:id="0" w:name="_GoBack"/>
      <w:bookmarkEnd w:id="0"/>
      <w:r>
        <w:rPr>
          <w:rFonts w:hint="default" w:ascii="Times New Roman" w:hAnsi="Times New Roman"/>
          <w:b w:val="0"/>
          <w:bCs/>
          <w:sz w:val="24"/>
          <w:szCs w:val="24"/>
        </w:rPr>
        <w:t>essa excepcionalidade. A pesquisa é teórica, qualitativa e exploratória, baseada em revisão bibliográfica e análise da legislação processual penal. Os resultados preliminares apontam que a amplitude de ambos os fundamentos pode favorecer justificativas genéricas, apoiadas na gravidade abstrata do delito ou em sua repercussão, sem demonstração de perigo concreto decorrente da liberdade. A literatura também problematiza a conversão da prisão cautelar em resposta simbólica às demandas punitivas. Conclui-se, preliminarmente, que a preservação da natureza cautelar exige fundamentação individualizada, necessidade atual e exame da insuficiência das medidas alternativas. A investigação integra a primeira etapa de projeto PIBIC em andamento.</w:t>
      </w:r>
    </w:p>
    <w:p w14:paraId="042BD506">
      <w:pPr>
        <w:pStyle w:val="9"/>
        <w:spacing w:beforeAutospacing="0" w:after="0" w:afterAutospacing="0"/>
        <w:jc w:val="both"/>
        <w:rPr>
          <w:rFonts w:ascii="Times New Roman" w:hAnsi="Times New Roman"/>
          <w:b/>
          <w:sz w:val="24"/>
          <w:szCs w:val="24"/>
        </w:rPr>
      </w:pPr>
    </w:p>
    <w:p w14:paraId="6ACDCC3B">
      <w:pPr>
        <w:pStyle w:val="9"/>
        <w:spacing w:beforeAutospacing="0" w:after="0" w:afterAutospacing="0"/>
        <w:jc w:val="both"/>
        <w:rPr>
          <w:b/>
        </w:rPr>
      </w:pPr>
      <w:r>
        <w:rPr>
          <w:rStyle w:val="20"/>
          <w:rFonts w:ascii="Times New Roman" w:hAnsi="Times New Roman"/>
          <w:sz w:val="24"/>
          <w:szCs w:val="24"/>
        </w:rPr>
        <w:t xml:space="preserve">Palavras-chave: </w:t>
      </w:r>
      <w:r>
        <w:rPr>
          <w:rStyle w:val="21"/>
          <w:rFonts w:ascii="Times New Roman" w:hAnsi="Times New Roman"/>
          <w:sz w:val="24"/>
          <w:szCs w:val="24"/>
        </w:rPr>
        <w:t>Prisão preventiva. Garantia</w:t>
      </w:r>
      <w:r>
        <w:rPr>
          <w:rFonts w:hint="default" w:ascii="Times New Roman" w:hAnsi="Times New Roman"/>
          <w:b w:val="0"/>
          <w:bCs/>
          <w:sz w:val="24"/>
          <w:szCs w:val="24"/>
        </w:rPr>
        <w:t xml:space="preserve"> da ordem </w:t>
      </w:r>
      <w:r>
        <w:rPr>
          <w:rFonts w:hint="default" w:ascii="Times New Roman" w:hAnsi="Times New Roman"/>
          <w:b w:val="0"/>
          <w:bCs/>
          <w:sz w:val="24"/>
          <w:szCs w:val="24"/>
          <w:lang w:val="pt-BR"/>
        </w:rPr>
        <w:t xml:space="preserve">pública e da </w:t>
      </w:r>
      <w:r>
        <w:rPr>
          <w:rFonts w:hint="default" w:ascii="Times New Roman" w:hAnsi="Times New Roman"/>
          <w:b w:val="0"/>
          <w:bCs/>
          <w:sz w:val="24"/>
          <w:szCs w:val="24"/>
        </w:rPr>
        <w:t>econ</w:t>
      </w:r>
      <w:r>
        <w:rPr>
          <w:rStyle w:val="21"/>
          <w:rFonts w:ascii="Times New Roman" w:hAnsi="Times New Roman"/>
          <w:sz w:val="24"/>
          <w:szCs w:val="24"/>
        </w:rPr>
        <w:t>ômica. Excepcionalidade. Medidas cautelares.</w:t>
      </w:r>
    </w:p>
    <w:p w14:paraId="6ACDCC3E">
      <w:pPr>
        <w:spacing w:after="0" w:line="240" w:lineRule="auto"/>
        <w:rPr>
          <w:rFonts w:ascii="Times New Roman" w:hAnsi="Times New Roman"/>
          <w:b/>
          <w:sz w:val="24"/>
          <w:szCs w:val="24"/>
        </w:rPr>
      </w:pPr>
    </w:p>
    <w:p w14:paraId="6ACDCC3F">
      <w:pPr>
        <w:pStyle w:val="9"/>
        <w:numPr>
          <w:ilvl w:val="0"/>
          <w:numId w:val="1"/>
        </w:numPr>
        <w:spacing w:beforeAutospacing="0" w:after="0" w:afterAutospacing="0"/>
        <w:ind w:leftChars="0"/>
        <w:jc w:val="both"/>
        <w:rPr>
          <w:rStyle w:val="20"/>
          <w:rFonts w:ascii="Times New Roman" w:hAnsi="Times New Roman"/>
          <w:sz w:val="24"/>
          <w:szCs w:val="24"/>
        </w:rPr>
      </w:pPr>
      <w:r>
        <w:rPr>
          <w:rStyle w:val="20"/>
          <w:rFonts w:ascii="Times New Roman" w:hAnsi="Times New Roman"/>
          <w:sz w:val="24"/>
          <w:szCs w:val="24"/>
        </w:rPr>
        <w:t>Introdução</w:t>
      </w:r>
    </w:p>
    <w:p w14:paraId="1EC3D727">
      <w:pPr>
        <w:pStyle w:val="9"/>
        <w:numPr>
          <w:numId w:val="0"/>
        </w:numPr>
        <w:spacing w:beforeAutospacing="0" w:after="0" w:afterAutospacing="0"/>
        <w:jc w:val="both"/>
        <w:rPr>
          <w:rStyle w:val="20"/>
          <w:rFonts w:ascii="Times New Roman" w:hAnsi="Times New Roman"/>
          <w:sz w:val="24"/>
          <w:szCs w:val="24"/>
        </w:rPr>
      </w:pPr>
    </w:p>
    <w:p w14:paraId="0B06B0E8">
      <w:pPr>
        <w:pStyle w:val="9"/>
        <w:keepNext w:val="0"/>
        <w:keepLines w:val="0"/>
        <w:pageBreakBefore w:val="0"/>
        <w:widowControl/>
        <w:kinsoku/>
        <w:wordWrap/>
        <w:overflowPunct/>
        <w:topLinePunct w:val="0"/>
        <w:autoSpaceDE/>
        <w:autoSpaceDN/>
        <w:bidi w:val="0"/>
        <w:adjustRightInd/>
        <w:snapToGrid/>
        <w:spacing w:beforeAutospacing="0" w:after="0" w:afterAutospacing="0"/>
        <w:ind w:left="0" w:leftChars="0" w:firstLine="540" w:firstLineChars="225"/>
        <w:jc w:val="both"/>
        <w:textAlignment w:val="auto"/>
        <w:rPr>
          <w:rFonts w:hint="default" w:ascii="Times New Roman" w:hAnsi="Times New Roman"/>
          <w:b w:val="0"/>
          <w:bCs/>
          <w:sz w:val="24"/>
          <w:szCs w:val="24"/>
          <w:lang w:val="pt-BR"/>
        </w:rPr>
      </w:pPr>
      <w:r>
        <w:rPr>
          <w:rFonts w:hint="default" w:ascii="Times New Roman" w:hAnsi="Times New Roman"/>
          <w:b w:val="0"/>
          <w:bCs/>
          <w:sz w:val="24"/>
          <w:szCs w:val="24"/>
          <w:lang w:val="pt-BR"/>
        </w:rPr>
        <w:t>A prisão preventiva é medida cautelar pessoal que restringe a liberdade antes da condenação definitiva. Sua finalidade não é antecipar a pena, mas enfrentar riscos concretos associados à liberdade do investigado ou acusado, em respeito à presunção de inocência e ao devido processo legal. Nos termos do art. 312 do Código de Processo Penal (CPP), sua decretação pode se fundamentar na garantia da ordem pública ou econômica, na conveniência da instrução criminal ou na necessidade de assegurar a aplicação da lei penal, desde que presentes os pressupostos legais. Os arts. 282 e 319 do CPP também impõem a avaliação de medidas menos gravosas.</w:t>
      </w:r>
    </w:p>
    <w:p w14:paraId="34E4B223">
      <w:pPr>
        <w:pStyle w:val="9"/>
        <w:keepNext w:val="0"/>
        <w:keepLines w:val="0"/>
        <w:pageBreakBefore w:val="0"/>
        <w:widowControl/>
        <w:kinsoku/>
        <w:wordWrap/>
        <w:overflowPunct/>
        <w:topLinePunct w:val="0"/>
        <w:autoSpaceDE/>
        <w:autoSpaceDN/>
        <w:bidi w:val="0"/>
        <w:adjustRightInd/>
        <w:snapToGrid/>
        <w:spacing w:beforeAutospacing="0" w:after="0" w:afterAutospacing="0"/>
        <w:ind w:left="0" w:leftChars="0" w:firstLine="540" w:firstLineChars="225"/>
        <w:jc w:val="both"/>
        <w:textAlignment w:val="auto"/>
        <w:rPr>
          <w:rFonts w:hint="default" w:ascii="Times New Roman" w:hAnsi="Times New Roman"/>
          <w:b w:val="0"/>
          <w:bCs/>
          <w:sz w:val="24"/>
          <w:szCs w:val="24"/>
          <w:lang w:val="pt-BR"/>
        </w:rPr>
      </w:pPr>
      <w:r>
        <w:rPr>
          <w:rFonts w:hint="default" w:ascii="Times New Roman" w:hAnsi="Times New Roman"/>
          <w:b w:val="0"/>
          <w:bCs/>
          <w:sz w:val="24"/>
          <w:szCs w:val="24"/>
          <w:lang w:val="pt-BR"/>
        </w:rPr>
        <w:t>Entre os fundamentos legais, a garantia da ordem pública e a garantia da ordem econômica suscitam dificuldades por sua amplitude interpretativa. Referências à gravidade do crime, à repercussão social ou ao impacto econômico do fato não substituem a demonstração de perigo concreto decorrente da liberdade do imputado. A pressão social e midiática por respostas imediatas torna relevante distinguir a função cautelar da antecipação da pena.</w:t>
      </w:r>
    </w:p>
    <w:p w14:paraId="62FB8EDF">
      <w:pPr>
        <w:pStyle w:val="9"/>
        <w:keepNext w:val="0"/>
        <w:keepLines w:val="0"/>
        <w:pageBreakBefore w:val="0"/>
        <w:widowControl/>
        <w:kinsoku/>
        <w:wordWrap/>
        <w:overflowPunct/>
        <w:topLinePunct w:val="0"/>
        <w:autoSpaceDE/>
        <w:autoSpaceDN/>
        <w:bidi w:val="0"/>
        <w:adjustRightInd/>
        <w:snapToGrid/>
        <w:spacing w:beforeAutospacing="0" w:after="0" w:afterAutospacing="0"/>
        <w:ind w:left="0" w:leftChars="0" w:firstLine="540" w:firstLineChars="225"/>
        <w:jc w:val="both"/>
        <w:textAlignment w:val="auto"/>
        <w:rPr>
          <w:rFonts w:hint="default" w:ascii="Times New Roman" w:hAnsi="Times New Roman"/>
          <w:b w:val="0"/>
          <w:bCs/>
          <w:sz w:val="24"/>
          <w:szCs w:val="24"/>
          <w:lang w:val="pt-BR"/>
        </w:rPr>
      </w:pPr>
      <w:r>
        <w:rPr>
          <w:rFonts w:hint="default" w:ascii="Times New Roman" w:hAnsi="Times New Roman"/>
          <w:b w:val="0"/>
          <w:bCs/>
          <w:sz w:val="24"/>
          <w:szCs w:val="24"/>
          <w:lang w:val="pt-BR"/>
        </w:rPr>
        <w:t>Os dados do SISDEPEN referentes ao segundo semestre de 2025 registram 727.301 pessoas em celas físicas, das quais 205.925 estavam presas provisoriamente (28,3%)</w:t>
      </w:r>
      <w:r>
        <w:rPr>
          <w:rFonts w:hint="default"/>
          <w:b w:val="0"/>
          <w:bCs/>
          <w:sz w:val="24"/>
          <w:szCs w:val="24"/>
          <w:lang w:val="pt-BR"/>
        </w:rPr>
        <w:t xml:space="preserve">, gerando um </w:t>
      </w:r>
      <w:r>
        <w:rPr>
          <w:rFonts w:hint="default" w:ascii="Times New Roman" w:hAnsi="Times New Roman"/>
          <w:b w:val="0"/>
          <w:bCs/>
          <w:sz w:val="24"/>
          <w:szCs w:val="24"/>
          <w:lang w:val="pt-BR"/>
        </w:rPr>
        <w:t>déficit de 222.034 vagas (Brasil, 2026). Embora esses números não permitam aferir a legalidade das prisões preventivas, evidenciam a importância social do tema.</w:t>
      </w:r>
    </w:p>
    <w:p w14:paraId="75911D51">
      <w:pPr>
        <w:pStyle w:val="9"/>
        <w:keepNext w:val="0"/>
        <w:keepLines w:val="0"/>
        <w:pageBreakBefore w:val="0"/>
        <w:widowControl/>
        <w:kinsoku/>
        <w:wordWrap/>
        <w:overflowPunct/>
        <w:topLinePunct w:val="0"/>
        <w:autoSpaceDE/>
        <w:autoSpaceDN/>
        <w:bidi w:val="0"/>
        <w:adjustRightInd/>
        <w:snapToGrid/>
        <w:spacing w:beforeAutospacing="0" w:after="0" w:afterAutospacing="0"/>
        <w:ind w:left="0" w:leftChars="0" w:firstLine="540" w:firstLineChars="225"/>
        <w:jc w:val="both"/>
        <w:textAlignment w:val="auto"/>
        <w:rPr>
          <w:rFonts w:hint="default" w:ascii="Times New Roman" w:hAnsi="Times New Roman"/>
          <w:b w:val="0"/>
          <w:bCs/>
          <w:sz w:val="24"/>
          <w:szCs w:val="24"/>
          <w:lang w:val="pt-BR"/>
        </w:rPr>
      </w:pPr>
      <w:r>
        <w:rPr>
          <w:rFonts w:hint="default" w:ascii="Times New Roman" w:hAnsi="Times New Roman"/>
          <w:b w:val="0"/>
          <w:bCs/>
          <w:sz w:val="24"/>
          <w:szCs w:val="24"/>
          <w:lang w:val="pt-BR"/>
        </w:rPr>
        <w:t>Diante disso, formula-se o problema: em que medida a indeterminação conceitual da garantia da ordem pública e da ordem econômica, associada às expectativas sociais e midiáticas de punição, pode comprometer o caráter excepcional da prisão preventiva no processo penal brasileiro?</w:t>
      </w:r>
    </w:p>
    <w:p w14:paraId="58ECEEC2">
      <w:pPr>
        <w:pStyle w:val="9"/>
        <w:keepNext w:val="0"/>
        <w:keepLines w:val="0"/>
        <w:pageBreakBefore w:val="0"/>
        <w:widowControl/>
        <w:kinsoku/>
        <w:wordWrap/>
        <w:overflowPunct/>
        <w:topLinePunct w:val="0"/>
        <w:autoSpaceDE/>
        <w:autoSpaceDN/>
        <w:bidi w:val="0"/>
        <w:adjustRightInd/>
        <w:snapToGrid/>
        <w:spacing w:beforeAutospacing="0" w:after="0" w:afterAutospacing="0"/>
        <w:ind w:left="0" w:leftChars="0" w:firstLine="540" w:firstLineChars="225"/>
        <w:jc w:val="both"/>
        <w:textAlignment w:val="auto"/>
        <w:rPr>
          <w:rFonts w:hint="default" w:ascii="Times New Roman" w:hAnsi="Times New Roman"/>
          <w:b w:val="0"/>
          <w:bCs/>
          <w:sz w:val="24"/>
          <w:szCs w:val="24"/>
          <w:lang w:val="pt-BR"/>
        </w:rPr>
      </w:pPr>
      <w:r>
        <w:rPr>
          <w:rFonts w:hint="default" w:ascii="Times New Roman" w:hAnsi="Times New Roman"/>
          <w:b w:val="0"/>
          <w:bCs/>
          <w:sz w:val="24"/>
          <w:szCs w:val="24"/>
          <w:lang w:val="pt-BR"/>
        </w:rPr>
        <w:t>O objetivo geral é analisar os limites da decretação da prisão preventiva à luz da excepcionalidade e dos fundamentos da garantia da ordem pública e da ordem econômica. Especificamente, busca-se examinar seus requisitos legais; discutir a amplitude conceitual de ambos os fundamentos e suas implicações para a motivação judicial; e analisar criticamente os riscos de antecipação da pena diante da repercussão social e midiática dos delitos.</w:t>
      </w:r>
    </w:p>
    <w:p w14:paraId="4E0D4B2E">
      <w:pPr>
        <w:pStyle w:val="9"/>
        <w:spacing w:beforeAutospacing="0" w:after="0" w:afterAutospacing="0"/>
        <w:ind w:firstLine="708"/>
        <w:jc w:val="both"/>
        <w:rPr>
          <w:rStyle w:val="21"/>
          <w:rFonts w:hint="default" w:ascii="Verdana" w:eastAsia="SimSun"/>
          <w:sz w:val="24"/>
          <w:szCs w:val="24"/>
          <w:lang w:val="pt-BR"/>
        </w:rPr>
      </w:pPr>
    </w:p>
    <w:p w14:paraId="6ACDCC42">
      <w:pPr>
        <w:pStyle w:val="9"/>
        <w:numPr>
          <w:ilvl w:val="0"/>
          <w:numId w:val="1"/>
        </w:numPr>
        <w:spacing w:beforeAutospacing="0" w:after="0" w:afterAutospacing="0"/>
        <w:ind w:left="0" w:leftChars="0" w:firstLine="0" w:firstLineChars="0"/>
        <w:jc w:val="both"/>
        <w:rPr>
          <w:rStyle w:val="20"/>
          <w:rFonts w:ascii="Times New Roman" w:hAnsi="Times New Roman"/>
          <w:sz w:val="24"/>
          <w:szCs w:val="24"/>
        </w:rPr>
      </w:pPr>
      <w:r>
        <w:rPr>
          <w:rStyle w:val="20"/>
          <w:rFonts w:ascii="Times New Roman" w:hAnsi="Times New Roman"/>
          <w:sz w:val="24"/>
          <w:szCs w:val="24"/>
        </w:rPr>
        <w:t>Metodologia</w:t>
      </w:r>
    </w:p>
    <w:p w14:paraId="300DE525">
      <w:pPr>
        <w:pStyle w:val="9"/>
        <w:keepNext w:val="0"/>
        <w:keepLines w:val="0"/>
        <w:pageBreakBefore w:val="0"/>
        <w:widowControl/>
        <w:kinsoku/>
        <w:wordWrap/>
        <w:overflowPunct/>
        <w:topLinePunct w:val="0"/>
        <w:autoSpaceDE/>
        <w:autoSpaceDN/>
        <w:bidi w:val="0"/>
        <w:adjustRightInd/>
        <w:snapToGrid/>
        <w:spacing w:beforeAutospacing="0" w:after="0" w:afterAutospacing="0"/>
        <w:ind w:left="0" w:leftChars="0" w:firstLine="540" w:firstLineChars="225"/>
        <w:jc w:val="both"/>
        <w:textAlignment w:val="auto"/>
        <w:rPr>
          <w:rStyle w:val="21"/>
          <w:rFonts w:hint="default" w:ascii="Times New Roman" w:hAnsi="Times New Roman"/>
          <w:sz w:val="24"/>
          <w:szCs w:val="24"/>
          <w:highlight w:val="none"/>
        </w:rPr>
      </w:pPr>
    </w:p>
    <w:p w14:paraId="1BC34D99">
      <w:pPr>
        <w:pStyle w:val="9"/>
        <w:keepNext w:val="0"/>
        <w:keepLines w:val="0"/>
        <w:pageBreakBefore w:val="0"/>
        <w:widowControl/>
        <w:kinsoku/>
        <w:wordWrap/>
        <w:overflowPunct/>
        <w:topLinePunct w:val="0"/>
        <w:autoSpaceDE/>
        <w:autoSpaceDN/>
        <w:bidi w:val="0"/>
        <w:adjustRightInd/>
        <w:snapToGrid/>
        <w:spacing w:beforeAutospacing="0" w:after="0" w:afterAutospacing="0"/>
        <w:ind w:left="0" w:leftChars="0" w:firstLine="540" w:firstLineChars="225"/>
        <w:jc w:val="both"/>
        <w:textAlignment w:val="auto"/>
        <w:rPr>
          <w:rStyle w:val="21"/>
          <w:rFonts w:hint="default" w:ascii="Times New Roman" w:hAnsi="Times New Roman"/>
          <w:sz w:val="24"/>
          <w:szCs w:val="24"/>
          <w:highlight w:val="none"/>
        </w:rPr>
      </w:pPr>
      <w:r>
        <w:rPr>
          <w:rStyle w:val="21"/>
          <w:rFonts w:hint="default" w:ascii="Times New Roman" w:hAnsi="Times New Roman"/>
          <w:sz w:val="24"/>
          <w:szCs w:val="24"/>
          <w:highlight w:val="none"/>
        </w:rPr>
        <w:t>Trata-se de pesquisa teórica, de abordagem qualitativa e caráter exploratório, realizada mediante revisão bibliográfica de obras de Direito Processual Penal e análise documental dos arts. 282, 312, 315 e 319 do CPP. A investigação examina a excepcionalidade da prisão preventiva, a indeterminação da garantia da ordem pública e da ordem econômica e as discussões doutrinárias sobre expectativas punitivas e fundamentação judicial.</w:t>
      </w:r>
    </w:p>
    <w:p w14:paraId="7A28442E">
      <w:pPr>
        <w:pStyle w:val="9"/>
        <w:keepNext w:val="0"/>
        <w:keepLines w:val="0"/>
        <w:pageBreakBefore w:val="0"/>
        <w:widowControl/>
        <w:kinsoku/>
        <w:wordWrap/>
        <w:overflowPunct/>
        <w:topLinePunct w:val="0"/>
        <w:autoSpaceDE/>
        <w:autoSpaceDN/>
        <w:bidi w:val="0"/>
        <w:adjustRightInd/>
        <w:snapToGrid/>
        <w:spacing w:beforeAutospacing="0" w:after="0" w:afterAutospacing="0"/>
        <w:ind w:left="0" w:leftChars="0" w:firstLine="540" w:firstLineChars="225"/>
        <w:jc w:val="both"/>
        <w:textAlignment w:val="auto"/>
        <w:rPr>
          <w:rStyle w:val="21"/>
          <w:rFonts w:hint="default" w:ascii="Times New Roman" w:hAnsi="Times New Roman"/>
          <w:sz w:val="24"/>
          <w:szCs w:val="24"/>
          <w:highlight w:val="none"/>
        </w:rPr>
      </w:pPr>
      <w:r>
        <w:rPr>
          <w:rStyle w:val="21"/>
          <w:rFonts w:hint="default" w:ascii="Times New Roman" w:hAnsi="Times New Roman"/>
          <w:sz w:val="24"/>
          <w:szCs w:val="24"/>
          <w:highlight w:val="none"/>
        </w:rPr>
        <w:t>O estudo integra projeto de iniciação científica em andamento e apresenta resultados preliminares de sua primeira etapa, dedicada à construção do referencial teórico. Não houve, nesta fase, análise empírica de decisões judiciais; etapa posterior examinará decisões relativas a crimes contra a ordem econômica e financeira.</w:t>
      </w:r>
    </w:p>
    <w:p w14:paraId="55DB0458">
      <w:pPr>
        <w:pStyle w:val="9"/>
        <w:spacing w:beforeAutospacing="0" w:after="0" w:afterAutospacing="0"/>
        <w:jc w:val="both"/>
        <w:rPr>
          <w:rStyle w:val="21"/>
          <w:rFonts w:ascii="Times New Roman" w:hAnsi="Times New Roman"/>
          <w:sz w:val="24"/>
          <w:szCs w:val="24"/>
          <w:highlight w:val="none"/>
        </w:rPr>
      </w:pPr>
    </w:p>
    <w:p w14:paraId="6ACDCC45">
      <w:pPr>
        <w:pStyle w:val="9"/>
        <w:numPr>
          <w:ilvl w:val="0"/>
          <w:numId w:val="1"/>
        </w:numPr>
        <w:spacing w:beforeAutospacing="0" w:after="0" w:afterAutospacing="0"/>
        <w:ind w:left="0" w:leftChars="0" w:firstLine="0" w:firstLineChars="0"/>
        <w:jc w:val="both"/>
        <w:rPr>
          <w:rStyle w:val="20"/>
          <w:rFonts w:ascii="Times New Roman" w:hAnsi="Times New Roman"/>
          <w:sz w:val="24"/>
          <w:szCs w:val="24"/>
          <w:highlight w:val="none"/>
        </w:rPr>
      </w:pPr>
      <w:r>
        <w:rPr>
          <w:rStyle w:val="20"/>
          <w:rFonts w:ascii="Times New Roman" w:hAnsi="Times New Roman"/>
          <w:sz w:val="24"/>
          <w:szCs w:val="24"/>
          <w:highlight w:val="none"/>
        </w:rPr>
        <w:t xml:space="preserve">Resultados </w:t>
      </w:r>
    </w:p>
    <w:p w14:paraId="0591999B">
      <w:pPr>
        <w:pStyle w:val="9"/>
        <w:numPr>
          <w:ilvl w:val="0"/>
          <w:numId w:val="0"/>
        </w:numPr>
        <w:suppressAutoHyphens w:val="0"/>
        <w:spacing w:beforeAutospacing="0" w:after="0" w:afterAutospacing="0" w:line="240" w:lineRule="auto"/>
        <w:jc w:val="both"/>
        <w:rPr>
          <w:rStyle w:val="20"/>
          <w:rFonts w:ascii="Times New Roman" w:hAnsi="Times New Roman"/>
          <w:sz w:val="24"/>
          <w:szCs w:val="24"/>
          <w:highlight w:val="none"/>
        </w:rPr>
      </w:pPr>
    </w:p>
    <w:p w14:paraId="196A5B15">
      <w:pPr>
        <w:pStyle w:val="9"/>
        <w:keepNext w:val="0"/>
        <w:keepLines w:val="0"/>
        <w:pageBreakBefore w:val="0"/>
        <w:widowControl/>
        <w:kinsoku/>
        <w:wordWrap/>
        <w:overflowPunct/>
        <w:topLinePunct w:val="0"/>
        <w:autoSpaceDE/>
        <w:autoSpaceDN/>
        <w:bidi w:val="0"/>
        <w:adjustRightInd/>
        <w:snapToGrid/>
        <w:spacing w:beforeAutospacing="0" w:after="0" w:afterAutospacing="0"/>
        <w:ind w:firstLine="540" w:firstLineChars="225"/>
        <w:jc w:val="both"/>
        <w:textAlignment w:val="auto"/>
        <w:rPr>
          <w:rStyle w:val="20"/>
          <w:rFonts w:hint="default" w:ascii="Times New Roman" w:hAnsi="Times New Roman"/>
          <w:b w:val="0"/>
          <w:sz w:val="24"/>
          <w:szCs w:val="24"/>
        </w:rPr>
      </w:pPr>
      <w:r>
        <w:rPr>
          <w:rStyle w:val="20"/>
          <w:rFonts w:hint="default" w:ascii="Times New Roman" w:hAnsi="Times New Roman"/>
          <w:b w:val="0"/>
          <w:sz w:val="24"/>
          <w:szCs w:val="24"/>
        </w:rPr>
        <w:t>A revisão bibliográfica indica, inicialmente, que a excepcionalidade da prisão preventiva depende da distinção entre finalidade cautelar e finalidade pu</w:t>
      </w:r>
      <w:r>
        <w:rPr>
          <w:rStyle w:val="20"/>
          <w:rFonts w:hint="default" w:ascii="Times New Roman" w:hAnsi="Times New Roman" w:eastAsia="SimSun"/>
          <w:b w:val="0"/>
          <w:sz w:val="24"/>
          <w:szCs w:val="24"/>
        </w:rPr>
        <w:t>nitiva</w:t>
      </w:r>
      <w:r>
        <w:rPr>
          <w:rStyle w:val="20"/>
          <w:rFonts w:hint="default" w:ascii="Times New Roman" w:hAnsi="Times New Roman" w:eastAsia="SimSun"/>
          <w:b w:val="0"/>
          <w:sz w:val="24"/>
          <w:szCs w:val="24"/>
          <w:lang w:val="pt-BR"/>
        </w:rPr>
        <w:t xml:space="preserve"> (Lopes Júnior, 2026)</w:t>
      </w:r>
      <w:r>
        <w:rPr>
          <w:rStyle w:val="20"/>
          <w:rFonts w:hint="default" w:ascii="Times New Roman" w:hAnsi="Times New Roman" w:eastAsia="SimSun"/>
          <w:b w:val="0"/>
          <w:sz w:val="24"/>
          <w:szCs w:val="24"/>
        </w:rPr>
        <w:t>. A medida exige elementos relativos à existência do crime</w:t>
      </w:r>
      <w:r>
        <w:rPr>
          <w:rStyle w:val="20"/>
          <w:rFonts w:hint="default" w:ascii="Times New Roman" w:hAnsi="Times New Roman"/>
          <w:b w:val="0"/>
          <w:sz w:val="24"/>
          <w:szCs w:val="24"/>
        </w:rPr>
        <w:t xml:space="preserve"> e à autoria, perigo concreto decorrente da liberdade </w:t>
      </w:r>
      <w:r>
        <w:rPr>
          <w:rStyle w:val="20"/>
          <w:rFonts w:hint="default" w:ascii="Times New Roman" w:hAnsi="Times New Roman" w:eastAsia="SimSun"/>
          <w:b w:val="0"/>
          <w:sz w:val="24"/>
          <w:szCs w:val="24"/>
        </w:rPr>
        <w:t>e justificativa para a insuficiência das medidas alternativas previstas no art. 319 do CPP</w:t>
      </w:r>
      <w:r>
        <w:rPr>
          <w:rStyle w:val="20"/>
          <w:rFonts w:hint="default" w:ascii="Times New Roman" w:hAnsi="Times New Roman" w:eastAsia="SimSun"/>
          <w:b w:val="0"/>
          <w:sz w:val="24"/>
          <w:szCs w:val="24"/>
          <w:lang w:val="pt-BR"/>
        </w:rPr>
        <w:t xml:space="preserve"> (Brasil, 1941)</w:t>
      </w:r>
      <w:r>
        <w:rPr>
          <w:rStyle w:val="20"/>
          <w:rFonts w:hint="default" w:ascii="Times New Roman" w:hAnsi="Times New Roman" w:eastAsia="SimSun"/>
          <w:b w:val="0"/>
          <w:sz w:val="24"/>
          <w:szCs w:val="24"/>
        </w:rPr>
        <w:t>. Sem essa demonstração, a privação de liberdade corre o risco de funcionar como punição an</w:t>
      </w:r>
      <w:r>
        <w:rPr>
          <w:rStyle w:val="20"/>
          <w:rFonts w:hint="default" w:ascii="Times New Roman" w:hAnsi="Times New Roman"/>
          <w:b w:val="0"/>
          <w:sz w:val="24"/>
          <w:szCs w:val="24"/>
        </w:rPr>
        <w:t>tecipada.</w:t>
      </w:r>
    </w:p>
    <w:p w14:paraId="1EBEF400">
      <w:pPr>
        <w:pStyle w:val="9"/>
        <w:keepNext w:val="0"/>
        <w:keepLines w:val="0"/>
        <w:pageBreakBefore w:val="0"/>
        <w:widowControl/>
        <w:kinsoku/>
        <w:wordWrap/>
        <w:overflowPunct/>
        <w:topLinePunct w:val="0"/>
        <w:autoSpaceDE/>
        <w:autoSpaceDN/>
        <w:bidi w:val="0"/>
        <w:adjustRightInd/>
        <w:snapToGrid/>
        <w:spacing w:beforeAutospacing="0" w:after="0" w:afterAutospacing="0"/>
        <w:ind w:firstLine="540" w:firstLineChars="225"/>
        <w:jc w:val="both"/>
        <w:textAlignment w:val="auto"/>
        <w:rPr>
          <w:rStyle w:val="20"/>
          <w:rFonts w:hint="default" w:ascii="Times New Roman" w:hAnsi="Times New Roman" w:eastAsia="SimSun"/>
          <w:b w:val="0"/>
          <w:sz w:val="24"/>
          <w:szCs w:val="24"/>
        </w:rPr>
      </w:pPr>
      <w:r>
        <w:rPr>
          <w:rStyle w:val="20"/>
          <w:rFonts w:hint="default" w:ascii="Times New Roman" w:hAnsi="Times New Roman" w:eastAsia="SimSun"/>
          <w:b w:val="0"/>
          <w:sz w:val="24"/>
          <w:szCs w:val="24"/>
        </w:rPr>
        <w:t xml:space="preserve">O segundo aspecto identificado é a dificuldade de delimitação dos fundamentos da garantia da ordem pública e da ordem econômica. Rangel (2023) </w:t>
      </w:r>
      <w:r>
        <w:rPr>
          <w:rStyle w:val="20"/>
          <w:rFonts w:hint="default" w:ascii="Times New Roman" w:hAnsi="Times New Roman" w:eastAsia="SimSun"/>
          <w:b w:val="0"/>
          <w:sz w:val="24"/>
          <w:szCs w:val="24"/>
          <w:lang w:val="pt-BR"/>
        </w:rPr>
        <w:t>delimita a ordem pública</w:t>
      </w:r>
      <w:r>
        <w:rPr>
          <w:rStyle w:val="20"/>
          <w:rFonts w:hint="default" w:ascii="Times New Roman" w:hAnsi="Times New Roman" w:eastAsia="SimSun"/>
          <w:b w:val="0"/>
          <w:sz w:val="24"/>
          <w:szCs w:val="24"/>
        </w:rPr>
        <w:t xml:space="preserve"> em relação à tranquilidade social e ao risco de continuidade delitiva. Quanto à </w:t>
      </w:r>
      <w:r>
        <w:rPr>
          <w:rStyle w:val="20"/>
          <w:rFonts w:hint="default" w:ascii="Times New Roman" w:hAnsi="Times New Roman" w:eastAsia="SimSun"/>
          <w:b w:val="0"/>
          <w:sz w:val="24"/>
          <w:szCs w:val="24"/>
          <w:lang w:val="pt-BR"/>
        </w:rPr>
        <w:t>ordem econômica</w:t>
      </w:r>
      <w:r>
        <w:rPr>
          <w:rStyle w:val="20"/>
          <w:rFonts w:hint="default" w:ascii="Times New Roman" w:hAnsi="Times New Roman" w:eastAsia="SimSun"/>
          <w:b w:val="0"/>
          <w:sz w:val="24"/>
          <w:szCs w:val="24"/>
        </w:rPr>
        <w:t>, Lopes Júnior (2026) questiona sua vagueza conceitual e a adequação da prisão para enfrentar danos econômicos. Em ambos os casos, a referência abstrata ao bem jurídico protegido não dispensa a demonstração do risco concreto decorrente da liberdade.</w:t>
      </w:r>
    </w:p>
    <w:p w14:paraId="4F888DC0">
      <w:pPr>
        <w:pStyle w:val="9"/>
        <w:keepNext w:val="0"/>
        <w:keepLines w:val="0"/>
        <w:pageBreakBefore w:val="0"/>
        <w:widowControl/>
        <w:kinsoku/>
        <w:wordWrap/>
        <w:overflowPunct/>
        <w:topLinePunct w:val="0"/>
        <w:autoSpaceDE/>
        <w:autoSpaceDN/>
        <w:bidi w:val="0"/>
        <w:adjustRightInd/>
        <w:snapToGrid/>
        <w:spacing w:beforeAutospacing="0" w:after="0" w:afterAutospacing="0"/>
        <w:ind w:firstLine="540" w:firstLineChars="225"/>
        <w:jc w:val="both"/>
        <w:textAlignment w:val="auto"/>
        <w:rPr>
          <w:rStyle w:val="20"/>
          <w:rFonts w:hint="default" w:ascii="Times New Roman" w:hAnsi="Times New Roman"/>
          <w:b w:val="0"/>
          <w:sz w:val="24"/>
          <w:szCs w:val="24"/>
        </w:rPr>
      </w:pPr>
      <w:r>
        <w:rPr>
          <w:rStyle w:val="20"/>
          <w:rFonts w:hint="default" w:ascii="Times New Roman" w:hAnsi="Times New Roman"/>
          <w:b w:val="0"/>
          <w:sz w:val="24"/>
          <w:szCs w:val="24"/>
        </w:rPr>
        <w:t>Nucci (2020) examina elementos como gravidade do delito, repercussão social e periculosidade do agente, além de aproximar, em sua abordagem, a garantia da ordem econômica da ordem pública. A leitura crítica desses elementos evidencia a necessidade de distinguir circunstâncias individualizadas de argumentos que apenas expressam reprovação pelo fato investigado.</w:t>
      </w:r>
    </w:p>
    <w:p w14:paraId="6C4D5BF3">
      <w:pPr>
        <w:pStyle w:val="9"/>
        <w:keepNext w:val="0"/>
        <w:keepLines w:val="0"/>
        <w:pageBreakBefore w:val="0"/>
        <w:widowControl/>
        <w:kinsoku/>
        <w:wordWrap/>
        <w:overflowPunct/>
        <w:topLinePunct w:val="0"/>
        <w:autoSpaceDE/>
        <w:autoSpaceDN/>
        <w:bidi w:val="0"/>
        <w:adjustRightInd/>
        <w:snapToGrid/>
        <w:spacing w:beforeAutospacing="0" w:after="0" w:afterAutospacing="0"/>
        <w:ind w:firstLine="540" w:firstLineChars="225"/>
        <w:jc w:val="both"/>
        <w:textAlignment w:val="auto"/>
        <w:rPr>
          <w:rStyle w:val="20"/>
          <w:rFonts w:hint="default" w:ascii="Times New Roman" w:hAnsi="Times New Roman"/>
          <w:b w:val="0"/>
          <w:sz w:val="24"/>
          <w:szCs w:val="24"/>
        </w:rPr>
      </w:pPr>
      <w:r>
        <w:rPr>
          <w:rStyle w:val="20"/>
          <w:rFonts w:hint="default" w:ascii="Times New Roman" w:hAnsi="Times New Roman"/>
          <w:b w:val="0"/>
          <w:sz w:val="24"/>
          <w:szCs w:val="24"/>
        </w:rPr>
        <w:t>A discussão sobre a influência midiática insere-se nesse problema. A cobertura intensa de crimes comuns ou econômicos pode alimentar expectativas de uma resposta estatal imediata, nas quais a prisão é percebida como sinal de justiça. Essa hipótese, discutida em termos teóricos nesta etapa, não autoriza afirmar influência efetiva da mídia sobre decisões específicas. A repercussão do caso não pode substituir os requisitos legais de cautelaridade.</w:t>
      </w:r>
    </w:p>
    <w:p w14:paraId="09F2CBD4">
      <w:pPr>
        <w:pStyle w:val="9"/>
        <w:spacing w:beforeAutospacing="0" w:after="0" w:afterAutospacing="0"/>
        <w:jc w:val="both"/>
        <w:rPr>
          <w:rStyle w:val="20"/>
          <w:rFonts w:hint="default" w:ascii="Times New Roman" w:hAnsi="Times New Roman"/>
          <w:b w:val="0"/>
          <w:sz w:val="24"/>
          <w:szCs w:val="24"/>
        </w:rPr>
      </w:pPr>
      <w:r>
        <w:rPr>
          <w:rStyle w:val="20"/>
          <w:rFonts w:hint="default" w:ascii="Times New Roman" w:hAnsi="Times New Roman"/>
          <w:b w:val="0"/>
          <w:sz w:val="24"/>
          <w:szCs w:val="24"/>
        </w:rPr>
        <w:t>Os dados agregados sobre presos provisórios evidenciam a relevância da discussão, mas não permitem concluir que as prisões sejam indevidas. O resultado preliminar da revisão consiste em reconhecer que a amplitude dos fundamentos da ordem pública e econômica exige controle rigoroso da motivação judicial e exame efetivo das medidas cautelares diversas da prisão.</w:t>
      </w:r>
    </w:p>
    <w:p w14:paraId="6ACDCC51">
      <w:pPr>
        <w:pStyle w:val="9"/>
        <w:spacing w:beforeAutospacing="0" w:after="0" w:afterAutospacing="0"/>
        <w:jc w:val="both"/>
        <w:rPr>
          <w:rStyle w:val="20"/>
          <w:rFonts w:ascii="Times New Roman" w:hAnsi="Times New Roman"/>
          <w:b w:val="0"/>
          <w:sz w:val="24"/>
          <w:szCs w:val="24"/>
        </w:rPr>
      </w:pPr>
    </w:p>
    <w:p w14:paraId="6ACDCC52">
      <w:pPr>
        <w:pStyle w:val="9"/>
        <w:numPr>
          <w:ilvl w:val="0"/>
          <w:numId w:val="1"/>
        </w:numPr>
        <w:spacing w:beforeAutospacing="0" w:after="0" w:afterAutospacing="0"/>
        <w:ind w:left="0" w:leftChars="0" w:firstLine="0" w:firstLineChars="0"/>
        <w:jc w:val="both"/>
        <w:rPr>
          <w:rStyle w:val="20"/>
          <w:rFonts w:ascii="Times New Roman" w:hAnsi="Times New Roman"/>
          <w:sz w:val="24"/>
          <w:szCs w:val="24"/>
        </w:rPr>
      </w:pPr>
      <w:r>
        <w:rPr>
          <w:rStyle w:val="20"/>
          <w:rFonts w:ascii="Times New Roman" w:hAnsi="Times New Roman"/>
          <w:sz w:val="24"/>
          <w:szCs w:val="24"/>
        </w:rPr>
        <w:t xml:space="preserve">Conclusão </w:t>
      </w:r>
    </w:p>
    <w:p w14:paraId="73A1C8B9">
      <w:pPr>
        <w:pStyle w:val="9"/>
        <w:keepNext w:val="0"/>
        <w:keepLines w:val="0"/>
        <w:pageBreakBefore w:val="0"/>
        <w:widowControl/>
        <w:kinsoku/>
        <w:wordWrap/>
        <w:overflowPunct/>
        <w:topLinePunct w:val="0"/>
        <w:autoSpaceDE/>
        <w:autoSpaceDN/>
        <w:bidi w:val="0"/>
        <w:adjustRightInd/>
        <w:snapToGrid/>
        <w:spacing w:beforeAutospacing="0" w:after="0" w:afterAutospacing="0"/>
        <w:ind w:firstLine="540" w:firstLineChars="225"/>
        <w:jc w:val="both"/>
        <w:textAlignment w:val="auto"/>
        <w:rPr>
          <w:rFonts w:hint="default" w:ascii="Times New Roman" w:hAnsi="Times New Roman" w:eastAsia="SimSun" w:cs="Times New Roman"/>
          <w:i w:val="0"/>
          <w:iCs w:val="0"/>
          <w:caps w:val="0"/>
          <w:color w:val="000000"/>
          <w:spacing w:val="0"/>
          <w:sz w:val="24"/>
          <w:szCs w:val="24"/>
          <w:shd w:val="clear" w:fill="FFFFFF"/>
        </w:rPr>
      </w:pPr>
    </w:p>
    <w:p w14:paraId="78C773AA">
      <w:pPr>
        <w:pStyle w:val="9"/>
        <w:keepNext w:val="0"/>
        <w:keepLines w:val="0"/>
        <w:pageBreakBefore w:val="0"/>
        <w:widowControl/>
        <w:kinsoku/>
        <w:wordWrap/>
        <w:overflowPunct/>
        <w:topLinePunct w:val="0"/>
        <w:autoSpaceDE/>
        <w:autoSpaceDN/>
        <w:bidi w:val="0"/>
        <w:adjustRightInd/>
        <w:snapToGrid/>
        <w:spacing w:beforeAutospacing="0" w:after="0" w:afterAutospacing="0"/>
        <w:ind w:firstLine="540" w:firstLineChars="225"/>
        <w:jc w:val="both"/>
        <w:textAlignment w:val="auto"/>
        <w:rPr>
          <w:rFonts w:hint="default" w:ascii="Times New Roman" w:hAnsi="Times New Roman" w:eastAsia="SimSun" w:cs="Times New Roman"/>
          <w:i w:val="0"/>
          <w:iCs w:val="0"/>
          <w:caps w:val="0"/>
          <w:color w:val="000000"/>
          <w:spacing w:val="0"/>
          <w:sz w:val="24"/>
          <w:szCs w:val="24"/>
          <w:shd w:val="clear" w:fill="FFFFFF"/>
        </w:rPr>
      </w:pPr>
      <w:r>
        <w:rPr>
          <w:rFonts w:hint="default" w:ascii="Times New Roman" w:hAnsi="Times New Roman" w:eastAsia="SimSun" w:cs="Times New Roman"/>
          <w:i w:val="0"/>
          <w:iCs w:val="0"/>
          <w:caps w:val="0"/>
          <w:color w:val="000000"/>
          <w:spacing w:val="0"/>
          <w:sz w:val="24"/>
          <w:szCs w:val="24"/>
          <w:shd w:val="clear" w:fill="FFFFFF"/>
        </w:rPr>
        <w:t xml:space="preserve">A etapa inicial da pesquisa indica que a indeterminação dos fundamentos da garantia da ordem pública e da ordem econômica pode dificultar a preservação do caráter excepcional da prisão preventiva, sobretudo quando a motivação se apoia na gravidade abstrata do delito ou em sua repercussão. </w:t>
      </w:r>
    </w:p>
    <w:p w14:paraId="6ACDCC54">
      <w:pPr>
        <w:pStyle w:val="9"/>
        <w:keepNext w:val="0"/>
        <w:keepLines w:val="0"/>
        <w:pageBreakBefore w:val="0"/>
        <w:widowControl/>
        <w:kinsoku/>
        <w:wordWrap/>
        <w:overflowPunct/>
        <w:topLinePunct w:val="0"/>
        <w:autoSpaceDE/>
        <w:autoSpaceDN/>
        <w:bidi w:val="0"/>
        <w:adjustRightInd/>
        <w:snapToGrid/>
        <w:spacing w:beforeAutospacing="0" w:after="0" w:afterAutospacing="0"/>
        <w:ind w:firstLine="540" w:firstLineChars="225"/>
        <w:jc w:val="both"/>
        <w:textAlignment w:val="auto"/>
        <w:rPr>
          <w:rFonts w:hint="default" w:ascii="Times New Roman" w:hAnsi="Times New Roman" w:eastAsia="SimSun" w:cs="Times New Roman"/>
          <w:i w:val="0"/>
          <w:iCs w:val="0"/>
          <w:caps w:val="0"/>
          <w:color w:val="000000"/>
          <w:spacing w:val="0"/>
          <w:sz w:val="24"/>
          <w:szCs w:val="24"/>
          <w:shd w:val="clear" w:fill="FFFFFF"/>
        </w:rPr>
      </w:pPr>
      <w:r>
        <w:rPr>
          <w:rFonts w:hint="default" w:ascii="Times New Roman" w:hAnsi="Times New Roman" w:eastAsia="SimSun" w:cs="Times New Roman"/>
          <w:i w:val="0"/>
          <w:iCs w:val="0"/>
          <w:caps w:val="0"/>
          <w:color w:val="000000"/>
          <w:spacing w:val="0"/>
          <w:sz w:val="24"/>
          <w:szCs w:val="24"/>
          <w:shd w:val="clear" w:fill="FFFFFF"/>
        </w:rPr>
        <w:t>As expectativas sociais e midiáticas de punição constituem um problema relevante para a reflexão, mas sua influência sobre decisões concretas ainda não foi examinada. Conclui-se, preliminarmente, que a legitimidade da prisão cautelar depende de perigo concreto e individualizado, fundamentação adequada e demonstração da insuficiência das medidas alternativas. A continuidade da pesquisa aprofundará esses limites, inclusive no âmbito dos crimes econômicos e financeiros</w:t>
      </w:r>
      <w:r>
        <w:rPr>
          <w:rFonts w:hint="default" w:eastAsia="SimSun" w:cs="Times New Roman"/>
          <w:i w:val="0"/>
          <w:iCs w:val="0"/>
          <w:caps w:val="0"/>
          <w:color w:val="000000"/>
          <w:spacing w:val="0"/>
          <w:sz w:val="24"/>
          <w:szCs w:val="24"/>
          <w:shd w:val="clear" w:fill="FFFFFF"/>
          <w:lang w:val="pt-BR"/>
        </w:rPr>
        <w:t>, em especial a partiri da análise de decisões judiciais</w:t>
      </w:r>
      <w:r>
        <w:rPr>
          <w:rFonts w:hint="default" w:ascii="Times New Roman" w:hAnsi="Times New Roman" w:eastAsia="SimSun" w:cs="Times New Roman"/>
          <w:i w:val="0"/>
          <w:iCs w:val="0"/>
          <w:caps w:val="0"/>
          <w:color w:val="000000"/>
          <w:spacing w:val="0"/>
          <w:sz w:val="24"/>
          <w:szCs w:val="24"/>
          <w:shd w:val="clear" w:fill="FFFFFF"/>
        </w:rPr>
        <w:t>.</w:t>
      </w:r>
    </w:p>
    <w:p w14:paraId="1E402F88">
      <w:pPr>
        <w:pStyle w:val="9"/>
        <w:spacing w:beforeAutospacing="0" w:after="0" w:afterAutospacing="0"/>
        <w:jc w:val="both"/>
        <w:rPr>
          <w:rFonts w:hint="default" w:ascii="Times New Roman" w:hAnsi="Times New Roman" w:eastAsia="SimSun" w:cs="Times New Roman"/>
          <w:i w:val="0"/>
          <w:iCs w:val="0"/>
          <w:caps w:val="0"/>
          <w:color w:val="000000"/>
          <w:spacing w:val="0"/>
          <w:sz w:val="24"/>
          <w:szCs w:val="24"/>
          <w:shd w:val="clear" w:fill="FFFFFF"/>
        </w:rPr>
      </w:pPr>
    </w:p>
    <w:p w14:paraId="6ACDCC55">
      <w:pPr>
        <w:pStyle w:val="9"/>
        <w:numPr>
          <w:ilvl w:val="0"/>
          <w:numId w:val="1"/>
        </w:numPr>
        <w:spacing w:beforeAutospacing="0" w:after="0" w:afterAutospacing="0"/>
        <w:ind w:left="0" w:leftChars="0" w:firstLine="0" w:firstLineChars="0"/>
        <w:jc w:val="both"/>
        <w:rPr>
          <w:rStyle w:val="20"/>
          <w:rFonts w:ascii="Times New Roman" w:hAnsi="Times New Roman"/>
          <w:sz w:val="24"/>
          <w:szCs w:val="24"/>
        </w:rPr>
      </w:pPr>
      <w:r>
        <w:rPr>
          <w:rStyle w:val="20"/>
          <w:rFonts w:ascii="Times New Roman" w:hAnsi="Times New Roman"/>
          <w:sz w:val="24"/>
          <w:szCs w:val="24"/>
        </w:rPr>
        <w:t>Agradecimentos</w:t>
      </w:r>
    </w:p>
    <w:p w14:paraId="41C0031A">
      <w:pPr>
        <w:pStyle w:val="9"/>
        <w:keepNext w:val="0"/>
        <w:keepLines w:val="0"/>
        <w:pageBreakBefore w:val="0"/>
        <w:widowControl/>
        <w:kinsoku/>
        <w:wordWrap/>
        <w:overflowPunct/>
        <w:topLinePunct w:val="0"/>
        <w:autoSpaceDE/>
        <w:autoSpaceDN/>
        <w:bidi w:val="0"/>
        <w:adjustRightInd/>
        <w:snapToGrid/>
        <w:spacing w:beforeAutospacing="0" w:after="0" w:afterAutospacing="0"/>
        <w:ind w:firstLine="540" w:firstLineChars="225"/>
        <w:jc w:val="both"/>
        <w:textAlignment w:val="auto"/>
        <w:rPr>
          <w:rFonts w:hint="default"/>
          <w:color w:val="000000"/>
        </w:rPr>
      </w:pPr>
    </w:p>
    <w:p w14:paraId="6ACDCC57">
      <w:pPr>
        <w:pStyle w:val="9"/>
        <w:keepNext w:val="0"/>
        <w:keepLines w:val="0"/>
        <w:pageBreakBefore w:val="0"/>
        <w:widowControl/>
        <w:kinsoku/>
        <w:wordWrap/>
        <w:overflowPunct/>
        <w:topLinePunct w:val="0"/>
        <w:autoSpaceDE/>
        <w:autoSpaceDN/>
        <w:bidi w:val="0"/>
        <w:adjustRightInd/>
        <w:snapToGrid/>
        <w:spacing w:beforeAutospacing="0" w:after="0" w:afterAutospacing="0"/>
        <w:ind w:firstLine="540" w:firstLineChars="225"/>
        <w:jc w:val="both"/>
        <w:textAlignment w:val="auto"/>
        <w:rPr>
          <w:rFonts w:hint="default"/>
          <w:color w:val="000000"/>
        </w:rPr>
      </w:pPr>
      <w:r>
        <w:rPr>
          <w:rFonts w:hint="default"/>
          <w:color w:val="000000"/>
        </w:rPr>
        <w:t>À Universidade Regional do Cariri (URCA), pelo apoio institucional e pela concessão da bolsa do Programa Institucional de Bolsas de Iniciação Científica (PIBIC-URCA), fundamental ao desenvolvimento da pesquisa e à formação científica da bolsista.</w:t>
      </w:r>
    </w:p>
    <w:p w14:paraId="22688660">
      <w:pPr>
        <w:pStyle w:val="9"/>
        <w:spacing w:beforeAutospacing="0" w:after="0" w:afterAutospacing="0"/>
        <w:jc w:val="both"/>
        <w:rPr>
          <w:rFonts w:hint="default"/>
          <w:color w:val="000000"/>
        </w:rPr>
      </w:pPr>
    </w:p>
    <w:p w14:paraId="6ACDCC58">
      <w:pPr>
        <w:pStyle w:val="9"/>
        <w:numPr>
          <w:ilvl w:val="0"/>
          <w:numId w:val="1"/>
        </w:numPr>
        <w:spacing w:beforeAutospacing="0" w:after="0" w:afterAutospacing="0"/>
        <w:ind w:left="0" w:leftChars="0" w:firstLine="0" w:firstLineChars="0"/>
        <w:jc w:val="both"/>
        <w:rPr>
          <w:rStyle w:val="20"/>
          <w:rFonts w:ascii="Times New Roman" w:hAnsi="Times New Roman"/>
          <w:sz w:val="24"/>
          <w:szCs w:val="24"/>
        </w:rPr>
      </w:pPr>
      <w:r>
        <w:rPr>
          <w:rStyle w:val="20"/>
          <w:rFonts w:ascii="Times New Roman" w:hAnsi="Times New Roman"/>
          <w:sz w:val="24"/>
          <w:szCs w:val="24"/>
        </w:rPr>
        <w:t>Referências</w:t>
      </w:r>
    </w:p>
    <w:p w14:paraId="148C3194">
      <w:pPr>
        <w:pStyle w:val="9"/>
        <w:spacing w:beforeAutospacing="0" w:after="0" w:afterAutospacing="0"/>
        <w:jc w:val="left"/>
        <w:rPr>
          <w:rStyle w:val="21"/>
          <w:rFonts w:ascii="Times New Roman" w:hAnsi="Times New Roman"/>
          <w:sz w:val="24"/>
          <w:szCs w:val="24"/>
        </w:rPr>
      </w:pPr>
    </w:p>
    <w:p w14:paraId="5CE9B806">
      <w:pPr>
        <w:pStyle w:val="9"/>
        <w:spacing w:beforeAutospacing="0" w:after="0" w:afterAutospacing="0"/>
        <w:jc w:val="left"/>
        <w:rPr>
          <w:rStyle w:val="21"/>
          <w:rFonts w:ascii="Times New Roman" w:hAnsi="Times New Roman"/>
          <w:sz w:val="24"/>
          <w:szCs w:val="24"/>
        </w:rPr>
      </w:pPr>
      <w:r>
        <w:rPr>
          <w:rStyle w:val="21"/>
          <w:rFonts w:ascii="Times New Roman" w:hAnsi="Times New Roman"/>
          <w:sz w:val="24"/>
          <w:szCs w:val="24"/>
        </w:rPr>
        <w:t xml:space="preserve">BRASIL. Ministério da Justiça e Segurança Pública. Secretaria Nacional de Políticas Penais. </w:t>
      </w:r>
      <w:r>
        <w:rPr>
          <w:rStyle w:val="21"/>
          <w:rFonts w:ascii="Times New Roman" w:hAnsi="Times New Roman"/>
          <w:b/>
          <w:bCs/>
          <w:sz w:val="24"/>
          <w:szCs w:val="24"/>
        </w:rPr>
        <w:t>Relatório de Informações Penais: 19º ciclo SISDEPEN – segundo semestre de 2025</w:t>
      </w:r>
      <w:r>
        <w:rPr>
          <w:rStyle w:val="21"/>
          <w:rFonts w:ascii="Times New Roman" w:hAnsi="Times New Roman"/>
          <w:sz w:val="24"/>
          <w:szCs w:val="24"/>
        </w:rPr>
        <w:t xml:space="preserve">. Brasília, DF: SENAPPEN, 2026. Disponível em: </w:t>
      </w:r>
      <w:r>
        <w:rPr>
          <w:rStyle w:val="21"/>
          <w:rFonts w:ascii="Times New Roman" w:hAnsi="Times New Roman"/>
          <w:sz w:val="24"/>
          <w:szCs w:val="24"/>
        </w:rPr>
        <w:fldChar w:fldCharType="begin"/>
      </w:r>
      <w:r>
        <w:rPr>
          <w:rStyle w:val="21"/>
          <w:rFonts w:ascii="Times New Roman" w:hAnsi="Times New Roman"/>
          <w:sz w:val="24"/>
          <w:szCs w:val="24"/>
        </w:rPr>
        <w:instrText xml:space="preserve"> HYPERLINK "https://www.gov.br/senappen/pt-br/servicos/sisdepen/relatorios/relatorios-de-informacoes-penitenciarias/relatorio-do-2o-semestre-de-2025.pdf?utm_source=chatgpt.com" </w:instrText>
      </w:r>
      <w:r>
        <w:rPr>
          <w:rStyle w:val="21"/>
          <w:rFonts w:ascii="Times New Roman" w:hAnsi="Times New Roman"/>
          <w:sz w:val="24"/>
          <w:szCs w:val="24"/>
        </w:rPr>
        <w:fldChar w:fldCharType="separate"/>
      </w:r>
      <w:r>
        <w:rPr>
          <w:rStyle w:val="21"/>
          <w:rFonts w:ascii="Times New Roman" w:hAnsi="Times New Roman"/>
          <w:sz w:val="24"/>
          <w:szCs w:val="24"/>
        </w:rPr>
        <w:t>https://www.gov.br/senappen/pt-br/servicos/sisdepen/relatorios/relatorios-de-informacoes-penitenciarias/relatorio-do-2o-semestre-de-2025.pdf</w:t>
      </w:r>
      <w:r>
        <w:rPr>
          <w:rStyle w:val="21"/>
          <w:rFonts w:ascii="Times New Roman" w:hAnsi="Times New Roman"/>
          <w:sz w:val="24"/>
          <w:szCs w:val="24"/>
        </w:rPr>
        <w:fldChar w:fldCharType="end"/>
      </w:r>
      <w:r>
        <w:rPr>
          <w:rStyle w:val="21"/>
          <w:rFonts w:ascii="Times New Roman" w:hAnsi="Times New Roman"/>
          <w:sz w:val="24"/>
          <w:szCs w:val="24"/>
        </w:rPr>
        <w:t>. Acesso em: 19 out. 2026.</w:t>
      </w:r>
    </w:p>
    <w:p w14:paraId="1ED5C410">
      <w:pPr>
        <w:pStyle w:val="9"/>
        <w:spacing w:beforeAutospacing="0" w:after="0" w:afterAutospacing="0"/>
        <w:jc w:val="left"/>
        <w:rPr>
          <w:rStyle w:val="21"/>
          <w:rFonts w:ascii="Times New Roman" w:hAnsi="Times New Roman"/>
          <w:sz w:val="24"/>
          <w:szCs w:val="24"/>
        </w:rPr>
      </w:pPr>
    </w:p>
    <w:p w14:paraId="59BDA31B">
      <w:pPr>
        <w:pStyle w:val="9"/>
        <w:spacing w:beforeAutospacing="0" w:after="0" w:afterAutospacing="0"/>
        <w:jc w:val="left"/>
        <w:rPr>
          <w:rStyle w:val="21"/>
          <w:rFonts w:ascii="Times New Roman" w:hAnsi="Times New Roman"/>
          <w:sz w:val="24"/>
          <w:szCs w:val="24"/>
        </w:rPr>
      </w:pPr>
      <w:r>
        <w:rPr>
          <w:rStyle w:val="21"/>
          <w:rFonts w:ascii="Times New Roman" w:hAnsi="Times New Roman"/>
          <w:sz w:val="24"/>
          <w:szCs w:val="24"/>
        </w:rPr>
        <w:t xml:space="preserve">CAPEZ, Fernando. </w:t>
      </w:r>
      <w:r>
        <w:rPr>
          <w:rStyle w:val="21"/>
          <w:rFonts w:ascii="Times New Roman" w:hAnsi="Times New Roman"/>
          <w:b/>
          <w:bCs/>
          <w:sz w:val="24"/>
          <w:szCs w:val="24"/>
        </w:rPr>
        <w:t>Curso de processo penal</w:t>
      </w:r>
      <w:r>
        <w:rPr>
          <w:rStyle w:val="21"/>
          <w:rFonts w:ascii="Times New Roman" w:hAnsi="Times New Roman"/>
          <w:sz w:val="24"/>
          <w:szCs w:val="24"/>
        </w:rPr>
        <w:t>. 25. ed. São Paulo: Saraiva Educação, 2018.</w:t>
      </w:r>
    </w:p>
    <w:p w14:paraId="4BF24680">
      <w:pPr>
        <w:pStyle w:val="9"/>
        <w:spacing w:beforeAutospacing="0" w:after="0" w:afterAutospacing="0"/>
        <w:jc w:val="left"/>
        <w:rPr>
          <w:rStyle w:val="21"/>
          <w:rFonts w:ascii="Times New Roman" w:hAnsi="Times New Roman"/>
          <w:sz w:val="24"/>
          <w:szCs w:val="24"/>
        </w:rPr>
      </w:pPr>
    </w:p>
    <w:p w14:paraId="67177C53">
      <w:pPr>
        <w:pStyle w:val="9"/>
        <w:spacing w:beforeAutospacing="0" w:after="0" w:afterAutospacing="0"/>
        <w:jc w:val="left"/>
        <w:rPr>
          <w:rStyle w:val="21"/>
          <w:rFonts w:ascii="Times New Roman" w:hAnsi="Times New Roman"/>
          <w:sz w:val="24"/>
          <w:szCs w:val="24"/>
        </w:rPr>
      </w:pPr>
      <w:r>
        <w:rPr>
          <w:rStyle w:val="21"/>
          <w:rFonts w:ascii="Times New Roman" w:hAnsi="Times New Roman"/>
          <w:sz w:val="24"/>
          <w:szCs w:val="24"/>
        </w:rPr>
        <w:t xml:space="preserve">LOPES JUNIOR, Aury. </w:t>
      </w:r>
      <w:r>
        <w:rPr>
          <w:rStyle w:val="21"/>
          <w:rFonts w:ascii="Times New Roman" w:hAnsi="Times New Roman"/>
          <w:b/>
          <w:bCs/>
          <w:sz w:val="24"/>
          <w:szCs w:val="24"/>
        </w:rPr>
        <w:t>Direito processual penal</w:t>
      </w:r>
      <w:r>
        <w:rPr>
          <w:rStyle w:val="21"/>
          <w:rFonts w:ascii="Times New Roman" w:hAnsi="Times New Roman"/>
          <w:sz w:val="24"/>
          <w:szCs w:val="24"/>
        </w:rPr>
        <w:t xml:space="preserve">. 23. ed. Rio de Janeiro: Saraiva Jur, 2026. </w:t>
      </w:r>
    </w:p>
    <w:p w14:paraId="1FDBCA7A">
      <w:pPr>
        <w:pStyle w:val="9"/>
        <w:spacing w:beforeAutospacing="0" w:after="0" w:afterAutospacing="0"/>
        <w:jc w:val="left"/>
        <w:rPr>
          <w:rStyle w:val="21"/>
          <w:rFonts w:ascii="Times New Roman" w:hAnsi="Times New Roman"/>
          <w:sz w:val="24"/>
          <w:szCs w:val="24"/>
        </w:rPr>
      </w:pPr>
    </w:p>
    <w:p w14:paraId="16ED9DBB">
      <w:pPr>
        <w:pStyle w:val="9"/>
        <w:spacing w:beforeAutospacing="0" w:after="0" w:afterAutospacing="0"/>
        <w:jc w:val="left"/>
        <w:rPr>
          <w:rStyle w:val="21"/>
          <w:rFonts w:ascii="Times New Roman" w:hAnsi="Times New Roman"/>
          <w:sz w:val="24"/>
          <w:szCs w:val="24"/>
        </w:rPr>
      </w:pPr>
      <w:r>
        <w:rPr>
          <w:rStyle w:val="21"/>
          <w:rFonts w:ascii="Times New Roman" w:hAnsi="Times New Roman"/>
          <w:sz w:val="24"/>
          <w:szCs w:val="24"/>
        </w:rPr>
        <w:t xml:space="preserve">NUCCI, Guilherme de Souza. </w:t>
      </w:r>
      <w:r>
        <w:rPr>
          <w:rStyle w:val="21"/>
          <w:rFonts w:ascii="Times New Roman" w:hAnsi="Times New Roman"/>
          <w:b/>
          <w:bCs/>
          <w:sz w:val="24"/>
          <w:szCs w:val="24"/>
        </w:rPr>
        <w:t>Curso de direito processual penal</w:t>
      </w:r>
      <w:r>
        <w:rPr>
          <w:rStyle w:val="21"/>
          <w:rFonts w:ascii="Times New Roman" w:hAnsi="Times New Roman"/>
          <w:sz w:val="24"/>
          <w:szCs w:val="24"/>
        </w:rPr>
        <w:t>. 17. ed. Rio de Janeiro: Forense, 2020.</w:t>
      </w:r>
    </w:p>
    <w:p w14:paraId="4F70A4EE">
      <w:pPr>
        <w:pStyle w:val="9"/>
        <w:spacing w:beforeAutospacing="0" w:after="0" w:afterAutospacing="0"/>
        <w:jc w:val="left"/>
        <w:rPr>
          <w:rStyle w:val="21"/>
          <w:rFonts w:ascii="Times New Roman" w:hAnsi="Times New Roman"/>
          <w:sz w:val="24"/>
          <w:szCs w:val="24"/>
        </w:rPr>
      </w:pPr>
    </w:p>
    <w:p w14:paraId="61CA1BC9">
      <w:pPr>
        <w:pStyle w:val="9"/>
        <w:spacing w:beforeAutospacing="0" w:after="0" w:afterAutospacing="0"/>
        <w:jc w:val="left"/>
        <w:rPr>
          <w:color w:val="000000"/>
        </w:rPr>
      </w:pPr>
      <w:r>
        <w:rPr>
          <w:rStyle w:val="21"/>
          <w:rFonts w:ascii="Times New Roman" w:hAnsi="Times New Roman"/>
          <w:sz w:val="24"/>
          <w:szCs w:val="24"/>
        </w:rPr>
        <w:t xml:space="preserve">RANGEL, Paulo. </w:t>
      </w:r>
      <w:r>
        <w:rPr>
          <w:rStyle w:val="21"/>
          <w:rFonts w:ascii="Times New Roman" w:hAnsi="Times New Roman"/>
          <w:b/>
          <w:bCs/>
          <w:sz w:val="24"/>
          <w:szCs w:val="24"/>
        </w:rPr>
        <w:t>Direito processual penal</w:t>
      </w:r>
      <w:r>
        <w:rPr>
          <w:rStyle w:val="21"/>
          <w:rFonts w:ascii="Times New Roman" w:hAnsi="Times New Roman"/>
          <w:sz w:val="24"/>
          <w:szCs w:val="24"/>
        </w:rPr>
        <w:t>. 30. ed. Atlas, 2023.</w:t>
      </w:r>
    </w:p>
    <w:p w14:paraId="63166157">
      <w:pPr>
        <w:pStyle w:val="9"/>
        <w:spacing w:beforeAutospacing="0" w:after="0" w:afterAutospacing="0"/>
        <w:jc w:val="both"/>
      </w:pPr>
    </w:p>
    <w:sectPr>
      <w:headerReference r:id="rId5" w:type="default"/>
      <w:footerReference r:id="rId6" w:type="default"/>
      <w:pgSz w:w="11906" w:h="16838"/>
      <w:pgMar w:top="1411" w:right="1701" w:bottom="1411" w:left="1701" w:header="708" w:footer="0" w:gutter="0"/>
      <w:cols w:space="720" w:num="1"/>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Lohit Devanagari">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Liberation Sans">
    <w:altName w:val="Segoe Print"/>
    <w:panose1 w:val="00000000000000000000"/>
    <w:charset w:val="01"/>
    <w:family w:val="swiss"/>
    <w:pitch w:val="default"/>
    <w:sig w:usb0="00000000" w:usb1="00000000" w:usb2="00000021" w:usb3="00000000" w:csb0="600001BF" w:csb1="DFF70000"/>
  </w:font>
  <w:font w:name="Segoe Print">
    <w:panose1 w:val="02000600000000000000"/>
    <w:charset w:val="00"/>
    <w:family w:val="auto"/>
    <w:pitch w:val="default"/>
    <w:sig w:usb0="0000028F" w:usb1="00000000" w:usb2="00000000" w:usb3="00000000" w:csb0="2000009F" w:csb1="47010000"/>
  </w:font>
  <w:font w:name="AR PL SungtiL GB">
    <w:altName w:val="Segoe Print"/>
    <w:panose1 w:val="00000000000000000000"/>
    <w:charset w:val="00"/>
    <w:family w:val="roman"/>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DCC60">
    <w:pPr>
      <w:pStyle w:val="11"/>
      <w:jc w:val="center"/>
      <w:rPr>
        <w:sz w:val="20"/>
        <w:szCs w:val="20"/>
      </w:rPr>
    </w:pPr>
    <w:r>
      <w:rPr>
        <w:sz w:val="20"/>
        <w:szCs w:val="20"/>
      </w:rPr>
      <w:t>ISSN 1983-8174</w:t>
    </w:r>
  </w:p>
  <w:p w14:paraId="6ACDCC61">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before="0" w:after="0" w:line="276" w:lineRule="auto"/>
      </w:pPr>
      <w:r>
        <w:separator/>
      </w:r>
    </w:p>
  </w:footnote>
  <w:footnote w:type="continuationSeparator" w:id="5">
    <w:p>
      <w:pPr>
        <w:spacing w:before="0" w:after="0" w:line="276" w:lineRule="auto"/>
      </w:pPr>
      <w:r>
        <w:continuationSeparator/>
      </w:r>
    </w:p>
  </w:footnote>
  <w:footnote w:id="0">
    <w:p w14:paraId="6ACDCC64">
      <w:pPr>
        <w:pStyle w:val="13"/>
        <w:tabs>
          <w:tab w:val="left" w:pos="284"/>
        </w:tabs>
        <w:rPr>
          <w:rFonts w:hint="default" w:ascii="Times New Roman" w:hAnsi="Times New Roman" w:cs="Times New Roman"/>
        </w:rPr>
      </w:pPr>
      <w:r>
        <w:rPr>
          <w:rStyle w:val="27"/>
          <w:rFonts w:hint="default" w:ascii="Times New Roman" w:hAnsi="Times New Roman" w:cs="Times New Roman"/>
        </w:rPr>
        <w:footnoteRef/>
      </w:r>
      <w:r>
        <w:rPr>
          <w:rStyle w:val="18"/>
          <w:rFonts w:hint="default" w:ascii="Times New Roman" w:hAnsi="Times New Roman" w:cs="Times New Roman"/>
          <w:sz w:val="22"/>
          <w:szCs w:val="22"/>
        </w:rPr>
        <w:tab/>
      </w:r>
      <w:r>
        <w:rPr>
          <w:rFonts w:hint="default" w:ascii="Times New Roman" w:hAnsi="Times New Roman" w:cs="Times New Roman"/>
          <w:sz w:val="22"/>
          <w:szCs w:val="22"/>
        </w:rPr>
        <w:t xml:space="preserve"> </w:t>
      </w:r>
      <w:r>
        <w:rPr>
          <w:rFonts w:hint="default" w:ascii="Times New Roman" w:hAnsi="Times New Roman" w:cs="Times New Roman"/>
          <w:color w:val="000000"/>
          <w:sz w:val="22"/>
          <w:szCs w:val="22"/>
        </w:rPr>
        <w:t>Universidade Regional do Cariri, email: milena.pinheiro@urca.br</w:t>
      </w:r>
    </w:p>
  </w:footnote>
  <w:footnote w:id="1">
    <w:p w14:paraId="6ACDCC65">
      <w:pPr>
        <w:pStyle w:val="13"/>
        <w:tabs>
          <w:tab w:val="left" w:pos="284"/>
        </w:tabs>
        <w:rPr>
          <w:rFonts w:hint="default" w:ascii="Times New Roman" w:hAnsi="Times New Roman" w:cs="Times New Roman"/>
          <w:lang w:val="pt-BR"/>
        </w:rPr>
      </w:pPr>
      <w:r>
        <w:rPr>
          <w:rStyle w:val="27"/>
          <w:rFonts w:hint="default" w:ascii="Times New Roman" w:hAnsi="Times New Roman" w:cs="Times New Roman"/>
        </w:rPr>
        <w:footnoteRef/>
      </w:r>
      <w:r>
        <w:rPr>
          <w:rStyle w:val="18"/>
          <w:rFonts w:hint="default" w:ascii="Times New Roman" w:hAnsi="Times New Roman" w:cs="Times New Roman"/>
          <w:sz w:val="22"/>
          <w:szCs w:val="22"/>
        </w:rPr>
        <w:tab/>
      </w:r>
      <w:r>
        <w:rPr>
          <w:rFonts w:hint="default" w:ascii="Times New Roman" w:hAnsi="Times New Roman" w:cs="Times New Roman"/>
          <w:sz w:val="22"/>
          <w:szCs w:val="22"/>
        </w:rPr>
        <w:t xml:space="preserve"> </w:t>
      </w:r>
      <w:r>
        <w:rPr>
          <w:rFonts w:hint="default" w:ascii="Times New Roman" w:hAnsi="Times New Roman" w:cs="Times New Roman"/>
          <w:color w:val="000000"/>
          <w:sz w:val="22"/>
          <w:szCs w:val="22"/>
        </w:rPr>
        <w:t>Universidade Fe</w:t>
      </w:r>
      <w:r>
        <w:rPr>
          <w:rFonts w:hint="default" w:ascii="Times New Roman" w:hAnsi="Times New Roman" w:cs="Times New Roman"/>
          <w:sz w:val="22"/>
          <w:szCs w:val="22"/>
        </w:rPr>
        <w:t xml:space="preserve">deral do Cariri, email: </w:t>
      </w:r>
      <w:r>
        <w:rPr>
          <w:rFonts w:hint="default" w:ascii="Times New Roman" w:hAnsi="Times New Roman" w:cs="Times New Roman"/>
          <w:sz w:val="22"/>
          <w:szCs w:val="22"/>
          <w:lang w:val="pt-BR"/>
        </w:rPr>
        <w:t>roberta.menezes@urca.br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DCD0E">
    <w:pPr>
      <w:pStyle w:val="10"/>
      <w:jc w:val="right"/>
    </w:pPr>
    <w:r>
      <w:rPr>
        <w:rFonts w:ascii="Arial" w:hAnsi="Arial"/>
        <w:b/>
        <w:sz w:val="24"/>
        <w:lang w:eastAsia="pt-BR"/>
      </w:rPr>
      <w:drawing>
        <wp:anchor distT="0" distB="0" distL="0" distR="0" simplePos="0" relativeHeight="251659264" behindDoc="0" locked="0" layoutInCell="1" allowOverlap="1">
          <wp:simplePos x="0" y="0"/>
          <wp:positionH relativeFrom="margin">
            <wp:align>center</wp:align>
          </wp:positionH>
          <wp:positionV relativeFrom="paragraph">
            <wp:posOffset>-62865</wp:posOffset>
          </wp:positionV>
          <wp:extent cx="4852670" cy="1658620"/>
          <wp:effectExtent l="0" t="0" r="5080" b="0"/>
          <wp:wrapNone/>
          <wp:docPr id="1774571243" name="Image 1"/>
          <wp:cNvGraphicFramePr/>
          <a:graphic xmlns:a="http://schemas.openxmlformats.org/drawingml/2006/main">
            <a:graphicData uri="http://schemas.openxmlformats.org/drawingml/2006/picture">
              <pic:pic xmlns:pic="http://schemas.openxmlformats.org/drawingml/2006/picture">
                <pic:nvPicPr>
                  <pic:cNvPr id="1774571243" name="Image 1"/>
                  <pic:cNvPicPr/>
                </pic:nvPicPr>
                <pic:blipFill>
                  <a:blip r:embed="rId1" cstate="print"/>
                  <a:stretch>
                    <a:fillRect/>
                  </a:stretch>
                </pic:blipFill>
                <pic:spPr>
                  <a:xfrm>
                    <a:off x="0" y="0"/>
                    <a:ext cx="4852670" cy="1658620"/>
                  </a:xfrm>
                  <a:prstGeom prst="rect">
                    <a:avLst/>
                  </a:prstGeom>
                </pic:spPr>
              </pic:pic>
            </a:graphicData>
          </a:graphic>
        </wp:anchor>
      </w:drawing>
    </w:r>
  </w:p>
  <w:p w14:paraId="55B551BD">
    <w:pPr>
      <w:pStyle w:val="10"/>
      <w:jc w:val="right"/>
    </w:pPr>
  </w:p>
  <w:p w14:paraId="2D1151D0">
    <w:pPr>
      <w:pStyle w:val="10"/>
      <w:jc w:val="right"/>
    </w:pPr>
  </w:p>
  <w:p w14:paraId="189D6060">
    <w:pPr>
      <w:pStyle w:val="10"/>
      <w:jc w:val="right"/>
    </w:pPr>
  </w:p>
  <w:p w14:paraId="1E0FDC13">
    <w:pPr>
      <w:pStyle w:val="10"/>
      <w:jc w:val="right"/>
    </w:pPr>
  </w:p>
  <w:p w14:paraId="3503D4E8">
    <w:pPr>
      <w:pStyle w:val="10"/>
      <w:jc w:val="right"/>
    </w:pPr>
  </w:p>
  <w:p w14:paraId="2CB90C8A">
    <w:pPr>
      <w:pStyle w:val="10"/>
      <w:jc w:val="right"/>
    </w:pPr>
  </w:p>
  <w:p w14:paraId="1BBF451A">
    <w:pPr>
      <w:pStyle w:val="10"/>
      <w:jc w:val="right"/>
    </w:pPr>
  </w:p>
  <w:p w14:paraId="6ACDCC5E">
    <w:pPr>
      <w:pStyle w:val="10"/>
      <w:jc w:val="right"/>
    </w:pPr>
  </w:p>
  <w:p w14:paraId="6ACDCC5F">
    <w:pPr>
      <w:pStyle w:val="10"/>
      <w:jc w:val="center"/>
      <w:rPr>
        <w:i/>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7C9EB3"/>
    <w:multiLevelType w:val="singleLevel"/>
    <w:tmpl w:val="AD7C9EB3"/>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4"/>
    <w:footnote w:id="5"/>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6BD"/>
    <w:rsid w:val="000019B6"/>
    <w:rsid w:val="00003DDE"/>
    <w:rsid w:val="00006F01"/>
    <w:rsid w:val="00012AD9"/>
    <w:rsid w:val="00014DCA"/>
    <w:rsid w:val="00015D31"/>
    <w:rsid w:val="00016C6A"/>
    <w:rsid w:val="0002299A"/>
    <w:rsid w:val="000245F7"/>
    <w:rsid w:val="00026D83"/>
    <w:rsid w:val="00026FC1"/>
    <w:rsid w:val="00035790"/>
    <w:rsid w:val="000419F2"/>
    <w:rsid w:val="00042397"/>
    <w:rsid w:val="000472D0"/>
    <w:rsid w:val="00047E89"/>
    <w:rsid w:val="00050BFE"/>
    <w:rsid w:val="00051D62"/>
    <w:rsid w:val="0005490A"/>
    <w:rsid w:val="0005713B"/>
    <w:rsid w:val="00062780"/>
    <w:rsid w:val="00066E6F"/>
    <w:rsid w:val="000671C0"/>
    <w:rsid w:val="0007373D"/>
    <w:rsid w:val="0007497D"/>
    <w:rsid w:val="000749B5"/>
    <w:rsid w:val="00077200"/>
    <w:rsid w:val="00082F24"/>
    <w:rsid w:val="00085BCF"/>
    <w:rsid w:val="00097D74"/>
    <w:rsid w:val="000A0E90"/>
    <w:rsid w:val="000A44B3"/>
    <w:rsid w:val="000A629A"/>
    <w:rsid w:val="000A65EC"/>
    <w:rsid w:val="000B1668"/>
    <w:rsid w:val="000B1A2A"/>
    <w:rsid w:val="000B5EF6"/>
    <w:rsid w:val="000B761A"/>
    <w:rsid w:val="000D2F44"/>
    <w:rsid w:val="000D41A3"/>
    <w:rsid w:val="000E28BF"/>
    <w:rsid w:val="000F335F"/>
    <w:rsid w:val="000F37C6"/>
    <w:rsid w:val="000F3CCC"/>
    <w:rsid w:val="00105586"/>
    <w:rsid w:val="00117D54"/>
    <w:rsid w:val="001243DF"/>
    <w:rsid w:val="00152FDB"/>
    <w:rsid w:val="001539E3"/>
    <w:rsid w:val="00164199"/>
    <w:rsid w:val="00181209"/>
    <w:rsid w:val="00184FCD"/>
    <w:rsid w:val="00186D06"/>
    <w:rsid w:val="001A69C4"/>
    <w:rsid w:val="001A70D1"/>
    <w:rsid w:val="001A77E2"/>
    <w:rsid w:val="001A7E95"/>
    <w:rsid w:val="001B115C"/>
    <w:rsid w:val="001B3FDF"/>
    <w:rsid w:val="001B653A"/>
    <w:rsid w:val="001C7DDC"/>
    <w:rsid w:val="001D0054"/>
    <w:rsid w:val="001D0CDF"/>
    <w:rsid w:val="001D5F7E"/>
    <w:rsid w:val="001E0B7A"/>
    <w:rsid w:val="001E261F"/>
    <w:rsid w:val="00200BAB"/>
    <w:rsid w:val="00201E19"/>
    <w:rsid w:val="00202618"/>
    <w:rsid w:val="00210B68"/>
    <w:rsid w:val="00212B75"/>
    <w:rsid w:val="002151F6"/>
    <w:rsid w:val="00216841"/>
    <w:rsid w:val="00220C64"/>
    <w:rsid w:val="002212B0"/>
    <w:rsid w:val="002222F1"/>
    <w:rsid w:val="00223A22"/>
    <w:rsid w:val="00235695"/>
    <w:rsid w:val="0023736A"/>
    <w:rsid w:val="00247C63"/>
    <w:rsid w:val="00254E4B"/>
    <w:rsid w:val="00264616"/>
    <w:rsid w:val="0027079F"/>
    <w:rsid w:val="002707EC"/>
    <w:rsid w:val="00272D1B"/>
    <w:rsid w:val="002735D1"/>
    <w:rsid w:val="00285650"/>
    <w:rsid w:val="00286C84"/>
    <w:rsid w:val="0028799E"/>
    <w:rsid w:val="00287EE8"/>
    <w:rsid w:val="00293131"/>
    <w:rsid w:val="00293E76"/>
    <w:rsid w:val="00294D5A"/>
    <w:rsid w:val="002972E8"/>
    <w:rsid w:val="002A00F2"/>
    <w:rsid w:val="002A244F"/>
    <w:rsid w:val="002B1142"/>
    <w:rsid w:val="002B74E1"/>
    <w:rsid w:val="002D27E9"/>
    <w:rsid w:val="002D7DFE"/>
    <w:rsid w:val="002D7ECC"/>
    <w:rsid w:val="002E431A"/>
    <w:rsid w:val="002E5BA8"/>
    <w:rsid w:val="002E6446"/>
    <w:rsid w:val="002E7DAF"/>
    <w:rsid w:val="0030407B"/>
    <w:rsid w:val="003049B5"/>
    <w:rsid w:val="00305273"/>
    <w:rsid w:val="00307457"/>
    <w:rsid w:val="0031459C"/>
    <w:rsid w:val="00314BF7"/>
    <w:rsid w:val="00316A30"/>
    <w:rsid w:val="00316DBD"/>
    <w:rsid w:val="00326C0C"/>
    <w:rsid w:val="003307E6"/>
    <w:rsid w:val="003309CF"/>
    <w:rsid w:val="00337242"/>
    <w:rsid w:val="00340862"/>
    <w:rsid w:val="003708D3"/>
    <w:rsid w:val="00377731"/>
    <w:rsid w:val="00383888"/>
    <w:rsid w:val="00384FC1"/>
    <w:rsid w:val="00385BCE"/>
    <w:rsid w:val="00386007"/>
    <w:rsid w:val="00391E31"/>
    <w:rsid w:val="00394594"/>
    <w:rsid w:val="00397D95"/>
    <w:rsid w:val="003B11CB"/>
    <w:rsid w:val="003B3571"/>
    <w:rsid w:val="003B7254"/>
    <w:rsid w:val="003B7D72"/>
    <w:rsid w:val="003C3265"/>
    <w:rsid w:val="003C52D6"/>
    <w:rsid w:val="003C6D2D"/>
    <w:rsid w:val="003D75D6"/>
    <w:rsid w:val="003E01FD"/>
    <w:rsid w:val="003E3DAF"/>
    <w:rsid w:val="003E6E0F"/>
    <w:rsid w:val="003E7E71"/>
    <w:rsid w:val="00404311"/>
    <w:rsid w:val="004129C7"/>
    <w:rsid w:val="004257CD"/>
    <w:rsid w:val="004307B6"/>
    <w:rsid w:val="0043164D"/>
    <w:rsid w:val="00437472"/>
    <w:rsid w:val="00451B9B"/>
    <w:rsid w:val="0045629D"/>
    <w:rsid w:val="004651E5"/>
    <w:rsid w:val="00473D45"/>
    <w:rsid w:val="00475DB8"/>
    <w:rsid w:val="0049101F"/>
    <w:rsid w:val="004949A7"/>
    <w:rsid w:val="004A06AD"/>
    <w:rsid w:val="004A52E3"/>
    <w:rsid w:val="004A7222"/>
    <w:rsid w:val="004B1D88"/>
    <w:rsid w:val="004B63AC"/>
    <w:rsid w:val="004B774A"/>
    <w:rsid w:val="004D1D1C"/>
    <w:rsid w:val="004D4EF0"/>
    <w:rsid w:val="004D6D57"/>
    <w:rsid w:val="004E7551"/>
    <w:rsid w:val="004F1C54"/>
    <w:rsid w:val="004F5EE0"/>
    <w:rsid w:val="004F63CC"/>
    <w:rsid w:val="004F6E84"/>
    <w:rsid w:val="004F7D4D"/>
    <w:rsid w:val="00503F45"/>
    <w:rsid w:val="00512F32"/>
    <w:rsid w:val="00514469"/>
    <w:rsid w:val="005152AB"/>
    <w:rsid w:val="00521AEB"/>
    <w:rsid w:val="005236F2"/>
    <w:rsid w:val="00525C19"/>
    <w:rsid w:val="00531424"/>
    <w:rsid w:val="00534634"/>
    <w:rsid w:val="00536DF1"/>
    <w:rsid w:val="005476F6"/>
    <w:rsid w:val="00554329"/>
    <w:rsid w:val="00560282"/>
    <w:rsid w:val="0056581E"/>
    <w:rsid w:val="00572C40"/>
    <w:rsid w:val="005730FE"/>
    <w:rsid w:val="00573E26"/>
    <w:rsid w:val="00575A2A"/>
    <w:rsid w:val="00577D67"/>
    <w:rsid w:val="005812E0"/>
    <w:rsid w:val="00582611"/>
    <w:rsid w:val="005920C2"/>
    <w:rsid w:val="00594451"/>
    <w:rsid w:val="005A6AF9"/>
    <w:rsid w:val="005B3081"/>
    <w:rsid w:val="005B62D2"/>
    <w:rsid w:val="005B6699"/>
    <w:rsid w:val="005C4733"/>
    <w:rsid w:val="005C5233"/>
    <w:rsid w:val="005D20EC"/>
    <w:rsid w:val="005E6E55"/>
    <w:rsid w:val="005F0D43"/>
    <w:rsid w:val="005F18D2"/>
    <w:rsid w:val="005F3B3F"/>
    <w:rsid w:val="005F7C38"/>
    <w:rsid w:val="006033CE"/>
    <w:rsid w:val="00606643"/>
    <w:rsid w:val="00607900"/>
    <w:rsid w:val="00611063"/>
    <w:rsid w:val="006118E5"/>
    <w:rsid w:val="006140F4"/>
    <w:rsid w:val="0063073A"/>
    <w:rsid w:val="00633935"/>
    <w:rsid w:val="00633CC2"/>
    <w:rsid w:val="00635854"/>
    <w:rsid w:val="00636015"/>
    <w:rsid w:val="00636D36"/>
    <w:rsid w:val="00642666"/>
    <w:rsid w:val="006476DF"/>
    <w:rsid w:val="00652FDC"/>
    <w:rsid w:val="006561B7"/>
    <w:rsid w:val="00660682"/>
    <w:rsid w:val="006707B4"/>
    <w:rsid w:val="0068596F"/>
    <w:rsid w:val="0068658C"/>
    <w:rsid w:val="0069237B"/>
    <w:rsid w:val="006A46EF"/>
    <w:rsid w:val="006A6FDD"/>
    <w:rsid w:val="006C3754"/>
    <w:rsid w:val="006C6230"/>
    <w:rsid w:val="006D3873"/>
    <w:rsid w:val="006D70CD"/>
    <w:rsid w:val="006D7F79"/>
    <w:rsid w:val="006E005E"/>
    <w:rsid w:val="006E0991"/>
    <w:rsid w:val="006E0A8F"/>
    <w:rsid w:val="006E18BA"/>
    <w:rsid w:val="006E55A3"/>
    <w:rsid w:val="006F2FE0"/>
    <w:rsid w:val="006F5B0B"/>
    <w:rsid w:val="0070423D"/>
    <w:rsid w:val="00706397"/>
    <w:rsid w:val="00706F00"/>
    <w:rsid w:val="00716DF3"/>
    <w:rsid w:val="00717D30"/>
    <w:rsid w:val="00717F0B"/>
    <w:rsid w:val="00723670"/>
    <w:rsid w:val="00726DFE"/>
    <w:rsid w:val="0074317D"/>
    <w:rsid w:val="00750101"/>
    <w:rsid w:val="0075301E"/>
    <w:rsid w:val="00760826"/>
    <w:rsid w:val="007658D0"/>
    <w:rsid w:val="00772B77"/>
    <w:rsid w:val="007733DC"/>
    <w:rsid w:val="00780AF1"/>
    <w:rsid w:val="007851B4"/>
    <w:rsid w:val="0078563A"/>
    <w:rsid w:val="0079147E"/>
    <w:rsid w:val="00793560"/>
    <w:rsid w:val="007A0D67"/>
    <w:rsid w:val="007B1266"/>
    <w:rsid w:val="007B2E1B"/>
    <w:rsid w:val="007B39E0"/>
    <w:rsid w:val="007B4B2E"/>
    <w:rsid w:val="007C379A"/>
    <w:rsid w:val="007C5BBC"/>
    <w:rsid w:val="007D2D73"/>
    <w:rsid w:val="007D7347"/>
    <w:rsid w:val="007D74CB"/>
    <w:rsid w:val="007E6719"/>
    <w:rsid w:val="007F17E7"/>
    <w:rsid w:val="007F2912"/>
    <w:rsid w:val="00801749"/>
    <w:rsid w:val="0080316E"/>
    <w:rsid w:val="00814A32"/>
    <w:rsid w:val="00817996"/>
    <w:rsid w:val="00822B36"/>
    <w:rsid w:val="0082344E"/>
    <w:rsid w:val="00834B28"/>
    <w:rsid w:val="00834BA3"/>
    <w:rsid w:val="00841037"/>
    <w:rsid w:val="00846575"/>
    <w:rsid w:val="00846D2E"/>
    <w:rsid w:val="008470E1"/>
    <w:rsid w:val="0085048F"/>
    <w:rsid w:val="00861A4D"/>
    <w:rsid w:val="008644FF"/>
    <w:rsid w:val="0086671C"/>
    <w:rsid w:val="00866724"/>
    <w:rsid w:val="008706CF"/>
    <w:rsid w:val="00876938"/>
    <w:rsid w:val="008772C3"/>
    <w:rsid w:val="00877331"/>
    <w:rsid w:val="00891CAF"/>
    <w:rsid w:val="00893E07"/>
    <w:rsid w:val="008973E9"/>
    <w:rsid w:val="008973F1"/>
    <w:rsid w:val="008A16B6"/>
    <w:rsid w:val="008A56BF"/>
    <w:rsid w:val="008C1258"/>
    <w:rsid w:val="008C79E8"/>
    <w:rsid w:val="008C7F75"/>
    <w:rsid w:val="008D013F"/>
    <w:rsid w:val="008D1800"/>
    <w:rsid w:val="008D790E"/>
    <w:rsid w:val="008F0729"/>
    <w:rsid w:val="008F437E"/>
    <w:rsid w:val="00910C21"/>
    <w:rsid w:val="00923DAF"/>
    <w:rsid w:val="00924131"/>
    <w:rsid w:val="0092732B"/>
    <w:rsid w:val="009316B1"/>
    <w:rsid w:val="009337FD"/>
    <w:rsid w:val="00934444"/>
    <w:rsid w:val="00937A90"/>
    <w:rsid w:val="009407A1"/>
    <w:rsid w:val="009409DE"/>
    <w:rsid w:val="00942305"/>
    <w:rsid w:val="009456A6"/>
    <w:rsid w:val="00953B4B"/>
    <w:rsid w:val="00956E51"/>
    <w:rsid w:val="0095722E"/>
    <w:rsid w:val="00960D74"/>
    <w:rsid w:val="00962D5A"/>
    <w:rsid w:val="00964924"/>
    <w:rsid w:val="009725AE"/>
    <w:rsid w:val="00975D40"/>
    <w:rsid w:val="00981FA9"/>
    <w:rsid w:val="00984012"/>
    <w:rsid w:val="009975EC"/>
    <w:rsid w:val="009B1452"/>
    <w:rsid w:val="009B2787"/>
    <w:rsid w:val="009B5689"/>
    <w:rsid w:val="009B6970"/>
    <w:rsid w:val="009C0FB2"/>
    <w:rsid w:val="009C5FF5"/>
    <w:rsid w:val="009E1EB0"/>
    <w:rsid w:val="009F2F83"/>
    <w:rsid w:val="009F5E77"/>
    <w:rsid w:val="009F76BD"/>
    <w:rsid w:val="00A03BA9"/>
    <w:rsid w:val="00A06A01"/>
    <w:rsid w:val="00A12CDC"/>
    <w:rsid w:val="00A206BD"/>
    <w:rsid w:val="00A22886"/>
    <w:rsid w:val="00A22FDE"/>
    <w:rsid w:val="00A35724"/>
    <w:rsid w:val="00A4100C"/>
    <w:rsid w:val="00A4155F"/>
    <w:rsid w:val="00A46333"/>
    <w:rsid w:val="00A5359F"/>
    <w:rsid w:val="00A55AF0"/>
    <w:rsid w:val="00A61C23"/>
    <w:rsid w:val="00A622B0"/>
    <w:rsid w:val="00A64495"/>
    <w:rsid w:val="00A66981"/>
    <w:rsid w:val="00A679A7"/>
    <w:rsid w:val="00A67F78"/>
    <w:rsid w:val="00A76A0C"/>
    <w:rsid w:val="00A76E14"/>
    <w:rsid w:val="00A77858"/>
    <w:rsid w:val="00A80C02"/>
    <w:rsid w:val="00A91C3C"/>
    <w:rsid w:val="00A9229D"/>
    <w:rsid w:val="00A933B4"/>
    <w:rsid w:val="00AA10B8"/>
    <w:rsid w:val="00AA166D"/>
    <w:rsid w:val="00AA27F1"/>
    <w:rsid w:val="00AA6389"/>
    <w:rsid w:val="00AB5632"/>
    <w:rsid w:val="00AB5808"/>
    <w:rsid w:val="00AB6B1C"/>
    <w:rsid w:val="00AC2259"/>
    <w:rsid w:val="00AC2B85"/>
    <w:rsid w:val="00AC51BD"/>
    <w:rsid w:val="00AD4B1C"/>
    <w:rsid w:val="00AE1E36"/>
    <w:rsid w:val="00AF18BC"/>
    <w:rsid w:val="00AF3F08"/>
    <w:rsid w:val="00B1187F"/>
    <w:rsid w:val="00B14A5A"/>
    <w:rsid w:val="00B21704"/>
    <w:rsid w:val="00B217C8"/>
    <w:rsid w:val="00B22D55"/>
    <w:rsid w:val="00B23B70"/>
    <w:rsid w:val="00B2478A"/>
    <w:rsid w:val="00B445E3"/>
    <w:rsid w:val="00B47013"/>
    <w:rsid w:val="00B649AC"/>
    <w:rsid w:val="00B70F96"/>
    <w:rsid w:val="00B73EE0"/>
    <w:rsid w:val="00B777FD"/>
    <w:rsid w:val="00B83B84"/>
    <w:rsid w:val="00B84AA2"/>
    <w:rsid w:val="00B91F19"/>
    <w:rsid w:val="00B95EF0"/>
    <w:rsid w:val="00BA29E4"/>
    <w:rsid w:val="00BA6A72"/>
    <w:rsid w:val="00BA70C9"/>
    <w:rsid w:val="00BB36FE"/>
    <w:rsid w:val="00BB3AFC"/>
    <w:rsid w:val="00BB5066"/>
    <w:rsid w:val="00BB7D35"/>
    <w:rsid w:val="00BD1F7C"/>
    <w:rsid w:val="00BD603D"/>
    <w:rsid w:val="00BE0C1D"/>
    <w:rsid w:val="00BE6B64"/>
    <w:rsid w:val="00C05C68"/>
    <w:rsid w:val="00C13DC6"/>
    <w:rsid w:val="00C141B3"/>
    <w:rsid w:val="00C14D2A"/>
    <w:rsid w:val="00C21331"/>
    <w:rsid w:val="00C2149D"/>
    <w:rsid w:val="00C24409"/>
    <w:rsid w:val="00C30F99"/>
    <w:rsid w:val="00C31C4D"/>
    <w:rsid w:val="00C432BB"/>
    <w:rsid w:val="00C45B48"/>
    <w:rsid w:val="00C46E85"/>
    <w:rsid w:val="00C61354"/>
    <w:rsid w:val="00C668C8"/>
    <w:rsid w:val="00C70090"/>
    <w:rsid w:val="00C76E5C"/>
    <w:rsid w:val="00C8406A"/>
    <w:rsid w:val="00C87E7D"/>
    <w:rsid w:val="00C916CB"/>
    <w:rsid w:val="00C95F05"/>
    <w:rsid w:val="00C95F57"/>
    <w:rsid w:val="00CA58BE"/>
    <w:rsid w:val="00CA7D94"/>
    <w:rsid w:val="00CB4839"/>
    <w:rsid w:val="00CB5538"/>
    <w:rsid w:val="00CD12B9"/>
    <w:rsid w:val="00CD17E1"/>
    <w:rsid w:val="00CD6035"/>
    <w:rsid w:val="00CE084A"/>
    <w:rsid w:val="00CF0568"/>
    <w:rsid w:val="00CF08C5"/>
    <w:rsid w:val="00D01443"/>
    <w:rsid w:val="00D109D2"/>
    <w:rsid w:val="00D14ED1"/>
    <w:rsid w:val="00D1744B"/>
    <w:rsid w:val="00D21503"/>
    <w:rsid w:val="00D235FD"/>
    <w:rsid w:val="00D46198"/>
    <w:rsid w:val="00D46B1A"/>
    <w:rsid w:val="00D76216"/>
    <w:rsid w:val="00D84A7F"/>
    <w:rsid w:val="00D858E4"/>
    <w:rsid w:val="00D85DB7"/>
    <w:rsid w:val="00D85F4B"/>
    <w:rsid w:val="00D86935"/>
    <w:rsid w:val="00D86B2F"/>
    <w:rsid w:val="00D90668"/>
    <w:rsid w:val="00D92793"/>
    <w:rsid w:val="00D932B4"/>
    <w:rsid w:val="00D95084"/>
    <w:rsid w:val="00DA2E97"/>
    <w:rsid w:val="00DA4FF3"/>
    <w:rsid w:val="00DB0096"/>
    <w:rsid w:val="00DB309E"/>
    <w:rsid w:val="00DB3D01"/>
    <w:rsid w:val="00DB559E"/>
    <w:rsid w:val="00DB5F78"/>
    <w:rsid w:val="00DC45E4"/>
    <w:rsid w:val="00DC5CB4"/>
    <w:rsid w:val="00DD29E7"/>
    <w:rsid w:val="00DD57B4"/>
    <w:rsid w:val="00DE1495"/>
    <w:rsid w:val="00DE1B69"/>
    <w:rsid w:val="00DE4A08"/>
    <w:rsid w:val="00DF3699"/>
    <w:rsid w:val="00DF7081"/>
    <w:rsid w:val="00E024BA"/>
    <w:rsid w:val="00E025B3"/>
    <w:rsid w:val="00E034DE"/>
    <w:rsid w:val="00E06916"/>
    <w:rsid w:val="00E14159"/>
    <w:rsid w:val="00E145BA"/>
    <w:rsid w:val="00E14E6E"/>
    <w:rsid w:val="00E16A8C"/>
    <w:rsid w:val="00E20CE9"/>
    <w:rsid w:val="00E26F3C"/>
    <w:rsid w:val="00E3222C"/>
    <w:rsid w:val="00E323A1"/>
    <w:rsid w:val="00E341FC"/>
    <w:rsid w:val="00E347A2"/>
    <w:rsid w:val="00E37A49"/>
    <w:rsid w:val="00E522D4"/>
    <w:rsid w:val="00E671F2"/>
    <w:rsid w:val="00E72308"/>
    <w:rsid w:val="00E73271"/>
    <w:rsid w:val="00E83D3E"/>
    <w:rsid w:val="00E840E6"/>
    <w:rsid w:val="00E85230"/>
    <w:rsid w:val="00E86826"/>
    <w:rsid w:val="00E9463E"/>
    <w:rsid w:val="00EA1CB9"/>
    <w:rsid w:val="00EA444D"/>
    <w:rsid w:val="00EA4BA9"/>
    <w:rsid w:val="00EA62DA"/>
    <w:rsid w:val="00EA65C8"/>
    <w:rsid w:val="00EB6E0F"/>
    <w:rsid w:val="00EC396C"/>
    <w:rsid w:val="00ED24B6"/>
    <w:rsid w:val="00ED7093"/>
    <w:rsid w:val="00EE01AA"/>
    <w:rsid w:val="00EE1FB0"/>
    <w:rsid w:val="00EE2DA1"/>
    <w:rsid w:val="00EE4626"/>
    <w:rsid w:val="00EE5F6E"/>
    <w:rsid w:val="00EE7599"/>
    <w:rsid w:val="00EF0F73"/>
    <w:rsid w:val="00EF26A0"/>
    <w:rsid w:val="00EF46D4"/>
    <w:rsid w:val="00EF6727"/>
    <w:rsid w:val="00F05781"/>
    <w:rsid w:val="00F17ADC"/>
    <w:rsid w:val="00F20427"/>
    <w:rsid w:val="00F26BE3"/>
    <w:rsid w:val="00F3440B"/>
    <w:rsid w:val="00F41CA8"/>
    <w:rsid w:val="00F47267"/>
    <w:rsid w:val="00F50F70"/>
    <w:rsid w:val="00F5299B"/>
    <w:rsid w:val="00F5624B"/>
    <w:rsid w:val="00F67BA8"/>
    <w:rsid w:val="00F72D8A"/>
    <w:rsid w:val="00F73BD4"/>
    <w:rsid w:val="00F740C7"/>
    <w:rsid w:val="00F7498E"/>
    <w:rsid w:val="00F74B2C"/>
    <w:rsid w:val="00F74E54"/>
    <w:rsid w:val="00F74EED"/>
    <w:rsid w:val="00F763D0"/>
    <w:rsid w:val="00F8244E"/>
    <w:rsid w:val="00F85363"/>
    <w:rsid w:val="00F86026"/>
    <w:rsid w:val="00F863BB"/>
    <w:rsid w:val="00F93E70"/>
    <w:rsid w:val="00FA272E"/>
    <w:rsid w:val="00FB5A88"/>
    <w:rsid w:val="00FB6CC8"/>
    <w:rsid w:val="00FC2B05"/>
    <w:rsid w:val="00FD0A2B"/>
    <w:rsid w:val="00FD0CFF"/>
    <w:rsid w:val="00FD22B2"/>
    <w:rsid w:val="00FD761E"/>
    <w:rsid w:val="00FE0BD8"/>
    <w:rsid w:val="00FE34B8"/>
    <w:rsid w:val="00FE64D3"/>
    <w:rsid w:val="00FF0A01"/>
    <w:rsid w:val="00FF2798"/>
    <w:rsid w:val="04330D71"/>
    <w:rsid w:val="04993D3D"/>
    <w:rsid w:val="0B105FDE"/>
    <w:rsid w:val="155D0768"/>
    <w:rsid w:val="18572166"/>
    <w:rsid w:val="25DB1032"/>
    <w:rsid w:val="28EC09E6"/>
    <w:rsid w:val="2FFE0914"/>
    <w:rsid w:val="3309244E"/>
    <w:rsid w:val="40005FBA"/>
    <w:rsid w:val="51A51BC9"/>
    <w:rsid w:val="629A5DC2"/>
    <w:rsid w:val="62DC44B3"/>
    <w:rsid w:val="6EE6397D"/>
    <w:rsid w:val="70020AE3"/>
    <w:rsid w:val="7A5E7837"/>
    <w:rsid w:val="7BA6526A"/>
  </w:rsids>
  <m:mathPr>
    <m:mathFont m:val="Cambria Math"/>
    <m:brkBin m:val="before"/>
    <m:brkBinSub m:val="--"/>
    <m:smallFrac m:val="0"/>
    <m:dispDef/>
    <m:lMargin m:val="0"/>
    <m:rMargin m:val="0"/>
    <m:defJc m:val="centerGroup"/>
    <m:wrapIndent m:val="1440"/>
    <m:intLim m:val="subSup"/>
    <m:naryLim m:val="undOvr"/>
  </m:mathPr>
  <w:themeFontLang w:val="pt-BR" w:eastAsia="ii-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atentStyles>
  <w:style w:type="paragraph" w:default="1" w:styleId="1">
    <w:name w:val="Normal"/>
    <w:qFormat/>
    <w:uiPriority w:val="0"/>
    <w:pPr>
      <w:suppressAutoHyphens/>
      <w:spacing w:after="200" w:line="276" w:lineRule="auto"/>
    </w:pPr>
    <w:rPr>
      <w:rFonts w:cs="Times New Roman" w:asciiTheme="minorHAnsi" w:hAnsiTheme="minorHAnsi" w:eastAsiaTheme="minorHAnsi"/>
      <w:sz w:val="22"/>
      <w:szCs w:val="22"/>
      <w:lang w:val="pt-BR"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basedOn w:val="2"/>
    <w:semiHidden/>
    <w:unhideWhenUsed/>
    <w:qFormat/>
    <w:uiPriority w:val="99"/>
    <w:rPr>
      <w:vertAlign w:val="superscript"/>
    </w:rPr>
  </w:style>
  <w:style w:type="character" w:styleId="5">
    <w:name w:val="Hyperlink"/>
    <w:basedOn w:val="2"/>
    <w:unhideWhenUsed/>
    <w:qFormat/>
    <w:uiPriority w:val="99"/>
    <w:rPr>
      <w:color w:val="0563C1" w:themeColor="hyperlink"/>
      <w:u w:val="single"/>
      <w14:textFill>
        <w14:solidFill>
          <w14:schemeClr w14:val="hlink"/>
        </w14:solidFill>
      </w14:textFill>
    </w:rPr>
  </w:style>
  <w:style w:type="paragraph" w:styleId="6">
    <w:name w:val="List"/>
    <w:basedOn w:val="7"/>
    <w:qFormat/>
    <w:uiPriority w:val="0"/>
    <w:rPr>
      <w:rFonts w:cs="Lohit Devanagari"/>
    </w:rPr>
  </w:style>
  <w:style w:type="paragraph" w:styleId="7">
    <w:name w:val="Body Text"/>
    <w:basedOn w:val="1"/>
    <w:qFormat/>
    <w:uiPriority w:val="0"/>
    <w:pPr>
      <w:spacing w:after="140"/>
    </w:pPr>
  </w:style>
  <w:style w:type="paragraph" w:styleId="8">
    <w:name w:val="Title"/>
    <w:basedOn w:val="1"/>
    <w:next w:val="7"/>
    <w:qFormat/>
    <w:uiPriority w:val="0"/>
    <w:pPr>
      <w:keepNext/>
      <w:spacing w:before="240" w:after="120"/>
    </w:pPr>
    <w:rPr>
      <w:rFonts w:ascii="Liberation Sans" w:hAnsi="Liberation Sans" w:eastAsia="AR PL SungtiL GB" w:cs="Lohit Devanagari"/>
      <w:sz w:val="28"/>
      <w:szCs w:val="28"/>
    </w:rPr>
  </w:style>
  <w:style w:type="paragraph" w:styleId="9">
    <w:name w:val="Normal (Web)"/>
    <w:basedOn w:val="1"/>
    <w:unhideWhenUsed/>
    <w:qFormat/>
    <w:uiPriority w:val="0"/>
    <w:pPr>
      <w:suppressAutoHyphens w:val="0"/>
      <w:spacing w:beforeAutospacing="1" w:afterAutospacing="1" w:line="240" w:lineRule="auto"/>
    </w:pPr>
    <w:rPr>
      <w:rFonts w:ascii="Times New Roman" w:hAnsi="Times New Roman" w:eastAsia="Times New Roman"/>
      <w:sz w:val="24"/>
      <w:szCs w:val="24"/>
      <w:lang w:eastAsia="pt-BR"/>
    </w:rPr>
  </w:style>
  <w:style w:type="paragraph" w:styleId="10">
    <w:name w:val="header"/>
    <w:basedOn w:val="1"/>
    <w:link w:val="15"/>
    <w:unhideWhenUsed/>
    <w:qFormat/>
    <w:uiPriority w:val="99"/>
    <w:pPr>
      <w:tabs>
        <w:tab w:val="center" w:pos="4252"/>
        <w:tab w:val="right" w:pos="8504"/>
      </w:tabs>
      <w:suppressAutoHyphens w:val="0"/>
      <w:spacing w:after="0" w:line="240" w:lineRule="auto"/>
    </w:pPr>
    <w:rPr>
      <w:rFonts w:cstheme="minorBidi"/>
      <w:lang w:eastAsia="en-US"/>
    </w:rPr>
  </w:style>
  <w:style w:type="paragraph" w:styleId="11">
    <w:name w:val="footer"/>
    <w:basedOn w:val="1"/>
    <w:link w:val="19"/>
    <w:unhideWhenUsed/>
    <w:qFormat/>
    <w:uiPriority w:val="99"/>
    <w:pPr>
      <w:tabs>
        <w:tab w:val="center" w:pos="4252"/>
        <w:tab w:val="right" w:pos="8504"/>
      </w:tabs>
      <w:spacing w:after="0" w:line="240" w:lineRule="auto"/>
    </w:pPr>
  </w:style>
  <w:style w:type="paragraph" w:styleId="12">
    <w:name w:val="caption"/>
    <w:basedOn w:val="1"/>
    <w:qFormat/>
    <w:uiPriority w:val="0"/>
    <w:pPr>
      <w:suppressLineNumbers/>
      <w:spacing w:before="120" w:after="120"/>
    </w:pPr>
    <w:rPr>
      <w:rFonts w:cs="Lohit Devanagari"/>
      <w:i/>
      <w:iCs/>
      <w:sz w:val="24"/>
      <w:szCs w:val="24"/>
    </w:rPr>
  </w:style>
  <w:style w:type="paragraph" w:styleId="13">
    <w:name w:val="footnote text"/>
    <w:basedOn w:val="1"/>
    <w:link w:val="16"/>
    <w:semiHidden/>
    <w:unhideWhenUsed/>
    <w:qFormat/>
    <w:uiPriority w:val="99"/>
    <w:pPr>
      <w:spacing w:after="0" w:line="240" w:lineRule="auto"/>
    </w:pPr>
    <w:rPr>
      <w:sz w:val="20"/>
      <w:szCs w:val="20"/>
    </w:rPr>
  </w:style>
  <w:style w:type="table" w:styleId="14">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Cabeçalho Char"/>
    <w:basedOn w:val="2"/>
    <w:link w:val="10"/>
    <w:qFormat/>
    <w:uiPriority w:val="99"/>
  </w:style>
  <w:style w:type="character" w:customStyle="1" w:styleId="16">
    <w:name w:val="Texto de nota de rodapé Char"/>
    <w:basedOn w:val="2"/>
    <w:link w:val="13"/>
    <w:semiHidden/>
    <w:qFormat/>
    <w:uiPriority w:val="99"/>
    <w:rPr>
      <w:rFonts w:ascii="Calibri" w:hAnsi="Calibri" w:eastAsia="Calibri" w:cs="Times New Roman"/>
      <w:sz w:val="20"/>
      <w:szCs w:val="20"/>
      <w:lang w:eastAsia="zh-CN"/>
    </w:rPr>
  </w:style>
  <w:style w:type="character" w:customStyle="1" w:styleId="17">
    <w:name w:val="Âncora da nota de rodapé"/>
    <w:qFormat/>
    <w:uiPriority w:val="0"/>
    <w:rPr>
      <w:vertAlign w:val="superscript"/>
    </w:rPr>
  </w:style>
  <w:style w:type="character" w:customStyle="1" w:styleId="18">
    <w:name w:val="Footnote Characters"/>
    <w:basedOn w:val="2"/>
    <w:semiHidden/>
    <w:unhideWhenUsed/>
    <w:qFormat/>
    <w:uiPriority w:val="99"/>
    <w:rPr>
      <w:vertAlign w:val="superscript"/>
    </w:rPr>
  </w:style>
  <w:style w:type="character" w:customStyle="1" w:styleId="19">
    <w:name w:val="Rodapé Char"/>
    <w:basedOn w:val="2"/>
    <w:link w:val="11"/>
    <w:qFormat/>
    <w:uiPriority w:val="99"/>
    <w:rPr>
      <w:rFonts w:ascii="Calibri" w:hAnsi="Calibri" w:eastAsia="Calibri" w:cs="Times New Roman"/>
      <w:lang w:eastAsia="zh-CN"/>
    </w:rPr>
  </w:style>
  <w:style w:type="character" w:customStyle="1" w:styleId="20">
    <w:name w:val="fontstyle01"/>
    <w:basedOn w:val="2"/>
    <w:qFormat/>
    <w:uiPriority w:val="0"/>
    <w:rPr>
      <w:rFonts w:ascii="Verdana" w:hAnsi="Verdana"/>
      <w:b/>
      <w:bCs/>
      <w:color w:val="000000"/>
      <w:sz w:val="20"/>
      <w:szCs w:val="20"/>
    </w:rPr>
  </w:style>
  <w:style w:type="character" w:customStyle="1" w:styleId="21">
    <w:name w:val="fontstyle21"/>
    <w:basedOn w:val="2"/>
    <w:qFormat/>
    <w:uiPriority w:val="0"/>
    <w:rPr>
      <w:rFonts w:ascii="Verdana" w:hAnsi="Verdana"/>
      <w:color w:val="000000"/>
      <w:sz w:val="20"/>
      <w:szCs w:val="20"/>
    </w:rPr>
  </w:style>
  <w:style w:type="character" w:customStyle="1" w:styleId="22">
    <w:name w:val="fontstyle31"/>
    <w:basedOn w:val="2"/>
    <w:qFormat/>
    <w:uiPriority w:val="0"/>
    <w:rPr>
      <w:rFonts w:ascii="Times New Roman" w:hAnsi="Times New Roman" w:cs="Times New Roman"/>
      <w:color w:val="000000"/>
      <w:sz w:val="24"/>
      <w:szCs w:val="24"/>
    </w:rPr>
  </w:style>
  <w:style w:type="character" w:customStyle="1" w:styleId="23">
    <w:name w:val="fontstyle11"/>
    <w:basedOn w:val="2"/>
    <w:qFormat/>
    <w:uiPriority w:val="0"/>
    <w:rPr>
      <w:rFonts w:ascii="TimesNewRomanPSMT" w:hAnsi="TimesNewRomanPSMT"/>
      <w:color w:val="000000"/>
      <w:sz w:val="24"/>
      <w:szCs w:val="24"/>
    </w:rPr>
  </w:style>
  <w:style w:type="character" w:customStyle="1" w:styleId="24">
    <w:name w:val="ListLabel 1"/>
    <w:qFormat/>
    <w:uiPriority w:val="0"/>
    <w:rPr>
      <w:sz w:val="26"/>
    </w:rPr>
  </w:style>
  <w:style w:type="character" w:customStyle="1" w:styleId="25">
    <w:name w:val="ListLabel 2"/>
    <w:qFormat/>
    <w:uiPriority w:val="0"/>
    <w:rPr>
      <w:sz w:val="26"/>
    </w:rPr>
  </w:style>
  <w:style w:type="character" w:customStyle="1" w:styleId="26">
    <w:name w:val="ListLabel 3"/>
    <w:qFormat/>
    <w:uiPriority w:val="0"/>
    <w:rPr>
      <w:rFonts w:ascii="Arial" w:hAnsi="Arial"/>
      <w:sz w:val="24"/>
    </w:rPr>
  </w:style>
  <w:style w:type="character" w:customStyle="1" w:styleId="27">
    <w:name w:val="Caracteres de nota de rodapé"/>
    <w:qFormat/>
    <w:uiPriority w:val="0"/>
  </w:style>
  <w:style w:type="character" w:customStyle="1" w:styleId="28">
    <w:name w:val="Âncora da nota de fim"/>
    <w:qFormat/>
    <w:uiPriority w:val="0"/>
    <w:rPr>
      <w:vertAlign w:val="superscript"/>
    </w:rPr>
  </w:style>
  <w:style w:type="character" w:customStyle="1" w:styleId="29">
    <w:name w:val="Caracteres de nota de fim"/>
    <w:qFormat/>
    <w:uiPriority w:val="0"/>
  </w:style>
  <w:style w:type="paragraph" w:customStyle="1" w:styleId="30">
    <w:name w:val="Índice"/>
    <w:basedOn w:val="1"/>
    <w:qFormat/>
    <w:uiPriority w:val="0"/>
    <w:pPr>
      <w:suppressLineNumbers/>
    </w:pPr>
    <w:rPr>
      <w:rFonts w:cs="Lohit Devanagari"/>
    </w:rPr>
  </w:style>
  <w:style w:type="character" w:customStyle="1" w:styleId="31">
    <w:name w:val="Unresolved Mention"/>
    <w:basedOn w:val="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43BB9-2E8A-4FF3-89DF-50BADE0DE8BD}">
  <ds:schemaRefs/>
</ds:datastoreItem>
</file>

<file path=docProps/app.xml><?xml version="1.0" encoding="utf-8"?>
<Properties xmlns="http://schemas.openxmlformats.org/officeDocument/2006/extended-properties" xmlns:vt="http://schemas.openxmlformats.org/officeDocument/2006/docPropsVTypes">
  <Template>Normal</Template>
  <Pages>4</Pages>
  <Words>1743</Words>
  <Characters>9949</Characters>
  <Lines>92</Lines>
  <Paragraphs>26</Paragraphs>
  <TotalTime>99</TotalTime>
  <ScaleCrop>false</ScaleCrop>
  <LinksUpToDate>false</LinksUpToDate>
  <CharactersWithSpaces>11673</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2022-11-23T11:50:00Z</dcterms:created>
  <dc:creator>Flávio França</dc:creator>
  <cp:lastModifiedBy>rober</cp:lastModifiedBy>
  <cp:lastPrinted>2026-10-11T21:02:00Z</cp:lastPrinted>
  <dcterms:modified xsi:type="dcterms:W3CDTF">2026-10-23T18:33:49Z</dcterms:modified>
  <cp:revision>511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1046-12.1.0.29162</vt:lpwstr>
  </property>
  <property fmtid="{D5CDD505-2E9C-101B-9397-08002B2CF9AE}" pid="9" name="ICV">
    <vt:lpwstr>A30526B2E69540F5B4E2DE16C52D09A4_13</vt:lpwstr>
  </property>
  <property fmtid="{D5CDD505-2E9C-101B-9397-08002B2CF9AE}" pid="10" name="KSOTemplateDocerSaveRecord">
    <vt:lpwstr>eyJoZGlkIjoiMWI4YjJjZTUzNGNlYTQyODI4ZTEyNDRhODcyM2Y3ZDEifQ==</vt:lpwstr>
  </property>
</Properties>
</file>