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DC9AF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1FF0202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0EFCF2DA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18FD4CCB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4877D90B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38CE57E8" w14:textId="77777777" w:rsidR="0005713B" w:rsidRDefault="004F7D4D" w:rsidP="004F7D4D">
      <w:pPr>
        <w:tabs>
          <w:tab w:val="left" w:pos="6899"/>
        </w:tabs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ab/>
      </w:r>
    </w:p>
    <w:p w14:paraId="5F0F421C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7681C6A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2016EC18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2A6C298A" w14:textId="77777777" w:rsidR="0005713B" w:rsidRDefault="00834B28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MOBILIDADE PENDULAR PARA TRABALHO E HIERARQUIA URBANA NAS CIDADES MÉDIAS CEARENSES: UMA COMPARAÇÃO ENTRE OS CENSOS DE 2010 E 2022</w:t>
      </w:r>
    </w:p>
    <w:p w14:paraId="12825E4A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2E67F77A" w14:textId="77777777" w:rsidR="0005713B" w:rsidRDefault="00834B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Antonia Guadalupe Vieira Barbosa</w:t>
      </w:r>
      <w:r>
        <w:rPr>
          <w:rStyle w:val="ncoradanotaderodap"/>
          <w:rFonts w:ascii="Times New Roman" w:hAnsi="Times New Roman"/>
          <w:b/>
          <w:sz w:val="24"/>
          <w:szCs w:val="24"/>
        </w:rPr>
        <w:footnoteReference w:id="1"/>
      </w:r>
      <w:r>
        <w:rPr>
          <w:rFonts w:ascii="Times New Roman" w:hAnsi="Times New Roman"/>
          <w:b/>
          <w:caps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Aline Alves de Oliveira</w:t>
      </w:r>
      <w:r>
        <w:rPr>
          <w:rStyle w:val="ncoradanotaderodap"/>
          <w:rFonts w:ascii="Times New Roman" w:hAnsi="Times New Roman"/>
          <w:b/>
          <w:sz w:val="24"/>
          <w:szCs w:val="24"/>
        </w:rPr>
        <w:footnoteReference w:id="2"/>
      </w:r>
    </w:p>
    <w:p w14:paraId="658DDECE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0EA97CB9" w14:textId="07FCFF33" w:rsidR="0005713B" w:rsidRDefault="00834B28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b/>
          <w:color w:val="000000"/>
        </w:rPr>
        <w:t xml:space="preserve">Resumo: </w:t>
      </w:r>
      <w:r>
        <w:rPr>
          <w:color w:val="000000"/>
        </w:rPr>
        <w:t xml:space="preserve">Este trabalho analisa as alterações na mobilidade pendular por motivo de trabalho nas cidades médias cearenses entre 2010 e 2022 e verifica se essas alterações acompanham a posição dos municípios na hierarquia urbana. Trata-se de uma pesquisa descritiva e comparativa, de abordagem quantitativa, baseada nos microdados das amostras dos Censos Demográficos de 2010 e 2022 do Instituto Brasileiro de Geografia e Estatística (IBGE). </w:t>
      </w:r>
      <w:r w:rsidR="000E69A2">
        <w:rPr>
          <w:color w:val="000000"/>
        </w:rPr>
        <w:t>Para tanto foram</w:t>
      </w:r>
      <w:r>
        <w:rPr>
          <w:color w:val="000000"/>
        </w:rPr>
        <w:t xml:space="preserve"> calculados as entradas, as saídas, o saldo e o Índice de Eficácia de Pendularidade (IEP) de dez cidades médias: Caucaia, Maracanaú, Maranguape, Juazeiro do Norte, Crato, Sobral, Itapipoca, Iguatu, Quixadá e Russas. Consideraram-se os fluxos entre municípios cearenses, e a posição na hierarquia urbana foi obtida nas pesquisas Regiões de Influência das Cidades (REGIC) de 2007 e 2018. Os resultados mostram que o volume de fluxos cresceu em oito das dez cidades e que quatro mudaram de classe do IEP. Na Região Metropolitana de Fortaleza, Caucaia continuou como área de forte evasão, mas seu IEP passou de </w:t>
      </w:r>
      <w:r w:rsidR="00200F9B">
        <w:rPr>
          <w:color w:val="000000"/>
        </w:rPr>
        <w:t>-</w:t>
      </w:r>
      <w:r>
        <w:rPr>
          <w:color w:val="000000"/>
        </w:rPr>
        <w:t xml:space="preserve">0,85 para </w:t>
      </w:r>
      <w:r w:rsidR="00200F9B">
        <w:rPr>
          <w:color w:val="000000"/>
        </w:rPr>
        <w:t>-</w:t>
      </w:r>
      <w:r>
        <w:rPr>
          <w:color w:val="000000"/>
        </w:rPr>
        <w:t xml:space="preserve">0,73; Maracanaú passou de baixa evasão para rotatividade (de </w:t>
      </w:r>
      <w:r w:rsidR="00200F9B">
        <w:rPr>
          <w:color w:val="000000"/>
        </w:rPr>
        <w:t>-</w:t>
      </w:r>
      <w:r>
        <w:rPr>
          <w:color w:val="000000"/>
        </w:rPr>
        <w:t xml:space="preserve">0,17 para </w:t>
      </w:r>
      <w:r w:rsidR="00200F9B">
        <w:rPr>
          <w:color w:val="000000"/>
        </w:rPr>
        <w:t>-</w:t>
      </w:r>
      <w:r>
        <w:rPr>
          <w:color w:val="000000"/>
        </w:rPr>
        <w:t xml:space="preserve">0,07); e Maranguape passou de média para forte evasão (de </w:t>
      </w:r>
      <w:r w:rsidR="00200F9B">
        <w:rPr>
          <w:color w:val="000000"/>
        </w:rPr>
        <w:t>-</w:t>
      </w:r>
      <w:r>
        <w:rPr>
          <w:color w:val="000000"/>
        </w:rPr>
        <w:t xml:space="preserve">0,45 para </w:t>
      </w:r>
      <w:r w:rsidR="00200F9B">
        <w:rPr>
          <w:color w:val="000000"/>
        </w:rPr>
        <w:t>-</w:t>
      </w:r>
      <w:r>
        <w:rPr>
          <w:color w:val="000000"/>
        </w:rPr>
        <w:t xml:space="preserve">0,51). No interior, Juazeiro do Norte, cujo arranjo populacional </w:t>
      </w:r>
      <w:r w:rsidR="000E69A2">
        <w:rPr>
          <w:color w:val="000000"/>
        </w:rPr>
        <w:t>progrediu</w:t>
      </w:r>
      <w:r>
        <w:rPr>
          <w:color w:val="000000"/>
        </w:rPr>
        <w:t xml:space="preserve"> de Capital Regional C para B, quase dobrou seu saldo de trabalhadores, de 3.466 para 6.213, e Sobral permaneceu como área de forte absorção, com IEP de 0,80 em 2022. Iguatu passou de rotatividade para baixa absorção (de 0,09 para 0,18), e Quixadá, rebaixada no REGIC, </w:t>
      </w:r>
      <w:r w:rsidR="000E69A2">
        <w:rPr>
          <w:color w:val="000000"/>
        </w:rPr>
        <w:t>ampliou</w:t>
      </w:r>
      <w:r>
        <w:rPr>
          <w:color w:val="000000"/>
        </w:rPr>
        <w:t xml:space="preserve"> a evasão (de </w:t>
      </w:r>
      <w:r w:rsidR="00200F9B">
        <w:rPr>
          <w:color w:val="000000"/>
        </w:rPr>
        <w:t>-</w:t>
      </w:r>
      <w:r>
        <w:rPr>
          <w:color w:val="000000"/>
        </w:rPr>
        <w:t xml:space="preserve">0,13 para </w:t>
      </w:r>
      <w:r w:rsidR="00200F9B">
        <w:rPr>
          <w:color w:val="000000"/>
        </w:rPr>
        <w:t>-</w:t>
      </w:r>
      <w:r>
        <w:rPr>
          <w:color w:val="000000"/>
        </w:rPr>
        <w:t>0,24). Russas foi a principal exceção: apesar de subir de Centro de Zona A para Centro Sub-regional B, teve a maior queda do IEP, de 0,48 para 0,16, e passou de média para baixa absorção. Conclui-se que as alterações acompanham a posição no REGIC na maioria dos casos, mas que a hierarquia urbana não explica, sozinha, a direção dos fluxos pendulares.</w:t>
      </w:r>
    </w:p>
    <w:p w14:paraId="172290AA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241479DD" w14:textId="77777777" w:rsidR="0005713B" w:rsidRDefault="00834B28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b/>
          <w:color w:val="000000"/>
        </w:rPr>
        <w:t xml:space="preserve">Palavras-chave: </w:t>
      </w:r>
      <w:r>
        <w:rPr>
          <w:color w:val="000000"/>
        </w:rPr>
        <w:t>Mobilidade pendular. Cidades médias. Hierarquia urbana. Censo Demográfico. Ceará.</w:t>
      </w:r>
    </w:p>
    <w:p w14:paraId="4093DE4A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03C38FE8" w14:textId="77777777" w:rsidR="0005713B" w:rsidRDefault="00834B28">
      <w:pPr>
        <w:pStyle w:val="NormalWeb"/>
        <w:keepNext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b/>
          <w:color w:val="000000"/>
        </w:rPr>
        <w:t>Introdução</w:t>
      </w:r>
    </w:p>
    <w:p w14:paraId="007474A7" w14:textId="77777777" w:rsidR="0005713B" w:rsidRDefault="00834B28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A mobilidade pendular por motivo de trabalho, definida como o deslocamento diário entre o município de residência e o município onde o indivíduo trabalha (Ântico, 2005), é um dos principais indicadores da integração funcional entre municípios e da organização das redes urbanas. Por meio dela, é possível identificar centralidades, </w:t>
      </w:r>
      <w:r>
        <w:rPr>
          <w:color w:val="000000"/>
        </w:rPr>
        <w:lastRenderedPageBreak/>
        <w:t xml:space="preserve">cidades-dormitório e novas configurações espaciais no território (Moura; Branco; </w:t>
      </w:r>
      <w:proofErr w:type="spellStart"/>
      <w:r>
        <w:rPr>
          <w:color w:val="000000"/>
        </w:rPr>
        <w:t>Firkowski</w:t>
      </w:r>
      <w:proofErr w:type="spellEnd"/>
      <w:r>
        <w:rPr>
          <w:color w:val="000000"/>
        </w:rPr>
        <w:t xml:space="preserve">, 2005). Historicamente associada às grandes regiões metropolitanas, a pendularidade por trabalho passou a se mostrar relevante também em áreas não metropolitanas (Oliveira; </w:t>
      </w:r>
      <w:proofErr w:type="spellStart"/>
      <w:r>
        <w:rPr>
          <w:color w:val="000000"/>
        </w:rPr>
        <w:t>Givisiez</w:t>
      </w:r>
      <w:proofErr w:type="spellEnd"/>
      <w:r>
        <w:rPr>
          <w:color w:val="000000"/>
        </w:rPr>
        <w:t>, 2018).</w:t>
      </w:r>
    </w:p>
    <w:p w14:paraId="0EABD515" w14:textId="77777777" w:rsidR="0005713B" w:rsidRDefault="00834B28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>No Ceará, a reestruturação produtiva e as políticas de incentivo à industrialização a partir dos anos 1990 levaram atividades econômicas para além da Região Metropolitana de Fortaleza (RMF), tornando cidades médias como Sobral, Juazeiro do Norte e Iguatu polos regionais de emprego (Lima Júnior, 2019). A literatura sobre pendularidade por trabalho no estado avançou nos últimos anos (Silva; Queiroz; Sidrim, 2017; Oliveira, 2023; Oliveira; Machado; Queiroz, 2025). No entanto, esses estudos se concentram nas regiões metropolitanas e se baseiam nos Censos de 2000 e 2010. Como os microdados da amostra do Censo Demográfico de 2022 foram disponibilizados apenas em 2026 (IBGE, 2026), não foram identificados, na literatura consultada, estudos que comparem a pendularidade por trabalho entre 2010 e 2022 nas cidades médias cearenses. Compreender essas mudanças é importante para o planejamento regional, porque a direção e a intensidade dos fluxos pendulares indicam onde se concentram as oportunidades de emprego e quais municípios dependem de outros para ocupar sua população.</w:t>
      </w:r>
    </w:p>
    <w:p w14:paraId="711A32C3" w14:textId="342C94EA" w:rsidR="0005713B" w:rsidRDefault="00834B28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Levando em consideração a lacuna de pesquisa apresentada, este trabalho tem como objetivo responder à seguinte pergunta: quais alterações ocorreram na mobilidade pendular por motivo de trabalho nas dez cidades médias cearenses entre 2010 e 2022, e </w:t>
      </w:r>
      <w:r w:rsidR="000E69A2">
        <w:rPr>
          <w:color w:val="000000"/>
        </w:rPr>
        <w:t xml:space="preserve">como </w:t>
      </w:r>
      <w:r>
        <w:rPr>
          <w:color w:val="000000"/>
        </w:rPr>
        <w:t>essas alterações acompanham a posição de cada centro na hierarquia urbana definida pela pesquisa Regiões de Influência das Cidades (REGIC)?</w:t>
      </w:r>
    </w:p>
    <w:p w14:paraId="151A47A9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2C3BCDFA" w14:textId="77777777" w:rsidR="0005713B" w:rsidRDefault="00834B28">
      <w:pPr>
        <w:pStyle w:val="NormalWeb"/>
        <w:keepNext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b/>
          <w:color w:val="000000"/>
        </w:rPr>
        <w:t>Metodologia</w:t>
      </w:r>
    </w:p>
    <w:p w14:paraId="0D59B069" w14:textId="77777777" w:rsidR="0005713B" w:rsidRDefault="00834B28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A pendularidade corresponde ao deslocamento regular de pessoas que residem em um município e trabalham ou estudam em outro (Ântico, 2005; Oliveira, 2023). Por expressarem a relação entre o local de moradia e o local de trabalho, os fluxos pendulares permitem confirmar ou apontar centralidades, identificar cidades-dormitório e redefinir a extensão de aglomerados urbanos (Moura; Branco; </w:t>
      </w:r>
      <w:proofErr w:type="spellStart"/>
      <w:r>
        <w:rPr>
          <w:color w:val="000000"/>
        </w:rPr>
        <w:t>Firkowski</w:t>
      </w:r>
      <w:proofErr w:type="spellEnd"/>
      <w:r>
        <w:rPr>
          <w:color w:val="000000"/>
        </w:rPr>
        <w:t>, 2005).</w:t>
      </w:r>
    </w:p>
    <w:p w14:paraId="44D175A6" w14:textId="77777777" w:rsidR="0005713B" w:rsidRDefault="00834B28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>Trata-se de uma pesquisa descritiva e comparativa, de abordagem quantitativa, baseada em dados secundários. Os dados provêm dos microdados das amostras dos Censos Demográficos de 2010 e 2022, do Instituto Brasileiro de Geografia e Estatística (IBGE, 2010; IBGE, 2026). Considerou-se pendular a pessoa que reside em um município cearense e trabalha em outro município do estado. Com os dados ponderados pelos pesos amostrais, calcularam-se, para cada município, as entradas (pessoas que residem em outros municípios e nele trabalham), as saídas (residentes que trabalham em outro município) e o saldo (entradas menos saídas).</w:t>
      </w:r>
    </w:p>
    <w:p w14:paraId="329B426A" w14:textId="77777777" w:rsidR="0005713B" w:rsidRDefault="00834B28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A área de estudo compreende dez cidades médias cearenses: Caucaia, Maracanaú, Maranguape, Juazeiro do Norte, Sobral, Crato, Itapipoca, Iguatu, Quixadá e Russas. A seleção combinou dois critérios: o porte populacional, entre 100 mil e 500 mil habitantes no Censo de 2010 (Oliveira; </w:t>
      </w:r>
      <w:proofErr w:type="spellStart"/>
      <w:r>
        <w:rPr>
          <w:color w:val="000000"/>
        </w:rPr>
        <w:t>Givisiez</w:t>
      </w:r>
      <w:proofErr w:type="spellEnd"/>
      <w:r>
        <w:rPr>
          <w:color w:val="000000"/>
        </w:rPr>
        <w:t>, 2018), e a funcionalidade urbana, dada pela posição dos centros na hierarquia do REGIC (Silva; Queiroz, 2023). Caucaia, Maracanaú e Maranguape atendem ao critério populacional, mas integram o Arranjo Populacional de Fortaleza; Juazeiro do Norte, Sobral, Crato e Itapipoca atendem aos dois critérios; e Iguatu, Quixadá e Russas, com menos de 100 mil habitantes em 2010, foram incluídas pela função que exercem na rede urbana regional.</w:t>
      </w:r>
    </w:p>
    <w:p w14:paraId="094F9F93" w14:textId="77777777" w:rsidR="0005713B" w:rsidRDefault="00834B28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>Para medir a capacidade de cada município de atrair ou expulsar trabalhadores, utilizou-se o Índice de Eficácia de Pendularidade (IEP), adaptado do Índice de Eficácia Migratória por Frey e Dota (2013 apud Oliveira, 2023):</w:t>
      </w:r>
    </w:p>
    <w:p w14:paraId="4EA96D52" w14:textId="4527911A" w:rsidR="0005713B" w:rsidRDefault="00834B28">
      <w:pPr>
        <w:pStyle w:val="NormalWeb"/>
        <w:tabs>
          <w:tab w:val="center" w:pos="4252"/>
          <w:tab w:val="right" w:pos="8504"/>
        </w:tabs>
        <w:spacing w:before="60" w:beforeAutospacing="0" w:after="60" w:afterAutospacing="0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lastRenderedPageBreak/>
        <w:tab/>
        <w:t xml:space="preserve">IEP </w:t>
      </w:r>
      <w:r w:rsidR="00EC08CD">
        <w:rPr>
          <w:color w:val="000000"/>
        </w:rPr>
        <w:t>=</w:t>
      </w:r>
      <w:r>
        <w:rPr>
          <w:color w:val="000000"/>
        </w:rPr>
        <w:t xml:space="preserve"> (E </w:t>
      </w:r>
      <w:r w:rsidR="00EC08CD">
        <w:rPr>
          <w:color w:val="000000"/>
        </w:rPr>
        <w:t>-</w:t>
      </w:r>
      <w:r>
        <w:rPr>
          <w:color w:val="000000"/>
        </w:rPr>
        <w:t xml:space="preserve"> S) / (E + S)</w:t>
      </w:r>
      <w:r>
        <w:rPr>
          <w:color w:val="000000"/>
        </w:rPr>
        <w:tab/>
        <w:t>(1)</w:t>
      </w:r>
    </w:p>
    <w:p w14:paraId="54D3AEFD" w14:textId="76444EDF" w:rsidR="0005713B" w:rsidRDefault="00834B28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>em que E corresponde às entradas e S às saídas. O índice varia de −1 (predomínio de saídas) a 1 (predomínio de entradas), e valores próximos de zero indicam equilíbrio entre os fluxos. Os municípios foram classificados conforme as classes utilizadas por Oliveira (2023)</w:t>
      </w:r>
      <w:r w:rsidR="00EC08CD">
        <w:rPr>
          <w:color w:val="000000"/>
        </w:rPr>
        <w:t>,</w:t>
      </w:r>
      <w:r>
        <w:rPr>
          <w:color w:val="000000"/>
        </w:rPr>
        <w:t xml:space="preserve"> forte evasão (</w:t>
      </w:r>
      <w:r w:rsidR="00EC08CD">
        <w:rPr>
          <w:color w:val="000000"/>
        </w:rPr>
        <w:t>-</w:t>
      </w:r>
      <w:r>
        <w:rPr>
          <w:color w:val="000000"/>
        </w:rPr>
        <w:t xml:space="preserve">1,00 a </w:t>
      </w:r>
      <w:r w:rsidR="00EC08CD">
        <w:rPr>
          <w:color w:val="000000"/>
        </w:rPr>
        <w:t>-</w:t>
      </w:r>
      <w:r>
        <w:rPr>
          <w:color w:val="000000"/>
        </w:rPr>
        <w:t>0,51), média evasão (</w:t>
      </w:r>
      <w:r w:rsidR="00EC08CD">
        <w:rPr>
          <w:color w:val="000000"/>
        </w:rPr>
        <w:t>-</w:t>
      </w:r>
      <w:r>
        <w:rPr>
          <w:color w:val="000000"/>
        </w:rPr>
        <w:t xml:space="preserve">0,50 a </w:t>
      </w:r>
      <w:r w:rsidR="00EC08CD">
        <w:rPr>
          <w:color w:val="000000"/>
        </w:rPr>
        <w:t>-</w:t>
      </w:r>
      <w:r>
        <w:rPr>
          <w:color w:val="000000"/>
        </w:rPr>
        <w:t>0,30), baixa evasão (</w:t>
      </w:r>
      <w:r w:rsidR="00EC08CD">
        <w:rPr>
          <w:color w:val="000000"/>
        </w:rPr>
        <w:t>-</w:t>
      </w:r>
      <w:r>
        <w:rPr>
          <w:color w:val="000000"/>
        </w:rPr>
        <w:t xml:space="preserve">0,29 a </w:t>
      </w:r>
      <w:r w:rsidR="00EC08CD">
        <w:rPr>
          <w:color w:val="000000"/>
        </w:rPr>
        <w:t>-</w:t>
      </w:r>
      <w:r>
        <w:rPr>
          <w:color w:val="000000"/>
        </w:rPr>
        <w:t>0,10), rotatividade (</w:t>
      </w:r>
      <w:r w:rsidR="00EC08CD">
        <w:rPr>
          <w:color w:val="000000"/>
        </w:rPr>
        <w:t>-</w:t>
      </w:r>
      <w:r>
        <w:rPr>
          <w:color w:val="000000"/>
        </w:rPr>
        <w:t>0,09 a 0,09), baixa absorção (0,10 a 0,29), média absorção (0,30 a 0,50) e forte absorção (0,51 a 1,00). Para a classificação, o IEP foi arredondado a duas casas decimais.</w:t>
      </w:r>
    </w:p>
    <w:p w14:paraId="57ED15B2" w14:textId="77777777" w:rsidR="0005713B" w:rsidRDefault="00834B28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>A posição dos municípios na hierarquia urbana foi obtida no REGIC, do IBGE: a edição de 2007 (IBGE, 2008) serve de referência para os dados de 2010, e a de 2018 (IBGE, 2020), para os de 2022.</w:t>
      </w:r>
    </w:p>
    <w:p w14:paraId="3D663C2F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161FADD8" w14:textId="77777777" w:rsidR="0005713B" w:rsidRDefault="00834B28">
      <w:pPr>
        <w:pStyle w:val="NormalWeb"/>
        <w:keepNext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b/>
          <w:color w:val="000000"/>
        </w:rPr>
        <w:t>Resultados</w:t>
      </w:r>
    </w:p>
    <w:p w14:paraId="585CF7FB" w14:textId="77777777" w:rsidR="0005713B" w:rsidRDefault="00834B28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>A Tabela 1 compara os fluxos pendulares por motivo de trabalho e o IEP das dez cidades médias entre 2010 e 2022. O volume de fluxos (entradas mais saídas) cresceu em oito delas, e quatro mudaram de classe: Maracanaú, Maranguape, Iguatu e Russas.</w:t>
      </w:r>
    </w:p>
    <w:p w14:paraId="01A24116" w14:textId="5F094F97" w:rsidR="0005713B" w:rsidRDefault="00834B28">
      <w:pPr>
        <w:pStyle w:val="NormalWeb"/>
        <w:spacing w:beforeAutospacing="0" w:after="60" w:afterAutospacing="0"/>
        <w:jc w:val="center"/>
        <w:rPr>
          <w:rStyle w:val="fontstyle21"/>
          <w:rFonts w:ascii="Times New Roman" w:hAnsi="Times New Roman"/>
          <w:sz w:val="24"/>
          <w:szCs w:val="24"/>
        </w:rPr>
      </w:pPr>
      <w:r>
        <w:rPr>
          <w:b/>
          <w:color w:val="000000"/>
        </w:rPr>
        <w:t>Tabela 1</w:t>
      </w:r>
      <w:r>
        <w:rPr>
          <w:color w:val="000000"/>
        </w:rPr>
        <w:t xml:space="preserve"> </w:t>
      </w:r>
      <w:r w:rsidR="00EC08CD">
        <w:rPr>
          <w:color w:val="000000"/>
        </w:rPr>
        <w:t>-</w:t>
      </w:r>
      <w:r>
        <w:rPr>
          <w:color w:val="000000"/>
        </w:rPr>
        <w:t xml:space="preserve"> Pendularidade por trabalho e IEP das cidades médias cearenses </w:t>
      </w:r>
      <w:r w:rsidR="00EC08CD">
        <w:rPr>
          <w:color w:val="000000"/>
        </w:rPr>
        <w:t>-</w:t>
      </w:r>
      <w:r>
        <w:rPr>
          <w:color w:val="000000"/>
        </w:rPr>
        <w:t xml:space="preserve"> 2010 e 2022</w:t>
      </w:r>
    </w:p>
    <w:tbl>
      <w:tblPr>
        <w:tblW w:w="850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4A0" w:firstRow="1" w:lastRow="0" w:firstColumn="1" w:lastColumn="0" w:noHBand="0" w:noVBand="1"/>
      </w:tblPr>
      <w:tblGrid>
        <w:gridCol w:w="1250"/>
        <w:gridCol w:w="700"/>
        <w:gridCol w:w="700"/>
        <w:gridCol w:w="700"/>
        <w:gridCol w:w="700"/>
        <w:gridCol w:w="760"/>
        <w:gridCol w:w="760"/>
        <w:gridCol w:w="600"/>
        <w:gridCol w:w="600"/>
        <w:gridCol w:w="1734"/>
      </w:tblGrid>
      <w:tr w:rsidR="00C21ACC" w14:paraId="681D9EE5" w14:textId="77777777">
        <w:trPr>
          <w:tblHeader/>
          <w:jc w:val="center"/>
        </w:trPr>
        <w:tc>
          <w:tcPr>
            <w:tcW w:w="125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48A7A7DB" w14:textId="77777777" w:rsidR="00C21AC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Município</w:t>
            </w:r>
          </w:p>
        </w:tc>
        <w:tc>
          <w:tcPr>
            <w:tcW w:w="140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62DF659C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Entradas</w:t>
            </w:r>
          </w:p>
        </w:tc>
        <w:tc>
          <w:tcPr>
            <w:tcW w:w="140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2F49E9F0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Saídas</w:t>
            </w:r>
          </w:p>
        </w:tc>
        <w:tc>
          <w:tcPr>
            <w:tcW w:w="152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41A074FA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Saldo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43B47E07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IEP</w:t>
            </w:r>
          </w:p>
        </w:tc>
        <w:tc>
          <w:tcPr>
            <w:tcW w:w="173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7E5398E6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Classificação 2010 → 2022</w:t>
            </w:r>
          </w:p>
        </w:tc>
      </w:tr>
      <w:tr w:rsidR="00C21ACC" w14:paraId="3813BAE0" w14:textId="77777777">
        <w:trPr>
          <w:tblHeader/>
          <w:jc w:val="center"/>
        </w:trPr>
        <w:tc>
          <w:tcPr>
            <w:tcW w:w="1250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365B465" w14:textId="77777777" w:rsidR="00C21ACC" w:rsidRDefault="00C21ACC">
            <w:pPr>
              <w:spacing w:after="0" w:line="240" w:lineRule="auto"/>
              <w:jc w:val="center"/>
            </w:pPr>
          </w:p>
        </w:tc>
        <w:tc>
          <w:tcPr>
            <w:tcW w:w="70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FC67488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B71908B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EC33089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3129E458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F29BF03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F91B505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3DA8657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31608575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734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EECA8C7" w14:textId="77777777" w:rsidR="00C21ACC" w:rsidRDefault="00C21ACC">
            <w:pPr>
              <w:spacing w:after="0" w:line="240" w:lineRule="auto"/>
              <w:jc w:val="center"/>
            </w:pPr>
          </w:p>
        </w:tc>
      </w:tr>
      <w:tr w:rsidR="00C21ACC" w14:paraId="353FC2B6" w14:textId="77777777">
        <w:trPr>
          <w:cantSplit/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50262" w14:textId="77777777" w:rsidR="00C21AC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Caucaia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94FBB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3.360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48284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5.983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FC3AA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41.899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23610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37.636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0CD78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−38.539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73D46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−31.653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6879D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−0,85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D5C24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−0,73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49D35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Forte evasão →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Forte evasão</w:t>
            </w:r>
          </w:p>
        </w:tc>
      </w:tr>
      <w:tr w:rsidR="00C21ACC" w14:paraId="392A5A7C" w14:textId="77777777">
        <w:trPr>
          <w:cantSplit/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D8C64" w14:textId="77777777" w:rsidR="00C21AC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Maracanaú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FD516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14.259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E7107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16.696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2F0B0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20.204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84CEE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19.275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C1AC2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−5.945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B4537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−2.579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B266C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−0,17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DE191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−0,07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33378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Baixa evasão →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Rotatividade</w:t>
            </w:r>
          </w:p>
        </w:tc>
      </w:tr>
      <w:tr w:rsidR="00C21ACC" w14:paraId="20081FD5" w14:textId="77777777">
        <w:trPr>
          <w:cantSplit/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E235C" w14:textId="77777777" w:rsidR="00C21AC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Maranguape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F51DE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1.798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49C80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1.855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48EE0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4.782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9FFF2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5.786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C8EDB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−2.984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113EC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−3.931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5E63B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−0,45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E3754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−0,51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D51CE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Média evasão →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Forte evasão</w:t>
            </w:r>
          </w:p>
        </w:tc>
      </w:tr>
      <w:tr w:rsidR="00C21ACC" w14:paraId="1C676BB8" w14:textId="77777777">
        <w:trPr>
          <w:cantSplit/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9F99B" w14:textId="77777777" w:rsidR="00C21AC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Juazeiro do Norte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9973B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5.912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BB03C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10.073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4ED06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2.446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5E980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3.860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BCA09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3.466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2A2C0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6.213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A4D4E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493F6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D0A0D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Média absorção →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Média absorção</w:t>
            </w:r>
          </w:p>
        </w:tc>
      </w:tr>
      <w:tr w:rsidR="00C21ACC" w14:paraId="5E154607" w14:textId="77777777">
        <w:trPr>
          <w:cantSplit/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C20E6" w14:textId="77777777" w:rsidR="00C21AC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Crato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6F417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1.294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EFCB6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2.455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18A64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3.889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6E19E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5.832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A2238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−2.595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FA48C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−3.377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85F68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−0,50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0FCBC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−0,41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C9DF9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Média evasão →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Média evasão</w:t>
            </w:r>
          </w:p>
        </w:tc>
      </w:tr>
      <w:tr w:rsidR="00C21ACC" w14:paraId="229063A9" w14:textId="77777777">
        <w:trPr>
          <w:cantSplit/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C5C06" w14:textId="77777777" w:rsidR="00C21AC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Sobral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33815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7.824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B58AB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7.319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6633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356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E7057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8B430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7.468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57592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6.522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C3D9B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0,91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4156F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0,80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73105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Forte absorção →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Forte absorção</w:t>
            </w:r>
          </w:p>
        </w:tc>
      </w:tr>
      <w:tr w:rsidR="00C21ACC" w14:paraId="7DBEECF0" w14:textId="77777777">
        <w:trPr>
          <w:cantSplit/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C11E1" w14:textId="77777777" w:rsidR="00C21AC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Iguatu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6A327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DF4C5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40F18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3EA48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F8879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36C43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D2C2B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441B2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8F580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Rotatividade →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Baixa absorção</w:t>
            </w:r>
          </w:p>
        </w:tc>
      </w:tr>
      <w:tr w:rsidR="00C21ACC" w14:paraId="0CBE9FEA" w14:textId="77777777">
        <w:trPr>
          <w:cantSplit/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4BCCC" w14:textId="77777777" w:rsidR="00C21AC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Itapipoca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B94E3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B737A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677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9CCD6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269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40C74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E8866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364C1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D26B0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−0,05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22153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562DD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Rotatividade →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Rotatividade</w:t>
            </w:r>
          </w:p>
        </w:tc>
      </w:tr>
      <w:tr w:rsidR="00C21ACC" w14:paraId="2C428419" w14:textId="77777777">
        <w:trPr>
          <w:cantSplit/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98F81" w14:textId="77777777" w:rsidR="00C21AC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Quixadá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303E1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8BB89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F46B8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8D36B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369CB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E53E1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−189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4D559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−0,13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9A5C7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−0,24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9933E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Baixa evasão →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Baixa evasão</w:t>
            </w:r>
          </w:p>
        </w:tc>
      </w:tr>
      <w:tr w:rsidR="00C21ACC" w14:paraId="74BD4F4B" w14:textId="77777777">
        <w:trPr>
          <w:cantSplit/>
          <w:jc w:val="center"/>
        </w:trPr>
        <w:tc>
          <w:tcPr>
            <w:tcW w:w="125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ED26D01" w14:textId="77777777" w:rsidR="00C21AC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Russas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39AC8280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1.068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A1738C0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874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7E8E5D4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378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CC5EC2E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629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0026558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6F6C97F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49CCF99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ED4FED7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C416B46" w14:textId="77777777" w:rsidR="00C21ACC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Média absorção →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Baixa absorção</w:t>
            </w:r>
          </w:p>
        </w:tc>
      </w:tr>
    </w:tbl>
    <w:p w14:paraId="1D97DB9F" w14:textId="77777777" w:rsidR="0005713B" w:rsidRDefault="00834B28">
      <w:pPr>
        <w:pStyle w:val="NormalWeb"/>
        <w:spacing w:before="40" w:beforeAutospacing="0" w:after="0" w:afterAutospacing="0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  <w:sz w:val="20"/>
          <w:szCs w:val="20"/>
        </w:rPr>
        <w:t>Fonte: elaboração própria com base nos microdados da amostra dos Censos Demográficos de 2010 e 2022 (IBGE).</w:t>
      </w:r>
    </w:p>
    <w:p w14:paraId="65D1217A" w14:textId="25048A60" w:rsidR="0005713B" w:rsidRDefault="00834B28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Na RMF, Caucaia continuou como área de forte evasão e principal emissora de trabalhadores, com 37.636 saídas em 2022, confirmando seu papel de cidade-dormitório da capital (Nascimento, 2021). Entretanto, suas entradas cresceram 78% e o IEP elevou-se de </w:t>
      </w:r>
      <w:r w:rsidR="00EC08CD">
        <w:rPr>
          <w:color w:val="000000"/>
        </w:rPr>
        <w:t>-</w:t>
      </w:r>
      <w:r>
        <w:rPr>
          <w:color w:val="000000"/>
        </w:rPr>
        <w:t xml:space="preserve">0,85 para </w:t>
      </w:r>
      <w:r w:rsidR="00EC08CD">
        <w:rPr>
          <w:color w:val="000000"/>
        </w:rPr>
        <w:t>-</w:t>
      </w:r>
      <w:r>
        <w:rPr>
          <w:color w:val="000000"/>
        </w:rPr>
        <w:t>0,73. Maracanaú passou de baixa evasão para rotatividade, com aumento das entradas e redução das saídas. Esses dados reforçam a tendência de redução da evasão observada entre 2000 e 2010 nos fluxos internos à RMF (Oliveira, 2023). Maranguape não seguiu a mesma lógica. Suas saídas cresceram 21%, e o município passou de média para forte evasão. Assim, municípios do mesmo arranjo metropolitano, classificado como Metrópole nas duas edições do REGIC, seguiram trajetórias opostas.</w:t>
      </w:r>
    </w:p>
    <w:p w14:paraId="22FE206F" w14:textId="02B905C9" w:rsidR="0005713B" w:rsidRDefault="00834B28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Nos municípios interioranos, a progressão do Arranjo Populacional de Juazeiro do Norte de Capital Regional C para B (IBGE, 2008, 2020) está de acordo com a ampliação de seus fluxos. Juazeiro do Norte manteve a média absorção, mas seu saldo </w:t>
      </w:r>
      <w:r>
        <w:rPr>
          <w:color w:val="000000"/>
        </w:rPr>
        <w:lastRenderedPageBreak/>
        <w:t xml:space="preserve">quase dobrou, passando de 3.466 para 6.213 trabalhadores. O Crato continuou em média evasão, o que condiz com sua atratividade mais ligada ao estudo do que ao trabalho (Silva; Queiroz; Sidrim, 2017), mas reduziu a evasão (IEP de </w:t>
      </w:r>
      <w:r w:rsidR="00EC08CD">
        <w:rPr>
          <w:color w:val="000000"/>
        </w:rPr>
        <w:t>-</w:t>
      </w:r>
      <w:r>
        <w:rPr>
          <w:color w:val="000000"/>
        </w:rPr>
        <w:t xml:space="preserve">0,50 para </w:t>
      </w:r>
      <w:r w:rsidR="00EC08CD">
        <w:rPr>
          <w:color w:val="000000"/>
        </w:rPr>
        <w:t>-</w:t>
      </w:r>
      <w:r>
        <w:rPr>
          <w:color w:val="000000"/>
        </w:rPr>
        <w:t>0,41). Sobral, que manteve a posição de Capital Regional C, continuou em forte absorção, embora o IEP tenha caído de 0,91 para 0,80 com o aumento das saídas.</w:t>
      </w:r>
    </w:p>
    <w:p w14:paraId="0A2F175F" w14:textId="2FAA3A76" w:rsidR="0005713B" w:rsidRDefault="00834B28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Entre os centros sub-regionais, o rebaixamento de Quixadá de Centro Sub-regional A para B condiz com o aumento de sua evasão (IEP de </w:t>
      </w:r>
      <w:r w:rsidR="00EC08CD">
        <w:rPr>
          <w:color w:val="000000"/>
        </w:rPr>
        <w:t>-</w:t>
      </w:r>
      <w:r>
        <w:rPr>
          <w:color w:val="000000"/>
        </w:rPr>
        <w:t xml:space="preserve">0,13 para </w:t>
      </w:r>
      <w:r w:rsidR="00EC08CD">
        <w:rPr>
          <w:color w:val="000000"/>
        </w:rPr>
        <w:t>-</w:t>
      </w:r>
      <w:r>
        <w:rPr>
          <w:color w:val="000000"/>
        </w:rPr>
        <w:t>0,24), e Itapipoca, que manteve sua posição, permaneceu em rotatividade. Iguatu passou de rotatividade para baixa absorção sem mudar de posição no REGIC. Russas é o caso que mais destoa entre as cidades analisadas</w:t>
      </w:r>
      <w:r w:rsidR="00EC08CD">
        <w:rPr>
          <w:color w:val="000000"/>
        </w:rPr>
        <w:t>.</w:t>
      </w:r>
      <w:r>
        <w:rPr>
          <w:color w:val="000000"/>
        </w:rPr>
        <w:t xml:space="preserve"> </w:t>
      </w:r>
      <w:r w:rsidR="00EC08CD">
        <w:rPr>
          <w:color w:val="000000"/>
        </w:rPr>
        <w:t>S</w:t>
      </w:r>
      <w:r>
        <w:rPr>
          <w:color w:val="000000"/>
        </w:rPr>
        <w:t>ubiu de Centro de Zona A para Centro Sub-regional B e destaca-se pela diversificação do comércio, dos serviços e do ensino superior (Silva; Queiroz, 2023), mas teve a maior queda do IEP (de 0,48 para 0,16) e passou de média para baixa absorção, com redução de 18% nas entradas e aumento de 66% nas saídas. Portanto, as alterações acompanham o REGIC na maioria dos casos, mas a hierarquia urbana não explica, sozinha, a direção dos fluxos pendulares.</w:t>
      </w:r>
    </w:p>
    <w:p w14:paraId="4BA05135" w14:textId="71D7E425" w:rsidR="0005713B" w:rsidRDefault="00834B28" w:rsidP="00EC08CD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Como vantagem metodológica, a comparação permite acompanhar a centralidade de cada município com dados recentes. Como limitações, não foram considerados os fluxos vindos de outros estados, relevantes </w:t>
      </w:r>
      <w:r w:rsidR="00EC08CD">
        <w:rPr>
          <w:color w:val="000000"/>
        </w:rPr>
        <w:t>para o</w:t>
      </w:r>
      <w:r>
        <w:rPr>
          <w:color w:val="000000"/>
        </w:rPr>
        <w:t xml:space="preserve"> Cariri</w:t>
      </w:r>
      <w:r w:rsidR="00EC08CD">
        <w:rPr>
          <w:color w:val="000000"/>
        </w:rPr>
        <w:t>,</w:t>
      </w:r>
      <w:r>
        <w:rPr>
          <w:color w:val="000000"/>
        </w:rPr>
        <w:t xml:space="preserve"> as estimativas amostrais são menos precisas nos centros com poucos fluxos e mudanças próximas aos limites das classes, como a de Maranguape (</w:t>
      </w:r>
      <w:r w:rsidR="00EC08CD">
        <w:rPr>
          <w:color w:val="000000"/>
        </w:rPr>
        <w:t>-</w:t>
      </w:r>
      <w:r>
        <w:rPr>
          <w:color w:val="000000"/>
        </w:rPr>
        <w:t>0,51), devem ser lidas com cautela.</w:t>
      </w:r>
    </w:p>
    <w:p w14:paraId="605832D9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32A38B72" w14:textId="77777777" w:rsidR="0005713B" w:rsidRDefault="00834B28">
      <w:pPr>
        <w:pStyle w:val="NormalWeb"/>
        <w:keepNext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b/>
          <w:color w:val="000000"/>
        </w:rPr>
        <w:t>Conclusão</w:t>
      </w:r>
    </w:p>
    <w:p w14:paraId="47295B5F" w14:textId="304C33B9" w:rsidR="0005713B" w:rsidRDefault="00834B28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Entre 2010 e 2022, a mobilidade pendular por motivo de trabalho nas cidades médias cearenses se </w:t>
      </w:r>
      <w:r w:rsidR="00EC08CD">
        <w:rPr>
          <w:color w:val="000000"/>
        </w:rPr>
        <w:t>amplia</w:t>
      </w:r>
      <w:r>
        <w:rPr>
          <w:color w:val="000000"/>
        </w:rPr>
        <w:t xml:space="preserve"> e se reorganiza. O volume de fluxos cresce em oito das dez cidades, e quatro mudam de classe do IEP. Na RMF, Caucaia e Maracanaú reduzem a evasão, enquanto Maranguape a aprofunda. No interior, Juazeiro do Norte amplia sua capacidade de atrair trabalhadores, Sobral se mantém como principal polo de absorção e Iguatu passa a absorver trabalhadores. Russas, ao contrário, perde capacidade de atração, e Quixadá intensifica a evasão.</w:t>
      </w:r>
    </w:p>
    <w:p w14:paraId="18A325E1" w14:textId="77777777" w:rsidR="0005713B" w:rsidRDefault="00834B28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>As alterações acompanham a posição no REGIC na maioria dos casos. A elevação do Arranjo Populacional de Juazeiro do Norte e o rebaixamento de Quixadá se refletem nos fluxos. Russas, porém, sobe na hierarquia e perde capacidade de absorção. Assim, a hierarquia urbana ajuda a explicar a pendularidade, mas não a determina sozinha.</w:t>
      </w:r>
    </w:p>
    <w:p w14:paraId="45F0DE76" w14:textId="77777777" w:rsidR="0005713B" w:rsidRDefault="00834B28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>Como agenda futura, sugere-se incluir os fluxos interestaduais e utilizar métodos econométricos para testar relações de causa e efeito entre a dinâmica do mercado de trabalho local e as trajetórias observadas, como as de Maranguape, Iguatu e Russas.</w:t>
      </w:r>
    </w:p>
    <w:p w14:paraId="449337C6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5ECF77C7" w14:textId="77777777" w:rsidR="0005713B" w:rsidRDefault="00834B28">
      <w:pPr>
        <w:pStyle w:val="NormalWeb"/>
        <w:keepNext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b/>
          <w:color w:val="000000"/>
        </w:rPr>
        <w:t>Agradecimentos</w:t>
      </w:r>
    </w:p>
    <w:p w14:paraId="5832E6C2" w14:textId="5A2FA39A" w:rsidR="0005713B" w:rsidRDefault="00200F9B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200F9B">
        <w:rPr>
          <w:color w:val="000000"/>
        </w:rPr>
        <w:t>À Universidade Regional do Cariri (URCA) e ao Fundo Estadual de Combate à Pobreza (FECOP), pela concessão da bolsa de Iniciação Científica (PIBIC/URCA/FECOP), e ao Observatório das Migrações no Estado do Ceará (OMEC), pelo suporte ao desenvolvimento desta pesquisa.</w:t>
      </w:r>
    </w:p>
    <w:p w14:paraId="33CB75AC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1F6E0F1E" w14:textId="77777777" w:rsidR="0005713B" w:rsidRDefault="00834B28">
      <w:pPr>
        <w:pStyle w:val="NormalWeb"/>
        <w:keepNext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b/>
          <w:color w:val="000000"/>
        </w:rPr>
        <w:t>Referências</w:t>
      </w:r>
    </w:p>
    <w:p w14:paraId="5C46BE40" w14:textId="77777777" w:rsidR="0005713B" w:rsidRDefault="00834B28">
      <w:pPr>
        <w:pStyle w:val="NormalWeb"/>
        <w:spacing w:beforeAutospacing="0" w:after="240" w:afterAutospacing="0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ÂNTICO, Cláudia. Deslocamentos pendulares na Região Metropolitana de São Paulo. </w:t>
      </w:r>
      <w:r>
        <w:rPr>
          <w:b/>
          <w:color w:val="000000"/>
        </w:rPr>
        <w:t>São Paulo em Perspectiva</w:t>
      </w:r>
      <w:r>
        <w:rPr>
          <w:color w:val="000000"/>
        </w:rPr>
        <w:t>, São Paulo, v. 19, n. 4, p. 110-120, out./dez. 2005.</w:t>
      </w:r>
    </w:p>
    <w:p w14:paraId="20FD7A9D" w14:textId="77777777" w:rsidR="0005713B" w:rsidRDefault="00834B28">
      <w:pPr>
        <w:pStyle w:val="NormalWeb"/>
        <w:spacing w:beforeAutospacing="0" w:after="240" w:afterAutospacing="0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INSTITUTO BRASILEIRO DE GEOGRAFIA E ESTATÍSTICA (IBGE). </w:t>
      </w:r>
      <w:r>
        <w:rPr>
          <w:b/>
          <w:color w:val="000000"/>
        </w:rPr>
        <w:t>Regiões de influência das cidades 2007</w:t>
      </w:r>
      <w:r>
        <w:rPr>
          <w:color w:val="000000"/>
        </w:rPr>
        <w:t>. Rio de Janeiro: IBGE, 2008.</w:t>
      </w:r>
    </w:p>
    <w:p w14:paraId="375598F3" w14:textId="77777777" w:rsidR="0005713B" w:rsidRDefault="00834B28">
      <w:pPr>
        <w:pStyle w:val="NormalWeb"/>
        <w:spacing w:beforeAutospacing="0" w:after="240" w:afterAutospacing="0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lastRenderedPageBreak/>
        <w:t xml:space="preserve">INSTITUTO BRASILEIRO DE GEOGRAFIA E ESTATÍSTICA (IBGE). </w:t>
      </w:r>
      <w:r>
        <w:rPr>
          <w:b/>
          <w:color w:val="000000"/>
        </w:rPr>
        <w:t>Censo Demográfico 2010</w:t>
      </w:r>
      <w:r>
        <w:rPr>
          <w:color w:val="000000"/>
        </w:rPr>
        <w:t>: microdados da amostra. Rio de Janeiro: IBGE, 2010.</w:t>
      </w:r>
    </w:p>
    <w:p w14:paraId="69D979CB" w14:textId="77777777" w:rsidR="0005713B" w:rsidRDefault="00834B28">
      <w:pPr>
        <w:pStyle w:val="NormalWeb"/>
        <w:spacing w:beforeAutospacing="0" w:after="240" w:afterAutospacing="0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INSTITUTO BRASILEIRO DE GEOGRAFIA E ESTATÍSTICA (IBGE). </w:t>
      </w:r>
      <w:r>
        <w:rPr>
          <w:b/>
          <w:color w:val="000000"/>
        </w:rPr>
        <w:t>Regiões de influência das cidades</w:t>
      </w:r>
      <w:r>
        <w:rPr>
          <w:color w:val="000000"/>
        </w:rPr>
        <w:t>: 2018. Rio de Janeiro: IBGE, 2020.</w:t>
      </w:r>
    </w:p>
    <w:p w14:paraId="57224094" w14:textId="77777777" w:rsidR="0005713B" w:rsidRDefault="00834B28">
      <w:pPr>
        <w:pStyle w:val="NormalWeb"/>
        <w:spacing w:beforeAutospacing="0" w:after="240" w:afterAutospacing="0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INSTITUTO BRASILEIRO DE GEOGRAFIA E ESTATÍSTICA (IBGE). </w:t>
      </w:r>
      <w:r>
        <w:rPr>
          <w:b/>
          <w:color w:val="000000"/>
        </w:rPr>
        <w:t>Censo Demográfico 2022</w:t>
      </w:r>
      <w:r>
        <w:rPr>
          <w:color w:val="000000"/>
        </w:rPr>
        <w:t>: microdados da amostra. Rio de Janeiro: IBGE, 2026. Disponível em: https://www.ibge.gov.br/estatisticas/sociais/trabalho/22827-censo-demografico-2022.html. Acesso em: 19 out. 2026.</w:t>
      </w:r>
    </w:p>
    <w:p w14:paraId="581453D1" w14:textId="77777777" w:rsidR="0005713B" w:rsidRDefault="00834B28">
      <w:pPr>
        <w:pStyle w:val="NormalWeb"/>
        <w:spacing w:beforeAutospacing="0" w:after="240" w:afterAutospacing="0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LIMA JÚNIOR, Francisco do O' de. Macro contexto contemporâneo e transformações econômicas: os ajustes espaciais cearenses. </w:t>
      </w:r>
      <w:proofErr w:type="spellStart"/>
      <w:r>
        <w:rPr>
          <w:b/>
          <w:color w:val="000000"/>
        </w:rPr>
        <w:t>Geosul</w:t>
      </w:r>
      <w:proofErr w:type="spellEnd"/>
      <w:r>
        <w:rPr>
          <w:color w:val="000000"/>
        </w:rPr>
        <w:t>, Florianópolis, v. 34, n. 70, p. 195-219, jan./abr. 2019. DOI: 10.5007/2177-5230.2019v34n70p195.</w:t>
      </w:r>
    </w:p>
    <w:p w14:paraId="1EE061E7" w14:textId="77777777" w:rsidR="0005713B" w:rsidRDefault="00834B28">
      <w:pPr>
        <w:pStyle w:val="NormalWeb"/>
        <w:spacing w:beforeAutospacing="0" w:after="240" w:afterAutospacing="0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MOURA, R.; BRANCO, M. L. G. C.; FIRKOWSKI, O. L. C. F. Movimento pendular e perspectivas de pesquisas em aglomerados urbanos. </w:t>
      </w:r>
      <w:r>
        <w:rPr>
          <w:b/>
          <w:color w:val="000000"/>
        </w:rPr>
        <w:t>São Paulo em Perspectiva</w:t>
      </w:r>
      <w:r>
        <w:rPr>
          <w:color w:val="000000"/>
        </w:rPr>
        <w:t>, São Paulo, v. 19, n. 4, p. 121-133, 2005.</w:t>
      </w:r>
    </w:p>
    <w:p w14:paraId="2118A0C1" w14:textId="069113F8" w:rsidR="0005713B" w:rsidRDefault="00834B28">
      <w:pPr>
        <w:pStyle w:val="NormalWeb"/>
        <w:spacing w:beforeAutospacing="0" w:after="240" w:afterAutospacing="0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NASCIMENTO, Carlos Eduardo Pereira do. </w:t>
      </w:r>
      <w:r>
        <w:rPr>
          <w:b/>
          <w:color w:val="000000"/>
        </w:rPr>
        <w:t>Cidades médias, interações espaciais e desenvolvimento regional</w:t>
      </w:r>
      <w:r>
        <w:rPr>
          <w:color w:val="000000"/>
        </w:rPr>
        <w:t xml:space="preserve">: um olhar para o estado do Ceará. 2021. 152 f. Dissertação (Mestrado em Economia) </w:t>
      </w:r>
      <w:r w:rsidR="00A37708">
        <w:rPr>
          <w:color w:val="000000"/>
        </w:rPr>
        <w:t>-</w:t>
      </w:r>
      <w:r>
        <w:rPr>
          <w:color w:val="000000"/>
        </w:rPr>
        <w:t xml:space="preserve"> Centro de Ciências Sociais Aplicadas, Universidade Federal do Rio Grande do Norte, Natal, 2021.</w:t>
      </w:r>
    </w:p>
    <w:p w14:paraId="48DBCAAE" w14:textId="520891B4" w:rsidR="0005713B" w:rsidRDefault="00834B28">
      <w:pPr>
        <w:pStyle w:val="NormalWeb"/>
        <w:spacing w:beforeAutospacing="0" w:after="240" w:afterAutospacing="0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OLIVEIRA, Aline Alves de. </w:t>
      </w:r>
      <w:r>
        <w:rPr>
          <w:b/>
          <w:color w:val="000000"/>
        </w:rPr>
        <w:t>Pendularidade e mercado de trabalho</w:t>
      </w:r>
      <w:r>
        <w:rPr>
          <w:color w:val="000000"/>
        </w:rPr>
        <w:t xml:space="preserve">: diferenciais salariais nas regiões metropolitanas cearenses. 2023. 234 f. Tese (Doutorado em Economia) </w:t>
      </w:r>
      <w:r w:rsidR="00A37708">
        <w:rPr>
          <w:color w:val="000000"/>
        </w:rPr>
        <w:t>-</w:t>
      </w:r>
      <w:r>
        <w:rPr>
          <w:color w:val="000000"/>
        </w:rPr>
        <w:t xml:space="preserve"> Faculdade de Economia, Universidade Federal Fluminense, Niterói, 2023.</w:t>
      </w:r>
    </w:p>
    <w:p w14:paraId="32FB4263" w14:textId="77777777" w:rsidR="0005713B" w:rsidRDefault="00834B28">
      <w:pPr>
        <w:pStyle w:val="NormalWeb"/>
        <w:spacing w:beforeAutospacing="0" w:after="240" w:afterAutospacing="0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OLIVEIRA, Aline Alves de; MACHADO, Danielle </w:t>
      </w:r>
      <w:proofErr w:type="spellStart"/>
      <w:r>
        <w:rPr>
          <w:color w:val="000000"/>
        </w:rPr>
        <w:t>Carusi</w:t>
      </w:r>
      <w:proofErr w:type="spellEnd"/>
      <w:r>
        <w:rPr>
          <w:color w:val="000000"/>
        </w:rPr>
        <w:t xml:space="preserve">; QUEIROZ, Silvana Nunes de. Mobilidade pendular nas regiões metropolitanas cearenses nos anos 2000 e 2010: perfil do trabalhador pendular. </w:t>
      </w:r>
      <w:r>
        <w:rPr>
          <w:b/>
          <w:color w:val="000000"/>
        </w:rPr>
        <w:t>Revista de Economia Regional, Urbana e do Trabalho</w:t>
      </w:r>
      <w:r>
        <w:rPr>
          <w:color w:val="000000"/>
        </w:rPr>
        <w:t>, [</w:t>
      </w:r>
      <w:r>
        <w:rPr>
          <w:i/>
          <w:color w:val="000000"/>
        </w:rPr>
        <w:t>S. l.</w:t>
      </w:r>
      <w:r>
        <w:rPr>
          <w:color w:val="000000"/>
        </w:rPr>
        <w:t>], v. 14, n. 1, p. 6-35, 2025. DOI: 10.21680/2316-5235.2025v14n1ID38019.</w:t>
      </w:r>
    </w:p>
    <w:p w14:paraId="6C2EAD40" w14:textId="77777777" w:rsidR="0005713B" w:rsidRDefault="00834B28">
      <w:pPr>
        <w:pStyle w:val="NormalWeb"/>
        <w:spacing w:beforeAutospacing="0" w:after="240" w:afterAutospacing="0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OLIVEIRA, Elzira Lúcia de; GIVISIEZ, Gustavo Henrique Naves. Trabalho e movimento pendular nas cidades médias brasileiras. </w:t>
      </w:r>
      <w:r>
        <w:rPr>
          <w:i/>
          <w:color w:val="000000"/>
        </w:rPr>
        <w:t>In</w:t>
      </w:r>
      <w:r>
        <w:rPr>
          <w:color w:val="000000"/>
        </w:rPr>
        <w:t xml:space="preserve">: CONGRESO DE LA ASOCIACIÓN LATINOAMERICANA DE POBLACIÓN, 8., 2018, Puebla. </w:t>
      </w:r>
      <w:r>
        <w:rPr>
          <w:b/>
          <w:color w:val="000000"/>
        </w:rPr>
        <w:t>Anais</w:t>
      </w:r>
      <w:r>
        <w:rPr>
          <w:color w:val="000000"/>
        </w:rPr>
        <w:t xml:space="preserve"> [...]. [</w:t>
      </w:r>
      <w:r>
        <w:rPr>
          <w:i/>
          <w:color w:val="000000"/>
        </w:rPr>
        <w:t>S. l.</w:t>
      </w:r>
      <w:r>
        <w:rPr>
          <w:color w:val="000000"/>
        </w:rPr>
        <w:t xml:space="preserve">: </w:t>
      </w:r>
      <w:r>
        <w:rPr>
          <w:i/>
          <w:color w:val="000000"/>
        </w:rPr>
        <w:t>s. n.</w:t>
      </w:r>
      <w:r>
        <w:rPr>
          <w:color w:val="000000"/>
        </w:rPr>
        <w:t>], 2018.</w:t>
      </w:r>
    </w:p>
    <w:p w14:paraId="55B94F8F" w14:textId="77777777" w:rsidR="0005713B" w:rsidRDefault="00834B28">
      <w:pPr>
        <w:pStyle w:val="NormalWeb"/>
        <w:spacing w:beforeAutospacing="0" w:after="240" w:afterAutospacing="0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SILVA, João Gomes da; QUEIROZ, Silvana Nunes de; SIDRIM, Raíssa Marques Sampaio. Movimento pendular na Região Metropolitana do Cariri (RMC). </w:t>
      </w:r>
      <w:r>
        <w:rPr>
          <w:i/>
          <w:color w:val="000000"/>
        </w:rPr>
        <w:t>In</w:t>
      </w:r>
      <w:r>
        <w:rPr>
          <w:color w:val="000000"/>
        </w:rPr>
        <w:t xml:space="preserve">: ENCONTRO NACIONAL SOBRE MIGRAÇÃO, 10., 2017, Natal. </w:t>
      </w:r>
      <w:r>
        <w:rPr>
          <w:b/>
          <w:color w:val="000000"/>
        </w:rPr>
        <w:t>Anais</w:t>
      </w:r>
      <w:r>
        <w:rPr>
          <w:color w:val="000000"/>
        </w:rPr>
        <w:t xml:space="preserve"> [...]. Belo Horizonte: ABEP, 2017.</w:t>
      </w:r>
    </w:p>
    <w:p w14:paraId="412DFC96" w14:textId="77777777" w:rsidR="0005713B" w:rsidRDefault="00834B28">
      <w:pPr>
        <w:pStyle w:val="NormalWeb"/>
        <w:spacing w:beforeAutospacing="0" w:after="240" w:afterAutospacing="0"/>
        <w:rPr>
          <w:rStyle w:val="fontstyle21"/>
          <w:rFonts w:ascii="Times New Roman" w:hAnsi="Times New Roman"/>
          <w:sz w:val="24"/>
          <w:szCs w:val="24"/>
        </w:rPr>
      </w:pPr>
      <w:r>
        <w:rPr>
          <w:color w:val="000000"/>
        </w:rPr>
        <w:t xml:space="preserve">SILVA, Wellington Rodrigues da; QUEIROZ, Silvana Nunes de. Dinâmicas urbanas na configuração das cidades cearenses: análise com base no REGIC 2018. </w:t>
      </w:r>
      <w:r>
        <w:rPr>
          <w:b/>
          <w:color w:val="000000"/>
        </w:rPr>
        <w:t>Revista Brasileira de Planejamento e Desenvolvimento</w:t>
      </w:r>
      <w:r>
        <w:rPr>
          <w:color w:val="000000"/>
        </w:rPr>
        <w:t>, Curitiba, v. 12, n. 3, p. 883-910, set./dez. 2023. DOI: 10.3895/rbpd.v12n3.16829.</w:t>
      </w:r>
    </w:p>
    <w:sectPr w:rsidR="0005713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67477" w14:textId="77777777" w:rsidR="00E529A6" w:rsidRDefault="00E529A6">
      <w:pPr>
        <w:spacing w:line="240" w:lineRule="auto"/>
      </w:pPr>
      <w:r>
        <w:separator/>
      </w:r>
    </w:p>
  </w:endnote>
  <w:endnote w:type="continuationSeparator" w:id="0">
    <w:p w14:paraId="2DB140F0" w14:textId="77777777" w:rsidR="00E529A6" w:rsidRDefault="00E529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hit Devanagari">
    <w:altName w:val="Cambria"/>
    <w:charset w:val="00"/>
    <w:family w:val="roman"/>
    <w:pitch w:val="default"/>
  </w:font>
  <w:font w:name="Liberation Sans">
    <w:altName w:val="Segoe Print"/>
    <w:charset w:val="01"/>
    <w:family w:val="swiss"/>
    <w:pitch w:val="default"/>
    <w:sig w:usb0="00000000" w:usb1="00000000" w:usb2="00000021" w:usb3="00000000" w:csb0="600001BF" w:csb1="DFF70000"/>
  </w:font>
  <w:font w:name="AR PL SungtiL GB">
    <w:altName w:val="Segoe Print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D17C9" w14:textId="77777777" w:rsidR="0005713B" w:rsidRDefault="00834B28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  <w:p w14:paraId="23C66B8A" w14:textId="77777777" w:rsidR="0005713B" w:rsidRDefault="0005713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FBE2F" w14:textId="77777777" w:rsidR="0005713B" w:rsidRDefault="00834B28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  <w:p w14:paraId="1D400969" w14:textId="77777777" w:rsidR="0005713B" w:rsidRDefault="000571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35CF4" w14:textId="77777777" w:rsidR="00E529A6" w:rsidRDefault="00E529A6">
      <w:pPr>
        <w:spacing w:after="0"/>
      </w:pPr>
      <w:r>
        <w:separator/>
      </w:r>
    </w:p>
  </w:footnote>
  <w:footnote w:type="continuationSeparator" w:id="0">
    <w:p w14:paraId="018DEFB5" w14:textId="77777777" w:rsidR="00E529A6" w:rsidRDefault="00E529A6">
      <w:pPr>
        <w:spacing w:after="0"/>
      </w:pPr>
      <w:r>
        <w:continuationSeparator/>
      </w:r>
    </w:p>
  </w:footnote>
  <w:footnote w:id="1">
    <w:p w14:paraId="11ACA690" w14:textId="77777777" w:rsidR="0005713B" w:rsidRDefault="00834B28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Universidade Regional do Cariri,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guadalupe.barbosa@urca.br</w:t>
      </w:r>
    </w:p>
  </w:footnote>
  <w:footnote w:id="2">
    <w:p w14:paraId="277E97F7" w14:textId="77777777" w:rsidR="0005713B" w:rsidRDefault="00834B28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Universidade Regional do Cariri,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aline.alves@urca.br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E3A44" w14:textId="77777777" w:rsidR="00C21ACC" w:rsidRDefault="00C21AC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4860F" w14:textId="77777777" w:rsidR="0005713B" w:rsidRDefault="00834B28">
    <w:pPr>
      <w:pStyle w:val="Cabealho"/>
      <w:jc w:val="right"/>
    </w:pPr>
    <w:r>
      <w:rPr>
        <w:rFonts w:ascii="Arial" w:hAnsi="Arial"/>
        <w:b/>
        <w:noProof/>
        <w:sz w:val="24"/>
        <w:lang w:eastAsia="pt-BR"/>
      </w:rPr>
      <w:drawing>
        <wp:anchor distT="0" distB="0" distL="0" distR="0" simplePos="0" relativeHeight="251659264" behindDoc="0" locked="0" layoutInCell="1" allowOverlap="1" wp14:anchorId="2D2524B3" wp14:editId="04FDA4EC">
          <wp:simplePos x="0" y="0"/>
          <wp:positionH relativeFrom="page">
            <wp:posOffset>1346835</wp:posOffset>
          </wp:positionH>
          <wp:positionV relativeFrom="paragraph">
            <wp:posOffset>-111760</wp:posOffset>
          </wp:positionV>
          <wp:extent cx="4852670" cy="1658620"/>
          <wp:effectExtent l="0" t="0" r="5080" b="1778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52670" cy="165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B17BEF8" w14:textId="77777777" w:rsidR="0005713B" w:rsidRDefault="0005713B">
    <w:pPr>
      <w:pStyle w:val="Cabealho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429BC"/>
    <w:multiLevelType w:val="multilevel"/>
    <w:tmpl w:val="372429B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94905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BD"/>
    <w:rsid w:val="0005713B"/>
    <w:rsid w:val="000E69A2"/>
    <w:rsid w:val="00181209"/>
    <w:rsid w:val="00186D06"/>
    <w:rsid w:val="001A7E95"/>
    <w:rsid w:val="00200F9B"/>
    <w:rsid w:val="00202618"/>
    <w:rsid w:val="00307457"/>
    <w:rsid w:val="003708D3"/>
    <w:rsid w:val="0043164D"/>
    <w:rsid w:val="004F7D4D"/>
    <w:rsid w:val="00620C5B"/>
    <w:rsid w:val="00716DF3"/>
    <w:rsid w:val="0079147E"/>
    <w:rsid w:val="0082344E"/>
    <w:rsid w:val="00834B28"/>
    <w:rsid w:val="008F0729"/>
    <w:rsid w:val="009C5FF5"/>
    <w:rsid w:val="009F76BD"/>
    <w:rsid w:val="00A37708"/>
    <w:rsid w:val="00A66981"/>
    <w:rsid w:val="00BA29E4"/>
    <w:rsid w:val="00C05C68"/>
    <w:rsid w:val="00C21ACC"/>
    <w:rsid w:val="00CF0568"/>
    <w:rsid w:val="00D033CE"/>
    <w:rsid w:val="00E025B3"/>
    <w:rsid w:val="00E529A6"/>
    <w:rsid w:val="00E91B4C"/>
    <w:rsid w:val="00EA4BA9"/>
    <w:rsid w:val="00EC08CD"/>
    <w:rsid w:val="00FB6CC8"/>
    <w:rsid w:val="04330D71"/>
    <w:rsid w:val="04993D3D"/>
    <w:rsid w:val="0B105FDE"/>
    <w:rsid w:val="155D0768"/>
    <w:rsid w:val="25DB1032"/>
    <w:rsid w:val="2FFE0914"/>
    <w:rsid w:val="3309244E"/>
    <w:rsid w:val="51A51BC9"/>
    <w:rsid w:val="629A5DC2"/>
    <w:rsid w:val="70020AE3"/>
    <w:rsid w:val="7BA6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F0E6D"/>
  <w15:docId w15:val="{558D08CF-4C2E-4B03-BB84-85757CDF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Theme="minorHAnsi" w:eastAsiaTheme="minorHAnsi" w:hAnsiTheme="minorHAnsi"/>
      <w:sz w:val="22"/>
      <w:szCs w:val="22"/>
      <w:lang w:eastAsia="zh-C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Lohit Devanagari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NormalWeb">
    <w:name w:val="Normal (Web)"/>
    <w:basedOn w:val="Normal"/>
    <w:unhideWhenUsed/>
    <w:qFormat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43BB9-2E8A-4FF3-89DF-50BADE0DE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2393</Words>
  <Characters>12928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Guadalupe Barbosa</cp:lastModifiedBy>
  <cp:revision>9</cp:revision>
  <dcterms:created xsi:type="dcterms:W3CDTF">2022-11-23T11:50:00Z</dcterms:created>
  <dcterms:modified xsi:type="dcterms:W3CDTF">2026-10-24T16:00:00Z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1046-12.1.0.28032</vt:lpwstr>
  </property>
  <property fmtid="{D5CDD505-2E9C-101B-9397-08002B2CF9AE}" pid="9" name="ICV">
    <vt:lpwstr>A30526B2E69540F5B4E2DE16C52D09A4_13</vt:lpwstr>
  </property>
  <property fmtid="{D5CDD505-2E9C-101B-9397-08002B2CF9AE}" pid="10" name="KSOTemplateDocerSaveRecord">
    <vt:lpwstr>eyJoZGlkIjoiOWU1M2ViZTg0OThkZGNmZGYwNWMyNTAzYTc3Y2E3MTQiLCJ1c2VySWQiOiIxMjU0NjYwMDMzMDU5In0=</vt:lpwstr>
  </property>
</Properties>
</file>