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6899"/>
        </w:tabs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AS CONTRIBUIÇÕES DA PSICANÁLISE FRENTE A LUTA ANTIMANICOMIAL: REVISÃO NARRATIVA </w:t>
      </w:r>
    </w:p>
    <w:p w:rsidR="00000000" w:rsidDel="00000000" w:rsidP="00000000" w:rsidRDefault="00000000" w:rsidRPr="00000000" w14:paraId="0000000A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Railton Teixeira de Sousa Santos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superscript"/>
        </w:rPr>
        <w:footnoteReference w:customMarkFollows="0" w:id="0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, Yasmin Vieira de Araújo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superscript"/>
        </w:rPr>
        <w:footnoteReference w:customMarkFollows="0" w:id="1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, Edmo Oliveira Bezerra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superscript"/>
        </w:rPr>
        <w:footnoteReference w:customMarkFollows="0" w:id="2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, João Paulo Xavier Silva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superscript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, Luan Layzon Souza Silva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superscript"/>
          <w:rtl w:val="0"/>
        </w:rPr>
        <w:t xml:space="preserve">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Resumo: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 consolidação da Reforma Psiquiátrica Brasileira (RPB), formalizada pela Lei nº 10.216/2001, busca substituir o modelo manicomial pela Rede de Atenção Psicossocial (RAPS) e pelo cuidado em liberdade. Contudo, a conjuntura política recente apresenta retrocessos impulsionados pelo financiamento de instituições de caráter asilar e comunidades terapêuticas, ameaçando as diretrizes antimanicomiais e a desinstitucionalização. Nesse cenário, se justifica a necessidade de investigar a práxis nos serviços substitutivos para garantir a autonomia e os direitos dos sujeitos. O objetivo do trabalho é analisar os desafios da Reforma Psiquiátrica e evidenciar as contribuições da psicanálise na sustentação da atenção psicossocial e no combate à lógica manicomial. Trata-se de um estudo de revisão narrativa da literatura. A busca dos artigos foi realizada em bases de dados como LILACS, BDenf e SciELO, utilizando descritores em saúde como "Psicanálise", "Saúde Mental", "Reforma Psiquiátrica" e "Acompanhamento Terapêutico". A fundamentação teórica baseia-se nos preceitos da Psiquiatria Democrática de Franco Basaglia e na teoria psicanalítica freudo-lacaniana. Empregam-se conceitos de diagnóstico estrutural, escuta do desejo e "prática feita por muitos", opondo-se ao reducionismo biomédico do DSM e analisando dados empíricos de serviços da RAPS e de intervenções no SUS. Os achados apontam convergência entre os autores ao reconhecerem que a psicanálise desempenha um papel fundamental no combate à lógica e às práticas manicomiais. Beteille, Bastos e Alberti (2024) e Targino e Freitas (2024) demonstram que a escuta psicanalítica e o Acompanhamento Terapêutico (AT) reposicionam o psicótico como sujeito de desejo, desconstruindo o isolamento asilar e viabilizando o retorno ao convívio social. Em consonância, Santos, Fonseca e Kyrillos Neto (2020) destacam que o diagnóstico psicanalítico opera como crítica ideológica à fixidez rotuladora do DSM, evitando o assujeitamento do indivíduo. Costa e Caminha (2023) reforçam que, mesmo diante do sucateamento dos CAPS e dos retrocessos políticos, a aposta na subjetividade e no cuidado em liberdade é essencial para resistir ao empuxo manicomial e garantir os direitos humanos na RAPS. Os desafios contemporâneos da Reforma Psiquiátrica concentram-se nos baixos repasses financeiros e, consequentemente, no sucateamento da atenção psicossocial, que resiste apesar de tais barreiras. A escuta ativa de forma holística da fala e do desejo do sujeito combate a lógica e a segregação manicomial, pois não se enxerga apenas a condição diagnosticada, mas sim todo o aspecto psíquico do indivíduo em correlação com suas vivências e sensações. A pauta antimanicomial afirma-se, assim, como uma prática viva e fundamental na saúde mental contemporânea.</w:t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Palavras-chave: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Psicanálise. Saúde mental. Reforma Psiquiátrica.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Agradecimentos: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Ao Grupo de Estudos, Pesquisa e Extensão em Subjetividades no Campo da Saúde Coletiva (GPSUBs/URCA)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701" w:right="1701" w:header="708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Liberation Sans"/>
  <w:font w:name="Georgia"/>
  <w:font w:name="Times New Roman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jc w:val="center"/>
      <w:rPr>
        <w:color w:val="000000"/>
        <w:sz w:val="20"/>
        <w:szCs w:val="20"/>
      </w:rPr>
    </w:pPr>
    <w:r w:rsidDel="00000000" w:rsidR="00000000" w:rsidRPr="00000000">
      <w:rPr>
        <w:color w:val="000000"/>
        <w:sz w:val="20"/>
        <w:szCs w:val="20"/>
        <w:rtl w:val="0"/>
      </w:rPr>
      <w:t xml:space="preserve">ISSN 1983-8174</w:t>
    </w:r>
  </w:p>
  <w:p w:rsidR="00000000" w:rsidDel="00000000" w:rsidP="00000000" w:rsidRDefault="00000000" w:rsidRPr="00000000" w14:paraId="0000001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rial" w:cs="Arial" w:eastAsia="Arial" w:hAnsi="Arial"/>
          <w:color w:val="000000"/>
          <w:vertAlign w:val="superscript"/>
          <w:rtl w:val="0"/>
        </w:rPr>
        <w:tab/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Universidade Regional do Cariri, 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mail: </w:t>
      </w:r>
      <w:hyperlink r:id="rId1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railton.teixeira@urca.br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tl w:val="0"/>
        </w:rPr>
      </w:r>
    </w:p>
  </w:footnote>
  <w:footnote w:id="1"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vertAlign w:val="superscript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Universidade Federal do Cariri,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e-mail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hyperlink r:id="rId2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yasmin.vieiraa@urca.br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tl w:val="0"/>
        </w:rPr>
      </w:r>
    </w:p>
  </w:footnote>
  <w:footnote w:id="2"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</w:tabs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vertAlign w:val="superscript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Faculdade São Francisco do Ceará, e-mail: </w:t>
      </w:r>
      <w:hyperlink r:id="rId3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Edmobezerra10@gmail.com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</w:tabs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superscript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Universidade Regional do Cariri, 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mail: </w:t>
      </w:r>
      <w:hyperlink r:id="rId4">
        <w:r w:rsidDel="00000000" w:rsidR="00000000" w:rsidRPr="00000000">
          <w:rPr>
            <w:rFonts w:ascii="Times New Roman" w:cs="Times New Roman" w:eastAsia="Times New Roman" w:hAnsi="Times New Roman"/>
            <w:color w:val="0000ff"/>
            <w:u w:val="single"/>
            <w:rtl w:val="0"/>
          </w:rPr>
          <w:t xml:space="preserve">joao.silva@urca.br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vertAlign w:val="superscript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Faculdade São Francisco do Ceará, e-mail: </w:t>
      </w:r>
      <w:hyperlink r:id="rId5">
        <w:r w:rsidDel="00000000" w:rsidR="00000000" w:rsidRPr="00000000">
          <w:rPr>
            <w:rFonts w:ascii="Times New Roman" w:cs="Times New Roman" w:eastAsia="Times New Roman" w:hAnsi="Times New Roman"/>
            <w:color w:val="0000ff"/>
            <w:u w:val="single"/>
            <w:rtl w:val="0"/>
          </w:rPr>
          <w:t xml:space="preserve">luanlayzonpsi@gmail.com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</w:t>
      </w:r>
      <w:r w:rsidDel="00000000" w:rsidR="00000000" w:rsidRPr="00000000"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jc w:val="right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266700</wp:posOffset>
          </wp:positionH>
          <wp:positionV relativeFrom="paragraph">
            <wp:posOffset>-111756</wp:posOffset>
          </wp:positionV>
          <wp:extent cx="4852670" cy="165862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852670" cy="165862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jc w:val="center"/>
      <w:rPr>
        <w:i w:val="1"/>
        <w:iCs w:val="1"/>
        <w:color w:val="000000"/>
        <w:sz w:val="14"/>
        <w:szCs w:val="1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spacing w:after="120" w:before="240" w:lineRule="auto"/>
    </w:pPr>
    <w:rPr>
      <w:rFonts w:ascii="Liberation Sans" w:cs="Liberation Sans" w:eastAsia="Liberation Sans" w:hAnsi="Liberation Sans"/>
      <w:sz w:val="28"/>
      <w:szCs w:val="2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notes.xml.rels><?xml version="1.0" encoding="UTF-8" standalone="yes"?><Relationships xmlns="http://schemas.openxmlformats.org/package/2006/relationships"><Relationship Id="rId1" Type="http://schemas.openxmlformats.org/officeDocument/2006/relationships/hyperlink" Target="mailto:railton.teixeira@urca.br" TargetMode="External"/><Relationship Id="rId2" Type="http://schemas.openxmlformats.org/officeDocument/2006/relationships/hyperlink" Target="mailto:yasmin.vieiraa@urca.br" TargetMode="External"/><Relationship Id="rId3" Type="http://schemas.openxmlformats.org/officeDocument/2006/relationships/hyperlink" Target="mailto:Edmobezerra10@gmail.com" TargetMode="External"/><Relationship Id="rId4" Type="http://schemas.openxmlformats.org/officeDocument/2006/relationships/hyperlink" Target="mailto:joao.silva@urca.br" TargetMode="External"/><Relationship Id="rId5" Type="http://schemas.openxmlformats.org/officeDocument/2006/relationships/hyperlink" Target="mailto:luanlayzonpsi@gmail.com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