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4AB5A" w14:textId="77777777" w:rsidR="00CF4272" w:rsidRDefault="00CF4272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5ADE6174" w14:textId="77777777" w:rsidR="00CF4272" w:rsidRDefault="00CF4272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204D7D1A" w14:textId="77777777" w:rsidR="00CF4272" w:rsidRDefault="00CF4272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57C51FBE" w14:textId="77777777" w:rsidR="00CF4272" w:rsidRDefault="00CF4272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405F98EF" w14:textId="77777777" w:rsidR="00CF4272" w:rsidRDefault="00CF4272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2E7AEBA8" w14:textId="77777777" w:rsidR="00CF4272" w:rsidRDefault="00000000">
      <w:pPr>
        <w:tabs>
          <w:tab w:val="left" w:pos="6899"/>
        </w:tabs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ab/>
      </w:r>
    </w:p>
    <w:p w14:paraId="3CAF55E9" w14:textId="77777777" w:rsidR="00CF4272" w:rsidRDefault="00CF4272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158C1141" w14:textId="77777777" w:rsidR="00CF4272" w:rsidRDefault="00CF4272" w:rsidP="001803D9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397EB5C4" w14:textId="2E163A9B" w:rsidR="00CF4272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ENTRE A AUTONOMIA E A VIOLÊNCIA: UMA ANÁLISE DA RELAÇÃO ENTRE OCUPAÇÃO FEMININA, FEMINICÍDIO E DEMAIS HOMICÍDIOS DE MULHERES NO BRASIL</w:t>
      </w:r>
      <w:r w:rsidR="001803D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2022</w:t>
      </w:r>
      <w:r w:rsidR="001803D9">
        <w:rPr>
          <w:rFonts w:ascii="Times New Roman" w:eastAsia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2025</w:t>
      </w:r>
    </w:p>
    <w:p w14:paraId="4D100129" w14:textId="77777777" w:rsidR="00CF4272" w:rsidRDefault="00CF4272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7A095D61" w14:textId="0C69B544" w:rsidR="00CF4272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Salyne Costa Oliveira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footnoteReference w:id="1"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, Expedito Weverton Alves Pereira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footnoteReference w:id="2"/>
      </w:r>
      <w:r w:rsidR="001803D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="001803D9">
        <w:rPr>
          <w:rFonts w:ascii="Times New Roman" w:hAnsi="Times New Roman"/>
          <w:b/>
          <w:sz w:val="24"/>
          <w:szCs w:val="24"/>
        </w:rPr>
        <w:t>Kauan Gefson da Silva Araújo</w:t>
      </w:r>
      <w:r w:rsidR="001803D9">
        <w:rPr>
          <w:rStyle w:val="ncoradanotaderodap"/>
          <w:rFonts w:ascii="Times New Roman" w:hAnsi="Times New Roman"/>
          <w:b/>
          <w:sz w:val="24"/>
          <w:szCs w:val="24"/>
        </w:rPr>
        <w:footnoteReference w:id="3"/>
      </w:r>
      <w:r w:rsidR="001803D9">
        <w:rPr>
          <w:rFonts w:ascii="Times New Roman" w:hAnsi="Times New Roman"/>
          <w:b/>
          <w:sz w:val="24"/>
          <w:szCs w:val="24"/>
        </w:rPr>
        <w:t>, Tatiane Tenório da Gama Leite</w:t>
      </w:r>
      <w:r w:rsidR="001803D9">
        <w:rPr>
          <w:rStyle w:val="ncoradanotaderodap"/>
          <w:rFonts w:ascii="Times New Roman" w:hAnsi="Times New Roman"/>
          <w:b/>
          <w:sz w:val="24"/>
          <w:szCs w:val="24"/>
        </w:rPr>
        <w:footnoteReference w:id="4"/>
      </w:r>
    </w:p>
    <w:p w14:paraId="0D33594E" w14:textId="77777777" w:rsidR="00CF4272" w:rsidRDefault="00CF42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DBA4101" w14:textId="01C9CBEA" w:rsidR="00CF4272" w:rsidRPr="001803D9" w:rsidRDefault="00000000" w:rsidP="001803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Resumo: </w:t>
      </w:r>
      <w:r w:rsidR="001803D9" w:rsidRPr="001803D9">
        <w:rPr>
          <w:rFonts w:ascii="Times New Roman" w:eastAsia="Times New Roman" w:hAnsi="Times New Roman" w:cs="Times New Roman"/>
          <w:sz w:val="24"/>
          <w:szCs w:val="24"/>
        </w:rPr>
        <w:t>O feminicídio, assassinato de mulheres por razões da condição de sexo feminino, segue em alta no Brasil, passando de 1.446 registros em 2022 para 1.566 em 2025. A literatura econômica aponta explicações opostas para a relação entre condições socioeconômicas e violência contra a mulher. Por um lado, a autonomia econômica permitiria às mulheres romper relações violentas. Por outro, a maior independência feminina poderia provocar reações violentas. Estudos anteriores, porém, não distinguiam o feminicídio dos demais homicídios de mulheres. Este trabalho tem como objetivo analisar se as condições econômicas das Unidades da Federação, em especial o nível de ocupação feminina, se relacionam da mesma forma com o feminicídio e com os demais homicídios de mulheres, entre 2022 e 2025. Foram utilizados dados do Sistema Nacional de Informações de Segurança Pública (Sinesp-VDE) e da Pesquisa Nacional por Amostra de Domicílios Contínua, totalizando 108 observações. As taxas de violência por 100 mil mulheres foram estimadas por Mínimos Quadrados Ordinários, com variáveis em logaritmo e controles para desocupação masculina, desigualdade de renda, região e ano. Os resultados indicam que a ocupação feminina apresenta relação negativa com as duas formas de violência, significativa a 5% para o feminicídio e a 10% para os demais homicídios de mulheres. Um aumento de 1% na ocupação feminina está associado a uma taxa de feminicídio 0,96% menor. A desocupação masculina apresentou sinal negativo, explicado por diferenças estruturais entre os estados, e o índice de Gini não foi significativo. O Centro-Oeste destacou-se por taxas de feminicídio cerca de 43% superiores às do Sudeste, diferença que não aparece nos demais homicídios. Além disso, os demais homicídios de mulheres acompanham a violência letal geral dos estados, enquanto o feminicídio não apresenta essa relação. O baixo poder explicativo dos modelos sugere que a violência de gênero depende também de fatores culturais e institucionais, e os resultados indicam associação, e não causalidade.</w:t>
      </w:r>
    </w:p>
    <w:p w14:paraId="2D5C9423" w14:textId="468604BB" w:rsidR="00CF4272" w:rsidRPr="001803D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CE181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Palavras-chave: </w:t>
      </w:r>
      <w:r w:rsidR="001803D9" w:rsidRPr="001803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Feminicídio. Ocupação feminina. Violência da mulher. </w:t>
      </w:r>
    </w:p>
    <w:p w14:paraId="53ABD536" w14:textId="77777777" w:rsidR="00CF4272" w:rsidRDefault="00CF42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21F51F0" w14:textId="77777777" w:rsidR="00CF427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  <w:rPr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Introdução</w:t>
      </w:r>
    </w:p>
    <w:p w14:paraId="06970516" w14:textId="77777777" w:rsidR="00CF4272" w:rsidRDefault="00CF427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A5C202D" w14:textId="77777777" w:rsidR="001803D9" w:rsidRDefault="00000000" w:rsidP="001803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 feminicídio, assassinato de mulheres por razões da condição de sexo feminino, passou a ser tipificado como crime no Brasil com a Lei nº 13.104/2015 (BRASIL, 2015). </w:t>
      </w:r>
      <w:r w:rsidR="001803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EFF84A9" w14:textId="77777777" w:rsidR="001803D9" w:rsidRDefault="001803D9" w:rsidP="001803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91F5332" w14:textId="77777777" w:rsidR="001803D9" w:rsidRDefault="001803D9" w:rsidP="001803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AED773A" w14:textId="77777777" w:rsidR="001803D9" w:rsidRDefault="001803D9" w:rsidP="001803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522327E" w14:textId="77777777" w:rsidR="001803D9" w:rsidRDefault="001803D9" w:rsidP="001803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F30B537" w14:textId="77777777" w:rsidR="001803D9" w:rsidRDefault="001803D9" w:rsidP="001803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4495D90" w14:textId="77777777" w:rsidR="001803D9" w:rsidRDefault="001803D9" w:rsidP="001803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AAAC681" w14:textId="6D9758CB" w:rsidR="00CF4272" w:rsidRDefault="00000000" w:rsidP="001803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Desde então, os registros dessa violência seguem em alta. Segundo o Sistema Nacional de Informações de Segurança Pública (Sinesp-VDE), do Ministério da Justiça e Segurança Pública, os feminicídios passaram de 1.446 em 2022 para 1.566 em 2025 (BRASIL, 2025). Na maioria dos casos, o autor é parceiro ou ex-parceiro da vítima (FBSP, 2025), e o crime costuma ser o desfecho de um ciclo de agressões anteriores (MENEGHEL; PORTELLA, 2017).</w:t>
      </w:r>
    </w:p>
    <w:p w14:paraId="544A5525" w14:textId="42B1587D" w:rsidR="0099364F" w:rsidRDefault="00000000" w:rsidP="009936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Pela abordagem econômica do crime e pela teoria da desorganização social, piores condições econômicas favorecem o comportamento violento (CERQUEIRA; LOBÃO, 2004), e mulheres com emprego e renda própria têm mais condições de romper relações violentas. Nessa linha, Soares, Ferro e Teixeira (2022) encontram que, nos estados brasileiros entre 2001 e 2015, </w:t>
      </w:r>
      <w:r>
        <w:rPr>
          <w:rFonts w:ascii="Times New Roman" w:eastAsia="Times New Roman" w:hAnsi="Times New Roman" w:cs="Times New Roman"/>
          <w:sz w:val="24"/>
          <w:szCs w:val="24"/>
        </w:rPr>
        <w:t>os maiores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níveis de emprego e renda femininos estiveram associados a menos mortes de mulheres por agressão. Por outro lado, Meneghel e Hirakata (2011) observam uma relação inversa entre pobreza e feminicídio e argumentam  que a maior independência feminina pode confrontar papéis tradicionais de gênero e provocar reações violentas.</w:t>
      </w:r>
    </w:p>
    <w:p w14:paraId="2FEE8180" w14:textId="77777777" w:rsidR="00CF4272" w:rsidRDefault="00000000" w:rsidP="001803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Essa divergência é, porém, possui uma limitação dos dados. Os estudos anteriores usavam o total de mortes de mulheres por agressão como aproximação do feminicídio, sem distinguir a violência de gênero dos demais homicídios, como reconhecem os próprios autores. Assim, não se sabe se as condições econômicas se relacionam da mesma forma com os dois tipos de violência e o Sinesp-VDE, ao registrar o feminicídio separadamente, permite fazer essa distinção.</w:t>
      </w:r>
    </w:p>
    <w:p w14:paraId="157BB7DE" w14:textId="77777777" w:rsidR="001803D9" w:rsidRDefault="00000000" w:rsidP="001803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EE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Diante disso, este trabalho tem como objetivo analisar se as condições econômicas das Unidades da Federação, em especial o nível de ocupação feminina, se relacionam da mesma forma com o feminicídio e com os demais homicídios de mulheres, entre 2022 e 2025. Para tanto, utilizam-se dados do Sinesp-VDE e da Pesquisa Nacional por Amostra de Domicílios Contínua (PNAD Contínua), e estimam-se modelos de regressão por Mínimos Quadrados Ordinários com controles para desocupação masculina, desigualdade de renda, região e ano. </w:t>
      </w:r>
    </w:p>
    <w:p w14:paraId="6BEAE45D" w14:textId="46498ED9" w:rsidR="00CF4272" w:rsidRPr="001803D9" w:rsidRDefault="001803D9" w:rsidP="001803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03D9">
        <w:rPr>
          <w:rFonts w:ascii="Times New Roman" w:eastAsia="Times New Roman" w:hAnsi="Times New Roman" w:cs="Times New Roman"/>
          <w:sz w:val="24"/>
          <w:szCs w:val="24"/>
        </w:rPr>
        <w:t>Os resultados indicam que a ocupação feminina está associada a menores taxas das duas formas de violência, com relação mais forte para o feminicídio. Além disso, enquanto os demais homicídios de mulheres acompanham a violência geral dos estados, o feminicídio segue uma dinâmica própria, pouco explicada pelas condições econômicas.</w:t>
      </w:r>
    </w:p>
    <w:p w14:paraId="2D47ADF6" w14:textId="77777777" w:rsidR="00CF4272" w:rsidRPr="001803D9" w:rsidRDefault="00CF427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155173" w14:textId="3A2E3D57" w:rsidR="00CF4272" w:rsidRPr="001803D9" w:rsidRDefault="00000000" w:rsidP="001803D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  <w:rPr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Metodologia</w:t>
      </w:r>
    </w:p>
    <w:p w14:paraId="1777CB29" w14:textId="77777777" w:rsidR="000F7A45" w:rsidRDefault="000F7A45" w:rsidP="001803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A45">
        <w:rPr>
          <w:rFonts w:ascii="Times New Roman" w:eastAsia="Times New Roman" w:hAnsi="Times New Roman" w:cs="Times New Roman"/>
          <w:sz w:val="24"/>
          <w:szCs w:val="24"/>
        </w:rPr>
        <w:t>Embora o conceito de feminicídio tenha origem nas teorias feministas (CAPUTI; RUSSEL, 1992), a violência contra a mulher também é objeto de estudo da Economia, que busca identificar fatores socioeconômicos associados ao fenômeno e orientar políticas públicas para reduzi-lo. Uma justificativa para essa abordagem são os custos econômicos que essa violência impõe à sociedade, como gastos com saúde e abrigos, perda de renda das vítimas e efeitos psicológicos sobre as crianças que a presenciam (DAY; MCKENNA; BOWLUS, 2005).</w:t>
      </w:r>
    </w:p>
    <w:p w14:paraId="3BEE20BF" w14:textId="77777777" w:rsidR="000F7A45" w:rsidRDefault="00000000" w:rsidP="001803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03D9">
        <w:rPr>
          <w:rFonts w:ascii="Times New Roman" w:eastAsia="Times New Roman" w:hAnsi="Times New Roman" w:cs="Times New Roman"/>
          <w:sz w:val="24"/>
          <w:szCs w:val="24"/>
        </w:rPr>
        <w:t xml:space="preserve">Esses estudos, revelam que a discussão sobre a violência contra mulher é relativamente recente no país, de maneira que ainda existem poucos trabalhos que versam sobre o tema. A maior parte destes trata da violência física, de forma que os estudos que </w:t>
      </w:r>
      <w:r w:rsidR="000F7A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946DF2F" w14:textId="77777777" w:rsidR="000F7A45" w:rsidRDefault="000F7A45" w:rsidP="000F7A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DC7BE4" w14:textId="77777777" w:rsidR="000F7A45" w:rsidRDefault="000F7A45" w:rsidP="000F7A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9F313C" w14:textId="77777777" w:rsidR="000F7A45" w:rsidRDefault="000F7A45" w:rsidP="000F7A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D51F9F" w14:textId="77777777" w:rsidR="000F7A45" w:rsidRDefault="000F7A45" w:rsidP="000F7A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8658DF" w14:textId="77777777" w:rsidR="000F7A45" w:rsidRDefault="000F7A45" w:rsidP="000F7A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2E7552C" w14:textId="77777777" w:rsidR="000F7A45" w:rsidRDefault="000F7A45" w:rsidP="000F7A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79B070" w14:textId="77777777" w:rsidR="000F7A45" w:rsidRDefault="000F7A45" w:rsidP="000F7A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C92654" w14:textId="4FBB4603" w:rsidR="00CF4272" w:rsidRPr="001803D9" w:rsidRDefault="00000000" w:rsidP="000F7A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03D9">
        <w:rPr>
          <w:rFonts w:ascii="Times New Roman" w:eastAsia="Times New Roman" w:hAnsi="Times New Roman" w:cs="Times New Roman"/>
          <w:sz w:val="24"/>
          <w:szCs w:val="24"/>
        </w:rPr>
        <w:t>se dedicam especificamente ao feminicídio, forma mais extrema da violência contra mulher, são ainda mais limitados. Nesse sentido, Pasinato (2011) fez uma revisão literária conceitual do tema, enquanto Meneghel e Hirakata (2011) realizaram análise estatística que apontaram que populações menos favorecidas (menor nível de escolaridade e maiores taxas de natalidade) estariam mais expostas a esse tipo de crime (Meneghel e  Portella, 2017).</w:t>
      </w:r>
    </w:p>
    <w:p w14:paraId="73D03FC7" w14:textId="77777777" w:rsidR="00CF4272" w:rsidRPr="001803D9" w:rsidRDefault="00CF4272" w:rsidP="001803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72B9847" w14:textId="77777777" w:rsidR="00CF4272" w:rsidRPr="001803D9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803D9">
        <w:rPr>
          <w:rFonts w:ascii="Times New Roman" w:eastAsia="Times New Roman" w:hAnsi="Times New Roman" w:cs="Times New Roman"/>
          <w:b/>
          <w:bCs/>
          <w:sz w:val="24"/>
          <w:szCs w:val="24"/>
        </w:rPr>
        <w:t>Dados</w:t>
      </w:r>
    </w:p>
    <w:p w14:paraId="7CF6CE0D" w14:textId="77777777" w:rsidR="001803D9" w:rsidRDefault="00000000" w:rsidP="001803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unidade de análise deste estudo corresponde às 27 Unidades da Federação (UFs) brasileiras, pois esse nível geográfico permite relacionar os dados de crimes contra mulheres às informações sobre o mercado de trabalho feminino e masculino. O período analisado compreende os anos de 2022 a 2025, totalizando 108 observações, correspondentes às 27 UFs multiplicadas pelos quatro anos. </w:t>
      </w:r>
    </w:p>
    <w:p w14:paraId="753B91F7" w14:textId="222065D8" w:rsidR="00CF4272" w:rsidRDefault="00000000" w:rsidP="001803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 informações sobre feminicídios e homicídios dolosos foram obtidas no Sistema Nacional de Informações de Segurança Pública (Sinesp-VDE)</w:t>
      </w:r>
      <w:r w:rsidR="001803D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Os dados sobre ocupação feminina, desocupação masculina e população feminina foram coletados na PNAD Contínua, do Instituto Brasileiro de Geografia e Estatística (IBGE</w:t>
      </w:r>
      <w:r w:rsidR="001803D9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095BA912" w14:textId="4FEFDC0B" w:rsidR="00CF4272" w:rsidRDefault="00000000" w:rsidP="001803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Para o tratamento dos dados, as vítimas, que são mulheres, de feminicídio e homicídio doloso foram agregadas por Unidade da Federação e ano e divididas pela população feminina, resultando em taxas por 100 mil mulheres. A ocupação feminina foi calculada pela razão entre o número de mulheres ocupadas e a população feminina de 14 anos ou mais, multiplicada por 100. </w:t>
      </w:r>
    </w:p>
    <w:p w14:paraId="448C096D" w14:textId="77777777" w:rsidR="000F7A45" w:rsidRDefault="000F7A45" w:rsidP="001803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E83CBF" w14:textId="77777777" w:rsidR="00CF4272" w:rsidRDefault="00000000" w:rsidP="000F7A4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2.2 Estratégia Empírica</w:t>
      </w:r>
    </w:p>
    <w:p w14:paraId="326F56C3" w14:textId="77777777" w:rsidR="00CF4272" w:rsidRDefault="00000000" w:rsidP="000F7A4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Para analisar a relação entre a ocupação feminina e as taxas de violência contra mulheres nas Unidades da Federação brasileiras, estima-se um modelo de regressão com dados em painel, considerando as diferenças entre os estados e as mudanças ao longo do tempo. A estratégia empírica permite verificar se a participação feminina no mercado de trabalho está associada às taxas de feminicídio e de outros homicídios de mulheres.</w:t>
      </w:r>
    </w:p>
    <w:p w14:paraId="189FF541" w14:textId="7D72A03C" w:rsidR="000F7A45" w:rsidRDefault="00000000" w:rsidP="000F7A4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equação geral do modelo é apresentada a seguir:</w:t>
      </w:r>
    </w:p>
    <w:p w14:paraId="03BCDCC2" w14:textId="77777777" w:rsidR="000F7A45" w:rsidRDefault="000F7A45" w:rsidP="000F7A4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2"/>
        <w:tblW w:w="11235" w:type="dxa"/>
        <w:tblInd w:w="-1500" w:type="dxa"/>
        <w:tblLayout w:type="fixed"/>
        <w:tblLook w:val="0400" w:firstRow="0" w:lastRow="0" w:firstColumn="0" w:lastColumn="0" w:noHBand="0" w:noVBand="1"/>
      </w:tblPr>
      <w:tblGrid>
        <w:gridCol w:w="10000"/>
        <w:gridCol w:w="1235"/>
      </w:tblGrid>
      <w:tr w:rsidR="00CF4272" w14:paraId="554DE544" w14:textId="77777777" w:rsidTr="000F7A45">
        <w:trPr>
          <w:trHeight w:val="1081"/>
        </w:trPr>
        <w:tc>
          <w:tcPr>
            <w:tcW w:w="10000" w:type="dxa"/>
          </w:tcPr>
          <w:p w14:paraId="429D7BC1" w14:textId="77777777" w:rsidR="00275B4A" w:rsidRPr="00275B4A" w:rsidRDefault="00275B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box>
                  <m:boxPr>
                    <m:opEmu m:val="1"/>
                    <m:ctrlPr>
                      <w:rPr>
                        <w:rFonts w:ascii="Cambria Math" w:hAnsi="Cambria Math"/>
                      </w:rPr>
                    </m:ctrlPr>
                  </m:boxPr>
                  <m:e>
                    <m:r>
                      <w:rPr>
                        <w:rFonts w:ascii="Cambria Math" w:hAnsi="Cambria Math"/>
                      </w:rPr>
                      <m:t>ln</m:t>
                    </m:r>
                  </m:e>
                </m:box>
                <m:func>
                  <m:funcPr>
                    <m:ctrlPr>
                      <w:rPr>
                        <w:rFonts w:ascii="Cambria Math" w:eastAsia="Cambria Math" w:hAnsi="Cambria Math" w:cs="Cambria Math"/>
                        <w:color w:val="000000"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Cambria Math" w:hAnsi="Cambria Math" w:cs="Cambria Math"/>
                        <w:color w:val="000000"/>
                        <w:sz w:val="24"/>
                        <w:szCs w:val="24"/>
                      </w:rPr>
                      <m:t>ln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="Cambria Math" w:hAnsi="Cambria Math" w:cs="Cambria Math"/>
                            <w:color w:val="000000"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="Cambria Math" w:hAnsi="Cambria Math" w:cs="Cambria Math"/>
                            <w:color w:val="000000"/>
                            <w:sz w:val="24"/>
                            <w:szCs w:val="24"/>
                          </w:rPr>
                          <m:t>Fem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 w:cs="Cambria Math"/>
                                <w:color w:val="000000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 w:cs="Cambria Math"/>
                                <w:color w:val="000000"/>
                                <w:sz w:val="24"/>
                                <w:szCs w:val="24"/>
                              </w:rPr>
                              <m:t>i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 w:cs="Cambria Math"/>
                                <w:color w:val="000000"/>
                                <w:sz w:val="24"/>
                                <w:szCs w:val="24"/>
                              </w:rPr>
                              <m:t>it</m:t>
                            </m:r>
                          </m:sub>
                        </m:sSub>
                      </m:e>
                    </m:d>
                  </m:e>
                </m:func>
                <m:r>
                  <w:rPr>
                    <w:rFonts w:ascii="Cambria Math" w:eastAsia="Cambria Math" w:hAnsi="Cambria Math" w:cs="Cambria Math"/>
                    <w:color w:val="000000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eastAsia="Cambria Math" w:hAnsi="Cambria Math" w:cs="Cambria Math"/>
                        <w:color w:val="000000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  <w:color w:val="000000"/>
                        <w:sz w:val="24"/>
                        <w:szCs w:val="24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color w:val="000000"/>
                        <w:sz w:val="24"/>
                        <w:szCs w:val="24"/>
                      </w:rPr>
                      <m:t>0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color w:val="000000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eastAsia="Cambria Math" w:hAnsi="Cambria Math" w:cs="Cambria Math"/>
                        <w:color w:val="000000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  <w:color w:val="000000"/>
                        <w:sz w:val="24"/>
                        <w:szCs w:val="24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color w:val="000000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color w:val="000000"/>
                    <w:sz w:val="24"/>
                    <w:szCs w:val="24"/>
                  </w:rPr>
                  <m:t>ln</m:t>
                </m:r>
                <m:d>
                  <m:dPr>
                    <m:ctrlPr>
                      <w:rPr>
                        <w:rFonts w:ascii="Cambria Math" w:eastAsia="Cambria Math" w:hAnsi="Cambria Math" w:cs="Cambria Math"/>
                        <w:color w:val="000000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Cambria Math"/>
                        <w:color w:val="000000"/>
                        <w:sz w:val="24"/>
                        <w:szCs w:val="24"/>
                      </w:rPr>
                      <m:t>Ocup</m:t>
                    </m:r>
                    <m:sSub>
                      <m:sSubPr>
                        <m:ctrlPr>
                          <w:rPr>
                            <w:rFonts w:ascii="Cambria Math" w:eastAsia="Cambria Math" w:hAnsi="Cambria Math" w:cs="Cambria Math"/>
                            <w:color w:val="000000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  <w:color w:val="000000"/>
                            <w:sz w:val="24"/>
                            <w:szCs w:val="24"/>
                          </w:rPr>
                          <m:t>aFem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color w:val="000000"/>
                            <w:sz w:val="24"/>
                            <w:szCs w:val="24"/>
                          </w:rPr>
                          <m:t>it</m:t>
                        </m:r>
                      </m:sub>
                    </m:sSub>
                  </m:e>
                </m:d>
                <m:r>
                  <w:rPr>
                    <w:rFonts w:ascii="Cambria Math" w:eastAsia="Cambria Math" w:hAnsi="Cambria Math" w:cs="Cambria Math"/>
                    <w:color w:val="000000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eastAsia="Cambria Math" w:hAnsi="Cambria Math" w:cs="Cambria Math"/>
                        <w:color w:val="000000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  <w:color w:val="000000"/>
                        <w:sz w:val="24"/>
                        <w:szCs w:val="24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color w:val="000000"/>
                        <w:sz w:val="24"/>
                        <w:szCs w:val="24"/>
                      </w:rPr>
                      <m:t>2</m:t>
                    </m:r>
                  </m:sub>
                </m:sSub>
                <m:d>
                  <m:dPr>
                    <m:ctrlPr>
                      <w:rPr>
                        <w:rFonts w:ascii="Cambria Math" w:eastAsia="Cambria Math" w:hAnsi="Cambria Math" w:cs="Cambria Math"/>
                        <w:color w:val="000000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Cambria Math"/>
                        <w:color w:val="000000"/>
                        <w:sz w:val="24"/>
                        <w:szCs w:val="24"/>
                      </w:rPr>
                      <m:t>Descop_Ma</m:t>
                    </m:r>
                    <m:sSub>
                      <m:sSubPr>
                        <m:ctrlPr>
                          <w:rPr>
                            <w:rFonts w:ascii="Cambria Math" w:eastAsia="Cambria Math" w:hAnsi="Cambria Math" w:cs="Cambria Math"/>
                            <w:color w:val="000000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  <w:color w:val="000000"/>
                            <w:sz w:val="24"/>
                            <w:szCs w:val="24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color w:val="000000"/>
                            <w:sz w:val="24"/>
                            <w:szCs w:val="24"/>
                          </w:rPr>
                          <m:t>it</m:t>
                        </m:r>
                      </m:sub>
                    </m:sSub>
                  </m:e>
                </m:d>
                <m:r>
                  <w:rPr>
                    <w:rFonts w:ascii="Cambria Math" w:eastAsia="Cambria Math" w:hAnsi="Cambria Math" w:cs="Cambria Math"/>
                    <w:color w:val="000000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eastAsia="Cambria Math" w:hAnsi="Cambria Math" w:cs="Cambria Math"/>
                        <w:color w:val="000000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  <w:color w:val="000000"/>
                        <w:sz w:val="24"/>
                        <w:szCs w:val="24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color w:val="000000"/>
                        <w:sz w:val="24"/>
                        <w:szCs w:val="24"/>
                      </w:rPr>
                      <m:t>3</m:t>
                    </m:r>
                  </m:sub>
                </m:sSub>
                <m:e>
                  <m:r>
                    <w:rPr>
                      <w:rFonts w:ascii="Cambria Math" w:eastAsia="Cambria Math" w:hAnsi="Cambria Math" w:cs="Cambria Math"/>
                      <w:color w:val="000000"/>
                      <w:sz w:val="24"/>
                      <w:szCs w:val="24"/>
                    </w:rPr>
                    <m:t>Gin</m:t>
                  </m:r>
                  <m:sSub>
                    <m:sSubPr>
                      <m:ctrlPr>
                        <w:rPr>
                          <w:rFonts w:ascii="Cambria Math" w:eastAsia="Cambria Math" w:hAnsi="Cambria Math" w:cs="Cambria Math"/>
                          <w:color w:val="000000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Cambria Math"/>
                          <w:color w:val="000000"/>
                          <w:sz w:val="24"/>
                          <w:szCs w:val="24"/>
                        </w:rPr>
                        <m:t>i</m:t>
                      </m:r>
                    </m:e>
                    <m:sub>
                      <m:r>
                        <w:rPr>
                          <w:rFonts w:ascii="Cambria Math" w:eastAsia="Cambria Math" w:hAnsi="Cambria Math" w:cs="Cambria Math"/>
                          <w:color w:val="000000"/>
                          <w:sz w:val="24"/>
                          <w:szCs w:val="24"/>
                        </w:rPr>
                        <m:t>it</m:t>
                      </m:r>
                    </m:sub>
                  </m:sSub>
                  <m:ctrlPr>
                    <w:r w:rsidRPr="00275B4A"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  <w:szCs w:val="24"/>
                      </w:rPr>
                    </w:r>
                  </m:ctrlPr>
                </m:e>
              </m:oMath>
            </m:oMathPara>
          </w:p>
          <w:p w14:paraId="29F083D4" w14:textId="06FE1547" w:rsidR="00CF4272" w:rsidRDefault="00275B4A">
            <w:pPr>
              <w:jc w:val="center"/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Cambria Math"/>
                    <w:color w:val="000000"/>
                    <w:sz w:val="24"/>
                    <w:szCs w:val="24"/>
                  </w:rPr>
                  <m:t>+R</m:t>
                </m:r>
                <m:r>
                  <w:rPr>
                    <w:rFonts w:ascii="Cambria Math" w:eastAsia="Cambria Math" w:hAnsi="Cambria Math" w:cs="Cambria Math"/>
                    <w:color w:val="000000"/>
                    <w:sz w:val="24"/>
                    <w:szCs w:val="24"/>
                  </w:rPr>
                  <m:t>egia</m:t>
                </m:r>
                <m:sSub>
                  <m:sSubPr>
                    <m:ctrlPr>
                      <w:rPr>
                        <w:rFonts w:ascii="Cambria Math" w:eastAsia="Cambria Math" w:hAnsi="Cambria Math" w:cs="Cambria Math"/>
                        <w:color w:val="000000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  <w:color w:val="000000"/>
                        <w:sz w:val="24"/>
                        <w:szCs w:val="24"/>
                      </w:rPr>
                      <m:t>o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color w:val="000000"/>
                        <w:sz w:val="24"/>
                        <w:szCs w:val="24"/>
                      </w:rPr>
                      <m:t>it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color w:val="000000"/>
                    <w:sz w:val="24"/>
                    <w:szCs w:val="24"/>
                  </w:rPr>
                  <m:t>+An</m:t>
                </m:r>
                <m:sSub>
                  <m:sSubPr>
                    <m:ctrlPr>
                      <w:rPr>
                        <w:rFonts w:ascii="Cambria Math" w:eastAsia="Cambria Math" w:hAnsi="Cambria Math" w:cs="Cambria Math"/>
                        <w:color w:val="000000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  <w:color w:val="000000"/>
                        <w:sz w:val="24"/>
                        <w:szCs w:val="24"/>
                      </w:rPr>
                      <m:t>o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color w:val="000000"/>
                        <w:sz w:val="24"/>
                        <w:szCs w:val="24"/>
                      </w:rPr>
                      <m:t>t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color w:val="000000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eastAsia="Cambria Math" w:hAnsi="Cambria Math" w:cs="Cambria Math"/>
                        <w:color w:val="000000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  <w:color w:val="000000"/>
                        <w:sz w:val="24"/>
                        <w:szCs w:val="24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color w:val="000000"/>
                        <w:sz w:val="24"/>
                        <w:szCs w:val="24"/>
                      </w:rPr>
                      <m:t>it</m:t>
                    </m:r>
                  </m:sub>
                </m:sSub>
              </m:oMath>
            </m:oMathPara>
          </w:p>
        </w:tc>
        <w:tc>
          <w:tcPr>
            <w:tcW w:w="1235" w:type="dxa"/>
          </w:tcPr>
          <w:p w14:paraId="0AFE3542" w14:textId="77777777" w:rsidR="00CF4272" w:rsidRDefault="00000000" w:rsidP="000F7A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(1)</w:t>
            </w:r>
          </w:p>
        </w:tc>
      </w:tr>
    </w:tbl>
    <w:p w14:paraId="5B6BC5FC" w14:textId="16150F1A" w:rsidR="00CF4272" w:rsidRPr="000F7A45" w:rsidRDefault="00000000" w:rsidP="000F7A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A45">
        <w:rPr>
          <w:rFonts w:ascii="Times New Roman" w:eastAsia="Times New Roman" w:hAnsi="Times New Roman" w:cs="Times New Roman"/>
          <w:sz w:val="24"/>
          <w:szCs w:val="24"/>
        </w:rPr>
        <w:t xml:space="preserve">Em que </w:t>
      </w:r>
      <m:oMath>
        <m:box>
          <m:boxPr>
            <m:opEmu m:val="1"/>
            <m:ctrlPr>
              <w:rPr>
                <w:rFonts w:ascii="Cambria Math" w:hAnsi="Cambria Math" w:cs="Times New Roman"/>
                <w:sz w:val="24"/>
                <w:szCs w:val="24"/>
              </w:rPr>
            </m:ctrlPr>
          </m:boxPr>
          <m:e>
            <m:r>
              <w:rPr>
                <w:rFonts w:ascii="Cambria Math" w:hAnsi="Cambria Math" w:cs="Times New Roman"/>
                <w:sz w:val="24"/>
                <w:szCs w:val="24"/>
              </w:rPr>
              <m:t>ln</m:t>
            </m:r>
          </m:e>
        </m:box>
        <m:r>
          <w:rPr>
            <w:rFonts w:ascii="Cambria Math" w:eastAsia="Cambria Math" w:hAnsi="Cambria Math" w:cs="Times New Roman"/>
            <w:sz w:val="24"/>
            <w:szCs w:val="24"/>
          </w:rPr>
          <m:t>ln</m:t>
        </m:r>
        <m:r>
          <w:rPr>
            <w:rFonts w:ascii="Cambria Math" w:eastAsia="Times New Roman" w:hAnsi="Cambria Math" w:cs="Times New Roman"/>
            <w:sz w:val="24"/>
            <w:szCs w:val="24"/>
          </w:rPr>
          <m:t xml:space="preserve"> </m:t>
        </m:r>
        <m:d>
          <m:d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dPr>
          <m:e>
            <m:r>
              <w:rPr>
                <w:rFonts w:ascii="Cambria Math" w:eastAsia="Cambria Math" w:hAnsi="Cambria Math" w:cs="Times New Roman"/>
                <w:sz w:val="24"/>
                <w:szCs w:val="24"/>
              </w:rPr>
              <m:t>Fem</m:t>
            </m:r>
            <m:sSub>
              <m:sSubPr>
                <m:ctrl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it</m:t>
                </m:r>
              </m:sub>
            </m:sSub>
          </m:e>
        </m:d>
      </m:oMath>
      <w:r w:rsidRPr="000F7A45">
        <w:rPr>
          <w:rFonts w:ascii="Times New Roman" w:eastAsia="Times New Roman" w:hAnsi="Times New Roman" w:cs="Times New Roman"/>
          <w:sz w:val="24"/>
          <w:szCs w:val="24"/>
        </w:rPr>
        <w:t xml:space="preserve"> representa a taxa de feminicídios ou de outros homicídios de mulheres na Unidade da Federação (i), no ano (t); </w:t>
      </w:r>
      <m:oMath>
        <m:r>
          <w:rPr>
            <w:rFonts w:ascii="Cambria Math" w:eastAsia="Cambria Math" w:hAnsi="Cambria Math" w:cs="Times New Roman"/>
            <w:sz w:val="24"/>
            <w:szCs w:val="24"/>
          </w:rPr>
          <m:t>ln</m:t>
        </m:r>
        <m:d>
          <m:d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dPr>
          <m:e>
            <m:r>
              <w:rPr>
                <w:rFonts w:ascii="Cambria Math" w:eastAsia="Cambria Math" w:hAnsi="Cambria Math" w:cs="Times New Roman"/>
                <w:sz w:val="24"/>
                <w:szCs w:val="24"/>
              </w:rPr>
              <m:t>Ocup</m:t>
            </m:r>
            <m:sSub>
              <m:sSubPr>
                <m:ctrl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aFem</m:t>
                </m:r>
              </m:e>
              <m: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it</m:t>
                </m:r>
              </m:sub>
            </m:sSub>
          </m:e>
        </m:d>
      </m:oMath>
      <w:r w:rsidRPr="000F7A45">
        <w:rPr>
          <w:rFonts w:ascii="Times New Roman" w:eastAsia="Times New Roman" w:hAnsi="Times New Roman" w:cs="Times New Roman"/>
          <w:sz w:val="24"/>
          <w:szCs w:val="24"/>
        </w:rPr>
        <w:t xml:space="preserve"> corresponde à taxa</w:t>
      </w:r>
      <w:r w:rsidR="000F7A45" w:rsidRPr="000F7A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F7A45">
        <w:rPr>
          <w:rFonts w:ascii="Times New Roman" w:eastAsia="Times New Roman" w:hAnsi="Times New Roman" w:cs="Times New Roman"/>
          <w:sz w:val="24"/>
          <w:szCs w:val="24"/>
        </w:rPr>
        <w:t xml:space="preserve">de ocupação feminina; </w:t>
      </w:r>
      <m:oMath>
        <m:d>
          <m:d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dPr>
          <m:e>
            <m:r>
              <w:rPr>
                <w:rFonts w:ascii="Cambria Math" w:eastAsia="Cambria Math" w:hAnsi="Cambria Math" w:cs="Times New Roman"/>
                <w:sz w:val="24"/>
                <w:szCs w:val="24"/>
              </w:rPr>
              <m:t>Descop_Ma</m:t>
            </m:r>
            <m:sSub>
              <m:sSubPr>
                <m:ctrl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s</m:t>
                </m:r>
              </m:e>
              <m: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it</m:t>
                </m:r>
              </m:sub>
            </m:sSub>
          </m:e>
        </m:d>
      </m:oMath>
      <w:r w:rsidRPr="000F7A45">
        <w:rPr>
          <w:rFonts w:ascii="Times New Roman" w:eastAsia="Times New Roman" w:hAnsi="Times New Roman" w:cs="Times New Roman"/>
          <w:sz w:val="24"/>
          <w:szCs w:val="24"/>
        </w:rPr>
        <w:t xml:space="preserve"> representa a taxa de desocupação masculina; </w:t>
      </w:r>
      <m:oMath>
        <m:d>
          <m:d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dPr>
          <m:e>
            <m:r>
              <w:rPr>
                <w:rFonts w:ascii="Cambria Math" w:eastAsia="Cambria Math" w:hAnsi="Cambria Math" w:cs="Times New Roman"/>
                <w:sz w:val="24"/>
                <w:szCs w:val="24"/>
              </w:rPr>
              <m:t>Gin</m:t>
            </m:r>
            <m:sSub>
              <m:sSubPr>
                <m:ctrl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it</m:t>
                </m:r>
              </m:sub>
            </m:sSub>
          </m:e>
        </m:d>
      </m:oMath>
      <w:r w:rsidRPr="000F7A45">
        <w:rPr>
          <w:rFonts w:ascii="Times New Roman" w:eastAsia="Times New Roman" w:hAnsi="Times New Roman" w:cs="Times New Roman"/>
          <w:sz w:val="24"/>
          <w:szCs w:val="24"/>
        </w:rPr>
        <w:t xml:space="preserve"> é o índice de desigualdade de renda</w:t>
      </w:r>
      <w:r w:rsidR="000F7A4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0F7A45">
        <w:rPr>
          <w:rFonts w:ascii="Times New Roman" w:eastAsia="Times New Roman" w:hAnsi="Times New Roman" w:cs="Times New Roman"/>
          <w:sz w:val="24"/>
          <w:szCs w:val="24"/>
        </w:rPr>
        <w:t>Os modelos são estimados pelo método dos Mínimos Quadrados Ordinários (MQO)</w:t>
      </w:r>
      <w:r w:rsidR="000F7A4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DA947F8" w14:textId="77777777" w:rsidR="00275B4A" w:rsidRDefault="00000000" w:rsidP="000F7A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A45">
        <w:rPr>
          <w:rFonts w:ascii="Times New Roman" w:eastAsia="Times New Roman" w:hAnsi="Times New Roman" w:cs="Times New Roman"/>
          <w:sz w:val="24"/>
          <w:szCs w:val="24"/>
        </w:rPr>
        <w:t>São estimados dois modelos, um para cada variável dependente</w:t>
      </w:r>
      <w:r w:rsidR="000F7A45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F7A45">
        <w:rPr>
          <w:rFonts w:ascii="Times New Roman" w:eastAsia="Times New Roman" w:hAnsi="Times New Roman" w:cs="Times New Roman"/>
          <w:sz w:val="24"/>
          <w:szCs w:val="24"/>
        </w:rPr>
        <w:t xml:space="preserve"> a taxa de feminicídio e a taxa dos demais homicídios de mulheres. Em ambos, a especificação considera a ocupação feminina como variável explicativa central, além das variáveis </w:t>
      </w:r>
      <w:r w:rsidR="000F7A45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275B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CD3B45E" w14:textId="77777777" w:rsidR="00275B4A" w:rsidRDefault="00275B4A" w:rsidP="00275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B740E7" w14:textId="77777777" w:rsidR="00275B4A" w:rsidRDefault="00275B4A" w:rsidP="00275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DA9A2E" w14:textId="77777777" w:rsidR="00275B4A" w:rsidRDefault="00275B4A" w:rsidP="00275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9DE803" w14:textId="77777777" w:rsidR="00275B4A" w:rsidRDefault="00275B4A" w:rsidP="00275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87CC09" w14:textId="77777777" w:rsidR="00275B4A" w:rsidRDefault="00275B4A" w:rsidP="00275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894199" w14:textId="77777777" w:rsidR="00275B4A" w:rsidRDefault="00275B4A" w:rsidP="00275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1A91F4" w14:textId="77777777" w:rsidR="00275B4A" w:rsidRDefault="00275B4A" w:rsidP="00275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973CC5" w14:textId="07A6410F" w:rsidR="00CF4272" w:rsidRPr="000F7A45" w:rsidRDefault="000F7A45" w:rsidP="00275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controle.</w:t>
      </w:r>
      <w:r w:rsidR="00000000" w:rsidRPr="000F7A45">
        <w:rPr>
          <w:rFonts w:ascii="Times New Roman" w:eastAsia="Times New Roman" w:hAnsi="Times New Roman" w:cs="Times New Roman"/>
          <w:sz w:val="24"/>
          <w:szCs w:val="24"/>
        </w:rPr>
        <w:t xml:space="preserve"> Essa abordagem possibilita comparar os resultados e identificar possíveis diferenças na relação entre a participação feminina no mercado de trabalho e as duas formas de violência analisadas.</w:t>
      </w:r>
    </w:p>
    <w:p w14:paraId="5E33A277" w14:textId="77777777" w:rsidR="00CF4272" w:rsidRDefault="00CF427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65EC8B1" w14:textId="309BE5BC" w:rsidR="00CF4272" w:rsidRPr="000F7A45" w:rsidRDefault="00000000" w:rsidP="000F7A45">
      <w:pPr>
        <w:pStyle w:val="Pargrafoda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F7A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Resultados </w:t>
      </w:r>
    </w:p>
    <w:p w14:paraId="6EBDA732" w14:textId="1721BF62" w:rsidR="00CF4272" w:rsidRDefault="000F7A45" w:rsidP="000F7A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primeira coluna da Tabela 1 refere-se a variável dependente</w:t>
      </w:r>
      <w:r w:rsidR="00000000" w:rsidRPr="000F7A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‘</w:t>
      </w:r>
      <w:r w:rsidR="00000000" w:rsidRPr="000F7A45">
        <w:rPr>
          <w:rFonts w:ascii="Times New Roman" w:eastAsia="Times New Roman" w:hAnsi="Times New Roman" w:cs="Times New Roman"/>
          <w:sz w:val="24"/>
          <w:szCs w:val="24"/>
        </w:rPr>
        <w:t>taxa de feminicídio</w:t>
      </w:r>
      <w:r>
        <w:rPr>
          <w:rFonts w:ascii="Times New Roman" w:eastAsia="Times New Roman" w:hAnsi="Times New Roman" w:cs="Times New Roman"/>
          <w:sz w:val="24"/>
          <w:szCs w:val="24"/>
        </w:rPr>
        <w:t>’ e segunda</w:t>
      </w:r>
      <w:r w:rsidR="00000000" w:rsidRPr="000F7A45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eastAsia="Times New Roman" w:hAnsi="Times New Roman" w:cs="Times New Roman"/>
          <w:sz w:val="24"/>
          <w:szCs w:val="24"/>
        </w:rPr>
        <w:t>‘</w:t>
      </w:r>
      <w:r w:rsidR="00000000" w:rsidRPr="000F7A45">
        <w:rPr>
          <w:rFonts w:ascii="Times New Roman" w:eastAsia="Times New Roman" w:hAnsi="Times New Roman" w:cs="Times New Roman"/>
          <w:sz w:val="24"/>
          <w:szCs w:val="24"/>
        </w:rPr>
        <w:t>taxa dos demais homicídios de mulheres</w:t>
      </w:r>
      <w:r>
        <w:rPr>
          <w:rFonts w:ascii="Times New Roman" w:eastAsia="Times New Roman" w:hAnsi="Times New Roman" w:cs="Times New Roman"/>
          <w:sz w:val="24"/>
          <w:szCs w:val="24"/>
        </w:rPr>
        <w:t>’</w:t>
      </w:r>
      <w:r w:rsidR="00000000" w:rsidRPr="000F7A45">
        <w:rPr>
          <w:rFonts w:ascii="Times New Roman" w:eastAsia="Times New Roman" w:hAnsi="Times New Roman" w:cs="Times New Roman"/>
          <w:sz w:val="24"/>
          <w:szCs w:val="24"/>
        </w:rPr>
        <w:t xml:space="preserve">, ambas por 100 mil mulheres. </w:t>
      </w:r>
    </w:p>
    <w:p w14:paraId="1936BEF1" w14:textId="77777777" w:rsidR="000F7A45" w:rsidRPr="000F7A45" w:rsidRDefault="000F7A45" w:rsidP="000F7A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B85378F" w14:textId="467F8E23" w:rsidR="00CF4272" w:rsidRDefault="00000000" w:rsidP="000F7A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Tabela 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Violência letal contra a mulher nas UFs (2022-2025). </w:t>
      </w:r>
    </w:p>
    <w:tbl>
      <w:tblPr>
        <w:tblStyle w:val="1"/>
        <w:tblW w:w="84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75"/>
        <w:gridCol w:w="3540"/>
        <w:gridCol w:w="3030"/>
      </w:tblGrid>
      <w:tr w:rsidR="00CF4272" w14:paraId="735FE812" w14:textId="77777777">
        <w:trPr>
          <w:tblHeader/>
        </w:trPr>
        <w:tc>
          <w:tcPr>
            <w:tcW w:w="1875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10B118D5" w14:textId="77777777" w:rsidR="00CF427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Variável</w:t>
            </w:r>
          </w:p>
        </w:tc>
        <w:tc>
          <w:tcPr>
            <w:tcW w:w="3540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75125979" w14:textId="77777777" w:rsidR="00CF427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Feminicídio </w:t>
            </w:r>
          </w:p>
        </w:tc>
        <w:tc>
          <w:tcPr>
            <w:tcW w:w="3030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5BFF7CB4" w14:textId="77777777" w:rsidR="00CF427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Demais homicídios </w:t>
            </w:r>
          </w:p>
        </w:tc>
      </w:tr>
      <w:tr w:rsidR="00CF4272" w14:paraId="0EC7573D" w14:textId="77777777">
        <w:trPr>
          <w:trHeight w:val="705"/>
        </w:trPr>
        <w:tc>
          <w:tcPr>
            <w:tcW w:w="1875" w:type="dxa"/>
            <w:tcBorders>
              <w:left w:val="nil"/>
              <w:bottom w:val="nil"/>
              <w:right w:val="nil"/>
            </w:tcBorders>
            <w:vAlign w:val="center"/>
          </w:tcPr>
          <w:p w14:paraId="4156DCD8" w14:textId="77777777" w:rsidR="00CF427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ln Ocupação feminina (%)</w:t>
            </w:r>
          </w:p>
        </w:tc>
        <w:tc>
          <w:tcPr>
            <w:tcW w:w="3540" w:type="dxa"/>
            <w:tcBorders>
              <w:left w:val="nil"/>
              <w:bottom w:val="nil"/>
              <w:right w:val="nil"/>
            </w:tcBorders>
            <w:vAlign w:val="center"/>
          </w:tcPr>
          <w:p w14:paraId="3C63304C" w14:textId="77777777" w:rsidR="00CF4272" w:rsidRPr="0099364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1"/>
                <w:id w:val="-1169962995"/>
              </w:sdtPr>
              <w:sdtContent>
                <w:r w:rsidRPr="0099364F">
                  <w:rPr>
                    <w:rFonts w:ascii="Times New Roman" w:eastAsia="Gungsuh" w:hAnsi="Times New Roman" w:cs="Times New Roman"/>
                    <w:sz w:val="24"/>
                    <w:szCs w:val="24"/>
                  </w:rPr>
                  <w:t>−0,963**</w:t>
                </w:r>
              </w:sdtContent>
            </w:sdt>
          </w:p>
          <w:p w14:paraId="4440A7AE" w14:textId="77777777" w:rsidR="00CF4272" w:rsidRPr="0099364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364F">
              <w:rPr>
                <w:rFonts w:ascii="Times New Roman" w:eastAsia="Times New Roman" w:hAnsi="Times New Roman" w:cs="Times New Roman"/>
                <w:sz w:val="24"/>
                <w:szCs w:val="24"/>
              </w:rPr>
              <w:t>(0,485)</w:t>
            </w:r>
          </w:p>
        </w:tc>
        <w:tc>
          <w:tcPr>
            <w:tcW w:w="3030" w:type="dxa"/>
            <w:tcBorders>
              <w:left w:val="nil"/>
              <w:bottom w:val="nil"/>
              <w:right w:val="nil"/>
            </w:tcBorders>
            <w:vAlign w:val="center"/>
          </w:tcPr>
          <w:p w14:paraId="7F6D9067" w14:textId="77777777" w:rsidR="00CF4272" w:rsidRPr="0099364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2"/>
                <w:id w:val="142650926"/>
              </w:sdtPr>
              <w:sdtContent>
                <w:r w:rsidRPr="0099364F">
                  <w:rPr>
                    <w:rFonts w:ascii="Times New Roman" w:eastAsia="Gungsuh" w:hAnsi="Times New Roman" w:cs="Times New Roman"/>
                    <w:sz w:val="24"/>
                    <w:szCs w:val="24"/>
                  </w:rPr>
                  <w:t>−1,395*</w:t>
                </w:r>
              </w:sdtContent>
            </w:sdt>
          </w:p>
          <w:p w14:paraId="2949C996" w14:textId="77777777" w:rsidR="00CF4272" w:rsidRPr="0099364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364F">
              <w:rPr>
                <w:rFonts w:ascii="Times New Roman" w:eastAsia="Times New Roman" w:hAnsi="Times New Roman" w:cs="Times New Roman"/>
                <w:sz w:val="24"/>
                <w:szCs w:val="24"/>
              </w:rPr>
              <w:t>(0,778)</w:t>
            </w:r>
          </w:p>
        </w:tc>
      </w:tr>
      <w:tr w:rsidR="00CF4272" w14:paraId="44C3CD5F" w14:textId="77777777">
        <w:trPr>
          <w:trHeight w:val="562"/>
        </w:trPr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A672D" w14:textId="77777777" w:rsidR="00CF427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ln Desocupação masculina (%)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4DCAC" w14:textId="77777777" w:rsidR="00CF4272" w:rsidRPr="0099364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3"/>
                <w:id w:val="-1347178536"/>
              </w:sdtPr>
              <w:sdtContent>
                <w:r w:rsidRPr="0099364F">
                  <w:rPr>
                    <w:rFonts w:ascii="Times New Roman" w:eastAsia="Gungsuh" w:hAnsi="Times New Roman" w:cs="Times New Roman"/>
                    <w:sz w:val="24"/>
                    <w:szCs w:val="24"/>
                  </w:rPr>
                  <w:t>−0,248**</w:t>
                </w:r>
              </w:sdtContent>
            </w:sdt>
          </w:p>
          <w:p w14:paraId="1E929C96" w14:textId="77777777" w:rsidR="00CF4272" w:rsidRPr="0099364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364F">
              <w:rPr>
                <w:rFonts w:ascii="Times New Roman" w:eastAsia="Times New Roman" w:hAnsi="Times New Roman" w:cs="Times New Roman"/>
                <w:sz w:val="24"/>
                <w:szCs w:val="24"/>
              </w:rPr>
              <w:t>(0,119)</w:t>
            </w:r>
          </w:p>
        </w:tc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DE1C2" w14:textId="77777777" w:rsidR="00CF4272" w:rsidRPr="0099364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4"/>
                <w:id w:val="-1591576566"/>
              </w:sdtPr>
              <w:sdtContent>
                <w:r w:rsidRPr="0099364F">
                  <w:rPr>
                    <w:rFonts w:ascii="Times New Roman" w:eastAsia="Gungsuh" w:hAnsi="Times New Roman" w:cs="Times New Roman"/>
                    <w:sz w:val="24"/>
                    <w:szCs w:val="24"/>
                  </w:rPr>
                  <w:t>−0,355*</w:t>
                </w:r>
              </w:sdtContent>
            </w:sdt>
          </w:p>
          <w:p w14:paraId="531AC351" w14:textId="77777777" w:rsidR="00CF4272" w:rsidRPr="0099364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364F">
              <w:rPr>
                <w:rFonts w:ascii="Times New Roman" w:eastAsia="Times New Roman" w:hAnsi="Times New Roman" w:cs="Times New Roman"/>
                <w:sz w:val="24"/>
                <w:szCs w:val="24"/>
              </w:rPr>
              <w:t>(0,191)</w:t>
            </w:r>
          </w:p>
        </w:tc>
      </w:tr>
      <w:tr w:rsidR="00CF4272" w14:paraId="3B48F4AD" w14:textId="77777777">
        <w:trPr>
          <w:trHeight w:val="562"/>
        </w:trPr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A9246" w14:textId="77777777" w:rsidR="00CF427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ln Gini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BA5C52" w14:textId="77777777" w:rsidR="00CF4272" w:rsidRPr="0099364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5"/>
                <w:id w:val="1309583660"/>
              </w:sdtPr>
              <w:sdtContent>
                <w:r w:rsidRPr="0099364F">
                  <w:rPr>
                    <w:rFonts w:ascii="Times New Roman" w:eastAsia="Gungsuh" w:hAnsi="Times New Roman" w:cs="Times New Roman"/>
                    <w:sz w:val="24"/>
                    <w:szCs w:val="24"/>
                  </w:rPr>
                  <w:t>−0,769</w:t>
                </w:r>
              </w:sdtContent>
            </w:sdt>
          </w:p>
          <w:p w14:paraId="2074AE47" w14:textId="77777777" w:rsidR="00CF4272" w:rsidRPr="0099364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364F">
              <w:rPr>
                <w:rFonts w:ascii="Times New Roman" w:eastAsia="Times New Roman" w:hAnsi="Times New Roman" w:cs="Times New Roman"/>
                <w:sz w:val="24"/>
                <w:szCs w:val="24"/>
              </w:rPr>
              <w:t>(0,704)</w:t>
            </w:r>
          </w:p>
        </w:tc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E9044" w14:textId="77777777" w:rsidR="00CF4272" w:rsidRPr="0099364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"/>
                <w:id w:val="9222755"/>
              </w:sdtPr>
              <w:sdtContent>
                <w:r w:rsidRPr="0099364F">
                  <w:rPr>
                    <w:rFonts w:ascii="Times New Roman" w:eastAsia="Gungsuh" w:hAnsi="Times New Roman" w:cs="Times New Roman"/>
                    <w:sz w:val="24"/>
                    <w:szCs w:val="24"/>
                  </w:rPr>
                  <w:t>−0,466</w:t>
                </w:r>
              </w:sdtContent>
            </w:sdt>
          </w:p>
          <w:p w14:paraId="5C015C90" w14:textId="77777777" w:rsidR="00CF4272" w:rsidRPr="0099364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364F">
              <w:rPr>
                <w:rFonts w:ascii="Times New Roman" w:eastAsia="Times New Roman" w:hAnsi="Times New Roman" w:cs="Times New Roman"/>
                <w:sz w:val="24"/>
                <w:szCs w:val="24"/>
              </w:rPr>
              <w:t>(1,129)</w:t>
            </w:r>
          </w:p>
        </w:tc>
      </w:tr>
      <w:tr w:rsidR="00CF4272" w14:paraId="084DFCFD" w14:textId="77777777">
        <w:tc>
          <w:tcPr>
            <w:tcW w:w="1875" w:type="dxa"/>
            <w:tcBorders>
              <w:left w:val="nil"/>
              <w:bottom w:val="nil"/>
              <w:right w:val="nil"/>
            </w:tcBorders>
            <w:vAlign w:val="center"/>
          </w:tcPr>
          <w:p w14:paraId="4F66BF93" w14:textId="77777777" w:rsidR="00CF427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Dummies de ano</w:t>
            </w:r>
          </w:p>
        </w:tc>
        <w:tc>
          <w:tcPr>
            <w:tcW w:w="3540" w:type="dxa"/>
            <w:tcBorders>
              <w:left w:val="nil"/>
              <w:bottom w:val="nil"/>
              <w:right w:val="nil"/>
            </w:tcBorders>
            <w:vAlign w:val="center"/>
          </w:tcPr>
          <w:p w14:paraId="33D03722" w14:textId="77777777" w:rsidR="00CF427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Sim</w:t>
            </w:r>
          </w:p>
        </w:tc>
        <w:tc>
          <w:tcPr>
            <w:tcW w:w="3030" w:type="dxa"/>
            <w:tcBorders>
              <w:left w:val="nil"/>
              <w:bottom w:val="nil"/>
              <w:right w:val="nil"/>
            </w:tcBorders>
            <w:vAlign w:val="center"/>
          </w:tcPr>
          <w:p w14:paraId="55DFDDD4" w14:textId="77777777" w:rsidR="00CF427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Sim</w:t>
            </w:r>
          </w:p>
        </w:tc>
      </w:tr>
      <w:tr w:rsidR="00CF4272" w14:paraId="7E44F38B" w14:textId="77777777"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F29C3" w14:textId="77777777" w:rsidR="00CF427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Observações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1EBFE" w14:textId="77777777" w:rsidR="00CF427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7340E" w14:textId="77777777" w:rsidR="00CF427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CF4272" w14:paraId="59228024" w14:textId="77777777">
        <w:trPr>
          <w:trHeight w:val="119"/>
        </w:trPr>
        <w:tc>
          <w:tcPr>
            <w:tcW w:w="1875" w:type="dxa"/>
            <w:tcBorders>
              <w:top w:val="nil"/>
              <w:left w:val="nil"/>
              <w:right w:val="nil"/>
            </w:tcBorders>
            <w:vAlign w:val="center"/>
          </w:tcPr>
          <w:p w14:paraId="3640225E" w14:textId="77777777" w:rsidR="00CF427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R² ajustado</w:t>
            </w:r>
          </w:p>
        </w:tc>
        <w:tc>
          <w:tcPr>
            <w:tcW w:w="3540" w:type="dxa"/>
            <w:tcBorders>
              <w:top w:val="nil"/>
              <w:left w:val="nil"/>
              <w:right w:val="nil"/>
            </w:tcBorders>
            <w:vAlign w:val="center"/>
          </w:tcPr>
          <w:p w14:paraId="55734830" w14:textId="77777777" w:rsidR="00CF427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0,242</w:t>
            </w:r>
          </w:p>
        </w:tc>
        <w:tc>
          <w:tcPr>
            <w:tcW w:w="3030" w:type="dxa"/>
            <w:tcBorders>
              <w:top w:val="nil"/>
              <w:left w:val="nil"/>
              <w:right w:val="nil"/>
            </w:tcBorders>
            <w:vAlign w:val="center"/>
          </w:tcPr>
          <w:p w14:paraId="42A543B0" w14:textId="77777777" w:rsidR="00CF427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0,175</w:t>
            </w:r>
          </w:p>
        </w:tc>
      </w:tr>
    </w:tbl>
    <w:p w14:paraId="1B9AD0AD" w14:textId="77777777" w:rsidR="00CF427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Fonte: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elaboração própria com dados do Sinesp-VDE (MJSP) e da PNAD Contínua (IBGE). Nota: erros-padrão entre parênteses. *** p &lt; 0,01; ** p &lt; 0,05; * p &lt; 0,1. Referências: Sudeste e 2022.</w:t>
      </w:r>
    </w:p>
    <w:p w14:paraId="1D445065" w14:textId="77777777" w:rsidR="00CF4272" w:rsidRDefault="00CF427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E43F24" w14:textId="3B31B201" w:rsidR="000F7A45" w:rsidRPr="000F7A45" w:rsidRDefault="000F7A45" w:rsidP="00275B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A45">
        <w:rPr>
          <w:rFonts w:ascii="Times New Roman" w:eastAsia="Times New Roman" w:hAnsi="Times New Roman" w:cs="Times New Roman"/>
          <w:sz w:val="24"/>
          <w:szCs w:val="24"/>
        </w:rPr>
        <w:t>A ocupação feminina apresentou relação negativa com as duas formas de violência. Para o feminicídio, um aumento de 1% na ocupação feminina está associado a uma taxa 0,96% menor (significativa a 5%). Esse resultado é coerente com Soares, Ferro e Teixeira (2022)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ao qual </w:t>
      </w:r>
      <w:r w:rsidRPr="000F7A45">
        <w:rPr>
          <w:rFonts w:ascii="Times New Roman" w:eastAsia="Times New Roman" w:hAnsi="Times New Roman" w:cs="Times New Roman"/>
          <w:sz w:val="24"/>
          <w:szCs w:val="24"/>
        </w:rPr>
        <w:t xml:space="preserve">mulheres com trabalho e renda própria têm mais condições de romper relações violentas. Vale notar que essa relação só aparece quando a desocupação masculina e o Gini entram no modelo. Sem eles, a ocupação feminina capta também 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275B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F7A45">
        <w:rPr>
          <w:rFonts w:ascii="Times New Roman" w:eastAsia="Times New Roman" w:hAnsi="Times New Roman" w:cs="Times New Roman"/>
          <w:sz w:val="24"/>
          <w:szCs w:val="24"/>
        </w:rPr>
        <w:t>dinamismo econômico dos estados, que entre as UFs aparece associado a mais feminicídio.</w:t>
      </w:r>
    </w:p>
    <w:p w14:paraId="0AE230EB" w14:textId="22F7FC15" w:rsidR="000F7A45" w:rsidRPr="000F7A45" w:rsidRDefault="000F7A45" w:rsidP="000F7A4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A45">
        <w:rPr>
          <w:rFonts w:ascii="Times New Roman" w:eastAsia="Times New Roman" w:hAnsi="Times New Roman" w:cs="Times New Roman"/>
          <w:sz w:val="24"/>
          <w:szCs w:val="24"/>
        </w:rPr>
        <w:t>A desocupação masculina apresentou sinal negativo nos dois casos, contrário ao esperado. Isso não significa que o desemprego reduza a violência, e sim reflete diferenças entre os estados. Estados do agronegóci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Pr="000F7A45">
        <w:rPr>
          <w:rFonts w:ascii="Times New Roman" w:eastAsia="Times New Roman" w:hAnsi="Times New Roman" w:cs="Times New Roman"/>
          <w:sz w:val="24"/>
          <w:szCs w:val="24"/>
        </w:rPr>
        <w:t xml:space="preserve">, combinam pouco desemprego com muitos feminicídios. Já em estados com muita violência urbana, como o Ceará, parte das mortes de mulheres tende a ser registrada como homicídio comum. </w:t>
      </w:r>
    </w:p>
    <w:p w14:paraId="015BFCEB" w14:textId="227B4D83" w:rsidR="00CF4272" w:rsidRDefault="000F7A45" w:rsidP="000F7A4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A45">
        <w:rPr>
          <w:rFonts w:ascii="Times New Roman" w:eastAsia="Times New Roman" w:hAnsi="Times New Roman" w:cs="Times New Roman"/>
          <w:sz w:val="24"/>
          <w:szCs w:val="24"/>
        </w:rPr>
        <w:t>Por fim, os modelos explicam pouco da variação da violência (R² ajustado de 0,24 para o feminicídio e de 0,18 para os demais homicídios), o que indica que fatores culturais e sociais, não incluídos no modelo, têm papel importante. Reforça essa ideia o fato de os demais homicídios de mulheres acompanharem a violência geral dos estados (correlação de 0,73 com os homicídios de homens), enquanto o feminicídio não mostra essa relação (correlação de 0,01). Ou seja, o feminicídio segue uma dinâmica própria, ligada à violência de gênero.</w:t>
      </w:r>
    </w:p>
    <w:p w14:paraId="5502E126" w14:textId="77777777" w:rsidR="00275B4A" w:rsidRDefault="00275B4A" w:rsidP="000F7A4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B2AA4D" w14:textId="77777777" w:rsidR="00275B4A" w:rsidRDefault="00275B4A" w:rsidP="000F7A4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F91D7F" w14:textId="77777777" w:rsidR="00275B4A" w:rsidRDefault="00275B4A" w:rsidP="000F7A4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5B9CEA" w14:textId="77777777" w:rsidR="00275B4A" w:rsidRDefault="00275B4A" w:rsidP="000F7A4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BE87C6" w14:textId="77777777" w:rsidR="00275B4A" w:rsidRDefault="00275B4A" w:rsidP="000F7A4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9507A1" w14:textId="77777777" w:rsidR="00275B4A" w:rsidRDefault="00275B4A" w:rsidP="000F7A4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028336" w14:textId="77777777" w:rsidR="00CF4272" w:rsidRDefault="00CF427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707F2B" w14:textId="77777777" w:rsidR="00CF427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  <w:rPr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Conclusão </w:t>
      </w:r>
    </w:p>
    <w:p w14:paraId="2ECB5DAD" w14:textId="77777777" w:rsidR="00CF4272" w:rsidRDefault="00CF427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62BA85" w14:textId="77777777" w:rsidR="000F7A45" w:rsidRDefault="000F7A45" w:rsidP="000F7A4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A45">
        <w:rPr>
          <w:rFonts w:ascii="Times New Roman" w:eastAsia="Times New Roman" w:hAnsi="Times New Roman" w:cs="Times New Roman"/>
          <w:sz w:val="24"/>
          <w:szCs w:val="24"/>
        </w:rPr>
        <w:t xml:space="preserve">Este trabalho analisa a relação entre a ocupação feminina e a violência letal contra mulheres nas Unidades da Federação brasileiras entre 2022 e 2025. Os resultados mostram que maior ocupação feminina está associada a menores taxas de feminicídio, o que reforça a importância da autonomia econômica das mulheres no enfrentamento da violência. </w:t>
      </w:r>
    </w:p>
    <w:p w14:paraId="2E48A5FE" w14:textId="0DB23D29" w:rsidR="00CF4272" w:rsidRDefault="000F7A45" w:rsidP="000F7A4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A45">
        <w:rPr>
          <w:rFonts w:ascii="Times New Roman" w:eastAsia="Times New Roman" w:hAnsi="Times New Roman" w:cs="Times New Roman"/>
          <w:sz w:val="24"/>
          <w:szCs w:val="24"/>
        </w:rPr>
        <w:t>O feminicídio, porém, segue uma dinâmica distinta dos demais homicídios de mulheres</w:t>
      </w:r>
      <w:r>
        <w:rPr>
          <w:rFonts w:ascii="Times New Roman" w:eastAsia="Times New Roman" w:hAnsi="Times New Roman" w:cs="Times New Roman"/>
          <w:sz w:val="24"/>
          <w:szCs w:val="24"/>
        </w:rPr>
        <w:t>, ele</w:t>
      </w:r>
      <w:r w:rsidRPr="000F7A45">
        <w:rPr>
          <w:rFonts w:ascii="Times New Roman" w:eastAsia="Times New Roman" w:hAnsi="Times New Roman" w:cs="Times New Roman"/>
          <w:sz w:val="24"/>
          <w:szCs w:val="24"/>
        </w:rPr>
        <w:t xml:space="preserve"> não acompanha a violência geral dos estados e é pouco explicado pelas condições econômicas, o que indica o peso de fatores culturais. Assim, políticas de inserção das mulheres no mercado de trabalho podem contribuir para reduzir essa violência, mas precisam ser combinadas a ações voltadas às normas de gênero. Os resultados indicam associações, e não relações de causalidade.</w:t>
      </w:r>
    </w:p>
    <w:p w14:paraId="396CEA55" w14:textId="77777777" w:rsidR="000F7A45" w:rsidRDefault="000F7A4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14D33F" w14:textId="77777777" w:rsidR="00CF427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  <w:rPr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Referências</w:t>
      </w:r>
    </w:p>
    <w:p w14:paraId="1DF8E6CA" w14:textId="77777777" w:rsidR="00CF4272" w:rsidRDefault="00CF427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0BA911F" w14:textId="77777777" w:rsidR="00CF4272" w:rsidRPr="000F7A4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0F7A45">
        <w:rPr>
          <w:rFonts w:ascii="Times New Roman" w:eastAsia="Times New Roman" w:hAnsi="Times New Roman" w:cs="Times New Roman"/>
          <w:color w:val="000000"/>
        </w:rPr>
        <w:t xml:space="preserve">BRASIL. Lei nº 13.104, de 9 de março de 2015. Altera o Código Penal para prever o feminicídio como circunstância qualificadora do crime de homicídio. </w:t>
      </w:r>
      <w:r w:rsidRPr="000F7A45">
        <w:rPr>
          <w:rFonts w:ascii="Times New Roman" w:eastAsia="Times New Roman" w:hAnsi="Times New Roman" w:cs="Times New Roman"/>
          <w:i/>
          <w:iCs/>
          <w:color w:val="000000"/>
        </w:rPr>
        <w:t>Diário Oficial da União</w:t>
      </w:r>
      <w:r w:rsidRPr="000F7A45">
        <w:rPr>
          <w:rFonts w:ascii="Times New Roman" w:eastAsia="Times New Roman" w:hAnsi="Times New Roman" w:cs="Times New Roman"/>
          <w:color w:val="000000"/>
        </w:rPr>
        <w:t xml:space="preserve">, Brasília, 10 mar. 2015. Disponível em: </w:t>
      </w:r>
      <w:hyperlink r:id="rId8">
        <w:r w:rsidRPr="000F7A45">
          <w:rPr>
            <w:rFonts w:ascii="Times New Roman" w:eastAsia="Times New Roman" w:hAnsi="Times New Roman" w:cs="Times New Roman"/>
            <w:color w:val="0563C1"/>
            <w:u w:val="single"/>
          </w:rPr>
          <w:t>http://www.planalto.gov.br/ccivil_03/_ato2015-2018/2015/lei/l13104.htm</w:t>
        </w:r>
      </w:hyperlink>
      <w:r w:rsidRPr="000F7A45">
        <w:rPr>
          <w:rFonts w:ascii="Times New Roman" w:eastAsia="Times New Roman" w:hAnsi="Times New Roman" w:cs="Times New Roman"/>
          <w:color w:val="000000"/>
        </w:rPr>
        <w:t>.</w:t>
      </w:r>
    </w:p>
    <w:p w14:paraId="405E45E0" w14:textId="77777777" w:rsidR="00CF4272" w:rsidRPr="000F7A45" w:rsidRDefault="00CF427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7BAB86B3" w14:textId="77777777" w:rsidR="00CF4272" w:rsidRPr="000F7A4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0F7A45">
        <w:rPr>
          <w:rFonts w:ascii="Times New Roman" w:eastAsia="Times New Roman" w:hAnsi="Times New Roman" w:cs="Times New Roman"/>
          <w:color w:val="000000"/>
        </w:rPr>
        <w:t xml:space="preserve">BRASIL. Ministério da Justiça e Segurança Pública. </w:t>
      </w:r>
      <w:r w:rsidRPr="000F7A45">
        <w:rPr>
          <w:rFonts w:ascii="Times New Roman" w:eastAsia="Times New Roman" w:hAnsi="Times New Roman" w:cs="Times New Roman"/>
          <w:i/>
          <w:iCs/>
          <w:color w:val="000000"/>
        </w:rPr>
        <w:t>Sinesp-VDE: base de dados nacional de segurança pública</w:t>
      </w:r>
      <w:r w:rsidRPr="000F7A45">
        <w:rPr>
          <w:rFonts w:ascii="Times New Roman" w:eastAsia="Times New Roman" w:hAnsi="Times New Roman" w:cs="Times New Roman"/>
          <w:color w:val="000000"/>
        </w:rPr>
        <w:t>. Brasília: MJSP, 2025.</w:t>
      </w:r>
    </w:p>
    <w:p w14:paraId="7E5B898B" w14:textId="77777777" w:rsidR="00CF4272" w:rsidRPr="000F7A45" w:rsidRDefault="00CF427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18B897E7" w14:textId="77777777" w:rsidR="00CF4272" w:rsidRPr="000F7A4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0F7A45">
        <w:rPr>
          <w:rFonts w:ascii="Times New Roman" w:eastAsia="Times New Roman" w:hAnsi="Times New Roman" w:cs="Times New Roman"/>
          <w:color w:val="000000"/>
        </w:rPr>
        <w:t xml:space="preserve">CERQUEIRA, D.; LOBÃO, W. Determinantes da criminalidade: arcabouços teóricos e resultados empíricos. </w:t>
      </w:r>
      <w:r w:rsidRPr="000F7A45">
        <w:rPr>
          <w:rFonts w:ascii="Times New Roman" w:eastAsia="Times New Roman" w:hAnsi="Times New Roman" w:cs="Times New Roman"/>
          <w:i/>
          <w:iCs/>
          <w:color w:val="000000"/>
        </w:rPr>
        <w:t>Dados – Revista de Ciências Sociais</w:t>
      </w:r>
      <w:r w:rsidRPr="000F7A45">
        <w:rPr>
          <w:rFonts w:ascii="Times New Roman" w:eastAsia="Times New Roman" w:hAnsi="Times New Roman" w:cs="Times New Roman"/>
          <w:color w:val="000000"/>
        </w:rPr>
        <w:t xml:space="preserve">, v. 47, n. 2, p. 233-269, 2004. Disponível em: </w:t>
      </w:r>
      <w:hyperlink r:id="rId9">
        <w:r w:rsidRPr="000F7A45">
          <w:rPr>
            <w:rFonts w:ascii="Times New Roman" w:eastAsia="Times New Roman" w:hAnsi="Times New Roman" w:cs="Times New Roman"/>
            <w:color w:val="0563C1"/>
            <w:u w:val="single"/>
          </w:rPr>
          <w:t>https://www.scielo.br/j/dados/a/H75KZrqPLQsSqXgtj4dtr4B/?lang=pt</w:t>
        </w:r>
      </w:hyperlink>
      <w:r w:rsidRPr="000F7A45">
        <w:rPr>
          <w:rFonts w:ascii="Times New Roman" w:eastAsia="Times New Roman" w:hAnsi="Times New Roman" w:cs="Times New Roman"/>
          <w:color w:val="000000"/>
        </w:rPr>
        <w:t>.</w:t>
      </w:r>
    </w:p>
    <w:p w14:paraId="7CA83CE0" w14:textId="77777777" w:rsidR="00CF4272" w:rsidRPr="000F7A45" w:rsidRDefault="00CF427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D3453E9" w14:textId="77777777" w:rsidR="00CF4272" w:rsidRPr="000F7A4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0F7A45">
        <w:rPr>
          <w:rFonts w:ascii="Times New Roman" w:eastAsia="Times New Roman" w:hAnsi="Times New Roman" w:cs="Times New Roman"/>
          <w:color w:val="000000"/>
        </w:rPr>
        <w:t xml:space="preserve">FÓRUM BRASILEIRO DE SEGURANÇA PÚBLICA (FBSP). </w:t>
      </w:r>
      <w:r w:rsidRPr="000F7A45">
        <w:rPr>
          <w:rFonts w:ascii="Times New Roman" w:eastAsia="Times New Roman" w:hAnsi="Times New Roman" w:cs="Times New Roman"/>
          <w:i/>
          <w:iCs/>
          <w:color w:val="000000"/>
        </w:rPr>
        <w:t>Anuário Brasileiro de Segurança Pública 2025</w:t>
      </w:r>
      <w:r w:rsidRPr="000F7A45">
        <w:rPr>
          <w:rFonts w:ascii="Times New Roman" w:eastAsia="Times New Roman" w:hAnsi="Times New Roman" w:cs="Times New Roman"/>
          <w:color w:val="000000"/>
        </w:rPr>
        <w:t xml:space="preserve">. São Paulo: FBSP, 2025. Disponível em: </w:t>
      </w:r>
      <w:hyperlink r:id="rId10">
        <w:r w:rsidRPr="000F7A45">
          <w:rPr>
            <w:rFonts w:ascii="Times New Roman" w:eastAsia="Times New Roman" w:hAnsi="Times New Roman" w:cs="Times New Roman"/>
            <w:color w:val="0563C1"/>
            <w:u w:val="single"/>
          </w:rPr>
          <w:t>https://forumseguranca.org.br/anuario-brasileiro-seguranca-publica/</w:t>
        </w:r>
      </w:hyperlink>
      <w:r w:rsidRPr="000F7A45">
        <w:rPr>
          <w:rFonts w:ascii="Times New Roman" w:eastAsia="Times New Roman" w:hAnsi="Times New Roman" w:cs="Times New Roman"/>
          <w:color w:val="000000"/>
        </w:rPr>
        <w:t>.</w:t>
      </w:r>
    </w:p>
    <w:p w14:paraId="3B83F945" w14:textId="77777777" w:rsidR="00CF4272" w:rsidRPr="000F7A45" w:rsidRDefault="00CF427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50FEADEC" w14:textId="77777777" w:rsidR="00CF4272" w:rsidRPr="000F7A4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0F7A45">
        <w:rPr>
          <w:rFonts w:ascii="Times New Roman" w:eastAsia="Times New Roman" w:hAnsi="Times New Roman" w:cs="Times New Roman"/>
          <w:color w:val="000000"/>
        </w:rPr>
        <w:t xml:space="preserve">MENEGHEL, S. N.; HIRAKATA, V. N. Feminicídios: homicídios femininos no Brasil. </w:t>
      </w:r>
      <w:r w:rsidRPr="000F7A45">
        <w:rPr>
          <w:rFonts w:ascii="Times New Roman" w:eastAsia="Times New Roman" w:hAnsi="Times New Roman" w:cs="Times New Roman"/>
          <w:i/>
          <w:iCs/>
          <w:color w:val="000000"/>
        </w:rPr>
        <w:t>Revista de Saúde Pública</w:t>
      </w:r>
      <w:r w:rsidRPr="000F7A45">
        <w:rPr>
          <w:rFonts w:ascii="Times New Roman" w:eastAsia="Times New Roman" w:hAnsi="Times New Roman" w:cs="Times New Roman"/>
          <w:color w:val="000000"/>
        </w:rPr>
        <w:t xml:space="preserve">, v. 45, n. 3, p. 564-574, 2011. Disponível em: </w:t>
      </w:r>
      <w:hyperlink r:id="rId11">
        <w:r w:rsidRPr="000F7A45">
          <w:rPr>
            <w:rFonts w:ascii="Times New Roman" w:eastAsia="Times New Roman" w:hAnsi="Times New Roman" w:cs="Times New Roman"/>
            <w:color w:val="0563C1"/>
            <w:u w:val="single"/>
          </w:rPr>
          <w:t>https://scielosp.org/pdf/rsp/2011.v45n3/564-574/en</w:t>
        </w:r>
      </w:hyperlink>
      <w:r w:rsidRPr="000F7A45">
        <w:rPr>
          <w:rFonts w:ascii="Times New Roman" w:eastAsia="Times New Roman" w:hAnsi="Times New Roman" w:cs="Times New Roman"/>
          <w:color w:val="000000"/>
        </w:rPr>
        <w:t>.</w:t>
      </w:r>
    </w:p>
    <w:p w14:paraId="5563191D" w14:textId="77777777" w:rsidR="00CF4272" w:rsidRPr="000F7A45" w:rsidRDefault="00CF427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55C75A54" w14:textId="77777777" w:rsidR="00CF4272" w:rsidRPr="000F7A4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0F7A45">
        <w:rPr>
          <w:rFonts w:ascii="Times New Roman" w:eastAsia="Times New Roman" w:hAnsi="Times New Roman" w:cs="Times New Roman"/>
          <w:color w:val="000000"/>
        </w:rPr>
        <w:t xml:space="preserve">MENEGHEL, S. N.; PORTELLA, A. P. Feminicídios: conceitos, tipos e cenários. </w:t>
      </w:r>
      <w:r w:rsidRPr="000F7A45">
        <w:rPr>
          <w:rFonts w:ascii="Times New Roman" w:eastAsia="Times New Roman" w:hAnsi="Times New Roman" w:cs="Times New Roman"/>
          <w:i/>
          <w:iCs/>
          <w:color w:val="000000"/>
        </w:rPr>
        <w:t>Ciência &amp; Saúde Coletiva</w:t>
      </w:r>
      <w:r w:rsidRPr="000F7A45">
        <w:rPr>
          <w:rFonts w:ascii="Times New Roman" w:eastAsia="Times New Roman" w:hAnsi="Times New Roman" w:cs="Times New Roman"/>
          <w:color w:val="000000"/>
        </w:rPr>
        <w:t xml:space="preserve">, v. 22, n. 9, p. 3077-3086, 2017. Disponível em: </w:t>
      </w:r>
      <w:hyperlink r:id="rId12">
        <w:r w:rsidRPr="000F7A45">
          <w:rPr>
            <w:rFonts w:ascii="Times New Roman" w:eastAsia="Times New Roman" w:hAnsi="Times New Roman" w:cs="Times New Roman"/>
            <w:color w:val="0563C1"/>
            <w:u w:val="single"/>
          </w:rPr>
          <w:t>https://portaldeboaspraticas.iff.fiocruz.br/biblioteca/feminicidios-conceitos-tipos-e-cenarios/</w:t>
        </w:r>
      </w:hyperlink>
      <w:r w:rsidRPr="000F7A45">
        <w:rPr>
          <w:rFonts w:ascii="Times New Roman" w:eastAsia="Times New Roman" w:hAnsi="Times New Roman" w:cs="Times New Roman"/>
          <w:color w:val="000000"/>
        </w:rPr>
        <w:t>.</w:t>
      </w:r>
    </w:p>
    <w:p w14:paraId="5BE13ED3" w14:textId="77777777" w:rsidR="00CF4272" w:rsidRPr="000F7A45" w:rsidRDefault="00CF427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6B341D96" w14:textId="77777777" w:rsidR="00CF4272" w:rsidRPr="000F7A4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0F7A45">
        <w:rPr>
          <w:rFonts w:ascii="Times New Roman" w:eastAsia="Times New Roman" w:hAnsi="Times New Roman" w:cs="Times New Roman"/>
          <w:color w:val="000000"/>
        </w:rPr>
        <w:t xml:space="preserve">SOARES, L. S. A.; FERRO, W. C.; TEIXEIRA, E. C. Determinantes socioeconômicos dos feminicídios no Brasil. </w:t>
      </w:r>
      <w:r w:rsidRPr="000F7A45">
        <w:rPr>
          <w:rFonts w:ascii="Times New Roman" w:eastAsia="Times New Roman" w:hAnsi="Times New Roman" w:cs="Times New Roman"/>
          <w:i/>
          <w:iCs/>
          <w:color w:val="000000"/>
        </w:rPr>
        <w:t>Perspectivas Online: Humanas &amp; Sociais Aplicadas</w:t>
      </w:r>
      <w:r w:rsidRPr="000F7A45">
        <w:rPr>
          <w:rFonts w:ascii="Times New Roman" w:eastAsia="Times New Roman" w:hAnsi="Times New Roman" w:cs="Times New Roman"/>
          <w:color w:val="000000"/>
        </w:rPr>
        <w:t xml:space="preserve">, v. 12, n. 35, p. 19-37, 2022. DOI: </w:t>
      </w:r>
      <w:hyperlink r:id="rId13">
        <w:r w:rsidRPr="000F7A45">
          <w:rPr>
            <w:rFonts w:ascii="Times New Roman" w:eastAsia="Times New Roman" w:hAnsi="Times New Roman" w:cs="Times New Roman"/>
            <w:color w:val="0563C1"/>
            <w:u w:val="single"/>
          </w:rPr>
          <w:t>https://doi.org/10.25242/8876351220222408</w:t>
        </w:r>
      </w:hyperlink>
      <w:r w:rsidRPr="000F7A45">
        <w:rPr>
          <w:rFonts w:ascii="Times New Roman" w:eastAsia="Times New Roman" w:hAnsi="Times New Roman" w:cs="Times New Roman"/>
          <w:color w:val="000000"/>
        </w:rPr>
        <w:t>.</w:t>
      </w:r>
    </w:p>
    <w:p w14:paraId="495FE3C6" w14:textId="77777777" w:rsidR="00CF4272" w:rsidRDefault="00CF427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CF4272">
      <w:headerReference w:type="default" r:id="rId14"/>
      <w:footerReference w:type="default" r:id="rId15"/>
      <w:pgSz w:w="11906" w:h="16838"/>
      <w:pgMar w:top="1417" w:right="1701" w:bottom="1417" w:left="1701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DD53C" w14:textId="77777777" w:rsidR="00EE4C9F" w:rsidRDefault="00EE4C9F">
      <w:pPr>
        <w:spacing w:after="0" w:line="240" w:lineRule="auto"/>
      </w:pPr>
      <w:r>
        <w:separator/>
      </w:r>
    </w:p>
  </w:endnote>
  <w:endnote w:type="continuationSeparator" w:id="0">
    <w:p w14:paraId="4F8EA244" w14:textId="77777777" w:rsidR="00EE4C9F" w:rsidRDefault="00EE4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56F3AAD7-D590-414C-B3C2-5C6CF4E73ACE}"/>
    <w:embedBold r:id="rId2" w:fontKey="{781F726C-E4E0-49A7-879E-083CDDFB0ACF}"/>
    <w:embedItalic r:id="rId3" w:fontKey="{7BBB71D3-DF08-459C-A3E3-6536D8820BC9}"/>
  </w:font>
  <w:font w:name="Liberation Sans">
    <w:altName w:val="Arial"/>
    <w:charset w:val="00"/>
    <w:family w:val="auto"/>
    <w:pitch w:val="default"/>
  </w:font>
  <w:font w:name="Lohit Devanagari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4" w:fontKey="{C0025456-02E3-42C3-89AB-1C4F9C43F9F8}"/>
    <w:embedBold r:id="rId5" w:fontKey="{04C58FEC-1C7D-4651-8301-2D76618DEC54}"/>
  </w:font>
  <w:font w:name="TimesNewRomanPSMT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B58DB1EE-6A44-452E-A5AA-CAFAA9FF10D5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305B0FF6-8BFC-4BE4-AB67-920C72D69D17}"/>
    <w:embedItalic r:id="rId8" w:fontKey="{E396E299-9211-46D6-8F8E-ACFE54A6C71B}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9" w:fontKey="{AB80927E-B7C4-464A-8EB3-6567BE2D343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957F5" w14:textId="77777777" w:rsidR="00CF427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>ISSN 1983-8174</w:t>
    </w:r>
  </w:p>
  <w:p w14:paraId="267011EB" w14:textId="77777777" w:rsidR="00CF4272" w:rsidRDefault="00CF427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FB872" w14:textId="77777777" w:rsidR="00EE4C9F" w:rsidRDefault="00EE4C9F">
      <w:pPr>
        <w:spacing w:after="0" w:line="240" w:lineRule="auto"/>
      </w:pPr>
      <w:r>
        <w:separator/>
      </w:r>
    </w:p>
  </w:footnote>
  <w:footnote w:type="continuationSeparator" w:id="0">
    <w:p w14:paraId="243A7BF8" w14:textId="77777777" w:rsidR="00EE4C9F" w:rsidRDefault="00EE4C9F">
      <w:pPr>
        <w:spacing w:after="0" w:line="240" w:lineRule="auto"/>
      </w:pPr>
      <w:r>
        <w:continuationSeparator/>
      </w:r>
    </w:p>
  </w:footnote>
  <w:footnote w:id="1">
    <w:p w14:paraId="1E00BE59" w14:textId="6E534D8C" w:rsidR="00CF4272" w:rsidRPr="001803D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1803D9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1803D9">
        <w:rPr>
          <w:rFonts w:ascii="Times New Roman" w:eastAsia="Arial" w:hAnsi="Times New Roman" w:cs="Times New Roman"/>
          <w:color w:val="000000"/>
          <w:sz w:val="20"/>
          <w:szCs w:val="20"/>
          <w:vertAlign w:val="superscript"/>
        </w:rPr>
        <w:tab/>
      </w:r>
      <w:r w:rsidRPr="001803D9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Universidade Regional do Cariri, email: </w:t>
      </w:r>
      <w:hyperlink r:id="rId1" w:history="1">
        <w:r w:rsidR="001803D9" w:rsidRPr="001803D9">
          <w:rPr>
            <w:rStyle w:val="Hyperlink"/>
            <w:rFonts w:ascii="Times New Roman" w:eastAsia="Arial" w:hAnsi="Times New Roman" w:cs="Times New Roman"/>
            <w:sz w:val="20"/>
            <w:szCs w:val="20"/>
          </w:rPr>
          <w:t>salyne.costa@urca.br</w:t>
        </w:r>
      </w:hyperlink>
      <w:r w:rsidR="001803D9" w:rsidRPr="001803D9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</w:t>
      </w:r>
    </w:p>
  </w:footnote>
  <w:footnote w:id="2">
    <w:p w14:paraId="1D931AE6" w14:textId="3462D6E8" w:rsidR="00CF4272" w:rsidRPr="001803D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1803D9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1803D9">
        <w:rPr>
          <w:rFonts w:ascii="Times New Roman" w:eastAsia="Arial" w:hAnsi="Times New Roman" w:cs="Times New Roman"/>
          <w:color w:val="000000"/>
          <w:sz w:val="20"/>
          <w:szCs w:val="20"/>
          <w:vertAlign w:val="superscript"/>
        </w:rPr>
        <w:tab/>
      </w:r>
      <w:r w:rsidRPr="001803D9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Universidade Federal do Cariri, email: </w:t>
      </w:r>
      <w:hyperlink r:id="rId2" w:history="1">
        <w:r w:rsidR="001803D9" w:rsidRPr="001803D9">
          <w:rPr>
            <w:rStyle w:val="Hyperlink"/>
            <w:rFonts w:ascii="Times New Roman" w:eastAsia="Arial" w:hAnsi="Times New Roman" w:cs="Times New Roman"/>
            <w:sz w:val="20"/>
            <w:szCs w:val="20"/>
          </w:rPr>
          <w:t>expedito.weverton@urca.br</w:t>
        </w:r>
      </w:hyperlink>
      <w:r w:rsidR="001803D9" w:rsidRPr="001803D9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</w:t>
      </w:r>
    </w:p>
  </w:footnote>
  <w:footnote w:id="3">
    <w:p w14:paraId="4E5BA734" w14:textId="77777777" w:rsidR="001803D9" w:rsidRPr="001803D9" w:rsidRDefault="001803D9" w:rsidP="001803D9">
      <w:pPr>
        <w:pStyle w:val="Textodenotaderodap"/>
        <w:tabs>
          <w:tab w:val="left" w:pos="284"/>
        </w:tabs>
        <w:rPr>
          <w:rFonts w:ascii="Times New Roman" w:hAnsi="Times New Roman" w:cs="Times New Roman"/>
        </w:rPr>
      </w:pPr>
      <w:r w:rsidRPr="001803D9">
        <w:rPr>
          <w:rStyle w:val="Caracteresdenotaderodap"/>
          <w:rFonts w:ascii="Times New Roman" w:hAnsi="Times New Roman" w:cs="Times New Roman"/>
        </w:rPr>
        <w:footnoteRef/>
      </w:r>
      <w:r w:rsidRPr="001803D9">
        <w:rPr>
          <w:rStyle w:val="FootnoteCharacters"/>
          <w:rFonts w:ascii="Times New Roman" w:hAnsi="Times New Roman" w:cs="Times New Roman"/>
        </w:rPr>
        <w:tab/>
      </w:r>
      <w:r w:rsidRPr="001803D9">
        <w:rPr>
          <w:rFonts w:ascii="Times New Roman" w:hAnsi="Times New Roman" w:cs="Times New Roman"/>
        </w:rPr>
        <w:t xml:space="preserve"> </w:t>
      </w:r>
      <w:r w:rsidRPr="001803D9">
        <w:rPr>
          <w:rFonts w:ascii="Times New Roman" w:hAnsi="Times New Roman" w:cs="Times New Roman"/>
          <w:color w:val="000000"/>
        </w:rPr>
        <w:t>Universidade Regional do Cariri</w:t>
      </w:r>
      <w:r w:rsidRPr="001803D9">
        <w:rPr>
          <w:rFonts w:ascii="Times New Roman" w:hAnsi="Times New Roman" w:cs="Times New Roman"/>
        </w:rPr>
        <w:t xml:space="preserve">, email: </w:t>
      </w:r>
      <w:hyperlink r:id="rId3" w:history="1">
        <w:r w:rsidRPr="001803D9">
          <w:rPr>
            <w:rStyle w:val="Hyperlink"/>
            <w:rFonts w:ascii="Times New Roman" w:hAnsi="Times New Roman" w:cs="Times New Roman"/>
          </w:rPr>
          <w:t>kauan.araujo@urca.br</w:t>
        </w:r>
      </w:hyperlink>
      <w:r w:rsidRPr="001803D9">
        <w:rPr>
          <w:rFonts w:ascii="Times New Roman" w:hAnsi="Times New Roman" w:cs="Times New Roman"/>
        </w:rPr>
        <w:t xml:space="preserve"> </w:t>
      </w:r>
    </w:p>
  </w:footnote>
  <w:footnote w:id="4">
    <w:p w14:paraId="2D2A43E4" w14:textId="77777777" w:rsidR="001803D9" w:rsidRDefault="001803D9" w:rsidP="001803D9">
      <w:pPr>
        <w:pStyle w:val="Textodenotaderodap"/>
        <w:tabs>
          <w:tab w:val="left" w:pos="284"/>
        </w:tabs>
      </w:pPr>
      <w:r w:rsidRPr="001803D9">
        <w:rPr>
          <w:rStyle w:val="Caracteresdenotaderodap"/>
          <w:rFonts w:ascii="Times New Roman" w:hAnsi="Times New Roman" w:cs="Times New Roman"/>
        </w:rPr>
        <w:footnoteRef/>
      </w:r>
      <w:r w:rsidRPr="001803D9">
        <w:rPr>
          <w:rStyle w:val="FootnoteCharacters"/>
          <w:rFonts w:ascii="Times New Roman" w:hAnsi="Times New Roman" w:cs="Times New Roman"/>
        </w:rPr>
        <w:tab/>
      </w:r>
      <w:r w:rsidRPr="001803D9">
        <w:rPr>
          <w:rFonts w:ascii="Times New Roman" w:hAnsi="Times New Roman" w:cs="Times New Roman"/>
        </w:rPr>
        <w:t xml:space="preserve"> </w:t>
      </w:r>
      <w:r w:rsidRPr="001803D9">
        <w:rPr>
          <w:rFonts w:ascii="Times New Roman" w:hAnsi="Times New Roman" w:cs="Times New Roman"/>
          <w:color w:val="000000"/>
        </w:rPr>
        <w:t>Universidade Regional do Cariri</w:t>
      </w:r>
      <w:r w:rsidRPr="001803D9">
        <w:rPr>
          <w:rFonts w:ascii="Times New Roman" w:hAnsi="Times New Roman" w:cs="Times New Roman"/>
        </w:rPr>
        <w:t xml:space="preserve">, email: </w:t>
      </w:r>
      <w:hyperlink r:id="rId4" w:history="1">
        <w:r w:rsidRPr="001803D9">
          <w:rPr>
            <w:rStyle w:val="Hyperlink"/>
            <w:rFonts w:ascii="Times New Roman" w:hAnsi="Times New Roman" w:cs="Times New Roman"/>
          </w:rPr>
          <w:t>tatiane.freitas@urca.br</w:t>
        </w:r>
      </w:hyperlink>
      <w:r>
        <w:rPr>
          <w:rFonts w:ascii="Arial" w:hAnsi="Arial" w:cs="Arial"/>
          <w:sz w:val="22"/>
          <w:szCs w:val="22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63471" w14:textId="77777777" w:rsidR="00CF427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noProof/>
      </w:rPr>
      <w:drawing>
        <wp:anchor distT="0" distB="0" distL="0" distR="0" simplePos="0" relativeHeight="251658240" behindDoc="0" locked="0" layoutInCell="1" hidden="0" allowOverlap="1" wp14:anchorId="068270AA" wp14:editId="5528EC5E">
          <wp:simplePos x="0" y="0"/>
          <wp:positionH relativeFrom="column">
            <wp:posOffset>266700</wp:posOffset>
          </wp:positionH>
          <wp:positionV relativeFrom="paragraph">
            <wp:posOffset>-111759</wp:posOffset>
          </wp:positionV>
          <wp:extent cx="4852670" cy="1658620"/>
          <wp:effectExtent l="0" t="0" r="0" b="0"/>
          <wp:wrapNone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52670" cy="16586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336CDB6" w14:textId="77777777" w:rsidR="00CF4272" w:rsidRDefault="00CF427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i/>
        <w:iCs/>
        <w:color w:val="000000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176B6"/>
    <w:multiLevelType w:val="multilevel"/>
    <w:tmpl w:val="02EA49DC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" w15:restartNumberingAfterBreak="0">
    <w:nsid w:val="30AF6D9C"/>
    <w:multiLevelType w:val="multilevel"/>
    <w:tmpl w:val="790068E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3913084">
    <w:abstractNumId w:val="1"/>
  </w:num>
  <w:num w:numId="2" w16cid:durableId="2146966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272"/>
    <w:rsid w:val="000F7A45"/>
    <w:rsid w:val="001803D9"/>
    <w:rsid w:val="00275B4A"/>
    <w:rsid w:val="007C6EAB"/>
    <w:rsid w:val="0099364F"/>
    <w:rsid w:val="00A84F84"/>
    <w:rsid w:val="00CF4272"/>
    <w:rsid w:val="00DD3814"/>
    <w:rsid w:val="00E515B3"/>
    <w:rsid w:val="00EE4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D024F"/>
  <w15:docId w15:val="{B21F40D3-8EB9-458E-A71D-198FDFCCD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paragraph" w:styleId="Lista">
    <w:name w:val="List"/>
    <w:basedOn w:val="Corpodetexto"/>
    <w:qFormat/>
    <w:rPr>
      <w:rFonts w:cs="Lohit Devanagari"/>
    </w:rPr>
  </w:style>
  <w:style w:type="paragraph" w:styleId="Corpodetexto">
    <w:name w:val="Body Text"/>
    <w:basedOn w:val="Normal"/>
    <w:qFormat/>
    <w:pPr>
      <w:spacing w:after="140"/>
    </w:pPr>
  </w:style>
  <w:style w:type="paragraph" w:styleId="NormalWeb">
    <w:name w:val="Normal (Web)"/>
    <w:basedOn w:val="Normal"/>
    <w:unhideWhenUsed/>
    <w:qFormat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  <w:rPr>
      <w:rFonts w:cstheme="minorBidi"/>
      <w:lang w:eastAsia="en-US"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ncoradanotaderodap">
    <w:name w:val="Âncora da nota de rodapé"/>
    <w:qFormat/>
    <w:rPr>
      <w:vertAlign w:val="superscript"/>
    </w:rPr>
  </w:style>
  <w:style w:type="character" w:customStyle="1" w:styleId="FootnoteCharacters">
    <w:name w:val="Footnote Characters"/>
    <w:basedOn w:val="Fontepargpadro"/>
    <w:uiPriority w:val="99"/>
    <w:semiHidden/>
    <w:unhideWhenUsed/>
    <w:qFormat/>
    <w:rPr>
      <w:vertAlign w:val="superscript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Calibri" w:eastAsia="Calibri" w:hAnsi="Calibri" w:cs="Times New Roman"/>
      <w:lang w:eastAsia="zh-CN"/>
    </w:rPr>
  </w:style>
  <w:style w:type="character" w:customStyle="1" w:styleId="fontstyle01">
    <w:name w:val="fontstyle01"/>
    <w:basedOn w:val="Fontepargpadro"/>
    <w:qFormat/>
    <w:rPr>
      <w:rFonts w:ascii="Verdana" w:hAnsi="Verdana"/>
      <w:b/>
      <w:bCs/>
      <w:color w:val="000000"/>
      <w:sz w:val="20"/>
      <w:szCs w:val="20"/>
    </w:rPr>
  </w:style>
  <w:style w:type="character" w:customStyle="1" w:styleId="fontstyle21">
    <w:name w:val="fontstyle21"/>
    <w:basedOn w:val="Fontepargpadro"/>
    <w:qFormat/>
    <w:rPr>
      <w:rFonts w:ascii="Verdana" w:hAnsi="Verdana"/>
      <w:color w:val="000000"/>
      <w:sz w:val="20"/>
      <w:szCs w:val="20"/>
    </w:rPr>
  </w:style>
  <w:style w:type="character" w:customStyle="1" w:styleId="fontstyle31">
    <w:name w:val="fontstyle31"/>
    <w:basedOn w:val="Fontepargpadro"/>
    <w:qFormat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1">
    <w:name w:val="fontstyle11"/>
    <w:basedOn w:val="Fontepargpadro"/>
    <w:qFormat/>
    <w:rPr>
      <w:rFonts w:ascii="TimesNewRomanPSMT" w:hAnsi="TimesNewRomanPSMT"/>
      <w:color w:val="000000"/>
      <w:sz w:val="24"/>
      <w:szCs w:val="24"/>
    </w:rPr>
  </w:style>
  <w:style w:type="character" w:customStyle="1" w:styleId="ListLabel1">
    <w:name w:val="ListLabel 1"/>
    <w:qFormat/>
    <w:rPr>
      <w:sz w:val="26"/>
    </w:rPr>
  </w:style>
  <w:style w:type="character" w:customStyle="1" w:styleId="ListLabel2">
    <w:name w:val="ListLabel 2"/>
    <w:qFormat/>
    <w:rPr>
      <w:sz w:val="26"/>
    </w:rPr>
  </w:style>
  <w:style w:type="character" w:customStyle="1" w:styleId="ListLabel3">
    <w:name w:val="ListLabel 3"/>
    <w:qFormat/>
    <w:rPr>
      <w:rFonts w:ascii="Arial" w:hAnsi="Arial"/>
      <w:sz w:val="24"/>
    </w:rPr>
  </w:style>
  <w:style w:type="character" w:customStyle="1" w:styleId="Caracteresdenotaderodap">
    <w:name w:val="Caracteres de nota de rodapé"/>
    <w:qFormat/>
  </w:style>
  <w:style w:type="character" w:customStyle="1" w:styleId="ncoradanotadefim">
    <w:name w:val="Âncora da nota de fim"/>
    <w:qFormat/>
    <w:rPr>
      <w:vertAlign w:val="superscript"/>
    </w:rPr>
  </w:style>
  <w:style w:type="character" w:customStyle="1" w:styleId="Caracteresdenotadefim">
    <w:name w:val="Caracteres de nota de fim"/>
    <w:qFormat/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character" w:styleId="TextodoEspaoReservado">
    <w:name w:val="Placeholder Text"/>
    <w:basedOn w:val="Fontepargpadro"/>
    <w:uiPriority w:val="99"/>
    <w:unhideWhenUsed/>
    <w:rsid w:val="004561BB"/>
    <w:rPr>
      <w:color w:val="666666"/>
    </w:rPr>
  </w:style>
  <w:style w:type="character" w:styleId="Hyperlink">
    <w:name w:val="Hyperlink"/>
    <w:basedOn w:val="Fontepargpadro"/>
    <w:uiPriority w:val="99"/>
    <w:unhideWhenUsed/>
    <w:rsid w:val="00DD1F20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D1F20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2">
    <w:name w:val="2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0F7A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_ato2015-2018/2015/lei/l13104.htm" TargetMode="External"/><Relationship Id="rId13" Type="http://schemas.openxmlformats.org/officeDocument/2006/relationships/hyperlink" Target="https://doi.org/10.25242/887635122022240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ortaldeboaspraticas.iff.fiocruz.br/biblioteca/feminicidios-conceitos-tipos-e-cenarios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cielosp.org/pdf/rsp/2011.v45n3/564-574/en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forumseguranca.org.br/anuario-brasileiro-seguranca-public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cielo.br/j/dados/a/H75KZrqPLQsSqXgtj4dtr4B/?lang=pt" TargetMode="Externa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mailto:kauan.araujo@urca.br" TargetMode="External"/><Relationship Id="rId2" Type="http://schemas.openxmlformats.org/officeDocument/2006/relationships/hyperlink" Target="mailto:expedito.weverton@urca.br" TargetMode="External"/><Relationship Id="rId1" Type="http://schemas.openxmlformats.org/officeDocument/2006/relationships/hyperlink" Target="mailto:salyne.costa@urca.br" TargetMode="External"/><Relationship Id="rId4" Type="http://schemas.openxmlformats.org/officeDocument/2006/relationships/hyperlink" Target="mailto:tatiane.freitas@urca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gzJEciTDcDBXbWlsCi5dbIFBmQ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yDmguYzNvNG44aG9hZGtrOAByITEwRjdub2N2b0I2RlRfU0l2STRyejFIYy1pYmxUclB3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2191</Words>
  <Characters>11837</Characters>
  <Application>Microsoft Office Word</Application>
  <DocSecurity>0</DocSecurity>
  <Lines>98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Flávio França</dc:creator>
  <cp:keywords/>
  <dc:description/>
  <cp:lastModifiedBy>Tatiane Gama</cp:lastModifiedBy>
  <cp:revision>4</cp:revision>
  <dcterms:created xsi:type="dcterms:W3CDTF">2022-11-23T11:50:00Z</dcterms:created>
  <dcterms:modified xsi:type="dcterms:W3CDTF">2026-10-23T20:31:00Z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1046-12.1.0.28032</vt:lpwstr>
  </property>
  <property fmtid="{D5CDD505-2E9C-101B-9397-08002B2CF9AE}" pid="9" name="ICV">
    <vt:lpwstr>A30526B2E69540F5B4E2DE16C52D09A4_13</vt:lpwstr>
  </property>
  <property fmtid="{D5CDD505-2E9C-101B-9397-08002B2CF9AE}" pid="10" name="KSOTemplateDocerSaveRecord">
    <vt:lpwstr>eyJoZGlkIjoiOWU1M2ViZTg0OThkZGNmZGYwNWMyNTAzYTc3Y2E3MTQiLCJ1c2VySWQiOiIxMjU0NjYwMDMzMDU5In0=</vt:lpwstr>
  </property>
</Properties>
</file>