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3627A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165A709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849739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974F16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CD67DC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53D471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92C6A7" w14:textId="77777777" w:rsidR="001326B3" w:rsidRDefault="001326B3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4B6B9C" w14:textId="7709D73A" w:rsidR="00DE0062" w:rsidRPr="0068202C" w:rsidRDefault="00DE0062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8202C">
        <w:rPr>
          <w:rFonts w:ascii="Times New Roman" w:hAnsi="Times New Roman"/>
          <w:b/>
          <w:bCs/>
          <w:sz w:val="24"/>
          <w:szCs w:val="24"/>
        </w:rPr>
        <w:t>SIMULAÇÃO CLÍNICA E TECNOLOGIAS DE FEEDBACK NA QUALIDADE DA REANIMAÇÃO CARDIOPULMONAR PEDIÁTRICA</w:t>
      </w:r>
    </w:p>
    <w:p w14:paraId="3091F55A" w14:textId="77777777" w:rsidR="0068202C" w:rsidRPr="0068202C" w:rsidRDefault="0068202C" w:rsidP="0068202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3452FE3" w14:textId="77777777" w:rsidR="009E2556" w:rsidRPr="0068202C" w:rsidRDefault="009E2556" w:rsidP="006820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202C">
        <w:rPr>
          <w:rFonts w:ascii="Times New Roman" w:hAnsi="Times New Roman"/>
          <w:b/>
          <w:sz w:val="24"/>
          <w:szCs w:val="24"/>
        </w:rPr>
        <w:t>Sarah Lima Vieira</w:t>
      </w:r>
      <w:r w:rsidR="00834B28" w:rsidRPr="0068202C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834B28" w:rsidRPr="0068202C">
        <w:rPr>
          <w:rFonts w:ascii="Times New Roman" w:hAnsi="Times New Roman"/>
          <w:b/>
          <w:caps/>
          <w:sz w:val="24"/>
          <w:szCs w:val="24"/>
        </w:rPr>
        <w:t>,</w:t>
      </w:r>
      <w:r w:rsidR="00834B28" w:rsidRPr="0068202C">
        <w:rPr>
          <w:rFonts w:ascii="Times New Roman" w:hAnsi="Times New Roman"/>
          <w:b/>
          <w:sz w:val="24"/>
          <w:szCs w:val="24"/>
        </w:rPr>
        <w:t xml:space="preserve"> </w:t>
      </w:r>
      <w:r w:rsidRPr="0068202C">
        <w:rPr>
          <w:rFonts w:ascii="Times New Roman" w:hAnsi="Times New Roman"/>
          <w:b/>
          <w:sz w:val="24"/>
          <w:szCs w:val="24"/>
        </w:rPr>
        <w:t>Charles Olegário de Brito</w:t>
      </w:r>
      <w:r w:rsidR="00834B28" w:rsidRPr="0068202C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834B28" w:rsidRPr="0068202C">
        <w:rPr>
          <w:rFonts w:ascii="Times New Roman" w:hAnsi="Times New Roman"/>
          <w:b/>
          <w:sz w:val="24"/>
          <w:szCs w:val="24"/>
        </w:rPr>
        <w:t xml:space="preserve">, </w:t>
      </w:r>
      <w:r w:rsidRPr="0068202C">
        <w:rPr>
          <w:rFonts w:ascii="Times New Roman" w:hAnsi="Times New Roman"/>
          <w:b/>
          <w:sz w:val="24"/>
          <w:szCs w:val="24"/>
        </w:rPr>
        <w:t>Ana Carolina Oliveira Fernandes</w:t>
      </w:r>
      <w:r w:rsidR="00834B28" w:rsidRPr="0068202C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834B28" w:rsidRPr="0068202C">
        <w:rPr>
          <w:rFonts w:ascii="Times New Roman" w:hAnsi="Times New Roman"/>
          <w:b/>
          <w:sz w:val="24"/>
          <w:szCs w:val="24"/>
        </w:rPr>
        <w:t xml:space="preserve"> </w:t>
      </w:r>
    </w:p>
    <w:p w14:paraId="6ACDCC34" w14:textId="5E08D2B2" w:rsidR="0005713B" w:rsidRPr="0068202C" w:rsidRDefault="009E2556" w:rsidP="006820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202C">
        <w:rPr>
          <w:rFonts w:ascii="Times New Roman" w:hAnsi="Times New Roman"/>
          <w:b/>
          <w:sz w:val="24"/>
          <w:szCs w:val="24"/>
        </w:rPr>
        <w:t xml:space="preserve"> </w:t>
      </w:r>
      <w:r w:rsidRPr="0068202C">
        <w:rPr>
          <w:rFonts w:ascii="Times New Roman" w:hAnsi="Times New Roman"/>
          <w:b/>
          <w:bCs/>
          <w:sz w:val="24"/>
          <w:szCs w:val="24"/>
        </w:rPr>
        <w:t>Riani Joyce Neves Nobrega</w:t>
      </w:r>
      <w:r w:rsidR="00834B28" w:rsidRPr="0068202C">
        <w:rPr>
          <w:rStyle w:val="ncoradanotaderodap"/>
          <w:rFonts w:ascii="Times New Roman" w:hAnsi="Times New Roman"/>
          <w:b/>
          <w:sz w:val="24"/>
          <w:szCs w:val="24"/>
        </w:rPr>
        <w:footnoteReference w:id="4"/>
      </w:r>
    </w:p>
    <w:p w14:paraId="6ACDCC35" w14:textId="77777777" w:rsidR="0005713B" w:rsidRPr="0068202C" w:rsidRDefault="0005713B" w:rsidP="0068202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8D53665" w14:textId="77777777" w:rsidR="002E1D4C" w:rsidRDefault="00834B28" w:rsidP="002E1D4C">
      <w:pPr>
        <w:keepLines/>
        <w:spacing w:after="0" w:line="240" w:lineRule="auto"/>
        <w:jc w:val="both"/>
        <w:rPr>
          <w:rFonts w:ascii="Times New Roman" w:hAnsi="Times New Roman"/>
          <w:sz w:val="24"/>
        </w:rPr>
      </w:pPr>
      <w:r w:rsidRPr="0068202C">
        <w:rPr>
          <w:rFonts w:ascii="Times New Roman" w:hAnsi="Times New Roman"/>
          <w:b/>
          <w:sz w:val="24"/>
          <w:szCs w:val="24"/>
        </w:rPr>
        <w:t xml:space="preserve">Resumo: </w:t>
      </w:r>
      <w:r w:rsidR="002E1D4C">
        <w:rPr>
          <w:rFonts w:ascii="Times New Roman" w:hAnsi="Times New Roman"/>
          <w:sz w:val="24"/>
        </w:rPr>
        <w:t xml:space="preserve">A parada cardiorrespiratória (PCR) pediátrica é uma emergência que exige reconhecimento precoce, intervenções oportunas e execução qualificada da reanimação cardiopulmonar (RCP). Além das habilidades técnicas, o atendimento depende de comunicação, organização das tarefas, tomada de decisão e atuação coordenada da equipe multiprofissional. A simulação clínica permite praticar o manejo da PCR em ambiente controlado, favorecendo a repetição de procedimentos e o desenvolvimento de competências sem expor pacientes a riscos durante o treinamento. Recursos tecnológicos e estratégias de feedback podem auxiliar na identificação de aspectos do desempenho que precisam ser corrigidos. Este estudo teve como objetivo analisar as evidências identificadas em uma revisão de escopo sobre o uso da simulação clínica e de tecnologias de feedback no treinamento, no desempenho das equipes e na qualidade da RCP pediátrica. Trata-se de um recorte temático de uma revisão de escopo orientada pelas recomendações do Joanna Briggs </w:t>
      </w:r>
      <w:proofErr w:type="spellStart"/>
      <w:r w:rsidR="002E1D4C">
        <w:rPr>
          <w:rFonts w:ascii="Times New Roman" w:hAnsi="Times New Roman"/>
          <w:sz w:val="24"/>
        </w:rPr>
        <w:t>Institute</w:t>
      </w:r>
      <w:proofErr w:type="spellEnd"/>
      <w:r w:rsidR="002E1D4C">
        <w:rPr>
          <w:rFonts w:ascii="Times New Roman" w:hAnsi="Times New Roman"/>
          <w:sz w:val="24"/>
        </w:rPr>
        <w:t xml:space="preserve"> (JBI), com relato baseado no PRISMA-</w:t>
      </w:r>
      <w:proofErr w:type="spellStart"/>
      <w:r w:rsidR="002E1D4C">
        <w:rPr>
          <w:rFonts w:ascii="Times New Roman" w:hAnsi="Times New Roman"/>
          <w:sz w:val="24"/>
        </w:rPr>
        <w:t>ScR.</w:t>
      </w:r>
      <w:proofErr w:type="spellEnd"/>
      <w:r w:rsidR="002E1D4C">
        <w:rPr>
          <w:rFonts w:ascii="Times New Roman" w:hAnsi="Times New Roman"/>
          <w:sz w:val="24"/>
        </w:rPr>
        <w:t xml:space="preserve"> A busca foi realizada entre setembro e outubro de 2025 nas bases SciELO, Biblioteca Virtual em Saúde (BVS) e </w:t>
      </w:r>
      <w:proofErr w:type="spellStart"/>
      <w:r w:rsidR="002E1D4C">
        <w:rPr>
          <w:rFonts w:ascii="Times New Roman" w:hAnsi="Times New Roman"/>
          <w:sz w:val="24"/>
        </w:rPr>
        <w:t>PubMed</w:t>
      </w:r>
      <w:proofErr w:type="spellEnd"/>
      <w:r w:rsidR="002E1D4C">
        <w:rPr>
          <w:rFonts w:ascii="Times New Roman" w:hAnsi="Times New Roman"/>
          <w:sz w:val="24"/>
        </w:rPr>
        <w:t xml:space="preserve">, além de fontes de literatura cinzenta. Foram utilizados descritores </w:t>
      </w:r>
      <w:proofErr w:type="spellStart"/>
      <w:r w:rsidR="002E1D4C">
        <w:rPr>
          <w:rFonts w:ascii="Times New Roman" w:hAnsi="Times New Roman"/>
          <w:sz w:val="24"/>
        </w:rPr>
        <w:t>DeCS</w:t>
      </w:r>
      <w:proofErr w:type="spellEnd"/>
      <w:r w:rsidR="002E1D4C">
        <w:rPr>
          <w:rFonts w:ascii="Times New Roman" w:hAnsi="Times New Roman"/>
          <w:sz w:val="24"/>
        </w:rPr>
        <w:t xml:space="preserve"> e </w:t>
      </w:r>
      <w:proofErr w:type="spellStart"/>
      <w:r w:rsidR="002E1D4C">
        <w:rPr>
          <w:rFonts w:ascii="Times New Roman" w:hAnsi="Times New Roman"/>
          <w:sz w:val="24"/>
        </w:rPr>
        <w:t>MeSH</w:t>
      </w:r>
      <w:proofErr w:type="spellEnd"/>
      <w:r w:rsidR="002E1D4C">
        <w:rPr>
          <w:rFonts w:ascii="Times New Roman" w:hAnsi="Times New Roman"/>
          <w:sz w:val="24"/>
        </w:rPr>
        <w:t>, combinados por operadores booleanos. A revisão considerou publicações de 2020 a 2025 relacionadas ao reconhecimento, manejo, intervenções ou treinamento em PCR/RCP pediátrica no contexto intra-hospitalar. Foram identificados 388 registros e, após as etapas de seleção e avaliação de elegibilidade, cinco estudos foram incluídos. As publicações, datadas de 2020 a 2024, abordaram aplicativo interativo, organização e treinamento de equipes, feedback em tempo real e educação baseada em simulação. Os achados descritos apontaram potencial para apoiar a organização do atendimento, a adesão aos protocolos, a qualidade das manobras de RCP, a comunicação e o trabalho em equipe. Entretanto, a quantidade reduzida e a diversidade dos estudos limitam a comparação dos resultados e não permitem concluir sobre efeitos diretos nos desfechos clínicos dos pacientes. Conclui-se que a simulação clínica, associada a recursos tecnológicos e feedback, constitui estratégia relevante para a capacitação em RCP pediátrica, sendo necessárias novas pesquisas com descrição metodológica clara e avaliação dos resultados do treinamento.</w:t>
      </w:r>
    </w:p>
    <w:p w14:paraId="6ACDCC3E" w14:textId="6DDEFCD0" w:rsidR="0005713B" w:rsidRPr="0068202C" w:rsidRDefault="00834B28" w:rsidP="0068202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 xml:space="preserve">Palavras-chave: </w:t>
      </w:r>
      <w:r w:rsidR="009E2556" w:rsidRPr="0068202C">
        <w:rPr>
          <w:rFonts w:ascii="Times New Roman" w:hAnsi="Times New Roman"/>
          <w:sz w:val="24"/>
          <w:szCs w:val="24"/>
        </w:rPr>
        <w:t>Parada Cardiorrespiratória Infantil. Reanimação Cardiopulmonar. Simulação Clínica</w:t>
      </w:r>
      <w:r w:rsidR="00E02606" w:rsidRPr="0068202C">
        <w:rPr>
          <w:rFonts w:ascii="Times New Roman" w:hAnsi="Times New Roman"/>
          <w:sz w:val="24"/>
          <w:szCs w:val="24"/>
        </w:rPr>
        <w:t xml:space="preserve">. </w:t>
      </w:r>
      <w:r w:rsidR="009E2556" w:rsidRPr="0068202C">
        <w:rPr>
          <w:rFonts w:ascii="Times New Roman" w:hAnsi="Times New Roman"/>
          <w:sz w:val="24"/>
          <w:szCs w:val="24"/>
        </w:rPr>
        <w:t>Feedback.</w:t>
      </w:r>
    </w:p>
    <w:p w14:paraId="04070642" w14:textId="77777777" w:rsidR="0068202C" w:rsidRPr="0068202C" w:rsidRDefault="0068202C" w:rsidP="0068202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FE252B" w14:textId="77777777" w:rsidR="001326B3" w:rsidRDefault="001326B3" w:rsidP="0068202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106B8F93" w14:textId="77777777" w:rsidR="001326B3" w:rsidRDefault="001326B3" w:rsidP="0068202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1F1D6381" w14:textId="77777777" w:rsidR="001326B3" w:rsidRDefault="001326B3" w:rsidP="0068202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35E54975" w14:textId="77777777" w:rsidR="001326B3" w:rsidRDefault="001326B3" w:rsidP="0068202C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04D7A0F3" w14:textId="77777777" w:rsidR="001326B3" w:rsidRDefault="001326B3" w:rsidP="001326B3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p w14:paraId="6ACDCC3F" w14:textId="07AA8ABB" w:rsidR="0005713B" w:rsidRPr="0068202C" w:rsidRDefault="00834B28" w:rsidP="001326B3">
      <w:pPr>
        <w:pStyle w:val="NormalWeb"/>
        <w:numPr>
          <w:ilvl w:val="0"/>
          <w:numId w:val="2"/>
        </w:numPr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>Introdução</w:t>
      </w:r>
    </w:p>
    <w:p w14:paraId="5C99F3E0" w14:textId="77777777" w:rsidR="002E1D4C" w:rsidRPr="002E1D4C" w:rsidRDefault="002E1D4C" w:rsidP="001326B3">
      <w:pPr>
        <w:pStyle w:val="NormalWeb"/>
        <w:spacing w:beforeAutospacing="0" w:after="0" w:afterAutospacing="0"/>
        <w:jc w:val="both"/>
      </w:pPr>
      <w:r w:rsidRPr="002E1D4C">
        <w:t>Além das habilidades técnicas, o atendimento depende de competências como comunicação, liderança, divisão de tarefas e tomada de decisão. A falta de preparo e de organização da equipe pode comprometer a qualidade das intervenções durante a emergência, reforçando a importância de treinamentos que aproximem os profissionais das situações reais de atendimento.</w:t>
      </w:r>
    </w:p>
    <w:p w14:paraId="192DBFDB" w14:textId="77777777" w:rsidR="002E1D4C" w:rsidRPr="002E1D4C" w:rsidRDefault="002E1D4C" w:rsidP="001326B3">
      <w:pPr>
        <w:pStyle w:val="NormalWeb"/>
        <w:spacing w:beforeAutospacing="0" w:after="0" w:afterAutospacing="0"/>
        <w:jc w:val="both"/>
      </w:pPr>
      <w:r w:rsidRPr="002E1D4C">
        <w:t>Nesse contexto, a simulação clínica constitui uma estratégia de ensino que permite praticar o manejo da PCR pediátrica em ambiente controlado e seguro, favorecendo o desenvolvimento de habilidades técnicas e não técnicas. Recursos como aplicativos educativos, feedback em tempo real e prática deliberada em ciclos rápidos podem contribuir para a correção de falhas, o aprimoramento das manobras e a organização do atendimento.</w:t>
      </w:r>
    </w:p>
    <w:p w14:paraId="730C65F6" w14:textId="77777777" w:rsidR="002E1D4C" w:rsidRDefault="002E1D4C" w:rsidP="001326B3">
      <w:pPr>
        <w:keepLines/>
        <w:spacing w:after="0" w:line="240" w:lineRule="auto"/>
        <w:jc w:val="both"/>
      </w:pPr>
      <w:r w:rsidRPr="002E1D4C">
        <w:rPr>
          <w:rFonts w:ascii="Times New Roman" w:eastAsia="Times New Roman" w:hAnsi="Times New Roman"/>
          <w:sz w:val="24"/>
          <w:szCs w:val="24"/>
          <w:lang w:eastAsia="pt-BR"/>
        </w:rPr>
        <w:t>Apesar dos benefícios potenciais, é importante compreender como essas estratégias vêm sendo utilizadas e quais resultados são descritos na literatura.</w:t>
      </w:r>
      <w:r>
        <w:t xml:space="preserve"> </w:t>
      </w:r>
      <w:r>
        <w:rPr>
          <w:rFonts w:ascii="Times New Roman" w:eastAsia="Times New Roman" w:hAnsi="Times New Roman"/>
          <w:sz w:val="24"/>
        </w:rPr>
        <w:t>Este artigo constitui um recorte temático da revisão de escopo “Simulação Clínica no Manejo da Parada Cardiorrespiratória Pediátrica: uma Revisão de Escopo”, com foco na simulação clínica e nas tecnologias de feedback aplicadas ao treinamento e à qualidade da RCP pediátrica.</w:t>
      </w:r>
    </w:p>
    <w:p w14:paraId="3DB079D1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Objetivo: analisar as evidências identificadas na revisão de escopo sobre o uso da simulação clínica e de tecnologias de feedback no treinamento, no desempenho das equipes e na qualidade da RCP pediátrica.</w:t>
      </w:r>
    </w:p>
    <w:p w14:paraId="0B25E21E" w14:textId="363E0CAF" w:rsidR="002E1D4C" w:rsidRPr="002E1D4C" w:rsidRDefault="002E1D4C" w:rsidP="001326B3">
      <w:pPr>
        <w:pStyle w:val="NormalWeb"/>
        <w:spacing w:beforeAutospacing="0" w:after="0" w:afterAutospacing="0"/>
        <w:jc w:val="both"/>
      </w:pPr>
    </w:p>
    <w:p w14:paraId="6ACDCC42" w14:textId="1F5B71EF" w:rsidR="0005713B" w:rsidRPr="0068202C" w:rsidRDefault="00834B28" w:rsidP="001326B3">
      <w:pPr>
        <w:pStyle w:val="NormalWeb"/>
        <w:numPr>
          <w:ilvl w:val="0"/>
          <w:numId w:val="2"/>
        </w:numPr>
        <w:spacing w:beforeAutospacing="0" w:after="0" w:afterAutospacing="0"/>
        <w:ind w:left="284" w:hanging="284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>Metodologia</w:t>
      </w:r>
    </w:p>
    <w:p w14:paraId="070112A0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Trata-se de um recorte temático de uma revisão de escopo conduzida conforme as orientações do Joanna Briggs </w:t>
      </w:r>
      <w:proofErr w:type="spellStart"/>
      <w:r>
        <w:rPr>
          <w:rFonts w:ascii="Times New Roman" w:eastAsia="Times New Roman" w:hAnsi="Times New Roman"/>
          <w:sz w:val="24"/>
        </w:rPr>
        <w:t>Institute</w:t>
      </w:r>
      <w:proofErr w:type="spellEnd"/>
      <w:r>
        <w:rPr>
          <w:rFonts w:ascii="Times New Roman" w:eastAsia="Times New Roman" w:hAnsi="Times New Roman"/>
          <w:sz w:val="24"/>
        </w:rPr>
        <w:t xml:space="preserve"> (JBI), com relato orientado pelo PRISMA-</w:t>
      </w:r>
      <w:proofErr w:type="spellStart"/>
      <w:r>
        <w:rPr>
          <w:rFonts w:ascii="Times New Roman" w:eastAsia="Times New Roman" w:hAnsi="Times New Roman"/>
          <w:sz w:val="24"/>
        </w:rPr>
        <w:t>ScR.</w:t>
      </w:r>
      <w:proofErr w:type="spellEnd"/>
      <w:r>
        <w:rPr>
          <w:rFonts w:ascii="Times New Roman" w:eastAsia="Times New Roman" w:hAnsi="Times New Roman"/>
          <w:sz w:val="24"/>
        </w:rPr>
        <w:t xml:space="preserve"> Esse delineamento permite mapear as evidências disponíveis sobre um tema e identificar lacunas na literatura.</w:t>
      </w:r>
    </w:p>
    <w:p w14:paraId="4F344709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 pergunta da revisão foi estruturada pela estratégia PCC: População (P) — crianças; Conceito (C) — reconhecimento, intervenções e manejo da PCR; Contexto (C) — atendimento intra-hospitalar. A questão norteadora foi: “Quais são as evidências publicadas entre 2020 e 2025 sobre o reconhecimento e o manejo da PCR em crianças em contextos intra-hospitalares?”</w:t>
      </w:r>
    </w:p>
    <w:p w14:paraId="239605FA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A busca foi realizada entre setembro e outubro de 2025 nas bases SciELO, Biblioteca Virtual em Saúde (BVS) e </w:t>
      </w:r>
      <w:proofErr w:type="spellStart"/>
      <w:r>
        <w:rPr>
          <w:rFonts w:ascii="Times New Roman" w:eastAsia="Times New Roman" w:hAnsi="Times New Roman"/>
          <w:sz w:val="24"/>
        </w:rPr>
        <w:t>PubMed</w:t>
      </w:r>
      <w:proofErr w:type="spellEnd"/>
      <w:r>
        <w:rPr>
          <w:rFonts w:ascii="Times New Roman" w:eastAsia="Times New Roman" w:hAnsi="Times New Roman"/>
          <w:sz w:val="24"/>
        </w:rPr>
        <w:t xml:space="preserve">, além de literatura cinzenta. Foram utilizados descritores </w:t>
      </w:r>
      <w:proofErr w:type="spellStart"/>
      <w:r>
        <w:rPr>
          <w:rFonts w:ascii="Times New Roman" w:eastAsia="Times New Roman" w:hAnsi="Times New Roman"/>
          <w:sz w:val="24"/>
        </w:rPr>
        <w:t>DeCS</w:t>
      </w:r>
      <w:proofErr w:type="spellEnd"/>
      <w:r>
        <w:rPr>
          <w:rFonts w:ascii="Times New Roman" w:eastAsia="Times New Roman" w:hAnsi="Times New Roman"/>
          <w:sz w:val="24"/>
        </w:rPr>
        <w:t xml:space="preserve"> e </w:t>
      </w:r>
      <w:proofErr w:type="spellStart"/>
      <w:r>
        <w:rPr>
          <w:rFonts w:ascii="Times New Roman" w:eastAsia="Times New Roman" w:hAnsi="Times New Roman"/>
          <w:sz w:val="24"/>
        </w:rPr>
        <w:t>MeSH</w:t>
      </w:r>
      <w:proofErr w:type="spellEnd"/>
      <w:r>
        <w:rPr>
          <w:rFonts w:ascii="Times New Roman" w:eastAsia="Times New Roman" w:hAnsi="Times New Roman"/>
          <w:sz w:val="24"/>
        </w:rPr>
        <w:t xml:space="preserve"> combinados pelos operadores booleanos AND e OR, conforme a estratégia de busca da monografia.</w:t>
      </w:r>
    </w:p>
    <w:p w14:paraId="4D701C44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Foram considerados estudos publicados entre 2020 e 2025 sobre PCR ou RCP pediátrica no contexto hospitalar, relacionados ao reconhecimento, manejo, intervenções ou treinamento. Foram excluídos materiais que não respondiam à pergunta da revisão ou não atendiam aos critérios definidos.</w:t>
      </w:r>
    </w:p>
    <w:p w14:paraId="60F92B60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 seleção incluiu identificação dos registros, triagem de títulos e resumos e avaliação dos textos completos. O processo foi organizado segundo as etapas recomendadas pelo PRISMA-</w:t>
      </w:r>
      <w:proofErr w:type="spellStart"/>
      <w:r>
        <w:rPr>
          <w:rFonts w:ascii="Times New Roman" w:eastAsia="Times New Roman" w:hAnsi="Times New Roman"/>
          <w:sz w:val="24"/>
        </w:rPr>
        <w:t>ScR</w:t>
      </w:r>
      <w:proofErr w:type="spellEnd"/>
      <w:r>
        <w:rPr>
          <w:rFonts w:ascii="Times New Roman" w:eastAsia="Times New Roman" w:hAnsi="Times New Roman"/>
          <w:sz w:val="24"/>
        </w:rPr>
        <w:t>, com registro das exclusões durante a seleção.</w:t>
      </w:r>
    </w:p>
    <w:p w14:paraId="059E5BFD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36CA1817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77BD4133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3C08DD75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065E5CB5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31995852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7B475EA5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2BD51F97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1CE97827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5201F770" w14:textId="2A29B3F5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Os dados foram extraídos com instrumento elaborado pela autora e organizados em quadro-síntese, incluindo autoria, ano, objetivo, método e principais resultados. Para este artigo, a síntese priorizou os achados relacionados à simulação clínica, às tecnologias de apoio, ao feedback e à qualidade da RCP pediátrica.</w:t>
      </w:r>
    </w:p>
    <w:p w14:paraId="6ACDCC44" w14:textId="77777777" w:rsidR="0005713B" w:rsidRPr="0068202C" w:rsidRDefault="0005713B" w:rsidP="001326B3">
      <w:pPr>
        <w:pStyle w:val="NormalWeb"/>
        <w:spacing w:beforeAutospacing="0" w:after="0" w:afterAutospacing="0"/>
        <w:jc w:val="both"/>
        <w:rPr>
          <w:rStyle w:val="fontstyle21"/>
          <w:rFonts w:ascii="Times New Roman" w:hAnsi="Times New Roman"/>
          <w:sz w:val="24"/>
          <w:szCs w:val="24"/>
        </w:rPr>
      </w:pPr>
    </w:p>
    <w:p w14:paraId="6ACDCC45" w14:textId="602DB831" w:rsidR="0005713B" w:rsidRPr="0068202C" w:rsidRDefault="00834B28" w:rsidP="001326B3">
      <w:pPr>
        <w:pStyle w:val="NormalWeb"/>
        <w:numPr>
          <w:ilvl w:val="0"/>
          <w:numId w:val="2"/>
        </w:numPr>
        <w:spacing w:beforeAutospacing="0" w:after="0" w:afterAutospacing="0"/>
        <w:ind w:left="0" w:firstLine="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 xml:space="preserve">Resultados </w:t>
      </w:r>
    </w:p>
    <w:p w14:paraId="0E29970F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Foram identificados 388 registros: 45 na SciELO, 96 na BVS e 247 no </w:t>
      </w:r>
      <w:proofErr w:type="spellStart"/>
      <w:r>
        <w:rPr>
          <w:rFonts w:ascii="Times New Roman" w:eastAsia="Times New Roman" w:hAnsi="Times New Roman"/>
          <w:sz w:val="24"/>
        </w:rPr>
        <w:t>PubMed</w:t>
      </w:r>
      <w:proofErr w:type="spellEnd"/>
      <w:r>
        <w:rPr>
          <w:rFonts w:ascii="Times New Roman" w:eastAsia="Times New Roman" w:hAnsi="Times New Roman"/>
          <w:sz w:val="24"/>
        </w:rPr>
        <w:t xml:space="preserve">. Após a triagem e a avaliação de elegibilidade, cinco estudos científicos foram incluídos. As recomendações da American Heart </w:t>
      </w:r>
      <w:proofErr w:type="spellStart"/>
      <w:r>
        <w:rPr>
          <w:rFonts w:ascii="Times New Roman" w:eastAsia="Times New Roman" w:hAnsi="Times New Roman"/>
          <w:sz w:val="24"/>
        </w:rPr>
        <w:t>Association</w:t>
      </w:r>
      <w:proofErr w:type="spellEnd"/>
      <w:r>
        <w:rPr>
          <w:rFonts w:ascii="Times New Roman" w:eastAsia="Times New Roman" w:hAnsi="Times New Roman"/>
          <w:sz w:val="24"/>
        </w:rPr>
        <w:t xml:space="preserve"> (AHA) foram consideradas literatura cinzenta para contextualizar a discussão, sem compor os cinco estudos incluídos.</w:t>
      </w:r>
    </w:p>
    <w:p w14:paraId="6C94D916" w14:textId="77777777" w:rsidR="002E1D4C" w:rsidRDefault="002E1D4C" w:rsidP="001326B3">
      <w:pPr>
        <w:keepNext/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>3.1 Caracterização dos estudos incluídos</w:t>
      </w:r>
    </w:p>
    <w:p w14:paraId="25591B80" w14:textId="4E44E6F9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Os cinco estudos foram publicados entre 2020 e 2024, com dois em 2024</w:t>
      </w:r>
      <w:r w:rsidR="00A637AF">
        <w:rPr>
          <w:rFonts w:ascii="Times New Roman" w:eastAsia="Times New Roman" w:hAnsi="Times New Roman"/>
          <w:sz w:val="24"/>
        </w:rPr>
        <w:t>. Qu</w:t>
      </w:r>
      <w:r>
        <w:rPr>
          <w:rFonts w:ascii="Times New Roman" w:eastAsia="Times New Roman" w:hAnsi="Times New Roman"/>
          <w:sz w:val="24"/>
        </w:rPr>
        <w:t>atro foram classificados como quantitativos e um como qualitativo. Os temas abrangeram aplicativo interativo, organização e treinamento de equipes, feedback em tempo real e educação baseada em simulação.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102"/>
        <w:gridCol w:w="2163"/>
        <w:gridCol w:w="2107"/>
        <w:gridCol w:w="2122"/>
      </w:tblGrid>
      <w:tr w:rsidR="002E1D4C" w14:paraId="2F8442A5" w14:textId="77777777" w:rsidTr="0087669A">
        <w:trPr>
          <w:jc w:val="center"/>
        </w:trPr>
        <w:tc>
          <w:tcPr>
            <w:tcW w:w="2340" w:type="dxa"/>
            <w:shd w:val="clear" w:color="auto" w:fill="D9E2F3"/>
            <w:vAlign w:val="center"/>
          </w:tcPr>
          <w:p w14:paraId="6680D6BD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18"/>
              </w:rPr>
              <w:t>Estudo/ano</w:t>
            </w:r>
          </w:p>
        </w:tc>
        <w:tc>
          <w:tcPr>
            <w:tcW w:w="2340" w:type="dxa"/>
            <w:shd w:val="clear" w:color="auto" w:fill="D9E2F3"/>
            <w:vAlign w:val="center"/>
          </w:tcPr>
          <w:p w14:paraId="77BAF74F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18"/>
              </w:rPr>
              <w:t>Objetivo ou foco</w:t>
            </w:r>
          </w:p>
        </w:tc>
        <w:tc>
          <w:tcPr>
            <w:tcW w:w="2340" w:type="dxa"/>
            <w:shd w:val="clear" w:color="auto" w:fill="D9E2F3"/>
            <w:vAlign w:val="center"/>
          </w:tcPr>
          <w:p w14:paraId="5AAE8C0E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18"/>
              </w:rPr>
              <w:t>Método informado</w:t>
            </w:r>
          </w:p>
        </w:tc>
        <w:tc>
          <w:tcPr>
            <w:tcW w:w="2340" w:type="dxa"/>
            <w:shd w:val="clear" w:color="auto" w:fill="D9E2F3"/>
            <w:vAlign w:val="center"/>
          </w:tcPr>
          <w:p w14:paraId="753FE6C0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/>
                <w:sz w:val="18"/>
              </w:rPr>
              <w:t>Principais resultados descritos</w:t>
            </w:r>
          </w:p>
        </w:tc>
      </w:tr>
      <w:tr w:rsidR="002E1D4C" w14:paraId="14A3524B" w14:textId="77777777" w:rsidTr="0087669A">
        <w:trPr>
          <w:jc w:val="center"/>
        </w:trPr>
        <w:tc>
          <w:tcPr>
            <w:tcW w:w="2340" w:type="dxa"/>
            <w:vAlign w:val="center"/>
          </w:tcPr>
          <w:p w14:paraId="7FFD872F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Corazza et al. (2020)</w:t>
            </w:r>
          </w:p>
        </w:tc>
        <w:tc>
          <w:tcPr>
            <w:tcW w:w="2340" w:type="dxa"/>
            <w:vAlign w:val="center"/>
          </w:tcPr>
          <w:p w14:paraId="3C380EB6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 xml:space="preserve">Desenvolver e avaliar a usabilidade do aplicativo interativo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PediAppRREST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em tablet para apoiar o manejo da PCR pediátrica em treinamentos simulados.</w:t>
            </w:r>
          </w:p>
        </w:tc>
        <w:tc>
          <w:tcPr>
            <w:tcW w:w="2340" w:type="dxa"/>
            <w:vAlign w:val="center"/>
          </w:tcPr>
          <w:p w14:paraId="4D9920AD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Quantitativo</w:t>
            </w:r>
          </w:p>
        </w:tc>
        <w:tc>
          <w:tcPr>
            <w:tcW w:w="2340" w:type="dxa"/>
            <w:vAlign w:val="center"/>
          </w:tcPr>
          <w:p w14:paraId="06876E68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Boa aceitação e facilidade de uso do aplicativo, com potencial para apoiar a organização do atendimento e a adesão aos protocolos durante a simulação.</w:t>
            </w:r>
          </w:p>
        </w:tc>
      </w:tr>
      <w:tr w:rsidR="002E1D4C" w14:paraId="714A1F15" w14:textId="77777777" w:rsidTr="0087669A">
        <w:trPr>
          <w:jc w:val="center"/>
        </w:trPr>
        <w:tc>
          <w:tcPr>
            <w:tcW w:w="2340" w:type="dxa"/>
            <w:vAlign w:val="center"/>
          </w:tcPr>
          <w:p w14:paraId="5898B7CC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Wolfe et al. (2021)</w:t>
            </w:r>
          </w:p>
        </w:tc>
        <w:tc>
          <w:tcPr>
            <w:tcW w:w="2340" w:type="dxa"/>
            <w:vAlign w:val="center"/>
          </w:tcPr>
          <w:p w14:paraId="75D001EB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Descrever a estrutura, a composição, o treinamento e as práticas das equipes de resposta à PCR pediátrica em hospitais participantes de colaboração internacional.</w:t>
            </w:r>
          </w:p>
        </w:tc>
        <w:tc>
          <w:tcPr>
            <w:tcW w:w="2340" w:type="dxa"/>
            <w:vAlign w:val="center"/>
          </w:tcPr>
          <w:p w14:paraId="47E69B64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Quantitativo</w:t>
            </w:r>
          </w:p>
        </w:tc>
        <w:tc>
          <w:tcPr>
            <w:tcW w:w="2340" w:type="dxa"/>
            <w:vAlign w:val="center"/>
          </w:tcPr>
          <w:p w14:paraId="74E43174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Variabilidade entre instituições na composição das equipes, na frequência dos treinamentos e no uso de feedback sobre a qualidade da RCP.</w:t>
            </w:r>
          </w:p>
        </w:tc>
      </w:tr>
      <w:tr w:rsidR="002E1D4C" w14:paraId="717DB1B7" w14:textId="77777777" w:rsidTr="0087669A">
        <w:trPr>
          <w:jc w:val="center"/>
        </w:trPr>
        <w:tc>
          <w:tcPr>
            <w:tcW w:w="2340" w:type="dxa"/>
            <w:vAlign w:val="center"/>
          </w:tcPr>
          <w:p w14:paraId="439750DB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Frazier et al. (2022)</w:t>
            </w:r>
          </w:p>
        </w:tc>
        <w:tc>
          <w:tcPr>
            <w:tcW w:w="2340" w:type="dxa"/>
            <w:vAlign w:val="center"/>
          </w:tcPr>
          <w:p w14:paraId="1F05AE83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Avaliar o uso de feedback em tempo real na qualidade da RCP pediátrica.</w:t>
            </w:r>
          </w:p>
        </w:tc>
        <w:tc>
          <w:tcPr>
            <w:tcW w:w="2340" w:type="dxa"/>
            <w:vAlign w:val="center"/>
          </w:tcPr>
          <w:p w14:paraId="38049FF9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Quantitativo</w:t>
            </w:r>
          </w:p>
        </w:tc>
        <w:tc>
          <w:tcPr>
            <w:tcW w:w="2340" w:type="dxa"/>
            <w:vAlign w:val="center"/>
          </w:tcPr>
          <w:p w14:paraId="2479D8C5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Melhora significativa nos parâmetros de qualidade da RCP foi descrita com o uso de feedback em tempo real.</w:t>
            </w:r>
          </w:p>
        </w:tc>
      </w:tr>
      <w:tr w:rsidR="002E1D4C" w14:paraId="5A64E44F" w14:textId="77777777" w:rsidTr="0087669A">
        <w:trPr>
          <w:jc w:val="center"/>
        </w:trPr>
        <w:tc>
          <w:tcPr>
            <w:tcW w:w="2340" w:type="dxa"/>
            <w:vAlign w:val="center"/>
          </w:tcPr>
          <w:p w14:paraId="7E17A380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Pereira e Silva (2024)</w:t>
            </w:r>
          </w:p>
        </w:tc>
        <w:tc>
          <w:tcPr>
            <w:tcW w:w="2340" w:type="dxa"/>
            <w:vAlign w:val="center"/>
          </w:tcPr>
          <w:p w14:paraId="6BE86699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 xml:space="preserve">Descrever um programa de treinamento interdisciplinar em PCR pediátrica com a metodologia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Rapid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Cycle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Deliberate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8"/>
              </w:rPr>
              <w:t>Practice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(RCDP).</w:t>
            </w:r>
          </w:p>
        </w:tc>
        <w:tc>
          <w:tcPr>
            <w:tcW w:w="2340" w:type="dxa"/>
            <w:vAlign w:val="center"/>
          </w:tcPr>
          <w:p w14:paraId="4DB4FA96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Quantitativo</w:t>
            </w:r>
          </w:p>
        </w:tc>
        <w:tc>
          <w:tcPr>
            <w:tcW w:w="2340" w:type="dxa"/>
            <w:vAlign w:val="center"/>
          </w:tcPr>
          <w:p w14:paraId="32FE21D6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O treinamento foi associado à melhora do desempenho técnico, da comunicação e do trabalho em equipe durante a PCR pediátrica.</w:t>
            </w:r>
          </w:p>
        </w:tc>
      </w:tr>
      <w:tr w:rsidR="002E1D4C" w14:paraId="7315CD47" w14:textId="77777777" w:rsidTr="0087669A">
        <w:trPr>
          <w:jc w:val="center"/>
        </w:trPr>
        <w:tc>
          <w:tcPr>
            <w:tcW w:w="2340" w:type="dxa"/>
            <w:vAlign w:val="center"/>
          </w:tcPr>
          <w:p w14:paraId="6B97952C" w14:textId="77777777" w:rsidR="002E1D4C" w:rsidRDefault="002E1D4C" w:rsidP="001326B3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/>
                <w:sz w:val="18"/>
              </w:rPr>
              <w:t>O’Leary</w:t>
            </w:r>
            <w:proofErr w:type="spellEnd"/>
            <w:r>
              <w:rPr>
                <w:rFonts w:ascii="Times New Roman" w:eastAsia="Times New Roman" w:hAnsi="Times New Roman"/>
                <w:sz w:val="18"/>
              </w:rPr>
              <w:t xml:space="preserve"> (2024)</w:t>
            </w:r>
          </w:p>
        </w:tc>
        <w:tc>
          <w:tcPr>
            <w:tcW w:w="2340" w:type="dxa"/>
            <w:vAlign w:val="center"/>
          </w:tcPr>
          <w:p w14:paraId="31429718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Discutir o papel da educação baseada em simulação no treinamento em reanimação pediátrica.</w:t>
            </w:r>
          </w:p>
        </w:tc>
        <w:tc>
          <w:tcPr>
            <w:tcW w:w="2340" w:type="dxa"/>
            <w:vAlign w:val="center"/>
          </w:tcPr>
          <w:p w14:paraId="62AB52F3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Qualitativo</w:t>
            </w:r>
          </w:p>
        </w:tc>
        <w:tc>
          <w:tcPr>
            <w:tcW w:w="2340" w:type="dxa"/>
            <w:vAlign w:val="center"/>
          </w:tcPr>
          <w:p w14:paraId="619A2F4F" w14:textId="77777777" w:rsidR="002E1D4C" w:rsidRDefault="002E1D4C" w:rsidP="001326B3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18"/>
              </w:rPr>
              <w:t>A simulação foi apresentada como estratégia para desenvolver habilidades técnicas, tomada de decisão e trabalho em equipe.</w:t>
            </w:r>
          </w:p>
        </w:tc>
      </w:tr>
    </w:tbl>
    <w:p w14:paraId="267105FF" w14:textId="6CC68992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0"/>
        </w:rPr>
        <w:t xml:space="preserve">Fonte: Elaborado </w:t>
      </w:r>
      <w:r w:rsidR="00A637AF">
        <w:rPr>
          <w:rFonts w:ascii="Times New Roman" w:eastAsia="Times New Roman" w:hAnsi="Times New Roman"/>
          <w:sz w:val="20"/>
        </w:rPr>
        <w:t>pela autora.</w:t>
      </w:r>
    </w:p>
    <w:p w14:paraId="4A2645B7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6A5D50F4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6DF0DB00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65A9CEDC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2C42F2B9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3A5F20F4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40C5C65D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0803B197" w14:textId="77777777" w:rsidR="001326B3" w:rsidRDefault="001326B3" w:rsidP="001326B3">
      <w:pPr>
        <w:keepLines/>
        <w:spacing w:after="0" w:line="240" w:lineRule="auto"/>
        <w:jc w:val="both"/>
        <w:rPr>
          <w:rFonts w:ascii="Times New Roman" w:eastAsia="Times New Roman" w:hAnsi="Times New Roman"/>
          <w:sz w:val="24"/>
        </w:rPr>
      </w:pPr>
    </w:p>
    <w:p w14:paraId="58FFBC03" w14:textId="7E57C3E9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Em conjunto, os estudos apresentam diferentes estratégias de capacitação para a PCR pediátrica. A predominância de estudos quantitativos e o número reduzido de publicações limitam a generalização dos achados e indicam a necessidade de pesquisas adicionais.</w:t>
      </w:r>
    </w:p>
    <w:p w14:paraId="65DC97A7" w14:textId="77777777" w:rsidR="002E1D4C" w:rsidRDefault="002E1D4C" w:rsidP="001326B3">
      <w:pPr>
        <w:keepNext/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4"/>
        </w:rPr>
        <w:t>3.2 Simulação clínica, tecnologias e qualidade da RCP</w:t>
      </w:r>
    </w:p>
    <w:p w14:paraId="5AB2D654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Corazza et al. (2020) avaliaram o aplicativo </w:t>
      </w:r>
      <w:proofErr w:type="spellStart"/>
      <w:r>
        <w:rPr>
          <w:rFonts w:ascii="Times New Roman" w:eastAsia="Times New Roman" w:hAnsi="Times New Roman"/>
          <w:sz w:val="24"/>
        </w:rPr>
        <w:t>PediAppRREST</w:t>
      </w:r>
      <w:proofErr w:type="spellEnd"/>
      <w:r>
        <w:rPr>
          <w:rFonts w:ascii="Times New Roman" w:eastAsia="Times New Roman" w:hAnsi="Times New Roman"/>
          <w:sz w:val="24"/>
        </w:rPr>
        <w:t>, que apresentou boa aceitação e facilidade de uso, com potencial para apoiar a organização do atendimento simulado e a adesão aos protocolos. Frazier et al. (2022) descreveram melhora nos parâmetros de qualidade da RCP com o uso de feedback em tempo real.</w:t>
      </w:r>
    </w:p>
    <w:p w14:paraId="19D54D9A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Wolfe et al. (2021) identificaram diferenças entre instituições na composição das equipes, na frequência dos treinamentos e no uso de feedback, indicando que a preparação também depende da organização dos serviços e da prática regular.</w:t>
      </w:r>
    </w:p>
    <w:p w14:paraId="270ED4CE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 xml:space="preserve">Pereira e Silva (2024) relataram melhora no desempenho técnico, na comunicação e no trabalho em equipe após treinamento interdisciplinar com </w:t>
      </w:r>
      <w:proofErr w:type="spellStart"/>
      <w:r>
        <w:rPr>
          <w:rFonts w:ascii="Times New Roman" w:eastAsia="Times New Roman" w:hAnsi="Times New Roman"/>
          <w:sz w:val="24"/>
        </w:rPr>
        <w:t>Rapid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Cycle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Deliberate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Practice</w:t>
      </w:r>
      <w:proofErr w:type="spellEnd"/>
      <w:r>
        <w:rPr>
          <w:rFonts w:ascii="Times New Roman" w:eastAsia="Times New Roman" w:hAnsi="Times New Roman"/>
          <w:sz w:val="24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</w:rPr>
        <w:t>O’Leary</w:t>
      </w:r>
      <w:proofErr w:type="spellEnd"/>
      <w:r>
        <w:rPr>
          <w:rFonts w:ascii="Times New Roman" w:eastAsia="Times New Roman" w:hAnsi="Times New Roman"/>
          <w:sz w:val="24"/>
        </w:rPr>
        <w:t xml:space="preserve"> (2024) destacou a simulação como estratégia para desenvolver habilidades técnicas, tomada de decisão e colaboração.</w:t>
      </w:r>
    </w:p>
    <w:p w14:paraId="7F069DBA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Os achados sugerem que a simulação e o feedback podem apoiar o treinamento e o desempenho durante a RCP pediátrica. Contudo, o número limitado e a diversidade dos estudos não permitem concluir que essas estratégias melhorem diretamente os desfechos clínicos dos pacientes.</w:t>
      </w:r>
    </w:p>
    <w:p w14:paraId="6ACDCC52" w14:textId="4E90AF20" w:rsidR="0005713B" w:rsidRPr="0068202C" w:rsidRDefault="00834B28" w:rsidP="001326B3">
      <w:pPr>
        <w:pStyle w:val="NormalWeb"/>
        <w:numPr>
          <w:ilvl w:val="0"/>
          <w:numId w:val="2"/>
        </w:numPr>
        <w:spacing w:beforeAutospacing="0" w:after="0" w:afterAutospacing="0"/>
        <w:ind w:left="0" w:firstLine="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 xml:space="preserve">Conclusão </w:t>
      </w:r>
    </w:p>
    <w:p w14:paraId="08828A2A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Este recorte identificou cinco estudos, publicados entre 2020 e 2024, sobre simulação clínica e tecnologias de apoio ao treinamento para a RCP pediátrica. Os resultados apontam contribuições potenciais para a qualidade das manobras, a organização das equipes, a comunicação e a tomada de decisão.</w:t>
      </w:r>
    </w:p>
    <w:p w14:paraId="12FB19D8" w14:textId="77777777" w:rsidR="002E1D4C" w:rsidRDefault="002E1D4C" w:rsidP="001326B3">
      <w:pPr>
        <w:keepLines/>
        <w:spacing w:after="0" w:line="240" w:lineRule="auto"/>
        <w:jc w:val="both"/>
      </w:pPr>
      <w:r>
        <w:rPr>
          <w:rFonts w:ascii="Times New Roman" w:eastAsia="Times New Roman" w:hAnsi="Times New Roman"/>
          <w:sz w:val="24"/>
        </w:rPr>
        <w:t>A quantidade reduzida de estudos e a diversidade das estratégias limitam comparações e conclusões sobre desfechos clínicos. São necessárias novas pesquisas com métodos bem descritos e avaliação dos resultados do treinamento.</w:t>
      </w:r>
    </w:p>
    <w:p w14:paraId="4F64DDCF" w14:textId="77777777" w:rsidR="0068202C" w:rsidRPr="0068202C" w:rsidRDefault="0068202C" w:rsidP="001326B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CDCC58" w14:textId="08ADE587" w:rsidR="0005713B" w:rsidRPr="0068202C" w:rsidRDefault="00834B28" w:rsidP="001326B3">
      <w:pPr>
        <w:pStyle w:val="NormalWeb"/>
        <w:numPr>
          <w:ilvl w:val="0"/>
          <w:numId w:val="2"/>
        </w:numPr>
        <w:spacing w:beforeAutospacing="0" w:after="0" w:afterAutospacing="0"/>
        <w:ind w:left="0" w:firstLine="0"/>
        <w:jc w:val="both"/>
        <w:rPr>
          <w:rStyle w:val="fontstyle01"/>
          <w:rFonts w:ascii="Times New Roman" w:hAnsi="Times New Roman"/>
          <w:sz w:val="24"/>
          <w:szCs w:val="24"/>
        </w:rPr>
      </w:pPr>
      <w:r w:rsidRPr="0068202C">
        <w:rPr>
          <w:rStyle w:val="fontstyle01"/>
          <w:rFonts w:ascii="Times New Roman" w:hAnsi="Times New Roman"/>
          <w:sz w:val="24"/>
          <w:szCs w:val="24"/>
        </w:rPr>
        <w:t>Referências</w:t>
      </w:r>
    </w:p>
    <w:p w14:paraId="02FF5519" w14:textId="77777777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02C">
        <w:rPr>
          <w:rFonts w:ascii="Times New Roman" w:hAnsi="Times New Roman"/>
          <w:sz w:val="24"/>
          <w:szCs w:val="24"/>
        </w:rPr>
        <w:t xml:space="preserve">AMERICAN HEART ASSOCIATION.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Guidelines</w:t>
      </w:r>
      <w:proofErr w:type="spellEnd"/>
      <w:r w:rsidRPr="0068202C">
        <w:rPr>
          <w:rFonts w:ascii="Times New Roman" w:hAnsi="Times New Roman"/>
          <w:i/>
          <w:iCs/>
          <w:sz w:val="24"/>
          <w:szCs w:val="24"/>
        </w:rPr>
        <w:t xml:space="preserve"> for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Cardiopulmonary</w:t>
      </w:r>
      <w:proofErr w:type="spellEnd"/>
      <w:r w:rsidRPr="0068202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Resuscitation</w:t>
      </w:r>
      <w:proofErr w:type="spellEnd"/>
      <w:r w:rsidRPr="0068202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and</w:t>
      </w:r>
      <w:proofErr w:type="spellEnd"/>
      <w:r w:rsidRPr="0068202C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Emergency</w:t>
      </w:r>
      <w:proofErr w:type="spellEnd"/>
      <w:r w:rsidRPr="0068202C">
        <w:rPr>
          <w:rFonts w:ascii="Times New Roman" w:hAnsi="Times New Roman"/>
          <w:i/>
          <w:iCs/>
          <w:sz w:val="24"/>
          <w:szCs w:val="24"/>
        </w:rPr>
        <w:t xml:space="preserve"> Cardiovascular </w:t>
      </w:r>
      <w:proofErr w:type="spellStart"/>
      <w:r w:rsidRPr="0068202C">
        <w:rPr>
          <w:rFonts w:ascii="Times New Roman" w:hAnsi="Times New Roman"/>
          <w:i/>
          <w:iCs/>
          <w:sz w:val="24"/>
          <w:szCs w:val="24"/>
        </w:rPr>
        <w:t>Care</w:t>
      </w:r>
      <w:proofErr w:type="spellEnd"/>
      <w:r w:rsidRPr="0068202C">
        <w:rPr>
          <w:rFonts w:ascii="Times New Roman" w:hAnsi="Times New Roman"/>
          <w:sz w:val="24"/>
          <w:szCs w:val="24"/>
        </w:rPr>
        <w:t xml:space="preserve">. Dallas: American Heart </w:t>
      </w:r>
      <w:proofErr w:type="spellStart"/>
      <w:r w:rsidRPr="0068202C">
        <w:rPr>
          <w:rFonts w:ascii="Times New Roman" w:hAnsi="Times New Roman"/>
          <w:sz w:val="24"/>
          <w:szCs w:val="24"/>
        </w:rPr>
        <w:t>Association</w:t>
      </w:r>
      <w:proofErr w:type="spellEnd"/>
      <w:r w:rsidRPr="0068202C">
        <w:rPr>
          <w:rFonts w:ascii="Times New Roman" w:hAnsi="Times New Roman"/>
          <w:sz w:val="24"/>
          <w:szCs w:val="24"/>
        </w:rPr>
        <w:t>, 2020.</w:t>
      </w:r>
    </w:p>
    <w:p w14:paraId="304A0DB9" w14:textId="77777777" w:rsidR="0068202C" w:rsidRPr="0068202C" w:rsidRDefault="0068202C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7054FC" w14:textId="1F699371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02C">
        <w:rPr>
          <w:rFonts w:ascii="Times New Roman" w:hAnsi="Times New Roman"/>
          <w:sz w:val="24"/>
          <w:szCs w:val="24"/>
        </w:rPr>
        <w:t>CORAZZA, F. et al. Estudo sobre aplicativo interativo para treinamento em parada cardiorrespiratória pediátrica. 2020.</w:t>
      </w:r>
    </w:p>
    <w:p w14:paraId="471EDCBF" w14:textId="77777777" w:rsidR="0068202C" w:rsidRPr="0068202C" w:rsidRDefault="0068202C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79042B" w14:textId="23FD4A79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02C">
        <w:rPr>
          <w:rFonts w:ascii="Times New Roman" w:hAnsi="Times New Roman"/>
          <w:sz w:val="24"/>
          <w:szCs w:val="24"/>
        </w:rPr>
        <w:t>FRAZIER, et al. Estudo sobre feedback em tempo real na qualidade da RCP pediátrica. 2022.</w:t>
      </w:r>
    </w:p>
    <w:p w14:paraId="662A8393" w14:textId="77777777" w:rsidR="0068202C" w:rsidRPr="0068202C" w:rsidRDefault="0068202C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A1AE14" w14:textId="06076E98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02C">
        <w:rPr>
          <w:rFonts w:ascii="Times New Roman" w:hAnsi="Times New Roman"/>
          <w:sz w:val="24"/>
          <w:szCs w:val="24"/>
        </w:rPr>
        <w:t>O’LEARY, F. Educação baseada em simulação no treinamento em reanimação pediátrica. 2024.</w:t>
      </w:r>
    </w:p>
    <w:p w14:paraId="7E78AF13" w14:textId="77777777" w:rsidR="0068202C" w:rsidRPr="0068202C" w:rsidRDefault="0068202C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A0018A" w14:textId="08068DC0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02C">
        <w:rPr>
          <w:rFonts w:ascii="Times New Roman" w:hAnsi="Times New Roman"/>
          <w:sz w:val="24"/>
          <w:szCs w:val="24"/>
        </w:rPr>
        <w:t xml:space="preserve">PEREIRA, R.; SILVA, E. M. K. D. Treinamento interdisciplinar em parada cardiorrespiratória pediátrica utilizando </w:t>
      </w:r>
      <w:proofErr w:type="spellStart"/>
      <w:r w:rsidRPr="0068202C">
        <w:rPr>
          <w:rFonts w:ascii="Times New Roman" w:hAnsi="Times New Roman"/>
          <w:sz w:val="24"/>
          <w:szCs w:val="24"/>
        </w:rPr>
        <w:t>Rapid</w:t>
      </w:r>
      <w:proofErr w:type="spellEnd"/>
      <w:r w:rsidRPr="006820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sz w:val="24"/>
          <w:szCs w:val="24"/>
        </w:rPr>
        <w:t>Cycle</w:t>
      </w:r>
      <w:proofErr w:type="spellEnd"/>
      <w:r w:rsidRPr="006820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sz w:val="24"/>
          <w:szCs w:val="24"/>
        </w:rPr>
        <w:t>Deliberate</w:t>
      </w:r>
      <w:proofErr w:type="spellEnd"/>
      <w:r w:rsidRPr="006820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02C">
        <w:rPr>
          <w:rFonts w:ascii="Times New Roman" w:hAnsi="Times New Roman"/>
          <w:sz w:val="24"/>
          <w:szCs w:val="24"/>
        </w:rPr>
        <w:t>Practice</w:t>
      </w:r>
      <w:proofErr w:type="spellEnd"/>
      <w:r w:rsidRPr="0068202C">
        <w:rPr>
          <w:rFonts w:ascii="Times New Roman" w:hAnsi="Times New Roman"/>
          <w:sz w:val="24"/>
          <w:szCs w:val="24"/>
        </w:rPr>
        <w:t>. 2024.</w:t>
      </w:r>
    </w:p>
    <w:p w14:paraId="41E5EF01" w14:textId="77777777" w:rsidR="0068202C" w:rsidRPr="0068202C" w:rsidRDefault="0068202C" w:rsidP="001326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0379DC" w14:textId="76E1722C" w:rsidR="00BA6FA1" w:rsidRPr="0068202C" w:rsidRDefault="00BA6FA1" w:rsidP="001326B3">
      <w:pPr>
        <w:spacing w:after="0" w:line="240" w:lineRule="auto"/>
        <w:jc w:val="both"/>
        <w:rPr>
          <w:rFonts w:ascii="Times New Roman" w:hAnsi="Times New Roman"/>
        </w:rPr>
      </w:pPr>
      <w:r w:rsidRPr="0068202C">
        <w:rPr>
          <w:rFonts w:ascii="Times New Roman" w:hAnsi="Times New Roman"/>
          <w:sz w:val="24"/>
          <w:szCs w:val="24"/>
        </w:rPr>
        <w:t>WOLFE, et al. Estrutura, treinamento e práticas de equipes de resposta à parada cardiorrespiratória pediátrica. 2021.</w:t>
      </w:r>
    </w:p>
    <w:p w14:paraId="6ACDCC59" w14:textId="4B9089B2" w:rsidR="0005713B" w:rsidRPr="0068202C" w:rsidRDefault="0005713B" w:rsidP="001326B3">
      <w:pPr>
        <w:pStyle w:val="NormalWeb"/>
        <w:spacing w:beforeAutospacing="0" w:after="0" w:afterAutospacing="0"/>
        <w:jc w:val="both"/>
      </w:pPr>
    </w:p>
    <w:sectPr w:rsidR="0005713B" w:rsidRPr="0068202C" w:rsidSect="001326B3">
      <w:headerReference w:type="default" r:id="rId8"/>
      <w:footerReference w:type="default" r:id="rId9"/>
      <w:pgSz w:w="11906" w:h="16838"/>
      <w:pgMar w:top="1417" w:right="1701" w:bottom="1417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A55ED" w14:textId="77777777" w:rsidR="00C35E7C" w:rsidRDefault="00C35E7C">
      <w:pPr>
        <w:spacing w:line="240" w:lineRule="auto"/>
      </w:pPr>
      <w:r>
        <w:separator/>
      </w:r>
    </w:p>
  </w:endnote>
  <w:endnote w:type="continuationSeparator" w:id="0">
    <w:p w14:paraId="4869D47E" w14:textId="77777777" w:rsidR="00C35E7C" w:rsidRDefault="00C35E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altName w:val="Segoe Print"/>
    <w:charset w:val="01"/>
    <w:family w:val="swiss"/>
    <w:pitch w:val="default"/>
    <w:sig w:usb0="00000000" w:usb1="00000000" w:usb2="00000021" w:usb3="00000000" w:csb0="600001BF" w:csb1="DFF70000"/>
  </w:font>
  <w:font w:name="AR PL SungtiL GB">
    <w:altName w:val="Segoe Print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60" w14:textId="77777777" w:rsidR="0005713B" w:rsidRDefault="00834B28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  <w:p w14:paraId="6ACDCC61" w14:textId="77777777" w:rsidR="0005713B" w:rsidRDefault="0005713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980A2" w14:textId="77777777" w:rsidR="00C35E7C" w:rsidRDefault="00C35E7C">
      <w:pPr>
        <w:spacing w:after="0"/>
      </w:pPr>
      <w:r>
        <w:separator/>
      </w:r>
    </w:p>
  </w:footnote>
  <w:footnote w:type="continuationSeparator" w:id="0">
    <w:p w14:paraId="1472DC55" w14:textId="77777777" w:rsidR="00C35E7C" w:rsidRDefault="00C35E7C">
      <w:pPr>
        <w:spacing w:after="0"/>
      </w:pPr>
      <w:r>
        <w:continuationSeparator/>
      </w:r>
    </w:p>
  </w:footnote>
  <w:footnote w:id="1">
    <w:p w14:paraId="6ACDCC64" w14:textId="0162BBF6" w:rsidR="0005713B" w:rsidRPr="0068202C" w:rsidRDefault="00834B28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68202C">
        <w:rPr>
          <w:rStyle w:val="Caracteresdenotaderodap"/>
          <w:rFonts w:ascii="Times New Roman" w:hAnsi="Times New Roman"/>
        </w:rPr>
        <w:footnoteRef/>
      </w:r>
      <w:r w:rsidRPr="0068202C">
        <w:rPr>
          <w:rStyle w:val="FootnoteCharacters"/>
          <w:rFonts w:ascii="Times New Roman" w:hAnsi="Times New Roman"/>
        </w:rPr>
        <w:tab/>
      </w:r>
      <w:r w:rsidRPr="0068202C">
        <w:rPr>
          <w:rFonts w:ascii="Times New Roman" w:hAnsi="Times New Roman"/>
        </w:rPr>
        <w:t xml:space="preserve"> Universidade Regional do Cariri, </w:t>
      </w:r>
      <w:proofErr w:type="spellStart"/>
      <w:r w:rsidRPr="0068202C">
        <w:rPr>
          <w:rFonts w:ascii="Times New Roman" w:hAnsi="Times New Roman"/>
        </w:rPr>
        <w:t>email</w:t>
      </w:r>
      <w:proofErr w:type="spellEnd"/>
      <w:r w:rsidRPr="0068202C">
        <w:rPr>
          <w:rFonts w:ascii="Times New Roman" w:hAnsi="Times New Roman"/>
        </w:rPr>
        <w:t xml:space="preserve">: </w:t>
      </w:r>
      <w:hyperlink r:id="rId1" w:history="1">
        <w:r w:rsidR="00A637AF" w:rsidRPr="00124A95">
          <w:rPr>
            <w:rStyle w:val="Hyperlink"/>
            <w:rFonts w:ascii="Times New Roman" w:hAnsi="Times New Roman"/>
          </w:rPr>
          <w:t>sarah.limavieira@urca.br</w:t>
        </w:r>
      </w:hyperlink>
      <w:r w:rsidR="00A637AF">
        <w:rPr>
          <w:rFonts w:ascii="Times New Roman" w:hAnsi="Times New Roman"/>
        </w:rPr>
        <w:t xml:space="preserve"> </w:t>
      </w:r>
      <w:r w:rsidR="00A637AF">
        <w:t xml:space="preserve"> </w:t>
      </w:r>
    </w:p>
  </w:footnote>
  <w:footnote w:id="2">
    <w:p w14:paraId="6ACDCC65" w14:textId="16F90BF3" w:rsidR="0005713B" w:rsidRPr="0068202C" w:rsidRDefault="00834B28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68202C">
        <w:rPr>
          <w:rStyle w:val="Caracteresdenotaderodap"/>
          <w:rFonts w:ascii="Times New Roman" w:hAnsi="Times New Roman"/>
        </w:rPr>
        <w:footnoteRef/>
      </w:r>
      <w:r w:rsidRPr="0068202C">
        <w:rPr>
          <w:rStyle w:val="FootnoteCharacters"/>
          <w:rFonts w:ascii="Times New Roman" w:hAnsi="Times New Roman"/>
        </w:rPr>
        <w:tab/>
      </w:r>
      <w:r w:rsidRPr="0068202C">
        <w:rPr>
          <w:rFonts w:ascii="Times New Roman" w:hAnsi="Times New Roman"/>
        </w:rPr>
        <w:t xml:space="preserve"> Universidade </w:t>
      </w:r>
      <w:r w:rsidR="00A637AF">
        <w:rPr>
          <w:rFonts w:ascii="Times New Roman" w:hAnsi="Times New Roman"/>
        </w:rPr>
        <w:t>Regional</w:t>
      </w:r>
      <w:r w:rsidRPr="0068202C">
        <w:rPr>
          <w:rFonts w:ascii="Times New Roman" w:hAnsi="Times New Roman"/>
        </w:rPr>
        <w:t xml:space="preserve"> do Cariri, </w:t>
      </w:r>
      <w:proofErr w:type="spellStart"/>
      <w:r w:rsidRPr="0068202C">
        <w:rPr>
          <w:rFonts w:ascii="Times New Roman" w:hAnsi="Times New Roman"/>
        </w:rPr>
        <w:t>email</w:t>
      </w:r>
      <w:proofErr w:type="spellEnd"/>
      <w:r w:rsidRPr="0068202C">
        <w:rPr>
          <w:rFonts w:ascii="Times New Roman" w:hAnsi="Times New Roman"/>
        </w:rPr>
        <w:t xml:space="preserve">: </w:t>
      </w:r>
      <w:hyperlink r:id="rId2" w:history="1">
        <w:r w:rsidR="00A637AF" w:rsidRPr="00124A95">
          <w:rPr>
            <w:rStyle w:val="Hyperlink"/>
            <w:rFonts w:ascii="Times New Roman" w:hAnsi="Times New Roman"/>
          </w:rPr>
          <w:t>charles.olegario@urca.br</w:t>
        </w:r>
      </w:hyperlink>
      <w:r w:rsidR="00A637AF">
        <w:t xml:space="preserve"> </w:t>
      </w:r>
    </w:p>
  </w:footnote>
  <w:footnote w:id="3">
    <w:p w14:paraId="6ACDCC66" w14:textId="51F2C72D" w:rsidR="0005713B" w:rsidRPr="0068202C" w:rsidRDefault="00834B28">
      <w:pPr>
        <w:pStyle w:val="Textodenotaderodap"/>
        <w:tabs>
          <w:tab w:val="left" w:pos="284"/>
        </w:tabs>
        <w:rPr>
          <w:rFonts w:ascii="Times New Roman" w:hAnsi="Times New Roman"/>
        </w:rPr>
      </w:pPr>
      <w:r w:rsidRPr="0068202C">
        <w:rPr>
          <w:rStyle w:val="Caracteresdenotaderodap"/>
          <w:rFonts w:ascii="Times New Roman" w:hAnsi="Times New Roman"/>
        </w:rPr>
        <w:footnoteRef/>
      </w:r>
      <w:r w:rsidRPr="0068202C">
        <w:rPr>
          <w:rStyle w:val="FootnoteCharacters"/>
          <w:rFonts w:ascii="Times New Roman" w:hAnsi="Times New Roman"/>
        </w:rPr>
        <w:tab/>
      </w:r>
      <w:r w:rsidR="009E2556" w:rsidRPr="0068202C">
        <w:rPr>
          <w:rFonts w:ascii="Times New Roman" w:hAnsi="Times New Roman"/>
        </w:rPr>
        <w:t xml:space="preserve">Universidade </w:t>
      </w:r>
      <w:r w:rsidR="00A637AF">
        <w:rPr>
          <w:rFonts w:ascii="Times New Roman" w:hAnsi="Times New Roman"/>
        </w:rPr>
        <w:t xml:space="preserve">Regional </w:t>
      </w:r>
      <w:r w:rsidR="009E2556" w:rsidRPr="0068202C">
        <w:rPr>
          <w:rFonts w:ascii="Times New Roman" w:hAnsi="Times New Roman"/>
        </w:rPr>
        <w:t xml:space="preserve">do Cariri, </w:t>
      </w:r>
      <w:proofErr w:type="spellStart"/>
      <w:r w:rsidR="009E2556" w:rsidRPr="0068202C">
        <w:rPr>
          <w:rFonts w:ascii="Times New Roman" w:hAnsi="Times New Roman"/>
        </w:rPr>
        <w:t>email</w:t>
      </w:r>
      <w:proofErr w:type="spellEnd"/>
      <w:r w:rsidR="009E2556" w:rsidRPr="0068202C">
        <w:rPr>
          <w:rFonts w:ascii="Times New Roman" w:hAnsi="Times New Roman"/>
        </w:rPr>
        <w:t xml:space="preserve">: </w:t>
      </w:r>
      <w:hyperlink r:id="rId3" w:history="1">
        <w:r w:rsidR="00A637AF" w:rsidRPr="00124A95">
          <w:rPr>
            <w:rStyle w:val="Hyperlink"/>
            <w:rFonts w:ascii="Times New Roman" w:hAnsi="Times New Roman"/>
          </w:rPr>
          <w:t>carolina.oliveira@urca.br</w:t>
        </w:r>
      </w:hyperlink>
      <w:r w:rsidR="009E2556" w:rsidRPr="0068202C">
        <w:rPr>
          <w:rFonts w:ascii="Times New Roman" w:hAnsi="Times New Roman"/>
        </w:rPr>
        <w:t xml:space="preserve"> </w:t>
      </w:r>
    </w:p>
  </w:footnote>
  <w:footnote w:id="4">
    <w:p w14:paraId="6ACDCC67" w14:textId="30D7FE77" w:rsidR="0005713B" w:rsidRPr="009E2556" w:rsidRDefault="00834B28" w:rsidP="009E2556">
      <w:pPr>
        <w:pStyle w:val="Textodenotaderodap"/>
        <w:tabs>
          <w:tab w:val="left" w:pos="284"/>
        </w:tabs>
        <w:rPr>
          <w:rFonts w:ascii="Arial" w:hAnsi="Arial" w:cs="Arial"/>
        </w:rPr>
      </w:pPr>
      <w:r w:rsidRPr="0068202C">
        <w:rPr>
          <w:rStyle w:val="Caracteresdenotaderodap"/>
          <w:rFonts w:ascii="Times New Roman" w:hAnsi="Times New Roman"/>
        </w:rPr>
        <w:footnoteRef/>
      </w:r>
      <w:r w:rsidRPr="0068202C">
        <w:rPr>
          <w:rStyle w:val="FootnoteCharacters"/>
          <w:rFonts w:ascii="Times New Roman" w:hAnsi="Times New Roman"/>
        </w:rPr>
        <w:tab/>
      </w:r>
      <w:r w:rsidR="009E2556" w:rsidRPr="0068202C">
        <w:rPr>
          <w:rFonts w:ascii="Times New Roman" w:hAnsi="Times New Roman"/>
        </w:rPr>
        <w:t xml:space="preserve">Universidade </w:t>
      </w:r>
      <w:r w:rsidR="00A637AF">
        <w:rPr>
          <w:rFonts w:ascii="Times New Roman" w:hAnsi="Times New Roman"/>
        </w:rPr>
        <w:t xml:space="preserve">Regional </w:t>
      </w:r>
      <w:r w:rsidR="009E2556" w:rsidRPr="0068202C">
        <w:rPr>
          <w:rFonts w:ascii="Times New Roman" w:hAnsi="Times New Roman"/>
        </w:rPr>
        <w:t xml:space="preserve">do Cariri, </w:t>
      </w:r>
      <w:proofErr w:type="spellStart"/>
      <w:r w:rsidR="009E2556" w:rsidRPr="0068202C">
        <w:rPr>
          <w:rFonts w:ascii="Times New Roman" w:hAnsi="Times New Roman"/>
        </w:rPr>
        <w:t>email</w:t>
      </w:r>
      <w:proofErr w:type="spellEnd"/>
      <w:r w:rsidR="009E2556" w:rsidRPr="0068202C">
        <w:rPr>
          <w:rFonts w:ascii="Times New Roman" w:hAnsi="Times New Roman"/>
        </w:rPr>
        <w:t xml:space="preserve">:  </w:t>
      </w:r>
      <w:hyperlink r:id="rId4" w:history="1">
        <w:r w:rsidR="00A637AF" w:rsidRPr="00124A95">
          <w:rPr>
            <w:rStyle w:val="Hyperlink"/>
            <w:rFonts w:ascii="Times New Roman" w:hAnsi="Times New Roman"/>
          </w:rPr>
          <w:t>riani.nobrega@urca.br</w:t>
        </w:r>
      </w:hyperlink>
      <w:r w:rsidR="009E2556" w:rsidRPr="0068202C">
        <w:rPr>
          <w:rFonts w:ascii="Arial" w:hAnsi="Arial" w:cs="Arial"/>
          <w:sz w:val="22"/>
          <w:szCs w:val="22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DCC5E" w14:textId="77777777" w:rsidR="0005713B" w:rsidRDefault="00834B28">
    <w:pPr>
      <w:pStyle w:val="Cabealho"/>
      <w:jc w:val="right"/>
    </w:pPr>
    <w:r>
      <w:rPr>
        <w:rFonts w:ascii="Arial" w:hAnsi="Arial"/>
        <w:b/>
        <w:noProof/>
        <w:sz w:val="24"/>
        <w:lang w:eastAsia="pt-BR"/>
      </w:rPr>
      <w:drawing>
        <wp:anchor distT="0" distB="0" distL="0" distR="0" simplePos="0" relativeHeight="251659264" behindDoc="0" locked="0" layoutInCell="1" allowOverlap="1" wp14:anchorId="6ACDCC62" wp14:editId="6ACDCC63">
          <wp:simplePos x="0" y="0"/>
          <wp:positionH relativeFrom="page">
            <wp:posOffset>1346835</wp:posOffset>
          </wp:positionH>
          <wp:positionV relativeFrom="paragraph">
            <wp:posOffset>-111760</wp:posOffset>
          </wp:positionV>
          <wp:extent cx="4852670" cy="1658620"/>
          <wp:effectExtent l="0" t="0" r="5080" b="17780"/>
          <wp:wrapNone/>
          <wp:docPr id="380817698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2670" cy="165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CDCC5F" w14:textId="77777777" w:rsidR="0005713B" w:rsidRDefault="0005713B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45E0B"/>
    <w:multiLevelType w:val="hybridMultilevel"/>
    <w:tmpl w:val="DCDC98F8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146894835">
    <w:abstractNumId w:val="0"/>
  </w:num>
  <w:num w:numId="2" w16cid:durableId="226650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05713B"/>
    <w:rsid w:val="001326B3"/>
    <w:rsid w:val="00181209"/>
    <w:rsid w:val="00186D06"/>
    <w:rsid w:val="001A7E95"/>
    <w:rsid w:val="00202618"/>
    <w:rsid w:val="00230475"/>
    <w:rsid w:val="002E1D4C"/>
    <w:rsid w:val="00307457"/>
    <w:rsid w:val="003708D3"/>
    <w:rsid w:val="003B0AAD"/>
    <w:rsid w:val="0043164D"/>
    <w:rsid w:val="004F7D4D"/>
    <w:rsid w:val="005F0B16"/>
    <w:rsid w:val="0068202C"/>
    <w:rsid w:val="00716DF3"/>
    <w:rsid w:val="007315AE"/>
    <w:rsid w:val="007659AD"/>
    <w:rsid w:val="0079147E"/>
    <w:rsid w:val="0082344E"/>
    <w:rsid w:val="00834B28"/>
    <w:rsid w:val="008F0729"/>
    <w:rsid w:val="00905A52"/>
    <w:rsid w:val="009C5FF5"/>
    <w:rsid w:val="009E2556"/>
    <w:rsid w:val="009F76BD"/>
    <w:rsid w:val="00A637AF"/>
    <w:rsid w:val="00A66981"/>
    <w:rsid w:val="00BA29E4"/>
    <w:rsid w:val="00BA6FA1"/>
    <w:rsid w:val="00C05C68"/>
    <w:rsid w:val="00C35E7C"/>
    <w:rsid w:val="00CF0568"/>
    <w:rsid w:val="00DE0062"/>
    <w:rsid w:val="00E025B3"/>
    <w:rsid w:val="00E02606"/>
    <w:rsid w:val="00E661C0"/>
    <w:rsid w:val="00EA4BA9"/>
    <w:rsid w:val="00EF016C"/>
    <w:rsid w:val="00FB6CC8"/>
    <w:rsid w:val="04330D71"/>
    <w:rsid w:val="04993D3D"/>
    <w:rsid w:val="0B105FDE"/>
    <w:rsid w:val="155D0768"/>
    <w:rsid w:val="25DB1032"/>
    <w:rsid w:val="2FFE0914"/>
    <w:rsid w:val="3309244E"/>
    <w:rsid w:val="51A51BC9"/>
    <w:rsid w:val="629A5DC2"/>
    <w:rsid w:val="70020AE3"/>
    <w:rsid w:val="7BA6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DCC29"/>
  <w15:docId w15:val="{558D08CF-4C2E-4B03-BB84-85757CDF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99"/>
    <w:unhideWhenUsed/>
    <w:rsid w:val="00DE006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E255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E255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8202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8202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8202C"/>
    <w:rPr>
      <w:rFonts w:asciiTheme="minorHAnsi" w:eastAsiaTheme="minorHAnsi" w:hAnsiTheme="minorHAns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202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202C"/>
    <w:rPr>
      <w:rFonts w:asciiTheme="minorHAnsi" w:eastAsiaTheme="minorHAnsi" w:hAnsiTheme="minorHAns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arolina.oliveira@urca.br" TargetMode="External"/><Relationship Id="rId2" Type="http://schemas.openxmlformats.org/officeDocument/2006/relationships/hyperlink" Target="mailto:charles.olegario@urca.br" TargetMode="External"/><Relationship Id="rId1" Type="http://schemas.openxmlformats.org/officeDocument/2006/relationships/hyperlink" Target="mailto:sarah.limavieira@urca.br" TargetMode="External"/><Relationship Id="rId4" Type="http://schemas.openxmlformats.org/officeDocument/2006/relationships/hyperlink" Target="mailto:riani.nobrega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43BB9-2E8A-4FF3-89DF-50BADE0D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1690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Sarah Lima</cp:lastModifiedBy>
  <cp:revision>2</cp:revision>
  <dcterms:created xsi:type="dcterms:W3CDTF">2026-10-23T00:04:00Z</dcterms:created>
  <dcterms:modified xsi:type="dcterms:W3CDTF">2026-10-23T00:04:00Z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1046-12.1.0.28032</vt:lpwstr>
  </property>
  <property fmtid="{D5CDD505-2E9C-101B-9397-08002B2CF9AE}" pid="9" name="ICV">
    <vt:lpwstr>A30526B2E69540F5B4E2DE16C52D09A4_13</vt:lpwstr>
  </property>
  <property fmtid="{D5CDD505-2E9C-101B-9397-08002B2CF9AE}" pid="10" name="KSOTemplateDocerSaveRecord">
    <vt:lpwstr>eyJoZGlkIjoiOWU1M2ViZTg0OThkZGNmZGYwNWMyNTAzYTc3Y2E3MTQiLCJ1c2VySWQiOiIxMjU0NjYwMDMzMDU5In0=</vt:lpwstr>
  </property>
</Properties>
</file>