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BARREIRAS ENFRENTADAS PELA POPULAÇÃO LGBTQIA+</w:t>
      </w:r>
    </w:p>
    <w:p w:rsidR="00000000" w:rsidDel="00000000" w:rsidP="00000000" w:rsidRDefault="00000000" w:rsidRPr="00000000" w14:paraId="00000008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 ATENDIMENTO NA ATENÇÃO PRIMÁRIA À SAÚDE: UMA REVISÃO</w:t>
      </w:r>
    </w:p>
    <w:p w:rsidR="00000000" w:rsidDel="00000000" w:rsidP="00000000" w:rsidRDefault="00000000" w:rsidRPr="00000000" w14:paraId="00000009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NARRATIVA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Kayo Adley Ribeiro Bezerra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Wytallo Carvalho Barreto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Mirna Neyara Alexandre de Sá Barreto Marinho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Francisco Fábio Bezerra de Oliveira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22"/>
        </w:tabs>
        <w:spacing w:after="0" w:before="0" w:line="240" w:lineRule="auto"/>
        <w:ind w:left="0" w:right="-76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22"/>
        </w:tabs>
        <w:spacing w:after="0" w:before="0" w:line="240" w:lineRule="auto"/>
        <w:ind w:left="0" w:right="-76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população LGBTQIA+ enfrenta historicamente estigmas sociais e barreiras institucionais que comprometem seu acesso a direitos básicos, incluindo a saúde. Na Atenção Primária à Saúde (APS), porta de entrada do Sistema Único de Saúde (SUS), essas dificuldades se refletem em atendimentos desumanizados, falhas no acolhimento e ausência de ambientes inclusivos. A Política Nacional de Saúde Integral de Lésbicas, Gays, Bissexuais, Travestis e Transexuais (PNSILGBT) busca suprir tais lacunas, mas sua implementação encontra entraves significativos.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Analisar as evidências científicas das principais barreiras enfrentadas pela população LGBTQIA+ no acesso e atendimento à Atenção Primária à Saúde no 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Trata-se de uma revisão narrativa realizada em setembro de 2026. Foram consultadas as bases Biblioteca Virtual em Saúde (BVS) e PubMed, utilizando os descritores Minorias sexuais e de gênero, Atenção primária à saúde e Políticas públicas de saúde combinados pelo operador booleano AND. Como critérios de inclusão foram adotados: artigos publicados nos idiomas português e inglês, entre 2020 e 2025, e que possuíam texto completo disponibilizado gratuitamente. No entanto, foram excluídos estudos duplicados ou sem foco direto na APS. Inicialmente foram identificados 36 artigos. Porém, após leitura crítica e aplicação dos critérios a amostra final foi composta por apenas 8 estudos.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revisão bibliográfica mostrou que a população LGBTQIA+ enfrenta barreiras no acesso a um atendimento humanizado e a uma escuta qualificada de suas necessidades. A análise evidenciou ainda quatro categorias principais de barreiras: 1- Preconceito e estigma institucionalizados – relatos de discriminação direta e indireta por parte de profissionais de saúde; 2- Deficiência formativa e despreparo profissional – escasso conhecimento sobre a PNSILGBT e insuficiência do ensino sobre diversidade sexual e de gênero na graduação; 3- Infraestrutura inadequada – ausência de banheiros e espaços inclusivos para pessoas trans e travestis; 4- Impactos no acesso e continuidade do cuidado – redução da busca por serviços de saúde e maior vulnerabilidade social.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 evidências apontam que a efetividade da APS para a população LGBTQIA+ é comprometida pela ausência de capacitação continuada dos profissionais 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pela limitada implementação das políticas públicas existentes. Investimentos em ambientes acolhedores, formação acadêmica inclusiva e atualização permanente das equipes de saúde são fundamentais para garantir um cuidado humanizado e equitativo.</w:t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Minorias sexuais e de gênero. Atenção primária à saúde. Políticas públicas de saúde. Barreiras ao Acesso aos Cuidados de Saúde.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ISSN 1983-8174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ISSN 1983-8174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Universidade Regional do Cariri, e-mail: </w:t>
      </w:r>
      <w:hyperlink r:id="rId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kayo.adley@urca.br</w:t>
        </w:r>
      </w:hyperlink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Universidade Regional do Cariri, e-mail: </w:t>
      </w:r>
      <w:hyperlink r:id="rId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wytallo.barreto@urca.br</w:t>
        </w:r>
      </w:hyperlink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Universidade Regional do Cariri, e-mail: </w:t>
      </w:r>
      <w:hyperlink r:id="rId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mirna.marinho@urca.br</w:t>
        </w:r>
      </w:hyperlink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Universidade Regional do Cariri, e-mail: </w:t>
      </w:r>
      <w:hyperlink r:id="rId4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fabio.oliveira@urca.br</w:t>
        </w:r>
      </w:hyperlink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after="0" w:before="0" w:line="240" w:lineRule="auto"/>
      <w:ind w:right="83"/>
      <w:jc w:val="center"/>
      <w:rPr>
        <w:rFonts w:ascii="Cambria" w:cs="Cambria" w:eastAsia="Cambria" w:hAnsi="Cambria"/>
        <w:b w:val="1"/>
        <w:bCs w:val="1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108585</wp:posOffset>
          </wp:positionH>
          <wp:positionV relativeFrom="paragraph">
            <wp:posOffset>-344804</wp:posOffset>
          </wp:positionV>
          <wp:extent cx="5302250" cy="166941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after="0" w:before="0" w:line="240" w:lineRule="auto"/>
      <w:ind w:right="83"/>
      <w:jc w:val="center"/>
      <w:rPr>
        <w:rFonts w:ascii="Cambria" w:cs="Cambria" w:eastAsia="Cambria" w:hAnsi="Cambria"/>
        <w:b w:val="1"/>
        <w:bCs w:val="1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108585</wp:posOffset>
          </wp:positionH>
          <wp:positionV relativeFrom="paragraph">
            <wp:posOffset>-344804</wp:posOffset>
          </wp:positionV>
          <wp:extent cx="5302250" cy="166941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mailto:kayo.adley@urca.br" TargetMode="External"/><Relationship Id="rId2" Type="http://schemas.openxmlformats.org/officeDocument/2006/relationships/hyperlink" Target="mailto:wytallo.barreto@urca.br" TargetMode="External"/><Relationship Id="rId3" Type="http://schemas.openxmlformats.org/officeDocument/2006/relationships/hyperlink" Target="mailto:mirna.marinho@urca.br" TargetMode="External"/><Relationship Id="rId4" Type="http://schemas.openxmlformats.org/officeDocument/2006/relationships/hyperlink" Target="mailto:fabio.oliveira@urca.br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