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Cambria" w:hAnsi="Cambria" w:cs="Cambria"/>
          <w:b/>
          <w:caps/>
          <w:sz w:val="24"/>
          <w:szCs w:val="24"/>
        </w:rPr>
      </w:pPr>
      <w:r>
        <w:rPr>
          <w:rFonts w:cs="Cambria" w:ascii="Cambria" w:hAnsi="Cambria"/>
          <w:b/>
          <w:caps/>
          <w:sz w:val="24"/>
          <w:szCs w:val="24"/>
        </w:rPr>
      </w:r>
    </w:p>
    <w:p>
      <w:pPr>
        <w:pStyle w:val="Normal"/>
        <w:spacing w:lineRule="auto" w:line="240" w:before="0" w:after="0"/>
        <w:jc w:val="center"/>
        <w:rPr>
          <w:rFonts w:ascii="Cambria" w:hAnsi="Cambria" w:cs="Cambria"/>
          <w:b/>
          <w:caps/>
          <w:sz w:val="24"/>
          <w:szCs w:val="24"/>
        </w:rPr>
      </w:pPr>
      <w:r>
        <w:rPr>
          <w:rFonts w:cs="Cambria" w:ascii="Cambria" w:hAnsi="Cambria"/>
          <w:b/>
          <w:caps/>
          <w:sz w:val="24"/>
          <w:szCs w:val="24"/>
        </w:rPr>
      </w:r>
    </w:p>
    <w:p>
      <w:pPr>
        <w:pStyle w:val="Normal"/>
        <w:spacing w:lineRule="auto" w:line="240" w:before="0" w:after="0"/>
        <w:jc w:val="center"/>
        <w:rPr>
          <w:rFonts w:ascii="Cambria" w:hAnsi="Cambria" w:cs="Cambria"/>
          <w:b/>
          <w:caps/>
          <w:sz w:val="24"/>
          <w:szCs w:val="24"/>
        </w:rPr>
      </w:pPr>
      <w:r>
        <w:rPr>
          <w:rFonts w:cs="Cambria" w:ascii="Cambria" w:hAnsi="Cambria"/>
          <w:b/>
          <w:caps/>
          <w:sz w:val="24"/>
          <w:szCs w:val="24"/>
        </w:rPr>
      </w:r>
    </w:p>
    <w:p>
      <w:pPr>
        <w:pStyle w:val="Normal"/>
        <w:spacing w:lineRule="auto" w:line="240" w:before="0" w:after="0"/>
        <w:jc w:val="center"/>
        <w:rPr>
          <w:rFonts w:ascii="Cambria" w:hAnsi="Cambria" w:cs="Cambria"/>
          <w:b/>
          <w:caps/>
          <w:sz w:val="24"/>
          <w:szCs w:val="24"/>
        </w:rPr>
      </w:pPr>
      <w:r>
        <w:rPr>
          <w:rFonts w:cs="Cambria" w:ascii="Cambria" w:hAnsi="Cambria"/>
          <w:b/>
          <w:caps/>
          <w:sz w:val="24"/>
          <w:szCs w:val="24"/>
        </w:rPr>
      </w:r>
    </w:p>
    <w:p>
      <w:pPr>
        <w:pStyle w:val="Normal"/>
        <w:spacing w:lineRule="auto" w:line="240" w:before="0" w:after="0"/>
        <w:jc w:val="center"/>
        <w:rPr>
          <w:rFonts w:ascii="Cambria" w:hAnsi="Cambria" w:cs="Cambria"/>
          <w:b/>
          <w:caps/>
          <w:sz w:val="24"/>
          <w:szCs w:val="24"/>
        </w:rPr>
      </w:pPr>
      <w:r>
        <w:rPr>
          <w:rFonts w:cs="Cambria" w:ascii="Cambria" w:hAnsi="Cambria"/>
          <w:b/>
          <w:caps/>
          <w:sz w:val="24"/>
          <w:szCs w:val="24"/>
        </w:rPr>
      </w:r>
    </w:p>
    <w:p>
      <w:pPr>
        <w:pStyle w:val="Normal"/>
        <w:spacing w:lineRule="auto" w:line="240" w:before="0" w:after="0"/>
        <w:jc w:val="center"/>
        <w:rPr>
          <w:rFonts w:ascii="Cambria" w:hAnsi="Cambria" w:cs="Cambria"/>
          <w:b/>
          <w:caps/>
          <w:sz w:val="24"/>
          <w:szCs w:val="24"/>
        </w:rPr>
      </w:pPr>
      <w:r>
        <w:rPr>
          <w:rFonts w:cs="Cambria" w:ascii="Cambria" w:hAnsi="Cambria"/>
          <w:b/>
          <w:caps/>
          <w:sz w:val="24"/>
          <w:szCs w:val="24"/>
        </w:rPr>
      </w:r>
    </w:p>
    <w:p>
      <w:pPr>
        <w:pStyle w:val="Normal"/>
        <w:jc w:val="center"/>
        <w:rPr>
          <w:rFonts w:ascii="Times New Roman" w:hAnsi="Times New Roman" w:eastAsia="Times New Roman"/>
          <w:b/>
          <w:bCs/>
        </w:rPr>
      </w:pPr>
      <w:r>
        <w:rPr>
          <w:rFonts w:eastAsia="Times New Roman" w:ascii="Times New Roman" w:hAnsi="Times New Roman"/>
          <w:b/>
          <w:bCs/>
        </w:rPr>
        <w:t>CAMINHOS PARA A FORMAÇÃO CRÍTICA EM ENFERMAGEM: EXPERIÊNCIA DE UM JÚRI SIMULADO SOBRE A PRIVATIZAÇÃO DO SUS</w:t>
      </w:r>
    </w:p>
    <w:p>
      <w:pPr>
        <w:pStyle w:val="Normal"/>
        <w:jc w:val="center"/>
        <w:rPr>
          <w:b/>
          <w:bCs/>
        </w:rPr>
      </w:pPr>
      <w:r>
        <w:rPr>
          <w:rFonts w:eastAsia="Times New Roman" w:ascii="Times New Roman" w:hAnsi="Times New Roman"/>
          <w:b/>
          <w:bCs/>
        </w:rPr>
        <w:t>Ana Gabriele Ferreira da Silva</w:t>
      </w:r>
      <w:r>
        <w:rPr>
          <w:rStyle w:val="FootnoteReference"/>
          <w:rFonts w:eastAsia="Times New Roman" w:ascii="Times New Roman" w:hAnsi="Times New Roman"/>
          <w:b/>
          <w:bCs/>
        </w:rPr>
        <w:footnoteReference w:id="2"/>
      </w:r>
      <w:r>
        <w:rPr>
          <w:rFonts w:eastAsia="Times New Roman" w:ascii="Times New Roman" w:hAnsi="Times New Roman"/>
          <w:b/>
          <w:bCs/>
          <w:position w:val="0"/>
          <w:sz w:val="22"/>
          <w:vertAlign w:val="baseline"/>
        </w:rPr>
        <w:t>,</w:t>
      </w:r>
      <w:r>
        <w:rPr>
          <w:rFonts w:eastAsia="Times New Roman" w:ascii="Times New Roman" w:hAnsi="Times New Roman"/>
          <w:b/>
          <w:bCs/>
        </w:rPr>
        <w:t xml:space="preserve"> Wytallo Carvalho Barreto</w:t>
      </w:r>
      <w:r>
        <w:rPr>
          <w:rStyle w:val="FootnoteReference"/>
          <w:rFonts w:eastAsia="Times New Roman" w:ascii="Times New Roman" w:hAnsi="Times New Roman"/>
          <w:b/>
          <w:bCs/>
        </w:rPr>
        <w:footnoteReference w:id="3"/>
      </w:r>
      <w:r>
        <w:rPr>
          <w:rFonts w:eastAsia="Times New Roman" w:ascii="Times New Roman" w:hAnsi="Times New Roman"/>
          <w:b/>
          <w:bCs/>
          <w:position w:val="0"/>
          <w:sz w:val="22"/>
          <w:vertAlign w:val="baseline"/>
        </w:rPr>
        <w:t>,</w:t>
      </w:r>
      <w:r>
        <w:rPr>
          <w:rFonts w:eastAsia="Times New Roman" w:ascii="Times New Roman" w:hAnsi="Times New Roman"/>
          <w:b/>
          <w:bCs/>
        </w:rPr>
        <w:t xml:space="preserve"> Leticia de Jesus Lima</w:t>
      </w:r>
      <w:r>
        <w:rPr>
          <w:rStyle w:val="FootnoteReference"/>
          <w:rFonts w:eastAsia="Times New Roman" w:ascii="Times New Roman" w:hAnsi="Times New Roman"/>
          <w:b/>
          <w:bCs/>
        </w:rPr>
        <w:footnoteReference w:id="4"/>
      </w:r>
      <w:r>
        <w:rPr>
          <w:rFonts w:eastAsia="Times New Roman" w:ascii="Times New Roman" w:hAnsi="Times New Roman"/>
          <w:b/>
          <w:bCs/>
          <w:position w:val="0"/>
          <w:sz w:val="22"/>
          <w:vertAlign w:val="baseline"/>
        </w:rPr>
        <w:t>,</w:t>
      </w:r>
      <w:r>
        <w:rPr>
          <w:rFonts w:eastAsia="Times New Roman" w:ascii="Times New Roman" w:hAnsi="Times New Roman"/>
          <w:b/>
          <w:bCs/>
        </w:rPr>
        <w:t xml:space="preserve"> João Paulo Xavier Silva</w:t>
      </w:r>
      <w:r>
        <w:rPr>
          <w:rStyle w:val="FootnoteReference"/>
          <w:rFonts w:eastAsia="Times New Roman" w:ascii="Times New Roman" w:hAnsi="Times New Roman"/>
          <w:b/>
          <w:bCs/>
        </w:rPr>
        <w:footnoteReference w:id="5"/>
      </w:r>
    </w:p>
    <w:p>
      <w:pPr>
        <w:pStyle w:val="ListParagraph"/>
        <w:tabs>
          <w:tab w:val="clear" w:pos="708"/>
          <w:tab w:val="left" w:pos="1722" w:leader="none"/>
        </w:tabs>
        <w:spacing w:before="0" w:after="0"/>
        <w:ind w:hanging="0" w:start="0" w:end="-76"/>
        <w:jc w:val="both"/>
        <w:rPr>
          <w:rFonts w:ascii="Times New Roman" w:hAnsi="Times New Roman"/>
          <w:bCs/>
          <w:sz w:val="24"/>
          <w:szCs w:val="24"/>
        </w:rPr>
      </w:pPr>
      <w:r>
        <w:rPr>
          <w:rFonts w:ascii="Times New Roman" w:hAnsi="Times New Roman"/>
          <w:b/>
          <w:sz w:val="24"/>
          <w:szCs w:val="24"/>
        </w:rPr>
        <w:t xml:space="preserve">Resumo: </w:t>
      </w:r>
      <w:r>
        <w:rPr>
          <w:rFonts w:ascii="Times New Roman" w:hAnsi="Times New Roman"/>
          <w:bCs/>
          <w:sz w:val="24"/>
          <w:szCs w:val="24"/>
        </w:rPr>
        <w:t xml:space="preserve">A formação em Enfermagem deve favorecer o desenvolvimento de profissionais capazes de analisar criticamente os processos sociais, políticos e econômicos que atravessam a saúde. Nesse sentido, as metodologias ativas de ensino possibilitam a participação dos estudantes na construção do conhecimento e na problematização de questões relevantes para o exercício profissional. A discussão sobre a privatização do Sistema Único de Saúde (SUS), por sua vez, permite refletir sobre o direito à saúde, a organização dos serviços e as implicações das escolhas políticas para a população e para a Enfermagem. Este trabalho objetiva relatar a experiência de utilização do júri simulado como metodologia ativa de ensino na discussão sobre a privatização do SUS na formação de graduandos em Enfermagem. Trata-se de um relato de experiência referente a uma atividade desenvolvida em maio de 2026, na disciplina Enfermagem no Processo de Cuidar em Saúde Coletiva I, do curso de Enfermagem da Universidade Regional do Cariri (URCA), campus Iguatu. Participaram 22 estudantes matriculados no componente curricular, o docente responsável e duas convidadas do curso de Direito, uma professora e uma discente. A atividade foi organizada com base na dinâmica de um julgamento, distribuindo os participantes em diferentes funções. A partir da apresentação de argumentos favoráveis e contrários à privatização do SUS, os estudantes foram estimulados a mobilizar conhecimentos discutidos em sala de aula, analisar diferentes posicionamentos e debater as possíveis implicações desse processo para o sistema de saúde, a população e a atuação da Enfermagem. A experiência favoreceu a participação dos estudantes e a articulação entre os conteúdos teóricos da disciplina e questões sociopolíticas relacionadas à organização do SUS. A dinâmica estimulou o exercício da argumentação, da comunicação e da análise crítica, além de possibilitar reflexões sobre a universalidade do acesso, o financiamento público e os desafios enfrentados pelo sistema de saúde. A atividade também evidenciou a importância de compreender as fragilidades do SUS sem desconsiderar seu papel na garantia do direito à saúde. Ao final, o júri apresentou veredito contrário à privatização, expressando o posicionamento construído no contexto da atividade. Esse resultado constituiu uma oportunidade de sistematizar os </w:t>
      </w:r>
      <w:r>
        <w:rPr>
          <w:rFonts w:ascii="Times New Roman" w:hAnsi="Times New Roman"/>
          <w:bCs/>
          <w:sz w:val="24"/>
          <w:szCs w:val="24"/>
        </w:rPr>
        <w:t xml:space="preserve">argumentos debatidos e refletir sobre os compromissos éticos e políticos envolvidos na defesa do direito à saúde. Conclui-se que o júri simulado constituiu uma estratégia </w:t>
      </w:r>
    </w:p>
    <w:p>
      <w:pPr>
        <w:pStyle w:val="ListParagraph"/>
        <w:tabs>
          <w:tab w:val="clear" w:pos="708"/>
          <w:tab w:val="left" w:pos="1722" w:leader="none"/>
        </w:tabs>
        <w:spacing w:before="0" w:after="0"/>
        <w:ind w:hanging="0" w:start="0" w:end="-76"/>
        <w:jc w:val="both"/>
        <w:rPr>
          <w:rFonts w:ascii="Times New Roman" w:hAnsi="Times New Roman"/>
          <w:bCs/>
          <w:sz w:val="24"/>
          <w:szCs w:val="24"/>
        </w:rPr>
      </w:pPr>
      <w:r>
        <w:rPr>
          <w:rFonts w:ascii="Times New Roman" w:hAnsi="Times New Roman"/>
          <w:bCs/>
          <w:sz w:val="24"/>
          <w:szCs w:val="24"/>
        </w:rPr>
      </w:r>
    </w:p>
    <w:p>
      <w:pPr>
        <w:pStyle w:val="ListParagraph"/>
        <w:tabs>
          <w:tab w:val="clear" w:pos="708"/>
          <w:tab w:val="left" w:pos="1722" w:leader="none"/>
        </w:tabs>
        <w:spacing w:before="0" w:after="0"/>
        <w:ind w:hanging="0" w:start="0" w:end="-76"/>
        <w:jc w:val="both"/>
        <w:rPr>
          <w:rFonts w:ascii="Times New Roman" w:hAnsi="Times New Roman"/>
          <w:bCs/>
          <w:sz w:val="24"/>
          <w:szCs w:val="24"/>
        </w:rPr>
      </w:pPr>
      <w:r>
        <w:rPr>
          <w:rFonts w:ascii="Times New Roman" w:hAnsi="Times New Roman"/>
          <w:bCs/>
          <w:sz w:val="24"/>
          <w:szCs w:val="24"/>
        </w:rPr>
      </w:r>
    </w:p>
    <w:p>
      <w:pPr>
        <w:pStyle w:val="ListParagraph"/>
        <w:tabs>
          <w:tab w:val="clear" w:pos="708"/>
          <w:tab w:val="left" w:pos="1722" w:leader="none"/>
        </w:tabs>
        <w:spacing w:before="0" w:after="0"/>
        <w:ind w:hanging="0" w:start="0" w:end="-76"/>
        <w:jc w:val="both"/>
        <w:rPr>
          <w:rFonts w:ascii="Times New Roman" w:hAnsi="Times New Roman"/>
          <w:bCs/>
          <w:sz w:val="24"/>
          <w:szCs w:val="24"/>
        </w:rPr>
      </w:pPr>
      <w:r>
        <w:rPr>
          <w:rFonts w:ascii="Times New Roman" w:hAnsi="Times New Roman"/>
          <w:bCs/>
          <w:sz w:val="24"/>
          <w:szCs w:val="24"/>
        </w:rPr>
      </w:r>
    </w:p>
    <w:p>
      <w:pPr>
        <w:pStyle w:val="ListParagraph"/>
        <w:tabs>
          <w:tab w:val="clear" w:pos="708"/>
          <w:tab w:val="left" w:pos="1722" w:leader="none"/>
        </w:tabs>
        <w:spacing w:before="0" w:after="0"/>
        <w:ind w:hanging="0" w:start="0" w:end="-76"/>
        <w:jc w:val="both"/>
        <w:rPr>
          <w:rFonts w:ascii="Times New Roman" w:hAnsi="Times New Roman"/>
          <w:bCs/>
          <w:sz w:val="24"/>
          <w:szCs w:val="24"/>
        </w:rPr>
      </w:pPr>
      <w:r>
        <w:rPr>
          <w:rFonts w:ascii="Times New Roman" w:hAnsi="Times New Roman"/>
          <w:bCs/>
          <w:sz w:val="24"/>
          <w:szCs w:val="24"/>
        </w:rPr>
      </w:r>
    </w:p>
    <w:p>
      <w:pPr>
        <w:pStyle w:val="ListParagraph"/>
        <w:tabs>
          <w:tab w:val="clear" w:pos="708"/>
          <w:tab w:val="left" w:pos="1722" w:leader="none"/>
        </w:tabs>
        <w:spacing w:before="0" w:after="0"/>
        <w:ind w:hanging="0" w:start="0" w:end="-76"/>
        <w:jc w:val="both"/>
        <w:rPr>
          <w:rFonts w:ascii="Times New Roman" w:hAnsi="Times New Roman"/>
          <w:bCs/>
          <w:sz w:val="24"/>
          <w:szCs w:val="24"/>
        </w:rPr>
      </w:pPr>
      <w:r>
        <w:rPr>
          <w:rFonts w:ascii="Times New Roman" w:hAnsi="Times New Roman"/>
          <w:bCs/>
          <w:sz w:val="24"/>
          <w:szCs w:val="24"/>
        </w:rPr>
      </w:r>
    </w:p>
    <w:p>
      <w:pPr>
        <w:pStyle w:val="ListParagraph"/>
        <w:tabs>
          <w:tab w:val="clear" w:pos="708"/>
          <w:tab w:val="left" w:pos="1722" w:leader="none"/>
        </w:tabs>
        <w:spacing w:before="0" w:after="0"/>
        <w:ind w:hanging="0" w:start="0" w:end="-76"/>
        <w:jc w:val="both"/>
        <w:rPr>
          <w:rFonts w:ascii="Times New Roman" w:hAnsi="Times New Roman"/>
          <w:bCs/>
          <w:sz w:val="24"/>
          <w:szCs w:val="24"/>
        </w:rPr>
      </w:pPr>
      <w:r>
        <w:rPr>
          <w:rFonts w:ascii="Times New Roman" w:hAnsi="Times New Roman"/>
          <w:bCs/>
          <w:sz w:val="24"/>
          <w:szCs w:val="24"/>
        </w:rPr>
        <w:t>pedagógica para problematizar a privatização do SUS e favorecer o desenvolvimento do pensamento crítico, da argumentação e do protagonismo discente. A experiência reforça a importância de metodologias que ultrapassem a transmissão de conteúdos e contribuam para uma formação em Enfermagem comprometida com a compreensão das políticas de saúde e com a defesa do direito à saúde.</w:t>
      </w:r>
    </w:p>
    <w:p>
      <w:pPr>
        <w:pStyle w:val="Normal"/>
        <w:spacing w:lineRule="auto" w:line="240" w:before="0" w:after="0"/>
        <w:jc w:val="both"/>
        <w:rPr>
          <w:rFonts w:ascii="Times New Roman" w:hAnsi="Times New Roman"/>
          <w:sz w:val="24"/>
        </w:rPr>
      </w:pPr>
      <w:r>
        <w:rPr>
          <w:rFonts w:ascii="Times New Roman" w:hAnsi="Times New Roman"/>
          <w:b/>
          <w:sz w:val="24"/>
        </w:rPr>
      </w:r>
    </w:p>
    <w:p>
      <w:pPr>
        <w:pStyle w:val="Normal"/>
        <w:spacing w:lineRule="auto" w:line="240" w:before="0" w:after="0"/>
        <w:jc w:val="both"/>
        <w:rPr>
          <w:rFonts w:ascii="Times New Roman" w:hAnsi="Times New Roman"/>
          <w:sz w:val="24"/>
        </w:rPr>
      </w:pPr>
      <w:r>
        <w:rPr>
          <w:rFonts w:ascii="Times New Roman" w:hAnsi="Times New Roman"/>
          <w:b/>
          <w:sz w:val="24"/>
        </w:rPr>
        <w:t xml:space="preserve">Palavras-chave: </w:t>
      </w:r>
      <w:r>
        <w:rPr>
          <w:rFonts w:ascii="Times New Roman" w:hAnsi="Times New Roman"/>
          <w:sz w:val="24"/>
        </w:rPr>
        <w:t>Sistema Único de Saúde. Educação em Enfermagem. Metodologias Ativas. Saúde Coletiva.</w:t>
      </w:r>
    </w:p>
    <w:p>
      <w:pPr>
        <w:pStyle w:val="NormalWeb"/>
        <w:spacing w:beforeAutospacing="0" w:before="0" w:afterAutospacing="0" w:after="0"/>
        <w:jc w:val="both"/>
        <w:rPr>
          <w:rStyle w:val="fontstyle01"/>
          <w:rFonts w:ascii="Times New Roman" w:hAnsi="Times New Roman"/>
          <w:sz w:val="24"/>
          <w:szCs w:val="24"/>
        </w:rPr>
      </w:pPr>
      <w:r>
        <w:rPr>
          <w:sz w:val="24"/>
          <w:szCs w:val="24"/>
        </w:rPr>
      </w:r>
    </w:p>
    <w:sectPr>
      <w:headerReference w:type="even" r:id="rId2"/>
      <w:headerReference w:type="default" r:id="rId3"/>
      <w:headerReference w:type="first" r:id="rId4"/>
      <w:footerReference w:type="even" r:id="rId5"/>
      <w:footerReference w:type="default" r:id="rId6"/>
      <w:footerReference w:type="first" r:id="rId7"/>
      <w:footnotePr>
        <w:numFmt w:val="decimal"/>
      </w:footnotePr>
      <w:type w:val="nextPage"/>
      <w:pgSz w:w="11906" w:h="16838"/>
      <w:pgMar w:left="1701" w:right="1701"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w:charset w:val="01"/>
    <w:family w:val="swiss"/>
    <w:pitch w:val="variable"/>
  </w:font>
  <w:font w:name="Verdana">
    <w:charset w:val="01"/>
    <w:family w:val="swiss"/>
    <w:pitch w:val="variable"/>
  </w:font>
  <w:font w:name="Times New Roman">
    <w:charset w:val="01"/>
    <w:family w:val="roman"/>
    <w:pitch w:val="variable"/>
  </w:font>
  <w:font w:name="TimesNewRomanPSMT">
    <w:charset w:val="01"/>
    <w:family w:val="roman"/>
    <w:pitch w:val="variable"/>
  </w:font>
  <w:font w:name="Liberation Sans">
    <w:altName w:val="Arial"/>
    <w:charset w:val="01"/>
    <w:family w:val="swiss"/>
    <w:pitch w:val="variable"/>
  </w:font>
  <w:font w:name="Cambria">
    <w:charset w:val="01"/>
    <w:family w:val="roman"/>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r>
  </w:p>
  <w:p>
    <w:pPr>
      <w:pStyle w:val="Footer"/>
      <w:jc w:val="center"/>
      <w:rPr>
        <w:sz w:val="20"/>
        <w:szCs w:val="20"/>
      </w:rPr>
    </w:pPr>
    <w:r>
      <w:rPr>
        <w:sz w:val="20"/>
        <w:szCs w:val="20"/>
      </w:rPr>
      <w:t>ISSN 1983-8174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0"/>
        <w:szCs w:val="20"/>
      </w:rPr>
    </w:pPr>
    <w:r>
      <w:rPr>
        <w:sz w:val="20"/>
        <w:szCs w:val="20"/>
      </w:rPr>
    </w:r>
  </w:p>
  <w:p>
    <w:pPr>
      <w:pStyle w:val="Footer"/>
      <w:jc w:val="center"/>
      <w:rPr>
        <w:sz w:val="20"/>
        <w:szCs w:val="20"/>
      </w:rPr>
    </w:pPr>
    <w:r>
      <w:rPr>
        <w:sz w:val="20"/>
        <w:szCs w:val="20"/>
      </w:rPr>
      <w:t>ISSN 1983-8174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Caracteresdenotaderodap"/>
        </w:rPr>
        <w:footnoteRef/>
      </w:r>
      <w:r>
        <w:rPr/>
        <w:t xml:space="preserve">Universidade Regional do Cariri, e-mail: </w:t>
      </w:r>
      <w:hyperlink r:id="rId1">
        <w:r>
          <w:rPr>
            <w:rStyle w:val="Hyperlink"/>
          </w:rPr>
          <w:t>ana.gabriele@urca.br</w:t>
        </w:r>
      </w:hyperlink>
    </w:p>
  </w:footnote>
  <w:footnote w:id="3">
    <w:p>
      <w:pPr>
        <w:pStyle w:val="FootnoteText"/>
        <w:rPr/>
      </w:pPr>
      <w:r>
        <w:rPr>
          <w:rStyle w:val="Caracteresdenotaderodap"/>
        </w:rPr>
        <w:footnoteRef/>
      </w:r>
      <w:r>
        <w:rPr/>
        <w:t xml:space="preserve">Universidade Regional do Cariri, e-mail: </w:t>
      </w:r>
      <w:hyperlink r:id="rId2">
        <w:r>
          <w:rPr>
            <w:rStyle w:val="Hyperlink"/>
          </w:rPr>
          <w:t>wytallo.barreto@urca.br</w:t>
        </w:r>
      </w:hyperlink>
    </w:p>
  </w:footnote>
  <w:footnote w:id="4">
    <w:p>
      <w:pPr>
        <w:pStyle w:val="FootnoteText"/>
        <w:rPr/>
      </w:pPr>
      <w:r>
        <w:rPr>
          <w:rStyle w:val="Caracteresdenotaderodap"/>
        </w:rPr>
        <w:footnoteRef/>
      </w:r>
      <w:r>
        <w:rPr/>
        <w:t xml:space="preserve">Universidade Regional do Cariri, e-mail: </w:t>
      </w:r>
      <w:hyperlink r:id="rId3">
        <w:r>
          <w:rPr>
            <w:rStyle w:val="Hyperlink"/>
          </w:rPr>
          <w:t>leticia.jesus@urca.br</w:t>
        </w:r>
      </w:hyperlink>
    </w:p>
  </w:footnote>
  <w:footnote w:id="5">
    <w:p>
      <w:pPr>
        <w:pStyle w:val="FootnoteText"/>
        <w:rPr/>
      </w:pPr>
      <w:r>
        <w:rPr>
          <w:rStyle w:val="Caracteresdenotaderodap"/>
        </w:rPr>
        <w:footnoteRef/>
      </w:r>
      <w:r>
        <w:rPr/>
        <w:t xml:space="preserve">Universidade Regional do Cariri, e-mail: </w:t>
      </w:r>
      <w:hyperlink r:id="rId4">
        <w:r>
          <w:rPr>
            <w:rStyle w:val="Hyperlink"/>
          </w:rPr>
          <w:t>joao.silva@urca.br</w:t>
        </w:r>
      </w:hyperlink>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end="83"/>
      <w:jc w:val="center"/>
      <w:rPr>
        <w:rFonts w:ascii="Cambria" w:hAnsi="Cambria" w:cs="Cambria"/>
        <w:b/>
        <w:color w:val="000000"/>
      </w:rPr>
    </w:pPr>
    <w:r>
      <w:rPr>
        <w:rFonts w:cs="Cambria" w:ascii="Cambria" w:hAnsi="Cambria"/>
        <w:b/>
        <w:color w:val="000000"/>
      </w:rPr>
      <w:drawing>
        <wp:anchor distT="0" distB="0" distL="0" distR="0" simplePos="0" relativeHeight="3" behindDoc="1" locked="0" layoutInCell="1" allowOverlap="1">
          <wp:simplePos x="0" y="0"/>
          <wp:positionH relativeFrom="column">
            <wp:posOffset>108585</wp:posOffset>
          </wp:positionH>
          <wp:positionV relativeFrom="paragraph">
            <wp:posOffset>-344805</wp:posOffset>
          </wp:positionV>
          <wp:extent cx="5302250" cy="166941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
                  <a:stretch>
                    <a:fillRect/>
                  </a:stretch>
                </pic:blipFill>
                <pic:spPr bwMode="auto">
                  <a:xfrm>
                    <a:off x="0" y="0"/>
                    <a:ext cx="5302250" cy="1669415"/>
                  </a:xfrm>
                  <a:prstGeom prst="rect">
                    <a:avLst/>
                  </a:prstGeom>
                  <a:noFill/>
                </pic:spPr>
              </pic:pic>
            </a:graphicData>
          </a:graphic>
        </wp:anchor>
      </w:drawing>
    </w:r>
  </w:p>
  <w:p>
    <w:pPr>
      <w:pStyle w:val="Header"/>
      <w:jc w:val="center"/>
      <w:rPr>
        <w:rFonts w:ascii="Arial" w:hAnsi="Arial" w:cs="Arial"/>
        <w:i/>
        <w:sz w:val="18"/>
      </w:rPr>
    </w:pPr>
    <w:r>
      <w:rPr>
        <w:rFonts w:cs="Arial" w:ascii="Arial" w:hAnsi="Arial"/>
        <w:i/>
        <w:sz w:val="1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end="83"/>
      <w:jc w:val="center"/>
      <w:rPr>
        <w:rFonts w:ascii="Cambria" w:hAnsi="Cambria" w:cs="Cambria"/>
        <w:b/>
        <w:color w:val="000000"/>
      </w:rPr>
    </w:pPr>
    <w:r>
      <w:rPr>
        <w:rFonts w:cs="Cambria" w:ascii="Cambria" w:hAnsi="Cambria"/>
        <w:b/>
        <w:color w:val="000000"/>
      </w:rPr>
      <w:drawing>
        <wp:anchor distT="0" distB="0" distL="0" distR="0" simplePos="0" relativeHeight="3" behindDoc="1" locked="0" layoutInCell="1" allowOverlap="1">
          <wp:simplePos x="0" y="0"/>
          <wp:positionH relativeFrom="column">
            <wp:posOffset>108585</wp:posOffset>
          </wp:positionH>
          <wp:positionV relativeFrom="paragraph">
            <wp:posOffset>-344805</wp:posOffset>
          </wp:positionV>
          <wp:extent cx="5302250" cy="1669415"/>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
                  <a:stretch>
                    <a:fillRect/>
                  </a:stretch>
                </pic:blipFill>
                <pic:spPr bwMode="auto">
                  <a:xfrm>
                    <a:off x="0" y="0"/>
                    <a:ext cx="5302250" cy="1669415"/>
                  </a:xfrm>
                  <a:prstGeom prst="rect">
                    <a:avLst/>
                  </a:prstGeom>
                  <a:noFill/>
                </pic:spPr>
              </pic:pic>
            </a:graphicData>
          </a:graphic>
        </wp:anchor>
      </w:drawing>
    </w:r>
  </w:p>
  <w:p>
    <w:pPr>
      <w:pStyle w:val="Header"/>
      <w:jc w:val="center"/>
      <w:rPr>
        <w:rFonts w:ascii="Arial" w:hAnsi="Arial" w:cs="Arial"/>
        <w:i/>
        <w:sz w:val="18"/>
      </w:rPr>
    </w:pPr>
    <w:r>
      <w:rPr>
        <w:rFonts w:cs="Arial" w:ascii="Arial" w:hAnsi="Arial"/>
        <w:i/>
        <w:sz w:val="18"/>
      </w:rPr>
    </w:r>
  </w:p>
</w:hdr>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ii-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start"/>
    </w:pPr>
    <w:rPr>
      <w:rFonts w:ascii="Calibri" w:hAnsi="Calibri" w:eastAsia="Calibri" w:cs="Times New Roman" w:asciiTheme="minorHAnsi" w:eastAsiaTheme="minorHAnsi" w:hAnsiTheme="minorHAnsi"/>
      <w:color w:val="auto"/>
      <w:kern w:val="0"/>
      <w:sz w:val="22"/>
      <w:szCs w:val="22"/>
      <w:lang w:eastAsia="zh-CN" w:val="pt-BR" w:bidi="ar-SA"/>
    </w:rPr>
  </w:style>
  <w:style w:type="character" w:styleId="DefaultParagraphFont" w:default="1">
    <w:name w:val="Default Paragraph Font"/>
    <w:uiPriority w:val="1"/>
    <w:unhideWhenUsed/>
    <w:rPr/>
  </w:style>
  <w:style w:type="character" w:styleId="Strong">
    <w:name w:val="Strong"/>
    <w:uiPriority w:val="22"/>
    <w:qFormat/>
    <w:rPr>
      <w:b/>
      <w:bCs/>
    </w:rPr>
  </w:style>
  <w:style w:type="character" w:styleId="Caracteresdenotaderodap">
    <w:name w:val="Caracteres de nota de rodapé"/>
    <w:basedOn w:val="DefaultParagraphFont"/>
    <w:uiPriority w:val="99"/>
    <w:semiHidden/>
    <w:unhideWhenUsed/>
    <w:qFormat/>
    <w:rPr>
      <w:vertAlign w:val="superscript"/>
    </w:rPr>
  </w:style>
  <w:style w:type="character" w:styleId="FootnoteReference">
    <w:name w:val="footnote reference"/>
    <w:rPr>
      <w:vertAlign w:val="superscript"/>
    </w:rPr>
  </w:style>
  <w:style w:type="character" w:styleId="CabealhoChar" w:customStyle="1">
    <w:name w:val="Cabeçalho Char"/>
    <w:basedOn w:val="DefaultParagraphFont"/>
    <w:uiPriority w:val="99"/>
    <w:qFormat/>
    <w:rPr/>
  </w:style>
  <w:style w:type="character" w:styleId="TextodenotaderodapChar" w:customStyle="1">
    <w:name w:val="Texto de nota de rodapé Char"/>
    <w:basedOn w:val="DefaultParagraphFont"/>
    <w:uiPriority w:val="99"/>
    <w:semiHidden/>
    <w:qFormat/>
    <w:rPr>
      <w:rFonts w:ascii="Calibri" w:hAnsi="Calibri" w:eastAsia="Calibri" w:cs="Times New Roman"/>
      <w:sz w:val="20"/>
      <w:szCs w:val="20"/>
      <w:lang w:eastAsia="zh-CN"/>
    </w:rPr>
  </w:style>
  <w:style w:type="character" w:styleId="RodapChar" w:customStyle="1">
    <w:name w:val="Rodapé Char"/>
    <w:basedOn w:val="DefaultParagraphFont"/>
    <w:uiPriority w:val="99"/>
    <w:qFormat/>
    <w:rPr>
      <w:rFonts w:ascii="Calibri" w:hAnsi="Calibri" w:eastAsia="Calibri" w:cs="Times New Roman"/>
      <w:lang w:eastAsia="zh-CN"/>
    </w:rPr>
  </w:style>
  <w:style w:type="character" w:styleId="fontstyle01" w:customStyle="1">
    <w:name w:val="fontstyle01"/>
    <w:basedOn w:val="DefaultParagraphFont"/>
    <w:qFormat/>
    <w:rPr>
      <w:rFonts w:ascii="Verdana" w:hAnsi="Verdana"/>
      <w:b/>
      <w:bCs/>
      <w:color w:val="000000"/>
      <w:sz w:val="20"/>
      <w:szCs w:val="20"/>
    </w:rPr>
  </w:style>
  <w:style w:type="character" w:styleId="fontstyle21" w:customStyle="1">
    <w:name w:val="fontstyle21"/>
    <w:basedOn w:val="DefaultParagraphFont"/>
    <w:qFormat/>
    <w:rPr>
      <w:rFonts w:ascii="Verdana" w:hAnsi="Verdana"/>
      <w:color w:val="000000"/>
      <w:sz w:val="20"/>
      <w:szCs w:val="20"/>
    </w:rPr>
  </w:style>
  <w:style w:type="character" w:styleId="fontstyle31" w:customStyle="1">
    <w:name w:val="fontstyle31"/>
    <w:basedOn w:val="DefaultParagraphFont"/>
    <w:qFormat/>
    <w:rPr>
      <w:rFonts w:ascii="Times New Roman" w:hAnsi="Times New Roman" w:cs="Times New Roman"/>
      <w:color w:val="000000"/>
      <w:sz w:val="24"/>
      <w:szCs w:val="24"/>
    </w:rPr>
  </w:style>
  <w:style w:type="character" w:styleId="fontstyle11" w:customStyle="1">
    <w:name w:val="fontstyle11"/>
    <w:basedOn w:val="DefaultParagraphFont"/>
    <w:qFormat/>
    <w:rPr>
      <w:rFonts w:ascii="TimesNewRomanPSMT" w:hAnsi="TimesNewRomanPSMT"/>
      <w:color w:val="000000"/>
      <w:sz w:val="24"/>
      <w:szCs w:val="24"/>
    </w:rPr>
  </w:style>
  <w:style w:type="character" w:styleId="TtuloChar" w:customStyle="1">
    <w:name w:val="Título Char"/>
    <w:basedOn w:val="DefaultParagraphFont"/>
    <w:uiPriority w:val="10"/>
    <w:rsid w:val="00250a4c"/>
    <w:rPr>
      <w:rFonts w:ascii="Calibri" w:hAnsi="Calibri" w:eastAsia="Calibri" w:cs="Calibri"/>
      <w:b/>
      <w:sz w:val="72"/>
      <w:szCs w:val="72"/>
    </w:rPr>
  </w:style>
  <w:style w:type="character" w:styleId="Hyperlink">
    <w:name w:val="Hyperlink"/>
    <w:basedOn w:val="DefaultParagraphFont"/>
    <w:uiPriority w:val="99"/>
    <w:unhideWhenUsed/>
    <w:rsid w:val="00250a4c"/>
    <w:rPr>
      <w:color w:themeColor="hyperlink" w:val="0563C1"/>
      <w:u w:val="single"/>
    </w:rPr>
  </w:style>
  <w:style w:type="character" w:styleId="UnresolvedMention">
    <w:name w:val="Unresolved Mention"/>
    <w:basedOn w:val="DefaultParagraphFont"/>
    <w:uiPriority w:val="99"/>
    <w:semiHidden/>
    <w:unhideWhenUsed/>
    <w:rsid w:val="00250a4c"/>
    <w:rPr>
      <w:color w:val="605E5C"/>
      <w:shd w:fill="E1DFDD" w:val="clear"/>
    </w:rPr>
  </w:style>
  <w:style w:type="character" w:styleId="EndnoteReference">
    <w:name w:val="endnote reference"/>
    <w:rPr>
      <w:vertAlign w:val="superscript"/>
    </w:rPr>
  </w:style>
  <w:style w:type="character" w:styleId="Caracteresdenotadefim">
    <w:name w:val="Caracteres de nota de fim"/>
    <w:rPr/>
  </w:style>
  <w:style w:type="paragraph" w:styleId="Ttulo">
    <w:name w:val="Título"/>
    <w:basedOn w:val="Normal"/>
    <w:next w:val="BodyTex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pPr>
      <w:suppressLineNumbers/>
      <w:spacing w:before="120" w:after="120"/>
    </w:pPr>
    <w:rPr>
      <w:rFonts w:cs="Noto Sans"/>
      <w:i/>
      <w:iCs/>
      <w:sz w:val="24"/>
      <w:szCs w:val="24"/>
    </w:rPr>
  </w:style>
  <w:style w:type="paragraph" w:styleId="ndice">
    <w:name w:val="Índice"/>
    <w:basedOn w:val="Normal"/>
    <w:pPr>
      <w:suppressLineNumbers/>
    </w:pPr>
    <w:rPr>
      <w:rFonts w:cs="Noto Sans"/>
    </w:rPr>
  </w:style>
  <w:style w:type="paragraph" w:styleId="NormalWeb">
    <w:name w:val="Normal (Web)"/>
    <w:basedOn w:val="Normal"/>
    <w:uiPriority w:val="99"/>
    <w:unhideWhenUsed/>
    <w:qFormat/>
    <w:pPr>
      <w:suppressAutoHyphens w:val="false"/>
      <w:spacing w:lineRule="auto" w:line="240" w:beforeAutospacing="1" w:afterAutospacing="1"/>
    </w:pPr>
    <w:rPr>
      <w:rFonts w:ascii="Times New Roman" w:hAnsi="Times New Roman" w:eastAsia="Times New Roman"/>
      <w:sz w:val="24"/>
      <w:szCs w:val="24"/>
      <w:lang w:eastAsia="pt-BR"/>
    </w:rPr>
  </w:style>
  <w:style w:type="paragraph" w:styleId="Cabealhoerodap">
    <w:name w:val="Cabeçalho e rodapé"/>
    <w:basedOn w:val="Normal"/>
    <w:pPr/>
    <w:rPr/>
  </w:style>
  <w:style w:type="paragraph" w:styleId="Header">
    <w:name w:val="header"/>
    <w:basedOn w:val="Normal"/>
    <w:link w:val="CabealhoChar"/>
    <w:uiPriority w:val="99"/>
    <w:unhideWhenUsed/>
    <w:qFormat/>
    <w:pPr>
      <w:tabs>
        <w:tab w:val="clear" w:pos="708"/>
        <w:tab w:val="center" w:pos="4252" w:leader="none"/>
        <w:tab w:val="right" w:pos="8504" w:leader="none"/>
      </w:tabs>
      <w:suppressAutoHyphens w:val="false"/>
      <w:spacing w:lineRule="auto" w:line="240" w:before="0" w:after="0"/>
    </w:pPr>
    <w:rPr>
      <w:rFonts w:ascii="Calibri" w:hAnsi="Calibri" w:eastAsia="Calibri" w:cs="" w:asciiTheme="minorHAnsi" w:cstheme="minorBidi" w:eastAsiaTheme="minorHAnsi" w:hAnsiTheme="minorHAnsi"/>
      <w:lang w:eastAsia="en-US"/>
    </w:rPr>
  </w:style>
  <w:style w:type="paragraph" w:styleId="Footer">
    <w:name w:val="footer"/>
    <w:basedOn w:val="Normal"/>
    <w:link w:val="RodapChar"/>
    <w:uiPriority w:val="99"/>
    <w:unhideWhenUsed/>
    <w:qFormat/>
    <w:pPr>
      <w:tabs>
        <w:tab w:val="clear" w:pos="708"/>
        <w:tab w:val="center" w:pos="4252" w:leader="none"/>
        <w:tab w:val="right" w:pos="8504" w:leader="none"/>
      </w:tabs>
      <w:spacing w:lineRule="auto" w:line="240" w:before="0" w:after="0"/>
    </w:pPr>
    <w:rPr/>
  </w:style>
  <w:style w:type="paragraph" w:styleId="FootnoteText">
    <w:name w:val="footnote text"/>
    <w:basedOn w:val="Normal"/>
    <w:link w:val="TextodenotaderodapChar"/>
    <w:uiPriority w:val="99"/>
    <w:semiHidden/>
    <w:unhideWhenUsed/>
    <w:qFormat/>
    <w:pPr>
      <w:spacing w:lineRule="auto" w:line="240" w:before="0" w:after="0"/>
    </w:pPr>
    <w:rPr>
      <w:sz w:val="20"/>
      <w:szCs w:val="20"/>
    </w:rPr>
  </w:style>
  <w:style w:type="paragraph" w:styleId="ListParagraph">
    <w:name w:val="List Paragraph"/>
    <w:basedOn w:val="Normal"/>
    <w:uiPriority w:val="1"/>
    <w:qFormat/>
    <w:pPr>
      <w:ind w:hanging="425" w:start="1298"/>
    </w:pPr>
    <w:rPr/>
  </w:style>
  <w:style w:type="paragraph" w:styleId="Title">
    <w:name w:val="Title"/>
    <w:basedOn w:val="Normal"/>
    <w:next w:val="Normal"/>
    <w:link w:val="TtuloChar"/>
    <w:uiPriority w:val="10"/>
    <w:qFormat/>
    <w:rsid w:val="00250a4c"/>
    <w:pPr>
      <w:keepNext w:val="true"/>
      <w:keepLines/>
      <w:suppressAutoHyphens w:val="false"/>
      <w:spacing w:before="480" w:after="120"/>
    </w:pPr>
    <w:rPr>
      <w:rFonts w:cs="Calibri"/>
      <w:b/>
      <w:sz w:val="72"/>
      <w:szCs w:val="72"/>
      <w:lang w:eastAsia="pt-BR"/>
    </w:rPr>
  </w:style>
  <w:style w:type="numbering" w:styleId="Semlista" w:default="1">
    <w:name w:val="Sem lista"/>
    <w:uiPriority w:val="99"/>
    <w:semiHidden/>
    <w:unhideWhenUsed/>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notes" Target="footnotes.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mailto:ana.gabriele@urca.br" TargetMode="External"/><Relationship Id="rId2" Type="http://schemas.openxmlformats.org/officeDocument/2006/relationships/hyperlink" Target="mailto:wytallo.barreto@urca.br" TargetMode="External"/><Relationship Id="rId3" Type="http://schemas.openxmlformats.org/officeDocument/2006/relationships/hyperlink" Target="mailto:leticia.jesus@urca.br" TargetMode="External"/><Relationship Id="rId4" Type="http://schemas.openxmlformats.org/officeDocument/2006/relationships/hyperlink" Target="mailto:joao.silva@urca.br" TargetMode="Externa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9284F-45FA-435B-BC1F-415AC80D3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Application>LibreOffice/26.8.1.1$Linux_X86_64 LibreOffice_project/bf6ef2662401c7d6dce671ab4deb26ee0af3a7c1</Application>
  <AppVersion>15.0000</AppVersion>
  <Pages>2</Pages>
  <Words>498</Words>
  <Characters>3004</Characters>
  <CharactersWithSpaces>3493</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2026-10-15T19:01:00Z</dcterms:created>
  <dc:creator>Flávio França</dc:creator>
  <dc:description/>
  <dc:language>pt-BR</dc:language>
  <cp:lastModifiedBy/>
  <dcterms:modified xsi:type="dcterms:W3CDTF">2026-10-15T16:42:09Z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99BAACF13A954095BD7662DAA92CBB5C_13</vt:lpwstr>
  </property>
  <property fmtid="{D5CDD505-2E9C-101B-9397-08002B2CF9AE}" pid="3" name="KSOProductBuildVer">
    <vt:lpwstr>1046-12.1.0.28032</vt:lpwstr>
  </property>
  <property fmtid="{D5CDD505-2E9C-101B-9397-08002B2CF9AE}" pid="4" name="KSOTemplateDocerSaveRecord">
    <vt:lpwstr>eyJoZGlkIjoiOWU1M2ViZTg0OThkZGNmZGYwNWMyNTAzYTc3Y2E3MTQiLCJ1c2VySWQiOiIxMjU0NjYwMDMzMDU5In0=</vt:lpwstr>
  </property>
</Properties>
</file>