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FCB0E" w14:textId="77777777" w:rsidR="002B6384" w:rsidRDefault="002B6384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5ACDA170" w14:textId="77777777" w:rsidR="002B6384" w:rsidRDefault="002B6384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1DB73F39" w14:textId="77777777" w:rsidR="002B6384" w:rsidRDefault="002B6384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1A013903" w14:textId="77777777" w:rsidR="002B6384" w:rsidRDefault="002B6384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3BF4F09F" w14:textId="77777777" w:rsidR="002B6384" w:rsidRDefault="002B6384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3EBFD702" w14:textId="77777777" w:rsidR="002B6384" w:rsidRDefault="002B6384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60A839FF" w14:textId="77777777" w:rsidR="002B6384" w:rsidRDefault="002B6384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30C5D669" w14:textId="77777777" w:rsidR="002B6384" w:rsidRDefault="002B6384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30BF4DC4" w14:textId="77777777" w:rsidR="002B6384" w:rsidRDefault="002B6384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361726F4" w14:textId="77777777" w:rsidR="002B6384" w:rsidRDefault="002B6384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313E34CF" w14:textId="77777777" w:rsidR="002B6384" w:rsidRDefault="002B6384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3A7CBEB1" w14:textId="1FED9CEB" w:rsidR="002B6384" w:rsidRDefault="007F4F5F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  <w:r>
        <w:rPr>
          <w:rFonts w:ascii="Cambria" w:hAnsi="Cambria" w:cs="Cambria"/>
          <w:b/>
          <w:caps/>
          <w:sz w:val="24"/>
          <w:szCs w:val="24"/>
        </w:rPr>
        <w:t>AÇÃO DIRETA DE CONSTITUCIONALIDADE UM ESTUDO SOBRE SUA MATÉRIA</w:t>
      </w:r>
    </w:p>
    <w:p w14:paraId="5EAC6FCE" w14:textId="77777777" w:rsidR="002B6384" w:rsidRDefault="002B6384">
      <w:pPr>
        <w:spacing w:after="0" w:line="240" w:lineRule="auto"/>
        <w:jc w:val="center"/>
        <w:rPr>
          <w:rFonts w:ascii="Cambria" w:hAnsi="Cambria" w:cs="Cambria"/>
          <w:b/>
          <w:caps/>
          <w:sz w:val="24"/>
          <w:szCs w:val="24"/>
        </w:rPr>
      </w:pPr>
    </w:p>
    <w:p w14:paraId="184A1412" w14:textId="3570E66C" w:rsidR="002B6384" w:rsidRDefault="007F4F5F">
      <w:pPr>
        <w:spacing w:after="0" w:line="240" w:lineRule="auto"/>
        <w:jc w:val="center"/>
        <w:rPr>
          <w:rFonts w:ascii="Cambria" w:hAnsi="Cambria" w:cs="Cambria"/>
          <w:b/>
          <w:sz w:val="24"/>
        </w:rPr>
      </w:pPr>
      <w:r>
        <w:rPr>
          <w:rFonts w:ascii="Cambria" w:hAnsi="Cambria" w:cs="Cambria"/>
          <w:b/>
          <w:sz w:val="24"/>
        </w:rPr>
        <w:t>Fernando Tavares da Cunha</w:t>
      </w:r>
      <w:r w:rsidR="00B11625">
        <w:rPr>
          <w:rStyle w:val="Refdenotaderodap"/>
          <w:rFonts w:ascii="Cambria" w:hAnsi="Cambria" w:cs="Cambria"/>
          <w:b/>
          <w:sz w:val="24"/>
        </w:rPr>
        <w:footnoteReference w:id="1"/>
      </w:r>
    </w:p>
    <w:p w14:paraId="6CF0AF08" w14:textId="77777777" w:rsidR="002B6384" w:rsidRDefault="002B6384">
      <w:pPr>
        <w:spacing w:after="0" w:line="240" w:lineRule="auto"/>
        <w:jc w:val="center"/>
        <w:rPr>
          <w:rFonts w:ascii="Cambria" w:hAnsi="Cambria" w:cs="Cambria"/>
          <w:b/>
          <w:sz w:val="24"/>
        </w:rPr>
      </w:pPr>
    </w:p>
    <w:p w14:paraId="55B8B4C3" w14:textId="393B647E" w:rsidR="002B6384" w:rsidRDefault="00B11625" w:rsidP="004012AA">
      <w:pPr>
        <w:pStyle w:val="PargrafodaLista"/>
        <w:tabs>
          <w:tab w:val="left" w:pos="1722"/>
        </w:tabs>
        <w:spacing w:after="0" w:line="240" w:lineRule="auto"/>
        <w:ind w:left="0" w:right="-76" w:firstLine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Resumo: </w:t>
      </w:r>
      <w:r w:rsidR="004012AA" w:rsidRPr="006E3607">
        <w:rPr>
          <w:rFonts w:ascii="Times New Roman" w:hAnsi="Times New Roman"/>
          <w:sz w:val="24"/>
          <w:szCs w:val="24"/>
        </w:rPr>
        <w:t>A Ação Direta de Inconstitucionalidade (ADI) constitui um importante instrumento do controle concentrado de constitucionalidade, destinado a verificar a compatibilidade de leis e atos normativos com a Constituição Federal. Nesse contexto, torna-se necessário compreender os principais aspectos que envolvem a ADI, especialmente sua finalidade, cabimento, legitimidade e efeitos das decisões. O principal propósito deste estudo é compreender os aspectos fundamentais da Ação Direta de Inconstitucionalidade e sua aplicação no ordenamento jurídico brasileiro. O estudo é desenvolvido por meio de pesquisa bibliográfica com base em livros, artigos relacionados à ação direta de inconstitucionalidade.</w:t>
      </w:r>
      <w:r w:rsidR="004012AA" w:rsidRPr="006E3607">
        <w:rPr>
          <w:rFonts w:ascii="Times New Roman" w:hAnsi="Times New Roman"/>
          <w:b/>
          <w:bCs/>
          <w:sz w:val="24"/>
          <w:szCs w:val="24"/>
        </w:rPr>
        <w:t>:</w:t>
      </w:r>
      <w:r w:rsidR="004012AA" w:rsidRPr="006E3607">
        <w:rPr>
          <w:rFonts w:ascii="Times New Roman" w:hAnsi="Times New Roman"/>
          <w:sz w:val="24"/>
          <w:szCs w:val="24"/>
        </w:rPr>
        <w:t xml:space="preserve"> A pesquisa demonstrou que a Ação Direta de Inconstitucionalidade (ADI) é um instrumento do controle concentrado destinado a questionar a constitucionalidade de lei ou ato normativo federal ou estadual incompatível com a Constituição Federal. Verificou-se, ainda, que sua propositura é restrita aos legitimados previstos no art. 103 da Constituição Federal, entre eles o Presidente da República, as Mesas do Senado Federal e da Câmara dos Deputados, o Procurador-Geral da República, o Conselho Federal da OAB e os partidos políticos com representação no Congresso Nacional. Constatou-se também que as decisões definitivas de mérito proferidas pelo STF em ADI possuem eficácia contra todos (</w:t>
      </w:r>
      <w:r w:rsidR="004012AA" w:rsidRPr="006E3607">
        <w:rPr>
          <w:rFonts w:ascii="Times New Roman" w:hAnsi="Times New Roman"/>
          <w:i/>
          <w:iCs/>
          <w:sz w:val="24"/>
          <w:szCs w:val="24"/>
        </w:rPr>
        <w:t>erga omnes</w:t>
      </w:r>
      <w:r w:rsidR="004012AA" w:rsidRPr="006E3607">
        <w:rPr>
          <w:rFonts w:ascii="Times New Roman" w:hAnsi="Times New Roman"/>
          <w:sz w:val="24"/>
          <w:szCs w:val="24"/>
        </w:rPr>
        <w:t>) e efeito vinculante em relação aos demais órgãos do Poder Judiciário e à Administração Pública direta e indireta, nas esferas federal, estadual e municipal. Em regra, a decisão produz efeitos retroativos (</w:t>
      </w:r>
      <w:proofErr w:type="spellStart"/>
      <w:r w:rsidR="004012AA" w:rsidRPr="006E3607">
        <w:rPr>
          <w:rFonts w:ascii="Times New Roman" w:hAnsi="Times New Roman"/>
          <w:i/>
          <w:iCs/>
          <w:sz w:val="24"/>
          <w:szCs w:val="24"/>
        </w:rPr>
        <w:t>ex</w:t>
      </w:r>
      <w:proofErr w:type="spellEnd"/>
      <w:r w:rsidR="004012AA" w:rsidRPr="006E3607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4012AA" w:rsidRPr="006E3607">
        <w:rPr>
          <w:rFonts w:ascii="Times New Roman" w:hAnsi="Times New Roman"/>
          <w:i/>
          <w:iCs/>
          <w:sz w:val="24"/>
          <w:szCs w:val="24"/>
        </w:rPr>
        <w:t>tunc</w:t>
      </w:r>
      <w:proofErr w:type="spellEnd"/>
      <w:r w:rsidR="004012AA" w:rsidRPr="006E3607">
        <w:rPr>
          <w:rFonts w:ascii="Times New Roman" w:hAnsi="Times New Roman"/>
          <w:sz w:val="24"/>
          <w:szCs w:val="24"/>
        </w:rPr>
        <w:t>), podendo o STF, em determinadas situações, realizar a modulação dos efeitos da decisão. O presente estudo permitiu compreender os principais aspectos da Ação Direta de Inconstitucionalidade, especialmente quanto aos legitimados para sua propositura, à competência para seu julgamento e aos efeitos de suas decisões. Conclui-se que a ADI constitui importante instrumento para assegurar a supremacia da Constituição Federal, possibilitando o afastamento de leis ou atos normativos incompatíveis com o texto constitucional. Em regra, a decisão possui efeitos retroativos (</w:t>
      </w:r>
      <w:proofErr w:type="spellStart"/>
      <w:r w:rsidR="004012AA" w:rsidRPr="006E3607">
        <w:rPr>
          <w:rFonts w:ascii="Times New Roman" w:hAnsi="Times New Roman"/>
          <w:i/>
          <w:iCs/>
          <w:sz w:val="24"/>
          <w:szCs w:val="24"/>
        </w:rPr>
        <w:t>ex</w:t>
      </w:r>
      <w:proofErr w:type="spellEnd"/>
      <w:r w:rsidR="004012AA" w:rsidRPr="006E3607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4012AA" w:rsidRPr="006E3607">
        <w:rPr>
          <w:rFonts w:ascii="Times New Roman" w:hAnsi="Times New Roman"/>
          <w:i/>
          <w:iCs/>
          <w:sz w:val="24"/>
          <w:szCs w:val="24"/>
        </w:rPr>
        <w:t>tunc</w:t>
      </w:r>
      <w:proofErr w:type="spellEnd"/>
      <w:r w:rsidR="004012AA" w:rsidRPr="006E3607">
        <w:rPr>
          <w:rFonts w:ascii="Times New Roman" w:hAnsi="Times New Roman"/>
          <w:sz w:val="24"/>
          <w:szCs w:val="24"/>
        </w:rPr>
        <w:t>), embora seja possível a modulação de seus efeitos pelo STF nas hipóteses previstas</w:t>
      </w:r>
      <w:r w:rsidR="004012AA">
        <w:rPr>
          <w:rFonts w:ascii="Times New Roman" w:hAnsi="Times New Roman"/>
          <w:sz w:val="24"/>
          <w:szCs w:val="24"/>
        </w:rPr>
        <w:t xml:space="preserve"> </w:t>
      </w:r>
      <w:r w:rsidR="004012AA" w:rsidRPr="006E3607">
        <w:rPr>
          <w:rFonts w:ascii="Times New Roman" w:hAnsi="Times New Roman"/>
          <w:sz w:val="24"/>
          <w:szCs w:val="24"/>
        </w:rPr>
        <w:t>em</w:t>
      </w:r>
      <w:r w:rsidR="004012AA">
        <w:rPr>
          <w:rFonts w:ascii="Times New Roman" w:hAnsi="Times New Roman"/>
          <w:sz w:val="24"/>
          <w:szCs w:val="24"/>
        </w:rPr>
        <w:t xml:space="preserve"> </w:t>
      </w:r>
      <w:r w:rsidR="004012AA" w:rsidRPr="006E3607">
        <w:rPr>
          <w:rFonts w:ascii="Times New Roman" w:hAnsi="Times New Roman"/>
          <w:sz w:val="24"/>
          <w:szCs w:val="24"/>
        </w:rPr>
        <w:t>lei.</w:t>
      </w:r>
      <w:r w:rsidR="004012AA">
        <w:rPr>
          <w:rFonts w:ascii="Times New Roman" w:hAnsi="Times New Roman"/>
          <w:sz w:val="24"/>
          <w:szCs w:val="24"/>
        </w:rPr>
        <w:br/>
      </w:r>
    </w:p>
    <w:p w14:paraId="1A9A045B" w14:textId="23BC23CE" w:rsidR="002B6384" w:rsidRPr="004012AA" w:rsidRDefault="00B11625" w:rsidP="004012AA">
      <w:pPr>
        <w:spacing w:after="0" w:line="240" w:lineRule="auto"/>
        <w:jc w:val="both"/>
        <w:rPr>
          <w:rStyle w:val="fontstyle21"/>
          <w:rFonts w:ascii="Times New Roman" w:hAnsi="Times New Roman"/>
          <w:color w:val="auto"/>
          <w:sz w:val="24"/>
          <w:szCs w:val="22"/>
        </w:rPr>
      </w:pPr>
      <w:r>
        <w:rPr>
          <w:rFonts w:ascii="Times New Roman" w:hAnsi="Times New Roman"/>
          <w:b/>
          <w:sz w:val="24"/>
        </w:rPr>
        <w:t>Palavras-chave:</w:t>
      </w:r>
      <w:r w:rsidR="004012AA">
        <w:rPr>
          <w:rFonts w:ascii="Times New Roman" w:hAnsi="Times New Roman"/>
          <w:sz w:val="24"/>
        </w:rPr>
        <w:t xml:space="preserve"> Direito Constitucional</w:t>
      </w:r>
      <w:r>
        <w:rPr>
          <w:rFonts w:ascii="Times New Roman" w:hAnsi="Times New Roman"/>
          <w:sz w:val="24"/>
        </w:rPr>
        <w:t>.</w:t>
      </w:r>
      <w:r w:rsidR="004012AA">
        <w:rPr>
          <w:rFonts w:ascii="Times New Roman" w:hAnsi="Times New Roman"/>
          <w:sz w:val="24"/>
        </w:rPr>
        <w:t xml:space="preserve"> Controle de constitucionalidade</w:t>
      </w:r>
      <w:r>
        <w:rPr>
          <w:rFonts w:ascii="Times New Roman" w:hAnsi="Times New Roman"/>
          <w:sz w:val="24"/>
        </w:rPr>
        <w:t xml:space="preserve">. </w:t>
      </w:r>
      <w:r w:rsidR="004012AA">
        <w:rPr>
          <w:rFonts w:ascii="Times New Roman" w:hAnsi="Times New Roman"/>
          <w:sz w:val="24"/>
        </w:rPr>
        <w:t xml:space="preserve">Ação de inconstitucionalidade </w:t>
      </w:r>
    </w:p>
    <w:sectPr w:rsidR="002B6384" w:rsidRPr="004012AA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9F86B" w14:textId="77777777" w:rsidR="00B11625" w:rsidRDefault="00B11625">
      <w:pPr>
        <w:spacing w:line="240" w:lineRule="auto"/>
      </w:pPr>
      <w:r>
        <w:separator/>
      </w:r>
    </w:p>
  </w:endnote>
  <w:endnote w:type="continuationSeparator" w:id="0">
    <w:p w14:paraId="69E71655" w14:textId="77777777" w:rsidR="00B11625" w:rsidRDefault="00B116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5C79B" w14:textId="77777777" w:rsidR="002B6384" w:rsidRDefault="00B11625">
    <w:pPr>
      <w:pStyle w:val="Rodap"/>
      <w:jc w:val="center"/>
      <w:rPr>
        <w:sz w:val="20"/>
        <w:szCs w:val="20"/>
      </w:rPr>
    </w:pPr>
    <w:r>
      <w:rPr>
        <w:sz w:val="20"/>
        <w:szCs w:val="20"/>
      </w:rPr>
      <w:t>ISSN 1983-8174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D462D" w14:textId="77777777" w:rsidR="00B11625" w:rsidRDefault="00B11625">
      <w:pPr>
        <w:spacing w:after="0"/>
      </w:pPr>
      <w:r>
        <w:separator/>
      </w:r>
    </w:p>
  </w:footnote>
  <w:footnote w:type="continuationSeparator" w:id="0">
    <w:p w14:paraId="7CF0057C" w14:textId="77777777" w:rsidR="00B11625" w:rsidRDefault="00B11625">
      <w:pPr>
        <w:spacing w:after="0"/>
      </w:pPr>
      <w:r>
        <w:continuationSeparator/>
      </w:r>
    </w:p>
  </w:footnote>
  <w:footnote w:id="1">
    <w:p w14:paraId="1B0588ED" w14:textId="16E67FA9" w:rsidR="002B6384" w:rsidRDefault="00B11625">
      <w:pPr>
        <w:pStyle w:val="Textodenotaderodap"/>
        <w:rPr>
          <w:rFonts w:ascii="Arial" w:hAnsi="Arial" w:cs="Arial"/>
        </w:rPr>
      </w:pPr>
      <w:r>
        <w:rPr>
          <w:rStyle w:val="Refdenotaderodap"/>
          <w:rFonts w:ascii="Arial" w:hAnsi="Arial" w:cs="Arial"/>
        </w:rPr>
        <w:footnoteRef/>
      </w:r>
      <w:r w:rsidR="004012AA">
        <w:rPr>
          <w:rFonts w:ascii="Arial" w:hAnsi="Arial" w:cs="Arial"/>
          <w:color w:val="000000"/>
        </w:rPr>
        <w:t xml:space="preserve"> Fernando Tavares</w:t>
      </w:r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email</w:t>
      </w:r>
      <w:proofErr w:type="spellEnd"/>
      <w:r>
        <w:rPr>
          <w:rFonts w:ascii="Arial" w:hAnsi="Arial" w:cs="Arial"/>
          <w:color w:val="000000"/>
        </w:rPr>
        <w:t xml:space="preserve">: </w:t>
      </w:r>
      <w:r w:rsidR="004012AA">
        <w:rPr>
          <w:rFonts w:ascii="Arial" w:hAnsi="Arial" w:cs="Arial"/>
          <w:color w:val="000000"/>
        </w:rPr>
        <w:t>tavarescunha1236@hotmail.com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B055E" w14:textId="77777777" w:rsidR="002B6384" w:rsidRDefault="00B11625">
    <w:pPr>
      <w:spacing w:after="0" w:line="240" w:lineRule="auto"/>
      <w:ind w:right="83"/>
      <w:jc w:val="center"/>
      <w:rPr>
        <w:rFonts w:ascii="Cambria" w:hAnsi="Cambria" w:cs="Cambria"/>
        <w:b/>
        <w:color w:val="000000"/>
      </w:rPr>
    </w:pPr>
    <w:r>
      <w:rPr>
        <w:rFonts w:ascii="Arial" w:hAnsi="Arial"/>
        <w:b/>
        <w:noProof/>
        <w:sz w:val="24"/>
      </w:rPr>
      <w:drawing>
        <wp:anchor distT="0" distB="0" distL="0" distR="0" simplePos="0" relativeHeight="251659264" behindDoc="0" locked="0" layoutInCell="1" allowOverlap="1" wp14:anchorId="01B9C42F" wp14:editId="4EA7EB95">
          <wp:simplePos x="0" y="0"/>
          <wp:positionH relativeFrom="page">
            <wp:posOffset>1188720</wp:posOffset>
          </wp:positionH>
          <wp:positionV relativeFrom="paragraph">
            <wp:posOffset>15240</wp:posOffset>
          </wp:positionV>
          <wp:extent cx="5302250" cy="1669415"/>
          <wp:effectExtent l="0" t="0" r="12700" b="6985"/>
          <wp:wrapNone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02250" cy="1669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789B6A5" w14:textId="77777777" w:rsidR="002B6384" w:rsidRDefault="002B6384">
    <w:pPr>
      <w:pStyle w:val="Cabealho"/>
      <w:jc w:val="center"/>
      <w:rPr>
        <w:rFonts w:ascii="Arial" w:hAnsi="Arial" w:cs="Arial"/>
        <w:i/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E9B"/>
    <w:rsid w:val="00025DFA"/>
    <w:rsid w:val="001329EE"/>
    <w:rsid w:val="00171CBA"/>
    <w:rsid w:val="001B13CB"/>
    <w:rsid w:val="00234E42"/>
    <w:rsid w:val="002851EF"/>
    <w:rsid w:val="00286EAD"/>
    <w:rsid w:val="002B6384"/>
    <w:rsid w:val="00360465"/>
    <w:rsid w:val="00365F17"/>
    <w:rsid w:val="0039121C"/>
    <w:rsid w:val="003D0839"/>
    <w:rsid w:val="003D6A55"/>
    <w:rsid w:val="004012AA"/>
    <w:rsid w:val="00415CA9"/>
    <w:rsid w:val="00490E9B"/>
    <w:rsid w:val="004978F2"/>
    <w:rsid w:val="004A51F9"/>
    <w:rsid w:val="004D5023"/>
    <w:rsid w:val="004E6418"/>
    <w:rsid w:val="00504E0D"/>
    <w:rsid w:val="00581FA4"/>
    <w:rsid w:val="005E1C00"/>
    <w:rsid w:val="005E31AB"/>
    <w:rsid w:val="005F1CD2"/>
    <w:rsid w:val="005F271A"/>
    <w:rsid w:val="005F5FBC"/>
    <w:rsid w:val="00610C38"/>
    <w:rsid w:val="006513BF"/>
    <w:rsid w:val="00663BF9"/>
    <w:rsid w:val="00667855"/>
    <w:rsid w:val="006809C8"/>
    <w:rsid w:val="00682363"/>
    <w:rsid w:val="006B2DF8"/>
    <w:rsid w:val="006C0BF1"/>
    <w:rsid w:val="006D7A9D"/>
    <w:rsid w:val="006E74FE"/>
    <w:rsid w:val="006F463D"/>
    <w:rsid w:val="0078097D"/>
    <w:rsid w:val="007A2E40"/>
    <w:rsid w:val="007B1288"/>
    <w:rsid w:val="007C7DE9"/>
    <w:rsid w:val="007F3396"/>
    <w:rsid w:val="007F4F5F"/>
    <w:rsid w:val="00803C01"/>
    <w:rsid w:val="0086521D"/>
    <w:rsid w:val="00871D16"/>
    <w:rsid w:val="00903DA7"/>
    <w:rsid w:val="0091091F"/>
    <w:rsid w:val="00924A8A"/>
    <w:rsid w:val="0094249F"/>
    <w:rsid w:val="009541DF"/>
    <w:rsid w:val="009705DC"/>
    <w:rsid w:val="0098212D"/>
    <w:rsid w:val="00993363"/>
    <w:rsid w:val="00997E3D"/>
    <w:rsid w:val="009C1684"/>
    <w:rsid w:val="00A26523"/>
    <w:rsid w:val="00A32F36"/>
    <w:rsid w:val="00A354CC"/>
    <w:rsid w:val="00A42233"/>
    <w:rsid w:val="00A437DC"/>
    <w:rsid w:val="00AF0C43"/>
    <w:rsid w:val="00B11625"/>
    <w:rsid w:val="00B119F6"/>
    <w:rsid w:val="00B15466"/>
    <w:rsid w:val="00B417C4"/>
    <w:rsid w:val="00BF1153"/>
    <w:rsid w:val="00BF5FF0"/>
    <w:rsid w:val="00C76203"/>
    <w:rsid w:val="00C9656E"/>
    <w:rsid w:val="00D14E31"/>
    <w:rsid w:val="00D174B4"/>
    <w:rsid w:val="00E32FE3"/>
    <w:rsid w:val="00E34165"/>
    <w:rsid w:val="00E72AD8"/>
    <w:rsid w:val="00E87C8D"/>
    <w:rsid w:val="00F018F4"/>
    <w:rsid w:val="00F40694"/>
    <w:rsid w:val="00F464E6"/>
    <w:rsid w:val="01DC338D"/>
    <w:rsid w:val="0B100735"/>
    <w:rsid w:val="10AF15CC"/>
    <w:rsid w:val="1DE434A1"/>
    <w:rsid w:val="2ABE55B0"/>
    <w:rsid w:val="43550A94"/>
    <w:rsid w:val="43BA1A2A"/>
    <w:rsid w:val="4DE00393"/>
    <w:rsid w:val="654031AC"/>
    <w:rsid w:val="66D87147"/>
    <w:rsid w:val="71A838CB"/>
    <w:rsid w:val="7421449A"/>
    <w:rsid w:val="7D7A3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C58B99"/>
  <w15:docId w15:val="{4C798494-133F-4D33-A883-0C2D98E02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uiPriority w:val="22"/>
    <w:qFormat/>
    <w:rPr>
      <w:b/>
      <w:bCs/>
    </w:rPr>
  </w:style>
  <w:style w:type="character" w:styleId="Refdenotaderodap">
    <w:name w:val="footnote reference"/>
    <w:basedOn w:val="Fontepargpadro"/>
    <w:uiPriority w:val="99"/>
    <w:semiHidden/>
    <w:unhideWhenUsed/>
    <w:qFormat/>
    <w:rPr>
      <w:vertAlign w:val="superscript"/>
    </w:rPr>
  </w:style>
  <w:style w:type="paragraph" w:styleId="NormalWeb">
    <w:name w:val="Normal (Web)"/>
    <w:basedOn w:val="Normal"/>
    <w:unhideWhenUsed/>
    <w:qFormat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basedOn w:val="Fontepargpadro"/>
    <w:qFormat/>
    <w:rPr>
      <w:rFonts w:ascii="Verdana" w:hAnsi="Verdana" w:hint="default"/>
      <w:b/>
      <w:bCs/>
      <w:color w:val="000000"/>
      <w:sz w:val="20"/>
      <w:szCs w:val="20"/>
    </w:rPr>
  </w:style>
  <w:style w:type="character" w:customStyle="1" w:styleId="fontstyle21">
    <w:name w:val="fontstyle21"/>
    <w:basedOn w:val="Fontepargpadro"/>
    <w:qFormat/>
    <w:rPr>
      <w:rFonts w:ascii="Verdana" w:hAnsi="Verdana" w:hint="default"/>
      <w:color w:val="000000"/>
      <w:sz w:val="20"/>
      <w:szCs w:val="20"/>
    </w:rPr>
  </w:style>
  <w:style w:type="character" w:customStyle="1" w:styleId="fontstyle31">
    <w:name w:val="fontstyle31"/>
    <w:basedOn w:val="Fontepargpadro"/>
    <w:qFormat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11">
    <w:name w:val="fontstyle11"/>
    <w:basedOn w:val="Fontepargpadro"/>
    <w:qFormat/>
    <w:rPr>
      <w:rFonts w:ascii="TimesNewRomanPSMT" w:hAnsi="TimesNewRomanPSMT" w:hint="default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298" w:hanging="42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99284F-45FA-435B-BC1F-415AC80D3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390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Flávio França</dc:creator>
  <cp:lastModifiedBy>Fernando Tavares Da Cunha</cp:lastModifiedBy>
  <cp:revision>3</cp:revision>
  <dcterms:created xsi:type="dcterms:W3CDTF">2022-11-03T12:34:00Z</dcterms:created>
  <dcterms:modified xsi:type="dcterms:W3CDTF">2026-09-20T18:45:00Z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99BAACF13A954095BD7662DAA92CBB5C_13</vt:lpwstr>
  </property>
  <property fmtid="{D5CDD505-2E9C-101B-9397-08002B2CF9AE}" pid="4" name="KSOTemplateDocerSaveRecord">
    <vt:lpwstr>eyJoZGlkIjoiOWU1M2ViZTg0OThkZGNmZGYwNWMyNTAzYTc3Y2E3MTQiLCJ1c2VySWQiOiIxMjU0NjYwMDMzMDU5In0=</vt:lpwstr>
  </property>
</Properties>
</file>