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6"/>
        <w:ind w:firstLine="0"/>
        <w:jc w:val="center"/>
        <w:rPr>
          <w:rFonts w:ascii="Times New Roman" w:hAnsi="Times New Roman" w:cs="Times New Roman"/>
          <w:b/>
          <w:sz w:val="28"/>
          <w:szCs w:val="28"/>
        </w:rPr>
      </w:pPr>
      <w:bookmarkStart w:id="0" w:name="_GoBack"/>
      <w:bookmarkEnd w:id="0"/>
      <w:r>
        <w:rPr>
          <w:rFonts w:ascii="Times New Roman" w:hAnsi="Times New Roman" w:cs="Times New Roman"/>
          <w:b/>
          <w:sz w:val="28"/>
          <w:szCs w:val="28"/>
        </w:rPr>
        <w:t>PRONAF – O PROCESSO DE DESENVOLVIMENTO REGIONAL DIANTE DA DISTRIBUIÇÃO DE RECURSOS NO BRASIL ENTRE 2017 E 2021</w:t>
      </w:r>
    </w:p>
    <w:p>
      <w:pPr>
        <w:pStyle w:val="43"/>
        <w:suppressLineNumbers w:val="0"/>
        <w:tabs>
          <w:tab w:val="left" w:pos="1455"/>
          <w:tab w:val="center" w:pos="4535"/>
        </w:tabs>
        <w:jc w:val="center"/>
        <w:rPr>
          <w:rFonts w:ascii="Times New Roman" w:hAnsi="Times New Roman"/>
          <w:b/>
          <w:bCs/>
          <w:sz w:val="28"/>
          <w:szCs w:val="28"/>
        </w:rPr>
      </w:pPr>
    </w:p>
    <w:p>
      <w:pPr>
        <w:pStyle w:val="43"/>
        <w:suppressLineNumbers w:val="0"/>
        <w:spacing w:line="240" w:lineRule="auto"/>
        <w:rPr>
          <w:rFonts w:ascii="Times New Roman" w:hAnsi="Times New Roman" w:eastAsia="Times New Roman"/>
        </w:rPr>
      </w:pPr>
      <w:r>
        <w:rPr>
          <w:rFonts w:ascii="Times New Roman" w:hAnsi="Times New Roman"/>
          <w:b/>
          <w:bCs/>
        </w:rPr>
        <w:t>RESUMO:</w:t>
      </w:r>
      <w:r>
        <w:rPr>
          <w:rFonts w:ascii="Times New Roman" w:hAnsi="Times New Roman"/>
          <w:b/>
          <w:bCs/>
          <w:sz w:val="24"/>
          <w:szCs w:val="24"/>
        </w:rPr>
        <w:t xml:space="preserve"> </w:t>
      </w:r>
      <w:r>
        <w:rPr>
          <w:rFonts w:ascii="Times New Roman" w:hAnsi="Times New Roman" w:eastAsia="Times New Roman"/>
        </w:rPr>
        <w:t>Este trabalho versa sobre o Programa Nacional de Fortalecimento da Agricultura Familiar – PRONAF, por meio da disponibilização de recursos aos produtores familiares têm contribuído para o desenvolvimento de diversas regiões brasileiras, estimulando a modernização agropecuária e assegurando melhores condições de vida aos seus beneficiários. Porém, existem notáveis diferenças regionais quanto aos recursos disponibilizados entre as regiões brasileiras. Nesse sentido, o presente artigo busca analisar a distribuição dos recursos do PRONAF entre essas regiões e a sua importância para o desenvolvimento regional, tendo como principal questionamento,</w:t>
      </w:r>
      <w:r>
        <w:t xml:space="preserve"> </w:t>
      </w:r>
      <w:r>
        <w:rPr>
          <w:rFonts w:ascii="Times New Roman" w:hAnsi="Times New Roman" w:eastAsia="Times New Roman"/>
        </w:rPr>
        <w:t>quais características produtivas regionais brasileiras que favorecem ao provimento dos recursos do programa. A metodologia utilizada foi o modelo de regressão, utilizando dados do crédito rural disponível na base de dados do Banco Central do Brasil. Os resultados evidenciam que as diferenças regionais na distribuição dos recursos do PRONAF estão relacionadas essencialmente com o tipo de atividade desenvolvida e à forma de organização societária dos beneficiários. O que se constatou é que há uma concentração de recursos do PRONAF nas regiões mais desenvolvidas como Sul e Sudeste.</w:t>
      </w:r>
    </w:p>
    <w:p>
      <w:pPr>
        <w:pStyle w:val="43"/>
        <w:suppressLineNumbers w:val="0"/>
        <w:spacing w:line="240" w:lineRule="auto"/>
        <w:rPr>
          <w:rFonts w:ascii="Times New Roman" w:hAnsi="Times New Roman"/>
          <w:sz w:val="24"/>
          <w:szCs w:val="24"/>
        </w:rPr>
      </w:pPr>
    </w:p>
    <w:p>
      <w:pPr>
        <w:pStyle w:val="43"/>
        <w:suppressLineNumbers w:val="0"/>
        <w:spacing w:line="240" w:lineRule="auto"/>
        <w:rPr>
          <w:rFonts w:ascii="Times New Roman" w:hAnsi="Times New Roman"/>
          <w:szCs w:val="24"/>
        </w:rPr>
      </w:pPr>
      <w:r>
        <w:rPr>
          <w:rFonts w:ascii="Times New Roman" w:hAnsi="Times New Roman"/>
          <w:b/>
          <w:szCs w:val="24"/>
        </w:rPr>
        <w:t>Palavras-chave:</w:t>
      </w:r>
      <w:r>
        <w:rPr>
          <w:rFonts w:ascii="Times New Roman" w:hAnsi="Times New Roman"/>
          <w:szCs w:val="24"/>
        </w:rPr>
        <w:t xml:space="preserve"> Economia; </w:t>
      </w:r>
      <w:r>
        <w:rPr>
          <w:rFonts w:ascii="Times New Roman" w:hAnsi="Times New Roman" w:eastAsia="Times New Roman"/>
        </w:rPr>
        <w:t xml:space="preserve">Agricultura Familiar; </w:t>
      </w:r>
      <w:r>
        <w:rPr>
          <w:rFonts w:ascii="Times New Roman" w:hAnsi="Times New Roman"/>
          <w:szCs w:val="24"/>
        </w:rPr>
        <w:t>PRONAF; Desenvolvimento econômico.</w:t>
      </w:r>
    </w:p>
    <w:p>
      <w:pPr>
        <w:pStyle w:val="43"/>
        <w:suppressLineNumbers w:val="0"/>
        <w:spacing w:line="240" w:lineRule="auto"/>
        <w:rPr>
          <w:rFonts w:ascii="Times New Roman" w:hAnsi="Times New Roman"/>
          <w:sz w:val="24"/>
          <w:szCs w:val="24"/>
        </w:rPr>
      </w:pPr>
    </w:p>
    <w:p>
      <w:pPr>
        <w:suppressLineNumbers w:val="0"/>
        <w:spacing w:line="360" w:lineRule="auto"/>
        <w:ind w:left="0" w:firstLine="0"/>
        <w:rPr>
          <w:rFonts w:ascii="Times New Roman" w:hAnsi="Times New Roman" w:cs="Times New Roman"/>
          <w:b/>
          <w:bCs/>
        </w:rPr>
      </w:pPr>
      <w:r>
        <w:rPr>
          <w:rFonts w:ascii="Times New Roman" w:hAnsi="Times New Roman" w:cs="Times New Roman"/>
          <w:b/>
          <w:bCs/>
        </w:rPr>
        <w:t>1 INTRODUÇÃO</w:t>
      </w:r>
    </w:p>
    <w:p>
      <w:pPr>
        <w:suppressLineNumbers w:val="0"/>
        <w:spacing w:line="360" w:lineRule="auto"/>
        <w:ind w:left="0" w:firstLine="0"/>
        <w:rPr>
          <w:rFonts w:ascii="Times New Roman" w:hAnsi="Times New Roman" w:cs="Times New Roman"/>
          <w:b/>
          <w:bCs/>
        </w:rPr>
      </w:pPr>
    </w:p>
    <w:p>
      <w:pPr>
        <w:widowControl/>
        <w:suppressLineNumbers w:val="0"/>
        <w:spacing w:line="360" w:lineRule="auto"/>
        <w:ind w:left="0"/>
        <w:rPr>
          <w:rFonts w:ascii="Times New Roman" w:hAnsi="Times New Roman" w:cs="Times New Roman"/>
        </w:rPr>
      </w:pPr>
      <w:r>
        <w:rPr>
          <w:rFonts w:ascii="Times New Roman" w:hAnsi="Times New Roman" w:cs="Times New Roman"/>
        </w:rPr>
        <w:t>O presente trabalho trata da distribuição dos recursos do Programa Nacional de Fortalecimento da Agricultura Familiar (PRONAF), trazendo a configuração espacial da distribuição de recursos entre regiões geográficas brasileiras. A Lei 11.326 de 24 de julho de 2006 “estabelece as diretrizes para a formulação da Política Nacional da Agricultura Familiar e Empreendimentos Familiares Rurais” (BRASIL, 2006).</w:t>
      </w:r>
    </w:p>
    <w:p>
      <w:pPr>
        <w:widowControl/>
        <w:suppressLineNumbers w:val="0"/>
        <w:spacing w:line="360" w:lineRule="auto"/>
        <w:ind w:left="0"/>
        <w:rPr>
          <w:rFonts w:ascii="Times New Roman" w:hAnsi="Times New Roman" w:cs="Times New Roman"/>
        </w:rPr>
      </w:pPr>
      <w:r>
        <w:rPr>
          <w:rFonts w:ascii="Times New Roman" w:hAnsi="Times New Roman" w:cs="Times New Roman"/>
        </w:rPr>
        <w:t xml:space="preserve">O PRONAF assegurou-se nas primeiras décadas de existência como a principal política pública direcionada à agricultura familiar no Brasil (ARRUDA SARON; HESPANHOL, 2012). Frente a isso, as transformações ocorridas no setor agropecuário brasileiro estão muito atreladas ao processo de modernização agropecuária, amparado por meio das inovações tecnológicas (JÚNIOR; BAPTISTA; LIMA, 2004; ÁVILA; GRIEBELER; BRAUM, 2015). Logo, a economia brasileira é sustentada em grande parte pelo setor agropecuário, que se constitui essencial principalmente na reconfiguração das economias regionais (SILVEIRA, 2014). </w:t>
      </w:r>
    </w:p>
    <w:p>
      <w:pPr>
        <w:widowControl/>
        <w:suppressLineNumbers w:val="0"/>
        <w:spacing w:line="360" w:lineRule="auto"/>
        <w:ind w:left="0"/>
        <w:rPr>
          <w:rFonts w:ascii="Times New Roman" w:hAnsi="Times New Roman" w:cs="Times New Roman"/>
        </w:rPr>
      </w:pPr>
      <w:r>
        <w:rPr>
          <w:rFonts w:ascii="Times New Roman" w:hAnsi="Times New Roman" w:cs="Times New Roman"/>
        </w:rPr>
        <w:t xml:space="preserve">Diante disso, os aumentos em produtividade que ocorrem nos estabelecimentos agropecuários geram benefícios que são transmitidos aos agricultores, processadores e consumidores, ocasionando um saldo positivo para toda a cadeia de suprimentos (GASQUES </w:t>
      </w:r>
      <w:r>
        <w:rPr>
          <w:rFonts w:ascii="Times New Roman" w:hAnsi="Times New Roman" w:cs="Times New Roman"/>
          <w:i/>
        </w:rPr>
        <w:t>et al</w:t>
      </w:r>
      <w:r>
        <w:rPr>
          <w:rFonts w:ascii="Times New Roman" w:hAnsi="Times New Roman" w:cs="Times New Roman"/>
        </w:rPr>
        <w:t xml:space="preserve">., 2012).  Nesse sentido, o estabelecimento e a seguridade das políticas agrícolas são essenciais para o desenvolvimento e crescimento das localidades que possuem na agricultura a sua principal base econômica, principalmente quando se refere à disponibilização de crédito rural. Van Depoele (2000) enfatiza que uma política de desenvolvimento rural deve ser multissetorial, para que favoreça para uma maior consonância econômica e social com a criação e manutenção de uma agricultura competitiva. </w:t>
      </w:r>
    </w:p>
    <w:p>
      <w:pPr>
        <w:widowControl/>
        <w:suppressLineNumbers w:val="0"/>
        <w:spacing w:line="360" w:lineRule="auto"/>
        <w:ind w:left="0"/>
        <w:rPr>
          <w:rFonts w:ascii="Times New Roman" w:hAnsi="Times New Roman" w:cs="Times New Roman"/>
        </w:rPr>
      </w:pPr>
      <w:r>
        <w:rPr>
          <w:rFonts w:ascii="Times New Roman" w:hAnsi="Times New Roman" w:cs="Times New Roman"/>
        </w:rPr>
        <w:t xml:space="preserve">O PRONAF foi criado em 1995 no governo de Fernando Henrique Cardoso, através do Decreto nº 1.946/96, tornando-se a principal política pública do Governo Federal de apoio aos agricultores familiares. Surgiu após o aprofundamento do Programa de Valorização da Pequena Produção Rural (PROVAP) de 1994. Com o objetivo de prestar atendimento diferenciado às pequenas famílias de agricultores e integrá-los na cadeia do agronegócio regional, o programa visa à geração de renda e melhorias do uso da mão de obra familiar, via financiamento de recursos (custeio e investimento) para “implantação, ampliação ou modernização da estrutura de produção, beneficiamento, industrialização e de serviços no estabelecimento rural ou em áreas comunitárias rurais próximas” (BNDES, 2016). </w:t>
      </w:r>
    </w:p>
    <w:p>
      <w:pPr>
        <w:widowControl/>
        <w:suppressLineNumbers w:val="0"/>
        <w:spacing w:line="360" w:lineRule="auto"/>
        <w:ind w:left="0"/>
        <w:rPr>
          <w:rFonts w:ascii="Times New Roman" w:hAnsi="Times New Roman" w:cs="Times New Roman"/>
        </w:rPr>
      </w:pPr>
      <w:r>
        <w:rPr>
          <w:rFonts w:ascii="Times New Roman" w:hAnsi="Times New Roman" w:cs="Times New Roman"/>
        </w:rPr>
        <w:t xml:space="preserve">Diante do exposto, por se tratar de um programa importante para o desenvolvimento e, ao mesmo tempo, por envolver a esfera pública e aplicação de recursos do Estado, a pesquisa abordará de forma descritiva o PRONAF e a distribuição de recursos entre as regiões brasileiras e a importância para o desenvolvimento regional. </w:t>
      </w:r>
    </w:p>
    <w:p>
      <w:pPr>
        <w:widowControl/>
        <w:suppressLineNumbers w:val="0"/>
        <w:spacing w:line="360" w:lineRule="auto"/>
        <w:ind w:left="0"/>
        <w:rPr>
          <w:rFonts w:ascii="Times New Roman" w:hAnsi="Times New Roman" w:cs="Times New Roman"/>
        </w:rPr>
      </w:pPr>
      <w:r>
        <w:rPr>
          <w:rFonts w:ascii="Times New Roman" w:hAnsi="Times New Roman" w:cs="Times New Roman"/>
        </w:rPr>
        <w:t>Segundo Fossá, Comerlatto e Mattei (2018, p. 671), desde a implantação do PRONAF em 1995, o Sul do Brasil, com destaque para o estado de Santa Catarina, se apresentou como a região que mais concentrou os recursos repassados efetivando o maior número de contratos.</w:t>
      </w:r>
    </w:p>
    <w:p>
      <w:pPr>
        <w:widowControl/>
        <w:suppressLineNumbers w:val="0"/>
        <w:spacing w:line="360" w:lineRule="auto"/>
        <w:ind w:left="0"/>
        <w:rPr>
          <w:rFonts w:ascii="Times New Roman" w:hAnsi="Times New Roman" w:cs="Times New Roman"/>
        </w:rPr>
      </w:pPr>
      <w:r>
        <w:rPr>
          <w:rFonts w:ascii="Times New Roman" w:hAnsi="Times New Roman" w:cs="Times New Roman"/>
        </w:rPr>
        <w:t>Conforme dados do Ministério da Agricultura, Pecuária e Abastecimento de</w:t>
      </w:r>
      <w:r>
        <w:rPr>
          <w:rFonts w:ascii="Times New Roman" w:hAnsi="Times New Roman" w:cs="Times New Roman"/>
          <w:color w:val="FF0000"/>
        </w:rPr>
        <w:t xml:space="preserve"> </w:t>
      </w:r>
      <w:r>
        <w:rPr>
          <w:rFonts w:ascii="Times New Roman" w:hAnsi="Times New Roman" w:cs="Times New Roman"/>
        </w:rPr>
        <w:t>2017 a Região Nordeste representa 47,9% dos estabelecimentos agrícolas familiares do Brasil. Mesmo com expressiva representatividade, os relatórios do programa apontam que há uma desigualdade na distribuição de recursos, concentrando uma maior alocação de recursos nas regiões Centro-Oeste, Sudeste e Sul (MONTEIRO, 2019).</w:t>
      </w:r>
    </w:p>
    <w:p>
      <w:pPr>
        <w:widowControl/>
        <w:suppressLineNumbers w:val="0"/>
        <w:spacing w:line="360" w:lineRule="auto"/>
        <w:ind w:left="0"/>
        <w:rPr>
          <w:rFonts w:ascii="Times New Roman" w:hAnsi="Times New Roman" w:cs="Times New Roman"/>
        </w:rPr>
      </w:pPr>
      <w:r>
        <w:rPr>
          <w:rFonts w:ascii="Times New Roman" w:hAnsi="Times New Roman" w:cs="Times New Roman"/>
        </w:rPr>
        <w:t xml:space="preserve">Os elementos apresentados levaram a identificar o problema apresentado neste estudo. Segundo os parâmetros apresentados, cabe perguntar: quais características produtivas regionais brasileiras favorecem ao provimento dos recursos do PRONAF? </w:t>
      </w:r>
    </w:p>
    <w:p>
      <w:pPr>
        <w:widowControl/>
        <w:suppressLineNumbers w:val="0"/>
        <w:spacing w:line="360" w:lineRule="auto"/>
        <w:ind w:left="0"/>
        <w:rPr>
          <w:rFonts w:ascii="Times New Roman" w:hAnsi="Times New Roman" w:cs="Times New Roman"/>
        </w:rPr>
      </w:pPr>
      <w:r>
        <w:rPr>
          <w:rFonts w:ascii="Times New Roman" w:hAnsi="Times New Roman" w:cs="Times New Roman"/>
        </w:rPr>
        <w:t>Dados secundários retirados do site do Banco Central (BACEN) foram utilizados como suporte para o trabalho, além do ferramental econométrico para verificar se existem diferenças significativas entre os valores médios contratados por região no período de 2017 a 2021, e se essas diferenças estatísticas possuem relação com o tipo da atividade e/ou tipo de pessoa.</w:t>
      </w:r>
    </w:p>
    <w:p>
      <w:pPr>
        <w:widowControl/>
        <w:suppressLineNumbers w:val="0"/>
        <w:spacing w:line="360" w:lineRule="auto"/>
        <w:ind w:left="0"/>
        <w:rPr>
          <w:rFonts w:ascii="Times New Roman" w:hAnsi="Times New Roman" w:cs="Times New Roman"/>
        </w:rPr>
      </w:pPr>
      <w:r>
        <w:rPr>
          <w:rFonts w:ascii="Times New Roman" w:hAnsi="Times New Roman" w:cs="Times New Roman"/>
        </w:rPr>
        <w:t>O artigo encontra-se organizado em quatro seções, além da Introdução. Na segunda é sobre a metodologia e as estratégias metodológicas utilizadas. A terceira seção a fundamentação teórica trata do PRONAF e o desenvolvimento regional. Na quarta seção é apresentada a análise de resultados e discussão. Por fim, a apresentação das considerações finais do trabalho.</w:t>
      </w:r>
    </w:p>
    <w:p>
      <w:pPr>
        <w:widowControl/>
        <w:suppressLineNumbers w:val="0"/>
        <w:spacing w:line="360" w:lineRule="auto"/>
        <w:ind w:left="0"/>
        <w:rPr>
          <w:rFonts w:ascii="Times New Roman" w:hAnsi="Times New Roman" w:cs="Times New Roman"/>
        </w:rPr>
      </w:pPr>
    </w:p>
    <w:p>
      <w:pPr>
        <w:widowControl/>
        <w:suppressLineNumbers w:val="0"/>
        <w:spacing w:line="360" w:lineRule="auto"/>
        <w:ind w:left="0" w:firstLine="0"/>
        <w:rPr>
          <w:rFonts w:ascii="Times New Roman" w:hAnsi="Times New Roman" w:cs="Times New Roman"/>
        </w:rPr>
      </w:pPr>
      <w:r>
        <w:rPr>
          <w:rFonts w:ascii="Times New Roman" w:hAnsi="Times New Roman" w:cs="Times New Roman"/>
          <w:b/>
          <w:bCs/>
        </w:rPr>
        <w:t>2 ASPECTOS METODOLÓGICOS</w:t>
      </w:r>
    </w:p>
    <w:p>
      <w:pPr>
        <w:pStyle w:val="76"/>
        <w:contextualSpacing/>
        <w:rPr>
          <w:rFonts w:ascii="Times New Roman" w:hAnsi="Times New Roman" w:cs="Times New Roman"/>
        </w:rPr>
      </w:pPr>
      <w:r>
        <w:rPr>
          <w:rFonts w:ascii="Times New Roman" w:hAnsi="Times New Roman" w:cs="Times New Roman"/>
        </w:rPr>
        <w:t>Esta seção menciona os procedimentos empregados no desenvolvimento da pesquisa. O estudo compreende a realização de revisão bibliográfica da literatura sobre o PRONAF e a distribuição de seus recursos no Brasil a partir do levantamento de várias fontes bibliográficas sobre o assunto.</w:t>
      </w:r>
    </w:p>
    <w:p>
      <w:pPr>
        <w:pStyle w:val="76"/>
        <w:contextualSpacing/>
        <w:rPr>
          <w:rFonts w:ascii="Times New Roman" w:hAnsi="Times New Roman" w:cs="Times New Roman"/>
        </w:rPr>
      </w:pPr>
      <w:r>
        <w:rPr>
          <w:rFonts w:ascii="Times New Roman" w:hAnsi="Times New Roman" w:cs="Times New Roman"/>
        </w:rPr>
        <w:t>Segundo Gil (2002), em quase todos os estudos é exigido um trabalho de natureza bibliográfica, mas também há pesquisas desenvolvidas exclusivamente a partir de fontes bibliográficas, ou seja, com base em material já elaborado, constituído principalmente de livros e artigos científicos.</w:t>
      </w:r>
    </w:p>
    <w:p>
      <w:pPr>
        <w:pStyle w:val="76"/>
        <w:contextualSpacing/>
        <w:rPr>
          <w:rFonts w:ascii="Times New Roman" w:hAnsi="Times New Roman" w:cs="Times New Roman"/>
        </w:rPr>
      </w:pPr>
      <w:r>
        <w:rPr>
          <w:rFonts w:ascii="Times New Roman" w:hAnsi="Times New Roman" w:cs="Times New Roman"/>
        </w:rPr>
        <w:t>Para Severino (2007), a pesquisa bibliográfica realiza-se pelo:</w:t>
      </w:r>
    </w:p>
    <w:p>
      <w:pPr>
        <w:pStyle w:val="76"/>
        <w:contextualSpacing/>
        <w:rPr>
          <w:rFonts w:ascii="Times New Roman" w:hAnsi="Times New Roman" w:cs="Times New Roman"/>
        </w:rPr>
      </w:pPr>
    </w:p>
    <w:p>
      <w:pPr>
        <w:pStyle w:val="77"/>
        <w:spacing w:before="0" w:after="0" w:line="240" w:lineRule="auto"/>
        <w:ind w:left="2268"/>
        <w:jc w:val="both"/>
        <w:rPr>
          <w:rFonts w:ascii="Times New Roman" w:hAnsi="Times New Roman" w:cs="Times New Roman"/>
          <w:b w:val="0"/>
          <w:sz w:val="20"/>
          <w:szCs w:val="20"/>
        </w:rPr>
      </w:pPr>
      <w:r>
        <w:rPr>
          <w:rFonts w:ascii="Times New Roman" w:hAnsi="Times New Roman" w:cs="Times New Roman"/>
          <w:b w:val="0"/>
          <w:sz w:val="20"/>
          <w:szCs w:val="20"/>
        </w:rPr>
        <w:t>[...] registro disponível, decorrente de pesquisas anteriores, em documentos impressos, como livros, artigos, teses etc. Utilizam-se dados de categorias teóricas já trabalhadas por outros pesquisadores e devidamente registradas. Os textos tornam-se fontes dos temas a serem pesquisados. O pesquisador trabalha a partir de contribuições dos autores dos estudos analíticos constantes dos textos. (SEVERINO, 2007, p. 122).</w:t>
      </w:r>
    </w:p>
    <w:p>
      <w:pPr>
        <w:pStyle w:val="76"/>
        <w:contextualSpacing/>
        <w:rPr>
          <w:rFonts w:ascii="Times New Roman" w:hAnsi="Times New Roman" w:cs="Times New Roman"/>
        </w:rPr>
      </w:pPr>
    </w:p>
    <w:p>
      <w:pPr>
        <w:pStyle w:val="76"/>
        <w:contextualSpacing/>
        <w:rPr>
          <w:rFonts w:ascii="Times New Roman" w:hAnsi="Times New Roman" w:cs="Times New Roman"/>
        </w:rPr>
      </w:pPr>
      <w:r>
        <w:rPr>
          <w:rFonts w:ascii="Times New Roman" w:hAnsi="Times New Roman" w:cs="Times New Roman"/>
        </w:rPr>
        <w:t>De acordo com Lakatos e Marconi (2003, p. 183): “a pesquisa bibliográfica não é mera repetição do que já foi dito ou escrito sobre certo assunto, mas propicia o exame de um tema sob novo enfoque ou abordagem, chegando a conclusões inovadoras”.</w:t>
      </w:r>
    </w:p>
    <w:p>
      <w:pPr>
        <w:pStyle w:val="76"/>
        <w:contextualSpacing/>
        <w:rPr>
          <w:rFonts w:ascii="Times New Roman" w:hAnsi="Times New Roman" w:cs="Times New Roman"/>
        </w:rPr>
      </w:pPr>
      <w:r>
        <w:rPr>
          <w:rFonts w:ascii="Times New Roman" w:hAnsi="Times New Roman" w:cs="Times New Roman"/>
        </w:rPr>
        <w:t xml:space="preserve"> Além da revisão bibliográfica, esta pesquisa utilizou dados secundários extraídos do Anuário Estatístico de Crédito Rural do Banco Central do Brasil no período de 2017 a 2021. O período compreendido é representativo tendo a intenção de captar a evolução do PRONAF nas regiões e estados do Brasil. </w:t>
      </w:r>
    </w:p>
    <w:p>
      <w:pPr>
        <w:pStyle w:val="76"/>
        <w:contextualSpacing/>
        <w:rPr>
          <w:rFonts w:ascii="Times New Roman" w:hAnsi="Times New Roman" w:cs="Times New Roman"/>
        </w:rPr>
      </w:pPr>
      <w:r>
        <w:rPr>
          <w:rFonts w:ascii="Times New Roman" w:hAnsi="Times New Roman" w:cs="Times New Roman"/>
        </w:rPr>
        <w:t xml:space="preserve">Estes dados serviram de base para algumas análises econométricas. Foram utilizados modelos de Análise de Variância (ANOVA) com </w:t>
      </w:r>
      <w:r>
        <w:rPr>
          <w:rFonts w:ascii="Times New Roman" w:hAnsi="Times New Roman" w:cs="Times New Roman"/>
          <w:i/>
          <w:iCs/>
        </w:rPr>
        <w:t>dummies</w:t>
      </w:r>
      <w:r>
        <w:rPr>
          <w:rFonts w:ascii="Times New Roman" w:hAnsi="Times New Roman" w:cs="Times New Roman"/>
        </w:rPr>
        <w:t xml:space="preserve">, que é uma fórmula estatística usada para comparar as variâncias entre as médias de grupos diferentes. É usual para determinar se há alguma diferença estatística entre diferentes grupos. Segundo Gujarati (2011), “as variáveis </w:t>
      </w:r>
      <w:r>
        <w:rPr>
          <w:rFonts w:ascii="Times New Roman" w:hAnsi="Times New Roman" w:cs="Times New Roman"/>
          <w:i/>
          <w:iCs/>
        </w:rPr>
        <w:t>dummies</w:t>
      </w:r>
      <w:r>
        <w:rPr>
          <w:rFonts w:ascii="Times New Roman" w:hAnsi="Times New Roman" w:cs="Times New Roman"/>
        </w:rPr>
        <w:t xml:space="preserve"> podem ser incorporadas aos modelos de regressão com tanta facilidade quanto às quantitativas. Um modelo de regressão pode conter regressores de natureza exclusivamente </w:t>
      </w:r>
      <w:r>
        <w:rPr>
          <w:rFonts w:ascii="Times New Roman" w:hAnsi="Times New Roman" w:cs="Times New Roman"/>
          <w:i/>
          <w:iCs/>
        </w:rPr>
        <w:t>dummy</w:t>
      </w:r>
      <w:r>
        <w:rPr>
          <w:rFonts w:ascii="Times New Roman" w:hAnsi="Times New Roman" w:cs="Times New Roman"/>
        </w:rPr>
        <w:t xml:space="preserve"> ou qualitativa”. </w:t>
      </w:r>
    </w:p>
    <w:p>
      <w:pPr>
        <w:pStyle w:val="76"/>
        <w:ind w:firstLine="0"/>
        <w:contextualSpacing/>
        <w:rPr>
          <w:rFonts w:ascii="Times New Roman" w:hAnsi="Times New Roman" w:cs="Times New Roman"/>
        </w:rPr>
      </w:pPr>
    </w:p>
    <w:p>
      <w:pPr>
        <w:pStyle w:val="76"/>
        <w:spacing w:line="240" w:lineRule="auto"/>
        <w:ind w:left="2268" w:firstLine="0"/>
        <w:contextualSpacing/>
        <w:rPr>
          <w:rFonts w:ascii="Times New Roman" w:hAnsi="Times New Roman" w:cs="Times New Roman"/>
          <w:sz w:val="20"/>
          <w:szCs w:val="20"/>
        </w:rPr>
      </w:pPr>
      <w:r>
        <w:rPr>
          <w:rFonts w:ascii="Times New Roman" w:hAnsi="Times New Roman" w:cs="Times New Roman"/>
          <w:sz w:val="20"/>
          <w:szCs w:val="20"/>
        </w:rPr>
        <w:t>Os modelos ANOVA devem ser usados para avaliar o significado estatístico da relação entre um regressando quantitativo e regressores binários ou qualitativos. Eles são usados com frequência para comparar as diferenças nos valores médios de dois ou mais grupos ou categorias e são, portanto, mais gerais que o teste t, que pode ser usado para comparar as médias de apenas dois grupos ou categorias. (GUJARATI, 2011, p. 289).</w:t>
      </w:r>
    </w:p>
    <w:p>
      <w:pPr>
        <w:pStyle w:val="76"/>
        <w:contextualSpacing/>
        <w:rPr>
          <w:rFonts w:ascii="Times New Roman" w:hAnsi="Times New Roman" w:cs="Times New Roman"/>
        </w:rPr>
      </w:pPr>
    </w:p>
    <w:p>
      <w:pPr>
        <w:pStyle w:val="76"/>
        <w:contextualSpacing/>
        <w:rPr>
          <w:rFonts w:ascii="Times New Roman" w:hAnsi="Times New Roman" w:cs="Times New Roman"/>
        </w:rPr>
      </w:pPr>
      <w:r>
        <w:rPr>
          <w:rFonts w:ascii="Times New Roman" w:hAnsi="Times New Roman" w:cs="Times New Roman"/>
        </w:rPr>
        <w:t>O uso de modelos de regressão com variáveis binárias (</w:t>
      </w:r>
      <w:r>
        <w:rPr>
          <w:rFonts w:ascii="Times New Roman" w:hAnsi="Times New Roman" w:cs="Times New Roman"/>
          <w:i/>
          <w:iCs/>
        </w:rPr>
        <w:t>dummies</w:t>
      </w:r>
      <w:r>
        <w:rPr>
          <w:rFonts w:ascii="Times New Roman" w:hAnsi="Times New Roman" w:cs="Times New Roman"/>
        </w:rPr>
        <w:t>) amplia o poder de análise daquilo que está sendo estudado. Isso se deve ao fato de que este instrumental estatístico permite a inclusão nos modelos das chamadas variáveis qualitativas, que são importantes no contexto que se pretende analisar.</w:t>
      </w:r>
    </w:p>
    <w:p>
      <w:pPr>
        <w:pStyle w:val="76"/>
        <w:contextualSpacing/>
        <w:rPr>
          <w:rFonts w:ascii="Times New Roman" w:hAnsi="Times New Roman" w:cs="Times New Roman"/>
        </w:rPr>
      </w:pPr>
      <w:r>
        <w:rPr>
          <w:rFonts w:ascii="Times New Roman" w:hAnsi="Times New Roman" w:cs="Times New Roman"/>
        </w:rPr>
        <w:t xml:space="preserve"> No caso deste artigo, as variáveis binárias foram incorporadas ao modelo de regressão para captar o efeito do deslocamento do intercepto como resultado de algum fator qualitativo, como, por exemplo, o </w:t>
      </w:r>
      <w:r>
        <w:rPr>
          <w:rFonts w:ascii="Times New Roman" w:hAnsi="Times New Roman" w:cs="Times New Roman"/>
          <w:bCs/>
        </w:rPr>
        <w:t>tempo</w:t>
      </w:r>
      <w:r>
        <w:rPr>
          <w:rFonts w:ascii="Times New Roman" w:hAnsi="Times New Roman" w:cs="Times New Roman"/>
        </w:rPr>
        <w:t xml:space="preserve">, a </w:t>
      </w:r>
      <w:r>
        <w:rPr>
          <w:rFonts w:ascii="Times New Roman" w:hAnsi="Times New Roman" w:cs="Times New Roman"/>
          <w:bCs/>
        </w:rPr>
        <w:t>região</w:t>
      </w:r>
      <w:r>
        <w:rPr>
          <w:rFonts w:ascii="Times New Roman" w:hAnsi="Times New Roman" w:cs="Times New Roman"/>
        </w:rPr>
        <w:t xml:space="preserve">, o </w:t>
      </w:r>
      <w:r>
        <w:rPr>
          <w:rFonts w:ascii="Times New Roman" w:hAnsi="Times New Roman" w:cs="Times New Roman"/>
          <w:bCs/>
        </w:rPr>
        <w:t>tipo de atividade</w:t>
      </w:r>
      <w:r>
        <w:rPr>
          <w:rFonts w:ascii="Times New Roman" w:hAnsi="Times New Roman" w:cs="Times New Roman"/>
        </w:rPr>
        <w:t xml:space="preserve"> e o </w:t>
      </w:r>
      <w:r>
        <w:rPr>
          <w:rFonts w:ascii="Times New Roman" w:hAnsi="Times New Roman" w:cs="Times New Roman"/>
          <w:bCs/>
        </w:rPr>
        <w:t>tipo de pessoa</w:t>
      </w:r>
      <w:r>
        <w:rPr>
          <w:rFonts w:ascii="Times New Roman" w:hAnsi="Times New Roman" w:cs="Times New Roman"/>
        </w:rPr>
        <w:t xml:space="preserve"> que recebeu o financiamento. Em relação aos testes estatísticos, foi considerado 5% de significância para validar (ou não) os coeficientes das variáveis.</w:t>
      </w:r>
    </w:p>
    <w:p>
      <w:pPr>
        <w:pStyle w:val="76"/>
        <w:contextualSpacing/>
        <w:rPr>
          <w:rFonts w:ascii="Times New Roman" w:hAnsi="Times New Roman" w:cs="Times New Roman"/>
        </w:rPr>
      </w:pPr>
      <w:r>
        <w:rPr>
          <w:rFonts w:ascii="Times New Roman" w:hAnsi="Times New Roman" w:cs="Times New Roman"/>
        </w:rPr>
        <w:t>As regressões lineares obtidas através das observações do Banco Central foram realizadas mediante o uso do software econométrico Eviews 8. A análise de regressão é um método pelo qual são feitas análises para a verificação do nível de relacionamento entre uma variável dependente, explicada por outra(s) variável (eis) conhecida(s) como variável (eis) explicativa(s), independente(s) ou regressora (s) (GUJARATI, 2011).</w:t>
      </w:r>
    </w:p>
    <w:p>
      <w:pPr>
        <w:pStyle w:val="76"/>
        <w:contextualSpacing/>
        <w:rPr>
          <w:rFonts w:ascii="Times New Roman" w:hAnsi="Times New Roman" w:cs="Times New Roman"/>
        </w:rPr>
      </w:pPr>
      <w:r>
        <w:rPr>
          <w:rFonts w:ascii="Times New Roman" w:hAnsi="Times New Roman" w:cs="Times New Roman"/>
        </w:rPr>
        <w:t>Dessa forma, pelo uso da Econometria como apoio às análises, a pesquisa teve como natureza de estudo informações de natureza quantitativa (levantamento de dados, tratamento estatístico e conclusões baseadas em resultados numéricos) e qualitativa, pelo fato de usar variáveis qualitativas (região, tipo de pessoa e tipo de atividade) para explicar possíveis diferenças existentes entre os recursos distribuídos ao longo de todo o território brasileiro.</w:t>
      </w:r>
    </w:p>
    <w:p>
      <w:pPr>
        <w:pStyle w:val="76"/>
        <w:contextualSpacing/>
        <w:rPr>
          <w:rFonts w:ascii="Times New Roman" w:hAnsi="Times New Roman" w:cs="Times New Roman"/>
        </w:rPr>
      </w:pPr>
      <w:r>
        <w:rPr>
          <w:rFonts w:ascii="Times New Roman" w:hAnsi="Times New Roman" w:cs="Times New Roman"/>
        </w:rPr>
        <w:t>A abordagem quantitativa, segundo Beuren (2006):</w:t>
      </w:r>
    </w:p>
    <w:p>
      <w:pPr>
        <w:pStyle w:val="76"/>
        <w:contextualSpacing/>
        <w:rPr>
          <w:rFonts w:ascii="Times New Roman" w:hAnsi="Times New Roman" w:cs="Times New Roman"/>
        </w:rPr>
      </w:pPr>
    </w:p>
    <w:p>
      <w:pPr>
        <w:pStyle w:val="76"/>
        <w:spacing w:line="240" w:lineRule="auto"/>
        <w:ind w:left="2268" w:firstLine="0"/>
        <w:contextualSpacing/>
        <w:rPr>
          <w:rFonts w:ascii="Times New Roman" w:hAnsi="Times New Roman" w:cs="Times New Roman"/>
          <w:sz w:val="20"/>
          <w:szCs w:val="20"/>
        </w:rPr>
      </w:pPr>
      <w:r>
        <w:rPr>
          <w:rFonts w:ascii="Times New Roman" w:hAnsi="Times New Roman" w:cs="Times New Roman"/>
          <w:sz w:val="20"/>
          <w:szCs w:val="20"/>
        </w:rPr>
        <w:t>Caracteriza-se pelo emprego de quantificação tanto nas modalidades de coleta de informações, quanto no tratamento delas por meio de técnicas estatísticas, desde as mais simples como percentual, média, desvio padrão, as mais complexas, como coeficiente de correlação, análise de regressão etc. (BEUREN, 2006, p. 92).</w:t>
      </w:r>
    </w:p>
    <w:p>
      <w:pPr>
        <w:pStyle w:val="76"/>
        <w:contextualSpacing/>
        <w:rPr>
          <w:rFonts w:ascii="Times New Roman" w:hAnsi="Times New Roman" w:cs="Times New Roman"/>
        </w:rPr>
      </w:pPr>
    </w:p>
    <w:p>
      <w:pPr>
        <w:pStyle w:val="76"/>
        <w:contextualSpacing/>
        <w:rPr>
          <w:rFonts w:ascii="Times New Roman" w:hAnsi="Times New Roman" w:cs="Times New Roman"/>
        </w:rPr>
      </w:pPr>
      <w:r>
        <w:rPr>
          <w:rFonts w:ascii="Times New Roman" w:hAnsi="Times New Roman" w:cs="Times New Roman"/>
        </w:rPr>
        <w:t>Já quanto à abordagem qualitativa, Beuren (2006, p. 91) destaca que “os estudos que empregam uma metodologia qualitativa podem descrever a complexidade de determinado problema”.</w:t>
      </w:r>
    </w:p>
    <w:p>
      <w:pPr>
        <w:widowControl/>
        <w:suppressLineNumbers w:val="0"/>
        <w:spacing w:line="360" w:lineRule="auto"/>
        <w:ind w:left="0"/>
        <w:rPr>
          <w:rFonts w:ascii="Times New Roman" w:hAnsi="Times New Roman" w:cs="Times New Roman"/>
        </w:rPr>
      </w:pPr>
      <w:r>
        <w:rPr>
          <w:rFonts w:ascii="Times New Roman" w:hAnsi="Times New Roman" w:cs="Times New Roman"/>
        </w:rPr>
        <w:t>A intenção desta pesquisa foi analisar os resultados mais recentes do PRONAF (2017 a 2021). Essa escolha de corte temporal está pautada no argumento de que ao longo do tempo várias mudanças estruturais e conjunturais ocorreram no país e a hipótese é de que, após pouco mais de duas décadas do programa, ele tenha atingido certa maturidade e robustez, tanto em alcance quanto em número de contratos e valores liberados.</w:t>
      </w:r>
    </w:p>
    <w:p>
      <w:pPr>
        <w:widowControl/>
        <w:suppressLineNumbers w:val="0"/>
        <w:spacing w:line="360" w:lineRule="auto"/>
        <w:ind w:left="0" w:firstLine="0"/>
        <w:rPr>
          <w:rFonts w:ascii="Times New Roman" w:hAnsi="Times New Roman" w:cs="Times New Roman"/>
        </w:rPr>
      </w:pPr>
    </w:p>
    <w:p>
      <w:pPr>
        <w:widowControl/>
        <w:suppressLineNumbers w:val="0"/>
        <w:spacing w:line="360" w:lineRule="auto"/>
        <w:ind w:left="0" w:firstLine="0"/>
        <w:rPr>
          <w:rFonts w:ascii="Times New Roman" w:hAnsi="Times New Roman" w:cs="Times New Roman"/>
        </w:rPr>
      </w:pPr>
    </w:p>
    <w:p>
      <w:pPr>
        <w:widowControl/>
        <w:suppressLineNumbers w:val="0"/>
        <w:spacing w:line="360" w:lineRule="auto"/>
        <w:ind w:left="0" w:firstLine="0"/>
        <w:rPr>
          <w:rFonts w:ascii="Times New Roman" w:hAnsi="Times New Roman" w:cs="Times New Roman"/>
          <w:b/>
          <w:bCs/>
          <w:color w:val="000000" w:themeColor="text1"/>
          <w14:textFill>
            <w14:solidFill>
              <w14:schemeClr w14:val="tx1"/>
            </w14:solidFill>
          </w14:textFill>
        </w:rPr>
      </w:pPr>
      <w:r>
        <w:rPr>
          <w:rFonts w:ascii="Times New Roman" w:hAnsi="Times New Roman" w:cs="Times New Roman"/>
          <w:b/>
          <w:bCs/>
          <w:color w:val="000000" w:themeColor="text1"/>
          <w14:textFill>
            <w14:solidFill>
              <w14:schemeClr w14:val="tx1"/>
            </w14:solidFill>
          </w14:textFill>
        </w:rPr>
        <w:t xml:space="preserve">3 </w:t>
      </w:r>
      <w:r>
        <w:rPr>
          <w:rFonts w:ascii="Times New Roman" w:hAnsi="Times New Roman" w:cs="Times New Roman"/>
          <w:b/>
          <w:bCs/>
        </w:rPr>
        <w:t>REFERENCIAL TEÓRICO</w:t>
      </w:r>
    </w:p>
    <w:p>
      <w:pPr>
        <w:widowControl/>
        <w:suppressLineNumbers w:val="0"/>
        <w:spacing w:line="360" w:lineRule="auto"/>
        <w:ind w:left="0" w:firstLine="0"/>
        <w:rPr>
          <w:rFonts w:ascii="Times New Roman" w:hAnsi="Times New Roman" w:cs="Times New Roman"/>
          <w:b/>
          <w:bCs/>
          <w:color w:val="000000" w:themeColor="text1"/>
          <w14:textFill>
            <w14:solidFill>
              <w14:schemeClr w14:val="tx1"/>
            </w14:solidFill>
          </w14:textFill>
        </w:rPr>
      </w:pPr>
    </w:p>
    <w:p>
      <w:pPr>
        <w:widowControl/>
        <w:suppressLineNumbers w:val="0"/>
        <w:spacing w:line="360" w:lineRule="auto"/>
        <w:ind w:left="0" w:firstLine="0"/>
        <w:rPr>
          <w:rFonts w:ascii="Times New Roman" w:hAnsi="Times New Roman" w:cs="Times New Roman"/>
          <w:b/>
          <w:bCs/>
          <w:color w:val="000000" w:themeColor="text1"/>
          <w14:textFill>
            <w14:solidFill>
              <w14:schemeClr w14:val="tx1"/>
            </w14:solidFill>
          </w14:textFill>
        </w:rPr>
      </w:pPr>
      <w:r>
        <w:rPr>
          <w:rFonts w:ascii="Times New Roman" w:hAnsi="Times New Roman" w:cs="Times New Roman"/>
          <w:b/>
          <w:bCs/>
          <w:color w:val="000000" w:themeColor="text1"/>
          <w14:textFill>
            <w14:solidFill>
              <w14:schemeClr w14:val="tx1"/>
            </w14:solidFill>
          </w14:textFill>
        </w:rPr>
        <w:t>3.1 O Programa Nacional de Fortalecimento da Agricultura Familiar – PRONAF</w:t>
      </w:r>
    </w:p>
    <w:p>
      <w:pPr>
        <w:widowControl/>
        <w:suppressLineNumbers w:val="0"/>
        <w:spacing w:line="360" w:lineRule="auto"/>
        <w:ind w:left="0" w:firstLine="0"/>
        <w:rPr>
          <w:rFonts w:ascii="Times New Roman" w:hAnsi="Times New Roman" w:cs="Times New Roman"/>
          <w:b/>
          <w:bCs/>
          <w:color w:val="000000" w:themeColor="text1"/>
          <w14:textFill>
            <w14:solidFill>
              <w14:schemeClr w14:val="tx1"/>
            </w14:solidFill>
          </w14:textFill>
        </w:rPr>
      </w:pPr>
    </w:p>
    <w:p>
      <w:pPr>
        <w:pStyle w:val="77"/>
        <w:spacing w:before="0" w:after="0"/>
        <w:ind w:firstLine="709"/>
        <w:jc w:val="both"/>
        <w:rPr>
          <w:rFonts w:ascii="Times New Roman" w:hAnsi="Times New Roman" w:cs="Times New Roman"/>
          <w:b w:val="0"/>
        </w:rPr>
      </w:pPr>
      <w:r>
        <w:rPr>
          <w:rFonts w:ascii="Times New Roman" w:hAnsi="Times New Roman" w:cs="Times New Roman"/>
          <w:b w:val="0"/>
        </w:rPr>
        <w:t>Segundo os professores do Instituto de Economia (IE) da UNICAMP, Antônio Márcio Buainain e Alexandre Gori Maia, e o pesquisador da Embrapa Zander Navarro, “a partir da década de 1990, o desenvolvimento agrícola e agrário passou a experimentar uma nova dinâmica produtiva e econômica social. Foi um divisor de águas na história rural brasileira” (2014, p.11). Isso porque, devido à pressão dos movimentos sociais do campo nesse período, diversos programas de políticas públicas foram formulados e a agricultura familiar foi uma das que surgiu no sentido de garantir sua reprodução como produtora de insumos básicos para a alimentação, além da manutenção e ocupação dos homens e mulheres no campo (MESQUITA, 2011).</w:t>
      </w:r>
    </w:p>
    <w:p>
      <w:pPr>
        <w:pStyle w:val="77"/>
        <w:spacing w:before="0" w:after="0"/>
        <w:ind w:firstLine="709"/>
        <w:jc w:val="both"/>
        <w:rPr>
          <w:rFonts w:ascii="Times New Roman" w:hAnsi="Times New Roman" w:cs="Times New Roman"/>
          <w:b w:val="0"/>
        </w:rPr>
      </w:pPr>
      <w:r>
        <w:rPr>
          <w:rFonts w:ascii="Times New Roman" w:hAnsi="Times New Roman" w:cs="Times New Roman"/>
          <w:b w:val="0"/>
        </w:rPr>
        <w:t>Para Tedesco (2001), a agricultura familiar caracteriza-se por ter a família como proprietária dos meios de produção, o trabalho na terra, as modalidades de produção e manifestação de valores e tradições em torno da família e para a família.</w:t>
      </w:r>
    </w:p>
    <w:p>
      <w:pPr>
        <w:pStyle w:val="77"/>
        <w:spacing w:before="0" w:after="0"/>
        <w:ind w:firstLine="709"/>
        <w:jc w:val="both"/>
        <w:rPr>
          <w:rFonts w:ascii="Times New Roman" w:hAnsi="Times New Roman" w:cs="Times New Roman"/>
          <w:b w:val="0"/>
        </w:rPr>
      </w:pPr>
      <w:r>
        <w:rPr>
          <w:rFonts w:ascii="Times New Roman" w:hAnsi="Times New Roman" w:cs="Times New Roman"/>
          <w:b w:val="0"/>
        </w:rPr>
        <w:t>Diante de um cenário de tantas mudanças para agricultura no Brasil em 1995, foi instituído um programa voltado aos pequenos agricultores familiares. O Ministério do Desenvolvimento Agrário (MDA) foi criado em 1999 para coordenar as políticas fundiárias e passou a orientar ações de descentralização das políticas públicas voltadas à agricultura.</w:t>
      </w:r>
    </w:p>
    <w:p>
      <w:pPr>
        <w:pStyle w:val="77"/>
        <w:spacing w:before="0" w:after="0"/>
        <w:ind w:firstLine="709"/>
        <w:jc w:val="both"/>
        <w:rPr>
          <w:rFonts w:ascii="Times New Roman" w:hAnsi="Times New Roman" w:cs="Times New Roman"/>
          <w:b w:val="0"/>
        </w:rPr>
      </w:pPr>
      <w:r>
        <w:rPr>
          <w:rFonts w:ascii="Times New Roman" w:hAnsi="Times New Roman" w:cs="Times New Roman"/>
          <w:b w:val="0"/>
        </w:rPr>
        <w:t>Em 1995 foi criado, por meio da resolução do Banco Central do Brasil nº 2.191, o PRONAF, sendo instituído posteriormente em 1996 com o objetivo de fornecer crédito subsidiado para custeio e investimento para a agricultura familiar. Com esse programa, as políticas voltadas para a agricultura familiar experimentaram crescimento expressivo, ampliando seu escopo e escala (SANTOS, 2011).</w:t>
      </w:r>
    </w:p>
    <w:p>
      <w:pPr>
        <w:pStyle w:val="77"/>
        <w:spacing w:before="0" w:after="0"/>
        <w:ind w:firstLine="709"/>
        <w:jc w:val="both"/>
        <w:rPr>
          <w:rFonts w:ascii="Times New Roman" w:hAnsi="Times New Roman" w:cs="Times New Roman"/>
          <w:b w:val="0"/>
        </w:rPr>
      </w:pPr>
      <w:r>
        <w:rPr>
          <w:rFonts w:ascii="Times New Roman" w:hAnsi="Times New Roman" w:cs="Times New Roman"/>
          <w:b w:val="0"/>
        </w:rPr>
        <w:t>Em 2006 foi promulgada a Lei da Agricultura Familiar, passando a reconhecer essa atividade como profissão (PICOLOTTO, 2011). Dessa forma, pode-se dizer que o PRONAF representa um considerável avanço por ter sido a primeira política pública de apoio à agricultura familiar.</w:t>
      </w:r>
    </w:p>
    <w:p>
      <w:pPr>
        <w:pStyle w:val="77"/>
        <w:spacing w:before="0" w:after="0"/>
        <w:ind w:firstLine="709"/>
        <w:jc w:val="both"/>
        <w:rPr>
          <w:rFonts w:ascii="Times New Roman" w:hAnsi="Times New Roman" w:cs="Times New Roman"/>
          <w:b w:val="0"/>
        </w:rPr>
      </w:pPr>
      <w:r>
        <w:rPr>
          <w:rFonts w:ascii="Times New Roman" w:hAnsi="Times New Roman" w:cs="Times New Roman"/>
          <w:b w:val="0"/>
        </w:rPr>
        <w:t>A criação do programa propiciou aos agricultores rurais a oportunidade de obter uma fonte de recurso compatível com sua realidade, buscando aumentar a produtividade, diminuir custos de produção e elevar a igualdade social (BNDES, 2016).</w:t>
      </w:r>
    </w:p>
    <w:p>
      <w:pPr>
        <w:pStyle w:val="77"/>
        <w:spacing w:before="0" w:after="0"/>
        <w:ind w:firstLine="709"/>
        <w:jc w:val="both"/>
        <w:rPr>
          <w:rFonts w:ascii="Times New Roman" w:hAnsi="Times New Roman" w:cs="Times New Roman"/>
          <w:b w:val="0"/>
        </w:rPr>
      </w:pPr>
      <w:r>
        <w:rPr>
          <w:rFonts w:ascii="Times New Roman" w:hAnsi="Times New Roman" w:cs="Times New Roman"/>
          <w:b w:val="0"/>
        </w:rPr>
        <w:t>De acordo com Leite e Wesz Junior (2012), a partir de 2003 as políticas brasileiras para financiar as ações de desenvolvimento territorial, especialmente o Programa Desenvolvimento Sustentável de Territórios Rurais (PRONAT), herdaram erros e acertos do PRONAF na linha de infraestrutura e serviços. Essas ações, vigentes de 1998 a 2002, se destacaram pelo financiamento da infraestrutura de produção da agricultura familiar, visando criar dinâmicas de desenvolvimento rural em municípios de economia agrícola precária, por meio de um repasse médio de R$ 150 mil ao ano durante quatro anos.</w:t>
      </w:r>
    </w:p>
    <w:p>
      <w:pPr>
        <w:pStyle w:val="77"/>
        <w:spacing w:before="0" w:after="0"/>
        <w:ind w:firstLine="709"/>
        <w:jc w:val="both"/>
        <w:rPr>
          <w:rFonts w:ascii="Times New Roman" w:hAnsi="Times New Roman" w:cs="Times New Roman"/>
          <w:b w:val="0"/>
        </w:rPr>
      </w:pPr>
      <w:r>
        <w:rPr>
          <w:rFonts w:ascii="Times New Roman" w:hAnsi="Times New Roman" w:cs="Times New Roman"/>
          <w:b w:val="0"/>
        </w:rPr>
        <w:t>Segundo Guanziroli (2007), o programa é destinado ao custeio da safra ou atividade agroindustrial, bem como à compra de equipamentos e investimentos em máquinas e infraestrutura de produção. O PRONAF trouxe para o país, de acordo o autor, um novo mecanismo de microcrédito direcionado a um grupo específico que era excluído do acesso aos recursos financeiros.</w:t>
      </w:r>
    </w:p>
    <w:p>
      <w:pPr>
        <w:pStyle w:val="77"/>
        <w:spacing w:before="0" w:after="0"/>
        <w:ind w:firstLine="709"/>
        <w:jc w:val="both"/>
        <w:rPr>
          <w:rFonts w:ascii="Times New Roman" w:hAnsi="Times New Roman" w:cs="Times New Roman"/>
          <w:b w:val="0"/>
        </w:rPr>
      </w:pPr>
    </w:p>
    <w:p>
      <w:pPr>
        <w:widowControl/>
        <w:suppressLineNumbers w:val="0"/>
        <w:spacing w:line="240" w:lineRule="auto"/>
        <w:ind w:left="2268" w:firstLine="0"/>
        <w:rPr>
          <w:rFonts w:ascii="Times New Roman" w:hAnsi="Times New Roman" w:cs="Times New Roman"/>
          <w:sz w:val="20"/>
          <w:szCs w:val="20"/>
        </w:rPr>
      </w:pPr>
      <w:r>
        <w:rPr>
          <w:rFonts w:ascii="Times New Roman" w:hAnsi="Times New Roman" w:cs="Times New Roman"/>
          <w:sz w:val="20"/>
          <w:szCs w:val="20"/>
        </w:rPr>
        <w:t>A concessão de crédito opera nesse sentido como uma ordem para o sistema econômico se acomodar aos propósitos do empresário, como um comando sobre os bens de que necessita: significa confiar-lhe forças produtivas. É só assim que o desenvolvimento econômico poderia surgir a partir do mero fluxo circular em equilíbrio perfeito. E essa função constitui a pedra angular para a moderna estrutura de crédito. (SCHUMPETER, 1988, p. 74).</w:t>
      </w:r>
    </w:p>
    <w:p>
      <w:pPr>
        <w:pStyle w:val="77"/>
        <w:spacing w:before="0" w:after="0"/>
        <w:ind w:firstLine="709"/>
        <w:jc w:val="both"/>
        <w:rPr>
          <w:rFonts w:ascii="Times New Roman" w:hAnsi="Times New Roman" w:cs="Times New Roman"/>
          <w:b w:val="0"/>
        </w:rPr>
      </w:pPr>
    </w:p>
    <w:p>
      <w:pPr>
        <w:pStyle w:val="77"/>
        <w:spacing w:before="0" w:after="0"/>
        <w:ind w:firstLine="709"/>
        <w:jc w:val="both"/>
        <w:rPr>
          <w:rFonts w:ascii="Times New Roman" w:hAnsi="Times New Roman" w:cs="Times New Roman"/>
          <w:b w:val="0"/>
        </w:rPr>
      </w:pPr>
      <w:r>
        <w:rPr>
          <w:rFonts w:ascii="Times New Roman" w:hAnsi="Times New Roman" w:cs="Times New Roman"/>
          <w:b w:val="0"/>
        </w:rPr>
        <w:t xml:space="preserve">De acordo com o Manual de Crédito Rural – </w:t>
      </w:r>
      <w:r>
        <w:rPr>
          <w:rFonts w:ascii="Times New Roman" w:hAnsi="Times New Roman" w:cs="Times New Roman"/>
          <w:b w:val="0"/>
          <w:bCs/>
        </w:rPr>
        <w:t xml:space="preserve">MCR </w:t>
      </w:r>
      <w:r>
        <w:rPr>
          <w:rFonts w:ascii="Times New Roman" w:hAnsi="Times New Roman" w:cs="Times New Roman"/>
          <w:b w:val="0"/>
        </w:rPr>
        <w:t xml:space="preserve">(2017), os recursos devem ser aplicados nas finalidades e condições nele contidas, sendo: a) custeio: aquele que é destinado a cobrir despesas normais dos ciclos produtivos; b) investimento: aquele que é destinado a cobrir despesas próprias da fase posterior à coleta da produção ou a converter em espécie os títulos oriundos de sua venda ou entrega pelos produtores ou suas cooperativas; e c) comercialização: aquele destinado a cobrir despesas próprias da fase posterior à coleta da produção ou a converter em espécie os títulos oriundos de sua venda ou entrega pelos produtores ou suas cooperativas. </w:t>
      </w:r>
    </w:p>
    <w:p>
      <w:pPr>
        <w:widowControl/>
        <w:suppressLineNumbers w:val="0"/>
        <w:spacing w:line="360" w:lineRule="auto"/>
        <w:ind w:left="0"/>
        <w:rPr>
          <w:rFonts w:ascii="Times New Roman" w:hAnsi="Times New Roman" w:cs="Times New Roman"/>
        </w:rPr>
      </w:pPr>
      <w:r>
        <w:rPr>
          <w:rFonts w:ascii="Times New Roman" w:hAnsi="Times New Roman" w:cs="Times New Roman"/>
        </w:rPr>
        <w:t>Em 2015, o PRONAF completou 20 anos de serviços prestados ao fortalecimento da agricultura familiar brasileira, realizando mais de 27 milhões de contratos e injetando, por meio de crédito, mais de 150 bilhões na agricultura, impactando dessa forma não só o setor agrícola como toda a economia. (BIANCHINI, 2015)</w:t>
      </w:r>
    </w:p>
    <w:p>
      <w:pPr>
        <w:widowControl/>
        <w:suppressLineNumbers w:val="0"/>
        <w:spacing w:line="360" w:lineRule="auto"/>
        <w:ind w:left="0"/>
        <w:rPr>
          <w:rFonts w:ascii="Times New Roman" w:hAnsi="Times New Roman" w:cs="Times New Roman"/>
        </w:rPr>
      </w:pPr>
      <w:r>
        <w:rPr>
          <w:rFonts w:ascii="Times New Roman" w:hAnsi="Times New Roman" w:cs="Times New Roman"/>
        </w:rPr>
        <w:t>De acordo com Mattei (2005), o PRONAF não modificou significativamente a lógica prevalecente no modelo agrícola brasileiro, pois segue financiando e promovendo a agricultura moderna, principalmente a produção de commodities agropecuárias. Além disso, na Região Sul, a maior beneficiária do programa, sua atuação foi voltada ao fortalecimento do modelo de agricultura embasado na utilização de insumos modernos e na produção de commodities agrícolas orientadas ao mercado internacional.</w:t>
      </w:r>
    </w:p>
    <w:p>
      <w:pPr>
        <w:widowControl/>
        <w:suppressLineNumbers w:val="0"/>
        <w:spacing w:line="360" w:lineRule="auto"/>
        <w:ind w:left="0"/>
        <w:rPr>
          <w:rFonts w:ascii="Times New Roman" w:hAnsi="Times New Roman" w:cs="Times New Roman"/>
          <w:color w:val="000000"/>
        </w:rPr>
      </w:pPr>
      <w:r>
        <w:rPr>
          <w:rFonts w:ascii="Times New Roman" w:hAnsi="Times New Roman" w:cs="Times New Roman"/>
          <w:color w:val="000000"/>
        </w:rPr>
        <w:t>A agricultura familiar vem ganhando destaque e demonstrando sua importância para o desenvolvimento socioeconômico regional. As políticas públicas de fomento à agricultura familiar são de suma importância para o desenvolvimento do país e a geração de recursos financeiros para famílias de baixa renda ou em situação de vulnerabilidade.</w:t>
      </w:r>
    </w:p>
    <w:p>
      <w:pPr>
        <w:widowControl/>
        <w:suppressLineNumbers w:val="0"/>
        <w:spacing w:line="360" w:lineRule="auto"/>
        <w:ind w:left="0" w:firstLine="0"/>
        <w:jc w:val="left"/>
        <w:rPr>
          <w:rFonts w:ascii="Times New Roman" w:hAnsi="Times New Roman" w:cs="Times New Roman"/>
        </w:rPr>
      </w:pPr>
    </w:p>
    <w:p>
      <w:pPr>
        <w:widowControl/>
        <w:suppressLineNumbers w:val="0"/>
        <w:spacing w:line="240" w:lineRule="auto"/>
        <w:ind w:left="0" w:firstLine="0"/>
        <w:rPr>
          <w:rFonts w:ascii="Times New Roman" w:hAnsi="Times New Roman" w:cs="Times New Roman"/>
          <w:b/>
          <w:bCs/>
        </w:rPr>
      </w:pPr>
      <w:r>
        <w:rPr>
          <w:rFonts w:ascii="Times New Roman" w:hAnsi="Times New Roman" w:cs="Times New Roman"/>
          <w:b/>
          <w:bCs/>
        </w:rPr>
        <w:t>3.2 O Desenvolvimento Regional</w:t>
      </w:r>
    </w:p>
    <w:p>
      <w:pPr>
        <w:widowControl/>
        <w:suppressLineNumbers w:val="0"/>
        <w:spacing w:line="360" w:lineRule="auto"/>
        <w:ind w:left="0" w:firstLine="0"/>
      </w:pPr>
    </w:p>
    <w:p>
      <w:pPr>
        <w:widowControl/>
        <w:suppressLineNumbers w:val="0"/>
        <w:spacing w:line="360" w:lineRule="auto"/>
        <w:ind w:left="0"/>
        <w:rPr>
          <w:rFonts w:ascii="Times New Roman" w:hAnsi="Times New Roman" w:cs="Times New Roman"/>
        </w:rPr>
      </w:pPr>
      <w:r>
        <w:rPr>
          <w:rFonts w:ascii="Times New Roman" w:hAnsi="Times New Roman" w:cs="Times New Roman"/>
        </w:rPr>
        <w:t>O desenvolvimento de uma região acontece a partir da sua base exportadora e dos arranjos institucionais que fortalecem sua base (NORTH, 1977).  Para Colling, Schneider e Staduto (2017, p. 303), a base econômica de uma região afeta a base do seu desenvolvimento.  Nesse sentido, Nijkamp e Abreu (2020, p. 6) argumentam que a política de desenvolvimento regional se move cada vez mais em direção à política de conhecimento e inovação. Conceitos como regiões inovadoras, regiões inovadoras de aprendizado de meio ou de regiões baseadas no conhecimento surgiram do debate sobre o empreendedorismo e inovação partindo de uma perspectiva geográfica.</w:t>
      </w:r>
    </w:p>
    <w:p>
      <w:pPr>
        <w:widowControl/>
        <w:suppressLineNumbers w:val="0"/>
        <w:spacing w:line="360" w:lineRule="auto"/>
        <w:ind w:left="0"/>
        <w:rPr>
          <w:rFonts w:ascii="Times New Roman" w:hAnsi="Times New Roman" w:cs="Times New Roman"/>
        </w:rPr>
      </w:pPr>
      <w:r>
        <w:rPr>
          <w:rFonts w:ascii="Times New Roman" w:hAnsi="Times New Roman" w:cs="Times New Roman"/>
        </w:rPr>
        <w:t xml:space="preserve">De acordo com Nijkamp e Abreu (2020, p. 3), a literatura que trata sobre o desenvolvimento regional geralmente se concentra em duas principais questões, uma sobre o bem-estar regional e a outra inquieta-se como lidar com as discrepâncias indesejáveis de bem-estar inter-regional. Na visão desses mesmos autores, a primeira questão discorre basicamente sobre o uso econômico-espacial ideal de recursos escassos, como insumos, recursos físicos, conhecimentos, entre outros, para gerar um valor máximo de saída, chamado de eficiência alocativa. Já a segunda questão trata dos mecanismos e aspectos econômicos e de intervenções políticas que podem contribuir para a atenuação das disparidades indesejáveis do desenvolvimento na economia espacial. </w:t>
      </w:r>
    </w:p>
    <w:p>
      <w:pPr>
        <w:widowControl/>
        <w:suppressLineNumbers w:val="0"/>
        <w:spacing w:line="360" w:lineRule="auto"/>
        <w:ind w:left="0"/>
        <w:rPr>
          <w:rFonts w:ascii="Times New Roman" w:hAnsi="Times New Roman" w:cs="Times New Roman"/>
        </w:rPr>
      </w:pPr>
      <w:r>
        <w:rPr>
          <w:rFonts w:ascii="Times New Roman" w:hAnsi="Times New Roman" w:cs="Times New Roman"/>
        </w:rPr>
        <w:t>As abordagens sobre o desenvolvimento regional atualmente podem ser identificadas como sendo mesoeconômicas, por terem como base a região e o seu potencial competitivo em um ambiente muito mais integrado com outras regiões e países (FOCHEZATTO, 2010). É notadamente um conceito multidimensional, com uma extensa variedade socioeconômica, estabelecida por certa versatilidade de fatores como quantia de recursos naturais, qualidade e quantidade do trabalho, disponibilidade e acesso de capital, investimentos produtivos e indiretos, cultura e atitude empreendedora, infraestruturas físicas, estrutura setorial, infraestrutura e</w:t>
      </w:r>
      <w:r>
        <w:t xml:space="preserve"> </w:t>
      </w:r>
      <w:r>
        <w:rPr>
          <w:rFonts w:ascii="Times New Roman" w:hAnsi="Times New Roman" w:cs="Times New Roman"/>
        </w:rPr>
        <w:t xml:space="preserve">progresso tecnológico, mente aberta, sistemas de apoio público etc. (NIJKAMP; ABREU, 2020). </w:t>
      </w:r>
    </w:p>
    <w:p>
      <w:pPr>
        <w:widowControl/>
        <w:suppressLineNumbers w:val="0"/>
        <w:spacing w:line="360" w:lineRule="auto"/>
        <w:ind w:left="0"/>
        <w:rPr>
          <w:rFonts w:ascii="Times New Roman" w:hAnsi="Times New Roman" w:cs="Times New Roman"/>
        </w:rPr>
      </w:pPr>
      <w:r>
        <w:rPr>
          <w:rFonts w:ascii="Times New Roman" w:hAnsi="Times New Roman" w:cs="Times New Roman"/>
        </w:rPr>
        <w:t xml:space="preserve">A ocorrência de coordenação dos atores junto a sua proximidade social proporciona o surgimento de empreendimentos inovadores (COLLING; SCHNEIDER; STADUTO, 2017). Nesse sentido, a interação e integração dos vários agentes institucionais é essencial para o seu próprio fortalecimento e desenvolvimento (ALVES; COSTA, 2018). Para Franzin, Almeida e Souza (2014, p.71), o processo da segunda revolução industrial e integração nacional ocorridos na década de 1970 não proporcionaram o desenvolvimento regional do país, permanecendo os problemas de desigualdade, dependência tecnológica, baixo investimento em pesquisa e ensino e bolsões de pobreza e miséria. </w:t>
      </w:r>
    </w:p>
    <w:p>
      <w:pPr>
        <w:widowControl/>
        <w:suppressLineNumbers w:val="0"/>
        <w:spacing w:line="360" w:lineRule="auto"/>
        <w:ind w:left="0"/>
        <w:rPr>
          <w:rFonts w:ascii="Times New Roman" w:hAnsi="Times New Roman" w:cs="Times New Roman"/>
        </w:rPr>
      </w:pPr>
      <w:r>
        <w:rPr>
          <w:rFonts w:ascii="Times New Roman" w:hAnsi="Times New Roman" w:cs="Times New Roman"/>
        </w:rPr>
        <w:t>Para Ferrera de Lima (2019, p.130), a dinâmica do sistema de produção e seus efeitos na organização social e ambiental das regiões expõe a característica do desenvolvimento regional. Segundo Nijkamp e Abreu (2020, p.5), a teoria do crescimento endógeno vê o progresso tecnológico como uma reposta endógena dos atores econômicos em um ambiente de negócios competitivo, com ênfase no comportamento econômico individual das empresas. O crescimento regional não é resultado de fatores exógenos para aumentar a produtividade, mas sim de escolhas determinadas por atores individuais como instituições, organizações e formuladores de políticas.</w:t>
      </w:r>
    </w:p>
    <w:p>
      <w:pPr>
        <w:widowControl/>
        <w:suppressLineNumbers w:val="0"/>
        <w:tabs>
          <w:tab w:val="left" w:pos="8364"/>
        </w:tabs>
        <w:spacing w:line="360" w:lineRule="auto"/>
        <w:ind w:left="0"/>
        <w:rPr>
          <w:rFonts w:ascii="Times New Roman" w:hAnsi="Times New Roman" w:cs="Times New Roman"/>
        </w:rPr>
      </w:pPr>
      <w:r>
        <w:rPr>
          <w:rFonts w:ascii="Times New Roman" w:hAnsi="Times New Roman" w:cs="Times New Roman"/>
        </w:rPr>
        <w:t>O processo de desenvolvimento regional nos lugares é desuniforme, sendo mais acelerado naquelas regiões com maior capacidade de inovar e melhor dotadas de capital humano e recursos naturais (</w:t>
      </w:r>
      <w:r>
        <w:rPr>
          <w:rFonts w:ascii="Times New Roman" w:hAnsi="Times New Roman" w:cs="Times New Roman"/>
        </w:rPr>
        <w:fldChar w:fldCharType="begin" w:fldLock="1"/>
      </w:r>
      <w:r>
        <w:rPr>
          <w:rFonts w:ascii="Times New Roman" w:hAnsi="Times New Roman" w:cs="Times New Roman"/>
        </w:rPr>
        <w:instrText xml:space="preserve">ADDIN CSL_CITATION {"citationItems":[{"id":"ITEM-1","itemData":{"author":[{"dropping-particle":"de","family":"Oliveira","given":"Nilton Marques","non-dropping-particle":"","parse-names":false,"suffix":""}],"id":"ITEM-1","issued":{"date-parts":[["2015"]]},"number-of-pages":"224","publisher":"Universidade Estadual do Oeste do Paraná – UNIOESTE","title":"Desenvolvimento regional do território do estado do Tocantins: implicações e alternativas","type":"thesis"},"uris":["http://www.mendeley.com/documents/?uuid=029bbf1d-46b6-4e8c-8ff2-47578e34abc4"]}],"mendeley":{"formattedCitation":"(OLIVEIRA, 2015)","manualFormatting":"Oliveira (2015)","plainTextFormattedCitation":"(OLIVEIRA, 2015)","previouslyFormattedCitation":"(OLIVEIRA, 2015)"},"properties":{"noteIndex":0},"schema":"https://github.com/citation-style-language/schema/raw/master/csl-citation.json"}</w:instrText>
      </w:r>
      <w:r>
        <w:rPr>
          <w:rFonts w:ascii="Times New Roman" w:hAnsi="Times New Roman" w:cs="Times New Roman"/>
        </w:rPr>
        <w:fldChar w:fldCharType="separate"/>
      </w:r>
      <w:r>
        <w:rPr>
          <w:rFonts w:ascii="Times New Roman" w:hAnsi="Times New Roman" w:cs="Times New Roman"/>
        </w:rPr>
        <w:t>OLIVEIRA, 2015)</w:t>
      </w:r>
      <w:r>
        <w:rPr>
          <w:rFonts w:ascii="Times New Roman" w:hAnsi="Times New Roman" w:cs="Times New Roman"/>
        </w:rPr>
        <w:fldChar w:fldCharType="end"/>
      </w:r>
      <w:r>
        <w:rPr>
          <w:rFonts w:ascii="Times New Roman" w:hAnsi="Times New Roman" w:cs="Times New Roman"/>
        </w:rPr>
        <w:t xml:space="preserve">. Contudo, muitos países não foram eficientes em minimizar as desigualdades regionais, o que torna as disparidades entre regiões um debate atual e objeto de estudo (FERRERA DE LIMA, 2019).  Na visão de Montagnhani e Shikida (2011, p.64), a desigualdade e a concentração de renda são problemas de questões estruturais que necessitam de um horizonte de tempo para que haja uma resolução. De acordo com Piffer e Alves (2009, p.142), as mudanças econômicas e políticas provocam implicações relevantes nos espaços territoriais, principalmente nos arranjos institucionais, nas relações econômicas, sociais e até mesmo no âmbito da política interna de um país ou região. </w:t>
      </w:r>
    </w:p>
    <w:p>
      <w:pPr>
        <w:widowControl/>
        <w:suppressLineNumbers w:val="0"/>
        <w:spacing w:line="360" w:lineRule="auto"/>
        <w:ind w:left="0"/>
        <w:rPr>
          <w:rFonts w:ascii="Times New Roman" w:hAnsi="Times New Roman" w:cs="Times New Roman"/>
        </w:rPr>
      </w:pPr>
      <w:r>
        <w:rPr>
          <w:rFonts w:ascii="Times New Roman" w:hAnsi="Times New Roman" w:cs="Times New Roman"/>
        </w:rPr>
        <w:t xml:space="preserve">Conforme Oliveira (2003, p.32), para haver o desenvolvimento é necessário o estabelecimento de políticas macroeconômicas que levem em consideração os agentes locais, buscando o máximo aproveitamento dos recursos humanos, ambientais e institucionais regionais. De acordo com a Organização para Cooperação e Desenvolvimento Econômico (OCDE, 1996), a geração de empregos é um elemento chave do desenvolvimento rural. Isso porque as inovações tecnológicas ocorridas ao longo do tempo têm cada vez mais influenciado a demanda de um trabalho com maior qualificação. </w:t>
      </w:r>
    </w:p>
    <w:p>
      <w:pPr>
        <w:widowControl/>
        <w:suppressLineNumbers w:val="0"/>
        <w:spacing w:line="360" w:lineRule="auto"/>
        <w:ind w:left="0"/>
        <w:rPr>
          <w:rFonts w:ascii="Times New Roman" w:hAnsi="Times New Roman" w:cs="Times New Roman"/>
        </w:rPr>
      </w:pPr>
      <w:r>
        <w:rPr>
          <w:rFonts w:ascii="Times New Roman" w:hAnsi="Times New Roman" w:cs="Times New Roman"/>
        </w:rPr>
        <w:t>Uma das principais bases para o processo de desenvolvimento está ligada ao ambiente de cooperação entre as instituições (ABRAMOVAY, 2000), ou seja, as interações que acontecem, e isso para o autor acontece com o compartilhamento de informação, da preocupação comum com a formação de trabalhadores, com a implantação dos serviços indispensáveis ao seu funcionamento e com a qualidade de vida em uma região.</w:t>
      </w:r>
    </w:p>
    <w:p>
      <w:pPr>
        <w:widowControl/>
        <w:suppressLineNumbers w:val="0"/>
        <w:spacing w:line="360" w:lineRule="auto"/>
        <w:ind w:left="0" w:firstLine="0"/>
        <w:jc w:val="left"/>
        <w:rPr>
          <w:rFonts w:ascii="Times New Roman" w:hAnsi="Times New Roman" w:cs="Times New Roman"/>
          <w:b/>
          <w:bCs/>
        </w:rPr>
      </w:pPr>
    </w:p>
    <w:p>
      <w:pPr>
        <w:widowControl/>
        <w:suppressLineNumbers w:val="0"/>
        <w:spacing w:line="360" w:lineRule="auto"/>
        <w:ind w:left="0" w:firstLine="0"/>
        <w:rPr>
          <w:rFonts w:ascii="Times New Roman" w:hAnsi="Times New Roman" w:cs="Times New Roman"/>
          <w:b/>
          <w:bCs/>
        </w:rPr>
      </w:pPr>
      <w:r>
        <w:rPr>
          <w:rFonts w:ascii="Times New Roman" w:hAnsi="Times New Roman" w:cs="Times New Roman"/>
          <w:b/>
          <w:bCs/>
        </w:rPr>
        <w:t>4 RESULTADOS E DISCURSÕES</w:t>
      </w:r>
    </w:p>
    <w:p>
      <w:pPr>
        <w:widowControl/>
        <w:suppressLineNumbers w:val="0"/>
        <w:spacing w:line="360" w:lineRule="auto"/>
        <w:ind w:left="0" w:firstLine="0"/>
        <w:rPr>
          <w:rFonts w:ascii="Times New Roman" w:hAnsi="Times New Roman" w:cs="Times New Roman"/>
          <w:b/>
          <w:bCs/>
        </w:rPr>
      </w:pPr>
    </w:p>
    <w:p>
      <w:pPr>
        <w:widowControl/>
        <w:suppressLineNumbers w:val="0"/>
        <w:spacing w:line="360" w:lineRule="auto"/>
        <w:ind w:left="0" w:firstLine="0"/>
        <w:rPr>
          <w:rFonts w:ascii="Times New Roman" w:hAnsi="Times New Roman" w:cs="Times New Roman"/>
          <w:b/>
          <w:bCs/>
        </w:rPr>
      </w:pPr>
      <w:r>
        <w:rPr>
          <w:rFonts w:ascii="Times New Roman" w:hAnsi="Times New Roman" w:cs="Times New Roman"/>
          <w:b/>
          <w:bCs/>
        </w:rPr>
        <w:t>4.1 A Distribuição dos Recursos do PRONAF no Brasil entre 2017 e 2021</w:t>
      </w:r>
    </w:p>
    <w:p>
      <w:pPr>
        <w:widowControl/>
        <w:suppressLineNumbers w:val="0"/>
        <w:spacing w:line="360" w:lineRule="auto"/>
        <w:ind w:left="0" w:firstLine="0"/>
        <w:rPr>
          <w:rFonts w:ascii="Times New Roman" w:hAnsi="Times New Roman" w:cs="Times New Roman"/>
        </w:rPr>
      </w:pPr>
    </w:p>
    <w:p>
      <w:pPr>
        <w:widowControl/>
        <w:suppressLineNumbers w:val="0"/>
        <w:spacing w:line="360" w:lineRule="auto"/>
        <w:ind w:left="0"/>
        <w:rPr>
          <w:rFonts w:ascii="Times New Roman" w:hAnsi="Times New Roman" w:cs="Times New Roman"/>
        </w:rPr>
      </w:pPr>
      <w:r>
        <w:rPr>
          <w:rFonts w:ascii="Times New Roman" w:hAnsi="Times New Roman" w:cs="Times New Roman"/>
        </w:rPr>
        <w:t xml:space="preserve">As informações a seguir foram extraídas da Matriz de Dados do Crédito Rural (Banco Central) disponível no </w:t>
      </w:r>
      <w:r>
        <w:rPr>
          <w:rFonts w:ascii="Times New Roman" w:hAnsi="Times New Roman" w:cs="Times New Roman"/>
          <w:iCs/>
        </w:rPr>
        <w:t>site</w:t>
      </w:r>
      <w:r>
        <w:rPr>
          <w:rFonts w:ascii="Times New Roman" w:hAnsi="Times New Roman" w:cs="Times New Roman"/>
        </w:rPr>
        <w:t xml:space="preserve"> da entidade. Foram extraídos 20 arquivos correspondentes aos 4 trimestres dos anos analisados (entre 2017 e 2021). Tais informações apresentam dados de todos os Estados brasileiros, agrupados por cinco regiões (Centro-Oeste, Nordeste, Norte, Sudeste e Sul), com abertura dos dados por tipo de atividade (agrícola e pecuária) e por tipo de pessoa (física ou jurídica). Os dados estão abertos por quantidade e valor total em Reais (R$) de cada contrato. Além de outras informações. No total, foram geradas 1358 observações, tendo como principais destaques as informações a seguir.</w:t>
      </w:r>
    </w:p>
    <w:p>
      <w:pPr>
        <w:widowControl/>
        <w:suppressLineNumbers w:val="0"/>
        <w:spacing w:line="240" w:lineRule="auto"/>
        <w:ind w:left="0" w:firstLine="0"/>
        <w:rPr>
          <w:rFonts w:ascii="Calibri" w:hAnsi="Calibri" w:eastAsia="Calibri" w:cs="Times New Roman"/>
          <w:sz w:val="20"/>
          <w:szCs w:val="20"/>
        </w:rPr>
      </w:pPr>
      <w:r>
        <w:fldChar w:fldCharType="begin"/>
      </w:r>
      <w:r>
        <w:instrText xml:space="preserve"> LINK Excel.SheetBinaryMacroEnabled.12 C:\\Users\\marco\\Downloads\\DADOS_PRONAF_CONSOLIDADO_2017_2021.xlsb Resumo!L2C2:L13C7 \a \f 4 \h  \* MERGEFORMAT </w:instrText>
      </w:r>
      <w:r>
        <w:fldChar w:fldCharType="separate"/>
      </w:r>
    </w:p>
    <w:tbl>
      <w:tblPr>
        <w:tblStyle w:val="8"/>
        <w:tblW w:w="10245" w:type="dxa"/>
        <w:tblInd w:w="0" w:type="dxa"/>
        <w:tblLayout w:type="autofit"/>
        <w:tblCellMar>
          <w:top w:w="15" w:type="dxa"/>
          <w:left w:w="70" w:type="dxa"/>
          <w:bottom w:w="0" w:type="dxa"/>
          <w:right w:w="70" w:type="dxa"/>
        </w:tblCellMar>
      </w:tblPr>
      <w:tblGrid>
        <w:gridCol w:w="1391"/>
        <w:gridCol w:w="1617"/>
        <w:gridCol w:w="1141"/>
        <w:gridCol w:w="1855"/>
        <w:gridCol w:w="1367"/>
        <w:gridCol w:w="1737"/>
        <w:gridCol w:w="1137"/>
      </w:tblGrid>
      <w:tr>
        <w:tblPrEx>
          <w:tblCellMar>
            <w:top w:w="15" w:type="dxa"/>
            <w:left w:w="70" w:type="dxa"/>
            <w:bottom w:w="0" w:type="dxa"/>
            <w:right w:w="70" w:type="dxa"/>
          </w:tblCellMar>
        </w:tblPrEx>
        <w:trPr>
          <w:trHeight w:val="326" w:hRule="atLeast"/>
        </w:trPr>
        <w:tc>
          <w:tcPr>
            <w:tcW w:w="9108" w:type="dxa"/>
            <w:gridSpan w:val="6"/>
            <w:tcBorders>
              <w:top w:val="nil"/>
              <w:left w:val="nil"/>
              <w:bottom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b/>
                <w:bCs/>
                <w:color w:val="000000"/>
              </w:rPr>
            </w:pPr>
            <w:r>
              <w:rPr>
                <w:rFonts w:ascii="Times New Roman" w:hAnsi="Times New Roman" w:cs="Times New Roman"/>
                <w:b/>
                <w:bCs/>
                <w:color w:val="000000"/>
              </w:rPr>
              <w:t>Tabela 1 - PRONAF - Quantidade e Valor dos Contratos entre 2017 e 2021</w:t>
            </w:r>
          </w:p>
        </w:tc>
        <w:tc>
          <w:tcPr>
            <w:tcW w:w="1137" w:type="dxa"/>
            <w:tcBorders>
              <w:top w:val="nil"/>
              <w:left w:val="nil"/>
              <w:bottom w:val="nil"/>
              <w:right w:val="nil"/>
            </w:tcBorders>
            <w:shd w:val="clear" w:color="auto" w:fill="auto"/>
            <w:noWrap/>
            <w:vAlign w:val="center"/>
          </w:tcPr>
          <w:p>
            <w:pPr>
              <w:widowControl/>
              <w:suppressLineNumbers w:val="0"/>
              <w:spacing w:line="240" w:lineRule="auto"/>
              <w:ind w:left="0" w:firstLine="0"/>
              <w:jc w:val="left"/>
              <w:rPr>
                <w:b/>
                <w:bCs/>
                <w:color w:val="000000"/>
              </w:rPr>
            </w:pPr>
          </w:p>
        </w:tc>
      </w:tr>
      <w:tr>
        <w:trPr>
          <w:gridAfter w:val="1"/>
          <w:wAfter w:w="1137" w:type="dxa"/>
          <w:trHeight w:val="326" w:hRule="atLeast"/>
        </w:trPr>
        <w:tc>
          <w:tcPr>
            <w:tcW w:w="1391" w:type="dxa"/>
            <w:tcBorders>
              <w:top w:val="single" w:color="auto" w:sz="4" w:space="0"/>
              <w:left w:val="nil"/>
              <w:bottom w:val="single" w:color="auto" w:sz="4" w:space="0"/>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Ano</w:t>
            </w:r>
          </w:p>
        </w:tc>
        <w:tc>
          <w:tcPr>
            <w:tcW w:w="1617" w:type="dxa"/>
            <w:tcBorders>
              <w:top w:val="single" w:color="auto" w:sz="4" w:space="0"/>
              <w:left w:val="nil"/>
              <w:bottom w:val="single" w:color="auto" w:sz="4" w:space="0"/>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Nº Contratos</w:t>
            </w:r>
          </w:p>
        </w:tc>
        <w:tc>
          <w:tcPr>
            <w:tcW w:w="1141" w:type="dxa"/>
            <w:tcBorders>
              <w:top w:val="single" w:color="auto" w:sz="4" w:space="0"/>
              <w:left w:val="nil"/>
              <w:bottom w:val="single" w:color="auto" w:sz="4" w:space="0"/>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Variação</w:t>
            </w:r>
          </w:p>
        </w:tc>
        <w:tc>
          <w:tcPr>
            <w:tcW w:w="1855" w:type="dxa"/>
            <w:tcBorders>
              <w:top w:val="single" w:color="auto" w:sz="4" w:space="0"/>
              <w:left w:val="nil"/>
              <w:bottom w:val="single" w:color="auto" w:sz="4" w:space="0"/>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Em R$ Bilhões</w:t>
            </w:r>
          </w:p>
        </w:tc>
        <w:tc>
          <w:tcPr>
            <w:tcW w:w="1367" w:type="dxa"/>
            <w:tcBorders>
              <w:top w:val="single" w:color="auto" w:sz="4" w:space="0"/>
              <w:left w:val="nil"/>
              <w:bottom w:val="single" w:color="auto" w:sz="4" w:space="0"/>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Variação</w:t>
            </w:r>
          </w:p>
        </w:tc>
        <w:tc>
          <w:tcPr>
            <w:tcW w:w="1737" w:type="dxa"/>
            <w:tcBorders>
              <w:top w:val="single" w:color="auto" w:sz="4" w:space="0"/>
              <w:left w:val="nil"/>
              <w:bottom w:val="single" w:color="auto" w:sz="4" w:space="0"/>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Inflação *</w:t>
            </w:r>
          </w:p>
        </w:tc>
      </w:tr>
      <w:tr>
        <w:tblPrEx>
          <w:tblCellMar>
            <w:top w:w="15" w:type="dxa"/>
            <w:left w:w="70" w:type="dxa"/>
            <w:bottom w:w="0" w:type="dxa"/>
            <w:right w:w="70" w:type="dxa"/>
          </w:tblCellMar>
        </w:tblPrEx>
        <w:trPr>
          <w:gridAfter w:val="1"/>
          <w:wAfter w:w="1137" w:type="dxa"/>
          <w:trHeight w:val="314" w:hRule="atLeast"/>
        </w:trPr>
        <w:tc>
          <w:tcPr>
            <w:tcW w:w="1391"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2017</w:t>
            </w:r>
          </w:p>
        </w:tc>
        <w:tc>
          <w:tcPr>
            <w:tcW w:w="1617"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 xml:space="preserve">1.544.578 </w:t>
            </w:r>
          </w:p>
        </w:tc>
        <w:tc>
          <w:tcPr>
            <w:tcW w:w="1141"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w:t>
            </w:r>
          </w:p>
        </w:tc>
        <w:tc>
          <w:tcPr>
            <w:tcW w:w="1855"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22,6</w:t>
            </w:r>
          </w:p>
        </w:tc>
        <w:tc>
          <w:tcPr>
            <w:tcW w:w="1367"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w:t>
            </w:r>
          </w:p>
        </w:tc>
        <w:tc>
          <w:tcPr>
            <w:tcW w:w="1737"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2,95%</w:t>
            </w:r>
          </w:p>
        </w:tc>
      </w:tr>
      <w:tr>
        <w:tblPrEx>
          <w:tblCellMar>
            <w:top w:w="15" w:type="dxa"/>
            <w:left w:w="70" w:type="dxa"/>
            <w:bottom w:w="0" w:type="dxa"/>
            <w:right w:w="70" w:type="dxa"/>
          </w:tblCellMar>
        </w:tblPrEx>
        <w:trPr>
          <w:gridAfter w:val="1"/>
          <w:wAfter w:w="1137" w:type="dxa"/>
          <w:trHeight w:val="314" w:hRule="atLeast"/>
        </w:trPr>
        <w:tc>
          <w:tcPr>
            <w:tcW w:w="1391"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2018</w:t>
            </w:r>
          </w:p>
        </w:tc>
        <w:tc>
          <w:tcPr>
            <w:tcW w:w="1617"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 xml:space="preserve">1.471.557 </w:t>
            </w:r>
          </w:p>
        </w:tc>
        <w:tc>
          <w:tcPr>
            <w:tcW w:w="1141"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-4,7%</w:t>
            </w:r>
          </w:p>
        </w:tc>
        <w:tc>
          <w:tcPr>
            <w:tcW w:w="1855"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24,6</w:t>
            </w:r>
          </w:p>
        </w:tc>
        <w:tc>
          <w:tcPr>
            <w:tcW w:w="1367"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9,0%</w:t>
            </w:r>
          </w:p>
        </w:tc>
        <w:tc>
          <w:tcPr>
            <w:tcW w:w="1737"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3,75%</w:t>
            </w:r>
          </w:p>
        </w:tc>
      </w:tr>
      <w:tr>
        <w:tblPrEx>
          <w:tblCellMar>
            <w:top w:w="15" w:type="dxa"/>
            <w:left w:w="70" w:type="dxa"/>
            <w:bottom w:w="0" w:type="dxa"/>
            <w:right w:w="70" w:type="dxa"/>
          </w:tblCellMar>
        </w:tblPrEx>
        <w:trPr>
          <w:gridAfter w:val="1"/>
          <w:wAfter w:w="1137" w:type="dxa"/>
          <w:trHeight w:val="314" w:hRule="atLeast"/>
        </w:trPr>
        <w:tc>
          <w:tcPr>
            <w:tcW w:w="1391"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2019</w:t>
            </w:r>
          </w:p>
        </w:tc>
        <w:tc>
          <w:tcPr>
            <w:tcW w:w="1617"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 xml:space="preserve">1.356.521 </w:t>
            </w:r>
          </w:p>
        </w:tc>
        <w:tc>
          <w:tcPr>
            <w:tcW w:w="1141"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-7,8%</w:t>
            </w:r>
          </w:p>
        </w:tc>
        <w:tc>
          <w:tcPr>
            <w:tcW w:w="1855"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25,9</w:t>
            </w:r>
          </w:p>
        </w:tc>
        <w:tc>
          <w:tcPr>
            <w:tcW w:w="1367"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5,6%</w:t>
            </w:r>
          </w:p>
        </w:tc>
        <w:tc>
          <w:tcPr>
            <w:tcW w:w="1737"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4,31%</w:t>
            </w:r>
          </w:p>
        </w:tc>
      </w:tr>
      <w:tr>
        <w:tblPrEx>
          <w:tblCellMar>
            <w:top w:w="15" w:type="dxa"/>
            <w:left w:w="70" w:type="dxa"/>
            <w:bottom w:w="0" w:type="dxa"/>
            <w:right w:w="70" w:type="dxa"/>
          </w:tblCellMar>
        </w:tblPrEx>
        <w:trPr>
          <w:gridAfter w:val="1"/>
          <w:wAfter w:w="1137" w:type="dxa"/>
          <w:trHeight w:val="314" w:hRule="atLeast"/>
        </w:trPr>
        <w:tc>
          <w:tcPr>
            <w:tcW w:w="1391"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2020</w:t>
            </w:r>
          </w:p>
        </w:tc>
        <w:tc>
          <w:tcPr>
            <w:tcW w:w="1617"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 xml:space="preserve">1.433.653 </w:t>
            </w:r>
          </w:p>
        </w:tc>
        <w:tc>
          <w:tcPr>
            <w:tcW w:w="1141"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5,7%</w:t>
            </w:r>
          </w:p>
        </w:tc>
        <w:tc>
          <w:tcPr>
            <w:tcW w:w="1855"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31,2</w:t>
            </w:r>
          </w:p>
        </w:tc>
        <w:tc>
          <w:tcPr>
            <w:tcW w:w="1367"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20,1%</w:t>
            </w:r>
          </w:p>
        </w:tc>
        <w:tc>
          <w:tcPr>
            <w:tcW w:w="1737"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4,52%</w:t>
            </w:r>
          </w:p>
        </w:tc>
      </w:tr>
      <w:tr>
        <w:tblPrEx>
          <w:tblCellMar>
            <w:top w:w="15" w:type="dxa"/>
            <w:left w:w="70" w:type="dxa"/>
            <w:bottom w:w="0" w:type="dxa"/>
            <w:right w:w="70" w:type="dxa"/>
          </w:tblCellMar>
        </w:tblPrEx>
        <w:trPr>
          <w:gridAfter w:val="1"/>
          <w:wAfter w:w="1137" w:type="dxa"/>
          <w:trHeight w:val="314" w:hRule="atLeast"/>
        </w:trPr>
        <w:tc>
          <w:tcPr>
            <w:tcW w:w="1391"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2021</w:t>
            </w:r>
          </w:p>
        </w:tc>
        <w:tc>
          <w:tcPr>
            <w:tcW w:w="1617"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 xml:space="preserve">1.407.980 </w:t>
            </w:r>
          </w:p>
        </w:tc>
        <w:tc>
          <w:tcPr>
            <w:tcW w:w="1141"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-1,8%</w:t>
            </w:r>
          </w:p>
        </w:tc>
        <w:tc>
          <w:tcPr>
            <w:tcW w:w="1855"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39,4</w:t>
            </w:r>
          </w:p>
        </w:tc>
        <w:tc>
          <w:tcPr>
            <w:tcW w:w="1367"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26,4%</w:t>
            </w:r>
          </w:p>
        </w:tc>
        <w:tc>
          <w:tcPr>
            <w:tcW w:w="1737"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10,06%</w:t>
            </w:r>
          </w:p>
        </w:tc>
      </w:tr>
      <w:tr>
        <w:tblPrEx>
          <w:tblCellMar>
            <w:top w:w="15" w:type="dxa"/>
            <w:left w:w="70" w:type="dxa"/>
            <w:bottom w:w="0" w:type="dxa"/>
            <w:right w:w="70" w:type="dxa"/>
          </w:tblCellMar>
        </w:tblPrEx>
        <w:trPr>
          <w:gridAfter w:val="1"/>
          <w:wAfter w:w="1137" w:type="dxa"/>
          <w:trHeight w:val="340" w:hRule="atLeast"/>
        </w:trPr>
        <w:tc>
          <w:tcPr>
            <w:tcW w:w="1391" w:type="dxa"/>
            <w:tcBorders>
              <w:top w:val="single" w:color="auto" w:sz="4" w:space="0"/>
              <w:left w:val="nil"/>
              <w:bottom w:val="single" w:color="auto" w:sz="8" w:space="0"/>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b/>
                <w:bCs/>
                <w:color w:val="000000"/>
              </w:rPr>
            </w:pPr>
            <w:r>
              <w:rPr>
                <w:rFonts w:ascii="Times New Roman" w:hAnsi="Times New Roman" w:cs="Times New Roman"/>
                <w:b/>
                <w:bCs/>
                <w:color w:val="000000"/>
              </w:rPr>
              <w:t xml:space="preserve">Total </w:t>
            </w:r>
          </w:p>
        </w:tc>
        <w:tc>
          <w:tcPr>
            <w:tcW w:w="1617" w:type="dxa"/>
            <w:tcBorders>
              <w:top w:val="single" w:color="auto" w:sz="4" w:space="0"/>
              <w:left w:val="nil"/>
              <w:bottom w:val="single" w:color="auto" w:sz="8" w:space="0"/>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b/>
                <w:bCs/>
                <w:color w:val="000000"/>
              </w:rPr>
            </w:pPr>
            <w:r>
              <w:rPr>
                <w:rFonts w:ascii="Times New Roman" w:hAnsi="Times New Roman" w:cs="Times New Roman"/>
                <w:b/>
                <w:bCs/>
                <w:color w:val="000000"/>
              </w:rPr>
              <w:t xml:space="preserve">7.214.289 </w:t>
            </w:r>
          </w:p>
        </w:tc>
        <w:tc>
          <w:tcPr>
            <w:tcW w:w="1141" w:type="dxa"/>
            <w:tcBorders>
              <w:top w:val="single" w:color="auto" w:sz="4" w:space="0"/>
              <w:left w:val="nil"/>
              <w:bottom w:val="single" w:color="auto" w:sz="8" w:space="0"/>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b/>
                <w:bCs/>
                <w:color w:val="000000"/>
              </w:rPr>
            </w:pPr>
            <w:r>
              <w:rPr>
                <w:rFonts w:ascii="Times New Roman" w:hAnsi="Times New Roman" w:cs="Times New Roman"/>
                <w:b/>
                <w:bCs/>
                <w:color w:val="000000"/>
              </w:rPr>
              <w:t> </w:t>
            </w:r>
          </w:p>
        </w:tc>
        <w:tc>
          <w:tcPr>
            <w:tcW w:w="1855" w:type="dxa"/>
            <w:tcBorders>
              <w:top w:val="single" w:color="auto" w:sz="4" w:space="0"/>
              <w:left w:val="nil"/>
              <w:bottom w:val="single" w:color="auto" w:sz="8" w:space="0"/>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b/>
                <w:bCs/>
                <w:color w:val="000000"/>
              </w:rPr>
            </w:pPr>
            <w:r>
              <w:rPr>
                <w:rFonts w:ascii="Times New Roman" w:hAnsi="Times New Roman" w:cs="Times New Roman"/>
                <w:b/>
                <w:bCs/>
                <w:color w:val="000000"/>
              </w:rPr>
              <w:t>143,6</w:t>
            </w:r>
          </w:p>
        </w:tc>
        <w:tc>
          <w:tcPr>
            <w:tcW w:w="1367" w:type="dxa"/>
            <w:tcBorders>
              <w:top w:val="single" w:color="auto" w:sz="4" w:space="0"/>
              <w:left w:val="nil"/>
              <w:bottom w:val="single" w:color="auto" w:sz="8" w:space="0"/>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b/>
                <w:bCs/>
                <w:color w:val="000000"/>
              </w:rPr>
            </w:pPr>
            <w:r>
              <w:rPr>
                <w:rFonts w:ascii="Times New Roman" w:hAnsi="Times New Roman" w:cs="Times New Roman"/>
                <w:b/>
                <w:bCs/>
                <w:color w:val="000000"/>
              </w:rPr>
              <w:t> </w:t>
            </w:r>
          </w:p>
        </w:tc>
        <w:tc>
          <w:tcPr>
            <w:tcW w:w="1737" w:type="dxa"/>
            <w:tcBorders>
              <w:top w:val="single" w:color="auto" w:sz="4" w:space="0"/>
              <w:left w:val="nil"/>
              <w:bottom w:val="single" w:color="auto" w:sz="8" w:space="0"/>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b/>
                <w:bCs/>
                <w:color w:val="000000"/>
              </w:rPr>
            </w:pPr>
            <w:r>
              <w:rPr>
                <w:rFonts w:ascii="Times New Roman" w:hAnsi="Times New Roman" w:cs="Times New Roman"/>
                <w:b/>
                <w:bCs/>
                <w:color w:val="000000"/>
              </w:rPr>
              <w:t>28,15%</w:t>
            </w:r>
          </w:p>
        </w:tc>
      </w:tr>
    </w:tbl>
    <w:p>
      <w:pPr>
        <w:widowControl/>
        <w:suppressLineNumbers w:val="0"/>
        <w:spacing w:line="240" w:lineRule="auto"/>
        <w:ind w:left="0" w:firstLine="0"/>
        <w:jc w:val="center"/>
        <w:rPr>
          <w:rFonts w:ascii="Times New Roman" w:hAnsi="Times New Roman" w:cs="Times New Roman"/>
          <w:sz w:val="20"/>
          <w:szCs w:val="20"/>
        </w:rPr>
      </w:pPr>
      <w:r>
        <w:fldChar w:fldCharType="end"/>
      </w:r>
      <w:r>
        <w:rPr>
          <w:rFonts w:ascii="Times New Roman" w:hAnsi="Times New Roman" w:cs="Times New Roman"/>
          <w:sz w:val="20"/>
          <w:szCs w:val="20"/>
        </w:rPr>
        <w:t>* IPCA - Índice de Preços ao Consumidor Ampliado (Fonte: IBGE) - Obs.: Dados sujeitos à retificação.</w:t>
      </w:r>
    </w:p>
    <w:p>
      <w:pPr>
        <w:widowControl/>
        <w:suppressLineNumbers w:val="0"/>
        <w:spacing w:line="240" w:lineRule="auto"/>
        <w:ind w:left="0" w:firstLine="0"/>
        <w:jc w:val="center"/>
        <w:rPr>
          <w:rFonts w:ascii="Times New Roman" w:hAnsi="Times New Roman" w:cs="Times New Roman"/>
          <w:sz w:val="20"/>
          <w:szCs w:val="20"/>
        </w:rPr>
      </w:pPr>
      <w:r>
        <w:rPr>
          <w:rFonts w:ascii="Times New Roman" w:hAnsi="Times New Roman" w:cs="Times New Roman"/>
          <w:sz w:val="20"/>
          <w:szCs w:val="20"/>
        </w:rPr>
        <w:t>Fonte: Banco Central do Brasil (BCB) - Departamento de Regulação, Supervisão e Controle das Operações do Crédito Rural e do Proagro (Derop) - Sistema de Operações do Crédito Rural e do Proagro (Sicor) - Adaptado pela autora (2022).</w:t>
      </w:r>
    </w:p>
    <w:p>
      <w:pPr>
        <w:widowControl/>
        <w:suppressLineNumbers w:val="0"/>
        <w:spacing w:line="240" w:lineRule="auto"/>
        <w:ind w:left="0" w:firstLine="0"/>
        <w:jc w:val="center"/>
        <w:rPr>
          <w:rFonts w:ascii="Times New Roman" w:hAnsi="Times New Roman" w:cs="Times New Roman"/>
        </w:rPr>
      </w:pPr>
      <w:r>
        <w:rPr>
          <w:rFonts w:ascii="Times New Roman" w:hAnsi="Times New Roman" w:cs="Times New Roman"/>
          <w:b/>
          <w:bCs/>
          <w:color w:val="000000"/>
        </w:rPr>
        <w:t>Gráfico 1 - PRONAF - Quantidade e Valor dos Contratos entre 2017 e 2021</w:t>
      </w:r>
    </w:p>
    <w:p>
      <w:pPr>
        <w:widowControl/>
        <w:suppressLineNumbers w:val="0"/>
        <w:spacing w:line="240" w:lineRule="auto"/>
        <w:ind w:left="0" w:firstLine="0"/>
      </w:pPr>
      <w:r>
        <w:drawing>
          <wp:inline distT="0" distB="0" distL="0" distR="0">
            <wp:extent cx="5760085" cy="2922270"/>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5760085" cy="2922270"/>
                    </a:xfrm>
                    <a:prstGeom prst="rect">
                      <a:avLst/>
                    </a:prstGeom>
                    <a:noFill/>
                    <a:ln>
                      <a:noFill/>
                    </a:ln>
                  </pic:spPr>
                </pic:pic>
              </a:graphicData>
            </a:graphic>
          </wp:inline>
        </w:drawing>
      </w:r>
    </w:p>
    <w:p>
      <w:pPr>
        <w:widowControl/>
        <w:suppressLineNumbers w:val="0"/>
        <w:spacing w:line="240" w:lineRule="auto"/>
        <w:ind w:left="0" w:firstLine="0"/>
        <w:jc w:val="center"/>
        <w:rPr>
          <w:rFonts w:ascii="Times New Roman" w:hAnsi="Times New Roman" w:cs="Times New Roman"/>
          <w:sz w:val="20"/>
          <w:szCs w:val="20"/>
        </w:rPr>
      </w:pPr>
      <w:r>
        <w:rPr>
          <w:rFonts w:ascii="Times New Roman" w:hAnsi="Times New Roman" w:cs="Times New Roman"/>
          <w:sz w:val="20"/>
          <w:szCs w:val="20"/>
        </w:rPr>
        <w:t>Fonte: Banco Central do Brasil (BCB) - Adaptado pela autora (2022).</w:t>
      </w:r>
    </w:p>
    <w:p>
      <w:pPr>
        <w:widowControl/>
        <w:suppressLineNumbers w:val="0"/>
        <w:spacing w:line="240" w:lineRule="auto"/>
        <w:ind w:left="0" w:firstLine="0"/>
      </w:pPr>
    </w:p>
    <w:p>
      <w:pPr>
        <w:widowControl/>
        <w:suppressLineNumbers w:val="0"/>
        <w:spacing w:line="360" w:lineRule="auto"/>
        <w:ind w:left="0" w:firstLine="708"/>
        <w:rPr>
          <w:rFonts w:ascii="Times New Roman" w:hAnsi="Times New Roman" w:cs="Times New Roman"/>
        </w:rPr>
      </w:pPr>
      <w:r>
        <w:rPr>
          <w:rFonts w:ascii="Times New Roman" w:hAnsi="Times New Roman" w:cs="Times New Roman"/>
        </w:rPr>
        <w:t>A Tabela 1 informa a quantidade total de contratos realizados ao longo dos cinco anos de análise e o total dos recursos (em R$). Foram 7,2 milhões de contratos que ocorreram neste período, correspondendo a R$ 143,6 bilhões em valores nominais. Associando os dados da Tabela 1 com o Gráfico 1 é perceptível que, enquanto o número de contratos evidencia uma tendência de queda, os valores emprestados via PRONAF mantiveram taxas crescentes acima da inflação, principalmente em 2021 (aumento de 26,4% nos recursos, enquanto a inflação apurada foi de 10,06%).</w:t>
      </w:r>
    </w:p>
    <w:p>
      <w:pPr>
        <w:widowControl/>
        <w:suppressLineNumbers w:val="0"/>
        <w:spacing w:line="360" w:lineRule="auto"/>
        <w:ind w:left="0" w:firstLine="708"/>
        <w:rPr>
          <w:rFonts w:ascii="Times New Roman" w:hAnsi="Times New Roman" w:cs="Times New Roman"/>
        </w:rPr>
      </w:pPr>
      <w:r>
        <w:rPr>
          <w:rFonts w:ascii="Times New Roman" w:hAnsi="Times New Roman" w:cs="Times New Roman"/>
        </w:rPr>
        <w:t>Para a análise econométrica, os valores dos recursos foram deflacionados pelo IPCA - Índice de Preços ao Consumidor Ampliado (IBGE), tendo como período base dez/2021.</w:t>
      </w:r>
    </w:p>
    <w:p>
      <w:pPr>
        <w:widowControl/>
        <w:suppressLineNumbers w:val="0"/>
        <w:spacing w:line="360" w:lineRule="auto"/>
        <w:ind w:left="0" w:firstLine="708"/>
        <w:rPr>
          <w:rFonts w:ascii="Times New Roman" w:hAnsi="Times New Roman" w:cs="Times New Roman"/>
        </w:rPr>
      </w:pPr>
      <w:r>
        <w:rPr>
          <w:rFonts w:ascii="Times New Roman" w:hAnsi="Times New Roman" w:cs="Times New Roman"/>
        </w:rPr>
        <w:t xml:space="preserve">Importante ressaltar que as interseções das regressões apresentadas a seguir representam o </w:t>
      </w:r>
      <w:r>
        <w:rPr>
          <w:rFonts w:ascii="Times New Roman" w:hAnsi="Times New Roman" w:cs="Times New Roman"/>
          <w:bCs/>
        </w:rPr>
        <w:t>grupo de referência</w:t>
      </w:r>
      <w:r>
        <w:rPr>
          <w:rFonts w:ascii="Times New Roman" w:hAnsi="Times New Roman" w:cs="Times New Roman"/>
        </w:rPr>
        <w:t xml:space="preserve"> para todos os outros grupos. Na primeira análise da regressão, os grupos são os anos, representados na Tabela 2 como DTempo2017; DTempo2018; DTempo2019 e DTempo2020. Logo, todos serão comparados com a Interseção </w:t>
      </w:r>
      <w:r>
        <w:rPr>
          <w:rFonts w:ascii="Times New Roman" w:hAnsi="Times New Roman" w:cs="Times New Roman"/>
          <w:bCs/>
        </w:rPr>
        <w:t>DTempo2021</w:t>
      </w:r>
      <w:r>
        <w:rPr>
          <w:rFonts w:ascii="Times New Roman" w:hAnsi="Times New Roman" w:cs="Times New Roman"/>
          <w:i/>
          <w:iCs/>
        </w:rPr>
        <w:t xml:space="preserve"> </w:t>
      </w:r>
      <w:r>
        <w:rPr>
          <w:rFonts w:ascii="Times New Roman" w:hAnsi="Times New Roman" w:cs="Times New Roman"/>
        </w:rPr>
        <w:t>(</w:t>
      </w:r>
      <w:r>
        <w:rPr>
          <w:rFonts w:ascii="Cambria Math" w:hAnsi="Cambria Math" w:cs="Cambria Math"/>
          <w:bCs/>
        </w:rPr>
        <w:t>𝛽</w:t>
      </w:r>
      <w:r>
        <w:rPr>
          <w:rFonts w:ascii="Times New Roman" w:hAnsi="Times New Roman" w:cs="Times New Roman"/>
          <w:bCs/>
        </w:rPr>
        <w:t>0</w:t>
      </w:r>
      <w:r>
        <w:rPr>
          <w:rFonts w:ascii="Times New Roman" w:hAnsi="Times New Roman" w:cs="Times New Roman"/>
        </w:rPr>
        <w:t xml:space="preserve">). Esse mecanismo de utilizar o intercepto para o grupo de referência é a solução para que não haja redundâncias nos modelos e, por consequência, problemas de multicolinearidade perfeita, a “armadilha das </w:t>
      </w:r>
      <w:r>
        <w:rPr>
          <w:rFonts w:ascii="Times New Roman" w:hAnsi="Times New Roman" w:cs="Times New Roman"/>
          <w:i/>
          <w:iCs/>
        </w:rPr>
        <w:t>dummies</w:t>
      </w:r>
      <w:r>
        <w:rPr>
          <w:rFonts w:ascii="Times New Roman" w:hAnsi="Times New Roman" w:cs="Times New Roman"/>
        </w:rPr>
        <w:t>”.</w:t>
      </w:r>
    </w:p>
    <w:p>
      <w:pPr>
        <w:widowControl/>
        <w:suppressLineNumbers w:val="0"/>
        <w:spacing w:line="360" w:lineRule="auto"/>
        <w:ind w:left="0" w:firstLine="708"/>
        <w:rPr>
          <w:rFonts w:ascii="Times New Roman" w:hAnsi="Times New Roman" w:cs="Times New Roman"/>
        </w:rPr>
      </w:pPr>
      <w:r>
        <w:rPr>
          <w:rFonts w:ascii="Times New Roman" w:hAnsi="Times New Roman" w:cs="Times New Roman"/>
        </w:rPr>
        <w:t xml:space="preserve">Se há </w:t>
      </w:r>
      <w:r>
        <w:rPr>
          <w:rFonts w:ascii="Cambria Math" w:hAnsi="Cambria Math" w:cs="Cambria Math"/>
        </w:rPr>
        <w:t>𝑚</w:t>
      </w:r>
      <w:r>
        <w:rPr>
          <w:rFonts w:ascii="Times New Roman" w:hAnsi="Times New Roman" w:cs="Times New Roman"/>
        </w:rPr>
        <w:t xml:space="preserve"> categorias para serem incluídas, então deverá ser usado </w:t>
      </w:r>
      <w:r>
        <w:rPr>
          <w:rFonts w:ascii="Cambria Math" w:hAnsi="Cambria Math" w:cs="Cambria Math"/>
        </w:rPr>
        <w:t>𝑚</w:t>
      </w:r>
      <w:r>
        <w:rPr>
          <w:rFonts w:ascii="Times New Roman" w:hAnsi="Times New Roman" w:cs="Times New Roman"/>
        </w:rPr>
        <w:t xml:space="preserve"> − 1 </w:t>
      </w:r>
      <w:r>
        <w:rPr>
          <w:rFonts w:ascii="Times New Roman" w:hAnsi="Times New Roman" w:cs="Times New Roman"/>
          <w:i/>
          <w:iCs/>
        </w:rPr>
        <w:t>dummies</w:t>
      </w:r>
      <w:r>
        <w:rPr>
          <w:rFonts w:ascii="Times New Roman" w:hAnsi="Times New Roman" w:cs="Times New Roman"/>
        </w:rPr>
        <w:t xml:space="preserve"> no modelo. Assim, o grupo “deixado de fora” será o valor de referência para todos os outros. Para exemplificar, segue o modelo para verificar se há</w:t>
      </w:r>
      <w:r>
        <w:t xml:space="preserve"> </w:t>
      </w:r>
      <w:r>
        <w:rPr>
          <w:rFonts w:ascii="Times New Roman" w:hAnsi="Times New Roman" w:cs="Times New Roman"/>
        </w:rPr>
        <w:t>diferença entre os contratos liberados em 2017 em relação aos contratos firmados em 2021:</w:t>
      </w:r>
      <w:r>
        <w:cr/>
      </w:r>
    </w:p>
    <w:p>
      <w:pPr>
        <w:widowControl/>
        <w:suppressLineNumbers w:val="0"/>
        <w:spacing w:line="360" w:lineRule="auto"/>
        <w:ind w:left="0" w:firstLine="0"/>
        <w:jc w:val="center"/>
        <w:rPr>
          <w:rFonts w:ascii="Times New Roman" w:hAnsi="Times New Roman" w:cs="Times New Roman"/>
        </w:rPr>
      </w:pPr>
      <w:r>
        <w:rPr>
          <w:rFonts w:ascii="Times New Roman" w:hAnsi="Times New Roman" w:cs="Times New Roman"/>
          <w:b/>
          <w:bCs/>
        </w:rPr>
        <w:t>Valor médio real dos contratos</w:t>
      </w:r>
      <w:r>
        <w:rPr>
          <w:rFonts w:ascii="Times New Roman" w:hAnsi="Times New Roman" w:cs="Times New Roman"/>
        </w:rPr>
        <w:t xml:space="preserve"> </w:t>
      </w:r>
      <w:r>
        <w:rPr>
          <w:rFonts w:ascii="Times New Roman" w:hAnsi="Times New Roman" w:cs="Times New Roman"/>
          <w:b/>
          <w:bCs/>
        </w:rPr>
        <w:t xml:space="preserve">= </w:t>
      </w:r>
      <w:r>
        <w:rPr>
          <w:rFonts w:ascii="Cambria Math" w:hAnsi="Cambria Math" w:cs="Cambria Math"/>
          <w:b/>
          <w:bCs/>
        </w:rPr>
        <w:t>𝛽</w:t>
      </w:r>
      <w:r>
        <w:rPr>
          <w:rFonts w:ascii="Times New Roman" w:hAnsi="Times New Roman" w:cs="Times New Roman"/>
          <w:b/>
          <w:bCs/>
        </w:rPr>
        <w:t xml:space="preserve">0 + </w:t>
      </w:r>
      <w:r>
        <w:rPr>
          <w:rFonts w:ascii="Cambria Math" w:hAnsi="Cambria Math" w:cs="Cambria Math"/>
          <w:b/>
          <w:bCs/>
        </w:rPr>
        <w:t>𝛿</w:t>
      </w:r>
      <w:r>
        <w:rPr>
          <w:rFonts w:ascii="Times New Roman" w:hAnsi="Times New Roman" w:cs="Times New Roman"/>
          <w:b/>
          <w:bCs/>
        </w:rPr>
        <w:t xml:space="preserve">1 </w:t>
      </w:r>
      <w:r>
        <w:rPr>
          <w:rFonts w:ascii="Cambria Math" w:hAnsi="Cambria Math" w:cs="Cambria Math"/>
          <w:b/>
          <w:bCs/>
        </w:rPr>
        <w:t>∗</w:t>
      </w:r>
      <w:r>
        <w:rPr>
          <w:rFonts w:ascii="Times New Roman" w:hAnsi="Times New Roman" w:cs="Times New Roman"/>
          <w:b/>
          <w:bCs/>
        </w:rPr>
        <w:t xml:space="preserve"> {0,1} </w:t>
      </w:r>
      <w:r>
        <w:rPr>
          <w:rFonts w:ascii="Times New Roman" w:hAnsi="Times New Roman" w:cs="Times New Roman"/>
          <w:b/>
          <w:bCs/>
          <w:i/>
          <w:iCs/>
        </w:rPr>
        <w:t>DTempo2017</w:t>
      </w:r>
    </w:p>
    <w:p>
      <w:pPr>
        <w:widowControl/>
        <w:suppressLineNumbers w:val="0"/>
        <w:spacing w:line="360" w:lineRule="auto"/>
        <w:ind w:left="0" w:firstLine="708"/>
        <w:jc w:val="center"/>
        <w:rPr>
          <w:rFonts w:ascii="Times New Roman" w:hAnsi="Times New Roman" w:cs="Times New Roman"/>
        </w:rPr>
      </w:pPr>
    </w:p>
    <w:p>
      <w:pPr>
        <w:pStyle w:val="66"/>
        <w:widowControl/>
        <w:numPr>
          <w:ilvl w:val="0"/>
          <w:numId w:val="1"/>
        </w:numPr>
        <w:suppressLineNumbers w:val="0"/>
        <w:spacing w:line="360" w:lineRule="auto"/>
        <w:rPr>
          <w:rFonts w:ascii="Times New Roman" w:hAnsi="Times New Roman" w:cs="Times New Roman"/>
        </w:rPr>
      </w:pPr>
      <w:r>
        <w:rPr>
          <w:rFonts w:ascii="Cambria Math" w:hAnsi="Cambria Math" w:cs="Cambria Math"/>
          <w:b/>
          <w:bCs/>
        </w:rPr>
        <w:t>𝛿</w:t>
      </w:r>
      <w:r>
        <w:rPr>
          <w:rFonts w:ascii="Times New Roman" w:hAnsi="Times New Roman" w:cs="Times New Roman"/>
          <w:b/>
          <w:bCs/>
        </w:rPr>
        <w:t>1</w:t>
      </w:r>
      <w:r>
        <w:rPr>
          <w:rFonts w:ascii="Times New Roman" w:hAnsi="Times New Roman" w:cs="Times New Roman"/>
        </w:rPr>
        <w:t xml:space="preserve"> será o diferencial do valor médio real dos contratos entre 2021 e 2017, mesmo que a variável </w:t>
      </w:r>
      <w:r>
        <w:rPr>
          <w:rFonts w:ascii="Times New Roman" w:hAnsi="Times New Roman" w:cs="Times New Roman"/>
          <w:b/>
          <w:bCs/>
          <w:i/>
          <w:iCs/>
        </w:rPr>
        <w:t xml:space="preserve">DTempo2021 </w:t>
      </w:r>
      <w:r>
        <w:rPr>
          <w:rFonts w:ascii="Times New Roman" w:hAnsi="Times New Roman" w:cs="Times New Roman"/>
        </w:rPr>
        <w:t>não esteja incluída explicitamente no modelo.</w:t>
      </w:r>
    </w:p>
    <w:p>
      <w:pPr>
        <w:widowControl/>
        <w:suppressLineNumbers w:val="0"/>
        <w:spacing w:line="360" w:lineRule="auto"/>
        <w:ind w:left="0" w:firstLine="708"/>
        <w:rPr>
          <w:rFonts w:ascii="Times New Roman" w:hAnsi="Times New Roman" w:cs="Times New Roman"/>
        </w:rPr>
      </w:pPr>
    </w:p>
    <w:p>
      <w:pPr>
        <w:widowControl/>
        <w:suppressLineNumbers w:val="0"/>
        <w:spacing w:line="360" w:lineRule="auto"/>
        <w:ind w:left="0" w:firstLine="708"/>
        <w:rPr>
          <w:rFonts w:ascii="Times New Roman" w:hAnsi="Times New Roman" w:cs="Times New Roman"/>
        </w:rPr>
      </w:pPr>
      <w:r>
        <w:rPr>
          <w:rFonts w:ascii="Times New Roman" w:hAnsi="Times New Roman" w:cs="Times New Roman"/>
        </w:rPr>
        <w:t>Assim, a primeira análise realizada foi verificar se existe diferença estatística entre os valores médios contratados ao longo dos anos. A variável dependente é o valor médio real dos contratos do PRONAF de cada ano. Com o uso do modelo ANOVA, os resultados foram os seguintes:</w:t>
      </w:r>
    </w:p>
    <w:p>
      <w:pPr>
        <w:widowControl/>
        <w:suppressLineNumbers w:val="0"/>
        <w:spacing w:line="240" w:lineRule="auto"/>
        <w:ind w:left="0" w:firstLine="0"/>
        <w:rPr>
          <w:b/>
        </w:rPr>
      </w:pPr>
    </w:p>
    <w:p>
      <w:pPr>
        <w:widowControl/>
        <w:suppressLineNumbers w:val="0"/>
        <w:spacing w:line="240" w:lineRule="auto"/>
        <w:ind w:left="0" w:firstLine="0"/>
        <w:jc w:val="center"/>
        <w:rPr>
          <w:rFonts w:ascii="Times New Roman" w:hAnsi="Times New Roman" w:eastAsia="Calibri" w:cs="Times New Roman"/>
          <w:sz w:val="20"/>
          <w:szCs w:val="20"/>
        </w:rPr>
      </w:pPr>
      <w:r>
        <w:rPr>
          <w:rFonts w:ascii="Times New Roman" w:hAnsi="Times New Roman" w:cs="Times New Roman"/>
          <w:b/>
          <w:bCs/>
          <w:color w:val="000000"/>
        </w:rPr>
        <w:t xml:space="preserve">Tabela 2 – Dados da regressão com </w:t>
      </w:r>
      <w:r>
        <w:rPr>
          <w:rFonts w:ascii="Times New Roman" w:hAnsi="Times New Roman" w:cs="Times New Roman"/>
          <w:b/>
          <w:bCs/>
          <w:i/>
          <w:iCs/>
          <w:color w:val="000000"/>
        </w:rPr>
        <w:t>Dummies</w:t>
      </w:r>
      <w:r>
        <w:rPr>
          <w:rFonts w:ascii="Times New Roman" w:hAnsi="Times New Roman" w:cs="Times New Roman"/>
          <w:b/>
          <w:bCs/>
          <w:color w:val="000000"/>
        </w:rPr>
        <w:t xml:space="preserve"> de Tempo (ano)</w:t>
      </w:r>
      <w:r>
        <w:rPr>
          <w:rFonts w:ascii="Times New Roman" w:hAnsi="Times New Roman" w:cs="Times New Roman"/>
        </w:rPr>
        <w:fldChar w:fldCharType="begin"/>
      </w:r>
      <w:r>
        <w:rPr>
          <w:rFonts w:ascii="Times New Roman" w:hAnsi="Times New Roman" w:cs="Times New Roman"/>
        </w:rPr>
        <w:instrText xml:space="preserve"> LINK Excel.SheetBinaryMacroEnabled.12 C:\\Users\\marco\\Downloads\\DADOS_PRONAF_CONSOLIDADO_2017_2021.xlsb Planilha3!L3C5:L8C9 \a \f 4 \h  \* MERGEFORMAT </w:instrText>
      </w:r>
      <w:r>
        <w:rPr>
          <w:rFonts w:ascii="Times New Roman" w:hAnsi="Times New Roman" w:cs="Times New Roman"/>
        </w:rPr>
        <w:fldChar w:fldCharType="separate"/>
      </w:r>
    </w:p>
    <w:tbl>
      <w:tblPr>
        <w:tblStyle w:val="8"/>
        <w:tblW w:w="9060" w:type="dxa"/>
        <w:tblInd w:w="0" w:type="dxa"/>
        <w:tblLayout w:type="autofit"/>
        <w:tblCellMar>
          <w:top w:w="0" w:type="dxa"/>
          <w:left w:w="70" w:type="dxa"/>
          <w:bottom w:w="0" w:type="dxa"/>
          <w:right w:w="70" w:type="dxa"/>
        </w:tblCellMar>
      </w:tblPr>
      <w:tblGrid>
        <w:gridCol w:w="1812"/>
        <w:gridCol w:w="1812"/>
        <w:gridCol w:w="1812"/>
        <w:gridCol w:w="1812"/>
        <w:gridCol w:w="1812"/>
      </w:tblGrid>
      <w:tr>
        <w:tblPrEx>
          <w:tblCellMar>
            <w:top w:w="0" w:type="dxa"/>
            <w:left w:w="70" w:type="dxa"/>
            <w:bottom w:w="0" w:type="dxa"/>
            <w:right w:w="70" w:type="dxa"/>
          </w:tblCellMar>
        </w:tblPrEx>
        <w:trPr>
          <w:trHeight w:val="265" w:hRule="atLeast"/>
        </w:trPr>
        <w:tc>
          <w:tcPr>
            <w:tcW w:w="1812" w:type="dxa"/>
            <w:tcBorders>
              <w:top w:val="single" w:color="auto" w:sz="8" w:space="0"/>
              <w:left w:val="nil"/>
              <w:bottom w:val="single" w:color="auto" w:sz="4" w:space="0"/>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b/>
                <w:bCs/>
                <w:color w:val="000000"/>
              </w:rPr>
            </w:pPr>
            <w:r>
              <w:rPr>
                <w:rFonts w:ascii="Times New Roman" w:hAnsi="Times New Roman" w:cs="Times New Roman"/>
                <w:b/>
                <w:bCs/>
                <w:color w:val="000000"/>
              </w:rPr>
              <w:t>Variáveis</w:t>
            </w:r>
          </w:p>
        </w:tc>
        <w:tc>
          <w:tcPr>
            <w:tcW w:w="1812" w:type="dxa"/>
            <w:tcBorders>
              <w:top w:val="single" w:color="auto" w:sz="8" w:space="0"/>
              <w:left w:val="nil"/>
              <w:bottom w:val="single" w:color="auto" w:sz="4" w:space="0"/>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b/>
                <w:bCs/>
                <w:color w:val="000000"/>
              </w:rPr>
            </w:pPr>
            <w:r>
              <w:rPr>
                <w:rFonts w:ascii="Times New Roman" w:hAnsi="Times New Roman" w:cs="Times New Roman"/>
                <w:b/>
                <w:bCs/>
                <w:color w:val="000000"/>
              </w:rPr>
              <w:t>Coeficientes</w:t>
            </w:r>
          </w:p>
        </w:tc>
        <w:tc>
          <w:tcPr>
            <w:tcW w:w="1812" w:type="dxa"/>
            <w:tcBorders>
              <w:top w:val="single" w:color="auto" w:sz="8" w:space="0"/>
              <w:left w:val="nil"/>
              <w:bottom w:val="single" w:color="auto" w:sz="4" w:space="0"/>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b/>
                <w:bCs/>
                <w:color w:val="000000"/>
              </w:rPr>
            </w:pPr>
            <w:r>
              <w:rPr>
                <w:rFonts w:ascii="Times New Roman" w:hAnsi="Times New Roman" w:cs="Times New Roman"/>
                <w:b/>
                <w:bCs/>
                <w:color w:val="000000"/>
              </w:rPr>
              <w:t>Erro padrão</w:t>
            </w:r>
          </w:p>
        </w:tc>
        <w:tc>
          <w:tcPr>
            <w:tcW w:w="1812" w:type="dxa"/>
            <w:tcBorders>
              <w:top w:val="single" w:color="auto" w:sz="8" w:space="0"/>
              <w:left w:val="nil"/>
              <w:bottom w:val="single" w:color="auto" w:sz="4" w:space="0"/>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b/>
                <w:bCs/>
                <w:color w:val="000000"/>
              </w:rPr>
            </w:pPr>
            <w:r>
              <w:rPr>
                <w:rFonts w:ascii="Times New Roman" w:hAnsi="Times New Roman" w:cs="Times New Roman"/>
                <w:b/>
                <w:bCs/>
                <w:color w:val="000000"/>
              </w:rPr>
              <w:t>Stat t</w:t>
            </w:r>
          </w:p>
        </w:tc>
        <w:tc>
          <w:tcPr>
            <w:tcW w:w="1812" w:type="dxa"/>
            <w:tcBorders>
              <w:top w:val="single" w:color="auto" w:sz="8" w:space="0"/>
              <w:left w:val="nil"/>
              <w:bottom w:val="single" w:color="auto" w:sz="4" w:space="0"/>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b/>
                <w:bCs/>
                <w:color w:val="000000"/>
              </w:rPr>
            </w:pPr>
            <w:r>
              <w:rPr>
                <w:rFonts w:ascii="Times New Roman" w:hAnsi="Times New Roman" w:cs="Times New Roman"/>
                <w:b/>
                <w:bCs/>
                <w:color w:val="000000"/>
              </w:rPr>
              <w:t>valor-P</w:t>
            </w:r>
          </w:p>
        </w:tc>
      </w:tr>
      <w:tr>
        <w:tblPrEx>
          <w:tblCellMar>
            <w:top w:w="0" w:type="dxa"/>
            <w:left w:w="70" w:type="dxa"/>
            <w:bottom w:w="0" w:type="dxa"/>
            <w:right w:w="70" w:type="dxa"/>
          </w:tblCellMar>
        </w:tblPrEx>
        <w:trPr>
          <w:trHeight w:val="255" w:hRule="atLeast"/>
        </w:trPr>
        <w:tc>
          <w:tcPr>
            <w:tcW w:w="1812"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Interseção</w:t>
            </w:r>
          </w:p>
        </w:tc>
        <w:tc>
          <w:tcPr>
            <w:tcW w:w="1812"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722.933,59</w:t>
            </w:r>
          </w:p>
        </w:tc>
        <w:tc>
          <w:tcPr>
            <w:tcW w:w="1812"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113.573,11</w:t>
            </w:r>
          </w:p>
        </w:tc>
        <w:tc>
          <w:tcPr>
            <w:tcW w:w="1812"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6,37</w:t>
            </w:r>
          </w:p>
        </w:tc>
        <w:tc>
          <w:tcPr>
            <w:tcW w:w="1812"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0,00</w:t>
            </w:r>
          </w:p>
        </w:tc>
      </w:tr>
      <w:tr>
        <w:tblPrEx>
          <w:tblCellMar>
            <w:top w:w="0" w:type="dxa"/>
            <w:left w:w="70" w:type="dxa"/>
            <w:bottom w:w="0" w:type="dxa"/>
            <w:right w:w="70" w:type="dxa"/>
          </w:tblCellMar>
        </w:tblPrEx>
        <w:trPr>
          <w:trHeight w:val="255" w:hRule="atLeast"/>
        </w:trPr>
        <w:tc>
          <w:tcPr>
            <w:tcW w:w="1812"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DTempo2017</w:t>
            </w:r>
          </w:p>
        </w:tc>
        <w:tc>
          <w:tcPr>
            <w:tcW w:w="1812"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rPr>
            </w:pPr>
            <w:r>
              <w:rPr>
                <w:rFonts w:ascii="Times New Roman" w:hAnsi="Times New Roman" w:cs="Times New Roman"/>
              </w:rPr>
              <w:t>-221.556,57</w:t>
            </w:r>
          </w:p>
        </w:tc>
        <w:tc>
          <w:tcPr>
            <w:tcW w:w="1812"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162.740,08</w:t>
            </w:r>
          </w:p>
        </w:tc>
        <w:tc>
          <w:tcPr>
            <w:tcW w:w="1812"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rPr>
            </w:pPr>
            <w:r>
              <w:rPr>
                <w:rFonts w:ascii="Times New Roman" w:hAnsi="Times New Roman" w:cs="Times New Roman"/>
              </w:rPr>
              <w:t>-1,36</w:t>
            </w:r>
          </w:p>
        </w:tc>
        <w:tc>
          <w:tcPr>
            <w:tcW w:w="1812"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0,17</w:t>
            </w:r>
          </w:p>
        </w:tc>
      </w:tr>
      <w:tr>
        <w:tblPrEx>
          <w:tblCellMar>
            <w:top w:w="0" w:type="dxa"/>
            <w:left w:w="70" w:type="dxa"/>
            <w:bottom w:w="0" w:type="dxa"/>
            <w:right w:w="70" w:type="dxa"/>
          </w:tblCellMar>
        </w:tblPrEx>
        <w:trPr>
          <w:trHeight w:val="255" w:hRule="atLeast"/>
        </w:trPr>
        <w:tc>
          <w:tcPr>
            <w:tcW w:w="1812"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DTempo2018</w:t>
            </w:r>
          </w:p>
        </w:tc>
        <w:tc>
          <w:tcPr>
            <w:tcW w:w="1812"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rPr>
            </w:pPr>
            <w:r>
              <w:rPr>
                <w:rFonts w:ascii="Times New Roman" w:hAnsi="Times New Roman" w:cs="Times New Roman"/>
              </w:rPr>
              <w:t>-74.027,93</w:t>
            </w:r>
          </w:p>
        </w:tc>
        <w:tc>
          <w:tcPr>
            <w:tcW w:w="1812"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161.055,67</w:t>
            </w:r>
          </w:p>
        </w:tc>
        <w:tc>
          <w:tcPr>
            <w:tcW w:w="1812"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rPr>
            </w:pPr>
            <w:r>
              <w:rPr>
                <w:rFonts w:ascii="Times New Roman" w:hAnsi="Times New Roman" w:cs="Times New Roman"/>
              </w:rPr>
              <w:t>-0,46</w:t>
            </w:r>
          </w:p>
        </w:tc>
        <w:tc>
          <w:tcPr>
            <w:tcW w:w="1812"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0,65</w:t>
            </w:r>
          </w:p>
        </w:tc>
      </w:tr>
      <w:tr>
        <w:tblPrEx>
          <w:tblCellMar>
            <w:top w:w="0" w:type="dxa"/>
            <w:left w:w="70" w:type="dxa"/>
            <w:bottom w:w="0" w:type="dxa"/>
            <w:right w:w="70" w:type="dxa"/>
          </w:tblCellMar>
        </w:tblPrEx>
        <w:trPr>
          <w:trHeight w:val="255" w:hRule="atLeast"/>
        </w:trPr>
        <w:tc>
          <w:tcPr>
            <w:tcW w:w="1812"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DTempo2019</w:t>
            </w:r>
          </w:p>
        </w:tc>
        <w:tc>
          <w:tcPr>
            <w:tcW w:w="1812"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rPr>
            </w:pPr>
            <w:r>
              <w:rPr>
                <w:rFonts w:ascii="Times New Roman" w:hAnsi="Times New Roman" w:cs="Times New Roman"/>
              </w:rPr>
              <w:t>-94.071,07</w:t>
            </w:r>
          </w:p>
        </w:tc>
        <w:tc>
          <w:tcPr>
            <w:tcW w:w="1812"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162.113,55</w:t>
            </w:r>
          </w:p>
        </w:tc>
        <w:tc>
          <w:tcPr>
            <w:tcW w:w="1812"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rPr>
            </w:pPr>
            <w:r>
              <w:rPr>
                <w:rFonts w:ascii="Times New Roman" w:hAnsi="Times New Roman" w:cs="Times New Roman"/>
              </w:rPr>
              <w:t>-0,58</w:t>
            </w:r>
          </w:p>
        </w:tc>
        <w:tc>
          <w:tcPr>
            <w:tcW w:w="1812"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0,56</w:t>
            </w:r>
          </w:p>
        </w:tc>
      </w:tr>
      <w:tr>
        <w:tblPrEx>
          <w:tblCellMar>
            <w:top w:w="0" w:type="dxa"/>
            <w:left w:w="70" w:type="dxa"/>
            <w:bottom w:w="0" w:type="dxa"/>
            <w:right w:w="70" w:type="dxa"/>
          </w:tblCellMar>
        </w:tblPrEx>
        <w:trPr>
          <w:trHeight w:val="265" w:hRule="atLeast"/>
        </w:trPr>
        <w:tc>
          <w:tcPr>
            <w:tcW w:w="1812" w:type="dxa"/>
            <w:tcBorders>
              <w:top w:val="nil"/>
              <w:left w:val="nil"/>
              <w:bottom w:val="single" w:color="auto" w:sz="8" w:space="0"/>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DTempo2020</w:t>
            </w:r>
          </w:p>
        </w:tc>
        <w:tc>
          <w:tcPr>
            <w:tcW w:w="1812" w:type="dxa"/>
            <w:tcBorders>
              <w:top w:val="nil"/>
              <w:left w:val="nil"/>
              <w:bottom w:val="single" w:color="auto" w:sz="8" w:space="0"/>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101.018,54</w:t>
            </w:r>
          </w:p>
        </w:tc>
        <w:tc>
          <w:tcPr>
            <w:tcW w:w="1812" w:type="dxa"/>
            <w:tcBorders>
              <w:top w:val="nil"/>
              <w:left w:val="nil"/>
              <w:bottom w:val="single" w:color="auto" w:sz="8" w:space="0"/>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160.616,63</w:t>
            </w:r>
          </w:p>
        </w:tc>
        <w:tc>
          <w:tcPr>
            <w:tcW w:w="1812" w:type="dxa"/>
            <w:tcBorders>
              <w:top w:val="nil"/>
              <w:left w:val="nil"/>
              <w:bottom w:val="single" w:color="auto" w:sz="8" w:space="0"/>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0,63</w:t>
            </w:r>
          </w:p>
        </w:tc>
        <w:tc>
          <w:tcPr>
            <w:tcW w:w="1812" w:type="dxa"/>
            <w:tcBorders>
              <w:top w:val="nil"/>
              <w:left w:val="nil"/>
              <w:bottom w:val="single" w:color="auto" w:sz="8" w:space="0"/>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0,53</w:t>
            </w:r>
          </w:p>
        </w:tc>
      </w:tr>
    </w:tbl>
    <w:p>
      <w:pPr>
        <w:widowControl/>
        <w:suppressLineNumbers w:val="0"/>
        <w:spacing w:line="240" w:lineRule="auto"/>
        <w:ind w:left="0" w:firstLine="0"/>
        <w:jc w:val="center"/>
        <w:rPr>
          <w:rFonts w:ascii="Times New Roman" w:hAnsi="Times New Roman" w:cs="Times New Roman"/>
          <w:color w:val="000000"/>
          <w:sz w:val="20"/>
          <w:szCs w:val="20"/>
        </w:rPr>
      </w:pPr>
      <w:r>
        <w:rPr>
          <w:rFonts w:ascii="Times New Roman" w:hAnsi="Times New Roman" w:cs="Times New Roman"/>
          <w:b/>
        </w:rPr>
        <w:fldChar w:fldCharType="end"/>
      </w:r>
      <w:r>
        <w:rPr>
          <w:rFonts w:ascii="Times New Roman" w:hAnsi="Times New Roman" w:cs="Times New Roman"/>
          <w:bCs/>
          <w:sz w:val="20"/>
          <w:szCs w:val="20"/>
        </w:rPr>
        <w:t>Fonte: Autora (2022) baseada nos dados do Banco Central do Brasil</w:t>
      </w:r>
      <w:r>
        <w:rPr>
          <w:rFonts w:ascii="Times New Roman" w:hAnsi="Times New Roman" w:cs="Times New Roman"/>
          <w:color w:val="000000"/>
          <w:sz w:val="20"/>
          <w:szCs w:val="20"/>
        </w:rPr>
        <w:t xml:space="preserve"> (BCB).</w:t>
      </w:r>
    </w:p>
    <w:p>
      <w:pPr>
        <w:widowControl/>
        <w:suppressLineNumbers w:val="0"/>
        <w:spacing w:line="240" w:lineRule="auto"/>
        <w:ind w:left="0" w:firstLine="0"/>
        <w:rPr>
          <w:rFonts w:ascii="Times New Roman" w:hAnsi="Times New Roman" w:cs="Times New Roman"/>
          <w:bCs/>
          <w:sz w:val="20"/>
          <w:szCs w:val="20"/>
        </w:rPr>
      </w:pPr>
    </w:p>
    <w:p>
      <w:pPr>
        <w:widowControl/>
        <w:suppressLineNumbers w:val="0"/>
        <w:spacing w:line="240" w:lineRule="auto"/>
        <w:ind w:left="0" w:firstLine="0"/>
        <w:rPr>
          <w:b/>
        </w:rPr>
      </w:pPr>
    </w:p>
    <w:p>
      <w:pPr>
        <w:widowControl/>
        <w:suppressLineNumbers w:val="0"/>
        <w:spacing w:line="360" w:lineRule="auto"/>
        <w:ind w:left="0" w:firstLine="708"/>
        <w:rPr>
          <w:rFonts w:ascii="Times New Roman" w:hAnsi="Times New Roman" w:cs="Times New Roman"/>
        </w:rPr>
      </w:pPr>
      <w:r>
        <w:rPr>
          <w:rFonts w:ascii="Times New Roman" w:hAnsi="Times New Roman" w:cs="Times New Roman"/>
        </w:rPr>
        <w:t>O ano de referência é 2021, dessa forma, a interseção de R$ 722,9 mil representa o valor médio dos contratos em 2021. Esse valor é estatisticamente significativo (valor-P de 0,00).</w:t>
      </w:r>
    </w:p>
    <w:p>
      <w:pPr>
        <w:widowControl/>
        <w:suppressLineNumbers w:val="0"/>
        <w:spacing w:line="360" w:lineRule="auto"/>
        <w:ind w:left="0" w:firstLine="708"/>
        <w:rPr>
          <w:rFonts w:ascii="Times New Roman" w:hAnsi="Times New Roman" w:cs="Times New Roman"/>
        </w:rPr>
      </w:pPr>
    </w:p>
    <w:p>
      <w:pPr>
        <w:widowControl/>
        <w:suppressLineNumbers w:val="0"/>
        <w:spacing w:line="240" w:lineRule="auto"/>
        <w:ind w:left="2268" w:firstLine="0"/>
        <w:rPr>
          <w:rFonts w:ascii="Times New Roman" w:hAnsi="Times New Roman" w:cs="Times New Roman"/>
        </w:rPr>
      </w:pPr>
      <w:r>
        <w:rPr>
          <w:rFonts w:ascii="Times New Roman" w:hAnsi="Times New Roman" w:cs="Times New Roman"/>
          <w:sz w:val="20"/>
          <w:szCs w:val="20"/>
        </w:rPr>
        <w:t xml:space="preserve">O </w:t>
      </w:r>
      <w:r>
        <w:rPr>
          <w:rFonts w:ascii="Times New Roman" w:hAnsi="Times New Roman" w:cs="Times New Roman"/>
          <w:b/>
          <w:bCs/>
          <w:sz w:val="20"/>
          <w:szCs w:val="20"/>
        </w:rPr>
        <w:t>valor-p</w:t>
      </w:r>
      <w:r>
        <w:rPr>
          <w:rFonts w:ascii="Times New Roman" w:hAnsi="Times New Roman" w:cs="Times New Roman"/>
          <w:sz w:val="20"/>
          <w:szCs w:val="20"/>
        </w:rPr>
        <w:t xml:space="preserve"> é definido como “a probabilidade de se observar um valor da estatística de teste maior ou igual ao encontrado. Tradicionalmente, o valor de corte para rejeitar a hipótese nula é de 0,05, o que significa que, quando não há nenhuma diferença, um valor tão extremo para a estatística de teste é esperado em menos de 5% das vezes. (FERREIRA; PATINO, 2015, p. 485).</w:t>
      </w:r>
    </w:p>
    <w:p>
      <w:pPr>
        <w:widowControl/>
        <w:suppressLineNumbers w:val="0"/>
        <w:spacing w:line="360" w:lineRule="auto"/>
        <w:ind w:left="0" w:firstLine="708"/>
        <w:rPr>
          <w:rFonts w:ascii="Times New Roman" w:hAnsi="Times New Roman" w:cs="Times New Roman"/>
        </w:rPr>
      </w:pPr>
    </w:p>
    <w:p>
      <w:pPr>
        <w:widowControl/>
        <w:suppressLineNumbers w:val="0"/>
        <w:spacing w:line="360" w:lineRule="auto"/>
        <w:ind w:left="0" w:firstLine="708"/>
        <w:rPr>
          <w:rFonts w:ascii="Times New Roman" w:hAnsi="Times New Roman" w:cs="Times New Roman"/>
        </w:rPr>
      </w:pPr>
      <w:r>
        <w:rPr>
          <w:rFonts w:ascii="Times New Roman" w:hAnsi="Times New Roman" w:cs="Times New Roman"/>
        </w:rPr>
        <w:t>Porém, embora os coeficientes das variáveis binárias demonstrem diferenças nos valores médios, nenhum deles é estatisticamente significativo. Nesse caso, não se pode concluir que há diferença estatística nos valores médios entre os anos. Logo, não houve mudanças significativas nos valores médios ao longo dos cinco anos. Caso fossem estatisticamente significativos, os resultados demonstrariam que existe uma diferença média de R$ 221,6 mil a maior entre os valores contratados em 2021 em relação à 2017, de R$ 74 mil a maior entre 2021 e 2018, de R$ 94 mil a maior entre 2021 e 2019, já em relação a 2020, o valor médio foi inferior em R$ 101,0 mil.</w:t>
      </w:r>
    </w:p>
    <w:p>
      <w:pPr>
        <w:widowControl/>
        <w:suppressLineNumbers w:val="0"/>
        <w:spacing w:line="360" w:lineRule="auto"/>
        <w:ind w:left="0" w:firstLine="708"/>
        <w:rPr>
          <w:rFonts w:ascii="Times New Roman" w:hAnsi="Times New Roman" w:cs="Times New Roman"/>
        </w:rPr>
      </w:pPr>
      <w:r>
        <w:rPr>
          <w:rFonts w:ascii="Times New Roman" w:hAnsi="Times New Roman" w:cs="Times New Roman"/>
        </w:rPr>
        <w:t xml:space="preserve">A importância de conhecer os resultados estatísticos de que não há diferenças nos valores médios entre os anos é que possibilitará análises mais robustas (demonstradas na sequência), pois garante o número total das observações, sem perda de graus de liberdade com adição de variáveis </w:t>
      </w:r>
      <w:r>
        <w:rPr>
          <w:rFonts w:ascii="Times New Roman" w:hAnsi="Times New Roman" w:cs="Times New Roman"/>
          <w:i/>
          <w:iCs/>
        </w:rPr>
        <w:t>dummies</w:t>
      </w:r>
      <w:r>
        <w:rPr>
          <w:rFonts w:ascii="Times New Roman" w:hAnsi="Times New Roman" w:cs="Times New Roman"/>
        </w:rPr>
        <w:t xml:space="preserve"> para cada ano. Caso houvesse resultados significativos para as </w:t>
      </w:r>
      <w:r>
        <w:rPr>
          <w:rFonts w:ascii="Times New Roman" w:hAnsi="Times New Roman" w:cs="Times New Roman"/>
          <w:i/>
          <w:iCs/>
        </w:rPr>
        <w:t>dummies</w:t>
      </w:r>
      <w:r>
        <w:rPr>
          <w:rFonts w:ascii="Times New Roman" w:hAnsi="Times New Roman" w:cs="Times New Roman"/>
        </w:rPr>
        <w:t xml:space="preserve"> de anos, o modelo econométrico sofreria alterações (análise com dados em painel).</w:t>
      </w:r>
    </w:p>
    <w:p>
      <w:pPr>
        <w:widowControl/>
        <w:suppressLineNumbers w:val="0"/>
        <w:spacing w:line="360" w:lineRule="auto"/>
        <w:ind w:left="0" w:firstLine="708"/>
        <w:rPr>
          <w:rFonts w:ascii="Times New Roman" w:hAnsi="Times New Roman" w:cs="Times New Roman"/>
        </w:rPr>
      </w:pPr>
      <w:r>
        <w:rPr>
          <w:rFonts w:ascii="Times New Roman" w:hAnsi="Times New Roman" w:cs="Times New Roman"/>
        </w:rPr>
        <w:t>Na sequência, são apresentadas informações sobre como estão distribuídos os contratos e recursos monetários oriundos do PRONAF no Brasil.</w:t>
      </w:r>
    </w:p>
    <w:p>
      <w:pPr>
        <w:widowControl/>
        <w:suppressLineNumbers w:val="0"/>
        <w:spacing w:line="360" w:lineRule="auto"/>
        <w:ind w:left="0" w:firstLine="708"/>
        <w:rPr>
          <w:rFonts w:ascii="Times New Roman" w:hAnsi="Times New Roman" w:cs="Times New Roman"/>
        </w:rPr>
      </w:pPr>
    </w:p>
    <w:p>
      <w:pPr>
        <w:widowControl/>
        <w:suppressLineNumbers w:val="0"/>
        <w:spacing w:line="240" w:lineRule="auto"/>
        <w:ind w:left="0" w:firstLine="0"/>
        <w:jc w:val="center"/>
        <w:rPr>
          <w:rFonts w:ascii="Times New Roman" w:hAnsi="Times New Roman" w:cs="Times New Roman"/>
          <w:b/>
        </w:rPr>
      </w:pPr>
      <w:r>
        <w:rPr>
          <w:rFonts w:ascii="Times New Roman" w:hAnsi="Times New Roman" w:cs="Times New Roman"/>
          <w:b/>
        </w:rPr>
        <w:t>Tabela 3 - PRONAF - Quantidade e Valor dos Contratos por região (2017-2021)</w:t>
      </w:r>
    </w:p>
    <w:tbl>
      <w:tblPr>
        <w:tblStyle w:val="8"/>
        <w:tblpPr w:leftFromText="141" w:rightFromText="141" w:vertAnchor="text" w:tblpY="1"/>
        <w:tblOverlap w:val="never"/>
        <w:tblW w:w="8913" w:type="dxa"/>
        <w:tblInd w:w="0" w:type="dxa"/>
        <w:tblLayout w:type="autofit"/>
        <w:tblCellMar>
          <w:top w:w="15" w:type="dxa"/>
          <w:left w:w="70" w:type="dxa"/>
          <w:bottom w:w="0" w:type="dxa"/>
          <w:right w:w="70" w:type="dxa"/>
        </w:tblCellMar>
      </w:tblPr>
      <w:tblGrid>
        <w:gridCol w:w="3359"/>
        <w:gridCol w:w="2586"/>
        <w:gridCol w:w="2968"/>
      </w:tblGrid>
      <w:tr>
        <w:tblPrEx>
          <w:tblCellMar>
            <w:top w:w="15" w:type="dxa"/>
            <w:left w:w="70" w:type="dxa"/>
            <w:bottom w:w="0" w:type="dxa"/>
            <w:right w:w="70" w:type="dxa"/>
          </w:tblCellMar>
        </w:tblPrEx>
        <w:trPr>
          <w:trHeight w:val="237" w:hRule="atLeast"/>
        </w:trPr>
        <w:tc>
          <w:tcPr>
            <w:tcW w:w="3359" w:type="dxa"/>
            <w:tcBorders>
              <w:top w:val="single" w:color="auto" w:sz="4" w:space="0"/>
              <w:left w:val="nil"/>
              <w:bottom w:val="single" w:color="auto" w:sz="4" w:space="0"/>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b/>
                <w:bCs/>
                <w:color w:val="000000"/>
              </w:rPr>
            </w:pPr>
            <w:r>
              <w:rPr>
                <w:rFonts w:ascii="Times New Roman" w:hAnsi="Times New Roman" w:cs="Times New Roman"/>
                <w:b/>
                <w:bCs/>
                <w:color w:val="000000"/>
              </w:rPr>
              <w:t>Ano</w:t>
            </w:r>
          </w:p>
        </w:tc>
        <w:tc>
          <w:tcPr>
            <w:tcW w:w="2586" w:type="dxa"/>
            <w:tcBorders>
              <w:top w:val="single" w:color="auto" w:sz="4" w:space="0"/>
              <w:left w:val="nil"/>
              <w:bottom w:val="single" w:color="auto" w:sz="4" w:space="0"/>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b/>
                <w:bCs/>
                <w:color w:val="000000"/>
              </w:rPr>
            </w:pPr>
            <w:r>
              <w:rPr>
                <w:rFonts w:ascii="Times New Roman" w:hAnsi="Times New Roman" w:cs="Times New Roman"/>
                <w:b/>
                <w:bCs/>
                <w:color w:val="000000"/>
              </w:rPr>
              <w:t>Nº Contratos</w:t>
            </w:r>
          </w:p>
        </w:tc>
        <w:tc>
          <w:tcPr>
            <w:tcW w:w="2968" w:type="dxa"/>
            <w:tcBorders>
              <w:top w:val="single" w:color="auto" w:sz="4" w:space="0"/>
              <w:left w:val="nil"/>
              <w:bottom w:val="single" w:color="auto" w:sz="4" w:space="0"/>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b/>
                <w:bCs/>
                <w:color w:val="000000"/>
              </w:rPr>
            </w:pPr>
            <w:r>
              <w:rPr>
                <w:rFonts w:ascii="Times New Roman" w:hAnsi="Times New Roman" w:cs="Times New Roman"/>
                <w:b/>
                <w:bCs/>
                <w:color w:val="000000"/>
              </w:rPr>
              <w:t>Em R$ Bilhões</w:t>
            </w:r>
          </w:p>
        </w:tc>
      </w:tr>
      <w:tr>
        <w:tblPrEx>
          <w:tblCellMar>
            <w:top w:w="15" w:type="dxa"/>
            <w:left w:w="70" w:type="dxa"/>
            <w:bottom w:w="0" w:type="dxa"/>
            <w:right w:w="70" w:type="dxa"/>
          </w:tblCellMar>
        </w:tblPrEx>
        <w:trPr>
          <w:trHeight w:val="228" w:hRule="atLeast"/>
        </w:trPr>
        <w:tc>
          <w:tcPr>
            <w:tcW w:w="3359"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Centro-Oeste</w:t>
            </w:r>
          </w:p>
        </w:tc>
        <w:tc>
          <w:tcPr>
            <w:tcW w:w="2586"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 xml:space="preserve">207.790 </w:t>
            </w:r>
          </w:p>
        </w:tc>
        <w:tc>
          <w:tcPr>
            <w:tcW w:w="2968"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10,2</w:t>
            </w:r>
          </w:p>
        </w:tc>
      </w:tr>
      <w:tr>
        <w:tblPrEx>
          <w:tblCellMar>
            <w:top w:w="15" w:type="dxa"/>
            <w:left w:w="70" w:type="dxa"/>
            <w:bottom w:w="0" w:type="dxa"/>
            <w:right w:w="70" w:type="dxa"/>
          </w:tblCellMar>
        </w:tblPrEx>
        <w:trPr>
          <w:trHeight w:val="228" w:hRule="atLeast"/>
        </w:trPr>
        <w:tc>
          <w:tcPr>
            <w:tcW w:w="3359"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Nordeste</w:t>
            </w:r>
          </w:p>
        </w:tc>
        <w:tc>
          <w:tcPr>
            <w:tcW w:w="2586"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 xml:space="preserve">3.821.637 </w:t>
            </w:r>
          </w:p>
        </w:tc>
        <w:tc>
          <w:tcPr>
            <w:tcW w:w="2968"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20,2</w:t>
            </w:r>
          </w:p>
        </w:tc>
      </w:tr>
      <w:tr>
        <w:tblPrEx>
          <w:tblCellMar>
            <w:top w:w="15" w:type="dxa"/>
            <w:left w:w="70" w:type="dxa"/>
            <w:bottom w:w="0" w:type="dxa"/>
            <w:right w:w="70" w:type="dxa"/>
          </w:tblCellMar>
        </w:tblPrEx>
        <w:trPr>
          <w:trHeight w:val="228" w:hRule="atLeast"/>
        </w:trPr>
        <w:tc>
          <w:tcPr>
            <w:tcW w:w="3359"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Norte</w:t>
            </w:r>
          </w:p>
        </w:tc>
        <w:tc>
          <w:tcPr>
            <w:tcW w:w="2586"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 xml:space="preserve">239.577 </w:t>
            </w:r>
          </w:p>
        </w:tc>
        <w:tc>
          <w:tcPr>
            <w:tcW w:w="2968"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10,5</w:t>
            </w:r>
          </w:p>
        </w:tc>
      </w:tr>
      <w:tr>
        <w:tblPrEx>
          <w:tblCellMar>
            <w:top w:w="15" w:type="dxa"/>
            <w:left w:w="70" w:type="dxa"/>
            <w:bottom w:w="0" w:type="dxa"/>
            <w:right w:w="70" w:type="dxa"/>
          </w:tblCellMar>
        </w:tblPrEx>
        <w:trPr>
          <w:trHeight w:val="228" w:hRule="atLeast"/>
        </w:trPr>
        <w:tc>
          <w:tcPr>
            <w:tcW w:w="3359"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Sudeste</w:t>
            </w:r>
          </w:p>
        </w:tc>
        <w:tc>
          <w:tcPr>
            <w:tcW w:w="2586"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 xml:space="preserve">938.734 </w:t>
            </w:r>
          </w:p>
        </w:tc>
        <w:tc>
          <w:tcPr>
            <w:tcW w:w="2968"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22,2</w:t>
            </w:r>
          </w:p>
        </w:tc>
      </w:tr>
      <w:tr>
        <w:trPr>
          <w:trHeight w:val="228" w:hRule="atLeast"/>
        </w:trPr>
        <w:tc>
          <w:tcPr>
            <w:tcW w:w="3359"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Sul</w:t>
            </w:r>
          </w:p>
        </w:tc>
        <w:tc>
          <w:tcPr>
            <w:tcW w:w="2586"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 xml:space="preserve">2.006.551 </w:t>
            </w:r>
          </w:p>
        </w:tc>
        <w:tc>
          <w:tcPr>
            <w:tcW w:w="2968"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80,5</w:t>
            </w:r>
          </w:p>
        </w:tc>
      </w:tr>
      <w:tr>
        <w:tblPrEx>
          <w:tblCellMar>
            <w:top w:w="15" w:type="dxa"/>
            <w:left w:w="70" w:type="dxa"/>
            <w:bottom w:w="0" w:type="dxa"/>
            <w:right w:w="70" w:type="dxa"/>
          </w:tblCellMar>
        </w:tblPrEx>
        <w:trPr>
          <w:trHeight w:val="246" w:hRule="atLeast"/>
        </w:trPr>
        <w:tc>
          <w:tcPr>
            <w:tcW w:w="3359" w:type="dxa"/>
            <w:tcBorders>
              <w:top w:val="single" w:color="auto" w:sz="4" w:space="0"/>
              <w:left w:val="nil"/>
              <w:bottom w:val="single" w:color="auto" w:sz="8" w:space="0"/>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b/>
                <w:bCs/>
                <w:color w:val="000000"/>
              </w:rPr>
            </w:pPr>
            <w:r>
              <w:rPr>
                <w:rFonts w:ascii="Times New Roman" w:hAnsi="Times New Roman" w:cs="Times New Roman"/>
                <w:b/>
                <w:bCs/>
                <w:color w:val="000000"/>
              </w:rPr>
              <w:t>Total Geral</w:t>
            </w:r>
          </w:p>
        </w:tc>
        <w:tc>
          <w:tcPr>
            <w:tcW w:w="2586" w:type="dxa"/>
            <w:tcBorders>
              <w:top w:val="single" w:color="auto" w:sz="4" w:space="0"/>
              <w:left w:val="nil"/>
              <w:bottom w:val="single" w:color="auto" w:sz="8" w:space="0"/>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b/>
                <w:bCs/>
                <w:color w:val="000000"/>
              </w:rPr>
            </w:pPr>
            <w:r>
              <w:rPr>
                <w:rFonts w:ascii="Times New Roman" w:hAnsi="Times New Roman" w:cs="Times New Roman"/>
                <w:b/>
                <w:bCs/>
                <w:color w:val="000000"/>
              </w:rPr>
              <w:t xml:space="preserve">7.214.289 </w:t>
            </w:r>
          </w:p>
        </w:tc>
        <w:tc>
          <w:tcPr>
            <w:tcW w:w="2968" w:type="dxa"/>
            <w:tcBorders>
              <w:top w:val="single" w:color="auto" w:sz="4" w:space="0"/>
              <w:left w:val="nil"/>
              <w:bottom w:val="single" w:color="auto" w:sz="8" w:space="0"/>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b/>
                <w:bCs/>
                <w:color w:val="000000"/>
              </w:rPr>
            </w:pPr>
            <w:r>
              <w:rPr>
                <w:rFonts w:ascii="Times New Roman" w:hAnsi="Times New Roman" w:cs="Times New Roman"/>
                <w:b/>
                <w:bCs/>
                <w:color w:val="000000"/>
              </w:rPr>
              <w:t>143,6</w:t>
            </w:r>
          </w:p>
        </w:tc>
      </w:tr>
    </w:tbl>
    <w:p>
      <w:pPr>
        <w:widowControl/>
        <w:suppressLineNumbers w:val="0"/>
        <w:spacing w:line="240" w:lineRule="auto"/>
        <w:ind w:left="0" w:firstLine="0"/>
        <w:jc w:val="center"/>
        <w:rPr>
          <w:rFonts w:ascii="Times New Roman" w:hAnsi="Times New Roman" w:cs="Times New Roman"/>
          <w:sz w:val="20"/>
        </w:rPr>
      </w:pPr>
      <w:r>
        <w:rPr>
          <w:rFonts w:ascii="Times New Roman" w:hAnsi="Times New Roman" w:cs="Times New Roman"/>
          <w:sz w:val="20"/>
        </w:rPr>
        <w:t>Fonte: Banco Central do Brasil (BCB) - Departamento de Regulação, Supervisão e Controle das Operações do Crédito Rural e do Proagro (Derop) - Sistema de Operações do Crédito Rural e do Proagro (Sicor) - Adaptado pela autora (2022).</w:t>
      </w:r>
    </w:p>
    <w:p>
      <w:pPr>
        <w:widowControl/>
        <w:suppressLineNumbers w:val="0"/>
        <w:spacing w:line="360" w:lineRule="auto"/>
        <w:ind w:left="0" w:firstLine="0"/>
        <w:jc w:val="center"/>
        <w:rPr>
          <w:rFonts w:ascii="Times New Roman" w:hAnsi="Times New Roman" w:cs="Times New Roman"/>
          <w:b/>
          <w:bCs/>
          <w:color w:val="000000"/>
        </w:rPr>
      </w:pPr>
    </w:p>
    <w:p>
      <w:pPr>
        <w:widowControl/>
        <w:suppressLineNumbers w:val="0"/>
        <w:spacing w:line="240" w:lineRule="auto"/>
        <w:ind w:left="0" w:firstLine="0"/>
        <w:jc w:val="center"/>
        <w:rPr>
          <w:rFonts w:ascii="Times New Roman" w:hAnsi="Times New Roman" w:cs="Times New Roman"/>
        </w:rPr>
      </w:pPr>
      <w:r>
        <w:rPr>
          <w:rFonts w:ascii="Times New Roman" w:hAnsi="Times New Roman" w:cs="Times New Roman"/>
          <w:b/>
          <w:bCs/>
          <w:color w:val="000000"/>
        </w:rPr>
        <w:t xml:space="preserve">Gráfico 2 - PRONAF - Quantidade e Valor dos Contratos por região </w:t>
      </w:r>
      <w:r>
        <w:rPr>
          <w:rFonts w:ascii="Times New Roman" w:hAnsi="Times New Roman" w:cs="Times New Roman"/>
        </w:rPr>
        <w:t>(2017-2021)</w:t>
      </w:r>
    </w:p>
    <w:p>
      <w:pPr>
        <w:widowControl/>
        <w:suppressLineNumbers w:val="0"/>
        <w:spacing w:line="240" w:lineRule="auto"/>
        <w:ind w:left="0" w:firstLine="0"/>
      </w:pPr>
      <w:r>
        <w:drawing>
          <wp:inline distT="0" distB="0" distL="0" distR="0">
            <wp:extent cx="5760085" cy="3179445"/>
            <wp:effectExtent l="0" t="0" r="0" b="1905"/>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m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5760085" cy="3179445"/>
                    </a:xfrm>
                    <a:prstGeom prst="rect">
                      <a:avLst/>
                    </a:prstGeom>
                    <a:noFill/>
                    <a:ln>
                      <a:noFill/>
                    </a:ln>
                  </pic:spPr>
                </pic:pic>
              </a:graphicData>
            </a:graphic>
          </wp:inline>
        </w:drawing>
      </w:r>
    </w:p>
    <w:p>
      <w:pPr>
        <w:widowControl/>
        <w:suppressLineNumbers w:val="0"/>
        <w:spacing w:line="240" w:lineRule="auto"/>
        <w:ind w:left="0" w:firstLine="0"/>
        <w:jc w:val="center"/>
        <w:rPr>
          <w:rFonts w:ascii="Times New Roman" w:hAnsi="Times New Roman" w:cs="Times New Roman"/>
          <w:sz w:val="20"/>
          <w:szCs w:val="20"/>
        </w:rPr>
      </w:pPr>
      <w:r>
        <w:rPr>
          <w:rFonts w:ascii="Times New Roman" w:hAnsi="Times New Roman" w:cs="Times New Roman"/>
          <w:sz w:val="20"/>
          <w:szCs w:val="20"/>
        </w:rPr>
        <w:t>Fonte: Banco Central do Brasil (BCB) - Adaptado pela autora (2022).</w:t>
      </w:r>
    </w:p>
    <w:p>
      <w:pPr>
        <w:widowControl/>
        <w:suppressLineNumbers w:val="0"/>
        <w:spacing w:line="360" w:lineRule="auto"/>
        <w:ind w:left="0" w:firstLine="0"/>
        <w:rPr>
          <w:rFonts w:ascii="Times New Roman" w:hAnsi="Times New Roman" w:cs="Times New Roman"/>
        </w:rPr>
      </w:pPr>
    </w:p>
    <w:p>
      <w:pPr>
        <w:widowControl/>
        <w:suppressLineNumbers w:val="0"/>
        <w:spacing w:line="360" w:lineRule="auto"/>
        <w:ind w:left="0" w:firstLine="708"/>
        <w:rPr>
          <w:rFonts w:ascii="Times New Roman" w:hAnsi="Times New Roman" w:cs="Times New Roman"/>
        </w:rPr>
      </w:pPr>
      <w:r>
        <w:rPr>
          <w:rFonts w:ascii="Times New Roman" w:hAnsi="Times New Roman" w:cs="Times New Roman"/>
        </w:rPr>
        <w:t>Os dados apresentados na Tabela 3 e no Gráfico 2 mostram que o Sul é a região que, de forma expressiva, mais recebeu recursos ao longo do período analisado (56% do total), embora não tenha sido a região com o maior número de contratos. O Sul totalizou R$ 80,5 bilhões referente a 2 bilhões de contratos realizados, enquanto o Nordeste, que teve o maior número de contratos (3,8 bilhões) recebeu pouco mais de R$ 20 bilhões no período (14,6% do total).</w:t>
      </w:r>
    </w:p>
    <w:p>
      <w:pPr>
        <w:widowControl/>
        <w:suppressLineNumbers w:val="0"/>
        <w:spacing w:line="360" w:lineRule="auto"/>
        <w:ind w:left="0" w:firstLine="708"/>
        <w:rPr>
          <w:rFonts w:ascii="Times New Roman" w:hAnsi="Times New Roman" w:cs="Times New Roman"/>
        </w:rPr>
      </w:pPr>
      <w:r>
        <w:rPr>
          <w:rFonts w:ascii="Times New Roman" w:hAnsi="Times New Roman" w:cs="Times New Roman"/>
        </w:rPr>
        <w:t>Abaixo seguem os resultados da regressão demonstrando, através do valor-P, se estatisticamente existem diferenças no valor médio dos contratos entre as regiões.</w:t>
      </w:r>
    </w:p>
    <w:p>
      <w:pPr>
        <w:widowControl/>
        <w:suppressLineNumbers w:val="0"/>
        <w:spacing w:line="240" w:lineRule="auto"/>
        <w:ind w:left="0" w:firstLine="0"/>
        <w:rPr>
          <w:rFonts w:ascii="Times New Roman" w:hAnsi="Times New Roman" w:cs="Times New Roman"/>
        </w:rPr>
      </w:pPr>
    </w:p>
    <w:p>
      <w:pPr>
        <w:widowControl/>
        <w:suppressLineNumbers w:val="0"/>
        <w:spacing w:line="240" w:lineRule="auto"/>
        <w:ind w:left="0" w:firstLine="0"/>
        <w:jc w:val="center"/>
        <w:rPr>
          <w:rFonts w:ascii="Times New Roman" w:hAnsi="Times New Roman" w:eastAsia="Calibri" w:cs="Times New Roman"/>
          <w:sz w:val="20"/>
          <w:szCs w:val="20"/>
        </w:rPr>
      </w:pPr>
      <w:r>
        <w:rPr>
          <w:rFonts w:ascii="Times New Roman" w:hAnsi="Times New Roman" w:cs="Times New Roman"/>
          <w:b/>
          <w:bCs/>
          <w:color w:val="000000"/>
        </w:rPr>
        <w:t xml:space="preserve">Tabela 4 – Dados da regressão com </w:t>
      </w:r>
      <w:r>
        <w:rPr>
          <w:rFonts w:ascii="Times New Roman" w:hAnsi="Times New Roman" w:cs="Times New Roman"/>
          <w:b/>
          <w:bCs/>
          <w:i/>
          <w:iCs/>
          <w:color w:val="000000"/>
        </w:rPr>
        <w:t>Dummies</w:t>
      </w:r>
      <w:r>
        <w:rPr>
          <w:rFonts w:ascii="Times New Roman" w:hAnsi="Times New Roman" w:cs="Times New Roman"/>
          <w:b/>
          <w:bCs/>
          <w:color w:val="000000"/>
        </w:rPr>
        <w:t xml:space="preserve"> de Região</w:t>
      </w:r>
      <w:r>
        <w:rPr>
          <w:rFonts w:ascii="Times New Roman" w:hAnsi="Times New Roman" w:cs="Times New Roman"/>
        </w:rPr>
        <w:fldChar w:fldCharType="begin"/>
      </w:r>
      <w:r>
        <w:rPr>
          <w:rFonts w:ascii="Times New Roman" w:hAnsi="Times New Roman" w:cs="Times New Roman"/>
        </w:rPr>
        <w:instrText xml:space="preserve"> LINK Excel.SheetBinaryMacroEnabled.12 C:\\Users\\marco\\Downloads\\DADOS_PRONAF_CONSOLIDADO_2017_2021.xlsb Planilha3!L10C5:L15C9 \a \f 4 \h  \* MERGEFORMAT </w:instrText>
      </w:r>
      <w:r>
        <w:rPr>
          <w:rFonts w:ascii="Times New Roman" w:hAnsi="Times New Roman" w:cs="Times New Roman"/>
        </w:rPr>
        <w:fldChar w:fldCharType="separate"/>
      </w:r>
    </w:p>
    <w:tbl>
      <w:tblPr>
        <w:tblStyle w:val="8"/>
        <w:tblW w:w="9120" w:type="dxa"/>
        <w:tblInd w:w="0" w:type="dxa"/>
        <w:tblLayout w:type="autofit"/>
        <w:tblCellMar>
          <w:top w:w="0" w:type="dxa"/>
          <w:left w:w="70" w:type="dxa"/>
          <w:bottom w:w="0" w:type="dxa"/>
          <w:right w:w="70" w:type="dxa"/>
        </w:tblCellMar>
      </w:tblPr>
      <w:tblGrid>
        <w:gridCol w:w="2268"/>
        <w:gridCol w:w="2268"/>
        <w:gridCol w:w="1843"/>
        <w:gridCol w:w="1559"/>
        <w:gridCol w:w="1182"/>
      </w:tblGrid>
      <w:tr>
        <w:tblPrEx>
          <w:tblCellMar>
            <w:top w:w="0" w:type="dxa"/>
            <w:left w:w="70" w:type="dxa"/>
            <w:bottom w:w="0" w:type="dxa"/>
            <w:right w:w="70" w:type="dxa"/>
          </w:tblCellMar>
        </w:tblPrEx>
        <w:trPr>
          <w:trHeight w:val="265" w:hRule="atLeast"/>
        </w:trPr>
        <w:tc>
          <w:tcPr>
            <w:tcW w:w="2268" w:type="dxa"/>
            <w:tcBorders>
              <w:top w:val="single" w:color="auto" w:sz="8" w:space="0"/>
              <w:left w:val="nil"/>
              <w:bottom w:val="single" w:color="auto" w:sz="4" w:space="0"/>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b/>
                <w:bCs/>
                <w:color w:val="000000"/>
              </w:rPr>
            </w:pPr>
            <w:r>
              <w:rPr>
                <w:rFonts w:ascii="Times New Roman" w:hAnsi="Times New Roman" w:cs="Times New Roman"/>
                <w:b/>
                <w:bCs/>
                <w:color w:val="000000"/>
              </w:rPr>
              <w:t>Variáveis</w:t>
            </w:r>
          </w:p>
        </w:tc>
        <w:tc>
          <w:tcPr>
            <w:tcW w:w="2268" w:type="dxa"/>
            <w:tcBorders>
              <w:top w:val="single" w:color="auto" w:sz="8" w:space="0"/>
              <w:left w:val="nil"/>
              <w:bottom w:val="single" w:color="auto" w:sz="4" w:space="0"/>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b/>
                <w:bCs/>
                <w:color w:val="000000"/>
              </w:rPr>
            </w:pPr>
            <w:r>
              <w:rPr>
                <w:rFonts w:ascii="Times New Roman" w:hAnsi="Times New Roman" w:cs="Times New Roman"/>
                <w:b/>
                <w:bCs/>
                <w:color w:val="000000"/>
              </w:rPr>
              <w:t>Coeficientes</w:t>
            </w:r>
          </w:p>
        </w:tc>
        <w:tc>
          <w:tcPr>
            <w:tcW w:w="1843" w:type="dxa"/>
            <w:tcBorders>
              <w:top w:val="single" w:color="auto" w:sz="8" w:space="0"/>
              <w:left w:val="nil"/>
              <w:bottom w:val="single" w:color="auto" w:sz="4" w:space="0"/>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b/>
                <w:bCs/>
                <w:color w:val="000000"/>
              </w:rPr>
            </w:pPr>
            <w:r>
              <w:rPr>
                <w:rFonts w:ascii="Times New Roman" w:hAnsi="Times New Roman" w:cs="Times New Roman"/>
                <w:b/>
                <w:bCs/>
                <w:color w:val="000000"/>
              </w:rPr>
              <w:t>Erro padrão</w:t>
            </w:r>
          </w:p>
        </w:tc>
        <w:tc>
          <w:tcPr>
            <w:tcW w:w="1559" w:type="dxa"/>
            <w:tcBorders>
              <w:top w:val="single" w:color="auto" w:sz="8" w:space="0"/>
              <w:left w:val="nil"/>
              <w:bottom w:val="single" w:color="auto" w:sz="4" w:space="0"/>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b/>
                <w:bCs/>
                <w:color w:val="000000"/>
              </w:rPr>
            </w:pPr>
            <w:r>
              <w:rPr>
                <w:rFonts w:ascii="Times New Roman" w:hAnsi="Times New Roman" w:cs="Times New Roman"/>
                <w:b/>
                <w:bCs/>
                <w:color w:val="000000"/>
              </w:rPr>
              <w:t>Stat t</w:t>
            </w:r>
          </w:p>
        </w:tc>
        <w:tc>
          <w:tcPr>
            <w:tcW w:w="1182" w:type="dxa"/>
            <w:tcBorders>
              <w:top w:val="single" w:color="auto" w:sz="8" w:space="0"/>
              <w:left w:val="nil"/>
              <w:bottom w:val="single" w:color="auto" w:sz="4" w:space="0"/>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b/>
                <w:bCs/>
                <w:color w:val="000000"/>
              </w:rPr>
            </w:pPr>
            <w:r>
              <w:rPr>
                <w:rFonts w:ascii="Times New Roman" w:hAnsi="Times New Roman" w:cs="Times New Roman"/>
                <w:b/>
                <w:bCs/>
                <w:color w:val="000000"/>
              </w:rPr>
              <w:t>Valor-P</w:t>
            </w:r>
          </w:p>
        </w:tc>
      </w:tr>
      <w:tr>
        <w:tblPrEx>
          <w:tblCellMar>
            <w:top w:w="0" w:type="dxa"/>
            <w:left w:w="70" w:type="dxa"/>
            <w:bottom w:w="0" w:type="dxa"/>
            <w:right w:w="70" w:type="dxa"/>
          </w:tblCellMar>
        </w:tblPrEx>
        <w:trPr>
          <w:trHeight w:val="255" w:hRule="atLeast"/>
        </w:trPr>
        <w:tc>
          <w:tcPr>
            <w:tcW w:w="2268"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Interseção</w:t>
            </w:r>
          </w:p>
        </w:tc>
        <w:tc>
          <w:tcPr>
            <w:tcW w:w="2268"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1.857.393,50</w:t>
            </w:r>
          </w:p>
        </w:tc>
        <w:tc>
          <w:tcPr>
            <w:tcW w:w="1843"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108.342,97</w:t>
            </w:r>
          </w:p>
        </w:tc>
        <w:tc>
          <w:tcPr>
            <w:tcW w:w="1559"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17,14</w:t>
            </w:r>
          </w:p>
        </w:tc>
        <w:tc>
          <w:tcPr>
            <w:tcW w:w="1182"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0,00</w:t>
            </w:r>
          </w:p>
        </w:tc>
      </w:tr>
      <w:tr>
        <w:tblPrEx>
          <w:tblCellMar>
            <w:top w:w="0" w:type="dxa"/>
            <w:left w:w="70" w:type="dxa"/>
            <w:bottom w:w="0" w:type="dxa"/>
            <w:right w:w="70" w:type="dxa"/>
          </w:tblCellMar>
        </w:tblPrEx>
        <w:trPr>
          <w:trHeight w:val="255" w:hRule="atLeast"/>
        </w:trPr>
        <w:tc>
          <w:tcPr>
            <w:tcW w:w="2268"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D1Sudeste</w:t>
            </w:r>
          </w:p>
        </w:tc>
        <w:tc>
          <w:tcPr>
            <w:tcW w:w="2268"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rPr>
            </w:pPr>
            <w:r>
              <w:rPr>
                <w:rFonts w:ascii="Times New Roman" w:hAnsi="Times New Roman" w:cs="Times New Roman"/>
              </w:rPr>
              <w:t>-945.702,28</w:t>
            </w:r>
          </w:p>
        </w:tc>
        <w:tc>
          <w:tcPr>
            <w:tcW w:w="1843"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159.211,92</w:t>
            </w:r>
          </w:p>
        </w:tc>
        <w:tc>
          <w:tcPr>
            <w:tcW w:w="1559"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rPr>
            </w:pPr>
            <w:r>
              <w:rPr>
                <w:rFonts w:ascii="Times New Roman" w:hAnsi="Times New Roman" w:cs="Times New Roman"/>
              </w:rPr>
              <w:t>-5,94</w:t>
            </w:r>
          </w:p>
        </w:tc>
        <w:tc>
          <w:tcPr>
            <w:tcW w:w="1182"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0,00</w:t>
            </w:r>
          </w:p>
        </w:tc>
      </w:tr>
      <w:tr>
        <w:tblPrEx>
          <w:tblCellMar>
            <w:top w:w="0" w:type="dxa"/>
            <w:left w:w="70" w:type="dxa"/>
            <w:bottom w:w="0" w:type="dxa"/>
            <w:right w:w="70" w:type="dxa"/>
          </w:tblCellMar>
        </w:tblPrEx>
        <w:trPr>
          <w:trHeight w:val="255" w:hRule="atLeast"/>
        </w:trPr>
        <w:tc>
          <w:tcPr>
            <w:tcW w:w="2268"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D2Norte</w:t>
            </w:r>
          </w:p>
        </w:tc>
        <w:tc>
          <w:tcPr>
            <w:tcW w:w="2268"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rPr>
            </w:pPr>
            <w:r>
              <w:rPr>
                <w:rFonts w:ascii="Times New Roman" w:hAnsi="Times New Roman" w:cs="Times New Roman"/>
              </w:rPr>
              <w:t>-1.601.346,88</w:t>
            </w:r>
          </w:p>
        </w:tc>
        <w:tc>
          <w:tcPr>
            <w:tcW w:w="1843"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150.420,71</w:t>
            </w:r>
          </w:p>
        </w:tc>
        <w:tc>
          <w:tcPr>
            <w:tcW w:w="1559"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rPr>
            </w:pPr>
            <w:r>
              <w:rPr>
                <w:rFonts w:ascii="Times New Roman" w:hAnsi="Times New Roman" w:cs="Times New Roman"/>
              </w:rPr>
              <w:t>-10,65</w:t>
            </w:r>
          </w:p>
        </w:tc>
        <w:tc>
          <w:tcPr>
            <w:tcW w:w="1182"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0,00</w:t>
            </w:r>
          </w:p>
        </w:tc>
      </w:tr>
      <w:tr>
        <w:tblPrEx>
          <w:tblCellMar>
            <w:top w:w="0" w:type="dxa"/>
            <w:left w:w="70" w:type="dxa"/>
            <w:bottom w:w="0" w:type="dxa"/>
            <w:right w:w="70" w:type="dxa"/>
          </w:tblCellMar>
        </w:tblPrEx>
        <w:trPr>
          <w:trHeight w:val="255" w:hRule="atLeast"/>
        </w:trPr>
        <w:tc>
          <w:tcPr>
            <w:tcW w:w="2268"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D3Nordeste</w:t>
            </w:r>
          </w:p>
        </w:tc>
        <w:tc>
          <w:tcPr>
            <w:tcW w:w="2268"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rPr>
            </w:pPr>
            <w:r>
              <w:rPr>
                <w:rFonts w:ascii="Times New Roman" w:hAnsi="Times New Roman" w:cs="Times New Roman"/>
              </w:rPr>
              <w:t>-1.769.673,92</w:t>
            </w:r>
          </w:p>
        </w:tc>
        <w:tc>
          <w:tcPr>
            <w:tcW w:w="1843"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142.543,21</w:t>
            </w:r>
          </w:p>
        </w:tc>
        <w:tc>
          <w:tcPr>
            <w:tcW w:w="1559"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rPr>
            </w:pPr>
            <w:r>
              <w:rPr>
                <w:rFonts w:ascii="Times New Roman" w:hAnsi="Times New Roman" w:cs="Times New Roman"/>
              </w:rPr>
              <w:t>-12,42</w:t>
            </w:r>
          </w:p>
        </w:tc>
        <w:tc>
          <w:tcPr>
            <w:tcW w:w="1182"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0,00</w:t>
            </w:r>
          </w:p>
        </w:tc>
      </w:tr>
      <w:tr>
        <w:tblPrEx>
          <w:tblCellMar>
            <w:top w:w="0" w:type="dxa"/>
            <w:left w:w="70" w:type="dxa"/>
            <w:bottom w:w="0" w:type="dxa"/>
            <w:right w:w="70" w:type="dxa"/>
          </w:tblCellMar>
        </w:tblPrEx>
        <w:trPr>
          <w:trHeight w:val="265" w:hRule="atLeast"/>
        </w:trPr>
        <w:tc>
          <w:tcPr>
            <w:tcW w:w="2268" w:type="dxa"/>
            <w:tcBorders>
              <w:top w:val="nil"/>
              <w:left w:val="nil"/>
              <w:bottom w:val="single" w:color="auto" w:sz="8" w:space="0"/>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D4Centro-Oeste</w:t>
            </w:r>
          </w:p>
        </w:tc>
        <w:tc>
          <w:tcPr>
            <w:tcW w:w="2268" w:type="dxa"/>
            <w:tcBorders>
              <w:top w:val="nil"/>
              <w:left w:val="nil"/>
              <w:bottom w:val="single" w:color="auto" w:sz="8" w:space="0"/>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rPr>
            </w:pPr>
            <w:r>
              <w:rPr>
                <w:rFonts w:ascii="Times New Roman" w:hAnsi="Times New Roman" w:cs="Times New Roman"/>
              </w:rPr>
              <w:t>-1.413.321,10</w:t>
            </w:r>
          </w:p>
        </w:tc>
        <w:tc>
          <w:tcPr>
            <w:tcW w:w="1843" w:type="dxa"/>
            <w:tcBorders>
              <w:top w:val="nil"/>
              <w:left w:val="nil"/>
              <w:bottom w:val="single" w:color="auto" w:sz="8" w:space="0"/>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166.148,76</w:t>
            </w:r>
          </w:p>
        </w:tc>
        <w:tc>
          <w:tcPr>
            <w:tcW w:w="1559" w:type="dxa"/>
            <w:tcBorders>
              <w:top w:val="nil"/>
              <w:left w:val="nil"/>
              <w:bottom w:val="single" w:color="auto" w:sz="8" w:space="0"/>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rPr>
            </w:pPr>
            <w:r>
              <w:rPr>
                <w:rFonts w:ascii="Times New Roman" w:hAnsi="Times New Roman" w:cs="Times New Roman"/>
              </w:rPr>
              <w:t>-8,51</w:t>
            </w:r>
          </w:p>
        </w:tc>
        <w:tc>
          <w:tcPr>
            <w:tcW w:w="1182" w:type="dxa"/>
            <w:tcBorders>
              <w:top w:val="nil"/>
              <w:left w:val="nil"/>
              <w:bottom w:val="single" w:color="auto" w:sz="8" w:space="0"/>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0,00</w:t>
            </w:r>
          </w:p>
        </w:tc>
      </w:tr>
    </w:tbl>
    <w:p>
      <w:pPr>
        <w:widowControl/>
        <w:suppressLineNumbers w:val="0"/>
        <w:spacing w:line="240" w:lineRule="auto"/>
        <w:ind w:left="0" w:firstLine="0"/>
        <w:jc w:val="center"/>
        <w:rPr>
          <w:rFonts w:ascii="Times New Roman" w:hAnsi="Times New Roman" w:cs="Times New Roman"/>
          <w:color w:val="000000"/>
          <w:sz w:val="20"/>
          <w:szCs w:val="20"/>
        </w:rPr>
      </w:pPr>
      <w:r>
        <w:rPr>
          <w:rFonts w:ascii="Times New Roman" w:hAnsi="Times New Roman" w:cs="Times New Roman"/>
        </w:rPr>
        <w:fldChar w:fldCharType="end"/>
      </w:r>
      <w:r>
        <w:rPr>
          <w:rFonts w:ascii="Times New Roman" w:hAnsi="Times New Roman" w:cs="Times New Roman"/>
          <w:bCs/>
          <w:sz w:val="20"/>
          <w:szCs w:val="20"/>
        </w:rPr>
        <w:t>Fonte: Autora (2022) baseada nos dados do Banco Central do Brasil</w:t>
      </w:r>
      <w:r>
        <w:rPr>
          <w:rFonts w:ascii="Times New Roman" w:hAnsi="Times New Roman" w:cs="Times New Roman"/>
          <w:color w:val="000000"/>
          <w:sz w:val="20"/>
          <w:szCs w:val="20"/>
        </w:rPr>
        <w:t xml:space="preserve"> (BCB).</w:t>
      </w:r>
    </w:p>
    <w:p>
      <w:pPr>
        <w:widowControl/>
        <w:suppressLineNumbers w:val="0"/>
        <w:spacing w:line="360" w:lineRule="auto"/>
        <w:ind w:left="0" w:firstLine="708"/>
      </w:pPr>
    </w:p>
    <w:p>
      <w:pPr>
        <w:widowControl/>
        <w:suppressLineNumbers w:val="0"/>
        <w:spacing w:line="360" w:lineRule="auto"/>
        <w:ind w:left="0" w:firstLine="708"/>
        <w:rPr>
          <w:rFonts w:ascii="Times New Roman" w:hAnsi="Times New Roman" w:cs="Times New Roman"/>
        </w:rPr>
      </w:pPr>
      <w:r>
        <w:rPr>
          <w:rFonts w:ascii="Times New Roman" w:hAnsi="Times New Roman" w:cs="Times New Roman"/>
        </w:rPr>
        <w:t>A região Sul é a referência, logo, o valor da interseção representa o valor médio dos contratos da região Sul, sendo de aproximadamente R$ 1,9 milhão cada. Todos os coeficientes foram significativos, ou seja, todos concluem que existem diferenças entre os valores médios contratados via PRONAF. Como exemplo, a região Nordeste teve, em média, contratos de R$ 444 mil/cada (inferiores em R$ 1,4 milhão quando comparados com o Sul), sendo as regiões com maiores diferenças.</w:t>
      </w:r>
    </w:p>
    <w:p>
      <w:pPr>
        <w:widowControl/>
        <w:suppressLineNumbers w:val="0"/>
        <w:spacing w:line="360" w:lineRule="auto"/>
        <w:ind w:left="0" w:firstLine="708"/>
        <w:rPr>
          <w:rFonts w:ascii="Times New Roman" w:hAnsi="Times New Roman" w:cs="Times New Roman"/>
        </w:rPr>
      </w:pPr>
      <w:r>
        <w:rPr>
          <w:rFonts w:ascii="Times New Roman" w:hAnsi="Times New Roman" w:cs="Times New Roman"/>
        </w:rPr>
        <w:t>Porém, é importante ressaltar que outras variáveis podem estar corroborando com essas diferenças, ou seja, não se pode concluir, por si só, que essas diferenças são ocasionadas pelo fato de ser uma região ou outra (discriminação). Diante disso, o Quadro 1 demonstra a quantidade de contratos e seus respectivos valores monetários distribuídos entre as regiões, por tipo de atividade.</w:t>
      </w:r>
    </w:p>
    <w:p>
      <w:pPr>
        <w:widowControl/>
        <w:suppressLineNumbers w:val="0"/>
        <w:spacing w:line="240" w:lineRule="auto"/>
        <w:ind w:left="0" w:firstLine="708"/>
        <w:rPr>
          <w:rFonts w:ascii="Times New Roman" w:hAnsi="Times New Roman" w:cs="Times New Roman"/>
        </w:rPr>
      </w:pPr>
    </w:p>
    <w:p>
      <w:pPr>
        <w:widowControl/>
        <w:suppressLineNumbers w:val="0"/>
        <w:spacing w:line="240" w:lineRule="auto"/>
        <w:ind w:left="0" w:firstLine="0"/>
        <w:jc w:val="center"/>
        <w:rPr>
          <w:rFonts w:ascii="Times New Roman" w:hAnsi="Times New Roman" w:cs="Times New Roman"/>
        </w:rPr>
      </w:pPr>
      <w:r>
        <w:rPr>
          <w:rFonts w:ascii="Times New Roman" w:hAnsi="Times New Roman" w:cs="Times New Roman"/>
          <w:b/>
          <w:bCs/>
          <w:color w:val="000000"/>
        </w:rPr>
        <w:t>Quadro 1 - PRONAF - Quantidade e valor dos contratos por região e tipo de atividade (2017-2021)</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87"/>
        <w:gridCol w:w="1601"/>
        <w:gridCol w:w="1836"/>
        <w:gridCol w:w="1601"/>
        <w:gridCol w:w="18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187" w:type="dxa"/>
            <w:noWrap/>
            <w:vAlign w:val="center"/>
          </w:tcPr>
          <w:p>
            <w:pPr>
              <w:widowControl/>
              <w:suppressLineNumbers w:val="0"/>
              <w:spacing w:line="240" w:lineRule="auto"/>
              <w:ind w:left="0" w:firstLine="0"/>
              <w:jc w:val="center"/>
              <w:rPr>
                <w:rFonts w:ascii="Times New Roman" w:hAnsi="Times New Roman" w:cs="Times New Roman"/>
                <w:b/>
                <w:bCs/>
              </w:rPr>
            </w:pPr>
            <w:r>
              <w:rPr>
                <w:rFonts w:ascii="Times New Roman" w:hAnsi="Times New Roman" w:cs="Times New Roman"/>
                <w:b/>
                <w:bCs/>
              </w:rPr>
              <w:t>Atividade</w:t>
            </w:r>
          </w:p>
        </w:tc>
        <w:tc>
          <w:tcPr>
            <w:tcW w:w="3437" w:type="dxa"/>
            <w:gridSpan w:val="2"/>
            <w:noWrap/>
            <w:vAlign w:val="center"/>
          </w:tcPr>
          <w:p>
            <w:pPr>
              <w:widowControl/>
              <w:suppressLineNumbers w:val="0"/>
              <w:spacing w:line="240" w:lineRule="auto"/>
              <w:ind w:left="0" w:firstLine="0"/>
              <w:jc w:val="center"/>
              <w:rPr>
                <w:rFonts w:ascii="Times New Roman" w:hAnsi="Times New Roman" w:cs="Times New Roman"/>
                <w:b/>
                <w:bCs/>
              </w:rPr>
            </w:pPr>
            <w:r>
              <w:rPr>
                <w:rFonts w:ascii="Times New Roman" w:hAnsi="Times New Roman" w:cs="Times New Roman"/>
                <w:b/>
                <w:bCs/>
              </w:rPr>
              <w:t>Agrícola</w:t>
            </w:r>
          </w:p>
        </w:tc>
        <w:tc>
          <w:tcPr>
            <w:tcW w:w="3437" w:type="dxa"/>
            <w:gridSpan w:val="2"/>
            <w:noWrap/>
            <w:vAlign w:val="center"/>
          </w:tcPr>
          <w:p>
            <w:pPr>
              <w:widowControl/>
              <w:suppressLineNumbers w:val="0"/>
              <w:spacing w:line="240" w:lineRule="auto"/>
              <w:ind w:left="0" w:firstLine="0"/>
              <w:jc w:val="center"/>
              <w:rPr>
                <w:rFonts w:ascii="Times New Roman" w:hAnsi="Times New Roman" w:cs="Times New Roman"/>
                <w:b/>
                <w:bCs/>
              </w:rPr>
            </w:pPr>
            <w:r>
              <w:rPr>
                <w:rFonts w:ascii="Times New Roman" w:hAnsi="Times New Roman" w:cs="Times New Roman"/>
                <w:b/>
                <w:bCs/>
              </w:rPr>
              <w:t>Pecuária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187" w:type="dxa"/>
            <w:noWrap/>
            <w:vAlign w:val="center"/>
          </w:tcPr>
          <w:p>
            <w:pPr>
              <w:widowControl/>
              <w:suppressLineNumbers w:val="0"/>
              <w:spacing w:line="240" w:lineRule="auto"/>
              <w:ind w:left="0" w:firstLine="0"/>
              <w:jc w:val="center"/>
              <w:rPr>
                <w:rFonts w:ascii="Times New Roman" w:hAnsi="Times New Roman" w:cs="Times New Roman"/>
                <w:b/>
                <w:bCs/>
              </w:rPr>
            </w:pPr>
            <w:r>
              <w:rPr>
                <w:rFonts w:ascii="Times New Roman" w:hAnsi="Times New Roman" w:cs="Times New Roman"/>
                <w:b/>
                <w:bCs/>
              </w:rPr>
              <w:t>Região</w:t>
            </w:r>
          </w:p>
        </w:tc>
        <w:tc>
          <w:tcPr>
            <w:tcW w:w="1601" w:type="dxa"/>
            <w:noWrap/>
            <w:vAlign w:val="center"/>
          </w:tcPr>
          <w:p>
            <w:pPr>
              <w:widowControl/>
              <w:suppressLineNumbers w:val="0"/>
              <w:spacing w:line="240" w:lineRule="auto"/>
              <w:ind w:left="0" w:firstLine="0"/>
              <w:jc w:val="center"/>
              <w:rPr>
                <w:rFonts w:ascii="Times New Roman" w:hAnsi="Times New Roman" w:cs="Times New Roman"/>
                <w:b/>
                <w:bCs/>
              </w:rPr>
            </w:pPr>
            <w:r>
              <w:rPr>
                <w:rFonts w:ascii="Times New Roman" w:hAnsi="Times New Roman" w:cs="Times New Roman"/>
                <w:b/>
                <w:bCs/>
              </w:rPr>
              <w:t>Nº Contratos</w:t>
            </w:r>
          </w:p>
        </w:tc>
        <w:tc>
          <w:tcPr>
            <w:tcW w:w="1836" w:type="dxa"/>
            <w:noWrap/>
            <w:vAlign w:val="center"/>
          </w:tcPr>
          <w:p>
            <w:pPr>
              <w:widowControl/>
              <w:suppressLineNumbers w:val="0"/>
              <w:spacing w:line="240" w:lineRule="auto"/>
              <w:ind w:left="0" w:firstLine="0"/>
              <w:jc w:val="center"/>
              <w:rPr>
                <w:rFonts w:ascii="Times New Roman" w:hAnsi="Times New Roman" w:cs="Times New Roman"/>
                <w:b/>
                <w:bCs/>
              </w:rPr>
            </w:pPr>
            <w:r>
              <w:rPr>
                <w:rFonts w:ascii="Times New Roman" w:hAnsi="Times New Roman" w:cs="Times New Roman"/>
                <w:b/>
                <w:bCs/>
              </w:rPr>
              <w:t>Em R$ Bilhões</w:t>
            </w:r>
          </w:p>
        </w:tc>
        <w:tc>
          <w:tcPr>
            <w:tcW w:w="1601" w:type="dxa"/>
            <w:noWrap/>
            <w:vAlign w:val="center"/>
          </w:tcPr>
          <w:p>
            <w:pPr>
              <w:widowControl/>
              <w:suppressLineNumbers w:val="0"/>
              <w:spacing w:line="240" w:lineRule="auto"/>
              <w:ind w:left="0" w:firstLine="0"/>
              <w:jc w:val="center"/>
              <w:rPr>
                <w:rFonts w:ascii="Times New Roman" w:hAnsi="Times New Roman" w:cs="Times New Roman"/>
                <w:b/>
                <w:bCs/>
              </w:rPr>
            </w:pPr>
            <w:r>
              <w:rPr>
                <w:rFonts w:ascii="Times New Roman" w:hAnsi="Times New Roman" w:cs="Times New Roman"/>
                <w:b/>
                <w:bCs/>
              </w:rPr>
              <w:t>Nº Contratos</w:t>
            </w:r>
          </w:p>
        </w:tc>
        <w:tc>
          <w:tcPr>
            <w:tcW w:w="1836" w:type="dxa"/>
            <w:noWrap/>
            <w:vAlign w:val="center"/>
          </w:tcPr>
          <w:p>
            <w:pPr>
              <w:widowControl/>
              <w:suppressLineNumbers w:val="0"/>
              <w:spacing w:line="240" w:lineRule="auto"/>
              <w:ind w:left="0" w:firstLine="0"/>
              <w:jc w:val="center"/>
              <w:rPr>
                <w:rFonts w:ascii="Times New Roman" w:hAnsi="Times New Roman" w:cs="Times New Roman"/>
                <w:b/>
                <w:bCs/>
              </w:rPr>
            </w:pPr>
            <w:r>
              <w:rPr>
                <w:rFonts w:ascii="Times New Roman" w:hAnsi="Times New Roman" w:cs="Times New Roman"/>
                <w:b/>
                <w:bCs/>
              </w:rPr>
              <w:t>Em R$ Bilhões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2187" w:type="dxa"/>
            <w:noWrap/>
            <w:vAlign w:val="center"/>
          </w:tcPr>
          <w:p>
            <w:pPr>
              <w:widowControl/>
              <w:suppressLineNumbers w:val="0"/>
              <w:spacing w:line="240" w:lineRule="auto"/>
              <w:ind w:left="0" w:firstLine="0"/>
              <w:jc w:val="center"/>
              <w:rPr>
                <w:rFonts w:ascii="Times New Roman" w:hAnsi="Times New Roman" w:cs="Times New Roman"/>
              </w:rPr>
            </w:pPr>
            <w:r>
              <w:rPr>
                <w:rFonts w:ascii="Times New Roman" w:hAnsi="Times New Roman" w:cs="Times New Roman"/>
              </w:rPr>
              <w:t>CENTRO-OESTE</w:t>
            </w:r>
          </w:p>
        </w:tc>
        <w:tc>
          <w:tcPr>
            <w:tcW w:w="1601" w:type="dxa"/>
            <w:noWrap/>
            <w:vAlign w:val="center"/>
          </w:tcPr>
          <w:p>
            <w:pPr>
              <w:widowControl/>
              <w:suppressLineNumbers w:val="0"/>
              <w:spacing w:line="240" w:lineRule="auto"/>
              <w:ind w:left="0" w:firstLine="0"/>
              <w:jc w:val="center"/>
              <w:rPr>
                <w:rFonts w:ascii="Times New Roman" w:hAnsi="Times New Roman" w:cs="Times New Roman"/>
              </w:rPr>
            </w:pPr>
            <w:r>
              <w:rPr>
                <w:rFonts w:ascii="Times New Roman" w:hAnsi="Times New Roman" w:cs="Times New Roman"/>
              </w:rPr>
              <w:t>19.602</w:t>
            </w:r>
          </w:p>
        </w:tc>
        <w:tc>
          <w:tcPr>
            <w:tcW w:w="1836" w:type="dxa"/>
            <w:noWrap/>
            <w:vAlign w:val="center"/>
          </w:tcPr>
          <w:p>
            <w:pPr>
              <w:widowControl/>
              <w:suppressLineNumbers w:val="0"/>
              <w:spacing w:line="240" w:lineRule="auto"/>
              <w:ind w:left="0" w:firstLine="0"/>
              <w:jc w:val="center"/>
              <w:rPr>
                <w:rFonts w:ascii="Times New Roman" w:hAnsi="Times New Roman" w:cs="Times New Roman"/>
              </w:rPr>
            </w:pPr>
            <w:r>
              <w:rPr>
                <w:rFonts w:ascii="Times New Roman" w:hAnsi="Times New Roman" w:cs="Times New Roman"/>
              </w:rPr>
              <w:t>1,1</w:t>
            </w:r>
          </w:p>
        </w:tc>
        <w:tc>
          <w:tcPr>
            <w:tcW w:w="1601" w:type="dxa"/>
            <w:noWrap/>
            <w:vAlign w:val="center"/>
          </w:tcPr>
          <w:p>
            <w:pPr>
              <w:widowControl/>
              <w:suppressLineNumbers w:val="0"/>
              <w:spacing w:line="240" w:lineRule="auto"/>
              <w:ind w:left="0" w:firstLine="0"/>
              <w:jc w:val="center"/>
              <w:rPr>
                <w:rFonts w:ascii="Times New Roman" w:hAnsi="Times New Roman" w:cs="Times New Roman"/>
              </w:rPr>
            </w:pPr>
            <w:r>
              <w:rPr>
                <w:rFonts w:ascii="Times New Roman" w:hAnsi="Times New Roman" w:cs="Times New Roman"/>
              </w:rPr>
              <w:t>188.188</w:t>
            </w:r>
          </w:p>
        </w:tc>
        <w:tc>
          <w:tcPr>
            <w:tcW w:w="1836" w:type="dxa"/>
            <w:noWrap/>
            <w:vAlign w:val="center"/>
          </w:tcPr>
          <w:p>
            <w:pPr>
              <w:widowControl/>
              <w:suppressLineNumbers w:val="0"/>
              <w:spacing w:line="240" w:lineRule="auto"/>
              <w:ind w:left="0" w:firstLine="0"/>
              <w:jc w:val="center"/>
              <w:rPr>
                <w:rFonts w:ascii="Times New Roman" w:hAnsi="Times New Roman" w:cs="Times New Roman"/>
              </w:rPr>
            </w:pPr>
            <w:r>
              <w:rPr>
                <w:rFonts w:ascii="Times New Roman" w:hAnsi="Times New Roman" w:cs="Times New Roman"/>
              </w:rPr>
              <w:t>9,1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2187" w:type="dxa"/>
            <w:noWrap/>
            <w:vAlign w:val="center"/>
          </w:tcPr>
          <w:p>
            <w:pPr>
              <w:widowControl/>
              <w:suppressLineNumbers w:val="0"/>
              <w:spacing w:line="240" w:lineRule="auto"/>
              <w:ind w:left="0" w:firstLine="0"/>
              <w:jc w:val="center"/>
              <w:rPr>
                <w:rFonts w:ascii="Times New Roman" w:hAnsi="Times New Roman" w:cs="Times New Roman"/>
              </w:rPr>
            </w:pPr>
            <w:r>
              <w:rPr>
                <w:rFonts w:ascii="Times New Roman" w:hAnsi="Times New Roman" w:cs="Times New Roman"/>
              </w:rPr>
              <w:t>NORDESTE</w:t>
            </w:r>
          </w:p>
        </w:tc>
        <w:tc>
          <w:tcPr>
            <w:tcW w:w="1601" w:type="dxa"/>
            <w:noWrap/>
            <w:vAlign w:val="center"/>
          </w:tcPr>
          <w:p>
            <w:pPr>
              <w:widowControl/>
              <w:suppressLineNumbers w:val="0"/>
              <w:spacing w:line="240" w:lineRule="auto"/>
              <w:ind w:left="0" w:firstLine="0"/>
              <w:jc w:val="center"/>
              <w:rPr>
                <w:rFonts w:ascii="Times New Roman" w:hAnsi="Times New Roman" w:cs="Times New Roman"/>
              </w:rPr>
            </w:pPr>
            <w:r>
              <w:rPr>
                <w:rFonts w:ascii="Times New Roman" w:hAnsi="Times New Roman" w:cs="Times New Roman"/>
              </w:rPr>
              <w:t>705.890</w:t>
            </w:r>
          </w:p>
        </w:tc>
        <w:tc>
          <w:tcPr>
            <w:tcW w:w="1836" w:type="dxa"/>
            <w:noWrap/>
            <w:vAlign w:val="center"/>
          </w:tcPr>
          <w:p>
            <w:pPr>
              <w:widowControl/>
              <w:suppressLineNumbers w:val="0"/>
              <w:spacing w:line="240" w:lineRule="auto"/>
              <w:ind w:left="0" w:firstLine="0"/>
              <w:jc w:val="center"/>
              <w:rPr>
                <w:rFonts w:ascii="Times New Roman" w:hAnsi="Times New Roman" w:cs="Times New Roman"/>
              </w:rPr>
            </w:pPr>
            <w:r>
              <w:rPr>
                <w:rFonts w:ascii="Times New Roman" w:hAnsi="Times New Roman" w:cs="Times New Roman"/>
              </w:rPr>
              <w:t>4,3</w:t>
            </w:r>
          </w:p>
        </w:tc>
        <w:tc>
          <w:tcPr>
            <w:tcW w:w="1601" w:type="dxa"/>
            <w:noWrap/>
            <w:vAlign w:val="center"/>
          </w:tcPr>
          <w:p>
            <w:pPr>
              <w:widowControl/>
              <w:suppressLineNumbers w:val="0"/>
              <w:spacing w:line="240" w:lineRule="auto"/>
              <w:ind w:left="0" w:firstLine="0"/>
              <w:jc w:val="center"/>
              <w:rPr>
                <w:rFonts w:ascii="Times New Roman" w:hAnsi="Times New Roman" w:cs="Times New Roman"/>
              </w:rPr>
            </w:pPr>
            <w:r>
              <w:rPr>
                <w:rFonts w:ascii="Times New Roman" w:hAnsi="Times New Roman" w:cs="Times New Roman"/>
              </w:rPr>
              <w:t>3.115.747</w:t>
            </w:r>
          </w:p>
        </w:tc>
        <w:tc>
          <w:tcPr>
            <w:tcW w:w="1836" w:type="dxa"/>
            <w:noWrap/>
            <w:vAlign w:val="center"/>
          </w:tcPr>
          <w:p>
            <w:pPr>
              <w:widowControl/>
              <w:suppressLineNumbers w:val="0"/>
              <w:spacing w:line="240" w:lineRule="auto"/>
              <w:ind w:left="0" w:firstLine="0"/>
              <w:jc w:val="center"/>
              <w:rPr>
                <w:rFonts w:ascii="Times New Roman" w:hAnsi="Times New Roman" w:cs="Times New Roman"/>
              </w:rPr>
            </w:pPr>
            <w:r>
              <w:rPr>
                <w:rFonts w:ascii="Times New Roman" w:hAnsi="Times New Roman" w:cs="Times New Roman"/>
              </w:rPr>
              <w:t>15,9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2187" w:type="dxa"/>
            <w:noWrap/>
            <w:vAlign w:val="center"/>
          </w:tcPr>
          <w:p>
            <w:pPr>
              <w:widowControl/>
              <w:suppressLineNumbers w:val="0"/>
              <w:spacing w:line="240" w:lineRule="auto"/>
              <w:ind w:left="0" w:firstLine="0"/>
              <w:jc w:val="center"/>
              <w:rPr>
                <w:rFonts w:ascii="Times New Roman" w:hAnsi="Times New Roman" w:cs="Times New Roman"/>
              </w:rPr>
            </w:pPr>
            <w:r>
              <w:rPr>
                <w:rFonts w:ascii="Times New Roman" w:hAnsi="Times New Roman" w:cs="Times New Roman"/>
              </w:rPr>
              <w:t>NORTE</w:t>
            </w:r>
          </w:p>
        </w:tc>
        <w:tc>
          <w:tcPr>
            <w:tcW w:w="1601" w:type="dxa"/>
            <w:noWrap/>
            <w:vAlign w:val="center"/>
          </w:tcPr>
          <w:p>
            <w:pPr>
              <w:widowControl/>
              <w:suppressLineNumbers w:val="0"/>
              <w:spacing w:line="240" w:lineRule="auto"/>
              <w:ind w:left="0" w:firstLine="0"/>
              <w:jc w:val="center"/>
              <w:rPr>
                <w:rFonts w:ascii="Times New Roman" w:hAnsi="Times New Roman" w:cs="Times New Roman"/>
              </w:rPr>
            </w:pPr>
            <w:r>
              <w:rPr>
                <w:rFonts w:ascii="Times New Roman" w:hAnsi="Times New Roman" w:cs="Times New Roman"/>
              </w:rPr>
              <w:t>36.708</w:t>
            </w:r>
          </w:p>
        </w:tc>
        <w:tc>
          <w:tcPr>
            <w:tcW w:w="1836" w:type="dxa"/>
            <w:noWrap/>
            <w:vAlign w:val="center"/>
          </w:tcPr>
          <w:p>
            <w:pPr>
              <w:widowControl/>
              <w:suppressLineNumbers w:val="0"/>
              <w:spacing w:line="240" w:lineRule="auto"/>
              <w:ind w:left="0" w:firstLine="0"/>
              <w:jc w:val="center"/>
              <w:rPr>
                <w:rFonts w:ascii="Times New Roman" w:hAnsi="Times New Roman" w:cs="Times New Roman"/>
              </w:rPr>
            </w:pPr>
            <w:r>
              <w:rPr>
                <w:rFonts w:ascii="Times New Roman" w:hAnsi="Times New Roman" w:cs="Times New Roman"/>
              </w:rPr>
              <w:t>0,8</w:t>
            </w:r>
          </w:p>
        </w:tc>
        <w:tc>
          <w:tcPr>
            <w:tcW w:w="1601" w:type="dxa"/>
            <w:noWrap/>
            <w:vAlign w:val="center"/>
          </w:tcPr>
          <w:p>
            <w:pPr>
              <w:widowControl/>
              <w:suppressLineNumbers w:val="0"/>
              <w:spacing w:line="240" w:lineRule="auto"/>
              <w:ind w:left="0" w:firstLine="0"/>
              <w:jc w:val="center"/>
              <w:rPr>
                <w:rFonts w:ascii="Times New Roman" w:hAnsi="Times New Roman" w:cs="Times New Roman"/>
              </w:rPr>
            </w:pPr>
            <w:r>
              <w:rPr>
                <w:rFonts w:ascii="Times New Roman" w:hAnsi="Times New Roman" w:cs="Times New Roman"/>
              </w:rPr>
              <w:t>202.869</w:t>
            </w:r>
          </w:p>
        </w:tc>
        <w:tc>
          <w:tcPr>
            <w:tcW w:w="1836" w:type="dxa"/>
            <w:noWrap/>
            <w:vAlign w:val="center"/>
          </w:tcPr>
          <w:p>
            <w:pPr>
              <w:widowControl/>
              <w:suppressLineNumbers w:val="0"/>
              <w:spacing w:line="240" w:lineRule="auto"/>
              <w:ind w:left="0" w:firstLine="0"/>
              <w:jc w:val="center"/>
              <w:rPr>
                <w:rFonts w:ascii="Times New Roman" w:hAnsi="Times New Roman" w:cs="Times New Roman"/>
              </w:rPr>
            </w:pPr>
            <w:r>
              <w:rPr>
                <w:rFonts w:ascii="Times New Roman" w:hAnsi="Times New Roman" w:cs="Times New Roman"/>
              </w:rPr>
              <w:t>9,7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2187" w:type="dxa"/>
            <w:noWrap/>
            <w:vAlign w:val="center"/>
          </w:tcPr>
          <w:p>
            <w:pPr>
              <w:widowControl/>
              <w:suppressLineNumbers w:val="0"/>
              <w:spacing w:line="240" w:lineRule="auto"/>
              <w:ind w:left="0" w:firstLine="0"/>
              <w:jc w:val="center"/>
              <w:rPr>
                <w:rFonts w:ascii="Times New Roman" w:hAnsi="Times New Roman" w:cs="Times New Roman"/>
              </w:rPr>
            </w:pPr>
            <w:r>
              <w:rPr>
                <w:rFonts w:ascii="Times New Roman" w:hAnsi="Times New Roman" w:cs="Times New Roman"/>
              </w:rPr>
              <w:t>SUDESTE</w:t>
            </w:r>
          </w:p>
        </w:tc>
        <w:tc>
          <w:tcPr>
            <w:tcW w:w="1601" w:type="dxa"/>
            <w:noWrap/>
            <w:vAlign w:val="center"/>
          </w:tcPr>
          <w:p>
            <w:pPr>
              <w:widowControl/>
              <w:suppressLineNumbers w:val="0"/>
              <w:spacing w:line="240" w:lineRule="auto"/>
              <w:ind w:left="0" w:firstLine="0"/>
              <w:jc w:val="center"/>
              <w:rPr>
                <w:rFonts w:ascii="Times New Roman" w:hAnsi="Times New Roman" w:cs="Times New Roman"/>
              </w:rPr>
            </w:pPr>
            <w:r>
              <w:rPr>
                <w:rFonts w:ascii="Times New Roman" w:hAnsi="Times New Roman" w:cs="Times New Roman"/>
              </w:rPr>
              <w:t>364.444</w:t>
            </w:r>
          </w:p>
        </w:tc>
        <w:tc>
          <w:tcPr>
            <w:tcW w:w="1836" w:type="dxa"/>
            <w:noWrap/>
            <w:vAlign w:val="center"/>
          </w:tcPr>
          <w:p>
            <w:pPr>
              <w:widowControl/>
              <w:suppressLineNumbers w:val="0"/>
              <w:spacing w:line="240" w:lineRule="auto"/>
              <w:ind w:left="0" w:firstLine="0"/>
              <w:jc w:val="center"/>
              <w:rPr>
                <w:rFonts w:ascii="Times New Roman" w:hAnsi="Times New Roman" w:cs="Times New Roman"/>
              </w:rPr>
            </w:pPr>
            <w:r>
              <w:rPr>
                <w:rFonts w:ascii="Times New Roman" w:hAnsi="Times New Roman" w:cs="Times New Roman"/>
              </w:rPr>
              <w:t>11,0</w:t>
            </w:r>
          </w:p>
        </w:tc>
        <w:tc>
          <w:tcPr>
            <w:tcW w:w="1601" w:type="dxa"/>
            <w:noWrap/>
            <w:vAlign w:val="center"/>
          </w:tcPr>
          <w:p>
            <w:pPr>
              <w:widowControl/>
              <w:suppressLineNumbers w:val="0"/>
              <w:spacing w:line="240" w:lineRule="auto"/>
              <w:ind w:left="0" w:firstLine="0"/>
              <w:jc w:val="center"/>
              <w:rPr>
                <w:rFonts w:ascii="Times New Roman" w:hAnsi="Times New Roman" w:cs="Times New Roman"/>
              </w:rPr>
            </w:pPr>
            <w:r>
              <w:rPr>
                <w:rFonts w:ascii="Times New Roman" w:hAnsi="Times New Roman" w:cs="Times New Roman"/>
              </w:rPr>
              <w:t>574.290</w:t>
            </w:r>
          </w:p>
        </w:tc>
        <w:tc>
          <w:tcPr>
            <w:tcW w:w="1836" w:type="dxa"/>
            <w:noWrap/>
            <w:vAlign w:val="center"/>
          </w:tcPr>
          <w:p>
            <w:pPr>
              <w:widowControl/>
              <w:suppressLineNumbers w:val="0"/>
              <w:spacing w:line="240" w:lineRule="auto"/>
              <w:ind w:left="0" w:firstLine="0"/>
              <w:jc w:val="center"/>
              <w:rPr>
                <w:rFonts w:ascii="Times New Roman" w:hAnsi="Times New Roman" w:cs="Times New Roman"/>
              </w:rPr>
            </w:pPr>
            <w:r>
              <w:rPr>
                <w:rFonts w:ascii="Times New Roman" w:hAnsi="Times New Roman" w:cs="Times New Roman"/>
              </w:rPr>
              <w:t>11,2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2187" w:type="dxa"/>
            <w:noWrap/>
            <w:vAlign w:val="center"/>
          </w:tcPr>
          <w:p>
            <w:pPr>
              <w:widowControl/>
              <w:suppressLineNumbers w:val="0"/>
              <w:spacing w:line="240" w:lineRule="auto"/>
              <w:ind w:left="0" w:firstLine="0"/>
              <w:jc w:val="center"/>
              <w:rPr>
                <w:rFonts w:ascii="Times New Roman" w:hAnsi="Times New Roman" w:cs="Times New Roman"/>
              </w:rPr>
            </w:pPr>
            <w:r>
              <w:rPr>
                <w:rFonts w:ascii="Times New Roman" w:hAnsi="Times New Roman" w:cs="Times New Roman"/>
              </w:rPr>
              <w:t>SUL</w:t>
            </w:r>
          </w:p>
        </w:tc>
        <w:tc>
          <w:tcPr>
            <w:tcW w:w="1601" w:type="dxa"/>
            <w:noWrap/>
            <w:vAlign w:val="center"/>
          </w:tcPr>
          <w:p>
            <w:pPr>
              <w:widowControl/>
              <w:suppressLineNumbers w:val="0"/>
              <w:spacing w:line="240" w:lineRule="auto"/>
              <w:ind w:left="0" w:firstLine="0"/>
              <w:jc w:val="center"/>
              <w:rPr>
                <w:rFonts w:ascii="Times New Roman" w:hAnsi="Times New Roman" w:cs="Times New Roman"/>
              </w:rPr>
            </w:pPr>
            <w:r>
              <w:rPr>
                <w:rFonts w:ascii="Times New Roman" w:hAnsi="Times New Roman" w:cs="Times New Roman"/>
              </w:rPr>
              <w:t>1.437.636</w:t>
            </w:r>
          </w:p>
        </w:tc>
        <w:tc>
          <w:tcPr>
            <w:tcW w:w="1836" w:type="dxa"/>
            <w:noWrap/>
            <w:vAlign w:val="center"/>
          </w:tcPr>
          <w:p>
            <w:pPr>
              <w:widowControl/>
              <w:suppressLineNumbers w:val="0"/>
              <w:spacing w:line="240" w:lineRule="auto"/>
              <w:ind w:left="0" w:firstLine="0"/>
              <w:jc w:val="center"/>
              <w:rPr>
                <w:rFonts w:ascii="Times New Roman" w:hAnsi="Times New Roman" w:cs="Times New Roman"/>
              </w:rPr>
            </w:pPr>
            <w:r>
              <w:rPr>
                <w:rFonts w:ascii="Times New Roman" w:hAnsi="Times New Roman" w:cs="Times New Roman"/>
              </w:rPr>
              <w:t>57,3</w:t>
            </w:r>
          </w:p>
        </w:tc>
        <w:tc>
          <w:tcPr>
            <w:tcW w:w="1601" w:type="dxa"/>
            <w:noWrap/>
            <w:vAlign w:val="center"/>
          </w:tcPr>
          <w:p>
            <w:pPr>
              <w:widowControl/>
              <w:suppressLineNumbers w:val="0"/>
              <w:spacing w:line="240" w:lineRule="auto"/>
              <w:ind w:left="0" w:firstLine="0"/>
              <w:jc w:val="center"/>
              <w:rPr>
                <w:rFonts w:ascii="Times New Roman" w:hAnsi="Times New Roman" w:cs="Times New Roman"/>
              </w:rPr>
            </w:pPr>
            <w:r>
              <w:rPr>
                <w:rFonts w:ascii="Times New Roman" w:hAnsi="Times New Roman" w:cs="Times New Roman"/>
              </w:rPr>
              <w:t>568.915</w:t>
            </w:r>
          </w:p>
        </w:tc>
        <w:tc>
          <w:tcPr>
            <w:tcW w:w="1836" w:type="dxa"/>
            <w:noWrap/>
            <w:vAlign w:val="center"/>
          </w:tcPr>
          <w:p>
            <w:pPr>
              <w:widowControl/>
              <w:suppressLineNumbers w:val="0"/>
              <w:spacing w:line="240" w:lineRule="auto"/>
              <w:ind w:left="0" w:firstLine="0"/>
              <w:jc w:val="center"/>
              <w:rPr>
                <w:rFonts w:ascii="Times New Roman" w:hAnsi="Times New Roman" w:cs="Times New Roman"/>
              </w:rPr>
            </w:pPr>
            <w:r>
              <w:rPr>
                <w:rFonts w:ascii="Times New Roman" w:hAnsi="Times New Roman" w:cs="Times New Roman"/>
              </w:rPr>
              <w:t>23,2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2187" w:type="dxa"/>
            <w:noWrap/>
            <w:vAlign w:val="center"/>
          </w:tcPr>
          <w:p>
            <w:pPr>
              <w:widowControl/>
              <w:suppressLineNumbers w:val="0"/>
              <w:spacing w:line="240" w:lineRule="auto"/>
              <w:ind w:left="0" w:firstLine="0"/>
              <w:jc w:val="center"/>
              <w:rPr>
                <w:rFonts w:ascii="Times New Roman" w:hAnsi="Times New Roman" w:cs="Times New Roman"/>
                <w:b/>
                <w:bCs/>
              </w:rPr>
            </w:pPr>
            <w:r>
              <w:rPr>
                <w:rFonts w:ascii="Times New Roman" w:hAnsi="Times New Roman" w:cs="Times New Roman"/>
                <w:b/>
                <w:bCs/>
              </w:rPr>
              <w:t>Total Geral</w:t>
            </w:r>
          </w:p>
        </w:tc>
        <w:tc>
          <w:tcPr>
            <w:tcW w:w="1601" w:type="dxa"/>
            <w:noWrap/>
            <w:vAlign w:val="center"/>
          </w:tcPr>
          <w:p>
            <w:pPr>
              <w:widowControl/>
              <w:suppressLineNumbers w:val="0"/>
              <w:spacing w:line="240" w:lineRule="auto"/>
              <w:ind w:left="0" w:firstLine="0"/>
              <w:jc w:val="center"/>
              <w:rPr>
                <w:rFonts w:ascii="Times New Roman" w:hAnsi="Times New Roman" w:cs="Times New Roman"/>
                <w:b/>
                <w:bCs/>
              </w:rPr>
            </w:pPr>
            <w:r>
              <w:rPr>
                <w:rFonts w:ascii="Times New Roman" w:hAnsi="Times New Roman" w:cs="Times New Roman"/>
                <w:b/>
                <w:bCs/>
              </w:rPr>
              <w:t>2.564.280</w:t>
            </w:r>
          </w:p>
        </w:tc>
        <w:tc>
          <w:tcPr>
            <w:tcW w:w="1836" w:type="dxa"/>
            <w:noWrap/>
            <w:vAlign w:val="center"/>
          </w:tcPr>
          <w:p>
            <w:pPr>
              <w:widowControl/>
              <w:suppressLineNumbers w:val="0"/>
              <w:spacing w:line="240" w:lineRule="auto"/>
              <w:ind w:left="0" w:firstLine="0"/>
              <w:jc w:val="center"/>
              <w:rPr>
                <w:rFonts w:ascii="Times New Roman" w:hAnsi="Times New Roman" w:cs="Times New Roman"/>
                <w:b/>
                <w:bCs/>
              </w:rPr>
            </w:pPr>
            <w:r>
              <w:rPr>
                <w:rFonts w:ascii="Times New Roman" w:hAnsi="Times New Roman" w:cs="Times New Roman"/>
                <w:b/>
                <w:bCs/>
              </w:rPr>
              <w:t>74,5</w:t>
            </w:r>
          </w:p>
        </w:tc>
        <w:tc>
          <w:tcPr>
            <w:tcW w:w="1601" w:type="dxa"/>
            <w:noWrap/>
            <w:vAlign w:val="center"/>
          </w:tcPr>
          <w:p>
            <w:pPr>
              <w:widowControl/>
              <w:suppressLineNumbers w:val="0"/>
              <w:spacing w:line="240" w:lineRule="auto"/>
              <w:ind w:left="0" w:firstLine="0"/>
              <w:jc w:val="center"/>
              <w:rPr>
                <w:rFonts w:ascii="Times New Roman" w:hAnsi="Times New Roman" w:cs="Times New Roman"/>
                <w:b/>
                <w:bCs/>
              </w:rPr>
            </w:pPr>
            <w:r>
              <w:rPr>
                <w:rFonts w:ascii="Times New Roman" w:hAnsi="Times New Roman" w:cs="Times New Roman"/>
                <w:b/>
                <w:bCs/>
              </w:rPr>
              <w:t>4.650.009</w:t>
            </w:r>
          </w:p>
        </w:tc>
        <w:tc>
          <w:tcPr>
            <w:tcW w:w="1836" w:type="dxa"/>
            <w:noWrap/>
            <w:vAlign w:val="center"/>
          </w:tcPr>
          <w:p>
            <w:pPr>
              <w:widowControl/>
              <w:suppressLineNumbers w:val="0"/>
              <w:spacing w:line="240" w:lineRule="auto"/>
              <w:ind w:left="0" w:firstLine="0"/>
              <w:jc w:val="center"/>
              <w:rPr>
                <w:rFonts w:ascii="Times New Roman" w:hAnsi="Times New Roman" w:cs="Times New Roman"/>
                <w:b/>
                <w:bCs/>
              </w:rPr>
            </w:pPr>
            <w:r>
              <w:rPr>
                <w:rFonts w:ascii="Times New Roman" w:hAnsi="Times New Roman" w:cs="Times New Roman"/>
                <w:b/>
                <w:bCs/>
              </w:rPr>
              <w:t>69,1</w:t>
            </w:r>
          </w:p>
        </w:tc>
      </w:tr>
    </w:tbl>
    <w:p>
      <w:pPr>
        <w:widowControl/>
        <w:suppressLineNumbers w:val="0"/>
        <w:spacing w:line="240" w:lineRule="auto"/>
        <w:ind w:left="0" w:firstLine="0"/>
        <w:jc w:val="center"/>
        <w:rPr>
          <w:rFonts w:ascii="Times New Roman" w:hAnsi="Times New Roman" w:cs="Times New Roman"/>
        </w:rPr>
      </w:pPr>
      <w:r>
        <w:rPr>
          <w:rFonts w:ascii="Times New Roman" w:hAnsi="Times New Roman" w:cs="Times New Roman"/>
          <w:color w:val="000000"/>
          <w:sz w:val="20"/>
          <w:szCs w:val="20"/>
        </w:rPr>
        <w:t>Fonte: Banco Central do Brasil (BCB) - Departamento de Regulação, Supervisão e Controle das Operações do Crédito Rural e do Proagro (Derop) - Sistema de Operações do Crédito Rural e do Proagro (Sicor) - Adaptado pela autora (2022).</w:t>
      </w:r>
    </w:p>
    <w:p>
      <w:pPr>
        <w:widowControl/>
        <w:suppressLineNumbers w:val="0"/>
        <w:spacing w:line="240" w:lineRule="auto"/>
        <w:ind w:left="0" w:firstLine="0"/>
      </w:pPr>
    </w:p>
    <w:p>
      <w:pPr>
        <w:widowControl/>
        <w:suppressLineNumbers w:val="0"/>
        <w:spacing w:line="360" w:lineRule="auto"/>
        <w:ind w:left="0" w:firstLine="708"/>
        <w:rPr>
          <w:rFonts w:ascii="Times New Roman" w:hAnsi="Times New Roman" w:cs="Times New Roman"/>
        </w:rPr>
      </w:pPr>
      <w:r>
        <w:rPr>
          <w:rFonts w:ascii="Times New Roman" w:hAnsi="Times New Roman" w:cs="Times New Roman"/>
        </w:rPr>
        <w:t>A maior parte dos contratos é de pecuária, sendo mais relevante na Região Nordeste, enquanto a região Sul possui o maior número de contratos agrícolas. É notável que os contratos agrícolas, principalmente na Região Sul possuem os maiores valores. Ressalta-se também que, embora o nordeste tenha o número mais expressivo de contratos de pecuária, o sul também lidera como a região com maior valor monetário.</w:t>
      </w:r>
    </w:p>
    <w:p>
      <w:pPr>
        <w:widowControl/>
        <w:suppressLineNumbers w:val="0"/>
        <w:spacing w:line="360" w:lineRule="auto"/>
        <w:ind w:left="0" w:firstLine="708"/>
        <w:rPr>
          <w:rFonts w:ascii="Times New Roman" w:hAnsi="Times New Roman" w:cs="Times New Roman"/>
        </w:rPr>
      </w:pPr>
      <w:r>
        <w:rPr>
          <w:rFonts w:ascii="Times New Roman" w:hAnsi="Times New Roman" w:cs="Times New Roman"/>
        </w:rPr>
        <w:t>A seguir, têm-se os resultados da regressão, onde o tipo de atividade referência é a pecuária. Nesse modelo não se levou em conta a variável região. A intenção é descobrir se há diferenças entre os contratos agrícolas em valores médios em relação aos de pecuária.</w:t>
      </w:r>
    </w:p>
    <w:p>
      <w:pPr>
        <w:widowControl/>
        <w:suppressLineNumbers w:val="0"/>
        <w:spacing w:line="360" w:lineRule="auto"/>
        <w:ind w:left="0" w:firstLine="708"/>
        <w:rPr>
          <w:rFonts w:ascii="Times New Roman" w:hAnsi="Times New Roman" w:cs="Times New Roman"/>
        </w:rPr>
      </w:pPr>
    </w:p>
    <w:p>
      <w:pPr>
        <w:widowControl/>
        <w:suppressLineNumbers w:val="0"/>
        <w:spacing w:line="240" w:lineRule="auto"/>
        <w:ind w:left="0" w:firstLine="0"/>
        <w:jc w:val="center"/>
        <w:rPr>
          <w:rFonts w:ascii="Times New Roman" w:hAnsi="Times New Roman" w:cs="Times New Roman"/>
        </w:rPr>
      </w:pPr>
      <w:r>
        <w:rPr>
          <w:rFonts w:ascii="Times New Roman" w:hAnsi="Times New Roman" w:cs="Times New Roman"/>
          <w:b/>
          <w:bCs/>
          <w:color w:val="000000"/>
        </w:rPr>
        <w:t xml:space="preserve">Tabela 5 – Dados da regressão com </w:t>
      </w:r>
      <w:r>
        <w:rPr>
          <w:rFonts w:ascii="Times New Roman" w:hAnsi="Times New Roman" w:cs="Times New Roman"/>
          <w:b/>
          <w:bCs/>
          <w:i/>
          <w:iCs/>
          <w:color w:val="000000"/>
        </w:rPr>
        <w:t>Dummies</w:t>
      </w:r>
      <w:r>
        <w:rPr>
          <w:rFonts w:ascii="Times New Roman" w:hAnsi="Times New Roman" w:cs="Times New Roman"/>
          <w:b/>
          <w:bCs/>
          <w:color w:val="000000"/>
        </w:rPr>
        <w:t xml:space="preserve"> por Tipo de Atividade</w:t>
      </w:r>
    </w:p>
    <w:tbl>
      <w:tblPr>
        <w:tblStyle w:val="8"/>
        <w:tblW w:w="9050" w:type="dxa"/>
        <w:tblInd w:w="0" w:type="dxa"/>
        <w:tblLayout w:type="autofit"/>
        <w:tblCellMar>
          <w:top w:w="0" w:type="dxa"/>
          <w:left w:w="70" w:type="dxa"/>
          <w:bottom w:w="0" w:type="dxa"/>
          <w:right w:w="70" w:type="dxa"/>
        </w:tblCellMar>
      </w:tblPr>
      <w:tblGrid>
        <w:gridCol w:w="1810"/>
        <w:gridCol w:w="1810"/>
        <w:gridCol w:w="1810"/>
        <w:gridCol w:w="1810"/>
        <w:gridCol w:w="1810"/>
      </w:tblGrid>
      <w:tr>
        <w:tblPrEx>
          <w:tblCellMar>
            <w:top w:w="0" w:type="dxa"/>
            <w:left w:w="70" w:type="dxa"/>
            <w:bottom w:w="0" w:type="dxa"/>
            <w:right w:w="70" w:type="dxa"/>
          </w:tblCellMar>
        </w:tblPrEx>
        <w:trPr>
          <w:trHeight w:val="288" w:hRule="atLeast"/>
        </w:trPr>
        <w:tc>
          <w:tcPr>
            <w:tcW w:w="1810" w:type="dxa"/>
            <w:tcBorders>
              <w:top w:val="single" w:color="auto" w:sz="8" w:space="0"/>
              <w:left w:val="nil"/>
              <w:bottom w:val="single" w:color="auto" w:sz="4" w:space="0"/>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b/>
                <w:bCs/>
                <w:color w:val="000000"/>
              </w:rPr>
            </w:pPr>
            <w:r>
              <w:rPr>
                <w:rFonts w:ascii="Times New Roman" w:hAnsi="Times New Roman" w:cs="Times New Roman"/>
                <w:b/>
                <w:bCs/>
                <w:color w:val="000000"/>
              </w:rPr>
              <w:t>Variáveis</w:t>
            </w:r>
          </w:p>
        </w:tc>
        <w:tc>
          <w:tcPr>
            <w:tcW w:w="1810" w:type="dxa"/>
            <w:tcBorders>
              <w:top w:val="single" w:color="auto" w:sz="8" w:space="0"/>
              <w:left w:val="nil"/>
              <w:bottom w:val="single" w:color="auto" w:sz="4" w:space="0"/>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b/>
                <w:bCs/>
                <w:color w:val="000000"/>
              </w:rPr>
            </w:pPr>
            <w:r>
              <w:rPr>
                <w:rFonts w:ascii="Times New Roman" w:hAnsi="Times New Roman" w:cs="Times New Roman"/>
                <w:b/>
                <w:bCs/>
                <w:color w:val="000000"/>
              </w:rPr>
              <w:t>Coeficientes</w:t>
            </w:r>
          </w:p>
        </w:tc>
        <w:tc>
          <w:tcPr>
            <w:tcW w:w="1810" w:type="dxa"/>
            <w:tcBorders>
              <w:top w:val="single" w:color="auto" w:sz="8" w:space="0"/>
              <w:left w:val="nil"/>
              <w:bottom w:val="single" w:color="auto" w:sz="4" w:space="0"/>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b/>
                <w:bCs/>
                <w:color w:val="000000"/>
              </w:rPr>
            </w:pPr>
            <w:r>
              <w:rPr>
                <w:rFonts w:ascii="Times New Roman" w:hAnsi="Times New Roman" w:cs="Times New Roman"/>
                <w:b/>
                <w:bCs/>
                <w:color w:val="000000"/>
              </w:rPr>
              <w:t>Erro padrão</w:t>
            </w:r>
          </w:p>
        </w:tc>
        <w:tc>
          <w:tcPr>
            <w:tcW w:w="1810" w:type="dxa"/>
            <w:tcBorders>
              <w:top w:val="single" w:color="auto" w:sz="8" w:space="0"/>
              <w:left w:val="nil"/>
              <w:bottom w:val="single" w:color="auto" w:sz="4" w:space="0"/>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b/>
                <w:bCs/>
                <w:color w:val="000000"/>
              </w:rPr>
            </w:pPr>
            <w:r>
              <w:rPr>
                <w:rFonts w:ascii="Times New Roman" w:hAnsi="Times New Roman" w:cs="Times New Roman"/>
                <w:b/>
                <w:bCs/>
                <w:color w:val="000000"/>
              </w:rPr>
              <w:t>Stat t</w:t>
            </w:r>
          </w:p>
        </w:tc>
        <w:tc>
          <w:tcPr>
            <w:tcW w:w="1810" w:type="dxa"/>
            <w:tcBorders>
              <w:top w:val="single" w:color="auto" w:sz="8" w:space="0"/>
              <w:left w:val="nil"/>
              <w:bottom w:val="single" w:color="auto" w:sz="4" w:space="0"/>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b/>
                <w:bCs/>
                <w:color w:val="000000"/>
              </w:rPr>
            </w:pPr>
            <w:r>
              <w:rPr>
                <w:rFonts w:ascii="Times New Roman" w:hAnsi="Times New Roman" w:cs="Times New Roman"/>
                <w:b/>
                <w:bCs/>
                <w:color w:val="000000"/>
              </w:rPr>
              <w:t>P-Valor</w:t>
            </w:r>
          </w:p>
        </w:tc>
      </w:tr>
      <w:tr>
        <w:tblPrEx>
          <w:tblCellMar>
            <w:top w:w="0" w:type="dxa"/>
            <w:left w:w="70" w:type="dxa"/>
            <w:bottom w:w="0" w:type="dxa"/>
            <w:right w:w="70" w:type="dxa"/>
          </w:tblCellMar>
        </w:tblPrEx>
        <w:trPr>
          <w:trHeight w:val="277" w:hRule="atLeast"/>
        </w:trPr>
        <w:tc>
          <w:tcPr>
            <w:tcW w:w="1810"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Interseção</w:t>
            </w:r>
          </w:p>
        </w:tc>
        <w:tc>
          <w:tcPr>
            <w:tcW w:w="1810"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550.561,56</w:t>
            </w:r>
          </w:p>
        </w:tc>
        <w:tc>
          <w:tcPr>
            <w:tcW w:w="1810"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73.368,07</w:t>
            </w:r>
          </w:p>
        </w:tc>
        <w:tc>
          <w:tcPr>
            <w:tcW w:w="1810"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7,50</w:t>
            </w:r>
          </w:p>
        </w:tc>
        <w:tc>
          <w:tcPr>
            <w:tcW w:w="1810"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0,00</w:t>
            </w:r>
          </w:p>
        </w:tc>
      </w:tr>
      <w:tr>
        <w:tblPrEx>
          <w:tblCellMar>
            <w:top w:w="0" w:type="dxa"/>
            <w:left w:w="70" w:type="dxa"/>
            <w:bottom w:w="0" w:type="dxa"/>
            <w:right w:w="70" w:type="dxa"/>
          </w:tblCellMar>
        </w:tblPrEx>
        <w:trPr>
          <w:trHeight w:val="288" w:hRule="atLeast"/>
        </w:trPr>
        <w:tc>
          <w:tcPr>
            <w:tcW w:w="1810" w:type="dxa"/>
            <w:tcBorders>
              <w:top w:val="nil"/>
              <w:left w:val="nil"/>
              <w:bottom w:val="single" w:color="auto" w:sz="8" w:space="0"/>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Dagrícola</w:t>
            </w:r>
          </w:p>
        </w:tc>
        <w:tc>
          <w:tcPr>
            <w:tcW w:w="1810" w:type="dxa"/>
            <w:tcBorders>
              <w:top w:val="nil"/>
              <w:left w:val="nil"/>
              <w:bottom w:val="single" w:color="auto" w:sz="8" w:space="0"/>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227.576,65</w:t>
            </w:r>
          </w:p>
        </w:tc>
        <w:tc>
          <w:tcPr>
            <w:tcW w:w="1810" w:type="dxa"/>
            <w:tcBorders>
              <w:top w:val="nil"/>
              <w:left w:val="nil"/>
              <w:bottom w:val="single" w:color="auto" w:sz="8" w:space="0"/>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102.483,12</w:t>
            </w:r>
          </w:p>
        </w:tc>
        <w:tc>
          <w:tcPr>
            <w:tcW w:w="1810" w:type="dxa"/>
            <w:tcBorders>
              <w:top w:val="nil"/>
              <w:left w:val="nil"/>
              <w:bottom w:val="single" w:color="auto" w:sz="8" w:space="0"/>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2,22</w:t>
            </w:r>
          </w:p>
        </w:tc>
        <w:tc>
          <w:tcPr>
            <w:tcW w:w="1810" w:type="dxa"/>
            <w:tcBorders>
              <w:top w:val="nil"/>
              <w:left w:val="nil"/>
              <w:bottom w:val="single" w:color="auto" w:sz="8" w:space="0"/>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0,03</w:t>
            </w:r>
          </w:p>
        </w:tc>
      </w:tr>
    </w:tbl>
    <w:p>
      <w:pPr>
        <w:widowControl/>
        <w:suppressLineNumbers w:val="0"/>
        <w:spacing w:line="240" w:lineRule="auto"/>
        <w:ind w:left="0" w:firstLine="0"/>
        <w:jc w:val="center"/>
        <w:rPr>
          <w:rFonts w:ascii="Times New Roman" w:hAnsi="Times New Roman" w:cs="Times New Roman"/>
          <w:color w:val="000000"/>
          <w:sz w:val="20"/>
          <w:szCs w:val="20"/>
        </w:rPr>
      </w:pPr>
      <w:r>
        <w:rPr>
          <w:rFonts w:ascii="Times New Roman" w:hAnsi="Times New Roman" w:cs="Times New Roman"/>
          <w:bCs/>
          <w:sz w:val="20"/>
          <w:szCs w:val="20"/>
        </w:rPr>
        <w:t>Fonte: Autora (2022) baseada nos dados do Banco Central do Brasil</w:t>
      </w:r>
      <w:r>
        <w:rPr>
          <w:rFonts w:ascii="Times New Roman" w:hAnsi="Times New Roman" w:cs="Times New Roman"/>
          <w:color w:val="000000"/>
          <w:sz w:val="20"/>
          <w:szCs w:val="20"/>
        </w:rPr>
        <w:t xml:space="preserve"> (BCB).</w:t>
      </w:r>
    </w:p>
    <w:p>
      <w:pPr>
        <w:widowControl/>
        <w:suppressLineNumbers w:val="0"/>
        <w:spacing w:line="360" w:lineRule="auto"/>
        <w:ind w:left="0" w:firstLine="708"/>
        <w:rPr>
          <w:rFonts w:ascii="Times New Roman" w:hAnsi="Times New Roman" w:cs="Times New Roman"/>
        </w:rPr>
      </w:pPr>
    </w:p>
    <w:p>
      <w:pPr>
        <w:widowControl/>
        <w:suppressLineNumbers w:val="0"/>
        <w:spacing w:line="360" w:lineRule="auto"/>
        <w:ind w:left="0" w:firstLine="708"/>
        <w:rPr>
          <w:rFonts w:ascii="Times New Roman" w:hAnsi="Times New Roman" w:cs="Times New Roman"/>
        </w:rPr>
      </w:pPr>
      <w:r>
        <w:rPr>
          <w:rFonts w:ascii="Times New Roman" w:hAnsi="Times New Roman" w:cs="Times New Roman"/>
        </w:rPr>
        <w:t>Com 5% de significância, os coeficientes são estatisticamente significativos. Ou seja, o valor médio dos contratos de pecuária gira em torno de R$ 550,6 mil, já os contratos agrícolas são, em média, R$ 227,6 mil maiores. Esses resultados podem ser parcialmente responsáveis pelas diferenças significativas encontradas entre as regiões, principalmente em relação a Sul e Nordeste, já que a Região Sul possui, em sua maioria, contratos agrícolas, enquanto a Nordeste possui de pecuária.</w:t>
      </w:r>
    </w:p>
    <w:p>
      <w:pPr>
        <w:widowControl/>
        <w:suppressLineNumbers w:val="0"/>
        <w:spacing w:line="360" w:lineRule="auto"/>
        <w:ind w:left="0" w:firstLine="708"/>
        <w:rPr>
          <w:rFonts w:ascii="Times New Roman" w:hAnsi="Times New Roman" w:cs="Times New Roman"/>
        </w:rPr>
      </w:pPr>
      <w:r>
        <w:rPr>
          <w:rFonts w:ascii="Times New Roman" w:hAnsi="Times New Roman" w:cs="Times New Roman"/>
        </w:rPr>
        <w:t xml:space="preserve">O Quadro 2 apresenta a distribuição dos contratos por região e tipo de pessoa. A maior parte dos contratos é para pessoas físicas, porém, a Região Sul se destaca novamente por ter a maioria dos contratos de pessoa jurídica, totalizado 1.889 contratos dos 2.174 fechados no período. A Região Nordeste obteve apenas 9 contratos com pessoas jurídicas. </w:t>
      </w:r>
    </w:p>
    <w:p>
      <w:pPr>
        <w:widowControl/>
        <w:suppressLineNumbers w:val="0"/>
        <w:spacing w:line="360" w:lineRule="auto"/>
        <w:ind w:left="0" w:firstLine="708"/>
        <w:rPr>
          <w:rFonts w:ascii="Times New Roman" w:hAnsi="Times New Roman" w:cs="Times New Roman"/>
        </w:rPr>
      </w:pPr>
      <w:r>
        <w:rPr>
          <w:rFonts w:ascii="Times New Roman" w:hAnsi="Times New Roman" w:cs="Times New Roman"/>
        </w:rPr>
        <w:t>Essa diferença do sul com as demais regiões, em relação ao número de contratos com pessoas jurídicas, tem forte ligação com as cooperativas que existem naquela região.</w:t>
      </w:r>
    </w:p>
    <w:p>
      <w:pPr>
        <w:widowControl/>
        <w:suppressLineNumbers w:val="0"/>
        <w:spacing w:line="360" w:lineRule="auto"/>
        <w:ind w:left="0"/>
        <w:rPr>
          <w:rFonts w:ascii="Times New Roman" w:hAnsi="Times New Roman" w:cs="Times New Roman"/>
        </w:rPr>
      </w:pPr>
      <w:r>
        <w:rPr>
          <w:rFonts w:ascii="Times New Roman" w:hAnsi="Times New Roman" w:cs="Times New Roman"/>
        </w:rPr>
        <w:t xml:space="preserve">Para entender se o tipo de pessoa interfere na diferença entre os valores médios dos contratos, novamente foi utilizado o ferramental econométrico com variáveis </w:t>
      </w:r>
      <w:r>
        <w:rPr>
          <w:rFonts w:ascii="Times New Roman" w:hAnsi="Times New Roman" w:cs="Times New Roman"/>
          <w:i/>
          <w:iCs/>
        </w:rPr>
        <w:t>dummies</w:t>
      </w:r>
      <w:r>
        <w:rPr>
          <w:rFonts w:ascii="Times New Roman" w:hAnsi="Times New Roman" w:cs="Times New Roman"/>
        </w:rPr>
        <w:t>. Neste caso, a referência são os contratos com Pessoa jurídica.</w:t>
      </w:r>
    </w:p>
    <w:p>
      <w:pPr>
        <w:widowControl/>
        <w:suppressLineNumbers w:val="0"/>
        <w:spacing w:line="240" w:lineRule="auto"/>
        <w:ind w:left="0" w:firstLine="0"/>
        <w:jc w:val="left"/>
        <w:rPr>
          <w:rFonts w:ascii="Times New Roman" w:hAnsi="Times New Roman" w:cs="Times New Roman"/>
        </w:rPr>
      </w:pPr>
      <w:r>
        <w:rPr>
          <w:rFonts w:ascii="Times New Roman" w:hAnsi="Times New Roman" w:cs="Times New Roman"/>
        </w:rPr>
        <w:br w:type="page"/>
      </w:r>
    </w:p>
    <w:p>
      <w:pPr>
        <w:widowControl/>
        <w:suppressLineNumbers w:val="0"/>
        <w:spacing w:line="240" w:lineRule="auto"/>
        <w:ind w:left="0" w:firstLine="0"/>
        <w:jc w:val="center"/>
        <w:rPr>
          <w:rFonts w:ascii="Times New Roman" w:hAnsi="Times New Roman" w:cs="Times New Roman"/>
        </w:rPr>
      </w:pPr>
      <w:r>
        <w:rPr>
          <w:rFonts w:ascii="Times New Roman" w:hAnsi="Times New Roman" w:cs="Times New Roman"/>
          <w:b/>
          <w:bCs/>
          <w:color w:val="000000"/>
        </w:rPr>
        <w:t>Quadro 2 - PRONAF - Quantidade e valor dos contratos por região e tipo de pessoa (2017-2021)</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87"/>
        <w:gridCol w:w="1601"/>
        <w:gridCol w:w="1836"/>
        <w:gridCol w:w="1601"/>
        <w:gridCol w:w="18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187" w:type="dxa"/>
            <w:noWrap/>
          </w:tcPr>
          <w:p>
            <w:pPr>
              <w:widowControl/>
              <w:suppressLineNumbers w:val="0"/>
              <w:spacing w:line="240" w:lineRule="auto"/>
              <w:ind w:left="0" w:firstLine="0"/>
              <w:jc w:val="center"/>
              <w:rPr>
                <w:rFonts w:ascii="Times New Roman" w:hAnsi="Times New Roman" w:cs="Times New Roman"/>
                <w:b/>
                <w:bCs/>
              </w:rPr>
            </w:pPr>
            <w:r>
              <w:rPr>
                <w:rFonts w:ascii="Times New Roman" w:hAnsi="Times New Roman" w:cs="Times New Roman"/>
                <w:b/>
                <w:bCs/>
              </w:rPr>
              <w:t>Tipo de Pessoa</w:t>
            </w:r>
          </w:p>
        </w:tc>
        <w:tc>
          <w:tcPr>
            <w:tcW w:w="3437" w:type="dxa"/>
            <w:gridSpan w:val="2"/>
            <w:noWrap/>
          </w:tcPr>
          <w:p>
            <w:pPr>
              <w:widowControl/>
              <w:suppressLineNumbers w:val="0"/>
              <w:spacing w:line="240" w:lineRule="auto"/>
              <w:ind w:left="0" w:firstLine="0"/>
              <w:jc w:val="center"/>
              <w:rPr>
                <w:rFonts w:ascii="Times New Roman" w:hAnsi="Times New Roman" w:cs="Times New Roman"/>
                <w:b/>
                <w:bCs/>
              </w:rPr>
            </w:pPr>
            <w:r>
              <w:rPr>
                <w:rFonts w:ascii="Times New Roman" w:hAnsi="Times New Roman" w:cs="Times New Roman"/>
                <w:b/>
                <w:bCs/>
              </w:rPr>
              <w:t>Pessoa Física</w:t>
            </w:r>
          </w:p>
        </w:tc>
        <w:tc>
          <w:tcPr>
            <w:tcW w:w="3437" w:type="dxa"/>
            <w:gridSpan w:val="2"/>
            <w:noWrap/>
          </w:tcPr>
          <w:p>
            <w:pPr>
              <w:widowControl/>
              <w:suppressLineNumbers w:val="0"/>
              <w:spacing w:line="240" w:lineRule="auto"/>
              <w:ind w:left="0" w:firstLine="0"/>
              <w:jc w:val="center"/>
              <w:rPr>
                <w:rFonts w:ascii="Times New Roman" w:hAnsi="Times New Roman" w:cs="Times New Roman"/>
                <w:b/>
                <w:bCs/>
              </w:rPr>
            </w:pPr>
            <w:r>
              <w:rPr>
                <w:rFonts w:ascii="Times New Roman" w:hAnsi="Times New Roman" w:cs="Times New Roman"/>
                <w:b/>
                <w:bCs/>
              </w:rPr>
              <w:t>Pessoa Jurídica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187" w:type="dxa"/>
            <w:noWrap/>
          </w:tcPr>
          <w:p>
            <w:pPr>
              <w:widowControl/>
              <w:suppressLineNumbers w:val="0"/>
              <w:spacing w:line="240" w:lineRule="auto"/>
              <w:ind w:left="0" w:firstLine="0"/>
              <w:jc w:val="center"/>
              <w:rPr>
                <w:rFonts w:ascii="Times New Roman" w:hAnsi="Times New Roman" w:cs="Times New Roman"/>
                <w:b/>
                <w:bCs/>
              </w:rPr>
            </w:pPr>
            <w:r>
              <w:rPr>
                <w:rFonts w:ascii="Times New Roman" w:hAnsi="Times New Roman" w:cs="Times New Roman"/>
                <w:b/>
                <w:bCs/>
              </w:rPr>
              <w:t>Região</w:t>
            </w:r>
          </w:p>
        </w:tc>
        <w:tc>
          <w:tcPr>
            <w:tcW w:w="1601" w:type="dxa"/>
            <w:noWrap/>
          </w:tcPr>
          <w:p>
            <w:pPr>
              <w:widowControl/>
              <w:suppressLineNumbers w:val="0"/>
              <w:spacing w:line="240" w:lineRule="auto"/>
              <w:ind w:left="0" w:firstLine="0"/>
              <w:jc w:val="center"/>
              <w:rPr>
                <w:rFonts w:ascii="Times New Roman" w:hAnsi="Times New Roman" w:cs="Times New Roman"/>
                <w:b/>
                <w:bCs/>
              </w:rPr>
            </w:pPr>
            <w:r>
              <w:rPr>
                <w:rFonts w:ascii="Times New Roman" w:hAnsi="Times New Roman" w:cs="Times New Roman"/>
                <w:b/>
                <w:bCs/>
              </w:rPr>
              <w:t>Nº Contratos</w:t>
            </w:r>
          </w:p>
        </w:tc>
        <w:tc>
          <w:tcPr>
            <w:tcW w:w="1836" w:type="dxa"/>
            <w:noWrap/>
          </w:tcPr>
          <w:p>
            <w:pPr>
              <w:widowControl/>
              <w:suppressLineNumbers w:val="0"/>
              <w:spacing w:line="240" w:lineRule="auto"/>
              <w:ind w:left="0" w:firstLine="0"/>
              <w:jc w:val="center"/>
              <w:rPr>
                <w:rFonts w:ascii="Times New Roman" w:hAnsi="Times New Roman" w:cs="Times New Roman"/>
                <w:b/>
                <w:bCs/>
              </w:rPr>
            </w:pPr>
            <w:r>
              <w:rPr>
                <w:rFonts w:ascii="Times New Roman" w:hAnsi="Times New Roman" w:cs="Times New Roman"/>
                <w:b/>
                <w:bCs/>
              </w:rPr>
              <w:t>Em R$ Bilhões</w:t>
            </w:r>
          </w:p>
        </w:tc>
        <w:tc>
          <w:tcPr>
            <w:tcW w:w="1601" w:type="dxa"/>
            <w:noWrap/>
          </w:tcPr>
          <w:p>
            <w:pPr>
              <w:widowControl/>
              <w:suppressLineNumbers w:val="0"/>
              <w:spacing w:line="240" w:lineRule="auto"/>
              <w:ind w:left="0" w:firstLine="0"/>
              <w:jc w:val="center"/>
              <w:rPr>
                <w:rFonts w:ascii="Times New Roman" w:hAnsi="Times New Roman" w:cs="Times New Roman"/>
                <w:b/>
                <w:bCs/>
              </w:rPr>
            </w:pPr>
            <w:r>
              <w:rPr>
                <w:rFonts w:ascii="Times New Roman" w:hAnsi="Times New Roman" w:cs="Times New Roman"/>
                <w:b/>
                <w:bCs/>
              </w:rPr>
              <w:t>Nº Contratos</w:t>
            </w:r>
          </w:p>
        </w:tc>
        <w:tc>
          <w:tcPr>
            <w:tcW w:w="1836" w:type="dxa"/>
            <w:noWrap/>
          </w:tcPr>
          <w:p>
            <w:pPr>
              <w:widowControl/>
              <w:suppressLineNumbers w:val="0"/>
              <w:spacing w:line="240" w:lineRule="auto"/>
              <w:ind w:left="0" w:firstLine="0"/>
              <w:jc w:val="center"/>
              <w:rPr>
                <w:rFonts w:ascii="Times New Roman" w:hAnsi="Times New Roman" w:cs="Times New Roman"/>
                <w:b/>
                <w:bCs/>
              </w:rPr>
            </w:pPr>
            <w:r>
              <w:rPr>
                <w:rFonts w:ascii="Times New Roman" w:hAnsi="Times New Roman" w:cs="Times New Roman"/>
                <w:b/>
                <w:bCs/>
              </w:rPr>
              <w:t>Em R$ Bilhões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187" w:type="dxa"/>
            <w:noWrap/>
          </w:tcPr>
          <w:p>
            <w:pPr>
              <w:widowControl/>
              <w:suppressLineNumbers w:val="0"/>
              <w:spacing w:line="240" w:lineRule="auto"/>
              <w:ind w:left="0" w:firstLine="0"/>
              <w:jc w:val="center"/>
              <w:rPr>
                <w:rFonts w:ascii="Times New Roman" w:hAnsi="Times New Roman" w:cs="Times New Roman"/>
              </w:rPr>
            </w:pPr>
            <w:r>
              <w:rPr>
                <w:rFonts w:ascii="Times New Roman" w:hAnsi="Times New Roman" w:cs="Times New Roman"/>
              </w:rPr>
              <w:t>CENTRO-OESTE</w:t>
            </w:r>
          </w:p>
        </w:tc>
        <w:tc>
          <w:tcPr>
            <w:tcW w:w="1601" w:type="dxa"/>
            <w:noWrap/>
          </w:tcPr>
          <w:p>
            <w:pPr>
              <w:widowControl/>
              <w:suppressLineNumbers w:val="0"/>
              <w:spacing w:line="240" w:lineRule="auto"/>
              <w:ind w:left="0" w:firstLine="0"/>
              <w:jc w:val="center"/>
              <w:rPr>
                <w:rFonts w:ascii="Times New Roman" w:hAnsi="Times New Roman" w:cs="Times New Roman"/>
              </w:rPr>
            </w:pPr>
            <w:r>
              <w:rPr>
                <w:rFonts w:ascii="Times New Roman" w:hAnsi="Times New Roman" w:cs="Times New Roman"/>
              </w:rPr>
              <w:t>207.715</w:t>
            </w:r>
          </w:p>
        </w:tc>
        <w:tc>
          <w:tcPr>
            <w:tcW w:w="1836" w:type="dxa"/>
            <w:noWrap/>
          </w:tcPr>
          <w:p>
            <w:pPr>
              <w:widowControl/>
              <w:suppressLineNumbers w:val="0"/>
              <w:spacing w:line="240" w:lineRule="auto"/>
              <w:ind w:left="0" w:firstLine="0"/>
              <w:jc w:val="center"/>
              <w:rPr>
                <w:rFonts w:ascii="Times New Roman" w:hAnsi="Times New Roman" w:cs="Times New Roman"/>
              </w:rPr>
            </w:pPr>
            <w:r>
              <w:rPr>
                <w:rFonts w:ascii="Times New Roman" w:hAnsi="Times New Roman" w:cs="Times New Roman"/>
              </w:rPr>
              <w:t>10,0</w:t>
            </w:r>
          </w:p>
        </w:tc>
        <w:tc>
          <w:tcPr>
            <w:tcW w:w="1601" w:type="dxa"/>
            <w:noWrap/>
          </w:tcPr>
          <w:p>
            <w:pPr>
              <w:widowControl/>
              <w:suppressLineNumbers w:val="0"/>
              <w:spacing w:line="240" w:lineRule="auto"/>
              <w:ind w:left="0" w:firstLine="0"/>
              <w:jc w:val="center"/>
              <w:rPr>
                <w:rFonts w:ascii="Times New Roman" w:hAnsi="Times New Roman" w:cs="Times New Roman"/>
              </w:rPr>
            </w:pPr>
            <w:r>
              <w:rPr>
                <w:rFonts w:ascii="Times New Roman" w:hAnsi="Times New Roman" w:cs="Times New Roman"/>
              </w:rPr>
              <w:t>75</w:t>
            </w:r>
          </w:p>
        </w:tc>
        <w:tc>
          <w:tcPr>
            <w:tcW w:w="1836" w:type="dxa"/>
            <w:noWrap/>
          </w:tcPr>
          <w:p>
            <w:pPr>
              <w:widowControl/>
              <w:suppressLineNumbers w:val="0"/>
              <w:spacing w:line="240" w:lineRule="auto"/>
              <w:ind w:left="0" w:firstLine="0"/>
              <w:jc w:val="center"/>
              <w:rPr>
                <w:rFonts w:ascii="Times New Roman" w:hAnsi="Times New Roman" w:cs="Times New Roman"/>
              </w:rPr>
            </w:pPr>
            <w:r>
              <w:rPr>
                <w:rFonts w:ascii="Times New Roman" w:hAnsi="Times New Roman" w:cs="Times New Roman"/>
              </w:rPr>
              <w:t>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2187" w:type="dxa"/>
            <w:noWrap/>
          </w:tcPr>
          <w:p>
            <w:pPr>
              <w:widowControl/>
              <w:suppressLineNumbers w:val="0"/>
              <w:spacing w:line="240" w:lineRule="auto"/>
              <w:ind w:left="0" w:firstLine="0"/>
              <w:jc w:val="center"/>
              <w:rPr>
                <w:rFonts w:ascii="Times New Roman" w:hAnsi="Times New Roman" w:cs="Times New Roman"/>
              </w:rPr>
            </w:pPr>
            <w:r>
              <w:rPr>
                <w:rFonts w:ascii="Times New Roman" w:hAnsi="Times New Roman" w:cs="Times New Roman"/>
              </w:rPr>
              <w:t>NORDESTE</w:t>
            </w:r>
          </w:p>
        </w:tc>
        <w:tc>
          <w:tcPr>
            <w:tcW w:w="1601" w:type="dxa"/>
            <w:noWrap/>
          </w:tcPr>
          <w:p>
            <w:pPr>
              <w:widowControl/>
              <w:suppressLineNumbers w:val="0"/>
              <w:spacing w:line="240" w:lineRule="auto"/>
              <w:ind w:left="0" w:firstLine="0"/>
              <w:jc w:val="center"/>
              <w:rPr>
                <w:rFonts w:ascii="Times New Roman" w:hAnsi="Times New Roman" w:cs="Times New Roman"/>
              </w:rPr>
            </w:pPr>
            <w:r>
              <w:rPr>
                <w:rFonts w:ascii="Times New Roman" w:hAnsi="Times New Roman" w:cs="Times New Roman"/>
              </w:rPr>
              <w:t>3.821.628</w:t>
            </w:r>
          </w:p>
        </w:tc>
        <w:tc>
          <w:tcPr>
            <w:tcW w:w="1836" w:type="dxa"/>
            <w:noWrap/>
          </w:tcPr>
          <w:p>
            <w:pPr>
              <w:widowControl/>
              <w:suppressLineNumbers w:val="0"/>
              <w:spacing w:line="240" w:lineRule="auto"/>
              <w:ind w:left="0" w:firstLine="0"/>
              <w:jc w:val="center"/>
              <w:rPr>
                <w:rFonts w:ascii="Times New Roman" w:hAnsi="Times New Roman" w:cs="Times New Roman"/>
              </w:rPr>
            </w:pPr>
            <w:r>
              <w:rPr>
                <w:rFonts w:ascii="Times New Roman" w:hAnsi="Times New Roman" w:cs="Times New Roman"/>
              </w:rPr>
              <w:t>20,2</w:t>
            </w:r>
          </w:p>
        </w:tc>
        <w:tc>
          <w:tcPr>
            <w:tcW w:w="1601" w:type="dxa"/>
            <w:noWrap/>
          </w:tcPr>
          <w:p>
            <w:pPr>
              <w:widowControl/>
              <w:suppressLineNumbers w:val="0"/>
              <w:spacing w:line="240" w:lineRule="auto"/>
              <w:ind w:left="0" w:firstLine="0"/>
              <w:jc w:val="center"/>
              <w:rPr>
                <w:rFonts w:ascii="Times New Roman" w:hAnsi="Times New Roman" w:cs="Times New Roman"/>
              </w:rPr>
            </w:pPr>
            <w:r>
              <w:rPr>
                <w:rFonts w:ascii="Times New Roman" w:hAnsi="Times New Roman" w:cs="Times New Roman"/>
              </w:rPr>
              <w:t>9</w:t>
            </w:r>
          </w:p>
        </w:tc>
        <w:tc>
          <w:tcPr>
            <w:tcW w:w="1836" w:type="dxa"/>
            <w:noWrap/>
          </w:tcPr>
          <w:p>
            <w:pPr>
              <w:widowControl/>
              <w:suppressLineNumbers w:val="0"/>
              <w:spacing w:line="240" w:lineRule="auto"/>
              <w:ind w:left="0" w:firstLine="0"/>
              <w:jc w:val="center"/>
              <w:rPr>
                <w:rFonts w:ascii="Times New Roman" w:hAnsi="Times New Roman" w:cs="Times New Roman"/>
              </w:rPr>
            </w:pPr>
            <w:r>
              <w:rPr>
                <w:rFonts w:ascii="Times New Roman" w:hAnsi="Times New Roman" w:cs="Times New Roman"/>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2187" w:type="dxa"/>
            <w:noWrap/>
          </w:tcPr>
          <w:p>
            <w:pPr>
              <w:widowControl/>
              <w:suppressLineNumbers w:val="0"/>
              <w:spacing w:line="240" w:lineRule="auto"/>
              <w:ind w:left="0" w:firstLine="0"/>
              <w:jc w:val="center"/>
              <w:rPr>
                <w:rFonts w:ascii="Times New Roman" w:hAnsi="Times New Roman" w:cs="Times New Roman"/>
              </w:rPr>
            </w:pPr>
            <w:r>
              <w:rPr>
                <w:rFonts w:ascii="Times New Roman" w:hAnsi="Times New Roman" w:cs="Times New Roman"/>
              </w:rPr>
              <w:t>NORTE</w:t>
            </w:r>
          </w:p>
        </w:tc>
        <w:tc>
          <w:tcPr>
            <w:tcW w:w="1601" w:type="dxa"/>
            <w:noWrap/>
          </w:tcPr>
          <w:p>
            <w:pPr>
              <w:widowControl/>
              <w:suppressLineNumbers w:val="0"/>
              <w:spacing w:line="240" w:lineRule="auto"/>
              <w:ind w:left="0" w:firstLine="0"/>
              <w:jc w:val="center"/>
              <w:rPr>
                <w:rFonts w:ascii="Times New Roman" w:hAnsi="Times New Roman" w:cs="Times New Roman"/>
              </w:rPr>
            </w:pPr>
            <w:r>
              <w:rPr>
                <w:rFonts w:ascii="Times New Roman" w:hAnsi="Times New Roman" w:cs="Times New Roman"/>
              </w:rPr>
              <w:t>239.553</w:t>
            </w:r>
          </w:p>
        </w:tc>
        <w:tc>
          <w:tcPr>
            <w:tcW w:w="1836" w:type="dxa"/>
            <w:noWrap/>
          </w:tcPr>
          <w:p>
            <w:pPr>
              <w:widowControl/>
              <w:suppressLineNumbers w:val="0"/>
              <w:spacing w:line="240" w:lineRule="auto"/>
              <w:ind w:left="0" w:firstLine="0"/>
              <w:jc w:val="center"/>
              <w:rPr>
                <w:rFonts w:ascii="Times New Roman" w:hAnsi="Times New Roman" w:cs="Times New Roman"/>
              </w:rPr>
            </w:pPr>
            <w:r>
              <w:rPr>
                <w:rFonts w:ascii="Times New Roman" w:hAnsi="Times New Roman" w:cs="Times New Roman"/>
              </w:rPr>
              <w:t>10,4</w:t>
            </w:r>
          </w:p>
        </w:tc>
        <w:tc>
          <w:tcPr>
            <w:tcW w:w="1601" w:type="dxa"/>
            <w:noWrap/>
          </w:tcPr>
          <w:p>
            <w:pPr>
              <w:widowControl/>
              <w:suppressLineNumbers w:val="0"/>
              <w:spacing w:line="240" w:lineRule="auto"/>
              <w:ind w:left="0" w:firstLine="0"/>
              <w:jc w:val="center"/>
              <w:rPr>
                <w:rFonts w:ascii="Times New Roman" w:hAnsi="Times New Roman" w:cs="Times New Roman"/>
              </w:rPr>
            </w:pPr>
            <w:r>
              <w:rPr>
                <w:rFonts w:ascii="Times New Roman" w:hAnsi="Times New Roman" w:cs="Times New Roman"/>
              </w:rPr>
              <w:t>24</w:t>
            </w:r>
          </w:p>
        </w:tc>
        <w:tc>
          <w:tcPr>
            <w:tcW w:w="1836" w:type="dxa"/>
            <w:noWrap/>
          </w:tcPr>
          <w:p>
            <w:pPr>
              <w:widowControl/>
              <w:suppressLineNumbers w:val="0"/>
              <w:spacing w:line="240" w:lineRule="auto"/>
              <w:ind w:left="0" w:firstLine="0"/>
              <w:jc w:val="center"/>
              <w:rPr>
                <w:rFonts w:ascii="Times New Roman" w:hAnsi="Times New Roman" w:cs="Times New Roman"/>
              </w:rPr>
            </w:pPr>
            <w:r>
              <w:rPr>
                <w:rFonts w:ascii="Times New Roman" w:hAnsi="Times New Roman" w:cs="Times New Roman"/>
              </w:rPr>
              <w:t>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2187" w:type="dxa"/>
            <w:noWrap/>
          </w:tcPr>
          <w:p>
            <w:pPr>
              <w:widowControl/>
              <w:suppressLineNumbers w:val="0"/>
              <w:spacing w:line="240" w:lineRule="auto"/>
              <w:ind w:left="0" w:firstLine="0"/>
              <w:jc w:val="center"/>
              <w:rPr>
                <w:rFonts w:ascii="Times New Roman" w:hAnsi="Times New Roman" w:cs="Times New Roman"/>
              </w:rPr>
            </w:pPr>
            <w:r>
              <w:rPr>
                <w:rFonts w:ascii="Times New Roman" w:hAnsi="Times New Roman" w:cs="Times New Roman"/>
              </w:rPr>
              <w:t>SUDESTE</w:t>
            </w:r>
          </w:p>
        </w:tc>
        <w:tc>
          <w:tcPr>
            <w:tcW w:w="1601" w:type="dxa"/>
            <w:noWrap/>
          </w:tcPr>
          <w:p>
            <w:pPr>
              <w:widowControl/>
              <w:suppressLineNumbers w:val="0"/>
              <w:spacing w:line="240" w:lineRule="auto"/>
              <w:ind w:left="0" w:firstLine="0"/>
              <w:jc w:val="center"/>
              <w:rPr>
                <w:rFonts w:ascii="Times New Roman" w:hAnsi="Times New Roman" w:cs="Times New Roman"/>
              </w:rPr>
            </w:pPr>
            <w:r>
              <w:rPr>
                <w:rFonts w:ascii="Times New Roman" w:hAnsi="Times New Roman" w:cs="Times New Roman"/>
              </w:rPr>
              <w:t>938.557</w:t>
            </w:r>
          </w:p>
        </w:tc>
        <w:tc>
          <w:tcPr>
            <w:tcW w:w="1836" w:type="dxa"/>
            <w:noWrap/>
          </w:tcPr>
          <w:p>
            <w:pPr>
              <w:widowControl/>
              <w:suppressLineNumbers w:val="0"/>
              <w:spacing w:line="240" w:lineRule="auto"/>
              <w:ind w:left="0" w:firstLine="0"/>
              <w:jc w:val="center"/>
              <w:rPr>
                <w:rFonts w:ascii="Times New Roman" w:hAnsi="Times New Roman" w:cs="Times New Roman"/>
              </w:rPr>
            </w:pPr>
            <w:r>
              <w:rPr>
                <w:rFonts w:ascii="Times New Roman" w:hAnsi="Times New Roman" w:cs="Times New Roman"/>
              </w:rPr>
              <w:t>21,7</w:t>
            </w:r>
          </w:p>
        </w:tc>
        <w:tc>
          <w:tcPr>
            <w:tcW w:w="1601" w:type="dxa"/>
            <w:noWrap/>
          </w:tcPr>
          <w:p>
            <w:pPr>
              <w:widowControl/>
              <w:suppressLineNumbers w:val="0"/>
              <w:spacing w:line="240" w:lineRule="auto"/>
              <w:ind w:left="0" w:firstLine="0"/>
              <w:jc w:val="center"/>
              <w:rPr>
                <w:rFonts w:ascii="Times New Roman" w:hAnsi="Times New Roman" w:cs="Times New Roman"/>
              </w:rPr>
            </w:pPr>
            <w:r>
              <w:rPr>
                <w:rFonts w:ascii="Times New Roman" w:hAnsi="Times New Roman" w:cs="Times New Roman"/>
              </w:rPr>
              <w:t>177</w:t>
            </w:r>
          </w:p>
        </w:tc>
        <w:tc>
          <w:tcPr>
            <w:tcW w:w="1836" w:type="dxa"/>
            <w:noWrap/>
          </w:tcPr>
          <w:p>
            <w:pPr>
              <w:widowControl/>
              <w:suppressLineNumbers w:val="0"/>
              <w:spacing w:line="240" w:lineRule="auto"/>
              <w:ind w:left="0" w:firstLine="0"/>
              <w:jc w:val="center"/>
              <w:rPr>
                <w:rFonts w:ascii="Times New Roman" w:hAnsi="Times New Roman" w:cs="Times New Roman"/>
              </w:rPr>
            </w:pPr>
            <w:r>
              <w:rPr>
                <w:rFonts w:ascii="Times New Roman" w:hAnsi="Times New Roman" w:cs="Times New Roman"/>
              </w:rPr>
              <w:t>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2187" w:type="dxa"/>
            <w:noWrap/>
          </w:tcPr>
          <w:p>
            <w:pPr>
              <w:widowControl/>
              <w:suppressLineNumbers w:val="0"/>
              <w:spacing w:line="240" w:lineRule="auto"/>
              <w:ind w:left="0" w:firstLine="0"/>
              <w:jc w:val="center"/>
              <w:rPr>
                <w:rFonts w:ascii="Times New Roman" w:hAnsi="Times New Roman" w:cs="Times New Roman"/>
              </w:rPr>
            </w:pPr>
            <w:r>
              <w:rPr>
                <w:rFonts w:ascii="Times New Roman" w:hAnsi="Times New Roman" w:cs="Times New Roman"/>
              </w:rPr>
              <w:t>SUL</w:t>
            </w:r>
          </w:p>
        </w:tc>
        <w:tc>
          <w:tcPr>
            <w:tcW w:w="1601" w:type="dxa"/>
            <w:noWrap/>
          </w:tcPr>
          <w:p>
            <w:pPr>
              <w:widowControl/>
              <w:suppressLineNumbers w:val="0"/>
              <w:spacing w:line="240" w:lineRule="auto"/>
              <w:ind w:left="0" w:firstLine="0"/>
              <w:jc w:val="center"/>
              <w:rPr>
                <w:rFonts w:ascii="Times New Roman" w:hAnsi="Times New Roman" w:cs="Times New Roman"/>
              </w:rPr>
            </w:pPr>
            <w:r>
              <w:rPr>
                <w:rFonts w:ascii="Times New Roman" w:hAnsi="Times New Roman" w:cs="Times New Roman"/>
              </w:rPr>
              <w:t>2.004.662</w:t>
            </w:r>
          </w:p>
        </w:tc>
        <w:tc>
          <w:tcPr>
            <w:tcW w:w="1836" w:type="dxa"/>
            <w:noWrap/>
          </w:tcPr>
          <w:p>
            <w:pPr>
              <w:widowControl/>
              <w:suppressLineNumbers w:val="0"/>
              <w:spacing w:line="240" w:lineRule="auto"/>
              <w:ind w:left="0" w:firstLine="0"/>
              <w:jc w:val="center"/>
              <w:rPr>
                <w:rFonts w:ascii="Times New Roman" w:hAnsi="Times New Roman" w:cs="Times New Roman"/>
              </w:rPr>
            </w:pPr>
            <w:r>
              <w:rPr>
                <w:rFonts w:ascii="Times New Roman" w:hAnsi="Times New Roman" w:cs="Times New Roman"/>
              </w:rPr>
              <w:t>73,0</w:t>
            </w:r>
          </w:p>
        </w:tc>
        <w:tc>
          <w:tcPr>
            <w:tcW w:w="1601" w:type="dxa"/>
            <w:noWrap/>
          </w:tcPr>
          <w:p>
            <w:pPr>
              <w:widowControl/>
              <w:suppressLineNumbers w:val="0"/>
              <w:spacing w:line="240" w:lineRule="auto"/>
              <w:ind w:left="0" w:firstLine="0"/>
              <w:jc w:val="center"/>
              <w:rPr>
                <w:rFonts w:ascii="Times New Roman" w:hAnsi="Times New Roman" w:cs="Times New Roman"/>
              </w:rPr>
            </w:pPr>
            <w:r>
              <w:rPr>
                <w:rFonts w:ascii="Times New Roman" w:hAnsi="Times New Roman" w:cs="Times New Roman"/>
              </w:rPr>
              <w:t>1.889</w:t>
            </w:r>
          </w:p>
        </w:tc>
        <w:tc>
          <w:tcPr>
            <w:tcW w:w="1836" w:type="dxa"/>
            <w:noWrap/>
          </w:tcPr>
          <w:p>
            <w:pPr>
              <w:widowControl/>
              <w:suppressLineNumbers w:val="0"/>
              <w:spacing w:line="240" w:lineRule="auto"/>
              <w:ind w:left="0" w:firstLine="0"/>
              <w:jc w:val="center"/>
              <w:rPr>
                <w:rFonts w:ascii="Times New Roman" w:hAnsi="Times New Roman" w:cs="Times New Roman"/>
              </w:rPr>
            </w:pPr>
            <w:r>
              <w:rPr>
                <w:rFonts w:ascii="Times New Roman" w:hAnsi="Times New Roman" w:cs="Times New Roman"/>
              </w:rPr>
              <w:t>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2187" w:type="dxa"/>
            <w:noWrap/>
          </w:tcPr>
          <w:p>
            <w:pPr>
              <w:widowControl/>
              <w:suppressLineNumbers w:val="0"/>
              <w:spacing w:line="240" w:lineRule="auto"/>
              <w:ind w:left="0" w:firstLine="0"/>
              <w:jc w:val="center"/>
              <w:rPr>
                <w:rFonts w:ascii="Times New Roman" w:hAnsi="Times New Roman" w:cs="Times New Roman"/>
                <w:b/>
                <w:bCs/>
              </w:rPr>
            </w:pPr>
            <w:r>
              <w:rPr>
                <w:rFonts w:ascii="Times New Roman" w:hAnsi="Times New Roman" w:cs="Times New Roman"/>
                <w:b/>
                <w:bCs/>
              </w:rPr>
              <w:t>Total Geral</w:t>
            </w:r>
          </w:p>
        </w:tc>
        <w:tc>
          <w:tcPr>
            <w:tcW w:w="1601" w:type="dxa"/>
            <w:noWrap/>
          </w:tcPr>
          <w:p>
            <w:pPr>
              <w:widowControl/>
              <w:suppressLineNumbers w:val="0"/>
              <w:spacing w:line="240" w:lineRule="auto"/>
              <w:ind w:left="0" w:firstLine="0"/>
              <w:jc w:val="center"/>
              <w:rPr>
                <w:rFonts w:ascii="Times New Roman" w:hAnsi="Times New Roman" w:cs="Times New Roman"/>
                <w:b/>
                <w:bCs/>
              </w:rPr>
            </w:pPr>
            <w:r>
              <w:rPr>
                <w:rFonts w:ascii="Times New Roman" w:hAnsi="Times New Roman" w:cs="Times New Roman"/>
                <w:b/>
                <w:bCs/>
              </w:rPr>
              <w:t>7.212.115</w:t>
            </w:r>
          </w:p>
        </w:tc>
        <w:tc>
          <w:tcPr>
            <w:tcW w:w="1836" w:type="dxa"/>
            <w:noWrap/>
          </w:tcPr>
          <w:p>
            <w:pPr>
              <w:widowControl/>
              <w:suppressLineNumbers w:val="0"/>
              <w:spacing w:line="240" w:lineRule="auto"/>
              <w:ind w:left="0" w:firstLine="0"/>
              <w:jc w:val="center"/>
              <w:rPr>
                <w:rFonts w:ascii="Times New Roman" w:hAnsi="Times New Roman" w:cs="Times New Roman"/>
                <w:b/>
                <w:bCs/>
              </w:rPr>
            </w:pPr>
            <w:r>
              <w:rPr>
                <w:rFonts w:ascii="Times New Roman" w:hAnsi="Times New Roman" w:cs="Times New Roman"/>
                <w:b/>
                <w:bCs/>
              </w:rPr>
              <w:t>135,3</w:t>
            </w:r>
          </w:p>
        </w:tc>
        <w:tc>
          <w:tcPr>
            <w:tcW w:w="1601" w:type="dxa"/>
            <w:noWrap/>
          </w:tcPr>
          <w:p>
            <w:pPr>
              <w:widowControl/>
              <w:suppressLineNumbers w:val="0"/>
              <w:spacing w:line="240" w:lineRule="auto"/>
              <w:ind w:left="0" w:firstLine="0"/>
              <w:jc w:val="center"/>
              <w:rPr>
                <w:rFonts w:ascii="Times New Roman" w:hAnsi="Times New Roman" w:cs="Times New Roman"/>
                <w:b/>
                <w:bCs/>
              </w:rPr>
            </w:pPr>
            <w:r>
              <w:rPr>
                <w:rFonts w:ascii="Times New Roman" w:hAnsi="Times New Roman" w:cs="Times New Roman"/>
                <w:b/>
                <w:bCs/>
              </w:rPr>
              <w:t>2.174</w:t>
            </w:r>
          </w:p>
        </w:tc>
        <w:tc>
          <w:tcPr>
            <w:tcW w:w="1836" w:type="dxa"/>
            <w:noWrap/>
          </w:tcPr>
          <w:p>
            <w:pPr>
              <w:widowControl/>
              <w:suppressLineNumbers w:val="0"/>
              <w:spacing w:line="240" w:lineRule="auto"/>
              <w:ind w:left="0" w:firstLine="0"/>
              <w:jc w:val="center"/>
              <w:rPr>
                <w:rFonts w:ascii="Times New Roman" w:hAnsi="Times New Roman" w:cs="Times New Roman"/>
                <w:b/>
                <w:bCs/>
              </w:rPr>
            </w:pPr>
            <w:r>
              <w:rPr>
                <w:rFonts w:ascii="Times New Roman" w:hAnsi="Times New Roman" w:cs="Times New Roman"/>
                <w:b/>
                <w:bCs/>
              </w:rPr>
              <w:t>8,3</w:t>
            </w:r>
          </w:p>
        </w:tc>
      </w:tr>
    </w:tbl>
    <w:p>
      <w:pPr>
        <w:widowControl/>
        <w:suppressLineNumbers w:val="0"/>
        <w:spacing w:line="240" w:lineRule="auto"/>
        <w:ind w:left="0" w:firstLine="0"/>
        <w:jc w:val="center"/>
        <w:rPr>
          <w:rFonts w:ascii="Times New Roman" w:hAnsi="Times New Roman" w:cs="Times New Roman"/>
        </w:rPr>
      </w:pPr>
      <w:r>
        <w:rPr>
          <w:rFonts w:ascii="Times New Roman" w:hAnsi="Times New Roman" w:cs="Times New Roman"/>
          <w:color w:val="000000"/>
          <w:sz w:val="20"/>
          <w:szCs w:val="20"/>
        </w:rPr>
        <w:t>Fonte: Banco Central do Brasil (BCB) - Departamento de Regulação, Supervisão e Controle das Operações do Crédito Rural e do Proagro (Derop) - Sistema de Operações do Crédito Rural e do Proagro (Sicor) - Adaptado pela autora (2022).</w:t>
      </w:r>
    </w:p>
    <w:p>
      <w:pPr>
        <w:widowControl/>
        <w:suppressLineNumbers w:val="0"/>
        <w:spacing w:line="360" w:lineRule="auto"/>
        <w:ind w:left="0" w:firstLine="0"/>
        <w:rPr>
          <w:rFonts w:ascii="Times New Roman" w:hAnsi="Times New Roman" w:cs="Times New Roman"/>
        </w:rPr>
      </w:pPr>
    </w:p>
    <w:p>
      <w:pPr>
        <w:widowControl/>
        <w:suppressLineNumbers w:val="0"/>
        <w:spacing w:line="240" w:lineRule="auto"/>
        <w:ind w:left="0" w:firstLine="0"/>
        <w:jc w:val="center"/>
        <w:rPr>
          <w:rFonts w:ascii="Times New Roman" w:hAnsi="Times New Roman" w:cs="Times New Roman"/>
        </w:rPr>
      </w:pPr>
      <w:r>
        <w:rPr>
          <w:rFonts w:ascii="Times New Roman" w:hAnsi="Times New Roman" w:cs="Times New Roman"/>
          <w:b/>
          <w:bCs/>
          <w:color w:val="000000"/>
        </w:rPr>
        <w:t xml:space="preserve">Tabela 6 – Dados da regressão com </w:t>
      </w:r>
      <w:r>
        <w:rPr>
          <w:rFonts w:ascii="Times New Roman" w:hAnsi="Times New Roman" w:cs="Times New Roman"/>
          <w:b/>
          <w:bCs/>
          <w:i/>
          <w:iCs/>
          <w:color w:val="000000"/>
        </w:rPr>
        <w:t>Dummies</w:t>
      </w:r>
      <w:r>
        <w:rPr>
          <w:rFonts w:ascii="Times New Roman" w:hAnsi="Times New Roman" w:cs="Times New Roman"/>
          <w:b/>
          <w:bCs/>
          <w:color w:val="000000"/>
        </w:rPr>
        <w:t xml:space="preserve"> por Tipo de Pessoa</w:t>
      </w:r>
    </w:p>
    <w:tbl>
      <w:tblPr>
        <w:tblStyle w:val="8"/>
        <w:tblW w:w="9145" w:type="dxa"/>
        <w:tblInd w:w="0" w:type="dxa"/>
        <w:tblLayout w:type="autofit"/>
        <w:tblCellMar>
          <w:top w:w="0" w:type="dxa"/>
          <w:left w:w="70" w:type="dxa"/>
          <w:bottom w:w="0" w:type="dxa"/>
          <w:right w:w="70" w:type="dxa"/>
        </w:tblCellMar>
      </w:tblPr>
      <w:tblGrid>
        <w:gridCol w:w="1829"/>
        <w:gridCol w:w="1829"/>
        <w:gridCol w:w="1829"/>
        <w:gridCol w:w="1829"/>
        <w:gridCol w:w="1829"/>
      </w:tblGrid>
      <w:tr>
        <w:tblPrEx>
          <w:tblCellMar>
            <w:top w:w="0" w:type="dxa"/>
            <w:left w:w="70" w:type="dxa"/>
            <w:bottom w:w="0" w:type="dxa"/>
            <w:right w:w="70" w:type="dxa"/>
          </w:tblCellMar>
        </w:tblPrEx>
        <w:trPr>
          <w:trHeight w:val="257" w:hRule="atLeast"/>
        </w:trPr>
        <w:tc>
          <w:tcPr>
            <w:tcW w:w="1829" w:type="dxa"/>
            <w:tcBorders>
              <w:top w:val="single" w:color="auto" w:sz="8" w:space="0"/>
              <w:left w:val="nil"/>
              <w:bottom w:val="single" w:color="auto" w:sz="4" w:space="0"/>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b/>
                <w:bCs/>
                <w:color w:val="000000"/>
              </w:rPr>
            </w:pPr>
            <w:r>
              <w:rPr>
                <w:rFonts w:ascii="Times New Roman" w:hAnsi="Times New Roman" w:cs="Times New Roman"/>
                <w:b/>
                <w:bCs/>
                <w:color w:val="000000"/>
              </w:rPr>
              <w:t>Variáveis</w:t>
            </w:r>
          </w:p>
        </w:tc>
        <w:tc>
          <w:tcPr>
            <w:tcW w:w="1829" w:type="dxa"/>
            <w:tcBorders>
              <w:top w:val="single" w:color="auto" w:sz="8" w:space="0"/>
              <w:left w:val="nil"/>
              <w:bottom w:val="single" w:color="auto" w:sz="4" w:space="0"/>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b/>
                <w:bCs/>
                <w:color w:val="000000"/>
              </w:rPr>
            </w:pPr>
            <w:r>
              <w:rPr>
                <w:rFonts w:ascii="Times New Roman" w:hAnsi="Times New Roman" w:cs="Times New Roman"/>
                <w:b/>
                <w:bCs/>
                <w:color w:val="000000"/>
              </w:rPr>
              <w:t>Coeficientes</w:t>
            </w:r>
          </w:p>
        </w:tc>
        <w:tc>
          <w:tcPr>
            <w:tcW w:w="1829" w:type="dxa"/>
            <w:tcBorders>
              <w:top w:val="single" w:color="auto" w:sz="8" w:space="0"/>
              <w:left w:val="nil"/>
              <w:bottom w:val="single" w:color="auto" w:sz="4" w:space="0"/>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b/>
                <w:bCs/>
                <w:color w:val="000000"/>
              </w:rPr>
            </w:pPr>
            <w:r>
              <w:rPr>
                <w:rFonts w:ascii="Times New Roman" w:hAnsi="Times New Roman" w:cs="Times New Roman"/>
                <w:b/>
                <w:bCs/>
                <w:color w:val="000000"/>
              </w:rPr>
              <w:t>Erro padrão</w:t>
            </w:r>
          </w:p>
        </w:tc>
        <w:tc>
          <w:tcPr>
            <w:tcW w:w="1829" w:type="dxa"/>
            <w:tcBorders>
              <w:top w:val="single" w:color="auto" w:sz="8" w:space="0"/>
              <w:left w:val="nil"/>
              <w:bottom w:val="single" w:color="auto" w:sz="4" w:space="0"/>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b/>
                <w:bCs/>
                <w:color w:val="000000"/>
              </w:rPr>
            </w:pPr>
            <w:r>
              <w:rPr>
                <w:rFonts w:ascii="Times New Roman" w:hAnsi="Times New Roman" w:cs="Times New Roman"/>
                <w:b/>
                <w:bCs/>
                <w:color w:val="000000"/>
              </w:rPr>
              <w:t>Stat t</w:t>
            </w:r>
          </w:p>
        </w:tc>
        <w:tc>
          <w:tcPr>
            <w:tcW w:w="1829" w:type="dxa"/>
            <w:tcBorders>
              <w:top w:val="single" w:color="auto" w:sz="8" w:space="0"/>
              <w:left w:val="nil"/>
              <w:bottom w:val="single" w:color="auto" w:sz="4" w:space="0"/>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b/>
                <w:bCs/>
                <w:color w:val="000000"/>
              </w:rPr>
            </w:pPr>
            <w:r>
              <w:rPr>
                <w:rFonts w:ascii="Times New Roman" w:hAnsi="Times New Roman" w:cs="Times New Roman"/>
                <w:b/>
                <w:bCs/>
                <w:color w:val="000000"/>
              </w:rPr>
              <w:t>P-Valor</w:t>
            </w:r>
          </w:p>
        </w:tc>
      </w:tr>
      <w:tr>
        <w:tblPrEx>
          <w:tblCellMar>
            <w:top w:w="0" w:type="dxa"/>
            <w:left w:w="70" w:type="dxa"/>
            <w:bottom w:w="0" w:type="dxa"/>
            <w:right w:w="70" w:type="dxa"/>
          </w:tblCellMar>
        </w:tblPrEx>
        <w:trPr>
          <w:trHeight w:val="247" w:hRule="atLeast"/>
        </w:trPr>
        <w:tc>
          <w:tcPr>
            <w:tcW w:w="1829"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Interseção</w:t>
            </w:r>
          </w:p>
        </w:tc>
        <w:tc>
          <w:tcPr>
            <w:tcW w:w="1829"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3.029.641,76</w:t>
            </w:r>
          </w:p>
        </w:tc>
        <w:tc>
          <w:tcPr>
            <w:tcW w:w="1829"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84.819,92</w:t>
            </w:r>
          </w:p>
        </w:tc>
        <w:tc>
          <w:tcPr>
            <w:tcW w:w="1829"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35,72</w:t>
            </w:r>
          </w:p>
        </w:tc>
        <w:tc>
          <w:tcPr>
            <w:tcW w:w="1829"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0,00</w:t>
            </w:r>
          </w:p>
        </w:tc>
      </w:tr>
      <w:tr>
        <w:tblPrEx>
          <w:tblCellMar>
            <w:top w:w="0" w:type="dxa"/>
            <w:left w:w="70" w:type="dxa"/>
            <w:bottom w:w="0" w:type="dxa"/>
            <w:right w:w="70" w:type="dxa"/>
          </w:tblCellMar>
        </w:tblPrEx>
        <w:trPr>
          <w:trHeight w:val="257" w:hRule="atLeast"/>
        </w:trPr>
        <w:tc>
          <w:tcPr>
            <w:tcW w:w="1829" w:type="dxa"/>
            <w:tcBorders>
              <w:top w:val="nil"/>
              <w:left w:val="nil"/>
              <w:bottom w:val="single" w:color="auto" w:sz="8" w:space="0"/>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Dfísica</w:t>
            </w:r>
          </w:p>
        </w:tc>
        <w:tc>
          <w:tcPr>
            <w:tcW w:w="1829" w:type="dxa"/>
            <w:tcBorders>
              <w:top w:val="nil"/>
              <w:left w:val="nil"/>
              <w:bottom w:val="single" w:color="auto" w:sz="8" w:space="0"/>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rPr>
            </w:pPr>
            <w:r>
              <w:rPr>
                <w:rFonts w:ascii="Times New Roman" w:hAnsi="Times New Roman" w:cs="Times New Roman"/>
              </w:rPr>
              <w:t>-2.998.315,48</w:t>
            </w:r>
          </w:p>
        </w:tc>
        <w:tc>
          <w:tcPr>
            <w:tcW w:w="1829" w:type="dxa"/>
            <w:tcBorders>
              <w:top w:val="nil"/>
              <w:left w:val="nil"/>
              <w:bottom w:val="single" w:color="auto" w:sz="8" w:space="0"/>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95.555,54</w:t>
            </w:r>
          </w:p>
        </w:tc>
        <w:tc>
          <w:tcPr>
            <w:tcW w:w="1829" w:type="dxa"/>
            <w:tcBorders>
              <w:top w:val="nil"/>
              <w:left w:val="nil"/>
              <w:bottom w:val="single" w:color="auto" w:sz="8" w:space="0"/>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rPr>
            </w:pPr>
            <w:r>
              <w:rPr>
                <w:rFonts w:ascii="Times New Roman" w:hAnsi="Times New Roman" w:cs="Times New Roman"/>
              </w:rPr>
              <w:t>-31,38</w:t>
            </w:r>
          </w:p>
        </w:tc>
        <w:tc>
          <w:tcPr>
            <w:tcW w:w="1829" w:type="dxa"/>
            <w:tcBorders>
              <w:top w:val="nil"/>
              <w:left w:val="nil"/>
              <w:bottom w:val="single" w:color="auto" w:sz="8" w:space="0"/>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0,00</w:t>
            </w:r>
          </w:p>
        </w:tc>
      </w:tr>
    </w:tbl>
    <w:p>
      <w:pPr>
        <w:widowControl/>
        <w:suppressLineNumbers w:val="0"/>
        <w:spacing w:line="240" w:lineRule="auto"/>
        <w:ind w:left="0" w:firstLine="0"/>
        <w:jc w:val="center"/>
        <w:rPr>
          <w:rFonts w:ascii="Times New Roman" w:hAnsi="Times New Roman" w:cs="Times New Roman"/>
          <w:color w:val="000000"/>
          <w:sz w:val="20"/>
          <w:szCs w:val="20"/>
        </w:rPr>
      </w:pPr>
      <w:r>
        <w:rPr>
          <w:rFonts w:ascii="Times New Roman" w:hAnsi="Times New Roman" w:cs="Times New Roman"/>
          <w:bCs/>
          <w:sz w:val="20"/>
          <w:szCs w:val="20"/>
        </w:rPr>
        <w:t>Fonte: Autora (2022) baseada nos dados do Banco Central do Brasil</w:t>
      </w:r>
      <w:r>
        <w:rPr>
          <w:rFonts w:ascii="Times New Roman" w:hAnsi="Times New Roman" w:cs="Times New Roman"/>
          <w:color w:val="000000"/>
          <w:sz w:val="20"/>
          <w:szCs w:val="20"/>
        </w:rPr>
        <w:t xml:space="preserve"> (BCB).</w:t>
      </w:r>
    </w:p>
    <w:p>
      <w:pPr>
        <w:widowControl/>
        <w:suppressLineNumbers w:val="0"/>
        <w:spacing w:line="360" w:lineRule="auto"/>
        <w:ind w:left="0" w:firstLine="0"/>
        <w:rPr>
          <w:rFonts w:ascii="Times New Roman" w:hAnsi="Times New Roman" w:cs="Times New Roman"/>
        </w:rPr>
      </w:pPr>
    </w:p>
    <w:p>
      <w:pPr>
        <w:widowControl/>
        <w:suppressLineNumbers w:val="0"/>
        <w:spacing w:line="360" w:lineRule="auto"/>
        <w:ind w:left="0" w:firstLine="708"/>
        <w:rPr>
          <w:rFonts w:ascii="Times New Roman" w:hAnsi="Times New Roman" w:cs="Times New Roman"/>
        </w:rPr>
      </w:pPr>
      <w:r>
        <w:rPr>
          <w:rFonts w:ascii="Times New Roman" w:hAnsi="Times New Roman" w:cs="Times New Roman"/>
        </w:rPr>
        <w:t>A regressão evidencia que os coeficientes são estatisticamente significativos. Dessa forma, é possível afirmar que o valor médio dos contratos de pessoa jurídica é de R$ 3,059 milhões. Já o valor médio dos contratos para pessoas físicas são R$ 2,99 milhões menores que para pessoas jurídicas, algo em torno de R$ 31 mil/cada.</w:t>
      </w:r>
    </w:p>
    <w:p>
      <w:pPr>
        <w:widowControl/>
        <w:suppressLineNumbers w:val="0"/>
        <w:spacing w:line="360" w:lineRule="auto"/>
        <w:ind w:left="0" w:firstLine="708"/>
        <w:rPr>
          <w:rFonts w:ascii="Times New Roman" w:hAnsi="Times New Roman" w:cs="Times New Roman"/>
        </w:rPr>
      </w:pPr>
      <w:r>
        <w:rPr>
          <w:rFonts w:ascii="Times New Roman" w:hAnsi="Times New Roman" w:cs="Times New Roman"/>
        </w:rPr>
        <w:t>Esses resultados também podem ser parcialmente responsáveis pelas diferenças significativas encontradas entre as regiões, principalmente em relação ao sul e nordeste, já que a Região Sul possui a maioria dos contratos com pessoas jurídicas, enquanto o nordeste possui apenas 9 contratos em 5 anos.</w:t>
      </w:r>
    </w:p>
    <w:p>
      <w:pPr>
        <w:widowControl/>
        <w:suppressLineNumbers w:val="0"/>
        <w:spacing w:line="360" w:lineRule="auto"/>
        <w:ind w:left="0" w:firstLine="708"/>
        <w:rPr>
          <w:rFonts w:ascii="Times New Roman" w:hAnsi="Times New Roman" w:cs="Times New Roman"/>
        </w:rPr>
      </w:pPr>
      <w:r>
        <w:rPr>
          <w:rFonts w:ascii="Times New Roman" w:hAnsi="Times New Roman" w:cs="Times New Roman"/>
        </w:rPr>
        <w:t xml:space="preserve">Assim, foi incluído no modelo inicial que analisava a distribuição (diferença) entre regiões (vide Tabela 4) as demais variáveis </w:t>
      </w:r>
      <w:r>
        <w:rPr>
          <w:rFonts w:ascii="Times New Roman" w:hAnsi="Times New Roman" w:cs="Times New Roman"/>
          <w:i/>
          <w:iCs/>
        </w:rPr>
        <w:t>dummies</w:t>
      </w:r>
      <w:r>
        <w:rPr>
          <w:rFonts w:ascii="Times New Roman" w:hAnsi="Times New Roman" w:cs="Times New Roman"/>
        </w:rPr>
        <w:t xml:space="preserve"> (tipo de atividade e tipo de pessoa). Os resultados da regressão estão expressos na Tabela 7.</w:t>
      </w:r>
    </w:p>
    <w:p>
      <w:pPr>
        <w:widowControl/>
        <w:suppressLineNumbers w:val="0"/>
        <w:spacing w:line="360" w:lineRule="auto"/>
        <w:ind w:left="0" w:firstLine="708"/>
        <w:rPr>
          <w:rFonts w:ascii="Times New Roman" w:hAnsi="Times New Roman" w:cs="Times New Roman"/>
        </w:rPr>
      </w:pPr>
    </w:p>
    <w:p>
      <w:pPr>
        <w:widowControl/>
        <w:suppressLineNumbers w:val="0"/>
        <w:spacing w:line="240" w:lineRule="auto"/>
        <w:ind w:left="0" w:firstLine="0"/>
        <w:jc w:val="center"/>
        <w:rPr>
          <w:rFonts w:ascii="Times New Roman" w:hAnsi="Times New Roman" w:cs="Times New Roman"/>
        </w:rPr>
      </w:pPr>
      <w:r>
        <w:rPr>
          <w:rFonts w:ascii="Times New Roman" w:hAnsi="Times New Roman" w:cs="Times New Roman"/>
          <w:b/>
          <w:bCs/>
          <w:color w:val="000000"/>
        </w:rPr>
        <w:t xml:space="preserve">Tabela 7 – Dados da regressão com </w:t>
      </w:r>
      <w:r>
        <w:rPr>
          <w:rFonts w:ascii="Times New Roman" w:hAnsi="Times New Roman" w:cs="Times New Roman"/>
          <w:b/>
          <w:bCs/>
          <w:i/>
          <w:iCs/>
          <w:color w:val="000000"/>
        </w:rPr>
        <w:t>Dummies</w:t>
      </w:r>
      <w:r>
        <w:rPr>
          <w:rFonts w:ascii="Times New Roman" w:hAnsi="Times New Roman" w:cs="Times New Roman"/>
          <w:b/>
          <w:bCs/>
          <w:color w:val="000000"/>
        </w:rPr>
        <w:t xml:space="preserve"> por Tipo de Pessoa</w:t>
      </w:r>
    </w:p>
    <w:tbl>
      <w:tblPr>
        <w:tblStyle w:val="8"/>
        <w:tblW w:w="9130" w:type="dxa"/>
        <w:tblInd w:w="0" w:type="dxa"/>
        <w:tblLayout w:type="autofit"/>
        <w:tblCellMar>
          <w:top w:w="0" w:type="dxa"/>
          <w:left w:w="70" w:type="dxa"/>
          <w:bottom w:w="0" w:type="dxa"/>
          <w:right w:w="70" w:type="dxa"/>
        </w:tblCellMar>
      </w:tblPr>
      <w:tblGrid>
        <w:gridCol w:w="1826"/>
        <w:gridCol w:w="1826"/>
        <w:gridCol w:w="1826"/>
        <w:gridCol w:w="1826"/>
        <w:gridCol w:w="1826"/>
      </w:tblGrid>
      <w:tr>
        <w:tblPrEx>
          <w:tblCellMar>
            <w:top w:w="0" w:type="dxa"/>
            <w:left w:w="70" w:type="dxa"/>
            <w:bottom w:w="0" w:type="dxa"/>
            <w:right w:w="70" w:type="dxa"/>
          </w:tblCellMar>
        </w:tblPrEx>
        <w:trPr>
          <w:trHeight w:val="284" w:hRule="atLeast"/>
        </w:trPr>
        <w:tc>
          <w:tcPr>
            <w:tcW w:w="1826" w:type="dxa"/>
            <w:tcBorders>
              <w:top w:val="single" w:color="auto" w:sz="8" w:space="0"/>
              <w:left w:val="nil"/>
              <w:bottom w:val="single" w:color="auto" w:sz="4" w:space="0"/>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b/>
                <w:bCs/>
                <w:color w:val="000000"/>
              </w:rPr>
            </w:pPr>
            <w:r>
              <w:rPr>
                <w:rFonts w:ascii="Times New Roman" w:hAnsi="Times New Roman" w:cs="Times New Roman"/>
                <w:b/>
                <w:bCs/>
                <w:color w:val="000000"/>
              </w:rPr>
              <w:t>Variáveis</w:t>
            </w:r>
          </w:p>
        </w:tc>
        <w:tc>
          <w:tcPr>
            <w:tcW w:w="1826" w:type="dxa"/>
            <w:tcBorders>
              <w:top w:val="single" w:color="auto" w:sz="8" w:space="0"/>
              <w:left w:val="nil"/>
              <w:bottom w:val="single" w:color="auto" w:sz="4" w:space="0"/>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b/>
                <w:bCs/>
                <w:color w:val="000000"/>
              </w:rPr>
            </w:pPr>
            <w:r>
              <w:rPr>
                <w:rFonts w:ascii="Times New Roman" w:hAnsi="Times New Roman" w:cs="Times New Roman"/>
                <w:b/>
                <w:bCs/>
                <w:color w:val="000000"/>
              </w:rPr>
              <w:t>Coeficientes</w:t>
            </w:r>
          </w:p>
        </w:tc>
        <w:tc>
          <w:tcPr>
            <w:tcW w:w="1826" w:type="dxa"/>
            <w:tcBorders>
              <w:top w:val="single" w:color="auto" w:sz="8" w:space="0"/>
              <w:left w:val="nil"/>
              <w:bottom w:val="single" w:color="auto" w:sz="4" w:space="0"/>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b/>
                <w:bCs/>
                <w:color w:val="000000"/>
              </w:rPr>
            </w:pPr>
            <w:r>
              <w:rPr>
                <w:rFonts w:ascii="Times New Roman" w:hAnsi="Times New Roman" w:cs="Times New Roman"/>
                <w:b/>
                <w:bCs/>
                <w:color w:val="000000"/>
              </w:rPr>
              <w:t>Erro padrão</w:t>
            </w:r>
          </w:p>
        </w:tc>
        <w:tc>
          <w:tcPr>
            <w:tcW w:w="1826" w:type="dxa"/>
            <w:tcBorders>
              <w:top w:val="single" w:color="auto" w:sz="8" w:space="0"/>
              <w:left w:val="nil"/>
              <w:bottom w:val="single" w:color="auto" w:sz="4" w:space="0"/>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b/>
                <w:bCs/>
                <w:color w:val="000000"/>
              </w:rPr>
            </w:pPr>
            <w:r>
              <w:rPr>
                <w:rFonts w:ascii="Times New Roman" w:hAnsi="Times New Roman" w:cs="Times New Roman"/>
                <w:b/>
                <w:bCs/>
                <w:color w:val="000000"/>
              </w:rPr>
              <w:t>Stat t</w:t>
            </w:r>
          </w:p>
        </w:tc>
        <w:tc>
          <w:tcPr>
            <w:tcW w:w="1826" w:type="dxa"/>
            <w:tcBorders>
              <w:top w:val="single" w:color="auto" w:sz="8" w:space="0"/>
              <w:left w:val="nil"/>
              <w:bottom w:val="single" w:color="auto" w:sz="4" w:space="0"/>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b/>
                <w:bCs/>
                <w:color w:val="000000"/>
              </w:rPr>
            </w:pPr>
            <w:r>
              <w:rPr>
                <w:rFonts w:ascii="Times New Roman" w:hAnsi="Times New Roman" w:cs="Times New Roman"/>
                <w:b/>
                <w:bCs/>
                <w:color w:val="000000"/>
              </w:rPr>
              <w:t>P-Valor</w:t>
            </w:r>
          </w:p>
        </w:tc>
      </w:tr>
      <w:tr>
        <w:tblPrEx>
          <w:tblCellMar>
            <w:top w:w="0" w:type="dxa"/>
            <w:left w:w="70" w:type="dxa"/>
            <w:bottom w:w="0" w:type="dxa"/>
            <w:right w:w="70" w:type="dxa"/>
          </w:tblCellMar>
        </w:tblPrEx>
        <w:trPr>
          <w:trHeight w:val="273" w:hRule="atLeast"/>
        </w:trPr>
        <w:tc>
          <w:tcPr>
            <w:tcW w:w="1826"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Interseção</w:t>
            </w:r>
          </w:p>
        </w:tc>
        <w:tc>
          <w:tcPr>
            <w:tcW w:w="1826"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3.080.034,43</w:t>
            </w:r>
          </w:p>
        </w:tc>
        <w:tc>
          <w:tcPr>
            <w:tcW w:w="1826"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108.904,11</w:t>
            </w:r>
          </w:p>
        </w:tc>
        <w:tc>
          <w:tcPr>
            <w:tcW w:w="1826"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28,28</w:t>
            </w:r>
          </w:p>
        </w:tc>
        <w:tc>
          <w:tcPr>
            <w:tcW w:w="1826"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0,00</w:t>
            </w:r>
          </w:p>
        </w:tc>
      </w:tr>
      <w:tr>
        <w:tblPrEx>
          <w:tblCellMar>
            <w:top w:w="0" w:type="dxa"/>
            <w:left w:w="70" w:type="dxa"/>
            <w:bottom w:w="0" w:type="dxa"/>
            <w:right w:w="70" w:type="dxa"/>
          </w:tblCellMar>
        </w:tblPrEx>
        <w:trPr>
          <w:trHeight w:val="273" w:hRule="atLeast"/>
        </w:trPr>
        <w:tc>
          <w:tcPr>
            <w:tcW w:w="1826"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D1Sudeste</w:t>
            </w:r>
          </w:p>
        </w:tc>
        <w:tc>
          <w:tcPr>
            <w:tcW w:w="1826"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rPr>
            </w:pPr>
            <w:r>
              <w:rPr>
                <w:rFonts w:ascii="Times New Roman" w:hAnsi="Times New Roman" w:cs="Times New Roman"/>
              </w:rPr>
              <w:t>-233.283,43</w:t>
            </w:r>
          </w:p>
        </w:tc>
        <w:tc>
          <w:tcPr>
            <w:tcW w:w="1826"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131.343,85</w:t>
            </w:r>
          </w:p>
        </w:tc>
        <w:tc>
          <w:tcPr>
            <w:tcW w:w="1826"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rPr>
            </w:pPr>
            <w:r>
              <w:rPr>
                <w:rFonts w:ascii="Times New Roman" w:hAnsi="Times New Roman" w:cs="Times New Roman"/>
              </w:rPr>
              <w:t>-1,78</w:t>
            </w:r>
          </w:p>
        </w:tc>
        <w:tc>
          <w:tcPr>
            <w:tcW w:w="1826"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0,08</w:t>
            </w:r>
          </w:p>
        </w:tc>
      </w:tr>
      <w:tr>
        <w:tblPrEx>
          <w:tblCellMar>
            <w:top w:w="0" w:type="dxa"/>
            <w:left w:w="70" w:type="dxa"/>
            <w:bottom w:w="0" w:type="dxa"/>
            <w:right w:w="70" w:type="dxa"/>
          </w:tblCellMar>
        </w:tblPrEx>
        <w:trPr>
          <w:trHeight w:val="273" w:hRule="atLeast"/>
        </w:trPr>
        <w:tc>
          <w:tcPr>
            <w:tcW w:w="1826"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D2Norte</w:t>
            </w:r>
          </w:p>
        </w:tc>
        <w:tc>
          <w:tcPr>
            <w:tcW w:w="1826"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rPr>
            </w:pPr>
            <w:r>
              <w:rPr>
                <w:rFonts w:ascii="Times New Roman" w:hAnsi="Times New Roman" w:cs="Times New Roman"/>
              </w:rPr>
              <w:t>-166.899,90</w:t>
            </w:r>
          </w:p>
        </w:tc>
        <w:tc>
          <w:tcPr>
            <w:tcW w:w="1826"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132.840,69</w:t>
            </w:r>
          </w:p>
        </w:tc>
        <w:tc>
          <w:tcPr>
            <w:tcW w:w="1826"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rPr>
            </w:pPr>
            <w:r>
              <w:rPr>
                <w:rFonts w:ascii="Times New Roman" w:hAnsi="Times New Roman" w:cs="Times New Roman"/>
              </w:rPr>
              <w:t>-1,26</w:t>
            </w:r>
          </w:p>
        </w:tc>
        <w:tc>
          <w:tcPr>
            <w:tcW w:w="1826"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0,21</w:t>
            </w:r>
          </w:p>
        </w:tc>
      </w:tr>
      <w:tr>
        <w:tblPrEx>
          <w:tblCellMar>
            <w:top w:w="0" w:type="dxa"/>
            <w:left w:w="70" w:type="dxa"/>
            <w:bottom w:w="0" w:type="dxa"/>
            <w:right w:w="70" w:type="dxa"/>
          </w:tblCellMar>
        </w:tblPrEx>
        <w:trPr>
          <w:trHeight w:val="273" w:hRule="atLeast"/>
        </w:trPr>
        <w:tc>
          <w:tcPr>
            <w:tcW w:w="1826"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D3Nordeste</w:t>
            </w:r>
          </w:p>
        </w:tc>
        <w:tc>
          <w:tcPr>
            <w:tcW w:w="1826"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rPr>
            </w:pPr>
            <w:r>
              <w:rPr>
                <w:rFonts w:ascii="Times New Roman" w:hAnsi="Times New Roman" w:cs="Times New Roman"/>
              </w:rPr>
              <w:t>-213.438,05</w:t>
            </w:r>
          </w:p>
        </w:tc>
        <w:tc>
          <w:tcPr>
            <w:tcW w:w="1826"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128.955,82</w:t>
            </w:r>
          </w:p>
        </w:tc>
        <w:tc>
          <w:tcPr>
            <w:tcW w:w="1826"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rPr>
            </w:pPr>
            <w:r>
              <w:rPr>
                <w:rFonts w:ascii="Times New Roman" w:hAnsi="Times New Roman" w:cs="Times New Roman"/>
              </w:rPr>
              <w:t>-1,66</w:t>
            </w:r>
          </w:p>
        </w:tc>
        <w:tc>
          <w:tcPr>
            <w:tcW w:w="1826"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0,10</w:t>
            </w:r>
          </w:p>
        </w:tc>
      </w:tr>
      <w:tr>
        <w:tblPrEx>
          <w:tblCellMar>
            <w:top w:w="0" w:type="dxa"/>
            <w:left w:w="70" w:type="dxa"/>
            <w:bottom w:w="0" w:type="dxa"/>
            <w:right w:w="70" w:type="dxa"/>
          </w:tblCellMar>
        </w:tblPrEx>
        <w:trPr>
          <w:trHeight w:val="273" w:hRule="atLeast"/>
        </w:trPr>
        <w:tc>
          <w:tcPr>
            <w:tcW w:w="1826"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D4Cen-Oeste</w:t>
            </w:r>
          </w:p>
        </w:tc>
        <w:tc>
          <w:tcPr>
            <w:tcW w:w="1826"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rPr>
            </w:pPr>
            <w:r>
              <w:rPr>
                <w:rFonts w:ascii="Times New Roman" w:hAnsi="Times New Roman" w:cs="Times New Roman"/>
              </w:rPr>
              <w:t>-390.070,19</w:t>
            </w:r>
          </w:p>
        </w:tc>
        <w:tc>
          <w:tcPr>
            <w:tcW w:w="1826"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139.536,82</w:t>
            </w:r>
          </w:p>
        </w:tc>
        <w:tc>
          <w:tcPr>
            <w:tcW w:w="1826"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rPr>
            </w:pPr>
            <w:r>
              <w:rPr>
                <w:rFonts w:ascii="Times New Roman" w:hAnsi="Times New Roman" w:cs="Times New Roman"/>
              </w:rPr>
              <w:t>-2,80</w:t>
            </w:r>
          </w:p>
        </w:tc>
        <w:tc>
          <w:tcPr>
            <w:tcW w:w="1826"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0,01</w:t>
            </w:r>
          </w:p>
        </w:tc>
      </w:tr>
      <w:tr>
        <w:tblPrEx>
          <w:tblCellMar>
            <w:top w:w="0" w:type="dxa"/>
            <w:left w:w="70" w:type="dxa"/>
            <w:bottom w:w="0" w:type="dxa"/>
            <w:right w:w="70" w:type="dxa"/>
          </w:tblCellMar>
        </w:tblPrEx>
        <w:trPr>
          <w:trHeight w:val="273" w:hRule="atLeast"/>
        </w:trPr>
        <w:tc>
          <w:tcPr>
            <w:tcW w:w="1826"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DPessoa Física</w:t>
            </w:r>
          </w:p>
        </w:tc>
        <w:tc>
          <w:tcPr>
            <w:tcW w:w="1826"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rPr>
            </w:pPr>
            <w:r>
              <w:rPr>
                <w:rFonts w:ascii="Times New Roman" w:hAnsi="Times New Roman" w:cs="Times New Roman"/>
              </w:rPr>
              <w:t>-2.916.355,43</w:t>
            </w:r>
          </w:p>
        </w:tc>
        <w:tc>
          <w:tcPr>
            <w:tcW w:w="1826"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109.069,07</w:t>
            </w:r>
          </w:p>
        </w:tc>
        <w:tc>
          <w:tcPr>
            <w:tcW w:w="1826"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rPr>
            </w:pPr>
            <w:r>
              <w:rPr>
                <w:rFonts w:ascii="Times New Roman" w:hAnsi="Times New Roman" w:cs="Times New Roman"/>
              </w:rPr>
              <w:t>-26,74</w:t>
            </w:r>
          </w:p>
        </w:tc>
        <w:tc>
          <w:tcPr>
            <w:tcW w:w="1826" w:type="dxa"/>
            <w:tcBorders>
              <w:top w:val="nil"/>
              <w:left w:val="nil"/>
              <w:bottom w:val="nil"/>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0,00</w:t>
            </w:r>
          </w:p>
        </w:tc>
      </w:tr>
      <w:tr>
        <w:tblPrEx>
          <w:tblCellMar>
            <w:top w:w="0" w:type="dxa"/>
            <w:left w:w="70" w:type="dxa"/>
            <w:bottom w:w="0" w:type="dxa"/>
            <w:right w:w="70" w:type="dxa"/>
          </w:tblCellMar>
        </w:tblPrEx>
        <w:trPr>
          <w:trHeight w:val="284" w:hRule="atLeast"/>
        </w:trPr>
        <w:tc>
          <w:tcPr>
            <w:tcW w:w="1826" w:type="dxa"/>
            <w:tcBorders>
              <w:top w:val="nil"/>
              <w:left w:val="nil"/>
              <w:bottom w:val="single" w:color="auto" w:sz="8" w:space="0"/>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DAgrícola</w:t>
            </w:r>
          </w:p>
        </w:tc>
        <w:tc>
          <w:tcPr>
            <w:tcW w:w="1826" w:type="dxa"/>
            <w:tcBorders>
              <w:top w:val="nil"/>
              <w:left w:val="nil"/>
              <w:bottom w:val="single" w:color="auto" w:sz="8" w:space="0"/>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147.358,33</w:t>
            </w:r>
          </w:p>
        </w:tc>
        <w:tc>
          <w:tcPr>
            <w:tcW w:w="1826" w:type="dxa"/>
            <w:tcBorders>
              <w:top w:val="nil"/>
              <w:left w:val="nil"/>
              <w:bottom w:val="single" w:color="auto" w:sz="8" w:space="0"/>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78.033,63</w:t>
            </w:r>
          </w:p>
        </w:tc>
        <w:tc>
          <w:tcPr>
            <w:tcW w:w="1826" w:type="dxa"/>
            <w:tcBorders>
              <w:top w:val="nil"/>
              <w:left w:val="nil"/>
              <w:bottom w:val="single" w:color="auto" w:sz="8" w:space="0"/>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1,89</w:t>
            </w:r>
          </w:p>
        </w:tc>
        <w:tc>
          <w:tcPr>
            <w:tcW w:w="1826" w:type="dxa"/>
            <w:tcBorders>
              <w:top w:val="nil"/>
              <w:left w:val="nil"/>
              <w:bottom w:val="single" w:color="auto" w:sz="8" w:space="0"/>
              <w:right w:val="nil"/>
            </w:tcBorders>
            <w:shd w:val="clear" w:color="auto" w:fill="auto"/>
            <w:noWrap/>
            <w:vAlign w:val="center"/>
          </w:tcPr>
          <w:p>
            <w:pPr>
              <w:widowControl/>
              <w:suppressLineNumbers w:val="0"/>
              <w:spacing w:line="240" w:lineRule="auto"/>
              <w:ind w:left="0" w:firstLine="0"/>
              <w:jc w:val="center"/>
              <w:rPr>
                <w:rFonts w:ascii="Times New Roman" w:hAnsi="Times New Roman" w:cs="Times New Roman"/>
                <w:color w:val="000000"/>
              </w:rPr>
            </w:pPr>
            <w:r>
              <w:rPr>
                <w:rFonts w:ascii="Times New Roman" w:hAnsi="Times New Roman" w:cs="Times New Roman"/>
                <w:color w:val="000000"/>
              </w:rPr>
              <w:t>0,06</w:t>
            </w:r>
          </w:p>
        </w:tc>
      </w:tr>
    </w:tbl>
    <w:p>
      <w:pPr>
        <w:widowControl/>
        <w:suppressLineNumbers w:val="0"/>
        <w:spacing w:line="240" w:lineRule="auto"/>
        <w:ind w:left="0" w:firstLine="0"/>
        <w:jc w:val="center"/>
        <w:rPr>
          <w:rFonts w:ascii="Times New Roman" w:hAnsi="Times New Roman" w:cs="Times New Roman"/>
          <w:color w:val="000000"/>
          <w:sz w:val="20"/>
          <w:szCs w:val="20"/>
        </w:rPr>
      </w:pPr>
      <w:r>
        <w:rPr>
          <w:rFonts w:ascii="Times New Roman" w:hAnsi="Times New Roman" w:cs="Times New Roman"/>
          <w:bCs/>
          <w:sz w:val="20"/>
          <w:szCs w:val="20"/>
        </w:rPr>
        <w:t>Fonte: Autora (2022) baseada nos dados do Banco Central do Brasil</w:t>
      </w:r>
      <w:r>
        <w:rPr>
          <w:rFonts w:ascii="Times New Roman" w:hAnsi="Times New Roman" w:cs="Times New Roman"/>
          <w:color w:val="000000"/>
          <w:sz w:val="20"/>
          <w:szCs w:val="20"/>
        </w:rPr>
        <w:t xml:space="preserve"> (BCB).</w:t>
      </w:r>
    </w:p>
    <w:p>
      <w:pPr>
        <w:widowControl/>
        <w:suppressLineNumbers w:val="0"/>
        <w:spacing w:line="360" w:lineRule="auto"/>
        <w:ind w:left="0" w:firstLine="708"/>
        <w:rPr>
          <w:rFonts w:ascii="Times New Roman" w:hAnsi="Times New Roman" w:cs="Times New Roman"/>
        </w:rPr>
      </w:pPr>
      <w:r>
        <w:rPr>
          <w:rFonts w:ascii="Times New Roman" w:hAnsi="Times New Roman" w:cs="Times New Roman"/>
        </w:rPr>
        <w:t>Nesse caso, a interseção (grupo de referência) trata-se do valor médio dos contratos de pecuária firmados com pessoas jurídicas na região sul. A interpretação dos resultados da regressão está na sequência.</w:t>
      </w:r>
    </w:p>
    <w:p>
      <w:pPr>
        <w:widowControl/>
        <w:suppressLineNumbers w:val="0"/>
        <w:spacing w:line="360" w:lineRule="auto"/>
        <w:ind w:left="0" w:firstLine="708"/>
        <w:rPr>
          <w:rFonts w:ascii="Times New Roman" w:hAnsi="Times New Roman" w:cs="Times New Roman"/>
        </w:rPr>
      </w:pPr>
      <w:r>
        <w:rPr>
          <w:rFonts w:ascii="Times New Roman" w:hAnsi="Times New Roman" w:cs="Times New Roman"/>
        </w:rPr>
        <w:t>O valor médio dos contratos de pecuária firmados com pessoas jurídicas na Região Sul do Brasil é de R$ 3,08 milhões, sendo estatisticamente significativo. Os contratos agrícolas, em média, continuam superiores aos de pecuária, porém, essa afirmação pode ser acatada caso considere 6% de significância (em vez dos 5% indicados inicialmente). Os contratos para pessoas físicas continuam estatisticamente significativos, com diferenças relevantes em relação aos contratos com pessoas jurídicas (diferença média de -R$ 2,9 milhões).</w:t>
      </w:r>
    </w:p>
    <w:p>
      <w:pPr>
        <w:widowControl/>
        <w:suppressLineNumbers w:val="0"/>
        <w:spacing w:line="360" w:lineRule="auto"/>
        <w:ind w:left="0" w:firstLine="708"/>
        <w:rPr>
          <w:rFonts w:ascii="Times New Roman" w:hAnsi="Times New Roman" w:cs="Times New Roman"/>
        </w:rPr>
      </w:pPr>
      <w:r>
        <w:rPr>
          <w:rFonts w:ascii="Times New Roman" w:hAnsi="Times New Roman" w:cs="Times New Roman"/>
        </w:rPr>
        <w:t xml:space="preserve">A maior importância da inclusão das </w:t>
      </w:r>
      <w:r>
        <w:rPr>
          <w:rFonts w:ascii="Times New Roman" w:hAnsi="Times New Roman" w:cs="Times New Roman"/>
          <w:i/>
          <w:iCs/>
        </w:rPr>
        <w:t>dummies</w:t>
      </w:r>
      <w:r>
        <w:rPr>
          <w:rFonts w:ascii="Times New Roman" w:hAnsi="Times New Roman" w:cs="Times New Roman"/>
        </w:rPr>
        <w:t xml:space="preserve"> relacionadas à atividade e tipo de pessoa é que se demonstrou que não há diferenças estatísticas dos valores médios dos contratos entre as regiões apenas pelo simples fato de ser de uma região ou outra (como demonstrado inicialmente na Tabela 4, pois as </w:t>
      </w:r>
      <w:r>
        <w:rPr>
          <w:rFonts w:ascii="Times New Roman" w:hAnsi="Times New Roman" w:cs="Times New Roman"/>
          <w:i/>
          <w:iCs/>
        </w:rPr>
        <w:t>dummies</w:t>
      </w:r>
      <w:r>
        <w:rPr>
          <w:rFonts w:ascii="Times New Roman" w:hAnsi="Times New Roman" w:cs="Times New Roman"/>
        </w:rPr>
        <w:t xml:space="preserve"> do nordeste, norte e sudeste se mostraram insignificantes com 95% de probabilidade). A única exceção foi a Região Centro-Oeste.</w:t>
      </w:r>
    </w:p>
    <w:p>
      <w:pPr>
        <w:widowControl/>
        <w:suppressLineNumbers w:val="0"/>
        <w:spacing w:line="360" w:lineRule="auto"/>
        <w:ind w:left="0" w:firstLine="0"/>
        <w:rPr>
          <w:rFonts w:ascii="Times New Roman" w:hAnsi="Times New Roman" w:cs="Times New Roman"/>
          <w:b/>
        </w:rPr>
      </w:pPr>
    </w:p>
    <w:p>
      <w:pPr>
        <w:widowControl/>
        <w:suppressLineNumbers w:val="0"/>
        <w:spacing w:line="360" w:lineRule="auto"/>
        <w:ind w:left="0" w:firstLine="0"/>
        <w:rPr>
          <w:rFonts w:ascii="Times New Roman" w:hAnsi="Times New Roman" w:cs="Times New Roman"/>
          <w:b/>
        </w:rPr>
      </w:pPr>
      <w:r>
        <w:rPr>
          <w:rFonts w:ascii="Times New Roman" w:hAnsi="Times New Roman" w:cs="Times New Roman"/>
          <w:b/>
        </w:rPr>
        <w:t>5 CONSIDERAÇÕES FINAIS</w:t>
      </w:r>
    </w:p>
    <w:p>
      <w:pPr>
        <w:widowControl/>
        <w:suppressLineNumbers w:val="0"/>
        <w:spacing w:line="360" w:lineRule="auto"/>
        <w:ind w:left="0" w:firstLine="0"/>
      </w:pPr>
    </w:p>
    <w:p>
      <w:pPr>
        <w:widowControl/>
        <w:suppressLineNumbers w:val="0"/>
        <w:spacing w:line="360" w:lineRule="auto"/>
        <w:ind w:left="0" w:firstLine="708"/>
        <w:rPr>
          <w:rFonts w:ascii="Times New Roman" w:hAnsi="Times New Roman" w:cs="Times New Roman"/>
        </w:rPr>
      </w:pPr>
      <w:r>
        <w:rPr>
          <w:rFonts w:ascii="Times New Roman" w:hAnsi="Times New Roman" w:cs="Times New Roman"/>
        </w:rPr>
        <w:t>A desigualdade na distribuição regional de recursos vem sendo discutida, desde o início da operacionalização do PRONAF, por autores como Abramovay e Veiga (1997), que ratificam que os recursos do programa são destinados, em sua maioria esmagadora, aos estados da Região Sul. Em resumo, os dados demonstram que, no período analisado, o sul captou um volume de recursos via PRONAF muito superior a qualquer outra região, corroborando com os resultados de outras publicações. Mas como se explica isso? As respostas podem estar amparadas nas variáveis que foram consideradas nos modelos apresentados (tipo de atividade e/ou tipo de pessoa), mas também em outras hipóteses.</w:t>
      </w:r>
    </w:p>
    <w:p>
      <w:pPr>
        <w:widowControl/>
        <w:suppressLineNumbers w:val="0"/>
        <w:spacing w:line="360" w:lineRule="auto"/>
        <w:ind w:left="0" w:firstLine="708"/>
        <w:rPr>
          <w:rFonts w:ascii="Times New Roman" w:hAnsi="Times New Roman" w:cs="Times New Roman"/>
        </w:rPr>
      </w:pPr>
      <w:r>
        <w:rPr>
          <w:rFonts w:ascii="Times New Roman" w:hAnsi="Times New Roman" w:cs="Times New Roman"/>
        </w:rPr>
        <w:t xml:space="preserve">Historicamente o sul se organizou em pequenas propriedades, enquanto as demais regiões passaram por ciclos distintos e com grandes latifúndios (ciclo da cana no nordeste e do café no sudeste, por exemplo). Como ter piscicultura no agreste nordestino, onde há escassez de água para a população? Outro fator que pode estar relacionado às diferenças encontradas são os possíveis problemas com documentação de terra, dificultando o acesso ao crédito. </w:t>
      </w:r>
    </w:p>
    <w:p>
      <w:pPr>
        <w:widowControl/>
        <w:suppressLineNumbers w:val="0"/>
        <w:spacing w:line="360" w:lineRule="auto"/>
        <w:ind w:left="0" w:firstLine="708"/>
        <w:rPr>
          <w:rFonts w:ascii="Times New Roman" w:hAnsi="Times New Roman" w:cs="Times New Roman"/>
        </w:rPr>
      </w:pPr>
      <w:r>
        <w:rPr>
          <w:rFonts w:ascii="Times New Roman" w:hAnsi="Times New Roman" w:cs="Times New Roman"/>
        </w:rPr>
        <w:t>A distribuição desigual dos recursos é explicada na criação do programa, conforme afirmam Abramovay e Veiga (1997). No primeiro ano, em 1996, grande parte dos contratos aderidos do PRONAF foi para a cultura do fumo, milho e soja, que estão concentrados na Região Sul, produtos típicos das cadeias agroindustriais e que têm uma competitividade alta no mercado internacional. Além disso, houve pressões políticas das agroindústrias do sul sobre os órgãos responsáveis pela distribuição dos recursos financeiros.</w:t>
      </w:r>
    </w:p>
    <w:p>
      <w:pPr>
        <w:widowControl/>
        <w:suppressLineNumbers w:val="0"/>
        <w:spacing w:line="360" w:lineRule="auto"/>
        <w:ind w:left="0" w:firstLine="708"/>
        <w:rPr>
          <w:rFonts w:ascii="Times New Roman" w:hAnsi="Times New Roman" w:cs="Times New Roman"/>
        </w:rPr>
      </w:pPr>
      <w:r>
        <w:rPr>
          <w:rFonts w:ascii="Times New Roman" w:hAnsi="Times New Roman" w:cs="Times New Roman"/>
        </w:rPr>
        <w:t>De acordo com Mattei (2005), outro motivo que influenciou na desigualdade de distribuição dos recursos foi à organização dos agricultores familiares da região Sul nas reivindicações pela luta do crédito rural. O autor explica que é difícil apontar qual é exatamente o problema causador da alta concentração de crédito na Região Sul, porém, há indícios de que essa contração se dê pela presença de propriedades rurais de agricultores familiares já consolidados, aqueles que estão extremamente ligados às agroindústrias de suínos, aves, fumo e leite.</w:t>
      </w:r>
    </w:p>
    <w:p>
      <w:pPr>
        <w:widowControl/>
        <w:suppressLineNumbers w:val="0"/>
        <w:spacing w:line="360" w:lineRule="auto"/>
        <w:ind w:left="0" w:firstLine="708"/>
        <w:rPr>
          <w:rFonts w:ascii="Times New Roman" w:hAnsi="Times New Roman" w:cs="Times New Roman"/>
        </w:rPr>
      </w:pPr>
      <w:r>
        <w:rPr>
          <w:rFonts w:ascii="Times New Roman" w:hAnsi="Times New Roman" w:cs="Times New Roman"/>
        </w:rPr>
        <w:t>No entanto, pesquisas apontam a relevância da agricultura familiar do nordeste. Segundo Guanziroli (2011) a agricultura familiar nordestina representa um setor significativo dentro da agricultura nacional, tanto referente à área que é ocupada por agricultores familiares quanto em financiamentos, valor bruto da produção e número de pessoal envolvido na atividade. Dessa forma, o nordeste é uma região onde a agricultura familiar está presente de forma mais acentuada, conseguindo produzir 50,2% da produção total agrícola numa área menor que a de produtores não familiares e ainda com menor financiamento.</w:t>
      </w:r>
    </w:p>
    <w:p>
      <w:pPr>
        <w:widowControl/>
        <w:suppressLineNumbers w:val="0"/>
        <w:spacing w:line="360" w:lineRule="auto"/>
        <w:ind w:left="0" w:firstLine="708"/>
        <w:rPr>
          <w:rFonts w:ascii="Times New Roman" w:hAnsi="Times New Roman" w:cs="Times New Roman"/>
        </w:rPr>
      </w:pPr>
      <w:r>
        <w:rPr>
          <w:rFonts w:ascii="Times New Roman" w:hAnsi="Times New Roman" w:cs="Times New Roman"/>
        </w:rPr>
        <w:t xml:space="preserve">Para sugestão de aprimoramento dos modelos econométricos utilizados neste trabalho, buscar dados da produtividade média do solo, distância em relação aos portos exportadores e renda </w:t>
      </w:r>
      <w:r>
        <w:rPr>
          <w:rFonts w:ascii="Times New Roman" w:hAnsi="Times New Roman" w:cs="Times New Roman"/>
          <w:i/>
          <w:iCs/>
        </w:rPr>
        <w:t>per capita</w:t>
      </w:r>
      <w:r>
        <w:rPr>
          <w:rFonts w:ascii="Times New Roman" w:hAnsi="Times New Roman" w:cs="Times New Roman"/>
        </w:rPr>
        <w:t xml:space="preserve"> para incrementar nos modelos de regressão. A hipótese é de que, quanto mais inserção de variáveis explicativas (como produtividade do solo, proximidade dos portos, índices de regulamentação da terra, entre outras), menor e mais insignificante (do ponto de vista estatístico) a </w:t>
      </w:r>
      <w:r>
        <w:rPr>
          <w:rFonts w:ascii="Times New Roman" w:hAnsi="Times New Roman" w:cs="Times New Roman"/>
          <w:i/>
          <w:iCs/>
        </w:rPr>
        <w:t>dummy</w:t>
      </w:r>
      <w:r>
        <w:rPr>
          <w:rFonts w:ascii="Times New Roman" w:hAnsi="Times New Roman" w:cs="Times New Roman"/>
        </w:rPr>
        <w:t xml:space="preserve"> do nordeste e de qualquer outra região ficará.</w:t>
      </w:r>
    </w:p>
    <w:p>
      <w:pPr>
        <w:widowControl/>
        <w:suppressLineNumbers w:val="0"/>
        <w:spacing w:line="360" w:lineRule="auto"/>
        <w:ind w:left="0" w:firstLine="708"/>
        <w:rPr>
          <w:rFonts w:ascii="Times New Roman" w:hAnsi="Times New Roman" w:cs="Times New Roman"/>
        </w:rPr>
      </w:pPr>
      <w:r>
        <w:rPr>
          <w:rFonts w:ascii="Times New Roman" w:hAnsi="Times New Roman" w:cs="Times New Roman"/>
        </w:rPr>
        <w:t>Portanto, o que se observou é que há uma concentração de recursos do PRONAF nas regiões mais desenvolvidas. A Região Sul é a que possui menor quantidade de contratos e possui maior valor de contrato, Centro-Oeste é a segunda região com maior valor nos contratos. O Nordeste é o que mais possui números de contratos, mas o valor em relação a outras regiões como Sul, Sudeste e Centro-Oeste e bem menor, já o Norte é a região com menor quantidade de contratos e valor.</w:t>
      </w:r>
    </w:p>
    <w:p>
      <w:pPr>
        <w:widowControl/>
        <w:suppressLineNumbers w:val="0"/>
        <w:spacing w:line="360" w:lineRule="auto"/>
        <w:ind w:left="0" w:firstLine="0"/>
        <w:jc w:val="left"/>
        <w:rPr>
          <w:rFonts w:ascii="Times New Roman" w:hAnsi="Times New Roman" w:cs="Times New Roman"/>
          <w:b/>
        </w:rPr>
      </w:pPr>
    </w:p>
    <w:p>
      <w:pPr>
        <w:widowControl/>
        <w:suppressLineNumbers w:val="0"/>
        <w:spacing w:line="360" w:lineRule="auto"/>
        <w:ind w:left="0" w:firstLine="0"/>
        <w:jc w:val="center"/>
        <w:rPr>
          <w:rFonts w:ascii="Times New Roman" w:hAnsi="Times New Roman" w:cs="Times New Roman"/>
          <w:b/>
        </w:rPr>
      </w:pPr>
    </w:p>
    <w:p>
      <w:pPr>
        <w:widowControl/>
        <w:suppressLineNumbers w:val="0"/>
        <w:spacing w:line="360" w:lineRule="auto"/>
        <w:ind w:left="0" w:firstLine="0"/>
        <w:jc w:val="center"/>
        <w:rPr>
          <w:rFonts w:ascii="Times New Roman" w:hAnsi="Times New Roman" w:cs="Times New Roman"/>
          <w:b/>
        </w:rPr>
      </w:pPr>
    </w:p>
    <w:p>
      <w:pPr>
        <w:widowControl/>
        <w:suppressLineNumbers w:val="0"/>
        <w:spacing w:line="360" w:lineRule="auto"/>
        <w:ind w:left="0" w:firstLine="0"/>
        <w:jc w:val="center"/>
        <w:rPr>
          <w:rFonts w:ascii="Times New Roman" w:hAnsi="Times New Roman" w:cs="Times New Roman"/>
          <w:b/>
        </w:rPr>
      </w:pPr>
    </w:p>
    <w:p>
      <w:pPr>
        <w:widowControl/>
        <w:suppressLineNumbers w:val="0"/>
        <w:spacing w:line="360" w:lineRule="auto"/>
        <w:ind w:left="0" w:firstLine="0"/>
        <w:jc w:val="center"/>
        <w:rPr>
          <w:rFonts w:ascii="Times New Roman" w:hAnsi="Times New Roman" w:cs="Times New Roman"/>
          <w:b/>
        </w:rPr>
      </w:pPr>
      <w:r>
        <w:rPr>
          <w:rFonts w:ascii="Times New Roman" w:hAnsi="Times New Roman" w:cs="Times New Roman"/>
          <w:b/>
        </w:rPr>
        <w:t>REFERÊNCIAS</w:t>
      </w:r>
    </w:p>
    <w:p>
      <w:pPr>
        <w:widowControl/>
        <w:suppressLineNumbers w:val="0"/>
        <w:spacing w:line="240" w:lineRule="auto"/>
        <w:ind w:left="0" w:firstLine="0"/>
        <w:contextualSpacing/>
        <w:rPr>
          <w:rFonts w:ascii="Times New Roman" w:hAnsi="Times New Roman" w:cs="Times New Roman"/>
        </w:rPr>
      </w:pPr>
      <w:r>
        <w:rPr>
          <w:rFonts w:ascii="Times New Roman" w:hAnsi="Times New Roman" w:cs="Times New Roman"/>
        </w:rPr>
        <w:t xml:space="preserve">ABRAMOVAY, R. </w:t>
      </w:r>
      <w:r>
        <w:rPr>
          <w:rFonts w:ascii="Times New Roman" w:hAnsi="Times New Roman" w:cs="Times New Roman"/>
          <w:b/>
        </w:rPr>
        <w:t>Agricultura familiar e uso do solo.</w:t>
      </w:r>
      <w:r>
        <w:rPr>
          <w:rFonts w:ascii="Times New Roman" w:hAnsi="Times New Roman" w:cs="Times New Roman"/>
        </w:rPr>
        <w:t xml:space="preserve"> São Paulo em Perspectiva, São Paulo, v. 11, n. 2, p.73-78, abr./jun., 1997.</w:t>
      </w:r>
    </w:p>
    <w:p>
      <w:pPr>
        <w:widowControl/>
        <w:suppressLineNumbers w:val="0"/>
        <w:spacing w:line="240" w:lineRule="auto"/>
        <w:ind w:left="0" w:firstLine="0"/>
        <w:contextualSpacing/>
        <w:rPr>
          <w:rFonts w:ascii="Times New Roman" w:hAnsi="Times New Roman" w:cs="Times New Roman"/>
        </w:rPr>
      </w:pPr>
    </w:p>
    <w:p>
      <w:pPr>
        <w:widowControl/>
        <w:suppressLineNumbers w:val="0"/>
        <w:spacing w:line="240" w:lineRule="auto"/>
        <w:ind w:left="0" w:firstLine="0"/>
        <w:contextualSpacing/>
        <w:rPr>
          <w:rFonts w:ascii="Times New Roman" w:hAnsi="Times New Roman" w:cs="Times New Roman"/>
        </w:rPr>
      </w:pPr>
      <w:r>
        <w:rPr>
          <w:rFonts w:ascii="Times New Roman" w:hAnsi="Times New Roman" w:cs="Times New Roman"/>
        </w:rPr>
        <w:t xml:space="preserve">ABRAMOVAY, R. </w:t>
      </w:r>
      <w:r>
        <w:rPr>
          <w:rFonts w:ascii="Times New Roman" w:hAnsi="Times New Roman" w:cs="Times New Roman"/>
          <w:b/>
        </w:rPr>
        <w:t>O capital social dos territórios</w:t>
      </w:r>
      <w:r>
        <w:rPr>
          <w:rFonts w:ascii="Times New Roman" w:hAnsi="Times New Roman" w:cs="Times New Roman"/>
        </w:rPr>
        <w:t xml:space="preserve">: repensando o desenvolvimento rural. </w:t>
      </w:r>
      <w:r>
        <w:rPr>
          <w:rFonts w:ascii="Times New Roman" w:hAnsi="Times New Roman" w:cs="Times New Roman"/>
          <w:b/>
          <w:bCs/>
        </w:rPr>
        <w:t>Economia aplicada</w:t>
      </w:r>
      <w:r>
        <w:rPr>
          <w:rFonts w:ascii="Times New Roman" w:hAnsi="Times New Roman" w:cs="Times New Roman"/>
        </w:rPr>
        <w:t>, v. 4, n. 2, p. 379-397, 2000.</w:t>
      </w:r>
    </w:p>
    <w:p>
      <w:pPr>
        <w:widowControl/>
        <w:suppressLineNumbers w:val="0"/>
        <w:spacing w:line="240" w:lineRule="auto"/>
        <w:ind w:left="0" w:firstLine="0"/>
        <w:contextualSpacing/>
        <w:rPr>
          <w:rFonts w:ascii="Times New Roman" w:hAnsi="Times New Roman" w:cs="Times New Roman"/>
        </w:rPr>
      </w:pPr>
    </w:p>
    <w:p>
      <w:pPr>
        <w:widowControl/>
        <w:suppressLineNumbers w:val="0"/>
        <w:spacing w:line="240" w:lineRule="auto"/>
        <w:ind w:left="0" w:firstLine="0"/>
        <w:contextualSpacing/>
        <w:rPr>
          <w:rFonts w:ascii="Times New Roman" w:hAnsi="Times New Roman" w:cs="Times New Roman"/>
        </w:rPr>
      </w:pPr>
      <w:r>
        <w:rPr>
          <w:rFonts w:ascii="Times New Roman" w:hAnsi="Times New Roman" w:cs="Times New Roman"/>
        </w:rPr>
        <w:t xml:space="preserve">ALVES, L. R.; COSTA, E. P. V. S. M. </w:t>
      </w:r>
      <w:r>
        <w:rPr>
          <w:rFonts w:ascii="Times New Roman" w:hAnsi="Times New Roman" w:cs="Times New Roman"/>
          <w:b/>
        </w:rPr>
        <w:t>A percepção de inovação em um processo de reestruturação produtiva</w:t>
      </w:r>
      <w:r>
        <w:rPr>
          <w:rFonts w:ascii="Times New Roman" w:hAnsi="Times New Roman" w:cs="Times New Roman"/>
        </w:rPr>
        <w:t xml:space="preserve">: o caso do município de Toledo-PR, Brasil. </w:t>
      </w:r>
      <w:r>
        <w:rPr>
          <w:rFonts w:ascii="Times New Roman" w:hAnsi="Times New Roman" w:cs="Times New Roman"/>
          <w:bCs/>
        </w:rPr>
        <w:t>Revista Brasileira de Gestão e Desenvolvimento Regional</w:t>
      </w:r>
      <w:r>
        <w:rPr>
          <w:rFonts w:ascii="Times New Roman" w:hAnsi="Times New Roman" w:cs="Times New Roman"/>
        </w:rPr>
        <w:t>, v. 14, p. 193–217, 2018.</w:t>
      </w:r>
    </w:p>
    <w:p>
      <w:pPr>
        <w:widowControl/>
        <w:suppressLineNumbers w:val="0"/>
        <w:spacing w:line="240" w:lineRule="auto"/>
        <w:ind w:left="0" w:firstLine="0"/>
        <w:contextualSpacing/>
        <w:rPr>
          <w:rFonts w:ascii="Times New Roman" w:hAnsi="Times New Roman" w:cs="Times New Roman"/>
        </w:rPr>
      </w:pPr>
    </w:p>
    <w:p>
      <w:pPr>
        <w:widowControl/>
        <w:suppressLineNumbers w:val="0"/>
        <w:spacing w:line="240" w:lineRule="auto"/>
        <w:ind w:left="0" w:firstLine="0"/>
        <w:contextualSpacing/>
        <w:rPr>
          <w:rFonts w:ascii="Times New Roman" w:hAnsi="Times New Roman" w:cs="Times New Roman"/>
        </w:rPr>
      </w:pPr>
      <w:r>
        <w:rPr>
          <w:rFonts w:ascii="Times New Roman" w:hAnsi="Times New Roman" w:cs="Times New Roman"/>
        </w:rPr>
        <w:t xml:space="preserve">AQUINO, Joacir Rufino de; GAZOLLA, Márcio; SCHNEIDER, Sérgio. </w:t>
      </w:r>
      <w:r>
        <w:rPr>
          <w:rFonts w:ascii="Times New Roman" w:hAnsi="Times New Roman" w:cs="Times New Roman"/>
          <w:b/>
        </w:rPr>
        <w:t>Dualismo no Campo e Desigualdades Internas na Agricultura Familiar Brasileira.</w:t>
      </w:r>
      <w:r>
        <w:rPr>
          <w:rFonts w:ascii="Times New Roman" w:hAnsi="Times New Roman" w:cs="Times New Roman"/>
        </w:rPr>
        <w:t xml:space="preserve"> RESR, Piracicaba-SP, Vol. 56, Nº 01, p. 123-142, Jan./Mar. 2018 – Impressa em Abril de 2018.</w:t>
      </w:r>
    </w:p>
    <w:p>
      <w:pPr>
        <w:widowControl/>
        <w:suppressLineNumbers w:val="0"/>
        <w:spacing w:line="240" w:lineRule="auto"/>
        <w:ind w:left="0" w:firstLine="0"/>
        <w:contextualSpacing/>
        <w:rPr>
          <w:rFonts w:ascii="Times New Roman" w:hAnsi="Times New Roman" w:cs="Times New Roman"/>
          <w:highlight w:val="green"/>
        </w:rPr>
      </w:pPr>
    </w:p>
    <w:p>
      <w:pPr>
        <w:widowControl/>
        <w:suppressLineNumbers w:val="0"/>
        <w:spacing w:line="240" w:lineRule="auto"/>
        <w:ind w:left="0" w:firstLine="0"/>
        <w:contextualSpacing/>
        <w:rPr>
          <w:rFonts w:ascii="Times New Roman" w:hAnsi="Times New Roman" w:cs="Times New Roman"/>
        </w:rPr>
      </w:pPr>
      <w:r>
        <w:rPr>
          <w:rFonts w:ascii="Times New Roman" w:hAnsi="Times New Roman" w:cs="Times New Roman"/>
        </w:rPr>
        <w:t xml:space="preserve">ARRUDA SARON, F.; HESPANHOL, A. N. </w:t>
      </w:r>
      <w:r>
        <w:rPr>
          <w:rFonts w:ascii="Times New Roman" w:hAnsi="Times New Roman" w:cs="Times New Roman"/>
          <w:b/>
        </w:rPr>
        <w:t>O Pronaf e as Políticas de Desenvolvimento Rural no Brasil</w:t>
      </w:r>
      <w:r>
        <w:rPr>
          <w:rFonts w:ascii="Times New Roman" w:hAnsi="Times New Roman" w:cs="Times New Roman"/>
        </w:rPr>
        <w:t xml:space="preserve">: o desafio da (re)construção das políticas de apoio à agricultura familiar. </w:t>
      </w:r>
      <w:r>
        <w:rPr>
          <w:rFonts w:ascii="Times New Roman" w:hAnsi="Times New Roman" w:cs="Times New Roman"/>
          <w:b/>
          <w:bCs/>
        </w:rPr>
        <w:t>Geo UERJ</w:t>
      </w:r>
      <w:r>
        <w:rPr>
          <w:rFonts w:ascii="Times New Roman" w:hAnsi="Times New Roman" w:cs="Times New Roman"/>
        </w:rPr>
        <w:t>, v. 2, n. 23, p. 656-683, 2012.</w:t>
      </w:r>
    </w:p>
    <w:p>
      <w:pPr>
        <w:widowControl/>
        <w:suppressLineNumbers w:val="0"/>
        <w:spacing w:line="240" w:lineRule="auto"/>
        <w:ind w:left="0" w:firstLine="0"/>
        <w:contextualSpacing/>
        <w:rPr>
          <w:rFonts w:ascii="Times New Roman" w:hAnsi="Times New Roman" w:cs="Times New Roman"/>
        </w:rPr>
      </w:pPr>
    </w:p>
    <w:p>
      <w:pPr>
        <w:widowControl/>
        <w:suppressLineNumbers w:val="0"/>
        <w:spacing w:line="240" w:lineRule="auto"/>
        <w:ind w:left="0" w:firstLine="0"/>
        <w:contextualSpacing/>
        <w:rPr>
          <w:rFonts w:ascii="Times New Roman" w:hAnsi="Times New Roman" w:cs="Times New Roman"/>
        </w:rPr>
      </w:pPr>
      <w:r>
        <w:rPr>
          <w:rFonts w:ascii="Times New Roman" w:hAnsi="Times New Roman" w:cs="Times New Roman"/>
        </w:rPr>
        <w:t xml:space="preserve">ÁVILA, D. F. DE; GRIEBELER, M. P. D.; BRAUM, A. L. Inovação: a Modernização da Agricultura no Planalto Gaúcho (Brasil). </w:t>
      </w:r>
      <w:r>
        <w:rPr>
          <w:rFonts w:ascii="Times New Roman" w:hAnsi="Times New Roman" w:cs="Times New Roman"/>
          <w:b/>
          <w:bCs/>
        </w:rPr>
        <w:t>Revista de ciência jurídica</w:t>
      </w:r>
      <w:r>
        <w:rPr>
          <w:rFonts w:ascii="Times New Roman" w:hAnsi="Times New Roman" w:cs="Times New Roman"/>
        </w:rPr>
        <w:t>, v. 16, n. 2, p. 156–164, 2015.</w:t>
      </w:r>
    </w:p>
    <w:p>
      <w:pPr>
        <w:widowControl/>
        <w:suppressLineNumbers w:val="0"/>
        <w:spacing w:line="240" w:lineRule="auto"/>
        <w:ind w:left="0" w:firstLine="0"/>
        <w:contextualSpacing/>
        <w:rPr>
          <w:rFonts w:ascii="Times New Roman" w:hAnsi="Times New Roman" w:cs="Times New Roman"/>
        </w:rPr>
      </w:pPr>
    </w:p>
    <w:p>
      <w:pPr>
        <w:widowControl/>
        <w:suppressLineNumbers w:val="0"/>
        <w:spacing w:line="240" w:lineRule="auto"/>
        <w:ind w:left="0" w:firstLine="0"/>
        <w:contextualSpacing/>
        <w:rPr>
          <w:rFonts w:ascii="Times New Roman" w:hAnsi="Times New Roman" w:cs="Times New Roman"/>
        </w:rPr>
      </w:pPr>
      <w:r>
        <w:rPr>
          <w:rFonts w:ascii="Times New Roman" w:hAnsi="Times New Roman" w:cs="Times New Roman"/>
        </w:rPr>
        <w:t xml:space="preserve">BANCO CENTRAL DO BRASIL (BACEN). </w:t>
      </w:r>
      <w:r>
        <w:rPr>
          <w:rFonts w:ascii="Times New Roman" w:hAnsi="Times New Roman" w:cs="Times New Roman"/>
          <w:b/>
        </w:rPr>
        <w:t xml:space="preserve">Matriz de Dados do Crédito Rural: </w:t>
      </w:r>
      <w:r>
        <w:rPr>
          <w:rFonts w:ascii="Times New Roman" w:hAnsi="Times New Roman" w:cs="Times New Roman"/>
        </w:rPr>
        <w:t>Crédito Concedido. Bacen, 2022. Disponível em: https://www.bcb.gov.br/estabilidadefinanceira/micrrural. Acesso em: 12 jan. 2022.</w:t>
      </w:r>
    </w:p>
    <w:p>
      <w:pPr>
        <w:widowControl/>
        <w:suppressLineNumbers w:val="0"/>
        <w:spacing w:line="240" w:lineRule="auto"/>
        <w:ind w:left="0" w:firstLine="0"/>
        <w:contextualSpacing/>
        <w:rPr>
          <w:rFonts w:ascii="Times New Roman" w:hAnsi="Times New Roman" w:cs="Times New Roman"/>
        </w:rPr>
      </w:pPr>
    </w:p>
    <w:p>
      <w:pPr>
        <w:spacing w:line="240" w:lineRule="auto"/>
        <w:ind w:left="0" w:firstLine="0"/>
        <w:rPr>
          <w:rFonts w:ascii="Times New Roman" w:hAnsi="Times New Roman" w:cs="Times New Roman"/>
        </w:rPr>
      </w:pPr>
      <w:r>
        <w:rPr>
          <w:rFonts w:ascii="Times New Roman" w:hAnsi="Times New Roman" w:cs="Times New Roman"/>
        </w:rPr>
        <w:t>BEUREN, I. M. Como elaborar trabalhos monográficos em contabilidade: Teoria e prática. 3ª ed. São Paulo: Atlas, 2006. 91 e 92p.</w:t>
      </w:r>
    </w:p>
    <w:p>
      <w:pPr>
        <w:widowControl/>
        <w:suppressLineNumbers w:val="0"/>
        <w:spacing w:line="240" w:lineRule="auto"/>
        <w:ind w:left="0" w:firstLine="0"/>
        <w:contextualSpacing/>
        <w:rPr>
          <w:rFonts w:ascii="Times New Roman" w:hAnsi="Times New Roman" w:cs="Times New Roman"/>
        </w:rPr>
      </w:pPr>
    </w:p>
    <w:p>
      <w:pPr>
        <w:widowControl/>
        <w:suppressLineNumbers w:val="0"/>
        <w:spacing w:line="240" w:lineRule="auto"/>
        <w:ind w:left="0" w:firstLine="0"/>
        <w:rPr>
          <w:rFonts w:ascii="Times New Roman" w:hAnsi="Times New Roman" w:cs="Times New Roman"/>
        </w:rPr>
      </w:pPr>
      <w:r>
        <w:rPr>
          <w:rFonts w:ascii="Times New Roman" w:hAnsi="Times New Roman" w:cs="Times New Roman"/>
        </w:rPr>
        <w:t xml:space="preserve">BIANCHINI, Valter. </w:t>
      </w:r>
      <w:r>
        <w:rPr>
          <w:rFonts w:ascii="Times New Roman" w:hAnsi="Times New Roman" w:cs="Times New Roman"/>
          <w:b/>
        </w:rPr>
        <w:t>Vinte anos do PRONAF, 1995-2015</w:t>
      </w:r>
      <w:r>
        <w:rPr>
          <w:rFonts w:ascii="Times New Roman" w:hAnsi="Times New Roman" w:cs="Times New Roman"/>
        </w:rPr>
        <w:t>: avanços e desafios/ Valter Bianchini. - Brasília: SAF/MDA, 2015.</w:t>
      </w:r>
    </w:p>
    <w:p>
      <w:pPr>
        <w:widowControl/>
        <w:suppressLineNumbers w:val="0"/>
        <w:spacing w:line="240" w:lineRule="auto"/>
        <w:ind w:left="0" w:firstLine="0"/>
        <w:contextualSpacing/>
        <w:rPr>
          <w:rFonts w:ascii="Times New Roman" w:hAnsi="Times New Roman" w:cs="Times New Roman"/>
        </w:rPr>
      </w:pPr>
    </w:p>
    <w:p>
      <w:pPr>
        <w:widowControl/>
        <w:suppressLineNumbers w:val="0"/>
        <w:spacing w:line="240" w:lineRule="auto"/>
        <w:ind w:left="0" w:firstLine="0"/>
        <w:contextualSpacing/>
        <w:rPr>
          <w:rFonts w:ascii="Times New Roman" w:hAnsi="Times New Roman" w:cs="Times New Roman"/>
        </w:rPr>
      </w:pPr>
      <w:r>
        <w:rPr>
          <w:rFonts w:ascii="Times New Roman" w:hAnsi="Times New Roman" w:cs="Times New Roman"/>
        </w:rPr>
        <w:t>BRASIL. Presidência da República Casa Civil Subchefia para Assuntos Jurídicos.</w:t>
      </w:r>
      <w:r>
        <w:rPr>
          <w:rFonts w:ascii="Times New Roman" w:hAnsi="Times New Roman" w:cs="Times New Roman"/>
          <w:b/>
        </w:rPr>
        <w:t xml:space="preserve"> LEI Nº 11.326 DE 24 DE JULHO DE 2006</w:t>
      </w:r>
      <w:r>
        <w:rPr>
          <w:rFonts w:ascii="Times New Roman" w:hAnsi="Times New Roman" w:cs="Times New Roman"/>
        </w:rPr>
        <w:t>. Disponível em: http://www.planalto.gov.br/ccivil_03/_ato2004-2006/2006/lei/l11326.htm#:~:text=LEI%20N%C2%BA%2011.326%2C%20DE%2024%20DE%20JULHO%20DE%202006.&amp;text=Estabelece%20as%20diretrizes%20para%20a,Art. Acesso em: 26 jan. 2022.</w:t>
      </w:r>
    </w:p>
    <w:p>
      <w:pPr>
        <w:widowControl/>
        <w:suppressLineNumbers w:val="0"/>
        <w:spacing w:line="240" w:lineRule="auto"/>
        <w:ind w:left="0" w:firstLine="0"/>
        <w:contextualSpacing/>
        <w:rPr>
          <w:rFonts w:ascii="Times New Roman" w:hAnsi="Times New Roman" w:cs="Times New Roman"/>
        </w:rPr>
      </w:pPr>
    </w:p>
    <w:p>
      <w:pPr>
        <w:widowControl/>
        <w:suppressLineNumbers w:val="0"/>
        <w:spacing w:line="240" w:lineRule="auto"/>
        <w:ind w:left="0" w:firstLine="0"/>
        <w:contextualSpacing/>
        <w:rPr>
          <w:rFonts w:ascii="Times New Roman" w:hAnsi="Times New Roman" w:cs="Times New Roman"/>
        </w:rPr>
      </w:pPr>
      <w:r>
        <w:rPr>
          <w:rFonts w:ascii="Times New Roman" w:hAnsi="Times New Roman" w:cs="Times New Roman"/>
        </w:rPr>
        <w:t xml:space="preserve">BUAINAIN, A. M; MAIA, A. G; NAVARRO, Z. </w:t>
      </w:r>
      <w:r>
        <w:rPr>
          <w:rFonts w:ascii="Times New Roman" w:hAnsi="Times New Roman" w:cs="Times New Roman"/>
          <w:b/>
        </w:rPr>
        <w:t>Tudo mudou no Brasil rural do século 21</w:t>
      </w:r>
      <w:r>
        <w:rPr>
          <w:rFonts w:ascii="Times New Roman" w:hAnsi="Times New Roman" w:cs="Times New Roman"/>
        </w:rPr>
        <w:t>. 2014. Disponível em: https://www.unicamp.br/unicamp/sites/default/files/jornal/paginas/ju_607_paginacor_11_web.pdf. Acesso em: 27 jan. 2022.</w:t>
      </w:r>
    </w:p>
    <w:p>
      <w:pPr>
        <w:widowControl/>
        <w:suppressLineNumbers w:val="0"/>
        <w:spacing w:line="240" w:lineRule="auto"/>
        <w:ind w:left="0" w:firstLine="0"/>
        <w:contextualSpacing/>
        <w:rPr>
          <w:rFonts w:ascii="Times New Roman" w:hAnsi="Times New Roman" w:cs="Times New Roman"/>
        </w:rPr>
      </w:pPr>
    </w:p>
    <w:p>
      <w:pPr>
        <w:widowControl/>
        <w:suppressLineNumbers w:val="0"/>
        <w:spacing w:line="240" w:lineRule="auto"/>
        <w:ind w:left="0" w:firstLine="0"/>
        <w:contextualSpacing/>
        <w:rPr>
          <w:rFonts w:ascii="Times New Roman" w:hAnsi="Times New Roman" w:cs="Times New Roman"/>
          <w:lang w:val="en-US"/>
        </w:rPr>
      </w:pPr>
      <w:r>
        <w:rPr>
          <w:rFonts w:ascii="Times New Roman" w:hAnsi="Times New Roman" w:cs="Times New Roman"/>
          <w:lang w:val="en-US"/>
        </w:rPr>
        <w:t xml:space="preserve">BUSALIM, A.H., &amp; HUSSIN, A.R.C. (2016). </w:t>
      </w:r>
      <w:r>
        <w:rPr>
          <w:rFonts w:ascii="Times New Roman" w:hAnsi="Times New Roman" w:cs="Times New Roman"/>
          <w:b/>
          <w:i/>
          <w:iCs/>
          <w:lang w:val="en-US"/>
        </w:rPr>
        <w:t>Understanding social commerce:</w:t>
      </w:r>
      <w:r>
        <w:rPr>
          <w:rFonts w:ascii="Times New Roman" w:hAnsi="Times New Roman" w:cs="Times New Roman"/>
          <w:i/>
          <w:iCs/>
          <w:lang w:val="en-US"/>
        </w:rPr>
        <w:t xml:space="preserve"> A systematic literature review and directions for further research. International Journal of Information Management</w:t>
      </w:r>
      <w:r>
        <w:rPr>
          <w:rFonts w:ascii="Times New Roman" w:hAnsi="Times New Roman" w:cs="Times New Roman"/>
          <w:lang w:val="en-US"/>
        </w:rPr>
        <w:t>, 36 (6), 1075-1088. https://doi.org/10.1016/j.ijinfomgt.2016.06.005.</w:t>
      </w:r>
    </w:p>
    <w:p>
      <w:pPr>
        <w:widowControl/>
        <w:suppressLineNumbers w:val="0"/>
        <w:spacing w:line="240" w:lineRule="auto"/>
        <w:ind w:left="0" w:firstLine="0"/>
        <w:contextualSpacing/>
        <w:rPr>
          <w:rFonts w:ascii="Times New Roman" w:hAnsi="Times New Roman" w:cs="Times New Roman"/>
          <w:lang w:val="en-US"/>
        </w:rPr>
      </w:pPr>
    </w:p>
    <w:p>
      <w:pPr>
        <w:widowControl/>
        <w:suppressLineNumbers w:val="0"/>
        <w:spacing w:line="240" w:lineRule="auto"/>
        <w:ind w:left="0" w:firstLine="0"/>
        <w:contextualSpacing/>
        <w:rPr>
          <w:rFonts w:ascii="Times New Roman" w:hAnsi="Times New Roman" w:cs="Times New Roman"/>
        </w:rPr>
      </w:pPr>
      <w:r>
        <w:rPr>
          <w:rFonts w:ascii="Times New Roman" w:hAnsi="Times New Roman" w:cs="Times New Roman"/>
        </w:rPr>
        <w:t xml:space="preserve">CAPELLESSO, Adinor José; CAZELLA, Ademir Antonio; BÚRIGO, Fábio Luiz. </w:t>
      </w:r>
      <w:r>
        <w:rPr>
          <w:rFonts w:ascii="Times New Roman" w:hAnsi="Times New Roman" w:cs="Times New Roman"/>
          <w:b/>
        </w:rPr>
        <w:t>Evolução do Pronaf Crédito no Período 1996-2013</w:t>
      </w:r>
      <w:r>
        <w:rPr>
          <w:rFonts w:ascii="Times New Roman" w:hAnsi="Times New Roman" w:cs="Times New Roman"/>
        </w:rPr>
        <w:t>: redimensionando o acesso pelos cadastros de pessoa física. RESR, Piracicaba-SP, Vol. 56, Nº 03, p. 437-450, Jul./Set. 2018.</w:t>
      </w:r>
    </w:p>
    <w:p>
      <w:pPr>
        <w:widowControl/>
        <w:suppressLineNumbers w:val="0"/>
        <w:spacing w:line="240" w:lineRule="auto"/>
        <w:ind w:left="0" w:firstLine="0"/>
        <w:contextualSpacing/>
        <w:rPr>
          <w:rFonts w:ascii="Times New Roman" w:hAnsi="Times New Roman" w:cs="Times New Roman"/>
          <w:highlight w:val="green"/>
        </w:rPr>
      </w:pPr>
    </w:p>
    <w:p>
      <w:pPr>
        <w:widowControl/>
        <w:suppressLineNumbers w:val="0"/>
        <w:spacing w:line="240" w:lineRule="auto"/>
        <w:ind w:left="0" w:firstLine="0"/>
        <w:contextualSpacing/>
        <w:rPr>
          <w:rFonts w:ascii="Times New Roman" w:hAnsi="Times New Roman" w:cs="Times New Roman"/>
        </w:rPr>
      </w:pPr>
      <w:r>
        <w:rPr>
          <w:rFonts w:ascii="Times New Roman" w:hAnsi="Times New Roman" w:cs="Times New Roman"/>
        </w:rPr>
        <w:t xml:space="preserve">COLLING, M. A.; SCHNEIDER, M. B.; STADUTO, J. A. R. </w:t>
      </w:r>
      <w:r>
        <w:rPr>
          <w:rFonts w:ascii="Times New Roman" w:hAnsi="Times New Roman" w:cs="Times New Roman"/>
          <w:b/>
        </w:rPr>
        <w:t>A inserção do corredor de desenvolvimento rural-urbano na região Oeste do Paraná no cenário do comércio internacional.</w:t>
      </w:r>
      <w:r>
        <w:rPr>
          <w:rFonts w:ascii="Times New Roman" w:hAnsi="Times New Roman" w:cs="Times New Roman"/>
        </w:rPr>
        <w:t xml:space="preserve"> Revista Brasileira de Gestão e Desenvolvimento Regional, v. 13, n. 2, p. 299–321, 2017.</w:t>
      </w:r>
    </w:p>
    <w:p>
      <w:pPr>
        <w:widowControl/>
        <w:suppressLineNumbers w:val="0"/>
        <w:spacing w:line="240" w:lineRule="auto"/>
        <w:ind w:left="0" w:firstLine="0"/>
        <w:contextualSpacing/>
        <w:rPr>
          <w:rFonts w:ascii="Times New Roman" w:hAnsi="Times New Roman" w:cs="Times New Roman"/>
        </w:rPr>
      </w:pPr>
    </w:p>
    <w:p>
      <w:pPr>
        <w:widowControl/>
        <w:suppressLineNumbers w:val="0"/>
        <w:spacing w:line="240" w:lineRule="auto"/>
        <w:ind w:left="0" w:firstLine="0"/>
        <w:contextualSpacing/>
        <w:rPr>
          <w:rFonts w:ascii="Times New Roman" w:hAnsi="Times New Roman" w:cs="Times New Roman"/>
        </w:rPr>
      </w:pPr>
      <w:r>
        <w:rPr>
          <w:rFonts w:ascii="Times New Roman" w:hAnsi="Times New Roman" w:cs="Times New Roman"/>
        </w:rPr>
        <w:t xml:space="preserve">FERREIRA, J. C; PATINO, C. M. </w:t>
      </w:r>
      <w:r>
        <w:rPr>
          <w:rFonts w:ascii="Times New Roman" w:hAnsi="Times New Roman" w:cs="Times New Roman"/>
          <w:b/>
        </w:rPr>
        <w:t>O que realmente significa o valor-p?</w:t>
      </w:r>
      <w:r>
        <w:rPr>
          <w:rFonts w:ascii="Times New Roman" w:hAnsi="Times New Roman" w:cs="Times New Roman"/>
        </w:rPr>
        <w:t xml:space="preserve"> 2015. Disponível em: https://www.scielo.br/j/jbpneu/a/SWk5XsCsXTW7GBZq8n7mVMJ/?format=pdf&amp;lang=pt#:~:text=O%20valor%2Dp%20indica%20a,poder%20suficiente%20para%20detect%C3%A1%2Dlo. Acesso em: 27 jan. 2022.</w:t>
      </w:r>
    </w:p>
    <w:p>
      <w:pPr>
        <w:widowControl/>
        <w:suppressLineNumbers w:val="0"/>
        <w:spacing w:line="240" w:lineRule="auto"/>
        <w:ind w:left="0" w:firstLine="0"/>
        <w:contextualSpacing/>
        <w:rPr>
          <w:rFonts w:ascii="Times New Roman" w:hAnsi="Times New Roman" w:cs="Times New Roman"/>
          <w:highlight w:val="green"/>
        </w:rPr>
      </w:pPr>
    </w:p>
    <w:p>
      <w:pPr>
        <w:widowControl/>
        <w:suppressLineNumbers w:val="0"/>
        <w:spacing w:line="240" w:lineRule="auto"/>
        <w:ind w:left="0" w:firstLine="0"/>
        <w:contextualSpacing/>
        <w:rPr>
          <w:rFonts w:ascii="Times New Roman" w:hAnsi="Times New Roman" w:cs="Times New Roman"/>
        </w:rPr>
      </w:pPr>
      <w:r>
        <w:rPr>
          <w:rFonts w:ascii="Times New Roman" w:hAnsi="Times New Roman" w:cs="Times New Roman"/>
        </w:rPr>
        <w:t xml:space="preserve">FERRERA DE LIMA, J. </w:t>
      </w:r>
      <w:r>
        <w:rPr>
          <w:rFonts w:ascii="Times New Roman" w:hAnsi="Times New Roman" w:cs="Times New Roman"/>
          <w:b/>
        </w:rPr>
        <w:t>As disparidades regionais na fronteira sul do Brasil.</w:t>
      </w:r>
      <w:r>
        <w:rPr>
          <w:rFonts w:ascii="Times New Roman" w:hAnsi="Times New Roman" w:cs="Times New Roman"/>
        </w:rPr>
        <w:t xml:space="preserve"> </w:t>
      </w:r>
      <w:r>
        <w:rPr>
          <w:rFonts w:ascii="Times New Roman" w:hAnsi="Times New Roman" w:cs="Times New Roman"/>
          <w:bCs/>
        </w:rPr>
        <w:t>Revista Brasileira de Gestão e Desenvolvimento Regional</w:t>
      </w:r>
      <w:r>
        <w:rPr>
          <w:rFonts w:ascii="Times New Roman" w:hAnsi="Times New Roman" w:cs="Times New Roman"/>
        </w:rPr>
        <w:t>, v. 15, n. 5, p. 128–137, 2019.</w:t>
      </w:r>
    </w:p>
    <w:p>
      <w:pPr>
        <w:widowControl/>
        <w:suppressLineNumbers w:val="0"/>
        <w:spacing w:line="240" w:lineRule="auto"/>
        <w:ind w:left="0" w:firstLine="0"/>
        <w:contextualSpacing/>
        <w:rPr>
          <w:rFonts w:ascii="Times New Roman" w:hAnsi="Times New Roman" w:cs="Times New Roman"/>
        </w:rPr>
      </w:pPr>
    </w:p>
    <w:p>
      <w:pPr>
        <w:widowControl/>
        <w:suppressLineNumbers w:val="0"/>
        <w:spacing w:line="240" w:lineRule="auto"/>
        <w:ind w:left="0" w:firstLine="0"/>
        <w:contextualSpacing/>
        <w:rPr>
          <w:rFonts w:ascii="Times New Roman" w:hAnsi="Times New Roman" w:cs="Times New Roman"/>
        </w:rPr>
      </w:pPr>
      <w:r>
        <w:rPr>
          <w:rFonts w:ascii="Times New Roman" w:hAnsi="Times New Roman" w:cs="Times New Roman"/>
        </w:rPr>
        <w:t xml:space="preserve">FOCHEZATTO, A. </w:t>
      </w:r>
      <w:r>
        <w:rPr>
          <w:rFonts w:ascii="Times New Roman" w:hAnsi="Times New Roman" w:cs="Times New Roman"/>
          <w:b/>
          <w:bCs/>
        </w:rPr>
        <w:t>Desenvolvimento Regional:</w:t>
      </w:r>
      <w:r>
        <w:rPr>
          <w:rFonts w:ascii="Times New Roman" w:hAnsi="Times New Roman" w:cs="Times New Roman"/>
        </w:rPr>
        <w:t xml:space="preserve"> novas abordagens para novos paradigmas produtivos. In: O ambiente Regional: Três Décadas de Economia Gaúcha. v. 1p. 160–192, 2010.</w:t>
      </w:r>
    </w:p>
    <w:p>
      <w:pPr>
        <w:widowControl/>
        <w:suppressLineNumbers w:val="0"/>
        <w:spacing w:line="240" w:lineRule="auto"/>
        <w:ind w:left="0" w:firstLine="0"/>
        <w:contextualSpacing/>
        <w:rPr>
          <w:rFonts w:ascii="Times New Roman" w:hAnsi="Times New Roman" w:cs="Times New Roman"/>
        </w:rPr>
      </w:pPr>
    </w:p>
    <w:p>
      <w:pPr>
        <w:widowControl/>
        <w:suppressLineNumbers w:val="0"/>
        <w:spacing w:line="240" w:lineRule="auto"/>
        <w:ind w:left="0" w:firstLine="0"/>
        <w:contextualSpacing/>
        <w:rPr>
          <w:rFonts w:ascii="Times New Roman" w:hAnsi="Times New Roman" w:cs="Times New Roman"/>
        </w:rPr>
      </w:pPr>
      <w:r>
        <w:rPr>
          <w:rFonts w:ascii="Times New Roman" w:hAnsi="Times New Roman" w:cs="Times New Roman"/>
        </w:rPr>
        <w:t xml:space="preserve">FOSSÁ, J. L.; COMERLATTO, D.; MATTEI, L. F. </w:t>
      </w:r>
      <w:r>
        <w:rPr>
          <w:rFonts w:ascii="Times New Roman" w:hAnsi="Times New Roman" w:cs="Times New Roman"/>
          <w:b/>
        </w:rPr>
        <w:t>O programa nacional de fortalecimento da agricultura familiar (PRONAF) na percepção de agricultores familiares.</w:t>
      </w:r>
      <w:r>
        <w:rPr>
          <w:rFonts w:ascii="Times New Roman" w:hAnsi="Times New Roman" w:cs="Times New Roman"/>
        </w:rPr>
        <w:t xml:space="preserve"> R. Bras. Planej. Desenv., Curitiba, v. 7, n. 5, p. 670-693, Edição Especial Desenvolvimento Sustentável Brasil/Cuba, out. 2018. Disponível em: https://periodicos.utfpr.edu.br/rbpd. Acesso em: 13 dez. 2021.</w:t>
      </w:r>
    </w:p>
    <w:p>
      <w:pPr>
        <w:widowControl/>
        <w:suppressLineNumbers w:val="0"/>
        <w:spacing w:line="240" w:lineRule="auto"/>
        <w:ind w:left="0" w:firstLine="0"/>
        <w:contextualSpacing/>
        <w:rPr>
          <w:rFonts w:ascii="Times New Roman" w:hAnsi="Times New Roman" w:cs="Times New Roman"/>
          <w:highlight w:val="green"/>
        </w:rPr>
      </w:pPr>
    </w:p>
    <w:p>
      <w:pPr>
        <w:widowControl/>
        <w:suppressLineNumbers w:val="0"/>
        <w:spacing w:line="240" w:lineRule="auto"/>
        <w:ind w:left="0" w:firstLine="0"/>
        <w:contextualSpacing/>
        <w:rPr>
          <w:rFonts w:ascii="Times New Roman" w:hAnsi="Times New Roman" w:cs="Times New Roman"/>
          <w:highlight w:val="green"/>
        </w:rPr>
      </w:pPr>
      <w:r>
        <w:rPr>
          <w:rFonts w:ascii="Times New Roman" w:hAnsi="Times New Roman" w:cs="Times New Roman"/>
        </w:rPr>
        <w:t xml:space="preserve">FOSSÁ, Juliano Luiz; MATTE, Alessandra; MATTEI, Lauro Francisco; SCHNEIDER, Sérgio. </w:t>
      </w:r>
      <w:r>
        <w:rPr>
          <w:rFonts w:ascii="Times New Roman" w:hAnsi="Times New Roman" w:cs="Times New Roman"/>
          <w:b/>
        </w:rPr>
        <w:t>Acesso e Distribuição do Pronaf entre Agricultores Familiares no Estado de Santa Catarina.</w:t>
      </w:r>
      <w:r>
        <w:rPr>
          <w:rFonts w:ascii="Times New Roman" w:hAnsi="Times New Roman" w:cs="Times New Roman"/>
        </w:rPr>
        <w:t xml:space="preserve"> Editora Unijuí. ISSN 2237-6453. Ano 16. n. 45. out./dez. 2018. Disponível em: http://dx.doi.org/10.21527/2237-6453.2020.53.222-244. Acesso em: 13 dez. 2021.</w:t>
      </w:r>
    </w:p>
    <w:p>
      <w:pPr>
        <w:widowControl/>
        <w:suppressLineNumbers w:val="0"/>
        <w:spacing w:line="240" w:lineRule="auto"/>
        <w:ind w:left="0" w:firstLine="0"/>
        <w:contextualSpacing/>
        <w:rPr>
          <w:rFonts w:ascii="Times New Roman" w:hAnsi="Times New Roman" w:cs="Times New Roman"/>
          <w:highlight w:val="green"/>
        </w:rPr>
      </w:pPr>
    </w:p>
    <w:p>
      <w:pPr>
        <w:widowControl/>
        <w:suppressLineNumbers w:val="0"/>
        <w:spacing w:line="240" w:lineRule="auto"/>
        <w:ind w:left="0" w:firstLine="0"/>
        <w:contextualSpacing/>
        <w:rPr>
          <w:rFonts w:ascii="Times New Roman" w:hAnsi="Times New Roman" w:cs="Times New Roman"/>
        </w:rPr>
      </w:pPr>
      <w:r>
        <w:rPr>
          <w:rFonts w:ascii="Times New Roman" w:hAnsi="Times New Roman" w:cs="Times New Roman"/>
        </w:rPr>
        <w:t xml:space="preserve">FRANZIN, S. F. L.; ALMEIDA, F. M. de; SOUZA, C. H. M. de. </w:t>
      </w:r>
      <w:r>
        <w:rPr>
          <w:rFonts w:ascii="Times New Roman" w:hAnsi="Times New Roman" w:cs="Times New Roman"/>
          <w:b/>
        </w:rPr>
        <w:t>A inovação e o desenvolvimento regional como referência para Políticas Públicas no Brasil.</w:t>
      </w:r>
      <w:r>
        <w:rPr>
          <w:rFonts w:ascii="Times New Roman" w:hAnsi="Times New Roman" w:cs="Times New Roman"/>
        </w:rPr>
        <w:t xml:space="preserve"> </w:t>
      </w:r>
      <w:r>
        <w:rPr>
          <w:rFonts w:ascii="Times New Roman" w:hAnsi="Times New Roman" w:cs="Times New Roman"/>
          <w:bCs/>
        </w:rPr>
        <w:t>InterScience Place</w:t>
      </w:r>
      <w:r>
        <w:rPr>
          <w:rFonts w:ascii="Times New Roman" w:hAnsi="Times New Roman" w:cs="Times New Roman"/>
        </w:rPr>
        <w:t xml:space="preserve">, v. 1, n. 29, p. 64–83, 2014. </w:t>
      </w:r>
    </w:p>
    <w:p>
      <w:pPr>
        <w:widowControl/>
        <w:suppressLineNumbers w:val="0"/>
        <w:spacing w:line="240" w:lineRule="auto"/>
        <w:ind w:left="0" w:firstLine="0"/>
        <w:contextualSpacing/>
        <w:rPr>
          <w:rFonts w:ascii="Times New Roman" w:hAnsi="Times New Roman" w:cs="Times New Roman"/>
        </w:rPr>
      </w:pPr>
    </w:p>
    <w:p>
      <w:pPr>
        <w:widowControl/>
        <w:suppressLineNumbers w:val="0"/>
        <w:spacing w:line="240" w:lineRule="auto"/>
        <w:ind w:left="0" w:firstLine="0"/>
        <w:contextualSpacing/>
        <w:rPr>
          <w:rFonts w:ascii="Times New Roman" w:hAnsi="Times New Roman" w:cs="Times New Roman"/>
        </w:rPr>
      </w:pPr>
      <w:r>
        <w:rPr>
          <w:rFonts w:ascii="Times New Roman" w:hAnsi="Times New Roman" w:cs="Times New Roman"/>
        </w:rPr>
        <w:t xml:space="preserve">GASQUES, J. G. et al. Produtividade da Agricultura brasileira e os efeitos de algumas políticas. </w:t>
      </w:r>
      <w:r>
        <w:rPr>
          <w:rFonts w:ascii="Times New Roman" w:hAnsi="Times New Roman" w:cs="Times New Roman"/>
          <w:b/>
          <w:bCs/>
        </w:rPr>
        <w:t>Revista de Política Agrícola</w:t>
      </w:r>
      <w:r>
        <w:rPr>
          <w:rFonts w:ascii="Times New Roman" w:hAnsi="Times New Roman" w:cs="Times New Roman"/>
        </w:rPr>
        <w:t>, n. 3, p. 83–92, 2012.</w:t>
      </w:r>
    </w:p>
    <w:p>
      <w:pPr>
        <w:widowControl/>
        <w:suppressLineNumbers w:val="0"/>
        <w:spacing w:line="240" w:lineRule="auto"/>
        <w:ind w:left="0" w:firstLine="0"/>
        <w:contextualSpacing/>
        <w:rPr>
          <w:rFonts w:ascii="Times New Roman" w:hAnsi="Times New Roman" w:cs="Times New Roman"/>
        </w:rPr>
      </w:pPr>
    </w:p>
    <w:p>
      <w:pPr>
        <w:ind w:left="0" w:firstLine="0"/>
        <w:rPr>
          <w:rFonts w:ascii="Times New Roman" w:hAnsi="Times New Roman" w:cs="Times New Roman"/>
        </w:rPr>
      </w:pPr>
      <w:r>
        <w:rPr>
          <w:rFonts w:ascii="Times New Roman" w:hAnsi="Times New Roman" w:cs="Times New Roman"/>
        </w:rPr>
        <w:t>GIL, Antonio Carlos. Como Elaborar Projetos de Pesquisa. 4. Ed. São Paulo: Atlas, 2002.</w:t>
      </w:r>
    </w:p>
    <w:p>
      <w:pPr>
        <w:widowControl/>
        <w:suppressLineNumbers w:val="0"/>
        <w:spacing w:line="240" w:lineRule="auto"/>
        <w:ind w:left="0" w:firstLine="0"/>
        <w:contextualSpacing/>
        <w:rPr>
          <w:rFonts w:ascii="Times New Roman" w:hAnsi="Times New Roman" w:cs="Times New Roman"/>
        </w:rPr>
      </w:pPr>
      <w:r>
        <w:rPr>
          <w:rFonts w:ascii="Times New Roman" w:hAnsi="Times New Roman" w:cs="Times New Roman"/>
        </w:rPr>
        <w:t xml:space="preserve">GUANZIROLI, C. E. </w:t>
      </w:r>
      <w:r>
        <w:rPr>
          <w:rFonts w:ascii="Times New Roman" w:hAnsi="Times New Roman" w:cs="Times New Roman"/>
          <w:b/>
        </w:rPr>
        <w:t>PRONAF dez anos depois</w:t>
      </w:r>
      <w:r>
        <w:rPr>
          <w:rFonts w:ascii="Times New Roman" w:hAnsi="Times New Roman" w:cs="Times New Roman"/>
        </w:rPr>
        <w:t>: resultados e perspectivas para o desenvolvimento rural. Revista de Economia e Sociologia Rural, 45 (2)., 2007.</w:t>
      </w:r>
    </w:p>
    <w:p>
      <w:pPr>
        <w:widowControl/>
        <w:suppressLineNumbers w:val="0"/>
        <w:spacing w:line="240" w:lineRule="auto"/>
        <w:ind w:left="0" w:firstLine="0"/>
        <w:contextualSpacing/>
        <w:rPr>
          <w:rFonts w:ascii="Times New Roman" w:hAnsi="Times New Roman" w:cs="Times New Roman"/>
        </w:rPr>
      </w:pPr>
    </w:p>
    <w:p>
      <w:pPr>
        <w:widowControl/>
        <w:suppressLineNumbers w:val="0"/>
        <w:spacing w:line="240" w:lineRule="auto"/>
        <w:ind w:left="0" w:firstLine="0"/>
        <w:contextualSpacing/>
        <w:rPr>
          <w:rFonts w:ascii="Times New Roman" w:hAnsi="Times New Roman" w:cs="Times New Roman"/>
        </w:rPr>
      </w:pPr>
      <w:r>
        <w:rPr>
          <w:rFonts w:ascii="Times New Roman" w:hAnsi="Times New Roman" w:cs="Times New Roman"/>
        </w:rPr>
        <w:t xml:space="preserve">GUANZIROLI, Carlos Enrique; DI SABBATO, Alberto; VIDAL, Maria de Fátima. </w:t>
      </w:r>
      <w:r>
        <w:rPr>
          <w:rFonts w:ascii="Times New Roman" w:hAnsi="Times New Roman" w:cs="Times New Roman"/>
          <w:b/>
        </w:rPr>
        <w:t>Agricultura familiar no Nordeste</w:t>
      </w:r>
      <w:r>
        <w:rPr>
          <w:rFonts w:ascii="Times New Roman" w:hAnsi="Times New Roman" w:cs="Times New Roman"/>
        </w:rPr>
        <w:t>: uma análise comparativa entre dois censos agropecuários. Banco do Nordeste do Brasil, 2011.</w:t>
      </w:r>
    </w:p>
    <w:p>
      <w:pPr>
        <w:widowControl/>
        <w:suppressLineNumbers w:val="0"/>
        <w:spacing w:line="240" w:lineRule="auto"/>
        <w:ind w:left="0" w:firstLine="0"/>
        <w:contextualSpacing/>
        <w:rPr>
          <w:rFonts w:ascii="Times New Roman" w:hAnsi="Times New Roman" w:cs="Times New Roman"/>
        </w:rPr>
      </w:pPr>
    </w:p>
    <w:p>
      <w:pPr>
        <w:widowControl/>
        <w:suppressLineNumbers w:val="0"/>
        <w:spacing w:line="240" w:lineRule="auto"/>
        <w:ind w:left="0" w:firstLine="0"/>
        <w:contextualSpacing/>
        <w:rPr>
          <w:rFonts w:ascii="Times New Roman" w:hAnsi="Times New Roman" w:cs="Times New Roman"/>
        </w:rPr>
      </w:pPr>
      <w:r>
        <w:rPr>
          <w:rFonts w:ascii="Times New Roman" w:hAnsi="Times New Roman" w:cs="Times New Roman"/>
        </w:rPr>
        <w:t xml:space="preserve">GUJARATI, D. N.; PORTER, D. C. </w:t>
      </w:r>
      <w:r>
        <w:rPr>
          <w:rFonts w:ascii="Times New Roman" w:hAnsi="Times New Roman" w:cs="Times New Roman"/>
          <w:b/>
        </w:rPr>
        <w:t>Econometria básica</w:t>
      </w:r>
      <w:r>
        <w:rPr>
          <w:rFonts w:ascii="Times New Roman" w:hAnsi="Times New Roman" w:cs="Times New Roman"/>
        </w:rPr>
        <w:t>. 5. ed. Porto Alegre: AMGH, 2011.</w:t>
      </w:r>
    </w:p>
    <w:p>
      <w:pPr>
        <w:widowControl/>
        <w:suppressLineNumbers w:val="0"/>
        <w:spacing w:line="240" w:lineRule="auto"/>
        <w:ind w:left="0" w:firstLine="0"/>
        <w:contextualSpacing/>
        <w:rPr>
          <w:rFonts w:ascii="Times New Roman" w:hAnsi="Times New Roman" w:cs="Times New Roman"/>
        </w:rPr>
      </w:pPr>
    </w:p>
    <w:p>
      <w:pPr>
        <w:widowControl/>
        <w:suppressLineNumbers w:val="0"/>
        <w:spacing w:line="240" w:lineRule="auto"/>
        <w:ind w:left="0" w:firstLine="0"/>
        <w:contextualSpacing/>
        <w:rPr>
          <w:rFonts w:ascii="Times New Roman" w:hAnsi="Times New Roman" w:cs="Times New Roman"/>
        </w:rPr>
      </w:pPr>
      <w:r>
        <w:rPr>
          <w:rFonts w:ascii="Times New Roman" w:hAnsi="Times New Roman" w:cs="Times New Roman"/>
        </w:rPr>
        <w:t xml:space="preserve">IBGE – INSTITUTO BRASILEIRO DE GEOGRAFIA E ESTATÍSTICA. </w:t>
      </w:r>
      <w:r>
        <w:rPr>
          <w:rFonts w:ascii="Times New Roman" w:hAnsi="Times New Roman" w:cs="Times New Roman"/>
          <w:b/>
          <w:bCs/>
        </w:rPr>
        <w:t xml:space="preserve">IPCA - Índice Nacional de Preços ao Consumidor Amplo </w:t>
      </w:r>
      <w:r>
        <w:rPr>
          <w:rFonts w:ascii="Times New Roman" w:hAnsi="Times New Roman" w:cs="Times New Roman"/>
        </w:rPr>
        <w:t xml:space="preserve">- </w:t>
      </w:r>
      <w:r>
        <w:rPr>
          <w:rFonts w:ascii="Times New Roman" w:hAnsi="Times New Roman" w:cs="Times New Roman"/>
          <w:b/>
          <w:bCs/>
        </w:rPr>
        <w:t>Séries históricas</w:t>
      </w:r>
      <w:r>
        <w:rPr>
          <w:rFonts w:ascii="Times New Roman" w:hAnsi="Times New Roman" w:cs="Times New Roman"/>
        </w:rPr>
        <w:t>. Disponível em: https://www.ibge.gov.br/estatisticas/economicas/precos-e-custos/9256-indice-nacional-de-precos-ao-consumidor-amplo.html?=&amp;t=series-historicas. Acesso em: 17 jan. 2022.</w:t>
      </w:r>
    </w:p>
    <w:p>
      <w:pPr>
        <w:widowControl/>
        <w:suppressLineNumbers w:val="0"/>
        <w:spacing w:line="240" w:lineRule="auto"/>
        <w:ind w:left="0" w:firstLine="0"/>
        <w:contextualSpacing/>
        <w:rPr>
          <w:rFonts w:ascii="Times New Roman" w:hAnsi="Times New Roman" w:cs="Times New Roman"/>
        </w:rPr>
      </w:pPr>
    </w:p>
    <w:p>
      <w:pPr>
        <w:widowControl/>
        <w:suppressLineNumbers w:val="0"/>
        <w:spacing w:line="240" w:lineRule="auto"/>
        <w:ind w:left="0" w:firstLine="0"/>
        <w:contextualSpacing/>
        <w:rPr>
          <w:rFonts w:ascii="Times New Roman" w:hAnsi="Times New Roman" w:cs="Times New Roman"/>
        </w:rPr>
      </w:pPr>
      <w:r>
        <w:rPr>
          <w:rFonts w:ascii="Times New Roman" w:hAnsi="Times New Roman" w:cs="Times New Roman"/>
        </w:rPr>
        <w:t xml:space="preserve">JÚNIOR, S. F.; BAPTISTA, A. J. M. S.; LIMA, J. E. A Modernização Agropecuária nas Microrregiões do Estado de Minas Gerais. </w:t>
      </w:r>
      <w:r>
        <w:rPr>
          <w:rFonts w:ascii="Times New Roman" w:hAnsi="Times New Roman" w:cs="Times New Roman"/>
          <w:b/>
          <w:bCs/>
        </w:rPr>
        <w:t>Revista de economia e sociologia rural</w:t>
      </w:r>
      <w:r>
        <w:rPr>
          <w:rFonts w:ascii="Times New Roman" w:hAnsi="Times New Roman" w:cs="Times New Roman"/>
        </w:rPr>
        <w:t>, v. 42, p. 73–89, 2004.</w:t>
      </w:r>
    </w:p>
    <w:p>
      <w:pPr>
        <w:widowControl/>
        <w:suppressLineNumbers w:val="0"/>
        <w:spacing w:line="240" w:lineRule="auto"/>
        <w:ind w:left="0" w:firstLine="0"/>
        <w:contextualSpacing/>
        <w:rPr>
          <w:rFonts w:ascii="Times New Roman" w:hAnsi="Times New Roman" w:cs="Times New Roman"/>
        </w:rPr>
      </w:pPr>
    </w:p>
    <w:p>
      <w:pPr>
        <w:widowControl/>
        <w:suppressLineNumbers w:val="0"/>
        <w:spacing w:line="240" w:lineRule="auto"/>
        <w:ind w:left="0" w:firstLine="0"/>
        <w:contextualSpacing/>
        <w:rPr>
          <w:rFonts w:ascii="Times New Roman" w:hAnsi="Times New Roman" w:cs="Times New Roman"/>
        </w:rPr>
      </w:pPr>
      <w:r>
        <w:rPr>
          <w:rFonts w:ascii="Times New Roman" w:hAnsi="Times New Roman" w:cs="Times New Roman"/>
        </w:rPr>
        <w:t xml:space="preserve">LAKATOS, E. M.; MARCONI, M. A. </w:t>
      </w:r>
      <w:r>
        <w:rPr>
          <w:rFonts w:ascii="Times New Roman" w:hAnsi="Times New Roman" w:cs="Times New Roman"/>
          <w:b/>
        </w:rPr>
        <w:t>Fundamentos de Metodologia Científica.</w:t>
      </w:r>
      <w:r>
        <w:rPr>
          <w:rFonts w:ascii="Times New Roman" w:hAnsi="Times New Roman" w:cs="Times New Roman"/>
        </w:rPr>
        <w:t xml:space="preserve"> São Paulo, SP: Atlas 2003.</w:t>
      </w:r>
    </w:p>
    <w:p>
      <w:pPr>
        <w:widowControl/>
        <w:suppressLineNumbers w:val="0"/>
        <w:spacing w:line="240" w:lineRule="auto"/>
        <w:ind w:left="0" w:firstLine="0"/>
        <w:contextualSpacing/>
        <w:rPr>
          <w:rFonts w:ascii="Times New Roman" w:hAnsi="Times New Roman" w:cs="Times New Roman"/>
        </w:rPr>
      </w:pPr>
    </w:p>
    <w:p>
      <w:pPr>
        <w:widowControl/>
        <w:suppressLineNumbers w:val="0"/>
        <w:spacing w:line="240" w:lineRule="auto"/>
        <w:ind w:left="0" w:firstLine="0"/>
        <w:contextualSpacing/>
        <w:rPr>
          <w:rFonts w:ascii="Times New Roman" w:hAnsi="Times New Roman" w:cs="Times New Roman"/>
        </w:rPr>
      </w:pPr>
      <w:r>
        <w:rPr>
          <w:rFonts w:ascii="Times New Roman" w:hAnsi="Times New Roman" w:cs="Times New Roman"/>
        </w:rPr>
        <w:t xml:space="preserve">LEITE, S. P. WESZ JUNIOR, V. J. </w:t>
      </w:r>
      <w:r>
        <w:rPr>
          <w:rFonts w:ascii="Times New Roman" w:hAnsi="Times New Roman" w:cs="Times New Roman"/>
          <w:b/>
        </w:rPr>
        <w:t>Um estudo sobre o financiamento da política de desenvolvimento territorial no meio rural brasileiro.</w:t>
      </w:r>
      <w:r>
        <w:rPr>
          <w:rFonts w:ascii="Times New Roman" w:hAnsi="Times New Roman" w:cs="Times New Roman"/>
        </w:rPr>
        <w:t xml:space="preserve"> Revista de Economia e Sociologia Rural (Impresso), v. 50, n. 4, p. 645-666, 2012.</w:t>
      </w:r>
    </w:p>
    <w:p>
      <w:pPr>
        <w:widowControl/>
        <w:suppressLineNumbers w:val="0"/>
        <w:spacing w:line="240" w:lineRule="auto"/>
        <w:ind w:left="0" w:firstLine="0"/>
        <w:contextualSpacing/>
        <w:rPr>
          <w:rFonts w:ascii="Times New Roman" w:hAnsi="Times New Roman" w:cs="Times New Roman"/>
        </w:rPr>
      </w:pPr>
    </w:p>
    <w:p>
      <w:pPr>
        <w:widowControl/>
        <w:suppressLineNumbers w:val="0"/>
        <w:spacing w:line="240" w:lineRule="auto"/>
        <w:ind w:left="0" w:firstLine="0"/>
        <w:contextualSpacing/>
        <w:rPr>
          <w:rFonts w:ascii="Times New Roman" w:hAnsi="Times New Roman" w:cs="Times New Roman"/>
        </w:rPr>
      </w:pPr>
      <w:r>
        <w:rPr>
          <w:rFonts w:ascii="Times New Roman" w:hAnsi="Times New Roman" w:cs="Times New Roman"/>
        </w:rPr>
        <w:t xml:space="preserve">MATTEI, L. </w:t>
      </w:r>
      <w:r>
        <w:rPr>
          <w:rFonts w:ascii="Times New Roman" w:hAnsi="Times New Roman" w:cs="Times New Roman"/>
          <w:b/>
        </w:rPr>
        <w:t>Impactos do PRONAF</w:t>
      </w:r>
      <w:r>
        <w:rPr>
          <w:rFonts w:ascii="Times New Roman" w:hAnsi="Times New Roman" w:cs="Times New Roman"/>
        </w:rPr>
        <w:t>: análise de indicadores. Brasília: MDA/NEAD, 2005.</w:t>
      </w:r>
    </w:p>
    <w:p>
      <w:pPr>
        <w:widowControl/>
        <w:suppressLineNumbers w:val="0"/>
        <w:spacing w:line="240" w:lineRule="auto"/>
        <w:ind w:left="0" w:firstLine="0"/>
        <w:contextualSpacing/>
        <w:rPr>
          <w:rFonts w:ascii="Times New Roman" w:hAnsi="Times New Roman" w:cs="Times New Roman"/>
        </w:rPr>
      </w:pPr>
    </w:p>
    <w:p>
      <w:pPr>
        <w:widowControl/>
        <w:suppressLineNumbers w:val="0"/>
        <w:spacing w:line="240" w:lineRule="auto"/>
        <w:ind w:left="0" w:firstLine="0"/>
        <w:rPr>
          <w:rFonts w:ascii="Times New Roman" w:hAnsi="Times New Roman" w:cs="Times New Roman"/>
        </w:rPr>
      </w:pPr>
      <w:r>
        <w:rPr>
          <w:rFonts w:ascii="Times New Roman" w:hAnsi="Times New Roman" w:cs="Times New Roman"/>
        </w:rPr>
        <w:t xml:space="preserve">MATTEI, L. </w:t>
      </w:r>
      <w:r>
        <w:rPr>
          <w:rFonts w:ascii="Times New Roman" w:hAnsi="Times New Roman" w:cs="Times New Roman"/>
          <w:b/>
        </w:rPr>
        <w:t>Uma análise dos impactos do PRONAF sobre as economias locais nas regiões Nordeste, Sudeste e Norte do Brasil.</w:t>
      </w:r>
      <w:r>
        <w:rPr>
          <w:rFonts w:ascii="Times New Roman" w:hAnsi="Times New Roman" w:cs="Times New Roman"/>
        </w:rPr>
        <w:t xml:space="preserve"> XIV Sociedade Brasileira de Economia, Administração e Sociologia Rural. Londrina – PR, 2007</w:t>
      </w:r>
    </w:p>
    <w:p>
      <w:pPr>
        <w:widowControl/>
        <w:suppressLineNumbers w:val="0"/>
        <w:spacing w:line="240" w:lineRule="auto"/>
        <w:ind w:left="0" w:firstLine="0"/>
        <w:contextualSpacing/>
        <w:rPr>
          <w:rFonts w:ascii="Times New Roman" w:hAnsi="Times New Roman" w:cs="Times New Roman"/>
        </w:rPr>
      </w:pPr>
    </w:p>
    <w:p>
      <w:pPr>
        <w:widowControl/>
        <w:suppressLineNumbers w:val="0"/>
        <w:spacing w:line="240" w:lineRule="auto"/>
        <w:ind w:left="0" w:firstLine="0"/>
        <w:contextualSpacing/>
        <w:rPr>
          <w:rFonts w:ascii="Times New Roman" w:hAnsi="Times New Roman" w:cs="Times New Roman"/>
        </w:rPr>
      </w:pPr>
      <w:r>
        <w:rPr>
          <w:rFonts w:ascii="Times New Roman" w:hAnsi="Times New Roman" w:cs="Times New Roman"/>
        </w:rPr>
        <w:t xml:space="preserve">MESQUITA, Benjamin Alvino. </w:t>
      </w:r>
      <w:r>
        <w:rPr>
          <w:rFonts w:ascii="Times New Roman" w:hAnsi="Times New Roman" w:cs="Times New Roman"/>
          <w:b/>
        </w:rPr>
        <w:t>Intervenção governamental e transformação de setor agrícola.</w:t>
      </w:r>
      <w:r>
        <w:rPr>
          <w:rFonts w:ascii="Times New Roman" w:hAnsi="Times New Roman" w:cs="Times New Roman"/>
        </w:rPr>
        <w:t xml:space="preserve"> In: MESQUITA, Benjamin Alvino. O desenvolvimento desigual da agricultura: a dinâmica do agronegócio e da agricultura familiar. São Luís: EDUFMA, 2011.</w:t>
      </w:r>
    </w:p>
    <w:p>
      <w:pPr>
        <w:widowControl/>
        <w:suppressLineNumbers w:val="0"/>
        <w:spacing w:line="240" w:lineRule="auto"/>
        <w:ind w:left="0" w:firstLine="0"/>
        <w:contextualSpacing/>
        <w:rPr>
          <w:rFonts w:ascii="Times New Roman" w:hAnsi="Times New Roman" w:cs="Times New Roman"/>
          <w:highlight w:val="green"/>
        </w:rPr>
      </w:pPr>
    </w:p>
    <w:p>
      <w:pPr>
        <w:widowControl/>
        <w:suppressLineNumbers w:val="0"/>
        <w:spacing w:line="240" w:lineRule="auto"/>
        <w:ind w:left="0" w:firstLine="0"/>
        <w:contextualSpacing/>
        <w:rPr>
          <w:rFonts w:ascii="Times New Roman" w:hAnsi="Times New Roman" w:cs="Times New Roman"/>
        </w:rPr>
      </w:pPr>
      <w:r>
        <w:rPr>
          <w:rFonts w:ascii="Times New Roman" w:hAnsi="Times New Roman" w:cs="Times New Roman"/>
        </w:rPr>
        <w:t xml:space="preserve">MONTAGNHANI, B. A.; SHIKIDA, P. F. A. </w:t>
      </w:r>
      <w:r>
        <w:rPr>
          <w:rFonts w:ascii="Times New Roman" w:hAnsi="Times New Roman" w:cs="Times New Roman"/>
          <w:b/>
          <w:bCs/>
        </w:rPr>
        <w:t>Base econômica e desenvolvimento local:</w:t>
      </w:r>
      <w:r>
        <w:rPr>
          <w:rFonts w:ascii="Times New Roman" w:hAnsi="Times New Roman" w:cs="Times New Roman"/>
        </w:rPr>
        <w:t xml:space="preserve"> estudo de caso no município canavieiro de Mirandópolis-SP. Faz Ciência (UNIOESTE, impresso), v. 13, p. 43–68, 2011.</w:t>
      </w:r>
    </w:p>
    <w:p>
      <w:pPr>
        <w:widowControl/>
        <w:suppressLineNumbers w:val="0"/>
        <w:spacing w:line="240" w:lineRule="auto"/>
        <w:ind w:left="0" w:firstLine="0"/>
        <w:contextualSpacing/>
        <w:rPr>
          <w:rFonts w:ascii="Times New Roman" w:hAnsi="Times New Roman" w:cs="Times New Roman"/>
        </w:rPr>
      </w:pPr>
    </w:p>
    <w:p>
      <w:pPr>
        <w:widowControl/>
        <w:suppressLineNumbers w:val="0"/>
        <w:spacing w:line="240" w:lineRule="auto"/>
        <w:ind w:left="0" w:firstLine="0"/>
        <w:contextualSpacing/>
        <w:rPr>
          <w:rFonts w:ascii="Times New Roman" w:hAnsi="Times New Roman" w:cs="Times New Roman"/>
        </w:rPr>
      </w:pPr>
      <w:r>
        <w:rPr>
          <w:rFonts w:ascii="Times New Roman" w:hAnsi="Times New Roman" w:cs="Times New Roman"/>
        </w:rPr>
        <w:t xml:space="preserve">MONTEIRO, Alexandra Pedrosa; LEMOS, José de Jesus Sousa. </w:t>
      </w:r>
      <w:r>
        <w:rPr>
          <w:rFonts w:ascii="Times New Roman" w:hAnsi="Times New Roman" w:cs="Times New Roman"/>
          <w:b/>
        </w:rPr>
        <w:t>Desigualdades na distribuição dos recursos do Pronaf entre as regiões brasileiras.</w:t>
      </w:r>
      <w:r>
        <w:rPr>
          <w:rFonts w:ascii="Times New Roman" w:hAnsi="Times New Roman" w:cs="Times New Roman"/>
        </w:rPr>
        <w:t xml:space="preserve"> Revista de Política Agrícola, v. 1, n. 1, p. 6, 2019.</w:t>
      </w:r>
    </w:p>
    <w:p>
      <w:pPr>
        <w:widowControl/>
        <w:suppressLineNumbers w:val="0"/>
        <w:spacing w:line="240" w:lineRule="auto"/>
        <w:ind w:left="0" w:firstLine="0"/>
        <w:contextualSpacing/>
        <w:rPr>
          <w:rFonts w:ascii="Times New Roman" w:hAnsi="Times New Roman" w:cs="Times New Roman"/>
        </w:rPr>
      </w:pPr>
    </w:p>
    <w:p>
      <w:pPr>
        <w:widowControl/>
        <w:suppressLineNumbers w:val="0"/>
        <w:spacing w:line="240" w:lineRule="auto"/>
        <w:ind w:left="0" w:firstLine="0"/>
        <w:contextualSpacing/>
        <w:rPr>
          <w:rFonts w:ascii="Times New Roman" w:hAnsi="Times New Roman" w:cs="Times New Roman"/>
          <w:lang w:val="en-US"/>
        </w:rPr>
      </w:pPr>
      <w:r>
        <w:rPr>
          <w:rFonts w:ascii="Times New Roman" w:hAnsi="Times New Roman" w:cs="Times New Roman"/>
        </w:rPr>
        <w:t xml:space="preserve">NIJKAMP, P.; ABREU, M. </w:t>
      </w:r>
      <w:r>
        <w:rPr>
          <w:rFonts w:ascii="Times New Roman" w:hAnsi="Times New Roman" w:cs="Times New Roman"/>
          <w:b/>
        </w:rPr>
        <w:t>Regional Development Theory</w:t>
      </w:r>
      <w:r>
        <w:rPr>
          <w:rFonts w:ascii="Times New Roman" w:hAnsi="Times New Roman" w:cs="Times New Roman"/>
        </w:rPr>
        <w:t xml:space="preserve">. </w:t>
      </w:r>
      <w:r>
        <w:rPr>
          <w:rFonts w:ascii="Times New Roman" w:hAnsi="Times New Roman" w:cs="Times New Roman"/>
          <w:bCs/>
          <w:lang w:val="en-US"/>
        </w:rPr>
        <w:t>International Encyclopedia of Human Geography</w:t>
      </w:r>
      <w:r>
        <w:rPr>
          <w:rFonts w:ascii="Times New Roman" w:hAnsi="Times New Roman" w:cs="Times New Roman"/>
          <w:lang w:val="en-US"/>
        </w:rPr>
        <w:t>, v. 11, n. 2, p. 297–302, 2020.</w:t>
      </w:r>
    </w:p>
    <w:p>
      <w:pPr>
        <w:widowControl/>
        <w:suppressLineNumbers w:val="0"/>
        <w:spacing w:line="240" w:lineRule="auto"/>
        <w:ind w:left="0" w:firstLine="0"/>
        <w:contextualSpacing/>
        <w:rPr>
          <w:rFonts w:ascii="Times New Roman" w:hAnsi="Times New Roman" w:cs="Times New Roman"/>
          <w:lang w:val="en-US"/>
        </w:rPr>
      </w:pPr>
    </w:p>
    <w:p>
      <w:pPr>
        <w:widowControl/>
        <w:suppressLineNumbers w:val="0"/>
        <w:spacing w:line="240" w:lineRule="auto"/>
        <w:ind w:left="0" w:firstLine="0"/>
        <w:contextualSpacing/>
        <w:rPr>
          <w:rFonts w:ascii="Times New Roman" w:hAnsi="Times New Roman" w:cs="Times New Roman"/>
        </w:rPr>
      </w:pPr>
      <w:r>
        <w:rPr>
          <w:rFonts w:ascii="Times New Roman" w:hAnsi="Times New Roman" w:cs="Times New Roman"/>
        </w:rPr>
        <w:t xml:space="preserve">NORTH, D. C. </w:t>
      </w:r>
      <w:r>
        <w:rPr>
          <w:rFonts w:ascii="Times New Roman" w:hAnsi="Times New Roman" w:cs="Times New Roman"/>
          <w:b/>
          <w:bCs/>
        </w:rPr>
        <w:t>Teoria da localização e crescimento regional</w:t>
      </w:r>
      <w:r>
        <w:rPr>
          <w:rFonts w:ascii="Times New Roman" w:hAnsi="Times New Roman" w:cs="Times New Roman"/>
        </w:rPr>
        <w:t>. In: SCHWARTZMAN, J. (Org.). Economia regional: textos escolhidos. Belo Horizonte, MG: CEDEPLAR/CETEDRE –MINTER, p. 291-314, 1977.</w:t>
      </w:r>
    </w:p>
    <w:p>
      <w:pPr>
        <w:widowControl/>
        <w:suppressLineNumbers w:val="0"/>
        <w:spacing w:line="240" w:lineRule="auto"/>
        <w:ind w:left="0" w:firstLine="0"/>
        <w:contextualSpacing/>
        <w:rPr>
          <w:rFonts w:ascii="Times New Roman" w:hAnsi="Times New Roman" w:cs="Times New Roman"/>
        </w:rPr>
      </w:pPr>
    </w:p>
    <w:p>
      <w:pPr>
        <w:widowControl/>
        <w:suppressLineNumbers w:val="0"/>
        <w:spacing w:line="240" w:lineRule="auto"/>
        <w:ind w:left="0" w:firstLine="0"/>
        <w:contextualSpacing/>
        <w:rPr>
          <w:rFonts w:ascii="Times New Roman" w:hAnsi="Times New Roman" w:cs="Times New Roman"/>
        </w:rPr>
      </w:pPr>
      <w:r>
        <w:rPr>
          <w:rFonts w:ascii="Times New Roman" w:hAnsi="Times New Roman" w:cs="Times New Roman"/>
        </w:rPr>
        <w:t xml:space="preserve">OCDE. Organização para a Cooperação e Desenvolvimento Econômico (Organization for Economic Co-operation and Development). </w:t>
      </w:r>
      <w:r>
        <w:rPr>
          <w:rFonts w:ascii="Times New Roman" w:hAnsi="Times New Roman" w:cs="Times New Roman"/>
          <w:b/>
        </w:rPr>
        <w:t xml:space="preserve">Territorial indicators of employment: </w:t>
      </w:r>
      <w:r>
        <w:rPr>
          <w:rFonts w:ascii="Times New Roman" w:hAnsi="Times New Roman" w:cs="Times New Roman"/>
        </w:rPr>
        <w:t>focusing on rural development. Paris, 1996.</w:t>
      </w:r>
    </w:p>
    <w:p>
      <w:pPr>
        <w:widowControl/>
        <w:suppressLineNumbers w:val="0"/>
        <w:spacing w:line="240" w:lineRule="auto"/>
        <w:ind w:left="0" w:firstLine="0"/>
        <w:contextualSpacing/>
        <w:rPr>
          <w:rFonts w:ascii="Times New Roman" w:hAnsi="Times New Roman" w:cs="Times New Roman"/>
        </w:rPr>
      </w:pPr>
    </w:p>
    <w:p>
      <w:pPr>
        <w:widowControl/>
        <w:suppressLineNumbers w:val="0"/>
        <w:spacing w:line="240" w:lineRule="auto"/>
        <w:ind w:left="0" w:firstLine="0"/>
        <w:contextualSpacing/>
        <w:rPr>
          <w:rFonts w:ascii="Times New Roman" w:hAnsi="Times New Roman" w:cs="Times New Roman"/>
        </w:rPr>
      </w:pPr>
      <w:r>
        <w:rPr>
          <w:rFonts w:ascii="Times New Roman" w:hAnsi="Times New Roman" w:cs="Times New Roman"/>
        </w:rPr>
        <w:t xml:space="preserve">OLIVEIRA, G. B.; SOUZA LIMA, J. E. </w:t>
      </w:r>
      <w:r>
        <w:rPr>
          <w:rFonts w:ascii="Times New Roman" w:hAnsi="Times New Roman" w:cs="Times New Roman"/>
          <w:b/>
        </w:rPr>
        <w:t>Elementos endógenos do desenvolvimento regional</w:t>
      </w:r>
      <w:r>
        <w:rPr>
          <w:rFonts w:ascii="Times New Roman" w:hAnsi="Times New Roman" w:cs="Times New Roman"/>
        </w:rPr>
        <w:t xml:space="preserve">: considerações sobre o papel da sociedade local no processo de desenvolvimento sustentável. </w:t>
      </w:r>
      <w:r>
        <w:rPr>
          <w:rFonts w:ascii="Times New Roman" w:hAnsi="Times New Roman" w:cs="Times New Roman"/>
          <w:bCs/>
        </w:rPr>
        <w:t>Revista da FAE</w:t>
      </w:r>
      <w:r>
        <w:rPr>
          <w:rFonts w:ascii="Times New Roman" w:hAnsi="Times New Roman" w:cs="Times New Roman"/>
        </w:rPr>
        <w:t>, v. 6, n. 2, 2003.</w:t>
      </w:r>
    </w:p>
    <w:p>
      <w:pPr>
        <w:widowControl/>
        <w:suppressLineNumbers w:val="0"/>
        <w:spacing w:line="240" w:lineRule="auto"/>
        <w:ind w:left="0" w:firstLine="0"/>
        <w:contextualSpacing/>
        <w:rPr>
          <w:rFonts w:ascii="Times New Roman" w:hAnsi="Times New Roman" w:cs="Times New Roman"/>
        </w:rPr>
      </w:pPr>
    </w:p>
    <w:p>
      <w:pPr>
        <w:widowControl/>
        <w:suppressLineNumbers w:val="0"/>
        <w:spacing w:line="240" w:lineRule="auto"/>
        <w:ind w:left="0" w:firstLine="0"/>
        <w:contextualSpacing/>
        <w:rPr>
          <w:rFonts w:ascii="Times New Roman" w:hAnsi="Times New Roman" w:cs="Times New Roman"/>
        </w:rPr>
      </w:pPr>
      <w:r>
        <w:rPr>
          <w:rFonts w:ascii="Times New Roman" w:hAnsi="Times New Roman" w:cs="Times New Roman"/>
        </w:rPr>
        <w:t xml:space="preserve">OLIVEIRA, N. M. DE. </w:t>
      </w:r>
      <w:r>
        <w:rPr>
          <w:rFonts w:ascii="Times New Roman" w:hAnsi="Times New Roman" w:cs="Times New Roman"/>
          <w:b/>
        </w:rPr>
        <w:t>Desenvolvimento regional do território do estado do Tocantins</w:t>
      </w:r>
      <w:r>
        <w:rPr>
          <w:rFonts w:ascii="Times New Roman" w:hAnsi="Times New Roman" w:cs="Times New Roman"/>
        </w:rPr>
        <w:t>: implicações e alternativas. Tese (Doutorado) - Centro de Ciências Sociais Aplicadas, Universidade Estadual do Oeste do Paraná – UNIOESTE, 2015.</w:t>
      </w:r>
    </w:p>
    <w:p>
      <w:pPr>
        <w:widowControl/>
        <w:suppressLineNumbers w:val="0"/>
        <w:spacing w:line="240" w:lineRule="auto"/>
        <w:ind w:left="0" w:firstLine="0"/>
        <w:contextualSpacing/>
        <w:rPr>
          <w:rFonts w:ascii="Times New Roman" w:hAnsi="Times New Roman" w:cs="Times New Roman"/>
        </w:rPr>
      </w:pPr>
    </w:p>
    <w:p>
      <w:pPr>
        <w:widowControl/>
        <w:suppressLineNumbers w:val="0"/>
        <w:spacing w:line="240" w:lineRule="auto"/>
        <w:ind w:left="0" w:firstLine="0"/>
        <w:contextualSpacing/>
        <w:rPr>
          <w:rFonts w:ascii="Times New Roman" w:hAnsi="Times New Roman" w:cs="Times New Roman"/>
        </w:rPr>
      </w:pPr>
      <w:r>
        <w:rPr>
          <w:rFonts w:ascii="Times New Roman" w:hAnsi="Times New Roman" w:cs="Times New Roman"/>
        </w:rPr>
        <w:t xml:space="preserve">PICOLOTTO, Everton Lazzaretti. </w:t>
      </w:r>
      <w:r>
        <w:rPr>
          <w:rFonts w:ascii="Times New Roman" w:hAnsi="Times New Roman" w:cs="Times New Roman"/>
          <w:b/>
        </w:rPr>
        <w:t>As mãos que alimentam a Nação</w:t>
      </w:r>
      <w:r>
        <w:rPr>
          <w:rFonts w:ascii="Times New Roman" w:hAnsi="Times New Roman" w:cs="Times New Roman"/>
        </w:rPr>
        <w:t>: agricultura familiar, sindicalismo e política. Tese (Doutorado em Ciências Sociais em Desenvolvimento, Agricultura e Sociedade). Instituto de Ciências Humanas e Sociais, Universidade Federal Rural do Rio de Janeiro, Rio de Janeiro, 2011.</w:t>
      </w:r>
    </w:p>
    <w:p>
      <w:pPr>
        <w:widowControl/>
        <w:suppressLineNumbers w:val="0"/>
        <w:spacing w:line="240" w:lineRule="auto"/>
        <w:ind w:left="0" w:firstLine="0"/>
        <w:contextualSpacing/>
        <w:rPr>
          <w:rFonts w:ascii="Times New Roman" w:hAnsi="Times New Roman" w:cs="Times New Roman"/>
          <w:highlight w:val="green"/>
        </w:rPr>
      </w:pPr>
    </w:p>
    <w:p>
      <w:pPr>
        <w:widowControl/>
        <w:suppressLineNumbers w:val="0"/>
        <w:spacing w:line="240" w:lineRule="auto"/>
        <w:ind w:left="0" w:firstLine="0"/>
        <w:contextualSpacing/>
        <w:rPr>
          <w:rFonts w:ascii="Times New Roman" w:hAnsi="Times New Roman" w:cs="Times New Roman"/>
          <w:highlight w:val="green"/>
        </w:rPr>
      </w:pPr>
      <w:r>
        <w:rPr>
          <w:rFonts w:ascii="Times New Roman" w:hAnsi="Times New Roman" w:cs="Times New Roman"/>
        </w:rPr>
        <w:t xml:space="preserve">PIFFER, M.; ALVES, L. R. </w:t>
      </w:r>
      <w:r>
        <w:rPr>
          <w:rFonts w:ascii="Times New Roman" w:hAnsi="Times New Roman" w:cs="Times New Roman"/>
          <w:b/>
        </w:rPr>
        <w:t>Política deliberativa</w:t>
      </w:r>
      <w:r>
        <w:rPr>
          <w:rFonts w:ascii="Times New Roman" w:hAnsi="Times New Roman" w:cs="Times New Roman"/>
        </w:rPr>
        <w:t xml:space="preserve">: um instrumento da democracia para o desenvolvimento regional. </w:t>
      </w:r>
      <w:r>
        <w:rPr>
          <w:rFonts w:ascii="Times New Roman" w:hAnsi="Times New Roman" w:cs="Times New Roman"/>
          <w:bCs/>
        </w:rPr>
        <w:t>Revista Temas &amp; Matizes</w:t>
      </w:r>
      <w:r>
        <w:rPr>
          <w:rFonts w:ascii="Times New Roman" w:hAnsi="Times New Roman" w:cs="Times New Roman"/>
        </w:rPr>
        <w:t>, vol. 8, n. 16, p. 141-154, 2009.</w:t>
      </w:r>
    </w:p>
    <w:p>
      <w:pPr>
        <w:widowControl/>
        <w:suppressLineNumbers w:val="0"/>
        <w:spacing w:line="240" w:lineRule="auto"/>
        <w:ind w:left="0" w:firstLine="0"/>
        <w:contextualSpacing/>
        <w:rPr>
          <w:rFonts w:ascii="Times New Roman" w:hAnsi="Times New Roman" w:cs="Times New Roman"/>
        </w:rPr>
      </w:pPr>
    </w:p>
    <w:p>
      <w:pPr>
        <w:widowControl/>
        <w:suppressLineNumbers w:val="0"/>
        <w:spacing w:line="240" w:lineRule="auto"/>
        <w:ind w:left="0" w:firstLine="0"/>
        <w:contextualSpacing/>
        <w:rPr>
          <w:rFonts w:ascii="Times New Roman" w:hAnsi="Times New Roman" w:cs="Times New Roman"/>
        </w:rPr>
      </w:pPr>
      <w:r>
        <w:rPr>
          <w:rFonts w:ascii="Times New Roman" w:hAnsi="Times New Roman" w:cs="Times New Roman"/>
        </w:rPr>
        <w:t xml:space="preserve">SANTOS, F. P. dos. </w:t>
      </w:r>
      <w:r>
        <w:rPr>
          <w:rFonts w:ascii="Times New Roman" w:hAnsi="Times New Roman" w:cs="Times New Roman"/>
          <w:b/>
        </w:rPr>
        <w:t>Coalizões de interesses e a configuração política da agricultura familiar no Brasil.</w:t>
      </w:r>
      <w:r>
        <w:rPr>
          <w:rFonts w:ascii="Times New Roman" w:hAnsi="Times New Roman" w:cs="Times New Roman"/>
        </w:rPr>
        <w:t xml:space="preserve"> 2011. 182 f. Tese (Doutorado) – Curso de Administração Pública eGoverno, FGV, São Paulo, 2011. Disponível em: http://bibliotecadigital.fgv.br/dspace/handle/10438/8211. Acesso em: 15 jan. 2022.</w:t>
      </w:r>
    </w:p>
    <w:p>
      <w:pPr>
        <w:widowControl/>
        <w:suppressLineNumbers w:val="0"/>
        <w:spacing w:line="240" w:lineRule="auto"/>
        <w:ind w:left="0" w:firstLine="0"/>
        <w:contextualSpacing/>
        <w:rPr>
          <w:rFonts w:ascii="Times New Roman" w:hAnsi="Times New Roman" w:cs="Times New Roman"/>
        </w:rPr>
      </w:pPr>
    </w:p>
    <w:p>
      <w:pPr>
        <w:widowControl/>
        <w:suppressLineNumbers w:val="0"/>
        <w:spacing w:line="240" w:lineRule="auto"/>
        <w:ind w:left="0" w:firstLine="0"/>
        <w:contextualSpacing/>
        <w:rPr>
          <w:rFonts w:ascii="Times New Roman" w:hAnsi="Times New Roman" w:cs="Times New Roman"/>
        </w:rPr>
      </w:pPr>
      <w:r>
        <w:rPr>
          <w:rFonts w:ascii="Times New Roman" w:hAnsi="Times New Roman" w:cs="Times New Roman"/>
        </w:rPr>
        <w:t xml:space="preserve">SEAD – SECRETARIA ESPECIAL DE AGRICULTURA FAMILIAR E DO DESENVOLVIMENTO AGRÁRIO. </w:t>
      </w:r>
      <w:r>
        <w:rPr>
          <w:rFonts w:ascii="Times New Roman" w:hAnsi="Times New Roman" w:cs="Times New Roman"/>
          <w:b/>
        </w:rPr>
        <w:t>Plano Safra é lançado e prevê investimento de mais de R$ 400 mil na Agricultura Familiar.</w:t>
      </w:r>
      <w:r>
        <w:rPr>
          <w:rFonts w:ascii="Times New Roman" w:hAnsi="Times New Roman" w:cs="Times New Roman"/>
        </w:rPr>
        <w:t xml:space="preserve"> 2018. Disponível em: http://www.ma.gov.br/agenciadenoticias/tag/sead. Acesso em: 20 dez. 2021.</w:t>
      </w:r>
    </w:p>
    <w:p>
      <w:pPr>
        <w:widowControl/>
        <w:suppressLineNumbers w:val="0"/>
        <w:spacing w:line="240" w:lineRule="auto"/>
        <w:ind w:left="0" w:firstLine="0"/>
        <w:contextualSpacing/>
        <w:rPr>
          <w:rFonts w:ascii="Times New Roman" w:hAnsi="Times New Roman" w:cs="Times New Roman"/>
        </w:rPr>
      </w:pPr>
    </w:p>
    <w:p>
      <w:pPr>
        <w:widowControl/>
        <w:suppressLineNumbers w:val="0"/>
        <w:spacing w:line="240" w:lineRule="auto"/>
        <w:ind w:left="0" w:firstLine="0"/>
        <w:contextualSpacing/>
        <w:rPr>
          <w:rFonts w:ascii="Times New Roman" w:hAnsi="Times New Roman" w:cs="Times New Roman"/>
        </w:rPr>
      </w:pPr>
      <w:r>
        <w:rPr>
          <w:rFonts w:ascii="Times New Roman" w:hAnsi="Times New Roman" w:cs="Times New Roman"/>
        </w:rPr>
        <w:t xml:space="preserve">SEVERINO, A. J. </w:t>
      </w:r>
      <w:r>
        <w:rPr>
          <w:rFonts w:ascii="Times New Roman" w:hAnsi="Times New Roman" w:cs="Times New Roman"/>
          <w:b/>
        </w:rPr>
        <w:t>Metodologia do Trabalho Científico</w:t>
      </w:r>
      <w:r>
        <w:rPr>
          <w:rFonts w:ascii="Times New Roman" w:hAnsi="Times New Roman" w:cs="Times New Roman"/>
        </w:rPr>
        <w:t>. São Paulo, SP: Cortez, 2007.</w:t>
      </w:r>
    </w:p>
    <w:p>
      <w:pPr>
        <w:widowControl/>
        <w:suppressLineNumbers w:val="0"/>
        <w:spacing w:line="240" w:lineRule="auto"/>
        <w:ind w:left="0" w:firstLine="0"/>
        <w:contextualSpacing/>
        <w:rPr>
          <w:rFonts w:ascii="Times New Roman" w:hAnsi="Times New Roman" w:cs="Times New Roman"/>
        </w:rPr>
      </w:pPr>
    </w:p>
    <w:p>
      <w:pPr>
        <w:widowControl/>
        <w:suppressLineNumbers w:val="0"/>
        <w:spacing w:line="240" w:lineRule="auto"/>
        <w:ind w:left="0" w:firstLine="0"/>
        <w:contextualSpacing/>
        <w:rPr>
          <w:rFonts w:ascii="Times New Roman" w:hAnsi="Times New Roman" w:cs="Times New Roman"/>
        </w:rPr>
      </w:pPr>
      <w:r>
        <w:rPr>
          <w:rFonts w:ascii="Times New Roman" w:hAnsi="Times New Roman" w:cs="Times New Roman"/>
        </w:rPr>
        <w:t xml:space="preserve">SILVEIRA, J. M. Agricultura brasileira: o papel da inovação tecnológica. In: BAUINAIN, A. M. et al. </w:t>
      </w:r>
      <w:r>
        <w:rPr>
          <w:rFonts w:ascii="Times New Roman" w:hAnsi="Times New Roman" w:cs="Times New Roman"/>
          <w:b/>
          <w:bCs/>
        </w:rPr>
        <w:t>O mundo rural no Brasil do século 21:</w:t>
      </w:r>
      <w:r>
        <w:rPr>
          <w:rFonts w:ascii="Times New Roman" w:hAnsi="Times New Roman" w:cs="Times New Roman"/>
        </w:rPr>
        <w:t xml:space="preserve"> A formação de um novo padrão agrário e agrícola. Brasília, DF: Embrapa, 2014.</w:t>
      </w:r>
    </w:p>
    <w:p>
      <w:pPr>
        <w:widowControl/>
        <w:suppressLineNumbers w:val="0"/>
        <w:spacing w:line="240" w:lineRule="auto"/>
        <w:ind w:left="0" w:firstLine="0"/>
        <w:contextualSpacing/>
        <w:rPr>
          <w:rFonts w:ascii="Times New Roman" w:hAnsi="Times New Roman" w:cs="Times New Roman"/>
        </w:rPr>
      </w:pPr>
    </w:p>
    <w:p>
      <w:pPr>
        <w:widowControl/>
        <w:suppressLineNumbers w:val="0"/>
        <w:spacing w:line="240" w:lineRule="auto"/>
        <w:ind w:left="0" w:firstLine="0"/>
        <w:contextualSpacing/>
        <w:rPr>
          <w:rFonts w:ascii="Times New Roman" w:hAnsi="Times New Roman" w:cs="Times New Roman"/>
        </w:rPr>
      </w:pPr>
      <w:r>
        <w:rPr>
          <w:rFonts w:ascii="Times New Roman" w:hAnsi="Times New Roman" w:cs="Times New Roman"/>
        </w:rPr>
        <w:t xml:space="preserve">SONEGO, M.; ECHEVESTE, M. S. </w:t>
      </w:r>
      <w:r>
        <w:rPr>
          <w:rFonts w:ascii="Times New Roman" w:hAnsi="Times New Roman" w:cs="Times New Roman"/>
          <w:b/>
        </w:rPr>
        <w:t>Seleção de métodos para modularização no desenvolvimento de produtos</w:t>
      </w:r>
      <w:r>
        <w:rPr>
          <w:rFonts w:ascii="Times New Roman" w:hAnsi="Times New Roman" w:cs="Times New Roman"/>
        </w:rPr>
        <w:t>: revisão sistemática. 2016. Production, 26(2), 476-487. http://dx.doi.org/10.1590/0103-6513.138413. Acesso em: 20 dez. 2021.</w:t>
      </w:r>
    </w:p>
    <w:p>
      <w:pPr>
        <w:widowControl/>
        <w:suppressLineNumbers w:val="0"/>
        <w:spacing w:line="240" w:lineRule="auto"/>
        <w:ind w:left="0" w:firstLine="0"/>
        <w:contextualSpacing/>
        <w:rPr>
          <w:rFonts w:ascii="Times New Roman" w:hAnsi="Times New Roman" w:cs="Times New Roman"/>
        </w:rPr>
      </w:pPr>
    </w:p>
    <w:p>
      <w:pPr>
        <w:widowControl/>
        <w:suppressLineNumbers w:val="0"/>
        <w:spacing w:line="240" w:lineRule="auto"/>
        <w:ind w:left="0" w:firstLine="0"/>
        <w:contextualSpacing/>
        <w:rPr>
          <w:rFonts w:ascii="Times New Roman" w:hAnsi="Times New Roman" w:cs="Times New Roman"/>
        </w:rPr>
      </w:pPr>
      <w:r>
        <w:rPr>
          <w:rFonts w:ascii="Times New Roman" w:hAnsi="Times New Roman" w:cs="Times New Roman"/>
        </w:rPr>
        <w:t xml:space="preserve">SOUZA, M. T; SILVA, M. D; CARVALHO, R. </w:t>
      </w:r>
      <w:r>
        <w:rPr>
          <w:rFonts w:ascii="Times New Roman" w:hAnsi="Times New Roman" w:cs="Times New Roman"/>
          <w:b/>
        </w:rPr>
        <w:t>Revisão integrativa</w:t>
      </w:r>
      <w:r>
        <w:rPr>
          <w:rFonts w:ascii="Times New Roman" w:hAnsi="Times New Roman" w:cs="Times New Roman"/>
        </w:rPr>
        <w:t>: o que é e como fazer. 2010. Einstein, 8(1), 102-106. Disponível em: http://dx.doi.org/10.1590/s1679-45082010rw1134. Acesso em: 20 dez. 2021.</w:t>
      </w:r>
    </w:p>
    <w:p>
      <w:pPr>
        <w:widowControl/>
        <w:suppressLineNumbers w:val="0"/>
        <w:spacing w:line="240" w:lineRule="auto"/>
        <w:ind w:left="0" w:firstLine="0"/>
        <w:contextualSpacing/>
        <w:rPr>
          <w:rFonts w:ascii="Times New Roman" w:hAnsi="Times New Roman" w:cs="Times New Roman"/>
        </w:rPr>
      </w:pPr>
    </w:p>
    <w:p>
      <w:pPr>
        <w:spacing w:line="240" w:lineRule="auto"/>
        <w:ind w:left="0" w:firstLine="0"/>
        <w:rPr>
          <w:rFonts w:ascii="Times New Roman" w:hAnsi="Times New Roman" w:cs="Times New Roman"/>
        </w:rPr>
      </w:pPr>
      <w:r>
        <w:rPr>
          <w:rFonts w:ascii="Times New Roman" w:hAnsi="Times New Roman" w:cs="Times New Roman"/>
        </w:rPr>
        <w:t>SHUMPETER, J. A. A teoria do desenvolvimento econômico: uma investigação sobre lucros, capita, credito, juro e o ciclo econômico. 3. ed. São Paulo: Nova Cultural, 1988.</w:t>
      </w:r>
    </w:p>
    <w:p>
      <w:pPr>
        <w:widowControl/>
        <w:suppressLineNumbers w:val="0"/>
        <w:spacing w:line="240" w:lineRule="auto"/>
        <w:ind w:left="0" w:firstLine="0"/>
        <w:contextualSpacing/>
        <w:rPr>
          <w:rFonts w:ascii="Times New Roman" w:hAnsi="Times New Roman" w:cs="Times New Roman"/>
        </w:rPr>
      </w:pPr>
    </w:p>
    <w:p>
      <w:pPr>
        <w:widowControl/>
        <w:suppressLineNumbers w:val="0"/>
        <w:spacing w:line="240" w:lineRule="auto"/>
        <w:ind w:left="0" w:firstLine="0"/>
        <w:contextualSpacing/>
        <w:rPr>
          <w:rFonts w:ascii="Times New Roman" w:hAnsi="Times New Roman" w:cs="Times New Roman"/>
        </w:rPr>
      </w:pPr>
      <w:r>
        <w:rPr>
          <w:rFonts w:ascii="Times New Roman" w:hAnsi="Times New Roman" w:cs="Times New Roman"/>
        </w:rPr>
        <w:t xml:space="preserve">TEDESCO, J. C. (Org). </w:t>
      </w:r>
      <w:r>
        <w:rPr>
          <w:rFonts w:ascii="Times New Roman" w:hAnsi="Times New Roman" w:cs="Times New Roman"/>
          <w:b/>
        </w:rPr>
        <w:t>Agricultura familiar</w:t>
      </w:r>
      <w:r>
        <w:rPr>
          <w:rFonts w:ascii="Times New Roman" w:hAnsi="Times New Roman" w:cs="Times New Roman"/>
        </w:rPr>
        <w:t>: realidades e perspectivas. 3. ed. Passo Fundo: Universidade de Passo Fundo, 2001.</w:t>
      </w:r>
    </w:p>
    <w:p>
      <w:pPr>
        <w:widowControl/>
        <w:suppressLineNumbers w:val="0"/>
        <w:spacing w:line="240" w:lineRule="auto"/>
        <w:ind w:left="0" w:firstLine="0"/>
        <w:contextualSpacing/>
        <w:rPr>
          <w:rFonts w:ascii="Times New Roman" w:hAnsi="Times New Roman" w:cs="Times New Roman"/>
        </w:rPr>
      </w:pPr>
    </w:p>
    <w:p>
      <w:pPr>
        <w:widowControl/>
        <w:suppressLineNumbers w:val="0"/>
        <w:spacing w:line="240" w:lineRule="auto"/>
        <w:ind w:left="0" w:firstLine="0"/>
        <w:contextualSpacing/>
        <w:rPr>
          <w:rFonts w:ascii="Times New Roman" w:hAnsi="Times New Roman" w:cs="Times New Roman"/>
        </w:rPr>
      </w:pPr>
      <w:r>
        <w:rPr>
          <w:rFonts w:ascii="Times New Roman" w:hAnsi="Times New Roman" w:cs="Times New Roman"/>
          <w:lang w:val="en-US"/>
        </w:rPr>
        <w:t xml:space="preserve">VAN DEPOELE, L. </w:t>
      </w:r>
      <w:r>
        <w:rPr>
          <w:rFonts w:ascii="Times New Roman" w:hAnsi="Times New Roman" w:cs="Times New Roman"/>
          <w:b/>
          <w:bCs/>
          <w:lang w:val="en-US"/>
        </w:rPr>
        <w:t>The European Model of Agriculture (EMA):</w:t>
      </w:r>
      <w:r>
        <w:rPr>
          <w:rFonts w:ascii="Times New Roman" w:hAnsi="Times New Roman" w:cs="Times New Roman"/>
          <w:lang w:val="en-US"/>
        </w:rPr>
        <w:t xml:space="preserve"> multifunctional agriculture and multisectoral rural development. In: INTERNATIONAL CONFERENCE EUROPEAN RURAL POLICY AT THE CROSSROADS, 2000, Aberdeen, Scotland. </w:t>
      </w:r>
      <w:r>
        <w:rPr>
          <w:rFonts w:ascii="Times New Roman" w:hAnsi="Times New Roman" w:cs="Times New Roman"/>
        </w:rPr>
        <w:t>Conference Papers. Disponível em: www.abdn.ac.uk/arkleton/conf2000/. Acesso em: 31 ago. 2017.</w:t>
      </w:r>
    </w:p>
    <w:p>
      <w:pPr>
        <w:widowControl/>
        <w:suppressLineNumbers w:val="0"/>
        <w:spacing w:line="240" w:lineRule="auto"/>
        <w:ind w:left="0" w:firstLine="0"/>
        <w:contextualSpacing/>
        <w:rPr>
          <w:rFonts w:ascii="Times New Roman" w:hAnsi="Times New Roman" w:cs="Times New Roman"/>
        </w:rPr>
      </w:pPr>
    </w:p>
    <w:p>
      <w:pPr>
        <w:widowControl/>
        <w:suppressLineNumbers w:val="0"/>
        <w:spacing w:line="240" w:lineRule="auto"/>
        <w:ind w:left="0" w:firstLine="0"/>
        <w:contextualSpacing/>
        <w:rPr>
          <w:rFonts w:ascii="Times New Roman" w:hAnsi="Times New Roman" w:cs="Times New Roman"/>
        </w:rPr>
      </w:pPr>
    </w:p>
    <w:sectPr>
      <w:headerReference r:id="rId5" w:type="default"/>
      <w:footerReference r:id="rId7" w:type="default"/>
      <w:headerReference r:id="rId6" w:type="even"/>
      <w:pgSz w:w="11906" w:h="16838"/>
      <w:pgMar w:top="1701" w:right="1134" w:bottom="1134" w:left="1701" w:header="709" w:footer="709" w:gutter="0"/>
      <w:cols w:space="708"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SimHei">
    <w:altName w:val="SimSun"/>
    <w:panose1 w:val="02010609060101010101"/>
    <w:charset w:val="86"/>
    <w:family w:val="modern"/>
    <w:pitch w:val="default"/>
    <w:sig w:usb0="800002BF" w:usb1="38CF7CFA" w:usb2="00000016" w:usb3="00000000" w:csb0="00040001" w:csb1="00000000"/>
  </w:font>
  <w:font w:name="Calibri">
    <w:panose1 w:val="020F0502020204030204"/>
    <w:charset w:val="86"/>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Cambria Math">
    <w:panose1 w:val="02040503050406030204"/>
    <w:charset w:val="00"/>
    <w:family w:val="roman"/>
    <w:pitch w:val="default"/>
    <w:sig w:usb0="E00006FF" w:usb1="420024FF" w:usb2="02000000" w:usb3="00000000" w:csb0="2000019F" w:csb1="00000000"/>
  </w:font>
  <w:font w:name="Wingdings">
    <w:panose1 w:val="05000000000000000000"/>
    <w:charset w:val="02"/>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ind w:left="0" w:firstLine="0"/>
      <w:jc w:val="lef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480" w:lineRule="auto"/>
      </w:pPr>
      <w:r>
        <w:separator/>
      </w:r>
    </w:p>
  </w:footnote>
  <w:footnote w:type="continuationSeparator" w:id="1">
    <w:p>
      <w:pPr>
        <w:spacing w:line="48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jc w:val="right"/>
      <w:rPr>
        <w:rFonts w:ascii="Times New Roman" w:hAnsi="Times New Roman"/>
        <w:sz w:val="22"/>
        <w:szCs w:val="24"/>
      </w:rPr>
    </w:pPr>
    <w:r>
      <w:rPr>
        <w:rFonts w:ascii="Times New Roman" w:hAnsi="Times New Roman"/>
        <w:sz w:val="22"/>
        <w:szCs w:val="24"/>
      </w:rPr>
      <w:fldChar w:fldCharType="begin"/>
    </w:r>
    <w:r>
      <w:rPr>
        <w:rFonts w:ascii="Times New Roman" w:hAnsi="Times New Roman"/>
        <w:sz w:val="22"/>
        <w:szCs w:val="24"/>
      </w:rPr>
      <w:instrText xml:space="preserve"> PAGE   \* MERGEFORMAT </w:instrText>
    </w:r>
    <w:r>
      <w:rPr>
        <w:rFonts w:ascii="Times New Roman" w:hAnsi="Times New Roman"/>
        <w:sz w:val="22"/>
        <w:szCs w:val="24"/>
      </w:rPr>
      <w:fldChar w:fldCharType="separate"/>
    </w:r>
    <w:r>
      <w:rPr>
        <w:rFonts w:ascii="Times New Roman" w:hAnsi="Times New Roman"/>
        <w:sz w:val="22"/>
        <w:szCs w:val="24"/>
      </w:rPr>
      <w:t>2</w:t>
    </w:r>
    <w:r>
      <w:rPr>
        <w:rFonts w:ascii="Times New Roman" w:hAnsi="Times New Roman"/>
        <w:sz w:val="22"/>
        <w:szCs w:val="24"/>
      </w:rPr>
      <w:fldChar w:fldCharType="end"/>
    </w:r>
  </w:p>
  <w:p>
    <w:pPr>
      <w:pStyle w:val="24"/>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framePr w:wrap="around" w:vAnchor="text" w:hAnchor="margin" w:xAlign="right" w:y="1"/>
      <w:rPr>
        <w:rStyle w:val="14"/>
      </w:rPr>
    </w:pPr>
    <w:r>
      <w:rPr>
        <w:rStyle w:val="14"/>
      </w:rPr>
      <w:fldChar w:fldCharType="begin"/>
    </w:r>
    <w:r>
      <w:rPr>
        <w:rStyle w:val="14"/>
      </w:rPr>
      <w:instrText xml:space="preserve">PAGE  </w:instrText>
    </w:r>
    <w:r>
      <w:rPr>
        <w:rStyle w:val="14"/>
      </w:rPr>
      <w:fldChar w:fldCharType="end"/>
    </w:r>
  </w:p>
  <w:p>
    <w:pPr>
      <w:pStyle w:val="24"/>
      <w:ind w:right="360"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B2F2D7C"/>
    <w:multiLevelType w:val="multilevel"/>
    <w:tmpl w:val="6B2F2D7C"/>
    <w:lvl w:ilvl="0" w:tentative="0">
      <w:start w:val="1"/>
      <w:numFmt w:val="bullet"/>
      <w:lvlText w:val=""/>
      <w:lvlJc w:val="left"/>
      <w:pPr>
        <w:ind w:left="1068" w:hanging="360"/>
      </w:pPr>
      <w:rPr>
        <w:rFonts w:hint="default" w:ascii="Symbol" w:hAnsi="Symbol"/>
      </w:rPr>
    </w:lvl>
    <w:lvl w:ilvl="1" w:tentative="0">
      <w:start w:val="1"/>
      <w:numFmt w:val="bullet"/>
      <w:lvlText w:val="o"/>
      <w:lvlJc w:val="left"/>
      <w:pPr>
        <w:ind w:left="1788" w:hanging="360"/>
      </w:pPr>
      <w:rPr>
        <w:rFonts w:hint="default" w:ascii="Courier New" w:hAnsi="Courier New" w:cs="Courier New"/>
      </w:rPr>
    </w:lvl>
    <w:lvl w:ilvl="2" w:tentative="0">
      <w:start w:val="1"/>
      <w:numFmt w:val="bullet"/>
      <w:lvlText w:val=""/>
      <w:lvlJc w:val="left"/>
      <w:pPr>
        <w:ind w:left="2508" w:hanging="360"/>
      </w:pPr>
      <w:rPr>
        <w:rFonts w:hint="default" w:ascii="Wingdings" w:hAnsi="Wingdings"/>
      </w:rPr>
    </w:lvl>
    <w:lvl w:ilvl="3" w:tentative="0">
      <w:start w:val="1"/>
      <w:numFmt w:val="bullet"/>
      <w:lvlText w:val=""/>
      <w:lvlJc w:val="left"/>
      <w:pPr>
        <w:ind w:left="3228" w:hanging="360"/>
      </w:pPr>
      <w:rPr>
        <w:rFonts w:hint="default" w:ascii="Symbol" w:hAnsi="Symbol"/>
      </w:rPr>
    </w:lvl>
    <w:lvl w:ilvl="4" w:tentative="0">
      <w:start w:val="1"/>
      <w:numFmt w:val="bullet"/>
      <w:lvlText w:val="o"/>
      <w:lvlJc w:val="left"/>
      <w:pPr>
        <w:ind w:left="3948" w:hanging="360"/>
      </w:pPr>
      <w:rPr>
        <w:rFonts w:hint="default" w:ascii="Courier New" w:hAnsi="Courier New" w:cs="Courier New"/>
      </w:rPr>
    </w:lvl>
    <w:lvl w:ilvl="5" w:tentative="0">
      <w:start w:val="1"/>
      <w:numFmt w:val="bullet"/>
      <w:lvlText w:val=""/>
      <w:lvlJc w:val="left"/>
      <w:pPr>
        <w:ind w:left="4668" w:hanging="360"/>
      </w:pPr>
      <w:rPr>
        <w:rFonts w:hint="default" w:ascii="Wingdings" w:hAnsi="Wingdings"/>
      </w:rPr>
    </w:lvl>
    <w:lvl w:ilvl="6" w:tentative="0">
      <w:start w:val="1"/>
      <w:numFmt w:val="bullet"/>
      <w:lvlText w:val=""/>
      <w:lvlJc w:val="left"/>
      <w:pPr>
        <w:ind w:left="5388" w:hanging="360"/>
      </w:pPr>
      <w:rPr>
        <w:rFonts w:hint="default" w:ascii="Symbol" w:hAnsi="Symbol"/>
      </w:rPr>
    </w:lvl>
    <w:lvl w:ilvl="7" w:tentative="0">
      <w:start w:val="1"/>
      <w:numFmt w:val="bullet"/>
      <w:lvlText w:val="o"/>
      <w:lvlJc w:val="left"/>
      <w:pPr>
        <w:ind w:left="6108" w:hanging="360"/>
      </w:pPr>
      <w:rPr>
        <w:rFonts w:hint="default" w:ascii="Courier New" w:hAnsi="Courier New" w:cs="Courier New"/>
      </w:rPr>
    </w:lvl>
    <w:lvl w:ilvl="8" w:tentative="0">
      <w:start w:val="1"/>
      <w:numFmt w:val="bullet"/>
      <w:lvlText w:val=""/>
      <w:lvlJc w:val="left"/>
      <w:pPr>
        <w:ind w:left="6828"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9"/>
  <w:embedSystemFonts/>
  <w:documentProtection w:enforcement="0"/>
  <w:defaultTabStop w:val="708"/>
  <w:hyphenationZone w:val="425"/>
  <w:doNotHyphenateCaps/>
  <w:drawingGridHorizontalSpacing w:val="120"/>
  <w:displayHorizontalDrawingGridEvery w:val="2"/>
  <w:characterSpacingControl w:val="doNotCompress"/>
  <w:doNotValidateAgainstSchema/>
  <w:doNotDemarcateInvalidXml/>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0085"/>
    <w:rsid w:val="000001A4"/>
    <w:rsid w:val="00000DEA"/>
    <w:rsid w:val="00002B55"/>
    <w:rsid w:val="00006952"/>
    <w:rsid w:val="000253B9"/>
    <w:rsid w:val="000271E3"/>
    <w:rsid w:val="000311F8"/>
    <w:rsid w:val="00032FFE"/>
    <w:rsid w:val="00033620"/>
    <w:rsid w:val="00040863"/>
    <w:rsid w:val="00041027"/>
    <w:rsid w:val="00041706"/>
    <w:rsid w:val="00041EBF"/>
    <w:rsid w:val="00046D66"/>
    <w:rsid w:val="00047715"/>
    <w:rsid w:val="00053410"/>
    <w:rsid w:val="00065E55"/>
    <w:rsid w:val="0006645E"/>
    <w:rsid w:val="00067E6B"/>
    <w:rsid w:val="000763E1"/>
    <w:rsid w:val="00085264"/>
    <w:rsid w:val="00094A8E"/>
    <w:rsid w:val="00094EDD"/>
    <w:rsid w:val="000A0085"/>
    <w:rsid w:val="000A4930"/>
    <w:rsid w:val="000A66DE"/>
    <w:rsid w:val="000A6850"/>
    <w:rsid w:val="000A6901"/>
    <w:rsid w:val="000A77C9"/>
    <w:rsid w:val="000B0C6A"/>
    <w:rsid w:val="000B2693"/>
    <w:rsid w:val="000B5598"/>
    <w:rsid w:val="000B7B03"/>
    <w:rsid w:val="000C33F0"/>
    <w:rsid w:val="000C64D2"/>
    <w:rsid w:val="000C6766"/>
    <w:rsid w:val="000C68E6"/>
    <w:rsid w:val="000C6D56"/>
    <w:rsid w:val="000C7075"/>
    <w:rsid w:val="000D1FF1"/>
    <w:rsid w:val="000D348D"/>
    <w:rsid w:val="000E0376"/>
    <w:rsid w:val="000E3B54"/>
    <w:rsid w:val="000E6273"/>
    <w:rsid w:val="000E78D9"/>
    <w:rsid w:val="000E7A24"/>
    <w:rsid w:val="000F29D6"/>
    <w:rsid w:val="000F4447"/>
    <w:rsid w:val="000F4DB7"/>
    <w:rsid w:val="000F5CF4"/>
    <w:rsid w:val="000F6347"/>
    <w:rsid w:val="00100054"/>
    <w:rsid w:val="00102265"/>
    <w:rsid w:val="0010403D"/>
    <w:rsid w:val="00105276"/>
    <w:rsid w:val="00107C68"/>
    <w:rsid w:val="001124E7"/>
    <w:rsid w:val="00114680"/>
    <w:rsid w:val="001146AB"/>
    <w:rsid w:val="001166F8"/>
    <w:rsid w:val="00122C05"/>
    <w:rsid w:val="00124061"/>
    <w:rsid w:val="00124BA9"/>
    <w:rsid w:val="0012594B"/>
    <w:rsid w:val="00126549"/>
    <w:rsid w:val="00126823"/>
    <w:rsid w:val="001279FD"/>
    <w:rsid w:val="00134089"/>
    <w:rsid w:val="00134C99"/>
    <w:rsid w:val="001353CD"/>
    <w:rsid w:val="001354EA"/>
    <w:rsid w:val="00140AD9"/>
    <w:rsid w:val="00140E1B"/>
    <w:rsid w:val="00142190"/>
    <w:rsid w:val="00142B8F"/>
    <w:rsid w:val="00146D37"/>
    <w:rsid w:val="00153156"/>
    <w:rsid w:val="0015667A"/>
    <w:rsid w:val="00156EE2"/>
    <w:rsid w:val="00163070"/>
    <w:rsid w:val="00167662"/>
    <w:rsid w:val="001702D2"/>
    <w:rsid w:val="001716AB"/>
    <w:rsid w:val="00172821"/>
    <w:rsid w:val="00173676"/>
    <w:rsid w:val="00173FD5"/>
    <w:rsid w:val="00186DEB"/>
    <w:rsid w:val="00190E12"/>
    <w:rsid w:val="0019126C"/>
    <w:rsid w:val="00192B05"/>
    <w:rsid w:val="00196080"/>
    <w:rsid w:val="0019680A"/>
    <w:rsid w:val="00197971"/>
    <w:rsid w:val="001A1C6B"/>
    <w:rsid w:val="001A5787"/>
    <w:rsid w:val="001A76A9"/>
    <w:rsid w:val="001B1787"/>
    <w:rsid w:val="001B3060"/>
    <w:rsid w:val="001B5129"/>
    <w:rsid w:val="001C05E6"/>
    <w:rsid w:val="001C0D7F"/>
    <w:rsid w:val="001C183E"/>
    <w:rsid w:val="001C4415"/>
    <w:rsid w:val="001C4493"/>
    <w:rsid w:val="001C5D67"/>
    <w:rsid w:val="001C6D19"/>
    <w:rsid w:val="001D227F"/>
    <w:rsid w:val="001D236E"/>
    <w:rsid w:val="001E4287"/>
    <w:rsid w:val="001E5712"/>
    <w:rsid w:val="001E6C2E"/>
    <w:rsid w:val="001F25BB"/>
    <w:rsid w:val="001F38BA"/>
    <w:rsid w:val="001F4407"/>
    <w:rsid w:val="001F46B1"/>
    <w:rsid w:val="001F4B54"/>
    <w:rsid w:val="002031CF"/>
    <w:rsid w:val="00203321"/>
    <w:rsid w:val="00205836"/>
    <w:rsid w:val="002061F1"/>
    <w:rsid w:val="002108BF"/>
    <w:rsid w:val="002118B1"/>
    <w:rsid w:val="002118DD"/>
    <w:rsid w:val="00211BB4"/>
    <w:rsid w:val="00211C9D"/>
    <w:rsid w:val="002200A4"/>
    <w:rsid w:val="00221177"/>
    <w:rsid w:val="0022504F"/>
    <w:rsid w:val="002306F1"/>
    <w:rsid w:val="0024220A"/>
    <w:rsid w:val="00244394"/>
    <w:rsid w:val="0024475C"/>
    <w:rsid w:val="002466FE"/>
    <w:rsid w:val="00246753"/>
    <w:rsid w:val="00247BA2"/>
    <w:rsid w:val="00247CAA"/>
    <w:rsid w:val="002510CF"/>
    <w:rsid w:val="002518B8"/>
    <w:rsid w:val="0025579F"/>
    <w:rsid w:val="00257046"/>
    <w:rsid w:val="00257978"/>
    <w:rsid w:val="00260FC5"/>
    <w:rsid w:val="002634A9"/>
    <w:rsid w:val="00263B81"/>
    <w:rsid w:val="0026421A"/>
    <w:rsid w:val="00264FD3"/>
    <w:rsid w:val="00267BEE"/>
    <w:rsid w:val="00276C4B"/>
    <w:rsid w:val="00277EF7"/>
    <w:rsid w:val="00281A7A"/>
    <w:rsid w:val="00282A40"/>
    <w:rsid w:val="00282CD8"/>
    <w:rsid w:val="00283EBF"/>
    <w:rsid w:val="00284806"/>
    <w:rsid w:val="00285B68"/>
    <w:rsid w:val="00286806"/>
    <w:rsid w:val="00287F05"/>
    <w:rsid w:val="002937AE"/>
    <w:rsid w:val="00293E66"/>
    <w:rsid w:val="002A37A7"/>
    <w:rsid w:val="002A4430"/>
    <w:rsid w:val="002A450C"/>
    <w:rsid w:val="002A7498"/>
    <w:rsid w:val="002B35C3"/>
    <w:rsid w:val="002C0D70"/>
    <w:rsid w:val="002C3125"/>
    <w:rsid w:val="002C47FA"/>
    <w:rsid w:val="002C6062"/>
    <w:rsid w:val="002D1596"/>
    <w:rsid w:val="002D266E"/>
    <w:rsid w:val="002D2D39"/>
    <w:rsid w:val="002D4EFE"/>
    <w:rsid w:val="002D541E"/>
    <w:rsid w:val="002E3759"/>
    <w:rsid w:val="002E4C20"/>
    <w:rsid w:val="002E4F50"/>
    <w:rsid w:val="002E4FB4"/>
    <w:rsid w:val="002E6D7F"/>
    <w:rsid w:val="002F10AE"/>
    <w:rsid w:val="002F37A6"/>
    <w:rsid w:val="002F41E6"/>
    <w:rsid w:val="00301695"/>
    <w:rsid w:val="003022D6"/>
    <w:rsid w:val="0030316D"/>
    <w:rsid w:val="00303C0E"/>
    <w:rsid w:val="00305990"/>
    <w:rsid w:val="00305C70"/>
    <w:rsid w:val="003061C1"/>
    <w:rsid w:val="00307235"/>
    <w:rsid w:val="00311060"/>
    <w:rsid w:val="00311223"/>
    <w:rsid w:val="003133A1"/>
    <w:rsid w:val="00315821"/>
    <w:rsid w:val="003174C5"/>
    <w:rsid w:val="00321592"/>
    <w:rsid w:val="00321EF0"/>
    <w:rsid w:val="003228C0"/>
    <w:rsid w:val="00322C5B"/>
    <w:rsid w:val="00325B78"/>
    <w:rsid w:val="00326946"/>
    <w:rsid w:val="00326CD6"/>
    <w:rsid w:val="003318BE"/>
    <w:rsid w:val="00333D24"/>
    <w:rsid w:val="00334DE3"/>
    <w:rsid w:val="003351E4"/>
    <w:rsid w:val="00335323"/>
    <w:rsid w:val="0033748B"/>
    <w:rsid w:val="00340D50"/>
    <w:rsid w:val="0034244F"/>
    <w:rsid w:val="00342A1E"/>
    <w:rsid w:val="00342B00"/>
    <w:rsid w:val="00355727"/>
    <w:rsid w:val="00355BB4"/>
    <w:rsid w:val="00361476"/>
    <w:rsid w:val="00361717"/>
    <w:rsid w:val="00364425"/>
    <w:rsid w:val="0036454D"/>
    <w:rsid w:val="00365129"/>
    <w:rsid w:val="003716F1"/>
    <w:rsid w:val="003748B2"/>
    <w:rsid w:val="003800A6"/>
    <w:rsid w:val="00383C87"/>
    <w:rsid w:val="0038548F"/>
    <w:rsid w:val="00385973"/>
    <w:rsid w:val="0038795D"/>
    <w:rsid w:val="00390B8E"/>
    <w:rsid w:val="00391D92"/>
    <w:rsid w:val="003921EA"/>
    <w:rsid w:val="00392911"/>
    <w:rsid w:val="00392DDD"/>
    <w:rsid w:val="00393C36"/>
    <w:rsid w:val="00393DC7"/>
    <w:rsid w:val="00395282"/>
    <w:rsid w:val="003958C0"/>
    <w:rsid w:val="00395E5B"/>
    <w:rsid w:val="003A1049"/>
    <w:rsid w:val="003A586C"/>
    <w:rsid w:val="003B0C60"/>
    <w:rsid w:val="003B11AA"/>
    <w:rsid w:val="003B2F43"/>
    <w:rsid w:val="003B4405"/>
    <w:rsid w:val="003B4E83"/>
    <w:rsid w:val="003C0434"/>
    <w:rsid w:val="003C2C86"/>
    <w:rsid w:val="003C6C68"/>
    <w:rsid w:val="003E00AA"/>
    <w:rsid w:val="003E01CE"/>
    <w:rsid w:val="003E0369"/>
    <w:rsid w:val="003E0AB8"/>
    <w:rsid w:val="003E5EB0"/>
    <w:rsid w:val="003E6F82"/>
    <w:rsid w:val="003F074D"/>
    <w:rsid w:val="003F398B"/>
    <w:rsid w:val="003F5552"/>
    <w:rsid w:val="00401321"/>
    <w:rsid w:val="004044AA"/>
    <w:rsid w:val="00404780"/>
    <w:rsid w:val="00405FDF"/>
    <w:rsid w:val="00406DCB"/>
    <w:rsid w:val="00407EC1"/>
    <w:rsid w:val="0041041D"/>
    <w:rsid w:val="00411554"/>
    <w:rsid w:val="00411B75"/>
    <w:rsid w:val="00415D10"/>
    <w:rsid w:val="00416BF5"/>
    <w:rsid w:val="00417E0E"/>
    <w:rsid w:val="00421F5D"/>
    <w:rsid w:val="00422ECB"/>
    <w:rsid w:val="00431C3B"/>
    <w:rsid w:val="004340F0"/>
    <w:rsid w:val="00434F06"/>
    <w:rsid w:val="0043661D"/>
    <w:rsid w:val="00437222"/>
    <w:rsid w:val="0044114F"/>
    <w:rsid w:val="004453A5"/>
    <w:rsid w:val="00447B27"/>
    <w:rsid w:val="004524F1"/>
    <w:rsid w:val="004531F4"/>
    <w:rsid w:val="00455608"/>
    <w:rsid w:val="00463D4B"/>
    <w:rsid w:val="00464888"/>
    <w:rsid w:val="00464A61"/>
    <w:rsid w:val="00466D2D"/>
    <w:rsid w:val="00472428"/>
    <w:rsid w:val="00477867"/>
    <w:rsid w:val="004778A3"/>
    <w:rsid w:val="00480B0E"/>
    <w:rsid w:val="004815DA"/>
    <w:rsid w:val="00485BDC"/>
    <w:rsid w:val="00487425"/>
    <w:rsid w:val="00491A22"/>
    <w:rsid w:val="00491C4D"/>
    <w:rsid w:val="00491E54"/>
    <w:rsid w:val="00492EB4"/>
    <w:rsid w:val="004941EB"/>
    <w:rsid w:val="00495CC0"/>
    <w:rsid w:val="0049648B"/>
    <w:rsid w:val="00496A84"/>
    <w:rsid w:val="004A3825"/>
    <w:rsid w:val="004A5B9A"/>
    <w:rsid w:val="004A5E15"/>
    <w:rsid w:val="004A6621"/>
    <w:rsid w:val="004A739A"/>
    <w:rsid w:val="004B0070"/>
    <w:rsid w:val="004B30B9"/>
    <w:rsid w:val="004B3132"/>
    <w:rsid w:val="004B4AD5"/>
    <w:rsid w:val="004B5C64"/>
    <w:rsid w:val="004B7C7E"/>
    <w:rsid w:val="004C40F6"/>
    <w:rsid w:val="004D05A2"/>
    <w:rsid w:val="004D2F29"/>
    <w:rsid w:val="004D3355"/>
    <w:rsid w:val="004D7D5E"/>
    <w:rsid w:val="004E0805"/>
    <w:rsid w:val="004E4F18"/>
    <w:rsid w:val="004F1FB6"/>
    <w:rsid w:val="004F4A13"/>
    <w:rsid w:val="004F60F7"/>
    <w:rsid w:val="004F7721"/>
    <w:rsid w:val="00501592"/>
    <w:rsid w:val="005034C0"/>
    <w:rsid w:val="00504022"/>
    <w:rsid w:val="005052C2"/>
    <w:rsid w:val="005064EC"/>
    <w:rsid w:val="005068B6"/>
    <w:rsid w:val="0051159B"/>
    <w:rsid w:val="0051301F"/>
    <w:rsid w:val="005209D7"/>
    <w:rsid w:val="005236FE"/>
    <w:rsid w:val="00525C8B"/>
    <w:rsid w:val="0052623A"/>
    <w:rsid w:val="005313FD"/>
    <w:rsid w:val="0053153D"/>
    <w:rsid w:val="005330D5"/>
    <w:rsid w:val="005335C2"/>
    <w:rsid w:val="00534DC8"/>
    <w:rsid w:val="00536F51"/>
    <w:rsid w:val="00537123"/>
    <w:rsid w:val="00541DCB"/>
    <w:rsid w:val="0055353B"/>
    <w:rsid w:val="00553B3B"/>
    <w:rsid w:val="00554217"/>
    <w:rsid w:val="00555B2B"/>
    <w:rsid w:val="00555D83"/>
    <w:rsid w:val="00556873"/>
    <w:rsid w:val="00564E6F"/>
    <w:rsid w:val="00565BCC"/>
    <w:rsid w:val="00570E4B"/>
    <w:rsid w:val="00571C2E"/>
    <w:rsid w:val="005728A2"/>
    <w:rsid w:val="0057337D"/>
    <w:rsid w:val="0057360F"/>
    <w:rsid w:val="00573684"/>
    <w:rsid w:val="005743AF"/>
    <w:rsid w:val="00575F63"/>
    <w:rsid w:val="005819CD"/>
    <w:rsid w:val="00585937"/>
    <w:rsid w:val="00585DE8"/>
    <w:rsid w:val="005865D9"/>
    <w:rsid w:val="00591B09"/>
    <w:rsid w:val="00595861"/>
    <w:rsid w:val="005A005E"/>
    <w:rsid w:val="005A33E7"/>
    <w:rsid w:val="005A6162"/>
    <w:rsid w:val="005B2672"/>
    <w:rsid w:val="005B57BA"/>
    <w:rsid w:val="005C1898"/>
    <w:rsid w:val="005C240F"/>
    <w:rsid w:val="005C31C0"/>
    <w:rsid w:val="005C79A9"/>
    <w:rsid w:val="005C7DC1"/>
    <w:rsid w:val="005D296A"/>
    <w:rsid w:val="005D3DD7"/>
    <w:rsid w:val="005D5B16"/>
    <w:rsid w:val="005E150D"/>
    <w:rsid w:val="005E32CE"/>
    <w:rsid w:val="005F4415"/>
    <w:rsid w:val="005F4A6A"/>
    <w:rsid w:val="005F4B04"/>
    <w:rsid w:val="005F577E"/>
    <w:rsid w:val="005F6BD0"/>
    <w:rsid w:val="005F78ED"/>
    <w:rsid w:val="005F7F63"/>
    <w:rsid w:val="00606B76"/>
    <w:rsid w:val="006079E2"/>
    <w:rsid w:val="00607CBA"/>
    <w:rsid w:val="00610CFF"/>
    <w:rsid w:val="00611D8C"/>
    <w:rsid w:val="00623200"/>
    <w:rsid w:val="00625F55"/>
    <w:rsid w:val="006266B0"/>
    <w:rsid w:val="0062734F"/>
    <w:rsid w:val="00630A2C"/>
    <w:rsid w:val="006354E2"/>
    <w:rsid w:val="00636F20"/>
    <w:rsid w:val="006428D7"/>
    <w:rsid w:val="00643874"/>
    <w:rsid w:val="00647BCC"/>
    <w:rsid w:val="006514C7"/>
    <w:rsid w:val="006554C5"/>
    <w:rsid w:val="00656FB3"/>
    <w:rsid w:val="00657339"/>
    <w:rsid w:val="00662E87"/>
    <w:rsid w:val="00663F02"/>
    <w:rsid w:val="0066477D"/>
    <w:rsid w:val="006653A4"/>
    <w:rsid w:val="006656BF"/>
    <w:rsid w:val="00671BD2"/>
    <w:rsid w:val="0067260A"/>
    <w:rsid w:val="00676360"/>
    <w:rsid w:val="00680B4E"/>
    <w:rsid w:val="006829C0"/>
    <w:rsid w:val="006842CF"/>
    <w:rsid w:val="006848B6"/>
    <w:rsid w:val="00686863"/>
    <w:rsid w:val="00695A3E"/>
    <w:rsid w:val="006967EE"/>
    <w:rsid w:val="006A4971"/>
    <w:rsid w:val="006A7D3A"/>
    <w:rsid w:val="006B22ED"/>
    <w:rsid w:val="006B337D"/>
    <w:rsid w:val="006B38F5"/>
    <w:rsid w:val="006B4175"/>
    <w:rsid w:val="006B5613"/>
    <w:rsid w:val="006B72B8"/>
    <w:rsid w:val="006C2FA1"/>
    <w:rsid w:val="006C4703"/>
    <w:rsid w:val="006C728D"/>
    <w:rsid w:val="006C761C"/>
    <w:rsid w:val="006C7B8E"/>
    <w:rsid w:val="006D369F"/>
    <w:rsid w:val="006D4500"/>
    <w:rsid w:val="006E4AD0"/>
    <w:rsid w:val="006E4C12"/>
    <w:rsid w:val="006E51F5"/>
    <w:rsid w:val="006E6170"/>
    <w:rsid w:val="006E70D2"/>
    <w:rsid w:val="006E7773"/>
    <w:rsid w:val="006F0CEE"/>
    <w:rsid w:val="006F58AA"/>
    <w:rsid w:val="006F7474"/>
    <w:rsid w:val="006F7EE0"/>
    <w:rsid w:val="00702750"/>
    <w:rsid w:val="00704578"/>
    <w:rsid w:val="00712CD8"/>
    <w:rsid w:val="00713513"/>
    <w:rsid w:val="0071394B"/>
    <w:rsid w:val="00713DAF"/>
    <w:rsid w:val="007144BB"/>
    <w:rsid w:val="0071458B"/>
    <w:rsid w:val="007167B7"/>
    <w:rsid w:val="00721461"/>
    <w:rsid w:val="00722DD3"/>
    <w:rsid w:val="00731EA6"/>
    <w:rsid w:val="00733243"/>
    <w:rsid w:val="007335CF"/>
    <w:rsid w:val="00733B96"/>
    <w:rsid w:val="00736417"/>
    <w:rsid w:val="00736DF1"/>
    <w:rsid w:val="0075163E"/>
    <w:rsid w:val="007518B2"/>
    <w:rsid w:val="00755DAE"/>
    <w:rsid w:val="00764E3D"/>
    <w:rsid w:val="007652F3"/>
    <w:rsid w:val="00767563"/>
    <w:rsid w:val="00771F45"/>
    <w:rsid w:val="00780695"/>
    <w:rsid w:val="00782289"/>
    <w:rsid w:val="007822F4"/>
    <w:rsid w:val="00782569"/>
    <w:rsid w:val="00786E81"/>
    <w:rsid w:val="00787155"/>
    <w:rsid w:val="00791295"/>
    <w:rsid w:val="00792308"/>
    <w:rsid w:val="007942CB"/>
    <w:rsid w:val="0079578A"/>
    <w:rsid w:val="00795C55"/>
    <w:rsid w:val="007A0463"/>
    <w:rsid w:val="007A1FA5"/>
    <w:rsid w:val="007A298D"/>
    <w:rsid w:val="007A2B66"/>
    <w:rsid w:val="007A3470"/>
    <w:rsid w:val="007A38F7"/>
    <w:rsid w:val="007A3E7F"/>
    <w:rsid w:val="007A451A"/>
    <w:rsid w:val="007A5291"/>
    <w:rsid w:val="007B233C"/>
    <w:rsid w:val="007B4AE4"/>
    <w:rsid w:val="007B5505"/>
    <w:rsid w:val="007B5F2C"/>
    <w:rsid w:val="007C3095"/>
    <w:rsid w:val="007C53CC"/>
    <w:rsid w:val="007C5E81"/>
    <w:rsid w:val="007D051F"/>
    <w:rsid w:val="007D08B0"/>
    <w:rsid w:val="007D3264"/>
    <w:rsid w:val="007D3BB3"/>
    <w:rsid w:val="007D4495"/>
    <w:rsid w:val="007D466C"/>
    <w:rsid w:val="007D5FE1"/>
    <w:rsid w:val="007E0F3F"/>
    <w:rsid w:val="007E11C1"/>
    <w:rsid w:val="007E4A76"/>
    <w:rsid w:val="007E79D3"/>
    <w:rsid w:val="007F133C"/>
    <w:rsid w:val="007F48DF"/>
    <w:rsid w:val="007F5E54"/>
    <w:rsid w:val="007F64D4"/>
    <w:rsid w:val="007F6B59"/>
    <w:rsid w:val="0080165A"/>
    <w:rsid w:val="008039B8"/>
    <w:rsid w:val="00804DF3"/>
    <w:rsid w:val="00806784"/>
    <w:rsid w:val="008068BB"/>
    <w:rsid w:val="00807C6D"/>
    <w:rsid w:val="0081521A"/>
    <w:rsid w:val="00817534"/>
    <w:rsid w:val="00817574"/>
    <w:rsid w:val="008215F2"/>
    <w:rsid w:val="00822963"/>
    <w:rsid w:val="008252EF"/>
    <w:rsid w:val="00825584"/>
    <w:rsid w:val="00825AB6"/>
    <w:rsid w:val="008262B6"/>
    <w:rsid w:val="0083049D"/>
    <w:rsid w:val="00831835"/>
    <w:rsid w:val="00835566"/>
    <w:rsid w:val="00835F76"/>
    <w:rsid w:val="00837820"/>
    <w:rsid w:val="008415F5"/>
    <w:rsid w:val="00844647"/>
    <w:rsid w:val="00846580"/>
    <w:rsid w:val="008470FC"/>
    <w:rsid w:val="00854036"/>
    <w:rsid w:val="00855137"/>
    <w:rsid w:val="00855990"/>
    <w:rsid w:val="00856776"/>
    <w:rsid w:val="008569F6"/>
    <w:rsid w:val="00861C3F"/>
    <w:rsid w:val="00864F00"/>
    <w:rsid w:val="008657F5"/>
    <w:rsid w:val="00865EBD"/>
    <w:rsid w:val="00867B2C"/>
    <w:rsid w:val="00867EB5"/>
    <w:rsid w:val="008703BA"/>
    <w:rsid w:val="008752C0"/>
    <w:rsid w:val="00876F9A"/>
    <w:rsid w:val="00877B9B"/>
    <w:rsid w:val="00882BEE"/>
    <w:rsid w:val="008839BA"/>
    <w:rsid w:val="00883E1F"/>
    <w:rsid w:val="00885487"/>
    <w:rsid w:val="00890D77"/>
    <w:rsid w:val="008921EA"/>
    <w:rsid w:val="00892CD6"/>
    <w:rsid w:val="00892E34"/>
    <w:rsid w:val="00895707"/>
    <w:rsid w:val="00897172"/>
    <w:rsid w:val="0089781D"/>
    <w:rsid w:val="008A1E69"/>
    <w:rsid w:val="008A2F9D"/>
    <w:rsid w:val="008B1306"/>
    <w:rsid w:val="008B2515"/>
    <w:rsid w:val="008B2DF2"/>
    <w:rsid w:val="008B33FE"/>
    <w:rsid w:val="008B43EB"/>
    <w:rsid w:val="008B7900"/>
    <w:rsid w:val="008B7C67"/>
    <w:rsid w:val="008C182C"/>
    <w:rsid w:val="008C3EC2"/>
    <w:rsid w:val="008C4818"/>
    <w:rsid w:val="008C615C"/>
    <w:rsid w:val="008C667C"/>
    <w:rsid w:val="008C6CCD"/>
    <w:rsid w:val="008D1676"/>
    <w:rsid w:val="008D1EBC"/>
    <w:rsid w:val="008D447D"/>
    <w:rsid w:val="008D4704"/>
    <w:rsid w:val="008D4C35"/>
    <w:rsid w:val="008D7F6D"/>
    <w:rsid w:val="008E3F67"/>
    <w:rsid w:val="008E7A07"/>
    <w:rsid w:val="008E7D1A"/>
    <w:rsid w:val="008F0C82"/>
    <w:rsid w:val="008F1D38"/>
    <w:rsid w:val="008F21BF"/>
    <w:rsid w:val="008F5AD6"/>
    <w:rsid w:val="00900461"/>
    <w:rsid w:val="00901FDD"/>
    <w:rsid w:val="00903A1D"/>
    <w:rsid w:val="00903B78"/>
    <w:rsid w:val="00905941"/>
    <w:rsid w:val="00906A51"/>
    <w:rsid w:val="009074AD"/>
    <w:rsid w:val="009105DB"/>
    <w:rsid w:val="0091146F"/>
    <w:rsid w:val="00913519"/>
    <w:rsid w:val="0092161C"/>
    <w:rsid w:val="00921E0B"/>
    <w:rsid w:val="009311AC"/>
    <w:rsid w:val="00937ED3"/>
    <w:rsid w:val="00940083"/>
    <w:rsid w:val="00940151"/>
    <w:rsid w:val="0094045D"/>
    <w:rsid w:val="009410A3"/>
    <w:rsid w:val="00945D0A"/>
    <w:rsid w:val="009464A7"/>
    <w:rsid w:val="00947B49"/>
    <w:rsid w:val="0095063B"/>
    <w:rsid w:val="00951714"/>
    <w:rsid w:val="00953784"/>
    <w:rsid w:val="00953D0D"/>
    <w:rsid w:val="0095486A"/>
    <w:rsid w:val="00955258"/>
    <w:rsid w:val="009556F0"/>
    <w:rsid w:val="00957F90"/>
    <w:rsid w:val="009614E7"/>
    <w:rsid w:val="00962D48"/>
    <w:rsid w:val="00963A54"/>
    <w:rsid w:val="009667E3"/>
    <w:rsid w:val="009771B0"/>
    <w:rsid w:val="00977B99"/>
    <w:rsid w:val="00977D71"/>
    <w:rsid w:val="00977E1C"/>
    <w:rsid w:val="00991339"/>
    <w:rsid w:val="00993EE7"/>
    <w:rsid w:val="00994CB6"/>
    <w:rsid w:val="0099523E"/>
    <w:rsid w:val="00995F35"/>
    <w:rsid w:val="00996128"/>
    <w:rsid w:val="009A0840"/>
    <w:rsid w:val="009A2B5B"/>
    <w:rsid w:val="009A77F1"/>
    <w:rsid w:val="009B01EC"/>
    <w:rsid w:val="009B0331"/>
    <w:rsid w:val="009B1AD6"/>
    <w:rsid w:val="009B1E53"/>
    <w:rsid w:val="009B1EE7"/>
    <w:rsid w:val="009B6300"/>
    <w:rsid w:val="009B6BC4"/>
    <w:rsid w:val="009B6D69"/>
    <w:rsid w:val="009C1E33"/>
    <w:rsid w:val="009C74D5"/>
    <w:rsid w:val="009D1E8C"/>
    <w:rsid w:val="009D3D6F"/>
    <w:rsid w:val="009D798E"/>
    <w:rsid w:val="009E0581"/>
    <w:rsid w:val="009E05E5"/>
    <w:rsid w:val="009E07C1"/>
    <w:rsid w:val="009E0FDF"/>
    <w:rsid w:val="009E14A1"/>
    <w:rsid w:val="009E5200"/>
    <w:rsid w:val="009E5247"/>
    <w:rsid w:val="009E593B"/>
    <w:rsid w:val="009E5C71"/>
    <w:rsid w:val="009F2A8F"/>
    <w:rsid w:val="009F63C0"/>
    <w:rsid w:val="00A0024A"/>
    <w:rsid w:val="00A013AB"/>
    <w:rsid w:val="00A0260C"/>
    <w:rsid w:val="00A036CF"/>
    <w:rsid w:val="00A036F1"/>
    <w:rsid w:val="00A04125"/>
    <w:rsid w:val="00A072DD"/>
    <w:rsid w:val="00A10581"/>
    <w:rsid w:val="00A1089D"/>
    <w:rsid w:val="00A1366F"/>
    <w:rsid w:val="00A21809"/>
    <w:rsid w:val="00A21C5B"/>
    <w:rsid w:val="00A32E65"/>
    <w:rsid w:val="00A354ED"/>
    <w:rsid w:val="00A3661C"/>
    <w:rsid w:val="00A41A4C"/>
    <w:rsid w:val="00A41FE6"/>
    <w:rsid w:val="00A45238"/>
    <w:rsid w:val="00A4599D"/>
    <w:rsid w:val="00A502D6"/>
    <w:rsid w:val="00A5067F"/>
    <w:rsid w:val="00A51F40"/>
    <w:rsid w:val="00A5708D"/>
    <w:rsid w:val="00A5776F"/>
    <w:rsid w:val="00A57A80"/>
    <w:rsid w:val="00A625EB"/>
    <w:rsid w:val="00A634C1"/>
    <w:rsid w:val="00A63F09"/>
    <w:rsid w:val="00A646C4"/>
    <w:rsid w:val="00A67AA4"/>
    <w:rsid w:val="00A67D5E"/>
    <w:rsid w:val="00A67D72"/>
    <w:rsid w:val="00A72C5C"/>
    <w:rsid w:val="00A74D7E"/>
    <w:rsid w:val="00A80D15"/>
    <w:rsid w:val="00A87CD6"/>
    <w:rsid w:val="00A92246"/>
    <w:rsid w:val="00A93B7B"/>
    <w:rsid w:val="00A93B82"/>
    <w:rsid w:val="00A944F9"/>
    <w:rsid w:val="00A94927"/>
    <w:rsid w:val="00A94DAE"/>
    <w:rsid w:val="00A97933"/>
    <w:rsid w:val="00AA1342"/>
    <w:rsid w:val="00AA13B3"/>
    <w:rsid w:val="00AA2A08"/>
    <w:rsid w:val="00AA3E3F"/>
    <w:rsid w:val="00AA4984"/>
    <w:rsid w:val="00AB298F"/>
    <w:rsid w:val="00AB42DD"/>
    <w:rsid w:val="00AC4BDE"/>
    <w:rsid w:val="00AD2969"/>
    <w:rsid w:val="00AD5E4E"/>
    <w:rsid w:val="00AD6ECC"/>
    <w:rsid w:val="00AE0ABA"/>
    <w:rsid w:val="00AE67B3"/>
    <w:rsid w:val="00AF1067"/>
    <w:rsid w:val="00AF7077"/>
    <w:rsid w:val="00B00132"/>
    <w:rsid w:val="00B007C1"/>
    <w:rsid w:val="00B00A10"/>
    <w:rsid w:val="00B053D3"/>
    <w:rsid w:val="00B05676"/>
    <w:rsid w:val="00B1344A"/>
    <w:rsid w:val="00B15213"/>
    <w:rsid w:val="00B15317"/>
    <w:rsid w:val="00B155EA"/>
    <w:rsid w:val="00B15C82"/>
    <w:rsid w:val="00B21033"/>
    <w:rsid w:val="00B21548"/>
    <w:rsid w:val="00B25514"/>
    <w:rsid w:val="00B2590C"/>
    <w:rsid w:val="00B277AA"/>
    <w:rsid w:val="00B3200B"/>
    <w:rsid w:val="00B32F7D"/>
    <w:rsid w:val="00B378A0"/>
    <w:rsid w:val="00B4442A"/>
    <w:rsid w:val="00B5088D"/>
    <w:rsid w:val="00B50A4D"/>
    <w:rsid w:val="00B52152"/>
    <w:rsid w:val="00B52A0E"/>
    <w:rsid w:val="00B53199"/>
    <w:rsid w:val="00B62906"/>
    <w:rsid w:val="00B66846"/>
    <w:rsid w:val="00B67356"/>
    <w:rsid w:val="00B7566A"/>
    <w:rsid w:val="00B75AC1"/>
    <w:rsid w:val="00B76C32"/>
    <w:rsid w:val="00B80356"/>
    <w:rsid w:val="00B80A30"/>
    <w:rsid w:val="00B855DC"/>
    <w:rsid w:val="00B86EBB"/>
    <w:rsid w:val="00B90FEC"/>
    <w:rsid w:val="00B97756"/>
    <w:rsid w:val="00B97DE8"/>
    <w:rsid w:val="00BA1424"/>
    <w:rsid w:val="00BA40C2"/>
    <w:rsid w:val="00BA4149"/>
    <w:rsid w:val="00BA4B37"/>
    <w:rsid w:val="00BA5198"/>
    <w:rsid w:val="00BA620D"/>
    <w:rsid w:val="00BA6F31"/>
    <w:rsid w:val="00BB0809"/>
    <w:rsid w:val="00BB1AFA"/>
    <w:rsid w:val="00BB2137"/>
    <w:rsid w:val="00BB24D3"/>
    <w:rsid w:val="00BB3586"/>
    <w:rsid w:val="00BC273D"/>
    <w:rsid w:val="00BC5881"/>
    <w:rsid w:val="00BD1042"/>
    <w:rsid w:val="00BD1289"/>
    <w:rsid w:val="00BD2200"/>
    <w:rsid w:val="00BE247C"/>
    <w:rsid w:val="00BE3002"/>
    <w:rsid w:val="00BE607B"/>
    <w:rsid w:val="00BE73E5"/>
    <w:rsid w:val="00BF28F8"/>
    <w:rsid w:val="00BF34C9"/>
    <w:rsid w:val="00BF4125"/>
    <w:rsid w:val="00BF7E80"/>
    <w:rsid w:val="00C0063C"/>
    <w:rsid w:val="00C01F19"/>
    <w:rsid w:val="00C03382"/>
    <w:rsid w:val="00C13815"/>
    <w:rsid w:val="00C13A3A"/>
    <w:rsid w:val="00C1546F"/>
    <w:rsid w:val="00C15782"/>
    <w:rsid w:val="00C15C27"/>
    <w:rsid w:val="00C161F4"/>
    <w:rsid w:val="00C17117"/>
    <w:rsid w:val="00C17B9C"/>
    <w:rsid w:val="00C22060"/>
    <w:rsid w:val="00C2306C"/>
    <w:rsid w:val="00C25324"/>
    <w:rsid w:val="00C2721C"/>
    <w:rsid w:val="00C32CF7"/>
    <w:rsid w:val="00C33BD8"/>
    <w:rsid w:val="00C36555"/>
    <w:rsid w:val="00C3700E"/>
    <w:rsid w:val="00C43064"/>
    <w:rsid w:val="00C45949"/>
    <w:rsid w:val="00C47A61"/>
    <w:rsid w:val="00C524F2"/>
    <w:rsid w:val="00C539AF"/>
    <w:rsid w:val="00C53A0A"/>
    <w:rsid w:val="00C554FF"/>
    <w:rsid w:val="00C55B26"/>
    <w:rsid w:val="00C578FD"/>
    <w:rsid w:val="00C629B9"/>
    <w:rsid w:val="00C63BD0"/>
    <w:rsid w:val="00C65021"/>
    <w:rsid w:val="00C667FD"/>
    <w:rsid w:val="00C6735C"/>
    <w:rsid w:val="00C67F3F"/>
    <w:rsid w:val="00C70C8E"/>
    <w:rsid w:val="00C77A63"/>
    <w:rsid w:val="00C82C36"/>
    <w:rsid w:val="00C82EE2"/>
    <w:rsid w:val="00C90191"/>
    <w:rsid w:val="00C92DB9"/>
    <w:rsid w:val="00CA55CC"/>
    <w:rsid w:val="00CB54E5"/>
    <w:rsid w:val="00CB664B"/>
    <w:rsid w:val="00CB71C3"/>
    <w:rsid w:val="00CC244B"/>
    <w:rsid w:val="00CC4C9A"/>
    <w:rsid w:val="00CC7EA4"/>
    <w:rsid w:val="00CC7F62"/>
    <w:rsid w:val="00CD2565"/>
    <w:rsid w:val="00CD7895"/>
    <w:rsid w:val="00CD7AA1"/>
    <w:rsid w:val="00CE31BE"/>
    <w:rsid w:val="00CE3E44"/>
    <w:rsid w:val="00CE4BFE"/>
    <w:rsid w:val="00CE6662"/>
    <w:rsid w:val="00CF078A"/>
    <w:rsid w:val="00CF0D89"/>
    <w:rsid w:val="00CF3DBE"/>
    <w:rsid w:val="00CF4320"/>
    <w:rsid w:val="00CF620F"/>
    <w:rsid w:val="00CF73EA"/>
    <w:rsid w:val="00D00889"/>
    <w:rsid w:val="00D00D34"/>
    <w:rsid w:val="00D069F5"/>
    <w:rsid w:val="00D1039D"/>
    <w:rsid w:val="00D131CF"/>
    <w:rsid w:val="00D13DB6"/>
    <w:rsid w:val="00D21D04"/>
    <w:rsid w:val="00D22C65"/>
    <w:rsid w:val="00D23B74"/>
    <w:rsid w:val="00D23FFA"/>
    <w:rsid w:val="00D24083"/>
    <w:rsid w:val="00D3152A"/>
    <w:rsid w:val="00D319E6"/>
    <w:rsid w:val="00D369BC"/>
    <w:rsid w:val="00D41572"/>
    <w:rsid w:val="00D453CB"/>
    <w:rsid w:val="00D45B36"/>
    <w:rsid w:val="00D468A9"/>
    <w:rsid w:val="00D47178"/>
    <w:rsid w:val="00D6111F"/>
    <w:rsid w:val="00D6167F"/>
    <w:rsid w:val="00D62098"/>
    <w:rsid w:val="00D62172"/>
    <w:rsid w:val="00D70A8B"/>
    <w:rsid w:val="00D71E69"/>
    <w:rsid w:val="00D728AD"/>
    <w:rsid w:val="00D734E1"/>
    <w:rsid w:val="00D73DB7"/>
    <w:rsid w:val="00D75DEC"/>
    <w:rsid w:val="00D812EC"/>
    <w:rsid w:val="00D82863"/>
    <w:rsid w:val="00D83493"/>
    <w:rsid w:val="00D84FA8"/>
    <w:rsid w:val="00D85964"/>
    <w:rsid w:val="00D90B50"/>
    <w:rsid w:val="00D91310"/>
    <w:rsid w:val="00D91411"/>
    <w:rsid w:val="00D91806"/>
    <w:rsid w:val="00D922D3"/>
    <w:rsid w:val="00D94E4D"/>
    <w:rsid w:val="00DA1FB0"/>
    <w:rsid w:val="00DA5DB9"/>
    <w:rsid w:val="00DA5F97"/>
    <w:rsid w:val="00DB2F99"/>
    <w:rsid w:val="00DB3CD3"/>
    <w:rsid w:val="00DB6619"/>
    <w:rsid w:val="00DB6861"/>
    <w:rsid w:val="00DC2AEC"/>
    <w:rsid w:val="00DC67EA"/>
    <w:rsid w:val="00DC6F04"/>
    <w:rsid w:val="00DD2961"/>
    <w:rsid w:val="00DD6887"/>
    <w:rsid w:val="00DE0908"/>
    <w:rsid w:val="00DE5513"/>
    <w:rsid w:val="00DE57C0"/>
    <w:rsid w:val="00DE6E5D"/>
    <w:rsid w:val="00DF3DD2"/>
    <w:rsid w:val="00E00857"/>
    <w:rsid w:val="00E05B15"/>
    <w:rsid w:val="00E06DE3"/>
    <w:rsid w:val="00E10942"/>
    <w:rsid w:val="00E1389A"/>
    <w:rsid w:val="00E16D43"/>
    <w:rsid w:val="00E21802"/>
    <w:rsid w:val="00E23EFF"/>
    <w:rsid w:val="00E33BCF"/>
    <w:rsid w:val="00E346BA"/>
    <w:rsid w:val="00E35177"/>
    <w:rsid w:val="00E35B3D"/>
    <w:rsid w:val="00E371DF"/>
    <w:rsid w:val="00E37A47"/>
    <w:rsid w:val="00E40078"/>
    <w:rsid w:val="00E40213"/>
    <w:rsid w:val="00E42A88"/>
    <w:rsid w:val="00E44B5F"/>
    <w:rsid w:val="00E467E6"/>
    <w:rsid w:val="00E50916"/>
    <w:rsid w:val="00E50BE0"/>
    <w:rsid w:val="00E5197E"/>
    <w:rsid w:val="00E528FC"/>
    <w:rsid w:val="00E535CC"/>
    <w:rsid w:val="00E54F5E"/>
    <w:rsid w:val="00E60533"/>
    <w:rsid w:val="00E64AD1"/>
    <w:rsid w:val="00E64E42"/>
    <w:rsid w:val="00E76481"/>
    <w:rsid w:val="00E769C8"/>
    <w:rsid w:val="00E77EF1"/>
    <w:rsid w:val="00E77F2A"/>
    <w:rsid w:val="00E80079"/>
    <w:rsid w:val="00E81D72"/>
    <w:rsid w:val="00E82F04"/>
    <w:rsid w:val="00E833A3"/>
    <w:rsid w:val="00E8592C"/>
    <w:rsid w:val="00E90024"/>
    <w:rsid w:val="00E90474"/>
    <w:rsid w:val="00E974B0"/>
    <w:rsid w:val="00EA0478"/>
    <w:rsid w:val="00EA21E5"/>
    <w:rsid w:val="00EA579E"/>
    <w:rsid w:val="00EA669A"/>
    <w:rsid w:val="00EB1220"/>
    <w:rsid w:val="00EB16FC"/>
    <w:rsid w:val="00EB7415"/>
    <w:rsid w:val="00EB7AB8"/>
    <w:rsid w:val="00EC0AA1"/>
    <w:rsid w:val="00EC75EB"/>
    <w:rsid w:val="00ED5D7A"/>
    <w:rsid w:val="00EE1160"/>
    <w:rsid w:val="00EE23D7"/>
    <w:rsid w:val="00EE2C41"/>
    <w:rsid w:val="00EE2D87"/>
    <w:rsid w:val="00EE379F"/>
    <w:rsid w:val="00EE54B6"/>
    <w:rsid w:val="00EE5979"/>
    <w:rsid w:val="00EF08B1"/>
    <w:rsid w:val="00EF29DA"/>
    <w:rsid w:val="00F00E10"/>
    <w:rsid w:val="00F01B05"/>
    <w:rsid w:val="00F02396"/>
    <w:rsid w:val="00F02D60"/>
    <w:rsid w:val="00F13214"/>
    <w:rsid w:val="00F16B52"/>
    <w:rsid w:val="00F26050"/>
    <w:rsid w:val="00F27067"/>
    <w:rsid w:val="00F343B2"/>
    <w:rsid w:val="00F3526C"/>
    <w:rsid w:val="00F35962"/>
    <w:rsid w:val="00F36448"/>
    <w:rsid w:val="00F36A26"/>
    <w:rsid w:val="00F41027"/>
    <w:rsid w:val="00F43E55"/>
    <w:rsid w:val="00F465A2"/>
    <w:rsid w:val="00F46B38"/>
    <w:rsid w:val="00F61A75"/>
    <w:rsid w:val="00F61BE0"/>
    <w:rsid w:val="00F63709"/>
    <w:rsid w:val="00F64767"/>
    <w:rsid w:val="00F64D27"/>
    <w:rsid w:val="00F6676F"/>
    <w:rsid w:val="00F67585"/>
    <w:rsid w:val="00F76453"/>
    <w:rsid w:val="00F77F8A"/>
    <w:rsid w:val="00F8168F"/>
    <w:rsid w:val="00F83F27"/>
    <w:rsid w:val="00F84FBF"/>
    <w:rsid w:val="00F86000"/>
    <w:rsid w:val="00F87EB7"/>
    <w:rsid w:val="00F9009D"/>
    <w:rsid w:val="00F9281D"/>
    <w:rsid w:val="00F93338"/>
    <w:rsid w:val="00FA0621"/>
    <w:rsid w:val="00FA7A98"/>
    <w:rsid w:val="00FB46A0"/>
    <w:rsid w:val="00FC038A"/>
    <w:rsid w:val="00FC0743"/>
    <w:rsid w:val="00FC5673"/>
    <w:rsid w:val="00FC5CE6"/>
    <w:rsid w:val="00FC7349"/>
    <w:rsid w:val="00FD236F"/>
    <w:rsid w:val="00FD3253"/>
    <w:rsid w:val="00FD3ACE"/>
    <w:rsid w:val="00FD5C5F"/>
    <w:rsid w:val="00FD6648"/>
    <w:rsid w:val="00FE0305"/>
    <w:rsid w:val="00FE250F"/>
    <w:rsid w:val="00FE4246"/>
    <w:rsid w:val="00FE5BB4"/>
    <w:rsid w:val="00FE6708"/>
    <w:rsid w:val="00FE76FC"/>
    <w:rsid w:val="00FE79F6"/>
    <w:rsid w:val="00FE7CA4"/>
    <w:rsid w:val="00FF08F8"/>
    <w:rsid w:val="00FF2A85"/>
    <w:rsid w:val="00FF3A37"/>
    <w:rsid w:val="00FF3FE7"/>
    <w:rsid w:val="698A0A68"/>
  </w:rsids>
  <m:mathPr>
    <m:mathFont m:val="Cambria Math"/>
    <m:brkBin m:val="before"/>
    <m:brkBinSub m:val="--"/>
    <m:smallFrac m:val="1"/>
    <m:dispDef/>
    <m:lMargin m:val="0"/>
    <m:rMargin m:val="0"/>
    <m:defJc m:val="centerGroup"/>
    <m:wrapIndent m:val="1440"/>
    <m:intLim m:val="subSup"/>
    <m:naryLim m:val="undOvr"/>
  </m:mathPr>
  <w:doNotAutoCompressPictures/>
  <w:themeFontLang w:val="pt-BR"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nhideWhenUsed="0" w:uiPriority="99" w:semiHidden="0" w:name="heading 5"/>
    <w:lsdException w:qFormat="1" w:uiPriority="0" w:name="heading 6"/>
    <w:lsdException w:qFormat="1" w:uiPriority="0" w:name="heading 7"/>
    <w:lsdException w:qFormat="1" w:uiPriority="0" w:name="heading 8"/>
    <w:lsdException w:qFormat="1" w:uiPriority="0" w:name="heading 9"/>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nhideWhenUsed="0" w:uiPriority="99" w:name="toc 1"/>
    <w:lsdException w:unhideWhenUsed="0" w:uiPriority="99" w:name="toc 2"/>
    <w:lsdException w:unhideWhenUsed="0" w:uiPriority="99" w:name="toc 3"/>
    <w:lsdException w:qFormat="1" w:unhideWhenUsed="0" w:uiPriority="99" w:name="toc 4"/>
    <w:lsdException w:unhideWhenUsed="0" w:uiPriority="99"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iPriority="99" w:name="Normal Indent" w:locked="1"/>
    <w:lsdException w:qFormat="1" w:unhideWhenUsed="0" w:uiPriority="99" w:semiHidden="0" w:name="footnote text"/>
    <w:lsdException w:unhideWhenUsed="0" w:uiPriority="99" w:name="annotation text"/>
    <w:lsdException w:unhideWhenUsed="0" w:uiPriority="99" w:semiHidden="0" w:name="header"/>
    <w:lsdException w:unhideWhenUsed="0" w:uiPriority="99" w:semiHidden="0" w:name="footer"/>
    <w:lsdException w:uiPriority="99" w:name="index heading" w:locked="1"/>
    <w:lsdException w:qFormat="1" w:unhideWhenUsed="0" w:uiPriority="35" w:semiHidden="0" w:name="caption"/>
    <w:lsdException w:qFormat="1" w:unhideWhenUsed="0" w:uiPriority="99" w:name="table of figures"/>
    <w:lsdException w:uiPriority="99" w:name="envelope address" w:locked="1"/>
    <w:lsdException w:uiPriority="99" w:name="envelope return" w:locked="1"/>
    <w:lsdException w:unhideWhenUsed="0" w:uiPriority="99" w:name="footnote reference"/>
    <w:lsdException w:unhideWhenUsed="0" w:uiPriority="99" w:name="annotation reference"/>
    <w:lsdException w:uiPriority="99" w:name="line number" w:locked="1"/>
    <w:lsdException w:unhideWhenUsed="0" w:uiPriority="0" w:semiHidden="0" w:name="page number" w:locked="1"/>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99" w:semiHidden="0" w:name="Title"/>
    <w:lsdException w:uiPriority="99" w:name="Closing" w:locked="1"/>
    <w:lsdException w:uiPriority="99" w:name="Signature" w:locked="1"/>
    <w:lsdException w:uiPriority="1" w:name="Default Paragraph Font"/>
    <w:lsdException w:unhideWhenUsed="0" w:uiPriority="99" w:semiHidden="0" w:name="Body Text"/>
    <w:lsdException w:uiPriority="99"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0" w:semiHidden="0" w:name="Subtitle"/>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unhideWhenUsed="0" w:uiPriority="99" w:semiHidden="0" w:name="Hyperlink"/>
    <w:lsdException w:uiPriority="99" w:name="FollowedHyperlink" w:locked="1"/>
    <w:lsdException w:qFormat="1" w:unhideWhenUsed="0" w:uiPriority="0" w:semiHidden="0" w:name="Strong"/>
    <w:lsdException w:qFormat="1" w:unhideWhenUsed="0" w:uiPriority="99" w:semiHidden="0" w:name="Emphasis"/>
    <w:lsdException w:uiPriority="99" w:name="Document Map" w:locked="1"/>
    <w:lsdException w:uiPriority="99" w:name="Plain Text" w:locked="1"/>
    <w:lsdException w:uiPriority="99" w:name="E-mail Signature" w:locked="1"/>
    <w:lsdException w:qFormat="1" w:uiPriority="99" w:semiHidden="0" w:name="Normal (Web)" w:locked="1"/>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uiPriority="99" w:name="Normal Table"/>
    <w:lsdException w:uiPriority="99"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name="Balloon Text"/>
    <w:lsdException w:qFormat="1" w:unhideWhenUsed="0" w:uiPriority="0" w:semiHidden="0" w:name="Table Grid"/>
    <w:lsdException w:uiPriority="99" w:name="Table Theme" w:locked="1"/>
    <w:lsdException w:unhideWhenUsed="0" w:uiPriority="99" w:name="Placeholder Text"/>
    <w:lsdException w:qFormat="1" w:unhideWhenUsed="0" w:uiPriority="34" w:semiHidden="0" w:name="List Paragraph"/>
  </w:latentStyles>
  <w:style w:type="paragraph" w:default="1" w:styleId="1">
    <w:name w:val="Normal"/>
    <w:qFormat/>
    <w:uiPriority w:val="0"/>
    <w:pPr>
      <w:widowControl w:val="0"/>
      <w:suppressLineNumbers/>
      <w:spacing w:line="480" w:lineRule="auto"/>
      <w:ind w:left="709" w:firstLine="709"/>
      <w:jc w:val="both"/>
    </w:pPr>
    <w:rPr>
      <w:rFonts w:ascii="Arial" w:hAnsi="Arial" w:eastAsia="Times New Roman" w:cs="Arial"/>
      <w:sz w:val="24"/>
      <w:szCs w:val="24"/>
      <w:lang w:val="pt-BR" w:eastAsia="pt-BR" w:bidi="ar-SA"/>
    </w:rPr>
  </w:style>
  <w:style w:type="paragraph" w:styleId="2">
    <w:name w:val="heading 1"/>
    <w:basedOn w:val="1"/>
    <w:next w:val="1"/>
    <w:link w:val="34"/>
    <w:qFormat/>
    <w:uiPriority w:val="99"/>
    <w:pPr>
      <w:keepNext/>
      <w:keepLines/>
      <w:spacing w:line="360" w:lineRule="auto"/>
      <w:ind w:left="0" w:firstLine="0"/>
      <w:jc w:val="left"/>
      <w:outlineLvl w:val="0"/>
    </w:pPr>
    <w:rPr>
      <w:rFonts w:eastAsia="Calibri" w:cs="Times New Roman"/>
      <w:b/>
      <w:bCs/>
      <w:caps/>
      <w:sz w:val="28"/>
      <w:szCs w:val="28"/>
    </w:rPr>
  </w:style>
  <w:style w:type="paragraph" w:styleId="3">
    <w:name w:val="heading 2"/>
    <w:basedOn w:val="1"/>
    <w:next w:val="1"/>
    <w:link w:val="35"/>
    <w:qFormat/>
    <w:uiPriority w:val="99"/>
    <w:pPr>
      <w:keepNext/>
      <w:keepLines/>
      <w:spacing w:line="360" w:lineRule="auto"/>
      <w:ind w:left="0" w:firstLine="0"/>
      <w:jc w:val="left"/>
      <w:outlineLvl w:val="1"/>
    </w:pPr>
    <w:rPr>
      <w:rFonts w:eastAsia="Calibri" w:cs="Times New Roman"/>
      <w:b/>
      <w:bCs/>
      <w:sz w:val="26"/>
      <w:szCs w:val="26"/>
    </w:rPr>
  </w:style>
  <w:style w:type="paragraph" w:styleId="4">
    <w:name w:val="heading 3"/>
    <w:basedOn w:val="1"/>
    <w:next w:val="1"/>
    <w:link w:val="36"/>
    <w:qFormat/>
    <w:uiPriority w:val="99"/>
    <w:pPr>
      <w:keepNext/>
      <w:keepLines/>
      <w:spacing w:line="360" w:lineRule="auto"/>
      <w:ind w:left="0" w:firstLine="0"/>
      <w:jc w:val="left"/>
      <w:outlineLvl w:val="2"/>
    </w:pPr>
    <w:rPr>
      <w:rFonts w:cs="Times New Roman"/>
      <w:sz w:val="22"/>
      <w:szCs w:val="22"/>
    </w:rPr>
  </w:style>
  <w:style w:type="paragraph" w:styleId="5">
    <w:name w:val="heading 4"/>
    <w:basedOn w:val="1"/>
    <w:next w:val="1"/>
    <w:link w:val="37"/>
    <w:qFormat/>
    <w:uiPriority w:val="99"/>
    <w:pPr>
      <w:keepNext/>
      <w:keepLines/>
      <w:spacing w:line="360" w:lineRule="auto"/>
      <w:ind w:left="0" w:firstLine="0"/>
      <w:jc w:val="left"/>
      <w:outlineLvl w:val="3"/>
    </w:pPr>
    <w:rPr>
      <w:rFonts w:eastAsia="Calibri" w:cs="Times New Roman"/>
      <w:sz w:val="20"/>
      <w:szCs w:val="20"/>
    </w:rPr>
  </w:style>
  <w:style w:type="paragraph" w:styleId="6">
    <w:name w:val="heading 5"/>
    <w:basedOn w:val="1"/>
    <w:next w:val="1"/>
    <w:link w:val="38"/>
    <w:qFormat/>
    <w:uiPriority w:val="99"/>
    <w:pPr>
      <w:keepNext/>
      <w:keepLines/>
      <w:spacing w:line="360" w:lineRule="auto"/>
      <w:ind w:left="0" w:firstLine="0"/>
      <w:jc w:val="left"/>
      <w:outlineLvl w:val="4"/>
    </w:pPr>
    <w:rPr>
      <w:rFonts w:eastAsia="Calibri" w:cs="Times New Roman"/>
      <w:sz w:val="20"/>
      <w:szCs w:val="20"/>
    </w:rPr>
  </w:style>
  <w:style w:type="character" w:default="1" w:styleId="7">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character" w:styleId="9">
    <w:name w:val="endnote reference"/>
    <w:semiHidden/>
    <w:unhideWhenUsed/>
    <w:locked/>
    <w:uiPriority w:val="99"/>
    <w:rPr>
      <w:vertAlign w:val="superscript"/>
    </w:rPr>
  </w:style>
  <w:style w:type="character" w:styleId="10">
    <w:name w:val="annotation reference"/>
    <w:semiHidden/>
    <w:uiPriority w:val="99"/>
    <w:rPr>
      <w:sz w:val="16"/>
      <w:szCs w:val="16"/>
    </w:rPr>
  </w:style>
  <w:style w:type="character" w:styleId="11">
    <w:name w:val="Emphasis"/>
    <w:qFormat/>
    <w:uiPriority w:val="99"/>
    <w:rPr>
      <w:i/>
      <w:iCs/>
    </w:rPr>
  </w:style>
  <w:style w:type="character" w:styleId="12">
    <w:name w:val="footnote reference"/>
    <w:semiHidden/>
    <w:uiPriority w:val="99"/>
    <w:rPr>
      <w:rFonts w:cs="Times New Roman"/>
      <w:vertAlign w:val="superscript"/>
    </w:rPr>
  </w:style>
  <w:style w:type="character" w:styleId="13">
    <w:name w:val="Hyperlink"/>
    <w:uiPriority w:val="99"/>
    <w:rPr>
      <w:rFonts w:cs="Times New Roman"/>
      <w:color w:val="0000FF"/>
      <w:u w:val="single"/>
    </w:rPr>
  </w:style>
  <w:style w:type="character" w:styleId="14">
    <w:name w:val="page number"/>
    <w:basedOn w:val="7"/>
    <w:locked/>
    <w:uiPriority w:val="0"/>
  </w:style>
  <w:style w:type="paragraph" w:styleId="15">
    <w:name w:val="toc 2"/>
    <w:basedOn w:val="1"/>
    <w:next w:val="1"/>
    <w:semiHidden/>
    <w:uiPriority w:val="99"/>
    <w:pPr>
      <w:keepNext/>
      <w:spacing w:line="360" w:lineRule="auto"/>
      <w:ind w:left="0" w:firstLine="0"/>
      <w:jc w:val="left"/>
      <w:outlineLvl w:val="1"/>
    </w:pPr>
    <w:rPr>
      <w:b/>
      <w:bCs/>
    </w:rPr>
  </w:style>
  <w:style w:type="paragraph" w:styleId="16">
    <w:name w:val="Body Text"/>
    <w:basedOn w:val="1"/>
    <w:link w:val="63"/>
    <w:uiPriority w:val="99"/>
    <w:pPr>
      <w:widowControl/>
      <w:suppressLineNumbers w:val="0"/>
      <w:spacing w:line="360" w:lineRule="auto"/>
      <w:ind w:left="0"/>
    </w:pPr>
    <w:rPr>
      <w:rFonts w:eastAsia="Calibri" w:cs="Times New Roman"/>
      <w:sz w:val="20"/>
      <w:szCs w:val="20"/>
    </w:rPr>
  </w:style>
  <w:style w:type="paragraph" w:styleId="17">
    <w:name w:val="annotation text"/>
    <w:basedOn w:val="1"/>
    <w:link w:val="64"/>
    <w:semiHidden/>
    <w:uiPriority w:val="99"/>
    <w:pPr>
      <w:ind w:left="0"/>
    </w:pPr>
    <w:rPr>
      <w:rFonts w:eastAsia="Calibri" w:cs="Times New Roman"/>
      <w:sz w:val="20"/>
      <w:szCs w:val="20"/>
    </w:rPr>
  </w:style>
  <w:style w:type="paragraph" w:styleId="18">
    <w:name w:val="toc 5"/>
    <w:basedOn w:val="1"/>
    <w:next w:val="1"/>
    <w:semiHidden/>
    <w:uiPriority w:val="99"/>
    <w:pPr>
      <w:spacing w:line="360" w:lineRule="auto"/>
      <w:ind w:left="0"/>
      <w:jc w:val="left"/>
    </w:pPr>
  </w:style>
  <w:style w:type="paragraph" w:styleId="19">
    <w:name w:val="table of figures"/>
    <w:basedOn w:val="1"/>
    <w:next w:val="1"/>
    <w:semiHidden/>
    <w:qFormat/>
    <w:uiPriority w:val="99"/>
    <w:pPr>
      <w:spacing w:line="360" w:lineRule="auto"/>
      <w:ind w:left="0" w:firstLine="0"/>
      <w:jc w:val="left"/>
    </w:pPr>
  </w:style>
  <w:style w:type="paragraph" w:styleId="20">
    <w:name w:val="Title"/>
    <w:basedOn w:val="1"/>
    <w:next w:val="1"/>
    <w:link w:val="42"/>
    <w:qFormat/>
    <w:uiPriority w:val="99"/>
    <w:pPr>
      <w:pBdr>
        <w:bottom w:val="single" w:color="4F81BD" w:sz="8" w:space="4"/>
      </w:pBdr>
      <w:spacing w:after="300" w:line="240" w:lineRule="auto"/>
    </w:pPr>
    <w:rPr>
      <w:rFonts w:ascii="Cambria" w:hAnsi="Cambria" w:eastAsia="Calibri" w:cs="Times New Roman"/>
      <w:color w:val="17365D"/>
      <w:spacing w:val="5"/>
      <w:kern w:val="28"/>
      <w:sz w:val="52"/>
      <w:szCs w:val="52"/>
    </w:rPr>
  </w:style>
  <w:style w:type="paragraph" w:styleId="21">
    <w:name w:val="endnote text"/>
    <w:basedOn w:val="1"/>
    <w:link w:val="71"/>
    <w:semiHidden/>
    <w:unhideWhenUsed/>
    <w:locked/>
    <w:uiPriority w:val="99"/>
    <w:pPr>
      <w:spacing w:line="240" w:lineRule="auto"/>
    </w:pPr>
    <w:rPr>
      <w:rFonts w:cs="Times New Roman"/>
      <w:sz w:val="20"/>
      <w:szCs w:val="20"/>
    </w:rPr>
  </w:style>
  <w:style w:type="paragraph" w:styleId="22">
    <w:name w:val="Normal (Web)"/>
    <w:basedOn w:val="1"/>
    <w:unhideWhenUsed/>
    <w:qFormat/>
    <w:locked/>
    <w:uiPriority w:val="99"/>
    <w:pPr>
      <w:widowControl/>
      <w:suppressLineNumbers w:val="0"/>
      <w:spacing w:before="100" w:beforeAutospacing="1" w:after="100" w:afterAutospacing="1" w:line="240" w:lineRule="auto"/>
      <w:ind w:left="0" w:firstLine="0"/>
      <w:jc w:val="left"/>
    </w:pPr>
    <w:rPr>
      <w:rFonts w:ascii="Times New Roman" w:hAnsi="Times New Roman" w:cs="Times New Roman"/>
    </w:rPr>
  </w:style>
  <w:style w:type="paragraph" w:styleId="23">
    <w:name w:val="toc 4"/>
    <w:basedOn w:val="1"/>
    <w:next w:val="1"/>
    <w:semiHidden/>
    <w:qFormat/>
    <w:uiPriority w:val="99"/>
    <w:pPr>
      <w:spacing w:line="360" w:lineRule="auto"/>
      <w:ind w:left="0" w:firstLine="0"/>
      <w:jc w:val="left"/>
    </w:pPr>
  </w:style>
  <w:style w:type="paragraph" w:styleId="24">
    <w:name w:val="header"/>
    <w:basedOn w:val="1"/>
    <w:link w:val="54"/>
    <w:uiPriority w:val="99"/>
    <w:pPr>
      <w:tabs>
        <w:tab w:val="center" w:pos="4252"/>
        <w:tab w:val="right" w:pos="8504"/>
      </w:tabs>
      <w:spacing w:line="240" w:lineRule="auto"/>
    </w:pPr>
    <w:rPr>
      <w:rFonts w:eastAsia="Calibri" w:cs="Times New Roman"/>
      <w:sz w:val="20"/>
      <w:szCs w:val="20"/>
    </w:rPr>
  </w:style>
  <w:style w:type="paragraph" w:styleId="25">
    <w:name w:val="annotation subject"/>
    <w:basedOn w:val="17"/>
    <w:next w:val="17"/>
    <w:link w:val="70"/>
    <w:semiHidden/>
    <w:unhideWhenUsed/>
    <w:locked/>
    <w:uiPriority w:val="99"/>
    <w:pPr>
      <w:spacing w:line="240" w:lineRule="auto"/>
      <w:ind w:left="709"/>
    </w:pPr>
    <w:rPr>
      <w:rFonts w:eastAsia="Times New Roman"/>
      <w:b/>
      <w:bCs/>
    </w:rPr>
  </w:style>
  <w:style w:type="paragraph" w:styleId="26">
    <w:name w:val="footer"/>
    <w:basedOn w:val="1"/>
    <w:link w:val="55"/>
    <w:uiPriority w:val="99"/>
    <w:pPr>
      <w:tabs>
        <w:tab w:val="center" w:pos="4252"/>
        <w:tab w:val="right" w:pos="8504"/>
      </w:tabs>
      <w:spacing w:line="240" w:lineRule="auto"/>
    </w:pPr>
    <w:rPr>
      <w:rFonts w:eastAsia="Calibri" w:cs="Times New Roman"/>
      <w:sz w:val="20"/>
      <w:szCs w:val="20"/>
    </w:rPr>
  </w:style>
  <w:style w:type="paragraph" w:styleId="27">
    <w:name w:val="Document Map"/>
    <w:basedOn w:val="1"/>
    <w:link w:val="74"/>
    <w:semiHidden/>
    <w:unhideWhenUsed/>
    <w:locked/>
    <w:uiPriority w:val="99"/>
    <w:pPr>
      <w:widowControl/>
      <w:suppressLineNumbers w:val="0"/>
      <w:spacing w:line="240" w:lineRule="auto"/>
      <w:ind w:left="0" w:firstLine="0"/>
      <w:jc w:val="center"/>
    </w:pPr>
    <w:rPr>
      <w:rFonts w:ascii="Tahoma" w:hAnsi="Tahoma" w:eastAsia="Calibri" w:cs="Times New Roman"/>
      <w:sz w:val="16"/>
      <w:szCs w:val="16"/>
    </w:rPr>
  </w:style>
  <w:style w:type="paragraph" w:styleId="28">
    <w:name w:val="caption"/>
    <w:basedOn w:val="1"/>
    <w:next w:val="1"/>
    <w:qFormat/>
    <w:uiPriority w:val="35"/>
    <w:pPr>
      <w:spacing w:line="360" w:lineRule="auto"/>
      <w:ind w:left="0" w:firstLine="0"/>
      <w:jc w:val="center"/>
    </w:pPr>
    <w:rPr>
      <w:sz w:val="22"/>
      <w:szCs w:val="22"/>
    </w:rPr>
  </w:style>
  <w:style w:type="paragraph" w:styleId="29">
    <w:name w:val="toc 3"/>
    <w:basedOn w:val="1"/>
    <w:next w:val="1"/>
    <w:semiHidden/>
    <w:uiPriority w:val="99"/>
    <w:pPr>
      <w:spacing w:line="360" w:lineRule="auto"/>
      <w:ind w:left="0" w:firstLine="0"/>
      <w:jc w:val="left"/>
    </w:pPr>
  </w:style>
  <w:style w:type="paragraph" w:styleId="30">
    <w:name w:val="Balloon Text"/>
    <w:basedOn w:val="1"/>
    <w:link w:val="67"/>
    <w:semiHidden/>
    <w:qFormat/>
    <w:uiPriority w:val="99"/>
    <w:pPr>
      <w:spacing w:line="240" w:lineRule="auto"/>
    </w:pPr>
    <w:rPr>
      <w:rFonts w:ascii="Tahoma" w:hAnsi="Tahoma" w:eastAsia="Calibri" w:cs="Times New Roman"/>
      <w:sz w:val="16"/>
      <w:szCs w:val="16"/>
    </w:rPr>
  </w:style>
  <w:style w:type="paragraph" w:styleId="31">
    <w:name w:val="footnote text"/>
    <w:basedOn w:val="1"/>
    <w:link w:val="69"/>
    <w:qFormat/>
    <w:uiPriority w:val="99"/>
    <w:pPr>
      <w:spacing w:line="240" w:lineRule="auto"/>
    </w:pPr>
    <w:rPr>
      <w:rFonts w:eastAsia="Calibri" w:cs="Times New Roman"/>
      <w:sz w:val="20"/>
      <w:szCs w:val="20"/>
    </w:rPr>
  </w:style>
  <w:style w:type="paragraph" w:styleId="32">
    <w:name w:val="toc 1"/>
    <w:basedOn w:val="1"/>
    <w:next w:val="1"/>
    <w:semiHidden/>
    <w:uiPriority w:val="99"/>
    <w:pPr>
      <w:tabs>
        <w:tab w:val="right" w:leader="dot" w:pos="9061"/>
      </w:tabs>
      <w:spacing w:line="360" w:lineRule="auto"/>
      <w:ind w:left="0" w:firstLine="0"/>
      <w:jc w:val="left"/>
    </w:pPr>
    <w:rPr>
      <w:b/>
      <w:bCs/>
      <w:caps/>
    </w:rPr>
  </w:style>
  <w:style w:type="table" w:styleId="33">
    <w:name w:val="Table Grid"/>
    <w:basedOn w:val="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34">
    <w:name w:val="Título 1 Char"/>
    <w:link w:val="2"/>
    <w:locked/>
    <w:uiPriority w:val="99"/>
    <w:rPr>
      <w:rFonts w:ascii="Arial" w:hAnsi="Arial" w:cs="Arial"/>
      <w:b/>
      <w:bCs/>
      <w:caps/>
      <w:sz w:val="28"/>
      <w:szCs w:val="28"/>
      <w:lang w:eastAsia="pt-BR"/>
    </w:rPr>
  </w:style>
  <w:style w:type="character" w:customStyle="1" w:styleId="35">
    <w:name w:val="Título 2 Char"/>
    <w:link w:val="3"/>
    <w:locked/>
    <w:uiPriority w:val="99"/>
    <w:rPr>
      <w:rFonts w:ascii="Arial" w:hAnsi="Arial" w:cs="Arial"/>
      <w:b/>
      <w:bCs/>
      <w:sz w:val="26"/>
      <w:szCs w:val="26"/>
      <w:lang w:eastAsia="pt-BR"/>
    </w:rPr>
  </w:style>
  <w:style w:type="character" w:customStyle="1" w:styleId="36">
    <w:name w:val="Título 3 Char"/>
    <w:link w:val="4"/>
    <w:locked/>
    <w:uiPriority w:val="99"/>
    <w:rPr>
      <w:rFonts w:ascii="Arial" w:hAnsi="Arial" w:eastAsia="Times New Roman" w:cs="Arial"/>
      <w:sz w:val="22"/>
      <w:szCs w:val="22"/>
    </w:rPr>
  </w:style>
  <w:style w:type="character" w:customStyle="1" w:styleId="37">
    <w:name w:val="Título 4 Char"/>
    <w:link w:val="5"/>
    <w:locked/>
    <w:uiPriority w:val="99"/>
    <w:rPr>
      <w:rFonts w:ascii="Arial" w:hAnsi="Arial" w:cs="Arial"/>
      <w:sz w:val="20"/>
      <w:szCs w:val="20"/>
      <w:lang w:eastAsia="pt-BR"/>
    </w:rPr>
  </w:style>
  <w:style w:type="character" w:customStyle="1" w:styleId="38">
    <w:name w:val="Título 5 Char"/>
    <w:link w:val="6"/>
    <w:semiHidden/>
    <w:qFormat/>
    <w:locked/>
    <w:uiPriority w:val="99"/>
    <w:rPr>
      <w:rFonts w:ascii="Arial" w:hAnsi="Arial" w:cs="Arial"/>
      <w:sz w:val="20"/>
      <w:szCs w:val="20"/>
      <w:lang w:eastAsia="pt-BR"/>
    </w:rPr>
  </w:style>
  <w:style w:type="paragraph" w:customStyle="1" w:styleId="39">
    <w:name w:val="Título Capa 3"/>
    <w:basedOn w:val="1"/>
    <w:uiPriority w:val="99"/>
    <w:pPr>
      <w:spacing w:line="300" w:lineRule="exact"/>
      <w:ind w:firstLine="0"/>
      <w:jc w:val="center"/>
    </w:pPr>
  </w:style>
  <w:style w:type="paragraph" w:customStyle="1" w:styleId="40">
    <w:name w:val="Título Capa  2"/>
    <w:basedOn w:val="1"/>
    <w:qFormat/>
    <w:uiPriority w:val="99"/>
    <w:pPr>
      <w:spacing w:line="300" w:lineRule="exact"/>
      <w:ind w:firstLine="0"/>
      <w:jc w:val="center"/>
    </w:pPr>
  </w:style>
  <w:style w:type="paragraph" w:customStyle="1" w:styleId="41">
    <w:name w:val="Titulo capa 1"/>
    <w:basedOn w:val="20"/>
    <w:qFormat/>
    <w:uiPriority w:val="99"/>
    <w:pPr>
      <w:pBdr>
        <w:bottom w:val="none" w:color="auto" w:sz="0" w:space="0"/>
      </w:pBdr>
      <w:spacing w:after="0" w:line="360" w:lineRule="auto"/>
      <w:ind w:firstLine="0"/>
      <w:jc w:val="center"/>
    </w:pPr>
    <w:rPr>
      <w:rFonts w:ascii="Arial" w:hAnsi="Arial" w:cs="Arial"/>
      <w:b/>
      <w:bCs/>
      <w:caps/>
      <w:color w:val="auto"/>
      <w:spacing w:val="0"/>
      <w:kern w:val="0"/>
      <w:sz w:val="24"/>
      <w:szCs w:val="24"/>
    </w:rPr>
  </w:style>
  <w:style w:type="character" w:customStyle="1" w:styleId="42">
    <w:name w:val="Título Char"/>
    <w:link w:val="20"/>
    <w:locked/>
    <w:uiPriority w:val="99"/>
    <w:rPr>
      <w:rFonts w:ascii="Cambria" w:hAnsi="Cambria" w:cs="Cambria"/>
      <w:color w:val="17365D"/>
      <w:spacing w:val="5"/>
      <w:kern w:val="28"/>
      <w:sz w:val="52"/>
      <w:szCs w:val="52"/>
      <w:lang w:eastAsia="pt-BR"/>
    </w:rPr>
  </w:style>
  <w:style w:type="paragraph" w:customStyle="1" w:styleId="43">
    <w:name w:val="ARIAL12"/>
    <w:basedOn w:val="1"/>
    <w:link w:val="44"/>
    <w:uiPriority w:val="99"/>
    <w:pPr>
      <w:spacing w:line="360" w:lineRule="auto"/>
      <w:ind w:left="0" w:firstLine="0"/>
    </w:pPr>
    <w:rPr>
      <w:rFonts w:eastAsia="Calibri" w:cs="Times New Roman"/>
      <w:sz w:val="20"/>
      <w:szCs w:val="20"/>
    </w:rPr>
  </w:style>
  <w:style w:type="character" w:customStyle="1" w:styleId="44">
    <w:name w:val="ARIAL12 Char"/>
    <w:link w:val="43"/>
    <w:locked/>
    <w:uiPriority w:val="99"/>
    <w:rPr>
      <w:rFonts w:ascii="Arial" w:hAnsi="Arial" w:cs="Arial"/>
      <w:sz w:val="20"/>
      <w:szCs w:val="20"/>
      <w:lang w:eastAsia="pt-BR"/>
    </w:rPr>
  </w:style>
  <w:style w:type="paragraph" w:customStyle="1" w:styleId="45">
    <w:name w:val="Agradecimento/dedicatória/epígrafe"/>
    <w:basedOn w:val="1"/>
    <w:qFormat/>
    <w:uiPriority w:val="99"/>
    <w:pPr>
      <w:widowControl/>
      <w:suppressLineNumbers w:val="0"/>
      <w:spacing w:line="240" w:lineRule="auto"/>
      <w:ind w:firstLine="0"/>
      <w:jc w:val="right"/>
    </w:pPr>
  </w:style>
  <w:style w:type="paragraph" w:customStyle="1" w:styleId="46">
    <w:name w:val="Estilo1"/>
    <w:basedOn w:val="1"/>
    <w:semiHidden/>
    <w:qFormat/>
    <w:uiPriority w:val="99"/>
    <w:pPr>
      <w:spacing w:line="360" w:lineRule="auto"/>
      <w:ind w:firstLine="851"/>
    </w:pPr>
  </w:style>
  <w:style w:type="paragraph" w:customStyle="1" w:styleId="47">
    <w:name w:val="Título de Capa 4"/>
    <w:basedOn w:val="1"/>
    <w:qFormat/>
    <w:uiPriority w:val="99"/>
    <w:pPr>
      <w:spacing w:line="240" w:lineRule="auto"/>
      <w:ind w:firstLine="0"/>
      <w:jc w:val="right"/>
    </w:pPr>
  </w:style>
  <w:style w:type="paragraph" w:customStyle="1" w:styleId="48">
    <w:name w:val="Resumo"/>
    <w:basedOn w:val="1"/>
    <w:uiPriority w:val="99"/>
    <w:pPr>
      <w:spacing w:before="120" w:after="120" w:line="240" w:lineRule="auto"/>
      <w:ind w:left="0" w:firstLine="601"/>
    </w:pPr>
    <w:rPr>
      <w:sz w:val="22"/>
      <w:szCs w:val="22"/>
    </w:rPr>
  </w:style>
  <w:style w:type="paragraph" w:customStyle="1" w:styleId="49">
    <w:name w:val="Dedicatória-Epigrafe"/>
    <w:basedOn w:val="1"/>
    <w:qFormat/>
    <w:uiPriority w:val="99"/>
    <w:pPr>
      <w:widowControl/>
      <w:suppressLineNumbers w:val="0"/>
      <w:spacing w:line="360" w:lineRule="auto"/>
      <w:ind w:left="4536" w:firstLine="0"/>
      <w:jc w:val="right"/>
    </w:pPr>
    <w:rPr>
      <w:rFonts w:eastAsia="Calibri"/>
      <w:lang w:eastAsia="en-US"/>
    </w:rPr>
  </w:style>
  <w:style w:type="character" w:customStyle="1" w:styleId="50">
    <w:name w:val="Normal em  fichas/tabelas/resumos Char Char"/>
    <w:link w:val="51"/>
    <w:locked/>
    <w:uiPriority w:val="99"/>
    <w:rPr>
      <w:rFonts w:ascii="Arial" w:hAnsi="Arial" w:cs="Arial"/>
      <w:lang w:eastAsia="pt-BR"/>
    </w:rPr>
  </w:style>
  <w:style w:type="paragraph" w:customStyle="1" w:styleId="51">
    <w:name w:val="Normal em  fichas/tabelas/resumos Char"/>
    <w:basedOn w:val="1"/>
    <w:link w:val="50"/>
    <w:semiHidden/>
    <w:uiPriority w:val="99"/>
    <w:pPr>
      <w:spacing w:line="240" w:lineRule="auto"/>
      <w:ind w:left="0" w:firstLine="0"/>
    </w:pPr>
    <w:rPr>
      <w:rFonts w:eastAsia="Calibri" w:cs="Times New Roman"/>
      <w:sz w:val="20"/>
      <w:szCs w:val="20"/>
    </w:rPr>
  </w:style>
  <w:style w:type="paragraph" w:customStyle="1" w:styleId="52">
    <w:name w:val="Normal em  fichas/tabelas/resumos Char Char Char"/>
    <w:basedOn w:val="1"/>
    <w:link w:val="53"/>
    <w:semiHidden/>
    <w:uiPriority w:val="99"/>
    <w:pPr>
      <w:spacing w:line="240" w:lineRule="auto"/>
      <w:ind w:left="0" w:firstLine="0"/>
    </w:pPr>
    <w:rPr>
      <w:rFonts w:eastAsia="Calibri" w:cs="Times New Roman"/>
    </w:rPr>
  </w:style>
  <w:style w:type="character" w:customStyle="1" w:styleId="53">
    <w:name w:val="Normal em  fichas/tabelas/resumos Char Char Char Char"/>
    <w:link w:val="52"/>
    <w:qFormat/>
    <w:locked/>
    <w:uiPriority w:val="99"/>
    <w:rPr>
      <w:rFonts w:ascii="Arial" w:hAnsi="Arial" w:cs="Arial"/>
      <w:sz w:val="24"/>
      <w:szCs w:val="24"/>
      <w:lang w:eastAsia="pt-BR"/>
    </w:rPr>
  </w:style>
  <w:style w:type="character" w:customStyle="1" w:styleId="54">
    <w:name w:val="Cabeçalho Char"/>
    <w:link w:val="24"/>
    <w:qFormat/>
    <w:locked/>
    <w:uiPriority w:val="99"/>
    <w:rPr>
      <w:rFonts w:ascii="Arial" w:hAnsi="Arial" w:cs="Arial"/>
      <w:sz w:val="20"/>
      <w:szCs w:val="20"/>
      <w:lang w:eastAsia="pt-BR"/>
    </w:rPr>
  </w:style>
  <w:style w:type="character" w:customStyle="1" w:styleId="55">
    <w:name w:val="Rodapé Char"/>
    <w:link w:val="26"/>
    <w:locked/>
    <w:uiPriority w:val="99"/>
    <w:rPr>
      <w:rFonts w:ascii="Arial" w:hAnsi="Arial" w:cs="Arial"/>
      <w:sz w:val="20"/>
      <w:szCs w:val="20"/>
      <w:lang w:eastAsia="pt-BR"/>
    </w:rPr>
  </w:style>
  <w:style w:type="paragraph" w:customStyle="1" w:styleId="56">
    <w:name w:val="Texto"/>
    <w:basedOn w:val="1"/>
    <w:qFormat/>
    <w:uiPriority w:val="0"/>
    <w:pPr>
      <w:widowControl/>
      <w:suppressLineNumbers w:val="0"/>
      <w:spacing w:line="360" w:lineRule="auto"/>
      <w:ind w:left="0"/>
    </w:pPr>
    <w:rPr>
      <w:rFonts w:eastAsia="Calibri"/>
      <w:lang w:eastAsia="en-US"/>
    </w:rPr>
  </w:style>
  <w:style w:type="paragraph" w:customStyle="1" w:styleId="57">
    <w:name w:val="Título de tabela"/>
    <w:basedOn w:val="32"/>
    <w:next w:val="1"/>
    <w:uiPriority w:val="99"/>
    <w:pPr>
      <w:keepNext/>
      <w:keepLines/>
      <w:spacing w:before="240" w:after="120" w:line="240" w:lineRule="auto"/>
      <w:jc w:val="center"/>
      <w:outlineLvl w:val="0"/>
    </w:pPr>
    <w:rPr>
      <w:sz w:val="22"/>
      <w:szCs w:val="22"/>
    </w:rPr>
  </w:style>
  <w:style w:type="paragraph" w:customStyle="1" w:styleId="58">
    <w:name w:val="Título de gráfico"/>
    <w:basedOn w:val="1"/>
    <w:qFormat/>
    <w:uiPriority w:val="99"/>
    <w:pPr>
      <w:tabs>
        <w:tab w:val="right" w:leader="dot" w:pos="9072"/>
      </w:tabs>
      <w:spacing w:line="240" w:lineRule="auto"/>
      <w:ind w:left="964" w:hanging="964"/>
      <w:jc w:val="center"/>
    </w:pPr>
    <w:rPr>
      <w:sz w:val="22"/>
      <w:szCs w:val="22"/>
    </w:rPr>
  </w:style>
  <w:style w:type="paragraph" w:customStyle="1" w:styleId="59">
    <w:name w:val="Figura"/>
    <w:basedOn w:val="1"/>
    <w:next w:val="60"/>
    <w:qFormat/>
    <w:uiPriority w:val="99"/>
    <w:pPr>
      <w:keepNext/>
      <w:keepLines/>
      <w:spacing w:after="120" w:line="240" w:lineRule="auto"/>
      <w:ind w:left="0" w:firstLine="0"/>
      <w:jc w:val="center"/>
      <w:outlineLvl w:val="0"/>
    </w:pPr>
    <w:rPr>
      <w:sz w:val="28"/>
      <w:szCs w:val="28"/>
    </w:rPr>
  </w:style>
  <w:style w:type="paragraph" w:customStyle="1" w:styleId="60">
    <w:name w:val="Fonte"/>
    <w:basedOn w:val="1"/>
    <w:next w:val="1"/>
    <w:qFormat/>
    <w:uiPriority w:val="0"/>
    <w:pPr>
      <w:tabs>
        <w:tab w:val="right" w:leader="dot" w:pos="9072"/>
      </w:tabs>
      <w:spacing w:after="240" w:line="240" w:lineRule="auto"/>
      <w:ind w:left="964" w:hanging="964"/>
      <w:jc w:val="center"/>
    </w:pPr>
    <w:rPr>
      <w:sz w:val="22"/>
      <w:szCs w:val="22"/>
    </w:rPr>
  </w:style>
  <w:style w:type="paragraph" w:customStyle="1" w:styleId="61">
    <w:name w:val="Titulo de quadro"/>
    <w:basedOn w:val="62"/>
    <w:next w:val="51"/>
    <w:uiPriority w:val="99"/>
    <w:pPr>
      <w:tabs>
        <w:tab w:val="right" w:leader="dot" w:pos="9062"/>
      </w:tabs>
      <w:jc w:val="left"/>
    </w:pPr>
    <w:rPr>
      <w:sz w:val="20"/>
      <w:szCs w:val="20"/>
      <w:lang w:val="en-US"/>
    </w:rPr>
  </w:style>
  <w:style w:type="paragraph" w:customStyle="1" w:styleId="62">
    <w:name w:val="Titulo de Figura"/>
    <w:basedOn w:val="1"/>
    <w:next w:val="1"/>
    <w:uiPriority w:val="99"/>
    <w:pPr>
      <w:tabs>
        <w:tab w:val="right" w:leader="dot" w:pos="9062"/>
      </w:tabs>
      <w:spacing w:line="240" w:lineRule="auto"/>
      <w:ind w:left="0" w:firstLine="0"/>
      <w:jc w:val="center"/>
    </w:pPr>
    <w:rPr>
      <w:sz w:val="22"/>
      <w:szCs w:val="22"/>
    </w:rPr>
  </w:style>
  <w:style w:type="character" w:customStyle="1" w:styleId="63">
    <w:name w:val="Corpo de texto Char"/>
    <w:link w:val="16"/>
    <w:locked/>
    <w:uiPriority w:val="99"/>
    <w:rPr>
      <w:rFonts w:ascii="Arial" w:hAnsi="Arial" w:cs="Arial"/>
      <w:sz w:val="20"/>
      <w:szCs w:val="20"/>
      <w:lang w:eastAsia="pt-BR"/>
    </w:rPr>
  </w:style>
  <w:style w:type="character" w:customStyle="1" w:styleId="64">
    <w:name w:val="Texto de comentário Char"/>
    <w:link w:val="17"/>
    <w:semiHidden/>
    <w:locked/>
    <w:uiPriority w:val="99"/>
    <w:rPr>
      <w:rFonts w:ascii="Arial" w:hAnsi="Arial" w:cs="Arial"/>
      <w:sz w:val="20"/>
      <w:szCs w:val="20"/>
      <w:lang w:eastAsia="pt-BR"/>
    </w:rPr>
  </w:style>
  <w:style w:type="paragraph" w:customStyle="1" w:styleId="65">
    <w:name w:val="Normal em  fichas/tabelas/resumos"/>
    <w:basedOn w:val="1"/>
    <w:semiHidden/>
    <w:qFormat/>
    <w:uiPriority w:val="99"/>
    <w:pPr>
      <w:spacing w:line="240" w:lineRule="auto"/>
      <w:ind w:left="0" w:firstLine="0"/>
    </w:pPr>
    <w:rPr>
      <w:sz w:val="22"/>
      <w:szCs w:val="22"/>
    </w:rPr>
  </w:style>
  <w:style w:type="paragraph" w:styleId="66">
    <w:name w:val="List Paragraph"/>
    <w:basedOn w:val="1"/>
    <w:qFormat/>
    <w:uiPriority w:val="34"/>
    <w:pPr>
      <w:ind w:left="720"/>
    </w:pPr>
  </w:style>
  <w:style w:type="character" w:customStyle="1" w:styleId="67">
    <w:name w:val="Texto de balão Char"/>
    <w:link w:val="30"/>
    <w:semiHidden/>
    <w:locked/>
    <w:uiPriority w:val="99"/>
    <w:rPr>
      <w:rFonts w:ascii="Tahoma" w:hAnsi="Tahoma" w:cs="Tahoma"/>
      <w:sz w:val="16"/>
      <w:szCs w:val="16"/>
      <w:lang w:eastAsia="pt-BR"/>
    </w:rPr>
  </w:style>
  <w:style w:type="paragraph" w:customStyle="1" w:styleId="68">
    <w:name w:val="Referencia Bibliografica"/>
    <w:basedOn w:val="1"/>
    <w:semiHidden/>
    <w:uiPriority w:val="99"/>
    <w:pPr>
      <w:spacing w:after="240" w:line="240" w:lineRule="auto"/>
      <w:ind w:left="0" w:firstLine="0"/>
    </w:pPr>
    <w:rPr>
      <w:sz w:val="22"/>
      <w:szCs w:val="22"/>
    </w:rPr>
  </w:style>
  <w:style w:type="character" w:customStyle="1" w:styleId="69">
    <w:name w:val="Texto de nota de rodapé Char"/>
    <w:link w:val="31"/>
    <w:locked/>
    <w:uiPriority w:val="99"/>
    <w:rPr>
      <w:rFonts w:ascii="Arial" w:hAnsi="Arial" w:cs="Arial"/>
      <w:sz w:val="20"/>
      <w:szCs w:val="20"/>
    </w:rPr>
  </w:style>
  <w:style w:type="character" w:customStyle="1" w:styleId="70">
    <w:name w:val="Assunto do comentário Char"/>
    <w:link w:val="25"/>
    <w:semiHidden/>
    <w:uiPriority w:val="99"/>
    <w:rPr>
      <w:rFonts w:ascii="Arial" w:hAnsi="Arial" w:eastAsia="Times New Roman" w:cs="Arial"/>
      <w:b/>
      <w:bCs/>
      <w:sz w:val="20"/>
      <w:szCs w:val="20"/>
      <w:lang w:eastAsia="pt-BR"/>
    </w:rPr>
  </w:style>
  <w:style w:type="character" w:customStyle="1" w:styleId="71">
    <w:name w:val="Texto de nota de fim Char"/>
    <w:link w:val="21"/>
    <w:semiHidden/>
    <w:uiPriority w:val="99"/>
    <w:rPr>
      <w:rFonts w:ascii="Arial" w:hAnsi="Arial" w:eastAsia="Times New Roman" w:cs="Arial"/>
      <w:sz w:val="20"/>
      <w:szCs w:val="20"/>
    </w:rPr>
  </w:style>
  <w:style w:type="paragraph" w:customStyle="1" w:styleId="72">
    <w:name w:val="Capa-Folha De Rosto"/>
    <w:basedOn w:val="1"/>
    <w:qFormat/>
    <w:uiPriority w:val="0"/>
    <w:pPr>
      <w:widowControl/>
      <w:suppressLineNumbers w:val="0"/>
      <w:spacing w:line="360" w:lineRule="auto"/>
      <w:ind w:left="0" w:firstLine="0"/>
      <w:jc w:val="center"/>
    </w:pPr>
    <w:rPr>
      <w:rFonts w:eastAsia="Calibri" w:cs="Times New Roman"/>
      <w:b/>
      <w:caps/>
      <w:szCs w:val="22"/>
      <w:lang w:eastAsia="en-US"/>
    </w:rPr>
  </w:style>
  <w:style w:type="paragraph" w:customStyle="1" w:styleId="73">
    <w:name w:val="CF-Natureza do Trabalho-Orientador"/>
    <w:basedOn w:val="1"/>
    <w:qFormat/>
    <w:uiPriority w:val="0"/>
    <w:pPr>
      <w:widowControl/>
      <w:suppressLineNumbers w:val="0"/>
      <w:spacing w:line="240" w:lineRule="auto"/>
      <w:ind w:left="4536" w:firstLine="0"/>
    </w:pPr>
    <w:rPr>
      <w:rFonts w:eastAsia="Calibri" w:cs="Times New Roman"/>
      <w:szCs w:val="22"/>
      <w:lang w:eastAsia="en-US"/>
    </w:rPr>
  </w:style>
  <w:style w:type="character" w:customStyle="1" w:styleId="74">
    <w:name w:val="Mapa do Documento Char"/>
    <w:link w:val="27"/>
    <w:semiHidden/>
    <w:qFormat/>
    <w:uiPriority w:val="99"/>
    <w:rPr>
      <w:rFonts w:ascii="Tahoma" w:hAnsi="Tahoma"/>
      <w:sz w:val="16"/>
      <w:szCs w:val="16"/>
    </w:rPr>
  </w:style>
  <w:style w:type="paragraph" w:customStyle="1" w:styleId="75">
    <w:name w:val="Paragrafo para Ilustrações"/>
    <w:basedOn w:val="1"/>
    <w:qFormat/>
    <w:uiPriority w:val="0"/>
    <w:pPr>
      <w:widowControl/>
      <w:suppressLineNumbers w:val="0"/>
      <w:spacing w:line="360" w:lineRule="auto"/>
      <w:ind w:left="0" w:firstLine="0"/>
      <w:jc w:val="center"/>
    </w:pPr>
    <w:rPr>
      <w:rFonts w:eastAsia="Calibri" w:cs="Times New Roman"/>
      <w:szCs w:val="22"/>
    </w:rPr>
  </w:style>
  <w:style w:type="paragraph" w:customStyle="1" w:styleId="76">
    <w:name w:val="CORPO"/>
    <w:basedOn w:val="1"/>
    <w:qFormat/>
    <w:uiPriority w:val="0"/>
    <w:pPr>
      <w:widowControl/>
      <w:suppressLineNumbers w:val="0"/>
      <w:autoSpaceDE w:val="0"/>
      <w:autoSpaceDN w:val="0"/>
      <w:adjustRightInd w:val="0"/>
      <w:spacing w:line="360" w:lineRule="auto"/>
      <w:ind w:left="0"/>
    </w:pPr>
  </w:style>
  <w:style w:type="paragraph" w:customStyle="1" w:styleId="77">
    <w:name w:val="SECUNDARIA"/>
    <w:basedOn w:val="1"/>
    <w:qFormat/>
    <w:uiPriority w:val="0"/>
    <w:pPr>
      <w:widowControl/>
      <w:suppressLineNumbers w:val="0"/>
      <w:autoSpaceDE w:val="0"/>
      <w:autoSpaceDN w:val="0"/>
      <w:adjustRightInd w:val="0"/>
      <w:spacing w:before="360" w:after="360" w:line="360" w:lineRule="auto"/>
      <w:ind w:left="0" w:firstLine="0"/>
      <w:jc w:val="left"/>
    </w:pPr>
    <w:rPr>
      <w:b/>
    </w:rPr>
  </w:style>
  <w:style w:type="character" w:styleId="78">
    <w:name w:val="Placeholder Text"/>
    <w:basedOn w:val="7"/>
    <w:semiHidden/>
    <w:uiPriority w:val="99"/>
    <w:rPr>
      <w:color w:val="808080"/>
    </w:rPr>
  </w:style>
  <w:style w:type="paragraph" w:customStyle="1" w:styleId="79">
    <w:name w:val="Default"/>
    <w:qFormat/>
    <w:uiPriority w:val="0"/>
    <w:pPr>
      <w:autoSpaceDE w:val="0"/>
      <w:autoSpaceDN w:val="0"/>
      <w:adjustRightInd w:val="0"/>
    </w:pPr>
    <w:rPr>
      <w:rFonts w:ascii="Arial" w:hAnsi="Arial" w:eastAsia="Calibri" w:cs="Arial"/>
      <w:color w:val="000000"/>
      <w:sz w:val="24"/>
      <w:szCs w:val="24"/>
      <w:lang w:val="pt-BR" w:eastAsia="pt-BR" w:bidi="ar-SA"/>
    </w:rPr>
  </w:style>
  <w:style w:type="character" w:customStyle="1" w:styleId="80">
    <w:name w:val="Menção Pendente1"/>
    <w:basedOn w:val="7"/>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image" Target="media/image1.emf"/><Relationship Id="rId8" Type="http://schemas.openxmlformats.org/officeDocument/2006/relationships/theme" Target="theme/theme1.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numbering" Target="numbering.xml"/><Relationship Id="rId10" Type="http://schemas.openxmlformats.org/officeDocument/2006/relationships/image" Target="media/image2.emf"/><Relationship Id="rId1" Type="http://schemas.openxmlformats.org/officeDocument/2006/relationships/styles" Target="style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D6CA48B-A6A3-43CE-8172-96A430005804}">
  <ds:schemaRefs/>
</ds:datastoreItem>
</file>

<file path=docProps/app.xml><?xml version="1.0" encoding="utf-8"?>
<Properties xmlns="http://schemas.openxmlformats.org/officeDocument/2006/extended-properties" xmlns:vt="http://schemas.openxmlformats.org/officeDocument/2006/docPropsVTypes">
  <Template>Normal</Template>
  <Company>casa</Company>
  <Pages>21</Pages>
  <Words>8099</Words>
  <Characters>43738</Characters>
  <Lines>364</Lines>
  <Paragraphs>103</Paragraphs>
  <TotalTime>352</TotalTime>
  <ScaleCrop>false</ScaleCrop>
  <LinksUpToDate>false</LinksUpToDate>
  <CharactersWithSpaces>51734</CharactersWithSpaces>
  <Application>WPS Office_11.2.0.11254_F1E327BC-269C-435d-A152-05C5408002CA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2022-03-08T00:44:00Z</dcterms:created>
  <dc:creator>Marcos Luiz Gambetta</dc:creator>
  <cp:keywords>Artigo Científico - Normas ABNT</cp:keywords>
  <cp:lastModifiedBy>WEBDESIGNER</cp:lastModifiedBy>
  <cp:lastPrinted>2020-01-05T17:37:00Z</cp:lastPrinted>
  <dcterms:modified xsi:type="dcterms:W3CDTF">2022-08-16T17:51:32Z</dcterms:modified>
  <dc:title>TÍTULO DO TRABALHO</dc:title>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1046-11.2.0.11254</vt:lpwstr>
  </property>
  <property fmtid="{D5CDD505-2E9C-101B-9397-08002B2CF9AE}" pid="3" name="ICV">
    <vt:lpwstr>B9CF2566330743DEA79919DD9C661B86</vt:lpwstr>
  </property>
</Properties>
</file>