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282FE" w14:textId="77777777" w:rsidR="002128A1" w:rsidRDefault="00827E5B" w:rsidP="002128A1">
      <w:pPr>
        <w:spacing w:after="120" w:line="360" w:lineRule="auto"/>
        <w:jc w:val="both"/>
        <w:rPr>
          <w:rFonts w:ascii="Arial" w:hAnsi="Arial" w:cs="Arial"/>
          <w:b/>
          <w:bCs/>
        </w:rPr>
      </w:pPr>
      <w:r>
        <w:rPr>
          <w:rFonts w:ascii="Arial" w:hAnsi="Arial" w:cs="Arial"/>
          <w:b/>
          <w:bCs/>
        </w:rPr>
        <w:t>O</w:t>
      </w:r>
      <w:r w:rsidRPr="005662E1">
        <w:rPr>
          <w:rFonts w:ascii="Arial" w:hAnsi="Arial" w:cs="Arial"/>
          <w:b/>
          <w:bCs/>
        </w:rPr>
        <w:t xml:space="preserve"> </w:t>
      </w:r>
      <w:r w:rsidR="005662E1" w:rsidRPr="005662E1">
        <w:rPr>
          <w:rFonts w:ascii="Arial" w:hAnsi="Arial" w:cs="Arial"/>
          <w:b/>
          <w:bCs/>
        </w:rPr>
        <w:t>ESTADO E O DESENVOLVIMENTO</w:t>
      </w:r>
      <w:r>
        <w:rPr>
          <w:rFonts w:ascii="Arial" w:hAnsi="Arial" w:cs="Arial"/>
          <w:b/>
          <w:bCs/>
        </w:rPr>
        <w:t xml:space="preserve">: </w:t>
      </w:r>
      <w:r w:rsidR="002128A1" w:rsidRPr="005662E1">
        <w:rPr>
          <w:rFonts w:ascii="Arial" w:hAnsi="Arial" w:cs="Arial"/>
          <w:b/>
          <w:bCs/>
        </w:rPr>
        <w:t>A RELAÇÃO HISTÓRICO-JURIDICO</w:t>
      </w:r>
      <w:r w:rsidR="002128A1">
        <w:rPr>
          <w:rFonts w:ascii="Arial" w:hAnsi="Arial" w:cs="Arial"/>
          <w:b/>
          <w:bCs/>
        </w:rPr>
        <w:t xml:space="preserve">-POLÍTICA </w:t>
      </w:r>
    </w:p>
    <w:p w14:paraId="0E1BB1F9" w14:textId="5B04C975" w:rsidR="005662E1" w:rsidRPr="005662E1" w:rsidRDefault="002128A1" w:rsidP="005662E1">
      <w:pPr>
        <w:spacing w:after="120" w:line="360" w:lineRule="auto"/>
        <w:jc w:val="both"/>
        <w:rPr>
          <w:rFonts w:ascii="Arial" w:hAnsi="Arial" w:cs="Arial"/>
          <w:b/>
          <w:bCs/>
        </w:rPr>
      </w:pPr>
      <w:r>
        <w:rPr>
          <w:rFonts w:ascii="Arial" w:hAnsi="Arial" w:cs="Arial"/>
          <w:b/>
          <w:bCs/>
        </w:rPr>
        <w:t>DO LIBERALISMO AO NEOLIBERALISMO</w:t>
      </w:r>
    </w:p>
    <w:p w14:paraId="7D4431FA" w14:textId="77777777" w:rsidR="005662E1" w:rsidRPr="005662E1" w:rsidRDefault="005662E1" w:rsidP="005662E1">
      <w:pPr>
        <w:spacing w:after="120" w:line="360" w:lineRule="auto"/>
        <w:jc w:val="both"/>
        <w:rPr>
          <w:rFonts w:ascii="Arial" w:hAnsi="Arial" w:cs="Arial"/>
        </w:rPr>
      </w:pPr>
    </w:p>
    <w:p w14:paraId="3C3E3317" w14:textId="77777777" w:rsidR="005662E1" w:rsidRPr="005662E1" w:rsidRDefault="005662E1" w:rsidP="005662E1">
      <w:pPr>
        <w:spacing w:after="120" w:line="360" w:lineRule="auto"/>
        <w:jc w:val="both"/>
        <w:rPr>
          <w:rFonts w:ascii="Arial" w:hAnsi="Arial" w:cs="Arial"/>
        </w:rPr>
      </w:pPr>
      <w:r w:rsidRPr="005662E1">
        <w:rPr>
          <w:rFonts w:ascii="Arial" w:hAnsi="Arial" w:cs="Arial"/>
        </w:rPr>
        <w:t>RESUMO:</w:t>
      </w:r>
    </w:p>
    <w:p w14:paraId="393AC928" w14:textId="77777777" w:rsidR="005662E1" w:rsidRPr="005662E1" w:rsidRDefault="005662E1" w:rsidP="005662E1">
      <w:pPr>
        <w:spacing w:after="120" w:line="240" w:lineRule="auto"/>
        <w:jc w:val="both"/>
        <w:rPr>
          <w:rFonts w:ascii="Arial" w:hAnsi="Arial" w:cs="Arial"/>
        </w:rPr>
      </w:pPr>
      <w:r w:rsidRPr="005662E1">
        <w:rPr>
          <w:rFonts w:ascii="Arial" w:hAnsi="Arial" w:cs="Arial"/>
        </w:rPr>
        <w:t xml:space="preserve">O Estado, enquanto instituição capitalista, republicana, democrática e representativa, é um fenômeno recente, cuja evolução está diretamente relacionada com as concepções ideológicas hegemônicas subjacente ao controle e domínio político, jurídico e econômico desta instituição. O desenvolvimento do estado e da sociedade encontra-se conectado a essas concepções ideológicas. Esse </w:t>
      </w:r>
      <w:proofErr w:type="spellStart"/>
      <w:r w:rsidRPr="005662E1">
        <w:rPr>
          <w:rFonts w:ascii="Arial" w:hAnsi="Arial" w:cs="Arial"/>
          <w:i/>
          <w:iCs/>
        </w:rPr>
        <w:t>paper</w:t>
      </w:r>
      <w:proofErr w:type="spellEnd"/>
      <w:r w:rsidRPr="005662E1">
        <w:rPr>
          <w:rFonts w:ascii="Arial" w:hAnsi="Arial" w:cs="Arial"/>
        </w:rPr>
        <w:t xml:space="preserve"> procura, por meio de uma investigação bibliográfica, apresentar as concepções teóricas do liberalismo, do social-intervencionismo e do neoliberalismo, demonstrando que os dois primeiros contribuem para a evolução qualitativa ou para o desenvolvimento do </w:t>
      </w:r>
      <w:proofErr w:type="spellStart"/>
      <w:r w:rsidRPr="005662E1">
        <w:rPr>
          <w:rFonts w:ascii="Arial" w:hAnsi="Arial" w:cs="Arial"/>
        </w:rPr>
        <w:t>do</w:t>
      </w:r>
      <w:proofErr w:type="spellEnd"/>
      <w:r w:rsidRPr="005662E1">
        <w:rPr>
          <w:rFonts w:ascii="Arial" w:hAnsi="Arial" w:cs="Arial"/>
        </w:rPr>
        <w:t xml:space="preserve"> estado quanto da sociedade. Enquanto o neoliberalismo corrói e precariza os desenvolvimentos do estado e da sociedade. O direito torna-se importante assim, para garantir o desenvolvimento e vedar o retrocesso </w:t>
      </w:r>
      <w:proofErr w:type="gramStart"/>
      <w:r w:rsidRPr="005662E1">
        <w:rPr>
          <w:rFonts w:ascii="Arial" w:hAnsi="Arial" w:cs="Arial"/>
        </w:rPr>
        <w:t>do mesmo</w:t>
      </w:r>
      <w:proofErr w:type="gramEnd"/>
      <w:r w:rsidRPr="005662E1">
        <w:rPr>
          <w:rFonts w:ascii="Arial" w:hAnsi="Arial" w:cs="Arial"/>
        </w:rPr>
        <w:t xml:space="preserve">. Nesse sentido, o social-intervencionismo mostra-se fundamental para manter a continuidade do desenvolvimento do estado e da sociedade. </w:t>
      </w:r>
    </w:p>
    <w:p w14:paraId="1F43C82B" w14:textId="77777777" w:rsidR="005662E1" w:rsidRPr="005662E1" w:rsidRDefault="005662E1" w:rsidP="005662E1">
      <w:pPr>
        <w:spacing w:after="120" w:line="360" w:lineRule="auto"/>
        <w:jc w:val="both"/>
        <w:rPr>
          <w:rFonts w:ascii="Arial" w:hAnsi="Arial" w:cs="Arial"/>
        </w:rPr>
      </w:pPr>
      <w:r w:rsidRPr="005662E1">
        <w:rPr>
          <w:rFonts w:ascii="Arial" w:hAnsi="Arial" w:cs="Arial"/>
        </w:rPr>
        <w:t>Palavras chaves: Estado. Liberalismo. Neoliberalismo. Intervencionismo. Direito.</w:t>
      </w:r>
    </w:p>
    <w:p w14:paraId="0662DBC9" w14:textId="05E3D4EB" w:rsidR="005662E1" w:rsidRPr="00553B94" w:rsidRDefault="005662E1" w:rsidP="005662E1">
      <w:pPr>
        <w:spacing w:after="120" w:line="360" w:lineRule="auto"/>
        <w:jc w:val="both"/>
        <w:rPr>
          <w:rFonts w:ascii="Arial" w:hAnsi="Arial" w:cs="Arial"/>
        </w:rPr>
      </w:pPr>
      <w:r>
        <w:rPr>
          <w:rFonts w:ascii="Arial" w:hAnsi="Arial" w:cs="Arial"/>
        </w:rPr>
        <w:t>GT N</w:t>
      </w:r>
      <w:r w:rsidRPr="005662E1">
        <w:rPr>
          <w:rFonts w:ascii="Arial" w:hAnsi="Arial" w:cs="Arial"/>
          <w:vertAlign w:val="superscript"/>
        </w:rPr>
        <w:t>0</w:t>
      </w:r>
      <w:r w:rsidR="00553B94">
        <w:rPr>
          <w:rFonts w:ascii="Arial" w:hAnsi="Arial" w:cs="Arial"/>
        </w:rPr>
        <w:t xml:space="preserve"> </w:t>
      </w:r>
      <w:r w:rsidR="00043D32">
        <w:rPr>
          <w:rFonts w:ascii="Arial" w:hAnsi="Arial" w:cs="Arial"/>
        </w:rPr>
        <w:t xml:space="preserve">01 </w:t>
      </w:r>
      <w:r w:rsidR="00553B94">
        <w:rPr>
          <w:rFonts w:ascii="Arial" w:hAnsi="Arial" w:cs="Arial"/>
        </w:rPr>
        <w:t>-</w:t>
      </w:r>
      <w:r w:rsidR="00043D32">
        <w:rPr>
          <w:rFonts w:ascii="Arial" w:hAnsi="Arial" w:cs="Arial"/>
        </w:rPr>
        <w:t xml:space="preserve"> </w:t>
      </w:r>
      <w:r w:rsidR="00043D32">
        <w:rPr>
          <w:rFonts w:ascii="Arial" w:hAnsi="Arial" w:cs="Arial"/>
          <w:color w:val="212529"/>
          <w:shd w:val="clear" w:color="auto" w:fill="FFFFFF"/>
        </w:rPr>
        <w:t>Estudos teóricos e metodológicos do Desenvolvimento</w:t>
      </w:r>
    </w:p>
    <w:p w14:paraId="19967069" w14:textId="77777777" w:rsidR="005662E1" w:rsidRPr="005662E1" w:rsidRDefault="005662E1" w:rsidP="005662E1">
      <w:pPr>
        <w:numPr>
          <w:ilvl w:val="0"/>
          <w:numId w:val="1"/>
        </w:numPr>
        <w:spacing w:after="120" w:line="360" w:lineRule="auto"/>
        <w:jc w:val="both"/>
        <w:rPr>
          <w:rFonts w:ascii="Arial" w:hAnsi="Arial" w:cs="Arial"/>
          <w:b/>
          <w:bCs/>
        </w:rPr>
      </w:pPr>
      <w:r w:rsidRPr="005662E1">
        <w:rPr>
          <w:rFonts w:ascii="Arial" w:hAnsi="Arial" w:cs="Arial"/>
          <w:b/>
          <w:bCs/>
        </w:rPr>
        <w:t>INTRODUÇÃO</w:t>
      </w:r>
    </w:p>
    <w:p w14:paraId="3B631D13" w14:textId="77777777" w:rsidR="005662E1" w:rsidRPr="005662E1" w:rsidRDefault="005662E1" w:rsidP="005662E1">
      <w:pPr>
        <w:spacing w:after="120" w:line="360" w:lineRule="auto"/>
        <w:ind w:left="1125"/>
        <w:jc w:val="both"/>
        <w:rPr>
          <w:rFonts w:ascii="Arial" w:hAnsi="Arial" w:cs="Arial"/>
        </w:rPr>
      </w:pPr>
    </w:p>
    <w:p w14:paraId="645F2CD4" w14:textId="77777777" w:rsidR="005662E1" w:rsidRPr="005662E1" w:rsidRDefault="005662E1" w:rsidP="005662E1">
      <w:pPr>
        <w:spacing w:after="120" w:line="360" w:lineRule="auto"/>
        <w:ind w:firstLine="705"/>
        <w:jc w:val="both"/>
        <w:rPr>
          <w:rFonts w:ascii="Arial" w:hAnsi="Arial" w:cs="Arial"/>
        </w:rPr>
      </w:pPr>
      <w:r w:rsidRPr="005662E1">
        <w:rPr>
          <w:rFonts w:ascii="Arial" w:hAnsi="Arial" w:cs="Arial"/>
        </w:rPr>
        <w:t xml:space="preserve">O Estado como é conhecido hoje, na sua ótica capitalista, republicana, democrática e representativa, é um fenômeno recente, cujas características, objetivos e implicações são pontos de constantes divergências entre as teorias que se propõe analisá-lo. O desenvolvimento, enquanto direito propugnado para todos, é um fenômeno mais recente do que o Estado capitalista. O objetivo desse </w:t>
      </w:r>
      <w:r w:rsidRPr="005662E1">
        <w:rPr>
          <w:rFonts w:ascii="Arial" w:hAnsi="Arial" w:cs="Arial"/>
          <w:i/>
        </w:rPr>
        <w:t>“</w:t>
      </w:r>
      <w:proofErr w:type="spellStart"/>
      <w:r w:rsidRPr="005662E1">
        <w:rPr>
          <w:rFonts w:ascii="Arial" w:hAnsi="Arial" w:cs="Arial"/>
          <w:i/>
        </w:rPr>
        <w:t>paper</w:t>
      </w:r>
      <w:proofErr w:type="spellEnd"/>
      <w:r w:rsidRPr="005662E1">
        <w:rPr>
          <w:rFonts w:ascii="Arial" w:hAnsi="Arial" w:cs="Arial"/>
        </w:rPr>
        <w:t xml:space="preserve">” é apresentar, sucintamente, algumas considerações sobre o fenômeno desenvolvimento no Estado Capitalista, segundo as visões liberal, neoliberal e social. Nesse desiderato busca-se apresentar o desenvolvimento nas diversas fases existências do Estado Capitalista. Em outras palavras, pretende-se realizar um percurso histórico, jurídico e econômico do fenômeno do desenvolvimento, iniciando no liberalismo até o estado social, perpassando pelo neoliberalismo e mostrando como o direito constitucional ao desenvolvimento se materializou no século XX. </w:t>
      </w:r>
    </w:p>
    <w:p w14:paraId="3247B36F" w14:textId="77777777" w:rsidR="005662E1" w:rsidRPr="005662E1" w:rsidRDefault="005662E1" w:rsidP="005662E1">
      <w:pPr>
        <w:spacing w:after="0" w:line="360" w:lineRule="auto"/>
        <w:ind w:firstLine="705"/>
        <w:jc w:val="both"/>
        <w:rPr>
          <w:rFonts w:ascii="Arial" w:hAnsi="Arial" w:cs="Arial"/>
        </w:rPr>
      </w:pPr>
      <w:r w:rsidRPr="005662E1">
        <w:rPr>
          <w:rFonts w:ascii="Arial" w:hAnsi="Arial" w:cs="Arial"/>
        </w:rPr>
        <w:t xml:space="preserve">Pretende-se mostrar que a evolução do estado depende das linhas político, jurídico e ideológicas que </w:t>
      </w:r>
      <w:proofErr w:type="gramStart"/>
      <w:r w:rsidRPr="005662E1">
        <w:rPr>
          <w:rFonts w:ascii="Arial" w:hAnsi="Arial" w:cs="Arial"/>
        </w:rPr>
        <w:t>o mesmo</w:t>
      </w:r>
      <w:proofErr w:type="gramEnd"/>
      <w:r w:rsidRPr="005662E1">
        <w:rPr>
          <w:rFonts w:ascii="Arial" w:hAnsi="Arial" w:cs="Arial"/>
        </w:rPr>
        <w:t xml:space="preserve"> assume e que o desenvolvimento, antes indefinido conceitualmente, </w:t>
      </w:r>
      <w:r w:rsidRPr="005662E1">
        <w:rPr>
          <w:rFonts w:ascii="Arial" w:hAnsi="Arial" w:cs="Arial"/>
        </w:rPr>
        <w:lastRenderedPageBreak/>
        <w:t xml:space="preserve">adquire materialidade e torna-se um direito do cidadão e um dever do estado. A dimensão do dever e do direito ao desenvolvimento caminha pari passu ao desenvolvimento do fenômeno estado. As concepções liberais e neoliberais mitigam excessivamente o desenvolvimento como dever do estado, seja por indefinição conceitual do fenômeno, seja por opção teórico, política e ideológica. </w:t>
      </w:r>
    </w:p>
    <w:p w14:paraId="03BB6AD1" w14:textId="77777777" w:rsidR="005662E1" w:rsidRPr="005662E1" w:rsidRDefault="005662E1" w:rsidP="005662E1">
      <w:pPr>
        <w:spacing w:after="0" w:line="360" w:lineRule="auto"/>
        <w:ind w:firstLine="705"/>
        <w:jc w:val="both"/>
        <w:rPr>
          <w:rFonts w:ascii="Arial" w:hAnsi="Arial" w:cs="Arial"/>
        </w:rPr>
      </w:pPr>
      <w:r w:rsidRPr="005662E1">
        <w:rPr>
          <w:rFonts w:ascii="Arial" w:hAnsi="Arial" w:cs="Arial"/>
        </w:rPr>
        <w:t xml:space="preserve"> Para alcançar esse intuito, pretende-se discorrer sobre o Estado, segundo as concepções liberais, neoliberais e sobre o estado social.  A primeira considera a liberdade como elemento importante para o pleno desenvolvimento da economia e da sociedade. A liberdade assume um caráter ideológico de elevada pertinência para essas visões. O liberalismo se apropria da “liberdade” enquanto elemento fundamental para conquista de adeptos, utilizando-se do pretexto de que outras concepções de mundo não a priorizam nem a garantem. </w:t>
      </w:r>
    </w:p>
    <w:p w14:paraId="47FD7DF6"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A visão do estado social é entendida como uma forma de conciliar os anseios individuais com os sociais, assim como uma forma de se resguardar o Estado brasileiro contra os avanços do dito “neoliberalismo” atual.  Neoliberalismo que corrói e precariza as funções do estado, desgastando e involuindo essas instituições e benefício de uma elite econômico e financeira.</w:t>
      </w:r>
    </w:p>
    <w:p w14:paraId="62D61C62"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Esse artigo divide-se em cinco partes, incluindo essa breve introdução e as considerações finais. Na segunda discute a origem do estado moderno correlacionando-o com o liberalismo e o desenvolvimento. Na terceira parte apresenta-se o estado social e suas vinculações com o desenvolvimento. Na penúltima parte discute-se o neoliberalismo, sua origem, ascensão e os nexos com o desenvolvimento.  Por fim, algumas considerações finais.</w:t>
      </w:r>
    </w:p>
    <w:p w14:paraId="4B0BC985" w14:textId="77777777" w:rsidR="005662E1" w:rsidRPr="005662E1" w:rsidRDefault="005662E1" w:rsidP="005662E1">
      <w:pPr>
        <w:spacing w:after="0" w:line="360" w:lineRule="auto"/>
        <w:ind w:firstLine="708"/>
        <w:jc w:val="both"/>
        <w:rPr>
          <w:rFonts w:ascii="Arial" w:hAnsi="Arial" w:cs="Arial"/>
        </w:rPr>
      </w:pPr>
    </w:p>
    <w:p w14:paraId="1E3EDF11" w14:textId="77777777" w:rsidR="005662E1" w:rsidRPr="005662E1" w:rsidRDefault="005662E1" w:rsidP="005662E1">
      <w:pPr>
        <w:numPr>
          <w:ilvl w:val="0"/>
          <w:numId w:val="1"/>
        </w:numPr>
        <w:spacing w:after="0" w:line="360" w:lineRule="auto"/>
        <w:jc w:val="both"/>
        <w:rPr>
          <w:rFonts w:ascii="Arial" w:hAnsi="Arial" w:cs="Arial"/>
          <w:b/>
          <w:bCs/>
        </w:rPr>
      </w:pPr>
      <w:r w:rsidRPr="005662E1">
        <w:rPr>
          <w:rFonts w:ascii="Arial" w:hAnsi="Arial" w:cs="Arial"/>
          <w:b/>
          <w:bCs/>
        </w:rPr>
        <w:t>O ESTADO MODERNO, O LIBERALISMO E O DESENVOLVIMENTO</w:t>
      </w:r>
    </w:p>
    <w:p w14:paraId="6D004A4B" w14:textId="77777777" w:rsidR="005662E1" w:rsidRPr="005662E1" w:rsidRDefault="005662E1" w:rsidP="005662E1">
      <w:pPr>
        <w:spacing w:after="0" w:line="360" w:lineRule="auto"/>
        <w:jc w:val="both"/>
        <w:rPr>
          <w:rFonts w:ascii="Arial" w:hAnsi="Arial" w:cs="Arial"/>
        </w:rPr>
      </w:pPr>
    </w:p>
    <w:p w14:paraId="3F2F0526" w14:textId="77777777" w:rsidR="005662E1" w:rsidRPr="005662E1" w:rsidRDefault="005662E1" w:rsidP="005662E1">
      <w:pPr>
        <w:spacing w:after="0" w:line="360" w:lineRule="auto"/>
        <w:ind w:firstLine="705"/>
        <w:jc w:val="both"/>
        <w:rPr>
          <w:rFonts w:ascii="Arial" w:hAnsi="Arial" w:cs="Arial"/>
        </w:rPr>
      </w:pPr>
      <w:r w:rsidRPr="005662E1">
        <w:rPr>
          <w:rFonts w:ascii="Arial" w:hAnsi="Arial" w:cs="Arial"/>
        </w:rPr>
        <w:t xml:space="preserve">É possível se conceber o Estado em sua forma reducionista e limitada, acentuando muitas vezes apenas seus componentes jurídicos. Concepção usualmente defendida por juristas positivistas estritamente apegados a letra da lei. Normalmente concebem o Estado </w:t>
      </w:r>
      <w:r w:rsidRPr="005662E1">
        <w:rPr>
          <w:rFonts w:ascii="Arial" w:hAnsi="Arial" w:cs="Arial"/>
          <w:iCs/>
        </w:rPr>
        <w:t>“como a ordem jurídica soberana, que tem por fim o bem comum de um povo situado em um determinado território”</w:t>
      </w:r>
      <w:r w:rsidRPr="005662E1">
        <w:rPr>
          <w:rStyle w:val="Refdenotaderodap"/>
          <w:rFonts w:ascii="Arial" w:hAnsi="Arial" w:cs="Arial"/>
          <w:iCs/>
        </w:rPr>
        <w:footnoteReference w:id="1"/>
      </w:r>
      <w:r w:rsidRPr="005662E1">
        <w:rPr>
          <w:rFonts w:ascii="Arial" w:hAnsi="Arial" w:cs="Arial"/>
        </w:rPr>
        <w:t xml:space="preserve">, ou como uma </w:t>
      </w:r>
      <w:r w:rsidRPr="005662E1">
        <w:rPr>
          <w:rFonts w:ascii="Arial" w:hAnsi="Arial" w:cs="Arial"/>
          <w:iCs/>
        </w:rPr>
        <w:t xml:space="preserve">“organização política sob a qual vive o homem </w:t>
      </w:r>
      <w:r w:rsidRPr="005662E1">
        <w:rPr>
          <w:rFonts w:ascii="Arial" w:hAnsi="Arial" w:cs="Arial"/>
          <w:iCs/>
        </w:rPr>
        <w:lastRenderedPageBreak/>
        <w:t>moderno...caracterizando-se por ser a resultante de um povo vivendo sobre um território delimitado e governado por leis que se fundam, não sobrepujado por nenhum outro externamente e supremo internamente”</w:t>
      </w:r>
      <w:r w:rsidRPr="005662E1">
        <w:rPr>
          <w:rStyle w:val="Refdenotaderodap"/>
          <w:rFonts w:ascii="Arial" w:hAnsi="Arial" w:cs="Arial"/>
          <w:iCs/>
        </w:rPr>
        <w:footnoteReference w:id="2"/>
      </w:r>
      <w:r w:rsidRPr="005662E1">
        <w:rPr>
          <w:rFonts w:ascii="Arial" w:hAnsi="Arial" w:cs="Arial"/>
        </w:rPr>
        <w:t>.</w:t>
      </w:r>
    </w:p>
    <w:p w14:paraId="09E55DD9" w14:textId="77777777" w:rsidR="005662E1" w:rsidRPr="005662E1" w:rsidRDefault="005662E1" w:rsidP="005662E1">
      <w:pPr>
        <w:spacing w:after="0" w:line="360" w:lineRule="auto"/>
        <w:ind w:firstLine="705"/>
        <w:jc w:val="both"/>
        <w:rPr>
          <w:rFonts w:ascii="Arial" w:hAnsi="Arial" w:cs="Arial"/>
        </w:rPr>
      </w:pPr>
      <w:r w:rsidRPr="005662E1">
        <w:rPr>
          <w:rFonts w:ascii="Arial" w:hAnsi="Arial" w:cs="Arial"/>
        </w:rPr>
        <w:t>As definições jurídicas normalmente se dividem em duas correntes. A primeira prioriza a compreensão do Estado como um agrupamento humano organizado em um determinado espaço (território), enquanto a segunda prioriza a organização normativa do Estado. Nessas correntes do pensamento se prioriza sempre os elementos constitutivos do Estado, ou seja, o povo, o território, o governo e a soberania. Uma avaliação sucinta já demonstra a estrita limitação da análise, principalmente no que se refere às origens do Estado.</w:t>
      </w:r>
    </w:p>
    <w:p w14:paraId="3F4DF58B" w14:textId="77777777" w:rsidR="005662E1" w:rsidRPr="005662E1" w:rsidRDefault="005662E1" w:rsidP="005662E1">
      <w:pPr>
        <w:spacing w:after="0" w:line="360" w:lineRule="auto"/>
        <w:ind w:firstLine="705"/>
        <w:jc w:val="both"/>
        <w:rPr>
          <w:rFonts w:ascii="Arial" w:hAnsi="Arial" w:cs="Arial"/>
        </w:rPr>
      </w:pPr>
      <w:r w:rsidRPr="005662E1">
        <w:rPr>
          <w:rFonts w:ascii="Arial" w:hAnsi="Arial" w:cs="Arial"/>
        </w:rPr>
        <w:tab/>
        <w:t xml:space="preserve">Quando se pretende pensar acerca da origem do Estado, não se consegue de fato </w:t>
      </w:r>
      <w:r w:rsidRPr="005662E1">
        <w:rPr>
          <w:rFonts w:ascii="Arial" w:hAnsi="Arial" w:cs="Arial"/>
          <w:iCs/>
        </w:rPr>
        <w:t>“redigir com precisão a certidão de nascimento do Estado moderno”</w:t>
      </w:r>
      <w:r w:rsidRPr="005662E1">
        <w:rPr>
          <w:rStyle w:val="Refdenotaderodap"/>
          <w:rFonts w:ascii="Arial" w:hAnsi="Arial" w:cs="Arial"/>
          <w:iCs/>
        </w:rPr>
        <w:footnoteReference w:id="3"/>
      </w:r>
      <w:r w:rsidRPr="005662E1">
        <w:rPr>
          <w:rFonts w:ascii="Arial" w:hAnsi="Arial" w:cs="Arial"/>
        </w:rPr>
        <w:t>. A imprecisão se deve a própria compreensão do que é o Estado Moderno. Historicamente, pode-se encontrar indícios da origem do Estado já na antiguidade Clássica. No entanto, o Estado, como se define atualmente, exsurgiu no período de formação do modo de produção capitalista. Inicialmente na forma de Estado Absolutista perpassando por diversas alterações até a contemporaneidade, segundo diversos pensadores</w:t>
      </w:r>
      <w:r w:rsidRPr="005662E1">
        <w:rPr>
          <w:rStyle w:val="Refdenotaderodap"/>
          <w:rFonts w:ascii="Arial" w:hAnsi="Arial" w:cs="Arial"/>
        </w:rPr>
        <w:footnoteReference w:id="4"/>
      </w:r>
      <w:r w:rsidRPr="005662E1">
        <w:rPr>
          <w:rFonts w:ascii="Arial" w:hAnsi="Arial" w:cs="Arial"/>
        </w:rPr>
        <w:t>.</w:t>
      </w:r>
    </w:p>
    <w:p w14:paraId="2CD1B9AD" w14:textId="77777777" w:rsidR="005662E1" w:rsidRPr="005662E1" w:rsidRDefault="005662E1" w:rsidP="005662E1">
      <w:pPr>
        <w:spacing w:after="0" w:line="360" w:lineRule="auto"/>
        <w:ind w:firstLine="705"/>
        <w:jc w:val="both"/>
        <w:rPr>
          <w:rFonts w:ascii="Arial" w:hAnsi="Arial" w:cs="Arial"/>
        </w:rPr>
      </w:pPr>
      <w:r w:rsidRPr="005662E1">
        <w:rPr>
          <w:rFonts w:ascii="Arial" w:hAnsi="Arial" w:cs="Arial"/>
        </w:rPr>
        <w:t xml:space="preserve"> Considerando o conjunto de transformação ocorrido no modo de produção capitalista, uma serie de pensadores inovaram nas ideias acerca do Estado, da Sociedade e da Economia. Esses autores promovem uma revolução na forma de pensar, comum ao homem no feudalismo. Tornam-se revolucionários no sentido de propor mudanças radicais tanto para o Estado como para a Sociedade e para a economia. Os liberais, como tornaram-se conhecidos esses pensadores, constituíram-se em uma corrente do pensamento que prioriza a liberdade, em seu sentido lato. Liberdade para o novo homem que exsurge do feudalismo e </w:t>
      </w:r>
      <w:proofErr w:type="gramStart"/>
      <w:r w:rsidRPr="005662E1">
        <w:rPr>
          <w:rFonts w:ascii="Arial" w:hAnsi="Arial" w:cs="Arial"/>
        </w:rPr>
        <w:t>cria uma nova</w:t>
      </w:r>
      <w:proofErr w:type="gramEnd"/>
      <w:r w:rsidRPr="005662E1">
        <w:rPr>
          <w:rFonts w:ascii="Arial" w:hAnsi="Arial" w:cs="Arial"/>
        </w:rPr>
        <w:t xml:space="preserve"> ordem, um novo sistema produtivo, político e social. Esses pensadores, dos quais se destacam John Locke, Jean J. </w:t>
      </w:r>
      <w:proofErr w:type="spellStart"/>
      <w:r w:rsidRPr="005662E1">
        <w:rPr>
          <w:rFonts w:ascii="Arial" w:hAnsi="Arial" w:cs="Arial"/>
        </w:rPr>
        <w:t>Rosseau</w:t>
      </w:r>
      <w:proofErr w:type="spellEnd"/>
      <w:r w:rsidRPr="005662E1">
        <w:rPr>
          <w:rFonts w:ascii="Arial" w:hAnsi="Arial" w:cs="Arial"/>
        </w:rPr>
        <w:t xml:space="preserve"> e Charles de Montesquieu na política, Adam Smith e David Ricardo na Economia, se puseram contra a ordem feudal, propondo um mundo </w:t>
      </w:r>
      <w:r w:rsidRPr="005662E1">
        <w:rPr>
          <w:rFonts w:ascii="Arial" w:hAnsi="Arial" w:cs="Arial"/>
        </w:rPr>
        <w:lastRenderedPageBreak/>
        <w:t>novo, no qual a liberdade para produzir e comercializar as mercadorias, assume grande significado. A liberdade política e econômica emerge no cenário de discussão dos filósofos e políticos da época.</w:t>
      </w:r>
    </w:p>
    <w:p w14:paraId="04CCF612" w14:textId="77777777" w:rsidR="005662E1" w:rsidRPr="005662E1" w:rsidRDefault="005662E1" w:rsidP="005662E1">
      <w:pPr>
        <w:spacing w:after="0" w:line="360" w:lineRule="auto"/>
        <w:jc w:val="both"/>
        <w:rPr>
          <w:rFonts w:ascii="Arial" w:hAnsi="Arial" w:cs="Arial"/>
        </w:rPr>
      </w:pPr>
      <w:r w:rsidRPr="005662E1">
        <w:rPr>
          <w:rFonts w:ascii="Arial" w:hAnsi="Arial" w:cs="Arial"/>
        </w:rPr>
        <w:tab/>
        <w:t>Muito embora se concorde com Marx, quando se observa que o novo modo de produção (capitalismo) emergiu das entranhas do feudalismo, exsurgindo como algo novo e revolucionário, que se apoiou inicialmente no roubo dos bens da igreja, na fraudulenta alienação dos domínios do Estado, no furto da propriedade comunal, na transformação usurpadora executada com terrorismo inescrupuloso da propriedade feudal e clássica em propriedade privada moderna para promover a acumulação primitiva</w:t>
      </w:r>
      <w:r w:rsidRPr="005662E1">
        <w:rPr>
          <w:rStyle w:val="Refdenotaderodap"/>
          <w:rFonts w:ascii="Arial" w:hAnsi="Arial" w:cs="Arial"/>
        </w:rPr>
        <w:footnoteReference w:id="5"/>
      </w:r>
      <w:r w:rsidRPr="005662E1">
        <w:rPr>
          <w:rFonts w:ascii="Arial" w:hAnsi="Arial" w:cs="Arial"/>
        </w:rPr>
        <w:t xml:space="preserve">, da qual precisava para dá início ao </w:t>
      </w:r>
      <w:proofErr w:type="spellStart"/>
      <w:r w:rsidRPr="005662E1">
        <w:rPr>
          <w:rFonts w:ascii="Arial" w:hAnsi="Arial" w:cs="Arial"/>
        </w:rPr>
        <w:t>pseudo</w:t>
      </w:r>
      <w:proofErr w:type="spellEnd"/>
      <w:r w:rsidRPr="005662E1">
        <w:rPr>
          <w:rFonts w:ascii="Arial" w:hAnsi="Arial" w:cs="Arial"/>
        </w:rPr>
        <w:t xml:space="preserve"> “</w:t>
      </w:r>
      <w:r w:rsidRPr="005662E1">
        <w:rPr>
          <w:rFonts w:ascii="Arial" w:hAnsi="Arial" w:cs="Arial"/>
          <w:i/>
        </w:rPr>
        <w:t xml:space="preserve">móbile </w:t>
      </w:r>
      <w:proofErr w:type="spellStart"/>
      <w:r w:rsidRPr="005662E1">
        <w:rPr>
          <w:rFonts w:ascii="Arial" w:hAnsi="Arial" w:cs="Arial"/>
          <w:i/>
        </w:rPr>
        <w:t>perpetum</w:t>
      </w:r>
      <w:proofErr w:type="spellEnd"/>
      <w:r w:rsidRPr="005662E1">
        <w:rPr>
          <w:rFonts w:ascii="Arial" w:hAnsi="Arial" w:cs="Arial"/>
        </w:rPr>
        <w:t>” do processo de acumulação capitalista, não se nega que o liberalismo consistiu em uma “revolução”  promovida pela burguesia com apoio dos trabalhadores, que muito cedo foi viesada para rejeitar ideias que beneficiassem economicamente os trabalhadores. A exemplo os rebatimentos inerentes a fundamentação da criação do valor no trabalho.  Smith</w:t>
      </w:r>
      <w:r w:rsidRPr="005662E1">
        <w:rPr>
          <w:rStyle w:val="Refdenotaderodap"/>
          <w:rFonts w:ascii="Arial" w:hAnsi="Arial" w:cs="Arial"/>
        </w:rPr>
        <w:footnoteReference w:id="6"/>
      </w:r>
      <w:r w:rsidRPr="005662E1">
        <w:rPr>
          <w:rFonts w:ascii="Arial" w:hAnsi="Arial" w:cs="Arial"/>
        </w:rPr>
        <w:t xml:space="preserve"> e Ricardo</w:t>
      </w:r>
      <w:r w:rsidRPr="005662E1">
        <w:rPr>
          <w:rStyle w:val="Refdenotaderodap"/>
          <w:rFonts w:ascii="Arial" w:hAnsi="Arial" w:cs="Arial"/>
        </w:rPr>
        <w:footnoteReference w:id="7"/>
      </w:r>
      <w:r w:rsidRPr="005662E1">
        <w:rPr>
          <w:rFonts w:ascii="Arial" w:hAnsi="Arial" w:cs="Arial"/>
        </w:rPr>
        <w:t>, enquanto economistas clássicos, são enfáticos em sua construção teórica ao mostrar que o valor nasce do trabalho, mas a revolução neoclássica ou marginalista do fim do século XIX deturpa a ideia desses clássicos ao fundar o valor apenas na utilidade, possibilitando assim um redirecionamento das ideias liberais que fortalecem o capitalismo em detrimento do papel do trabalhador.</w:t>
      </w:r>
    </w:p>
    <w:p w14:paraId="4608CA4F"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t xml:space="preserve">Os liberais clássicos, em particular, Locke, Smith e Ricardo, estabelecem os princípios fundamentais da propriedade no trabalho. Locke procura sustentar que o fundamento da propriedade individual devia ser procurado no trabalho, empregado para apropriar-se de uma coisa ou para transformá-la, valorizando-a economicamente.  A concepção liberal do pai do liberalismo político considera como fundamento de sua construção teórica a teoria do valor-trabalho, especialmente quando assegura que é o trabalho que provoca a diferença de valor nas coisas que nos cercam. Tratando da possibilidade da aquisição da propriedade, Locke considerava que o trabalho é sempre uma propriedade inalienável e, na medida do possível, serve como instrumento para se obter a propriedade privada. Como Deus deu a terra para todos, haveria uma igualdade no direito à terra; sendo a propriedade um direito natural, que pré-existente ao Estado e que pode ser alcançado através da razão e do individualismo. Em </w:t>
      </w:r>
      <w:r w:rsidRPr="005662E1">
        <w:rPr>
          <w:rFonts w:ascii="Arial" w:hAnsi="Arial" w:cs="Arial"/>
        </w:rPr>
        <w:lastRenderedPageBreak/>
        <w:t>resumo, é necessário trazer a luz, a ligação que a questão da propriedade estabelece com os princípios da igualdade, afinal todos podem ter propriedade, e da racionalidade como um critério para distribuição das riquezas e limite da utilização de terras, a qual estrutura toda a base da teoria da propriedade de Locke</w:t>
      </w:r>
      <w:r w:rsidRPr="005662E1">
        <w:rPr>
          <w:rStyle w:val="Refdenotaderodap"/>
          <w:rFonts w:ascii="Arial" w:hAnsi="Arial" w:cs="Arial"/>
        </w:rPr>
        <w:footnoteReference w:id="8"/>
      </w:r>
      <w:r w:rsidRPr="005662E1">
        <w:rPr>
          <w:rFonts w:ascii="Arial" w:hAnsi="Arial" w:cs="Arial"/>
        </w:rPr>
        <w:t>.</w:t>
      </w:r>
    </w:p>
    <w:p w14:paraId="5A461443"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t>O fundamento maior do liberalismo consistiu na doutrina da separação dos poderes, acolhida como verdadeiro dogma. A Declaração dos Direitos do Homem de 1791 preconizava que “toda sociedade que não assegura a garantia dos direitos nem a separação de poderes não possui constituição”. A separação dos poderes era, portanto, condição para o rompimento com o Estado absolutista</w:t>
      </w:r>
      <w:r w:rsidRPr="005662E1">
        <w:rPr>
          <w:rStyle w:val="Refdenotaderodap"/>
          <w:rFonts w:ascii="Arial" w:hAnsi="Arial" w:cs="Arial"/>
        </w:rPr>
        <w:footnoteReference w:id="9"/>
      </w:r>
      <w:r w:rsidRPr="005662E1">
        <w:rPr>
          <w:rFonts w:ascii="Arial" w:hAnsi="Arial" w:cs="Arial"/>
        </w:rPr>
        <w:t xml:space="preserve"> .</w:t>
      </w:r>
    </w:p>
    <w:p w14:paraId="4D8426D4"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t>O liberalismo, enquanto doutrina política, econômica e jurídica, emergiu do mundo feudal contribuindo para a sua derrocada e consequente ascensão do capitalismo. Paulatinamente, o liberalismo tornou-se a ideologia da nova classe (burguesia) e do novo modo de produção, o capitalismo. Enquanto ideologia proporcionou a necessária coesão as classes sociais (dominados e dominantes), fundamental para consolidação do novo modo de produção, fundamentado no individualismo.  O liberalismo preconizava a defesa irrestrita da liberdade e da propriedade privada, procurando demonstrar que a busca do interesse próprio e a liberdade plena garantiriam o equilíbrio funcional do sistema e a felicidade de todos, capitalistas e trabalhadores.  A propriedade privada e a liberdade aparecem assim como elementos fundamentais no capitalismo, tendo a segunda o papel de necessidade orgânica vital para liberalismo, convertendo-se na bandeira dos grupos liberais e posteriormente dos neoliberais</w:t>
      </w:r>
      <w:r w:rsidRPr="005662E1">
        <w:rPr>
          <w:rStyle w:val="Refdenotaderodap"/>
          <w:rFonts w:ascii="Arial" w:hAnsi="Arial" w:cs="Arial"/>
        </w:rPr>
        <w:footnoteReference w:id="10"/>
      </w:r>
      <w:r w:rsidRPr="005662E1">
        <w:rPr>
          <w:rFonts w:ascii="Arial" w:hAnsi="Arial" w:cs="Arial"/>
        </w:rPr>
        <w:t>.</w:t>
      </w:r>
    </w:p>
    <w:p w14:paraId="61D280B5" w14:textId="77777777" w:rsidR="005662E1" w:rsidRPr="005662E1" w:rsidRDefault="005662E1" w:rsidP="005662E1">
      <w:pPr>
        <w:spacing w:after="0" w:line="360" w:lineRule="auto"/>
        <w:jc w:val="both"/>
        <w:rPr>
          <w:rFonts w:ascii="Arial" w:hAnsi="Arial" w:cs="Arial"/>
        </w:rPr>
      </w:pPr>
      <w:r w:rsidRPr="005662E1">
        <w:rPr>
          <w:rFonts w:ascii="Arial" w:hAnsi="Arial" w:cs="Arial"/>
        </w:rPr>
        <w:tab/>
        <w:t xml:space="preserve"> A consolidação do liberalismo contou com a participação de diversos pensadores. Adam Smith, considerado o pai da economia, defendia um Estado liberal que era mínimo, apresentando apenas três funções indispensáveis. Essas funções consistiam nas tarefas de: a) promover a soberania nacional, defendendo a sociedade da violência e invasão externas; b) garantir a proteção interna dos membros da sociedade contra a opressão e injustiças de outros membros, e, c) erigir e sustentar as instituições e obras públicas que sejam vantajosas </w:t>
      </w:r>
      <w:r w:rsidRPr="005662E1">
        <w:rPr>
          <w:rFonts w:ascii="Arial" w:hAnsi="Arial" w:cs="Arial"/>
        </w:rPr>
        <w:lastRenderedPageBreak/>
        <w:t>para a sociedade, mas que não sejam atrativas para os capitalistas, seja pelo lucro, risco ou incapacidade dos mesmos de mantê-los funcionando</w:t>
      </w:r>
      <w:r w:rsidRPr="005662E1">
        <w:rPr>
          <w:rStyle w:val="Refdenotaderodap"/>
          <w:rFonts w:ascii="Arial" w:hAnsi="Arial" w:cs="Arial"/>
        </w:rPr>
        <w:footnoteReference w:id="11"/>
      </w:r>
      <w:r w:rsidRPr="005662E1">
        <w:rPr>
          <w:rFonts w:ascii="Arial" w:hAnsi="Arial" w:cs="Arial"/>
        </w:rPr>
        <w:t>.</w:t>
      </w:r>
    </w:p>
    <w:p w14:paraId="63A09CF5" w14:textId="77777777" w:rsidR="005662E1" w:rsidRPr="005662E1" w:rsidRDefault="005662E1" w:rsidP="005662E1">
      <w:pPr>
        <w:spacing w:after="0" w:line="360" w:lineRule="auto"/>
        <w:jc w:val="both"/>
        <w:rPr>
          <w:rFonts w:ascii="Arial" w:hAnsi="Arial" w:cs="Arial"/>
        </w:rPr>
      </w:pPr>
      <w:r w:rsidRPr="005662E1">
        <w:rPr>
          <w:rFonts w:ascii="Arial" w:hAnsi="Arial" w:cs="Arial"/>
        </w:rPr>
        <w:tab/>
        <w:t xml:space="preserve">Atente-se para essa terceira função, pois </w:t>
      </w:r>
      <w:proofErr w:type="gramStart"/>
      <w:r w:rsidRPr="005662E1">
        <w:rPr>
          <w:rFonts w:ascii="Arial" w:hAnsi="Arial" w:cs="Arial"/>
        </w:rPr>
        <w:t>a mesma</w:t>
      </w:r>
      <w:proofErr w:type="gramEnd"/>
      <w:r w:rsidRPr="005662E1">
        <w:rPr>
          <w:rFonts w:ascii="Arial" w:hAnsi="Arial" w:cs="Arial"/>
        </w:rPr>
        <w:t xml:space="preserve"> será extremamente minimizada pelos neoliberais que reduzem o estado a um espectro insignificante quando comparado as concepções liberais clássicas. Afinal, Smith via no mercado o meio para eliminar a desigualdade e os privilégios de classes. Não é </w:t>
      </w:r>
      <w:proofErr w:type="spellStart"/>
      <w:proofErr w:type="gramStart"/>
      <w:r w:rsidRPr="005662E1">
        <w:rPr>
          <w:rFonts w:ascii="Arial" w:hAnsi="Arial" w:cs="Arial"/>
        </w:rPr>
        <w:t>a</w:t>
      </w:r>
      <w:proofErr w:type="spellEnd"/>
      <w:proofErr w:type="gramEnd"/>
      <w:r w:rsidRPr="005662E1">
        <w:rPr>
          <w:rFonts w:ascii="Arial" w:hAnsi="Arial" w:cs="Arial"/>
        </w:rPr>
        <w:t xml:space="preserve"> toa, que criticava ferrenhamente os comerciantes (burguesia) que reclamavam dos salários altos dos trabalhadores, com o argumento que implicava em aumento dos preços das mercadorias, escamoteando o fato de que as elevadas taxas de lucros, contribuíam muito mais para elevações dos preços</w:t>
      </w:r>
      <w:r w:rsidRPr="005662E1">
        <w:rPr>
          <w:rStyle w:val="Refdenotaderodap"/>
          <w:rFonts w:ascii="Arial" w:hAnsi="Arial" w:cs="Arial"/>
        </w:rPr>
        <w:footnoteReference w:id="12"/>
      </w:r>
      <w:r w:rsidRPr="005662E1">
        <w:rPr>
          <w:rFonts w:ascii="Arial" w:hAnsi="Arial" w:cs="Arial"/>
        </w:rPr>
        <w:t xml:space="preserve">. </w:t>
      </w:r>
    </w:p>
    <w:p w14:paraId="23B250DA"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 xml:space="preserve"> A intervenção do Estado, além do mínimo estabelecido em suas três funções básicas, poderia criar diversos óbices para a lucratividade no comércio livre, incitando o aparecimento de monopólios, o protecionismo e a consequente ineficiência sistêmica. As ideias de Smith tornaram-se a principal base para as demais concepções liberais, promovendo o estímulo necessário para a fervorosa e “religiosa” defesa do mercado como panaceia para todos os males. Os diversos pensadores posteriores diversificavam seus argumentos de defesa, enfatizando um ou outro ponto aludido por Smith. Alguns mais ferrenhos, a exemplo Nassau Sênior, realçava o </w:t>
      </w:r>
      <w:r w:rsidRPr="005662E1">
        <w:rPr>
          <w:rFonts w:ascii="Arial" w:hAnsi="Arial" w:cs="Arial"/>
          <w:i/>
          <w:iCs/>
        </w:rPr>
        <w:t xml:space="preserve">laissez-faire </w:t>
      </w:r>
      <w:r w:rsidRPr="005662E1">
        <w:rPr>
          <w:rFonts w:ascii="Arial" w:hAnsi="Arial" w:cs="Arial"/>
        </w:rPr>
        <w:t>inerente as análises smithianas, outros como Stuart Mill defendiam pequenas doses de regulamentação e intervenção do Estado. Mas em geral, concordavam que a liberdade concedida aos indivíduos e ao mercado se constitui na essência do novo sistema político e econômico.</w:t>
      </w:r>
    </w:p>
    <w:p w14:paraId="0AD4799D"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Esta persistente defesa da liberdade do indivíduo e do mercado, e consequente adesão ao capitalismo de mercado deve ser entendida em um contexto sociopolítico e econômico próprio para a época. Em outras palavras, “</w:t>
      </w:r>
      <w:r w:rsidRPr="005662E1">
        <w:rPr>
          <w:rFonts w:ascii="Arial" w:hAnsi="Arial" w:cs="Arial"/>
          <w:iCs/>
        </w:rPr>
        <w:t>não devemos esquecer que a realidade da qual falavam era a de um Estado que preservava privilégios absolutistas, protecionismo mercantilistas e corrupção por toda parte”</w:t>
      </w:r>
      <w:r w:rsidRPr="005662E1">
        <w:rPr>
          <w:rStyle w:val="Refdenotaderodap"/>
          <w:rFonts w:ascii="Arial" w:hAnsi="Arial" w:cs="Arial"/>
          <w:iCs/>
        </w:rPr>
        <w:footnoteReference w:id="13"/>
      </w:r>
      <w:r w:rsidRPr="005662E1">
        <w:rPr>
          <w:rFonts w:ascii="Arial" w:hAnsi="Arial" w:cs="Arial"/>
          <w:iCs/>
        </w:rPr>
        <w:t>.</w:t>
      </w:r>
      <w:r w:rsidRPr="005662E1">
        <w:rPr>
          <w:rFonts w:ascii="Arial" w:hAnsi="Arial" w:cs="Arial"/>
        </w:rPr>
        <w:t xml:space="preserve"> </w:t>
      </w:r>
    </w:p>
    <w:p w14:paraId="144A3B47"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 xml:space="preserve">Os pensadores liberais clássicos defendiam a liberdade como elemento fundamental para a construção do novo sistema e da nova sociedade. Kant colaborou com o liberalismo ao proporcionar ao mundo uma alternativa à filosofia até então helenística.  Em sua </w:t>
      </w:r>
      <w:r w:rsidRPr="005662E1">
        <w:rPr>
          <w:rStyle w:val="nfase"/>
          <w:rFonts w:ascii="Arial" w:hAnsi="Arial" w:cs="Arial"/>
        </w:rPr>
        <w:t>Metafísica</w:t>
      </w:r>
      <w:r w:rsidRPr="005662E1">
        <w:rPr>
          <w:rFonts w:ascii="Arial" w:hAnsi="Arial" w:cs="Arial"/>
          <w:i/>
          <w:iCs/>
        </w:rPr>
        <w:t xml:space="preserve"> </w:t>
      </w:r>
      <w:r w:rsidRPr="005662E1">
        <w:rPr>
          <w:rStyle w:val="nfase"/>
          <w:rFonts w:ascii="Arial" w:hAnsi="Arial" w:cs="Arial"/>
        </w:rPr>
        <w:lastRenderedPageBreak/>
        <w:t>dos</w:t>
      </w:r>
      <w:r w:rsidRPr="005662E1">
        <w:rPr>
          <w:rFonts w:ascii="Arial" w:hAnsi="Arial" w:cs="Arial"/>
          <w:i/>
          <w:iCs/>
        </w:rPr>
        <w:t xml:space="preserve"> </w:t>
      </w:r>
      <w:r w:rsidRPr="005662E1">
        <w:rPr>
          <w:rStyle w:val="nfase"/>
          <w:rFonts w:ascii="Arial" w:hAnsi="Arial" w:cs="Arial"/>
        </w:rPr>
        <w:t>Costumes</w:t>
      </w:r>
      <w:r w:rsidRPr="005662E1">
        <w:rPr>
          <w:rFonts w:ascii="Arial" w:hAnsi="Arial" w:cs="Arial"/>
          <w:i/>
          <w:iCs/>
        </w:rPr>
        <w:t>,</w:t>
      </w:r>
      <w:r w:rsidRPr="005662E1">
        <w:rPr>
          <w:rFonts w:ascii="Arial" w:hAnsi="Arial" w:cs="Arial"/>
        </w:rPr>
        <w:t xml:space="preserve"> Kant detalhou sua teoria do Estado e do Direito, definindo esse como o conjunto de condições mediante as quais a vontade de cada um pode coexistir com a vontade dos demais, segundo uma lei geral da liberdade e aquele como a união de uma multidão de homens sob as leis do Direito. O Estado seria assim, uma necessidade racional para a convivência humana: o homem abandonou a ideia de uma liberdade feroz e anárquica para reavê-la sob nova roupagem, intacta, dependente da lei, que é a expressão da vontade coletiva</w:t>
      </w:r>
      <w:r w:rsidRPr="005662E1">
        <w:rPr>
          <w:rStyle w:val="Refdenotaderodap"/>
          <w:rFonts w:ascii="Arial" w:hAnsi="Arial" w:cs="Arial"/>
        </w:rPr>
        <w:footnoteReference w:id="14"/>
      </w:r>
      <w:r w:rsidRPr="005662E1">
        <w:rPr>
          <w:rFonts w:ascii="Arial" w:hAnsi="Arial" w:cs="Arial"/>
        </w:rPr>
        <w:t>.</w:t>
      </w:r>
    </w:p>
    <w:p w14:paraId="7ED0D1F4"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Em seus primeiros escritos, John Stuart Mill realizava profícua apologia da liberdade</w:t>
      </w:r>
      <w:r w:rsidRPr="005662E1">
        <w:rPr>
          <w:rStyle w:val="Refdenotaderodap"/>
          <w:rFonts w:ascii="Arial" w:hAnsi="Arial" w:cs="Arial"/>
        </w:rPr>
        <w:footnoteReference w:id="15"/>
      </w:r>
      <w:r w:rsidRPr="005662E1">
        <w:rPr>
          <w:rFonts w:ascii="Arial" w:hAnsi="Arial" w:cs="Arial"/>
        </w:rPr>
        <w:t xml:space="preserve">. Na obra denominada “Da Liberdade” de 1859, Mill fundamenta sua argumentação na admissão do controle social, embora que </w:t>
      </w:r>
      <w:proofErr w:type="gramStart"/>
      <w:r w:rsidRPr="005662E1">
        <w:rPr>
          <w:rFonts w:ascii="Arial" w:hAnsi="Arial" w:cs="Arial"/>
        </w:rPr>
        <w:t>o mesmo</w:t>
      </w:r>
      <w:proofErr w:type="gramEnd"/>
      <w:r w:rsidRPr="005662E1">
        <w:rPr>
          <w:rFonts w:ascii="Arial" w:hAnsi="Arial" w:cs="Arial"/>
        </w:rPr>
        <w:t xml:space="preserve"> somente fosse utilizado para prevenir danos outros, ou para impedir que uma pessoa infligisse um mal a terceiro. O escopo de Mill era tornar a dimensão da liberdade a mais extensa possível, distinguindo a necessidade de alguma restrição, mas sempre como condição para a vida social e salvaguardar a própria liberdade</w:t>
      </w:r>
      <w:r w:rsidRPr="005662E1">
        <w:rPr>
          <w:rStyle w:val="Refdenotaderodap"/>
          <w:rFonts w:ascii="Arial" w:hAnsi="Arial" w:cs="Arial"/>
        </w:rPr>
        <w:footnoteReference w:id="16"/>
      </w:r>
      <w:r w:rsidRPr="005662E1">
        <w:rPr>
          <w:rFonts w:ascii="Arial" w:hAnsi="Arial" w:cs="Arial"/>
        </w:rPr>
        <w:t>.</w:t>
      </w:r>
    </w:p>
    <w:p w14:paraId="2C138291"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 xml:space="preserve">As concepções teóricas de Mill sobre a liberdade se fundamentavam no utilitarismo. Por compreender a utilidade como a base da moralidade, considerava que </w:t>
      </w:r>
      <w:r w:rsidRPr="005662E1">
        <w:rPr>
          <w:rFonts w:ascii="Arial" w:hAnsi="Arial" w:cs="Arial"/>
          <w:iCs/>
        </w:rPr>
        <w:t>“as ações são corretas na proporção em que se prestam a produzir a felicidade; são incorretas quando tende a produzir o reverso da felicidade</w:t>
      </w:r>
      <w:r w:rsidRPr="005662E1">
        <w:rPr>
          <w:rFonts w:ascii="Arial" w:hAnsi="Arial" w:cs="Arial"/>
        </w:rPr>
        <w:t>”</w:t>
      </w:r>
      <w:r w:rsidRPr="005662E1">
        <w:rPr>
          <w:rStyle w:val="Refdenotaderodap"/>
          <w:rFonts w:ascii="Arial" w:hAnsi="Arial" w:cs="Arial"/>
        </w:rPr>
        <w:footnoteReference w:id="17"/>
      </w:r>
      <w:r w:rsidRPr="005662E1">
        <w:rPr>
          <w:rFonts w:ascii="Arial" w:hAnsi="Arial" w:cs="Arial"/>
        </w:rPr>
        <w:t>. Essas concepções de Stuart Mill revelam um profundo hedonismo, ao abarcar a felicidade como prazer e seu contrário como sofrimento e privação do prazer. As concepções de liberdade, felicidade, utilidade etc., contribuíram para a materialização do liberalismo, principalmente na dimensão econômica e, posteriormente, contribuirá como fundamento ideológico para neoliberalismo.</w:t>
      </w:r>
    </w:p>
    <w:p w14:paraId="0384B126"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 xml:space="preserve">Torna-se cognoscível que o alvo das ofensivas dos liberais constitua-se no sistema de governo do Estado Absolutista, pois </w:t>
      </w:r>
      <w:proofErr w:type="gramStart"/>
      <w:r w:rsidRPr="005662E1">
        <w:rPr>
          <w:rFonts w:ascii="Arial" w:hAnsi="Arial" w:cs="Arial"/>
        </w:rPr>
        <w:t>o mesmo</w:t>
      </w:r>
      <w:proofErr w:type="gramEnd"/>
      <w:r w:rsidRPr="005662E1">
        <w:rPr>
          <w:rFonts w:ascii="Arial" w:hAnsi="Arial" w:cs="Arial"/>
        </w:rPr>
        <w:t xml:space="preserve"> reprimia as liberdades e as iniciativas dos burgueses naquele momento.</w:t>
      </w:r>
    </w:p>
    <w:p w14:paraId="148CA253" w14:textId="77777777" w:rsidR="005662E1" w:rsidRPr="005662E1" w:rsidRDefault="005662E1" w:rsidP="005662E1">
      <w:pPr>
        <w:spacing w:after="120" w:line="360" w:lineRule="auto"/>
        <w:ind w:firstLine="708"/>
        <w:jc w:val="both"/>
        <w:rPr>
          <w:rFonts w:ascii="Arial" w:hAnsi="Arial" w:cs="Arial"/>
        </w:rPr>
      </w:pPr>
      <w:r w:rsidRPr="005662E1">
        <w:rPr>
          <w:rFonts w:ascii="Arial" w:hAnsi="Arial" w:cs="Arial"/>
        </w:rPr>
        <w:t>Em síntese é possível asseverar que:</w:t>
      </w:r>
    </w:p>
    <w:p w14:paraId="723C015F" w14:textId="77777777" w:rsidR="005662E1" w:rsidRPr="00553B94" w:rsidRDefault="005662E1" w:rsidP="005662E1">
      <w:pPr>
        <w:spacing w:after="0" w:line="240" w:lineRule="auto"/>
        <w:ind w:left="2268"/>
        <w:jc w:val="both"/>
        <w:rPr>
          <w:rFonts w:ascii="Arial" w:hAnsi="Arial" w:cs="Arial"/>
          <w:sz w:val="20"/>
          <w:szCs w:val="20"/>
        </w:rPr>
      </w:pPr>
      <w:r w:rsidRPr="00553B94">
        <w:rPr>
          <w:rFonts w:ascii="Arial" w:hAnsi="Arial" w:cs="Arial"/>
          <w:sz w:val="20"/>
          <w:szCs w:val="20"/>
        </w:rPr>
        <w:t xml:space="preserve">Liberalismo acredita que o Estado deve restringir-se às suas atividades básicas, permitindo, no mais, que cada cidadão busque a felicidade à sua </w:t>
      </w:r>
      <w:r w:rsidRPr="00553B94">
        <w:rPr>
          <w:rFonts w:ascii="Arial" w:hAnsi="Arial" w:cs="Arial"/>
          <w:sz w:val="20"/>
          <w:szCs w:val="20"/>
        </w:rPr>
        <w:lastRenderedPageBreak/>
        <w:t>própria maneira. O liberalismo aceita o fato de os homens não serem todos iguais, diferindo em mérito, índole, capacidade e perseverança. Para o liberalismo, o papel do Estado não é forçar a igualdade de condições, mas garantir a igualdade de oportunidades.</w:t>
      </w:r>
    </w:p>
    <w:p w14:paraId="030D94B3" w14:textId="77777777" w:rsidR="005662E1" w:rsidRPr="00553B94" w:rsidRDefault="005662E1" w:rsidP="005662E1">
      <w:pPr>
        <w:spacing w:after="0" w:line="240" w:lineRule="auto"/>
        <w:ind w:left="2268"/>
        <w:jc w:val="both"/>
        <w:rPr>
          <w:rFonts w:ascii="Arial" w:hAnsi="Arial" w:cs="Arial"/>
          <w:sz w:val="20"/>
          <w:szCs w:val="20"/>
        </w:rPr>
      </w:pPr>
      <w:r w:rsidRPr="00553B94">
        <w:rPr>
          <w:rFonts w:ascii="Arial" w:hAnsi="Arial" w:cs="Arial"/>
          <w:sz w:val="20"/>
          <w:szCs w:val="20"/>
        </w:rPr>
        <w:t>Essa doutrina entende que todos os cidadãos fazem parte do conjunto de produtores e consumidores; assim sendo, torna-se um paradoxo o Estado arvorar-se em seu defensor, apenas para que garanta a livre concorrência a todas as empresas, estatais ou particulares, o que implica eliminar todo e qualquer tipo de protecionismo, quer na forma de monopólios, subsídios, reservas de mercado, quer barreiras comerciais. Estabelecidas essas condições, o próprio consumidor, através do direito de livre escolha, saberá punir as empresas incompetentes, indolentes ou irresponsáveis.</w:t>
      </w:r>
      <w:r w:rsidRPr="00553B94">
        <w:rPr>
          <w:rStyle w:val="Refdenotaderodap"/>
          <w:rFonts w:ascii="Arial" w:hAnsi="Arial" w:cs="Arial"/>
          <w:sz w:val="20"/>
          <w:szCs w:val="20"/>
        </w:rPr>
        <w:footnoteReference w:id="18"/>
      </w:r>
    </w:p>
    <w:p w14:paraId="3B0E3BD1" w14:textId="77777777" w:rsidR="005662E1" w:rsidRPr="005662E1" w:rsidRDefault="005662E1" w:rsidP="005662E1">
      <w:pPr>
        <w:spacing w:after="120" w:line="360" w:lineRule="auto"/>
        <w:ind w:firstLine="708"/>
        <w:jc w:val="both"/>
        <w:rPr>
          <w:rFonts w:ascii="Arial" w:hAnsi="Arial" w:cs="Arial"/>
        </w:rPr>
      </w:pPr>
    </w:p>
    <w:p w14:paraId="2C19A1E3"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t>O liberalismo se constituiu assim em uma ideologia revolucionária para a época.  Dado as defesas do liberalismo da necessária redução do poder do soberano e do estado sobre o súdito no estado absolutista, como também a defesa da liberdade de expressão oral e escrita, dentre outras bandeiras, contribuiu muito para as conquistas sociais que proporcionariam o desenvolvimento social, antes mesmo que se emergisse o conceito de desenvolvimento.</w:t>
      </w:r>
    </w:p>
    <w:p w14:paraId="6E644D97"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t xml:space="preserve">Os liberais contribuíram muito para a transformação do estado absolutista em um estado moderno, mais democrático, menos autoritário. Os primeiros estatutos jurídicos receberam a influência dos liberais clássicos.  A Declaração de Direitos Inglesa recebeu influência do pai do liberalismo político, John Locke. Fruto de uma revolução liberal (1688), a </w:t>
      </w:r>
      <w:r w:rsidRPr="005662E1">
        <w:rPr>
          <w:rFonts w:ascii="Arial" w:hAnsi="Arial" w:cs="Arial"/>
          <w:i/>
          <w:iCs/>
        </w:rPr>
        <w:t xml:space="preserve">Bill </w:t>
      </w:r>
      <w:proofErr w:type="spellStart"/>
      <w:r w:rsidRPr="005662E1">
        <w:rPr>
          <w:rFonts w:ascii="Arial" w:hAnsi="Arial" w:cs="Arial"/>
          <w:i/>
          <w:iCs/>
        </w:rPr>
        <w:t>of</w:t>
      </w:r>
      <w:proofErr w:type="spellEnd"/>
      <w:r w:rsidRPr="005662E1">
        <w:rPr>
          <w:rFonts w:ascii="Arial" w:hAnsi="Arial" w:cs="Arial"/>
          <w:i/>
          <w:iCs/>
        </w:rPr>
        <w:t xml:space="preserve"> </w:t>
      </w:r>
      <w:proofErr w:type="spellStart"/>
      <w:r w:rsidRPr="005662E1">
        <w:rPr>
          <w:rFonts w:ascii="Arial" w:hAnsi="Arial" w:cs="Arial"/>
          <w:i/>
          <w:iCs/>
        </w:rPr>
        <w:t>Rights</w:t>
      </w:r>
      <w:proofErr w:type="spellEnd"/>
      <w:r w:rsidRPr="005662E1">
        <w:rPr>
          <w:rFonts w:ascii="Arial" w:hAnsi="Arial" w:cs="Arial"/>
        </w:rPr>
        <w:t>:</w:t>
      </w:r>
    </w:p>
    <w:p w14:paraId="190188AD" w14:textId="77777777" w:rsidR="005662E1" w:rsidRPr="005662E1" w:rsidRDefault="005662E1" w:rsidP="005662E1">
      <w:pPr>
        <w:spacing w:after="120" w:line="240" w:lineRule="auto"/>
        <w:ind w:left="2268"/>
        <w:jc w:val="both"/>
        <w:rPr>
          <w:rFonts w:ascii="Arial" w:hAnsi="Arial" w:cs="Arial"/>
        </w:rPr>
      </w:pPr>
      <w:r w:rsidRPr="005662E1">
        <w:rPr>
          <w:rFonts w:ascii="Arial" w:hAnsi="Arial" w:cs="Arial"/>
        </w:rPr>
        <w:t>[...] firmara a supremacia do Parlamento, impondo a abdicação do rei Jaime II e designando novos monarcas, Guilherme II e Maria II, cujos poderes reais limitavam com a declaração de direitos a eles submetida e por eles aceita. Daí surge, para a Inglaterra, a monarquia constitucional, submetida à soberania popular (superada a realeza de direito divino), que teve em Locke seu principal teórico e que serviu de inspiração ideológica para a formação das democracias liberais da Europa e da América nos séculos XVIII e XIX.</w:t>
      </w:r>
      <w:r w:rsidRPr="005662E1">
        <w:rPr>
          <w:rStyle w:val="Refdenotaderodap"/>
          <w:rFonts w:ascii="Arial" w:hAnsi="Arial" w:cs="Arial"/>
        </w:rPr>
        <w:footnoteReference w:id="19"/>
      </w:r>
      <w:r w:rsidRPr="005662E1">
        <w:rPr>
          <w:rFonts w:ascii="Arial" w:hAnsi="Arial" w:cs="Arial"/>
        </w:rPr>
        <w:t xml:space="preserve">   </w:t>
      </w:r>
    </w:p>
    <w:p w14:paraId="6AE52133" w14:textId="77777777" w:rsidR="005662E1" w:rsidRPr="005662E1" w:rsidRDefault="005662E1" w:rsidP="005662E1">
      <w:pPr>
        <w:spacing w:after="120" w:line="240" w:lineRule="auto"/>
        <w:jc w:val="both"/>
        <w:rPr>
          <w:rFonts w:ascii="Arial" w:hAnsi="Arial" w:cs="Arial"/>
        </w:rPr>
      </w:pPr>
      <w:r w:rsidRPr="005662E1">
        <w:rPr>
          <w:rFonts w:ascii="Arial" w:hAnsi="Arial" w:cs="Arial"/>
        </w:rPr>
        <w:tab/>
      </w:r>
    </w:p>
    <w:p w14:paraId="73377EE3"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 xml:space="preserve">Os liberais contribuíram com a revolução estadunidense (1776), que não implicou instantaneamente no estabelecimento constitucional originário dos direitos humanos, mas 15 anos depois foram promulgadas 10 ementas que estabeleceram um rol de direitos na </w:t>
      </w:r>
      <w:r w:rsidRPr="005662E1">
        <w:rPr>
          <w:rFonts w:ascii="Arial" w:hAnsi="Arial" w:cs="Arial"/>
        </w:rPr>
        <w:lastRenderedPageBreak/>
        <w:t>constituição dos E.U.A. materializando avanços no desenvolvimento social e político daquele país.  Estiveram presentes também na revolução francesa (1789) como membros da Assembleia Nacional Constituinte que elaborou a famosa Declaração Francesa de Direitos do Homem e do Cidadão. A Declaração francesa tornou-se um ícone que consagrou os direitos de igualdade, liberdade e fraternidade, indo além do que os liberais preconizavam. A revolução francesa aboliu os privilégios, os antigos direitos feudais, as imunidades e privilégios inerentes aos nobres e ao rei</w:t>
      </w:r>
      <w:r w:rsidRPr="005662E1">
        <w:rPr>
          <w:rStyle w:val="Refdenotaderodap"/>
          <w:rFonts w:ascii="Arial" w:hAnsi="Arial" w:cs="Arial"/>
        </w:rPr>
        <w:footnoteReference w:id="20"/>
      </w:r>
      <w:r w:rsidRPr="005662E1">
        <w:rPr>
          <w:rFonts w:ascii="Arial" w:hAnsi="Arial" w:cs="Arial"/>
        </w:rPr>
        <w:t xml:space="preserve">. </w:t>
      </w:r>
    </w:p>
    <w:p w14:paraId="330BB0E5"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 xml:space="preserve">A Declaração Francesa dos Direitos do Homem e do Cidadão deve ser compreendida como a primeira a apresentar o universalismo como alicerce da futura afirmação dos direitos humanos no século XX, que tende a materializar o desenvolvimento social e político. No século XIX diversos movimentos da classe trabalhadora, com concepções teóricas vinculadas ao anarquismo, socialismo, </w:t>
      </w:r>
      <w:proofErr w:type="gramStart"/>
      <w:r w:rsidRPr="005662E1">
        <w:rPr>
          <w:rFonts w:ascii="Arial" w:hAnsi="Arial" w:cs="Arial"/>
        </w:rPr>
        <w:t>ludismo, etc.</w:t>
      </w:r>
      <w:proofErr w:type="gramEnd"/>
      <w:r w:rsidRPr="005662E1">
        <w:rPr>
          <w:rFonts w:ascii="Arial" w:hAnsi="Arial" w:cs="Arial"/>
        </w:rPr>
        <w:t>, realizaram diversos ataques teóricos e materiais as estruturas que dão suporte ao sistema capitalista.  Esses ataques reivindicavam direitos não concedidos pelo estado e pelos capitalistas. Esses diversos movimentos conseguiram alguns direitos de cunho liberal e social que materializavam alguns dos direitos humanos preconizados pela declaração francesa, embora que de forma reduzida e esporádica.</w:t>
      </w:r>
    </w:p>
    <w:p w14:paraId="628E005B" w14:textId="77777777" w:rsidR="005662E1" w:rsidRPr="005662E1" w:rsidRDefault="005662E1" w:rsidP="005662E1">
      <w:pPr>
        <w:spacing w:after="120" w:line="360" w:lineRule="auto"/>
        <w:ind w:firstLine="708"/>
        <w:jc w:val="both"/>
        <w:rPr>
          <w:rFonts w:ascii="Arial" w:hAnsi="Arial" w:cs="Arial"/>
        </w:rPr>
      </w:pPr>
      <w:r w:rsidRPr="005662E1">
        <w:rPr>
          <w:rFonts w:ascii="Arial" w:hAnsi="Arial" w:cs="Arial"/>
        </w:rPr>
        <w:t xml:space="preserve">Os enfoques liberais permaneceram nas economias capitalistas com mais ou menos tenacidade até o primeiro terço do século XX, quando as sucessivas crises econômicas em meio ao conflito de classes que pressionavam por direitos sociais mais amplos, principalmente pelos direitos a uma vida decente para a classe trabalhadora, materializada em melhores salários e condições de trabalho. A debacle do liberalismo será promovida pela grande depressão de 1929 que desvela a impossibilidade de continuidade do desenvolvimento social e político sem o desenvolvimento econômico que se diferencia do crescimento econômico tão alardeado pelos economistas do </w:t>
      </w:r>
      <w:proofErr w:type="spellStart"/>
      <w:r w:rsidRPr="005662E1">
        <w:rPr>
          <w:rFonts w:ascii="Arial" w:hAnsi="Arial" w:cs="Arial"/>
          <w:i/>
          <w:iCs/>
        </w:rPr>
        <w:t>mainstream</w:t>
      </w:r>
      <w:proofErr w:type="spellEnd"/>
      <w:r w:rsidRPr="005662E1">
        <w:rPr>
          <w:rFonts w:ascii="Arial" w:hAnsi="Arial" w:cs="Arial"/>
          <w:i/>
          <w:iCs/>
        </w:rPr>
        <w:t xml:space="preserve"> </w:t>
      </w:r>
      <w:r w:rsidRPr="005662E1">
        <w:rPr>
          <w:rFonts w:ascii="Arial" w:hAnsi="Arial" w:cs="Arial"/>
        </w:rPr>
        <w:t xml:space="preserve">liberal. A revolução Keynesiana, exsurgida durante a depressão do início do século, aponta os novos caminhos para a economia, a sociedade e para o estado. submeteu não somente a academia, mas as esferas políticas e econômicas às suas posições fundadas na intervenção do Estado na economia. </w:t>
      </w:r>
    </w:p>
    <w:p w14:paraId="7CB0819D" w14:textId="77777777" w:rsidR="005662E1" w:rsidRPr="005662E1" w:rsidRDefault="005662E1" w:rsidP="005662E1">
      <w:pPr>
        <w:spacing w:after="120" w:line="360" w:lineRule="auto"/>
        <w:ind w:firstLine="708"/>
        <w:jc w:val="both"/>
        <w:rPr>
          <w:rFonts w:ascii="Arial" w:hAnsi="Arial" w:cs="Arial"/>
        </w:rPr>
      </w:pPr>
    </w:p>
    <w:p w14:paraId="598A7AA5" w14:textId="74A07DE7" w:rsidR="005662E1" w:rsidRPr="00E73BB8" w:rsidRDefault="005662E1" w:rsidP="00E73BB8">
      <w:pPr>
        <w:numPr>
          <w:ilvl w:val="0"/>
          <w:numId w:val="1"/>
        </w:numPr>
        <w:spacing w:after="120" w:line="360" w:lineRule="auto"/>
        <w:jc w:val="both"/>
        <w:rPr>
          <w:rFonts w:ascii="Arial" w:hAnsi="Arial" w:cs="Arial"/>
          <w:b/>
          <w:bCs/>
        </w:rPr>
      </w:pPr>
      <w:r w:rsidRPr="005662E1">
        <w:rPr>
          <w:rFonts w:ascii="Arial" w:hAnsi="Arial" w:cs="Arial"/>
          <w:b/>
          <w:bCs/>
        </w:rPr>
        <w:t>O ESTADO SOCIAL INTERVENCIONISTA E O DESENVOLVIMENTO</w:t>
      </w:r>
    </w:p>
    <w:p w14:paraId="308FF8BD" w14:textId="77777777" w:rsidR="005662E1" w:rsidRPr="005662E1" w:rsidRDefault="005662E1" w:rsidP="005662E1">
      <w:pPr>
        <w:spacing w:after="0" w:line="360" w:lineRule="auto"/>
        <w:ind w:firstLine="703"/>
        <w:jc w:val="both"/>
        <w:rPr>
          <w:rFonts w:ascii="Arial" w:hAnsi="Arial" w:cs="Arial"/>
        </w:rPr>
      </w:pPr>
      <w:r w:rsidRPr="005662E1">
        <w:rPr>
          <w:rFonts w:ascii="Arial" w:hAnsi="Arial" w:cs="Arial"/>
        </w:rPr>
        <w:lastRenderedPageBreak/>
        <w:t xml:space="preserve">As crises do capitalismo apresentaram papel fundamental na crise e derrocada do liberalismo e do seu estado. A crise ocorrida entre 1873 e 1896 pós em xeque as pretensões do liberalismo e mostraram a dura face do estado liberal, que preconizava a liberdade e atuava imperialmente submetendo as colônias, em particular as africanas e latino-americana. </w:t>
      </w:r>
    </w:p>
    <w:p w14:paraId="1E463A9C" w14:textId="77777777" w:rsidR="005662E1" w:rsidRPr="005662E1" w:rsidRDefault="005662E1" w:rsidP="005662E1">
      <w:pPr>
        <w:spacing w:after="0" w:line="360" w:lineRule="auto"/>
        <w:ind w:firstLine="703"/>
        <w:jc w:val="both"/>
        <w:rPr>
          <w:rFonts w:ascii="Arial" w:hAnsi="Arial" w:cs="Arial"/>
        </w:rPr>
      </w:pPr>
      <w:r w:rsidRPr="005662E1">
        <w:rPr>
          <w:rFonts w:ascii="Arial" w:hAnsi="Arial" w:cs="Arial"/>
        </w:rPr>
        <w:t>Além das crises econômicas, a crescentes críticas doutrinais ao liberalismo, à emersão da Doutrina Social da Igreja atendendo aos apelos da classe trabalhadores explorada pelo capital, a luta dos trabalhadores por direitos econômicos, sociais e culturais que gradualmente começaram a ser atendidos pelas Constituições dos países capitalistas. Os primeiros textos constitucionais que consagrariam os mencionados direitos foram a Constituição mexicana de 1917, a Declaração de Direitos do Povo Trabalhador e Explorado, da Rússia, de 1918, e a Constituição de Weimar na Alemanha em 1919. Essas transformações permitiram que se começasse a falar em Estado social como Estado contraposto ao liberalismo econômico</w:t>
      </w:r>
      <w:r w:rsidRPr="005662E1">
        <w:rPr>
          <w:rStyle w:val="Refdenotaderodap"/>
          <w:rFonts w:ascii="Arial" w:hAnsi="Arial" w:cs="Arial"/>
        </w:rPr>
        <w:footnoteReference w:id="21"/>
      </w:r>
      <w:r w:rsidRPr="005662E1">
        <w:rPr>
          <w:rFonts w:ascii="Arial" w:hAnsi="Arial" w:cs="Arial"/>
        </w:rPr>
        <w:t>.</w:t>
      </w:r>
    </w:p>
    <w:p w14:paraId="0743453F" w14:textId="77777777" w:rsidR="005662E1" w:rsidRPr="005662E1" w:rsidRDefault="005662E1" w:rsidP="005662E1">
      <w:pPr>
        <w:spacing w:after="0" w:line="360" w:lineRule="auto"/>
        <w:ind w:firstLine="703"/>
        <w:jc w:val="both"/>
        <w:rPr>
          <w:rFonts w:ascii="Arial" w:hAnsi="Arial" w:cs="Arial"/>
        </w:rPr>
      </w:pPr>
      <w:r w:rsidRPr="005662E1">
        <w:rPr>
          <w:rFonts w:ascii="Arial" w:hAnsi="Arial" w:cs="Arial"/>
        </w:rPr>
        <w:t>A grande depressão (1929) ratificou a inoperância das formas de atuação do estado liberal e clamou por uma intervenção mais social e econômica, menos militar e autoritária. Foi durante a grande depressão que o novo estado mais social e intervencionista se estrutura. No entanto, somente após a segunda grande guerra é que se materializa via o</w:t>
      </w:r>
      <w:r w:rsidRPr="005662E1">
        <w:rPr>
          <w:rFonts w:ascii="Arial" w:hAnsi="Arial" w:cs="Arial"/>
          <w:i/>
          <w:iCs/>
        </w:rPr>
        <w:t xml:space="preserve"> </w:t>
      </w:r>
      <w:proofErr w:type="spellStart"/>
      <w:r w:rsidRPr="005662E1">
        <w:rPr>
          <w:rFonts w:ascii="Arial" w:hAnsi="Arial" w:cs="Arial"/>
          <w:i/>
          <w:iCs/>
        </w:rPr>
        <w:t>Walfare</w:t>
      </w:r>
      <w:proofErr w:type="spellEnd"/>
      <w:r w:rsidRPr="005662E1">
        <w:rPr>
          <w:rFonts w:ascii="Arial" w:hAnsi="Arial" w:cs="Arial"/>
          <w:i/>
          <w:iCs/>
        </w:rPr>
        <w:t xml:space="preserve"> </w:t>
      </w:r>
      <w:proofErr w:type="spellStart"/>
      <w:r w:rsidRPr="005662E1">
        <w:rPr>
          <w:rFonts w:ascii="Arial" w:hAnsi="Arial" w:cs="Arial"/>
          <w:i/>
          <w:iCs/>
        </w:rPr>
        <w:t>state</w:t>
      </w:r>
      <w:proofErr w:type="spellEnd"/>
      <w:r w:rsidRPr="005662E1">
        <w:rPr>
          <w:rFonts w:ascii="Arial" w:hAnsi="Arial" w:cs="Arial"/>
        </w:rPr>
        <w:t>, comum na Europa.</w:t>
      </w:r>
    </w:p>
    <w:p w14:paraId="3AC43BCF" w14:textId="77777777" w:rsidR="005662E1" w:rsidRPr="005662E1" w:rsidRDefault="005662E1" w:rsidP="005662E1">
      <w:pPr>
        <w:spacing w:after="120" w:line="360" w:lineRule="auto"/>
        <w:ind w:firstLine="708"/>
        <w:jc w:val="both"/>
        <w:rPr>
          <w:rFonts w:ascii="Arial" w:hAnsi="Arial" w:cs="Arial"/>
        </w:rPr>
      </w:pPr>
      <w:r w:rsidRPr="005662E1">
        <w:rPr>
          <w:rFonts w:ascii="Arial" w:hAnsi="Arial" w:cs="Arial"/>
        </w:rPr>
        <w:t>O declínio do liberalismo e o debate democrático levaram a discussão sobre a questão da liberdade e sobre as funções do Estado a dissemina-se na sociedade. Esse debate intenso que proporciona uma revisão do estado e de sua ação, ratifica o conceito de Engels</w:t>
      </w:r>
      <w:r w:rsidRPr="005662E1">
        <w:rPr>
          <w:rStyle w:val="Refdenotaderodap"/>
          <w:rFonts w:ascii="Arial" w:hAnsi="Arial" w:cs="Arial"/>
        </w:rPr>
        <w:footnoteReference w:id="22"/>
      </w:r>
      <w:r w:rsidRPr="005662E1">
        <w:rPr>
          <w:rFonts w:ascii="Arial" w:hAnsi="Arial" w:cs="Arial"/>
        </w:rPr>
        <w:t xml:space="preserve"> que define o Estado capitalista como “um produto da sociedade numa certa fase do seu desenvolvimento”. Afinal, o Estado exsurge na sociedade e se afasta dela com a finalidade de intervir no conflito de classes. Essa intervenção não se dá com o intuito de arbitrar as diferenças entre as classes, mas sim de evitar que elas se destruam no conflito.</w:t>
      </w:r>
    </w:p>
    <w:p w14:paraId="15373757" w14:textId="77777777" w:rsidR="005662E1" w:rsidRPr="005662E1" w:rsidRDefault="005662E1" w:rsidP="005662E1">
      <w:pPr>
        <w:pStyle w:val="Corpodetexto21"/>
        <w:spacing w:after="120" w:line="360" w:lineRule="auto"/>
        <w:rPr>
          <w:rFonts w:ascii="Arial" w:hAnsi="Arial" w:cs="Arial"/>
          <w:sz w:val="22"/>
          <w:szCs w:val="22"/>
        </w:rPr>
      </w:pPr>
      <w:r w:rsidRPr="005662E1">
        <w:rPr>
          <w:rFonts w:ascii="Arial" w:hAnsi="Arial" w:cs="Arial"/>
          <w:sz w:val="22"/>
          <w:szCs w:val="22"/>
        </w:rPr>
        <w:t>Explicitamente Engels</w:t>
      </w:r>
      <w:r w:rsidRPr="005662E1">
        <w:rPr>
          <w:rStyle w:val="Refdenotaderodap"/>
          <w:rFonts w:ascii="Arial" w:hAnsi="Arial" w:cs="Arial"/>
          <w:sz w:val="22"/>
          <w:szCs w:val="22"/>
        </w:rPr>
        <w:footnoteReference w:id="23"/>
      </w:r>
      <w:r w:rsidRPr="005662E1">
        <w:rPr>
          <w:rFonts w:ascii="Arial" w:hAnsi="Arial" w:cs="Arial"/>
          <w:sz w:val="22"/>
          <w:szCs w:val="22"/>
        </w:rPr>
        <w:t xml:space="preserve"> diz que...</w:t>
      </w:r>
    </w:p>
    <w:p w14:paraId="0252AE7F" w14:textId="77777777" w:rsidR="005662E1" w:rsidRPr="00553B94" w:rsidRDefault="005662E1" w:rsidP="005662E1">
      <w:pPr>
        <w:pStyle w:val="Corpodetexto21"/>
        <w:spacing w:after="120"/>
        <w:ind w:left="2268" w:firstLine="0"/>
        <w:rPr>
          <w:rFonts w:ascii="Arial" w:hAnsi="Arial" w:cs="Arial"/>
          <w:sz w:val="20"/>
        </w:rPr>
      </w:pPr>
      <w:r w:rsidRPr="00553B94">
        <w:rPr>
          <w:rFonts w:ascii="Arial" w:hAnsi="Arial" w:cs="Arial"/>
          <w:sz w:val="20"/>
        </w:rPr>
        <w:t xml:space="preserve">O Estado não é, pois, de modo algum, um poder que se impôs à sociedade de fora para dentro; [...] é antes um produto da sociedade, quando esta chega a um determinado grau de desenvolvimento; é a confissão de que essa </w:t>
      </w:r>
      <w:r w:rsidRPr="00553B94">
        <w:rPr>
          <w:rFonts w:ascii="Arial" w:hAnsi="Arial" w:cs="Arial"/>
          <w:sz w:val="20"/>
        </w:rPr>
        <w:lastRenderedPageBreak/>
        <w:t xml:space="preserve">sociedade se enredou numa irremediável contradição com ela própria e está dividida por antagonismos irreconciliáveis que não consegue conjurar. Mas para que esses antagonismos, essas classes com interesses econômicos colidentes não se devorem e não consumam a sociedade numa luta estéril, faz-se necessário um poder colocado aparentemente por cima da sociedade, chamado a amortecer o choque e a mantê-lo dentro dos limites da ‘ordem’. Este poder, nascido da sociedade, mas posto acima dela se distanciando cada vez mais, é o Estado. </w:t>
      </w:r>
    </w:p>
    <w:p w14:paraId="38FCDFDB" w14:textId="77777777" w:rsidR="005662E1" w:rsidRPr="005662E1" w:rsidRDefault="005662E1" w:rsidP="005662E1">
      <w:pPr>
        <w:spacing w:after="120" w:line="360" w:lineRule="auto"/>
        <w:ind w:firstLine="708"/>
        <w:jc w:val="both"/>
        <w:rPr>
          <w:rFonts w:ascii="Arial" w:hAnsi="Arial" w:cs="Arial"/>
        </w:rPr>
      </w:pPr>
    </w:p>
    <w:p w14:paraId="5824A45C"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t xml:space="preserve">Esse novo estado social é semelhante ao estado liberal, enquanto resultado do conflito de classes, em determinado momento do desenvolvimento humano. No entanto, é diferente devido ao fato do avanço e desenvolvimento das forças produtivas no capitalismo necessitarem de novas formas de intervenção, atuação e regulação das normas civilizadoras, instituídas pela supra estrutura capitalista, cujo papel fundamental cabe ao estado. </w:t>
      </w:r>
    </w:p>
    <w:p w14:paraId="10C23910" w14:textId="77777777" w:rsidR="005662E1" w:rsidRPr="005662E1" w:rsidRDefault="005662E1" w:rsidP="005662E1">
      <w:pPr>
        <w:spacing w:after="0" w:line="360" w:lineRule="auto"/>
        <w:ind w:firstLine="709"/>
        <w:jc w:val="both"/>
        <w:rPr>
          <w:rFonts w:ascii="Arial" w:hAnsi="Arial" w:cs="Arial"/>
        </w:rPr>
      </w:pPr>
      <w:r w:rsidRPr="005662E1">
        <w:rPr>
          <w:rFonts w:ascii="Arial" w:eastAsia="Times New Roman" w:hAnsi="Arial" w:cs="Arial"/>
          <w:lang w:eastAsia="pt-BR"/>
        </w:rPr>
        <w:t xml:space="preserve">O Estado social admite as bases capitalistas, entretanto, </w:t>
      </w:r>
      <w:r w:rsidRPr="005662E1">
        <w:rPr>
          <w:rFonts w:ascii="Arial" w:hAnsi="Arial" w:cs="Arial"/>
        </w:rPr>
        <w:t xml:space="preserve">procura superar a contradição entre a igualdade política e a desigualdade social, que emerge nas formas de produção e reprodução social. Assume um papel de promotor da conciliação, mitigador de conflitos sociais, pacificador entre o “trabalho” e o “capital”. Mesmo assim, é produto da pressão das massas e do desenvolvimento das forças produtivas. </w:t>
      </w:r>
    </w:p>
    <w:p w14:paraId="0613D3E9"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t>A implantação do Estado social demanda um processo difícil e complexo, seja pela sua própria natureza conciliadora de segmentos distintos da sociedade, acaba oscilando no “drama do poder”, nas contradições entre os interesses sociais divergentes, alguns de cunho material, outros de cunho ideológico. Esse estado social ficou conhecido por nomes diferentes, pois apresentavam diferentes características intervencionistas. Chamou-se estado-providência, estado do bem-estar social, estado interventor, estado populista-desenvolvimentista etc. Essas denominações vinculavam-se as formas especificas e a intensidade de intervenção estatal em cada território que se implantava.</w:t>
      </w:r>
    </w:p>
    <w:p w14:paraId="41B554DB"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t>A superação das dificuldades de consolidação do Estado social passa pelo caminho da democracia. E a democracia não pode, absolutamente, ir contra as massas. Toca-lhe, antes, educá-las, mediante a politização das pessoas, para que a razão prevaleça, e não fiquem à mercê de demagogos.</w:t>
      </w:r>
    </w:p>
    <w:p w14:paraId="64852CC6" w14:textId="77777777" w:rsidR="005662E1" w:rsidRPr="005662E1" w:rsidRDefault="005662E1" w:rsidP="005662E1">
      <w:pPr>
        <w:spacing w:after="120" w:line="360" w:lineRule="auto"/>
        <w:ind w:firstLine="708"/>
        <w:jc w:val="both"/>
        <w:rPr>
          <w:rFonts w:ascii="Arial" w:hAnsi="Arial" w:cs="Arial"/>
        </w:rPr>
      </w:pPr>
      <w:r w:rsidRPr="005662E1">
        <w:rPr>
          <w:rFonts w:ascii="Arial" w:hAnsi="Arial" w:cs="Arial"/>
        </w:rPr>
        <w:t>Para Paulo Bonavides</w:t>
      </w:r>
      <w:r w:rsidRPr="005662E1">
        <w:rPr>
          <w:rStyle w:val="Refdenotaderodap"/>
          <w:rFonts w:ascii="Arial" w:hAnsi="Arial" w:cs="Arial"/>
        </w:rPr>
        <w:footnoteReference w:id="24"/>
      </w:r>
      <w:r w:rsidRPr="005662E1">
        <w:rPr>
          <w:rFonts w:ascii="Arial" w:hAnsi="Arial" w:cs="Arial"/>
        </w:rPr>
        <w:t>:</w:t>
      </w:r>
    </w:p>
    <w:p w14:paraId="64139240" w14:textId="77777777" w:rsidR="005662E1" w:rsidRPr="00553B94" w:rsidRDefault="005662E1" w:rsidP="005662E1">
      <w:pPr>
        <w:spacing w:after="120" w:line="240" w:lineRule="auto"/>
        <w:ind w:left="2268"/>
        <w:jc w:val="both"/>
        <w:rPr>
          <w:rFonts w:ascii="Arial" w:hAnsi="Arial" w:cs="Arial"/>
          <w:sz w:val="20"/>
          <w:szCs w:val="20"/>
        </w:rPr>
      </w:pPr>
      <w:r w:rsidRPr="00553B94">
        <w:rPr>
          <w:rFonts w:ascii="Arial" w:hAnsi="Arial" w:cs="Arial"/>
          <w:sz w:val="20"/>
          <w:szCs w:val="20"/>
        </w:rPr>
        <w:lastRenderedPageBreak/>
        <w:t>[...] o constitucionalismo democrático emancipou politicamente as massas com o sufrágio universal. Mas não soube ainda conquistá-las. Urge que seu voto, como sucedeu na Itália e na Alemanha, não seja de tal modo pervertido, que uma faculdade democrática se converta em arma antidemocrática”. As massas, no Estado jurídico, já têm o poder de intervir na formação da vontade estatal. Cumpre evitar apenas que esse poder se demude em poder de destruir o Estado social da democracia, porque, se assim for, estariam atraiçoadas não as instituições democráticas, senão as mesmas massas, que haveriam solapado inconscientemente os seus mais caros interesses, vendo cair das mãos o poder do voto, ou seja, a maior arma de libertação política e social que o Homem moderno já conheceu.</w:t>
      </w:r>
    </w:p>
    <w:p w14:paraId="5DDE97C9" w14:textId="77777777" w:rsidR="005662E1" w:rsidRPr="00553B94" w:rsidRDefault="005662E1" w:rsidP="005662E1">
      <w:pPr>
        <w:spacing w:after="120" w:line="360" w:lineRule="auto"/>
        <w:jc w:val="both"/>
        <w:rPr>
          <w:rFonts w:ascii="Arial" w:hAnsi="Arial" w:cs="Arial"/>
          <w:sz w:val="20"/>
          <w:szCs w:val="20"/>
        </w:rPr>
      </w:pPr>
    </w:p>
    <w:p w14:paraId="3F71E17F"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t>O Estado social, em tese, tanto pode acolher a forma totalitarista como a forma democrática de governar, uma vez que, em última análise, o Estado social revela-se em Estado intervencionista e paternalista; impõe-se, entretanto, um cuidado maior para que essa sorte de Estado perfaça rumos democráticos, uma vez que, sob a aparência jurídico-constitucional, salvaguarda a tutela eficaz e equilibrada dos direitos da personalidade</w:t>
      </w:r>
      <w:r w:rsidRPr="005662E1">
        <w:rPr>
          <w:rStyle w:val="Refdenotaderodap"/>
          <w:rFonts w:ascii="Arial" w:hAnsi="Arial" w:cs="Arial"/>
        </w:rPr>
        <w:footnoteReference w:id="25"/>
      </w:r>
      <w:r w:rsidRPr="005662E1">
        <w:rPr>
          <w:rFonts w:ascii="Arial" w:hAnsi="Arial" w:cs="Arial"/>
        </w:rPr>
        <w:t>.  A forma totalitária pode ser tolerada em um primeiro momento, quando em situações de crise de estado, de governo e econômica, a sociedade civil enseje mudanças que podem levar a uma ditadura paternalista. O caso de Getúlio Vargas no Brasil dos anos 1930 é bem representativo desse contexto. No entanto, nem sempre essa tolerância ou representatividade dura ou garante a efetiva materialização dos direitos humanos.</w:t>
      </w:r>
    </w:p>
    <w:p w14:paraId="0EE4990F"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t>O Estado social de Direito incorpora os direitos sociais, não os extingue, não subverte as liberdades, protege as liberdades públicas e todos os direitos e garantias individuais. O Estado social é intervencionista, e segundo Jorge Miranda “se afasta o liberalismo económico continua fiel ao liberalismo político; e em que, se exige para o Estado um papel insubstituível na economia, não exclui a iniciativa privada e o mercado”</w:t>
      </w:r>
      <w:r w:rsidRPr="005662E1">
        <w:rPr>
          <w:rStyle w:val="Refdenotaderodap"/>
          <w:rFonts w:ascii="Arial" w:hAnsi="Arial" w:cs="Arial"/>
        </w:rPr>
        <w:footnoteReference w:id="26"/>
      </w:r>
      <w:r w:rsidRPr="005662E1">
        <w:rPr>
          <w:rFonts w:ascii="Arial" w:hAnsi="Arial" w:cs="Arial"/>
        </w:rPr>
        <w:t>.</w:t>
      </w:r>
    </w:p>
    <w:p w14:paraId="72D098B5"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t xml:space="preserve"> O Estado social também pode e deve resvalar para contextos mais democráticos, afinal pela democracia consegue-se equilibrar as forças dos ideais sociais do constitucionalismo com os ideais da independência das personalidades humanas. Com o Estado social, fundado em uma democracia, a “revolução” pode ser feita sem “derramamento de sangue” e de forma gradativa.</w:t>
      </w:r>
    </w:p>
    <w:p w14:paraId="477F43CD"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lastRenderedPageBreak/>
        <w:t>Após a segunda guerra mundial, os inúmeros atentados aos direitos humanos implantados na referida guerra estimularam o reconhecimento da importância da democracia e dos direitos humanos com os interesses dos Estados.  A Conferência de São Francisco, realizada em 1945, ensejou a Carta de São Francisco que instituiu a Organização das Nações Unidas (ONU) que, posteriormente, em 1948, aprovaria sob a forma de Resolução da Assembleia Geral a Declaração de Paris ou como ficou mais conhecida a Declaração Universal de Direitos Humanos - DUDH.</w:t>
      </w:r>
    </w:p>
    <w:p w14:paraId="7858E69C"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A DUDH não estabeleceu uma lista dos direitos que seriam considerados fundamentais, mas em seus 30 artigos explicita os direitos humanos aceitos internacionalmente. A Declaração Universal dos Direitos Humanos, aprovada por 48 votos a favor, 08 abstenções e sem votos contrários, listou tanto os denominados direitos políticos e liberdades civis, como também os direitos econômicos, sociais e culturais. Dentre os principais direitos civis e políticos identificam-se os direitos: à vida; à integridade física; à igualdade; à propriedade, à liberdade de pensamento, de opinião, de expressão e de reunião. Quanto aos direitos sociais encontramos os direitos: à segurança social, ao trabalho, à livre escolha da profissão e o direito à educação, bem como o direito ao mínimo existencial.</w:t>
      </w:r>
    </w:p>
    <w:p w14:paraId="0593F865"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O conceito de desenvolvimento adotado pela Declaração é amplo e genérico, permitindo o reconhecimento de que o desenvolvimento é um “processo econômico, social, cultural e político abrangente, que visa o constante incremento do bem-estar de toda a população e de todos os indivíduos com base em sua participação ativa, livre e significativa no desenvolvimento e na distribuição justa dos benefícios daí resultantes”.</w:t>
      </w:r>
      <w:r w:rsidRPr="005662E1">
        <w:rPr>
          <w:rStyle w:val="Refdenotaderodap"/>
          <w:rFonts w:ascii="Arial" w:hAnsi="Arial" w:cs="Arial"/>
        </w:rPr>
        <w:footnoteReference w:id="27"/>
      </w:r>
    </w:p>
    <w:p w14:paraId="18ACE8C6"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No mundo jurídico, o conceito de desenvolvimento somente se disseminou como direito humano, quando a Organização das Nações Unidas divulgou a Declaração sobre o direito ao Desenvolvimento, em 1986. Esta Declaração reza em seu artigo primeiro e segundo que:</w:t>
      </w:r>
    </w:p>
    <w:p w14:paraId="3C6AC29B" w14:textId="77777777" w:rsidR="005662E1" w:rsidRPr="005662E1" w:rsidRDefault="005662E1" w:rsidP="005662E1">
      <w:pPr>
        <w:spacing w:after="0" w:line="360" w:lineRule="auto"/>
        <w:ind w:firstLine="708"/>
        <w:jc w:val="both"/>
        <w:rPr>
          <w:rFonts w:ascii="Arial" w:hAnsi="Arial" w:cs="Arial"/>
        </w:rPr>
      </w:pPr>
    </w:p>
    <w:p w14:paraId="5EF97A3C" w14:textId="2138FC5F" w:rsidR="005662E1" w:rsidRPr="00E73BB8" w:rsidRDefault="005662E1" w:rsidP="00E73BB8">
      <w:pPr>
        <w:spacing w:after="0" w:line="240" w:lineRule="auto"/>
        <w:ind w:left="2268"/>
        <w:jc w:val="both"/>
        <w:rPr>
          <w:rFonts w:ascii="Arial" w:hAnsi="Arial" w:cs="Arial"/>
          <w:sz w:val="20"/>
          <w:szCs w:val="20"/>
        </w:rPr>
      </w:pPr>
      <w:r w:rsidRPr="00553B94">
        <w:rPr>
          <w:rFonts w:ascii="Arial" w:hAnsi="Arial" w:cs="Arial"/>
          <w:sz w:val="20"/>
          <w:szCs w:val="20"/>
        </w:rPr>
        <w:t>Art. 01. O direito ao desenvolvimento é um direito humano inalienável em virtude do qual toda pessoa humana e todos os povos estão habilitados a participar do desenvolvimento econômico, social, cultural e política, a ele contribuir e dele desfrutar, no qual todos os direitos humanos e liberdades fundamentais possam ser plenamente realizados.</w:t>
      </w:r>
    </w:p>
    <w:p w14:paraId="23D3358D"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lastRenderedPageBreak/>
        <w:t xml:space="preserve">No entanto, deve-se ao africano </w:t>
      </w:r>
      <w:proofErr w:type="spellStart"/>
      <w:r w:rsidRPr="005662E1">
        <w:rPr>
          <w:rFonts w:ascii="Arial" w:hAnsi="Arial" w:cs="Arial"/>
        </w:rPr>
        <w:t>Keba</w:t>
      </w:r>
      <w:proofErr w:type="spellEnd"/>
      <w:r w:rsidRPr="005662E1">
        <w:rPr>
          <w:rFonts w:ascii="Arial" w:hAnsi="Arial" w:cs="Arial"/>
        </w:rPr>
        <w:t xml:space="preserve"> M’</w:t>
      </w:r>
      <w:proofErr w:type="spellStart"/>
      <w:r w:rsidRPr="005662E1">
        <w:rPr>
          <w:rFonts w:ascii="Arial" w:hAnsi="Arial" w:cs="Arial"/>
        </w:rPr>
        <w:t>Baye</w:t>
      </w:r>
      <w:proofErr w:type="spellEnd"/>
      <w:r w:rsidRPr="005662E1">
        <w:rPr>
          <w:rFonts w:ascii="Arial" w:hAnsi="Arial" w:cs="Arial"/>
        </w:rPr>
        <w:t xml:space="preserve">, a primeira exposição jurídica acerca do direito ao desenvolvimento. Em um Curso sobre Direitos Humanos de Estrasburgo, em 1972, </w:t>
      </w:r>
      <w:proofErr w:type="spellStart"/>
      <w:r w:rsidRPr="005662E1">
        <w:rPr>
          <w:rFonts w:ascii="Arial" w:hAnsi="Arial" w:cs="Arial"/>
        </w:rPr>
        <w:t>Keba</w:t>
      </w:r>
      <w:proofErr w:type="spellEnd"/>
      <w:r w:rsidRPr="005662E1">
        <w:rPr>
          <w:rFonts w:ascii="Arial" w:hAnsi="Arial" w:cs="Arial"/>
        </w:rPr>
        <w:t xml:space="preserve"> pronunciou-se sobre a necessidade de afirmação do direito ao desenvolvimento. Pois, para o jurista senegalês o direito ao desenvolvimento é, para os povos, inicialmente o direito de disporem deles mesmos, de autodeterminar-se segundo a sua consciência. Em síntese, é o direito de escolher como suas próprias sociedades desenvolver-se-ão e como manterão seus estilos de vida.</w:t>
      </w:r>
      <w:r w:rsidRPr="005662E1">
        <w:rPr>
          <w:rStyle w:val="Refdenotaderodap"/>
          <w:rFonts w:ascii="Arial" w:hAnsi="Arial" w:cs="Arial"/>
        </w:rPr>
        <w:footnoteReference w:id="28"/>
      </w:r>
    </w:p>
    <w:p w14:paraId="78BA2F52"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A preocupação com o desenvolvimento enseja também o fenômeno do subdesenvolvimento que se caracterizam como processos simultâneos, que se condicionam e interagem mutuamente. No subdesenvolvimento, os países não conseguem proporcionar à população o mínimo necessário para uma sobrevivência digna implicando em desrespeito constante e, muitas vezes, grave aos direitos humanos, a democracia e, consequentemente, ao estado democrático de direitos</w:t>
      </w:r>
      <w:r w:rsidRPr="005662E1">
        <w:rPr>
          <w:rStyle w:val="ncoradanotaderodap"/>
          <w:rFonts w:ascii="Arial" w:hAnsi="Arial" w:cs="Arial"/>
        </w:rPr>
        <w:footnoteReference w:id="29"/>
      </w:r>
      <w:r w:rsidRPr="005662E1">
        <w:rPr>
          <w:rFonts w:ascii="Arial" w:hAnsi="Arial" w:cs="Arial"/>
        </w:rPr>
        <w:t xml:space="preserve">.  </w:t>
      </w:r>
    </w:p>
    <w:p w14:paraId="19B65979"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 xml:space="preserve">A busca pela superação do subdesenvolvimento comunga com a Declaração sobre o direito ao Desenvolvimento por advogar que o Estado deve procurar desenvolver uma estrutura harmônica entre a modernização econômica, política, social e a proteção dos valores sociais e direitos humanos. Essas transformações devem conciliar-se com as garantias simultâneas da liberdade de empreender, da proteção ao consumidor, do meio ambiente, do emprego, da </w:t>
      </w:r>
      <w:proofErr w:type="gramStart"/>
      <w:r w:rsidRPr="005662E1">
        <w:rPr>
          <w:rFonts w:ascii="Arial" w:hAnsi="Arial" w:cs="Arial"/>
        </w:rPr>
        <w:t>cidadania, etc.</w:t>
      </w:r>
      <w:proofErr w:type="gramEnd"/>
      <w:r w:rsidRPr="005662E1">
        <w:rPr>
          <w:rFonts w:ascii="Arial" w:hAnsi="Arial" w:cs="Arial"/>
        </w:rPr>
        <w:t xml:space="preserve"> Um Estado desenvolvido deve fundamentar sua gestão em valores e não em objetivos econômicos. O desenvolvimento econômico é o principal objeto de pesquisa em numerosos estudos por parte dos economistas e não economistas. No direito, a preocupação com o desenvolvimento tem crescido muito. A preocupação é tanto com o desenvolvimento econômico quanto o desenvolvimento </w:t>
      </w:r>
      <w:r w:rsidRPr="005662E1">
        <w:rPr>
          <w:rFonts w:ascii="Arial" w:hAnsi="Arial" w:cs="Arial"/>
          <w:i/>
          <w:iCs/>
        </w:rPr>
        <w:t>latu sensu</w:t>
      </w:r>
      <w:r w:rsidRPr="005662E1">
        <w:rPr>
          <w:rStyle w:val="ncoradanotaderodap"/>
          <w:rFonts w:ascii="Arial" w:hAnsi="Arial" w:cs="Arial"/>
        </w:rPr>
        <w:footnoteReference w:id="30"/>
      </w:r>
      <w:r w:rsidRPr="005662E1">
        <w:rPr>
          <w:rFonts w:ascii="Arial" w:hAnsi="Arial" w:cs="Arial"/>
        </w:rPr>
        <w:t xml:space="preserve">. </w:t>
      </w:r>
    </w:p>
    <w:p w14:paraId="03933407" w14:textId="77777777" w:rsidR="005662E1" w:rsidRPr="005662E1" w:rsidRDefault="005662E1" w:rsidP="005662E1">
      <w:pPr>
        <w:spacing w:after="0" w:line="360" w:lineRule="auto"/>
        <w:ind w:firstLine="708"/>
        <w:jc w:val="both"/>
        <w:rPr>
          <w:rFonts w:ascii="Arial" w:hAnsi="Arial" w:cs="Arial"/>
          <w:color w:val="70AD47" w:themeColor="accent6"/>
        </w:rPr>
      </w:pPr>
      <w:r w:rsidRPr="005662E1">
        <w:rPr>
          <w:rFonts w:ascii="Arial" w:hAnsi="Arial" w:cs="Arial"/>
        </w:rPr>
        <w:t xml:space="preserve">O desenvolvimento sustentável, </w:t>
      </w:r>
      <w:r w:rsidRPr="005662E1">
        <w:rPr>
          <w:rFonts w:ascii="Arial" w:hAnsi="Arial" w:cs="Arial"/>
          <w:i/>
        </w:rPr>
        <w:t>lato sensu,</w:t>
      </w:r>
      <w:r w:rsidRPr="005662E1">
        <w:rPr>
          <w:rFonts w:ascii="Arial" w:hAnsi="Arial" w:cs="Arial"/>
          <w:iCs/>
        </w:rPr>
        <w:t xml:space="preserve"> se constitui como movimento inovador que questiona as visões tradicionais de desenvolvimento estritamente econômico, expandindo a noção para além da economia, ou seja, incluindo as dimensões políticas, ambientais e sociais</w:t>
      </w:r>
      <w:r w:rsidRPr="005662E1">
        <w:rPr>
          <w:rFonts w:ascii="Arial" w:hAnsi="Arial" w:cs="Arial"/>
          <w:i/>
        </w:rPr>
        <w:t xml:space="preserve"> </w:t>
      </w:r>
      <w:r w:rsidRPr="005662E1">
        <w:rPr>
          <w:rFonts w:ascii="Arial" w:hAnsi="Arial" w:cs="Arial"/>
        </w:rPr>
        <w:t xml:space="preserve">trata-se de um direito inerente à pessoa e a sua dignidade. O desenvolvimento sustentável </w:t>
      </w:r>
      <w:r w:rsidRPr="005662E1">
        <w:rPr>
          <w:rFonts w:ascii="Arial" w:hAnsi="Arial" w:cs="Arial"/>
        </w:rPr>
        <w:lastRenderedPageBreak/>
        <w:t>deve acolher às necessidades atuais da sociedade civil, sem prejudicar ou pôr em risco as possibilidades de, no futuro, superar-se   pobreza respeitando-se os limites ecológicos</w:t>
      </w:r>
      <w:r w:rsidRPr="005662E1">
        <w:rPr>
          <w:rFonts w:ascii="Arial" w:hAnsi="Arial" w:cs="Arial"/>
          <w:color w:val="70AD47" w:themeColor="accent6"/>
        </w:rPr>
        <w:t xml:space="preserve">.  </w:t>
      </w:r>
    </w:p>
    <w:p w14:paraId="413FA571" w14:textId="77777777" w:rsidR="005662E1" w:rsidRPr="005662E1" w:rsidRDefault="005662E1" w:rsidP="005662E1">
      <w:pPr>
        <w:spacing w:after="0" w:line="360" w:lineRule="auto"/>
        <w:ind w:firstLine="708"/>
        <w:jc w:val="both"/>
        <w:rPr>
          <w:rFonts w:ascii="Arial" w:hAnsi="Arial" w:cs="Arial"/>
          <w:color w:val="70AD47" w:themeColor="accent6"/>
        </w:rPr>
      </w:pPr>
      <w:r w:rsidRPr="005662E1">
        <w:rPr>
          <w:rFonts w:ascii="Arial" w:hAnsi="Arial" w:cs="Arial"/>
        </w:rPr>
        <w:t>O conceito de desenvolvimento no direito é diferente do conceito estrito de crescimento da economia. Naquele é preciso conciliar as variáveis econômicas com os valores sociais, afinal a população necessita de melhor distribuição de renda e de proteção aos direitos enumerados constitucionalmente.  O crescimento sem desenvolvimento é aquele em que a modernização ocorre sem transformação nas estruturas econômicas e sociais. O desenvolvimento engloba o crescimento, superando-o qualitativamente. O desenvolvimento é considerado um direito fundamental, que deve ser respeitado, garantido e promovido pelo Estado, que é o principal formulador das políticas de desenvolvimento.</w:t>
      </w:r>
      <w:r w:rsidRPr="005662E1">
        <w:rPr>
          <w:rStyle w:val="ncoradanotaderodap"/>
          <w:rFonts w:ascii="Arial" w:hAnsi="Arial" w:cs="Arial"/>
        </w:rPr>
        <w:footnoteReference w:id="31"/>
      </w:r>
    </w:p>
    <w:p w14:paraId="41BAC308"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 xml:space="preserve">No fim do século XX, destaca-se a visão de </w:t>
      </w:r>
      <w:proofErr w:type="spellStart"/>
      <w:r w:rsidRPr="005662E1">
        <w:rPr>
          <w:rFonts w:ascii="Arial" w:hAnsi="Arial" w:cs="Arial"/>
        </w:rPr>
        <w:t>Amartia</w:t>
      </w:r>
      <w:proofErr w:type="spellEnd"/>
      <w:r w:rsidRPr="005662E1">
        <w:rPr>
          <w:rFonts w:ascii="Arial" w:hAnsi="Arial" w:cs="Arial"/>
        </w:rPr>
        <w:t xml:space="preserve"> Sem que advoga o desenvolvimento como um processo integrado de expansão das “liberdades substantivas reais”. Efetivar essas liberdades depende da excisão das </w:t>
      </w:r>
      <w:proofErr w:type="spellStart"/>
      <w:r w:rsidRPr="005662E1">
        <w:rPr>
          <w:rFonts w:ascii="Arial" w:hAnsi="Arial" w:cs="Arial"/>
        </w:rPr>
        <w:t>protofontes</w:t>
      </w:r>
      <w:proofErr w:type="spellEnd"/>
      <w:r w:rsidRPr="005662E1">
        <w:rPr>
          <w:rFonts w:ascii="Arial" w:hAnsi="Arial" w:cs="Arial"/>
        </w:rPr>
        <w:t xml:space="preserve"> de sua privação, que se encontram na pobreza, na tirania, na deficiência de conveniências econômicas, na imprevisão dos serviços públicos, na ausência de programas epidemiológicos, na ineficiência um sistema de assistência social, na fragilidade da educação, e na ausência de instituições competentes e capazes para manterem a paz social</w:t>
      </w:r>
      <w:r w:rsidRPr="005662E1">
        <w:rPr>
          <w:rStyle w:val="Refdenotaderodap"/>
          <w:rFonts w:ascii="Arial" w:hAnsi="Arial" w:cs="Arial"/>
        </w:rPr>
        <w:footnoteReference w:id="32"/>
      </w:r>
      <w:r w:rsidRPr="005662E1">
        <w:rPr>
          <w:rFonts w:ascii="Arial" w:hAnsi="Arial" w:cs="Arial"/>
        </w:rPr>
        <w:t xml:space="preserve">. </w:t>
      </w:r>
    </w:p>
    <w:p w14:paraId="34D8E1B9" w14:textId="77777777" w:rsidR="005662E1" w:rsidRPr="005662E1" w:rsidRDefault="005662E1" w:rsidP="005662E1">
      <w:pPr>
        <w:spacing w:after="0" w:line="360" w:lineRule="auto"/>
        <w:ind w:firstLine="708"/>
        <w:jc w:val="both"/>
        <w:rPr>
          <w:rFonts w:ascii="Arial" w:hAnsi="Arial" w:cs="Arial"/>
        </w:rPr>
      </w:pPr>
      <w:r w:rsidRPr="005662E1">
        <w:rPr>
          <w:rFonts w:ascii="Arial" w:hAnsi="Arial" w:cs="Arial"/>
        </w:rPr>
        <w:t xml:space="preserve">Perseguindo as dimensões dos autores da concepção do desenvolvimento sustentável, </w:t>
      </w:r>
      <w:proofErr w:type="spellStart"/>
      <w:r w:rsidRPr="005662E1">
        <w:rPr>
          <w:rFonts w:ascii="Arial" w:hAnsi="Arial" w:cs="Arial"/>
        </w:rPr>
        <w:t>Sen</w:t>
      </w:r>
      <w:proofErr w:type="spellEnd"/>
      <w:r w:rsidRPr="005662E1">
        <w:rPr>
          <w:rFonts w:ascii="Arial" w:hAnsi="Arial" w:cs="Arial"/>
        </w:rPr>
        <w:t xml:space="preserve"> propugna por três tipos de liberdade: econômica, política e social. A primeira liberdade relaciona-se com as condições de vida mínima, que quando não garantidas pelo mercado, torna-se responsabilidade do estado.  A segunda vincula-se as garantias democráticas na sociedade, enquanto a terceira relaciona-se a tolerância para com as minorias. Essas liberdades não devem ser apenas formais, mas também reais.  Para </w:t>
      </w:r>
      <w:proofErr w:type="spellStart"/>
      <w:r w:rsidRPr="005662E1">
        <w:rPr>
          <w:rFonts w:ascii="Arial" w:hAnsi="Arial" w:cs="Arial"/>
        </w:rPr>
        <w:t>Sen</w:t>
      </w:r>
      <w:proofErr w:type="spellEnd"/>
      <w:r w:rsidRPr="005662E1">
        <w:rPr>
          <w:rFonts w:ascii="Arial" w:hAnsi="Arial" w:cs="Arial"/>
        </w:rPr>
        <w:t xml:space="preserve"> a privação de uma das liberdades, pode levar à privação das demais liberdades, em um movimento deletério sancionador de um status quo amplificador das desigualdades sociais, que no nosso entender, implicaria também em uma ampliação das desigualdades regionais, quando considerado um território constituído de diferentes regionais sob o mesmo domínio político. Para Sem</w:t>
      </w:r>
      <w:r w:rsidRPr="005662E1">
        <w:rPr>
          <w:rStyle w:val="Refdenotaderodap"/>
          <w:rFonts w:ascii="Arial" w:hAnsi="Arial" w:cs="Arial"/>
        </w:rPr>
        <w:footnoteReference w:id="33"/>
      </w:r>
      <w:r w:rsidRPr="005662E1">
        <w:rPr>
          <w:rFonts w:ascii="Arial" w:hAnsi="Arial" w:cs="Arial"/>
        </w:rPr>
        <w:t>, o desenvolvimento requer:</w:t>
      </w:r>
    </w:p>
    <w:p w14:paraId="7F584B8C" w14:textId="77777777" w:rsidR="005662E1" w:rsidRPr="00553B94" w:rsidRDefault="005662E1" w:rsidP="005662E1">
      <w:pPr>
        <w:spacing w:after="0" w:line="240" w:lineRule="auto"/>
        <w:ind w:left="2268"/>
        <w:jc w:val="both"/>
        <w:rPr>
          <w:rFonts w:ascii="Arial" w:hAnsi="Arial" w:cs="Arial"/>
          <w:sz w:val="20"/>
          <w:szCs w:val="20"/>
        </w:rPr>
      </w:pPr>
      <w:r w:rsidRPr="00553B94">
        <w:rPr>
          <w:rFonts w:ascii="Arial" w:hAnsi="Arial" w:cs="Arial"/>
          <w:sz w:val="20"/>
          <w:szCs w:val="20"/>
        </w:rPr>
        <w:t xml:space="preserve">[....] que se removam as principais fontes de privação de liberdade: pobreza e tirania, carência de oportunidades econômicas e destituição social </w:t>
      </w:r>
      <w:r w:rsidRPr="00553B94">
        <w:rPr>
          <w:rFonts w:ascii="Arial" w:hAnsi="Arial" w:cs="Arial"/>
          <w:sz w:val="20"/>
          <w:szCs w:val="20"/>
        </w:rPr>
        <w:lastRenderedPageBreak/>
        <w:t xml:space="preserve">sistemática, negligência dos serviços públicos e intolerância ou interferência excessiva de Estados repressivos. </w:t>
      </w:r>
    </w:p>
    <w:p w14:paraId="795735CA" w14:textId="77777777" w:rsidR="005662E1" w:rsidRPr="005662E1" w:rsidRDefault="005662E1" w:rsidP="005662E1">
      <w:pPr>
        <w:spacing w:after="0" w:line="360" w:lineRule="auto"/>
        <w:ind w:firstLine="708"/>
        <w:jc w:val="both"/>
        <w:rPr>
          <w:rFonts w:ascii="Arial" w:hAnsi="Arial" w:cs="Arial"/>
        </w:rPr>
      </w:pPr>
    </w:p>
    <w:p w14:paraId="21B77102" w14:textId="77777777" w:rsidR="005662E1" w:rsidRPr="005662E1" w:rsidRDefault="005662E1" w:rsidP="005662E1">
      <w:pPr>
        <w:spacing w:after="0" w:line="360" w:lineRule="auto"/>
        <w:ind w:firstLine="709"/>
        <w:jc w:val="both"/>
        <w:rPr>
          <w:rFonts w:ascii="Arial" w:hAnsi="Arial" w:cs="Arial"/>
        </w:rPr>
      </w:pPr>
      <w:r w:rsidRPr="005662E1">
        <w:rPr>
          <w:rFonts w:ascii="Arial" w:eastAsia="Times New Roman" w:hAnsi="Arial" w:cs="Arial"/>
          <w:color w:val="000000"/>
          <w:lang w:eastAsia="pt-BR"/>
        </w:rPr>
        <w:t>O Pacto Internacional sobre os Direitos Econômicos, Sociais e Culturais, criado em 1966, pela Assembleia Geral das Nações Unidas se constituiu em mais uma evolução para materialização do desenvolvimento social, político e dos direitos humanos. Esse Pacto pode ser considerado como um mecanismo que possibilita a criação de condições para que os seres humanos reivindiquem e consiga desfrutar da totalidade dos seus direitos, em especial os econômicos, os sociais e culturais</w:t>
      </w:r>
      <w:r w:rsidRPr="005662E1">
        <w:rPr>
          <w:rStyle w:val="Refdenotaderodap"/>
          <w:rFonts w:ascii="Arial" w:eastAsia="Times New Roman" w:hAnsi="Arial" w:cs="Arial"/>
          <w:color w:val="000000"/>
          <w:lang w:eastAsia="pt-BR"/>
        </w:rPr>
        <w:footnoteReference w:id="34"/>
      </w:r>
      <w:r w:rsidRPr="005662E1">
        <w:rPr>
          <w:rFonts w:ascii="Arial" w:eastAsia="Times New Roman" w:hAnsi="Arial" w:cs="Arial"/>
          <w:color w:val="000000"/>
          <w:lang w:eastAsia="pt-BR"/>
        </w:rPr>
        <w:t xml:space="preserve">. O Brasil, como economia capitalista retardatária, também retardou </w:t>
      </w:r>
      <w:proofErr w:type="spellStart"/>
      <w:r w:rsidRPr="005662E1">
        <w:rPr>
          <w:rFonts w:ascii="Arial" w:eastAsia="Times New Roman" w:hAnsi="Arial" w:cs="Arial"/>
          <w:color w:val="000000"/>
          <w:lang w:eastAsia="pt-BR"/>
        </w:rPr>
        <w:t>na</w:t>
      </w:r>
      <w:proofErr w:type="spellEnd"/>
      <w:r w:rsidRPr="005662E1">
        <w:rPr>
          <w:rFonts w:ascii="Arial" w:eastAsia="Times New Roman" w:hAnsi="Arial" w:cs="Arial"/>
          <w:color w:val="000000"/>
          <w:lang w:eastAsia="pt-BR"/>
        </w:rPr>
        <w:t xml:space="preserve"> ratificação do pacto. Tal fato só ocorreu em 1992.</w:t>
      </w:r>
    </w:p>
    <w:p w14:paraId="15771F7D" w14:textId="77777777" w:rsidR="005662E1" w:rsidRPr="005662E1" w:rsidRDefault="005662E1" w:rsidP="005662E1">
      <w:pPr>
        <w:spacing w:after="0" w:line="360" w:lineRule="auto"/>
        <w:ind w:firstLine="709"/>
        <w:jc w:val="both"/>
        <w:rPr>
          <w:rFonts w:ascii="Arial" w:hAnsi="Arial" w:cs="Arial"/>
        </w:rPr>
      </w:pPr>
      <w:r w:rsidRPr="005662E1">
        <w:rPr>
          <w:rFonts w:ascii="Arial" w:eastAsia="Times New Roman" w:hAnsi="Arial" w:cs="Arial"/>
          <w:color w:val="000000"/>
          <w:lang w:eastAsia="pt-BR"/>
        </w:rPr>
        <w:t>O Pacto Internacional dos Direitos Econômicos, Sociais e Culturais, apresenta como principal desiderato, possibilitar que os dispositivos da Declaração Internacional dos Direitos Humanos, se tornem juridicamente vinculante.  Nesse sentido, preconiza a determinação da responsabilização internacional dos Estados-parte pela violação dos direitos humanos. Mas um passo no processo de constituição de um estado efetivamente social.</w:t>
      </w:r>
      <w:r w:rsidRPr="005662E1">
        <w:rPr>
          <w:rFonts w:ascii="Arial" w:hAnsi="Arial" w:cs="Arial"/>
        </w:rPr>
        <w:t xml:space="preserve"> Nos anos 1980, as relações entre direito, democracia e desenvolvimento emergem novamente no debate acadêmico ocidental. Essa nova emersão ocorre no mesmo período em que ocorrem a reação às reformas de primeira geração dos direitos humanos promovido pelos neoliberais em sua sanha por mais liberdade econômica. Embora esse movimento não se vincule direta e explicitamente a questão do direito ao desenvolvimento, contribui para a afirmação desse direito, por estudar as conexões entre direito e desenvolvimento.</w:t>
      </w:r>
    </w:p>
    <w:p w14:paraId="15FFB603" w14:textId="77777777" w:rsidR="005662E1" w:rsidRPr="005662E1" w:rsidRDefault="005662E1" w:rsidP="005662E1">
      <w:pPr>
        <w:spacing w:after="0" w:line="360" w:lineRule="auto"/>
        <w:ind w:firstLine="709"/>
        <w:jc w:val="both"/>
        <w:rPr>
          <w:rFonts w:ascii="Arial" w:hAnsi="Arial" w:cs="Arial"/>
        </w:rPr>
      </w:pPr>
      <w:r w:rsidRPr="005662E1">
        <w:rPr>
          <w:rFonts w:ascii="Arial" w:hAnsi="Arial" w:cs="Arial"/>
        </w:rPr>
        <w:t xml:space="preserve"> O direito ao desenvolvimento, como já mencionado, foi finalmente ínsito no rol dos direitos humanos fundamentais através da Resolução 41/128 da Assembleia Geral da ONU, de 1986, que perfilhou o desenvolvimento como:</w:t>
      </w:r>
    </w:p>
    <w:p w14:paraId="0DF63C07" w14:textId="77777777" w:rsidR="005662E1" w:rsidRPr="00553B94" w:rsidRDefault="005662E1" w:rsidP="005662E1">
      <w:pPr>
        <w:spacing w:after="0" w:line="240" w:lineRule="auto"/>
        <w:ind w:left="2268"/>
        <w:jc w:val="both"/>
        <w:rPr>
          <w:rFonts w:ascii="Arial" w:hAnsi="Arial" w:cs="Arial"/>
          <w:sz w:val="20"/>
          <w:szCs w:val="20"/>
        </w:rPr>
      </w:pPr>
      <w:r w:rsidRPr="00553B94">
        <w:rPr>
          <w:rFonts w:ascii="Arial" w:hAnsi="Arial" w:cs="Arial"/>
          <w:sz w:val="20"/>
          <w:szCs w:val="20"/>
        </w:rPr>
        <w:t>[...] processo econômico, social, cultural e político abrangente, que visa o constante incremento do bem-estar de toda a população e de todos os indivíduos com base em sua participação ativa, livre e significativa no desenvolvimento e na distribuição justa dos benefícios daí resultantes</w:t>
      </w:r>
      <w:r w:rsidRPr="00553B94">
        <w:rPr>
          <w:rStyle w:val="Refdenotaderodap"/>
          <w:rFonts w:ascii="Arial" w:hAnsi="Arial" w:cs="Arial"/>
          <w:sz w:val="20"/>
          <w:szCs w:val="20"/>
        </w:rPr>
        <w:footnoteReference w:id="35"/>
      </w:r>
      <w:r w:rsidRPr="00553B94">
        <w:rPr>
          <w:rFonts w:ascii="Arial" w:hAnsi="Arial" w:cs="Arial"/>
          <w:sz w:val="20"/>
          <w:szCs w:val="20"/>
        </w:rPr>
        <w:t>.</w:t>
      </w:r>
    </w:p>
    <w:p w14:paraId="3A698F17" w14:textId="77777777" w:rsidR="005662E1" w:rsidRPr="005662E1" w:rsidRDefault="005662E1" w:rsidP="005662E1">
      <w:pPr>
        <w:spacing w:after="0" w:line="240" w:lineRule="auto"/>
        <w:ind w:left="2268"/>
        <w:jc w:val="both"/>
        <w:rPr>
          <w:rFonts w:ascii="Arial" w:hAnsi="Arial" w:cs="Arial"/>
        </w:rPr>
      </w:pPr>
      <w:r w:rsidRPr="005662E1">
        <w:rPr>
          <w:rFonts w:ascii="Arial" w:hAnsi="Arial" w:cs="Arial"/>
        </w:rPr>
        <w:t xml:space="preserve"> </w:t>
      </w:r>
    </w:p>
    <w:p w14:paraId="7EA3482F" w14:textId="77777777" w:rsidR="005662E1" w:rsidRPr="005662E1" w:rsidRDefault="005662E1" w:rsidP="005662E1">
      <w:pPr>
        <w:spacing w:after="120" w:line="360" w:lineRule="auto"/>
        <w:ind w:firstLine="708"/>
        <w:jc w:val="both"/>
        <w:rPr>
          <w:rFonts w:ascii="Arial" w:hAnsi="Arial" w:cs="Arial"/>
        </w:rPr>
      </w:pPr>
      <w:r w:rsidRPr="005662E1">
        <w:rPr>
          <w:rFonts w:ascii="Arial" w:hAnsi="Arial" w:cs="Arial"/>
        </w:rPr>
        <w:lastRenderedPageBreak/>
        <w:t>O estado social é compreendido por Santos</w:t>
      </w:r>
      <w:r w:rsidRPr="005662E1">
        <w:rPr>
          <w:rStyle w:val="Refdenotaderodap"/>
          <w:rFonts w:ascii="Arial" w:hAnsi="Arial" w:cs="Arial"/>
        </w:rPr>
        <w:footnoteReference w:id="36"/>
      </w:r>
      <w:r w:rsidRPr="005662E1">
        <w:rPr>
          <w:rFonts w:ascii="Arial" w:hAnsi="Arial" w:cs="Arial"/>
        </w:rPr>
        <w:t xml:space="preserve">  como  o resultado de um compromisso histórico entre as classes trabalhadoras e os detentores do capital. Esse compromisso implica renúncia de procedimentos e ações que são geridas pelo estado. Esse fato, confere ao estado uma </w:t>
      </w:r>
      <w:proofErr w:type="spellStart"/>
      <w:r w:rsidRPr="005662E1">
        <w:rPr>
          <w:rFonts w:ascii="Arial" w:hAnsi="Arial" w:cs="Arial"/>
        </w:rPr>
        <w:t>pseudo</w:t>
      </w:r>
      <w:proofErr w:type="spellEnd"/>
      <w:r w:rsidRPr="005662E1">
        <w:rPr>
          <w:rFonts w:ascii="Arial" w:hAnsi="Arial" w:cs="Arial"/>
        </w:rPr>
        <w:t xml:space="preserve"> autonomia em relação aos interesses contraditórios envolvidos na arbitragem estatal. A tutela do estado sobre os trabalhadores e os capitalistas implica em atendimento aos interesses contraditórios na medida das negociações realizadas. Esse atendimento se materializa em políticas públicas que se traduzem num forte intervencionismo estatal na produção de bens e serviços.</w:t>
      </w:r>
    </w:p>
    <w:p w14:paraId="59152351" w14:textId="77777777" w:rsidR="005662E1" w:rsidRPr="005662E1" w:rsidRDefault="005662E1" w:rsidP="005662E1">
      <w:pPr>
        <w:spacing w:after="120" w:line="360" w:lineRule="auto"/>
        <w:ind w:firstLine="708"/>
        <w:jc w:val="both"/>
        <w:rPr>
          <w:rFonts w:ascii="Arial" w:hAnsi="Arial" w:cs="Arial"/>
        </w:rPr>
      </w:pPr>
      <w:r w:rsidRPr="005662E1">
        <w:rPr>
          <w:rFonts w:ascii="Arial" w:hAnsi="Arial" w:cs="Arial"/>
        </w:rPr>
        <w:t>As políticas sociais são, dentre as políticas públicas, as que atendem a sociedade em geral e os mais pobres em particular.  É na efetivação e garantia dessas políticas sociais como direitos que o estado social se fundamenta.  O conjunto das políticas públicas e sociais normalmente apresentam três funções básicas. Inicialmente possibilita a criação de condições para o aumento da produtividade. Secundariamente, permite que as despesas em capital social aumentem a procura interna de bens e serviços e, por fim, garante o aumento da expectativa de harmonia social, porque assentar-se na institucionalização dos conflitos entre o capital e o trabalho, além de proporcionar uma redistribuição de rendimentos a favor das classes trabalhadoras, através de salários indiretos. Além disso, fomenta o crescimento das classes médias. Esse conjunto de situações termina por criar um interesse na manutenção do sistema de relações, políticas, sociais e econômicas que tornam estáveis e duradouras a paz social</w:t>
      </w:r>
      <w:r w:rsidRPr="005662E1">
        <w:rPr>
          <w:rStyle w:val="Refdenotaderodap"/>
          <w:rFonts w:ascii="Arial" w:hAnsi="Arial" w:cs="Arial"/>
        </w:rPr>
        <w:footnoteReference w:id="37"/>
      </w:r>
      <w:r w:rsidRPr="005662E1">
        <w:rPr>
          <w:rFonts w:ascii="Arial" w:hAnsi="Arial" w:cs="Arial"/>
        </w:rPr>
        <w:t>.</w:t>
      </w:r>
    </w:p>
    <w:p w14:paraId="1AF8B82A" w14:textId="77777777" w:rsidR="005662E1" w:rsidRPr="005662E1" w:rsidRDefault="005662E1" w:rsidP="005662E1">
      <w:pPr>
        <w:spacing w:after="120" w:line="360" w:lineRule="auto"/>
        <w:ind w:firstLine="708"/>
        <w:jc w:val="both"/>
        <w:rPr>
          <w:rFonts w:ascii="Arial" w:hAnsi="Arial" w:cs="Arial"/>
        </w:rPr>
      </w:pPr>
    </w:p>
    <w:p w14:paraId="52BDDFA6" w14:textId="77777777" w:rsidR="005662E1" w:rsidRPr="005662E1" w:rsidRDefault="005662E1" w:rsidP="005662E1">
      <w:pPr>
        <w:pStyle w:val="Recuodecorpodetexto"/>
        <w:numPr>
          <w:ilvl w:val="0"/>
          <w:numId w:val="1"/>
        </w:numPr>
        <w:spacing w:after="0" w:line="360" w:lineRule="auto"/>
        <w:jc w:val="both"/>
        <w:rPr>
          <w:rFonts w:ascii="Arial" w:hAnsi="Arial" w:cs="Arial"/>
          <w:b/>
          <w:bCs/>
        </w:rPr>
      </w:pPr>
      <w:r w:rsidRPr="005662E1">
        <w:rPr>
          <w:rFonts w:ascii="Arial" w:hAnsi="Arial" w:cs="Arial"/>
          <w:b/>
          <w:bCs/>
        </w:rPr>
        <w:t>O NEOLIBERALISMO: ORIGENS E ASCENSÃO</w:t>
      </w:r>
    </w:p>
    <w:p w14:paraId="5939CC94" w14:textId="77777777" w:rsidR="005662E1" w:rsidRPr="005662E1" w:rsidRDefault="005662E1" w:rsidP="005662E1">
      <w:pPr>
        <w:pStyle w:val="Recuodecorpodetexto"/>
        <w:spacing w:line="360" w:lineRule="auto"/>
        <w:ind w:left="705"/>
        <w:jc w:val="both"/>
        <w:rPr>
          <w:rFonts w:ascii="Arial" w:hAnsi="Arial" w:cs="Arial"/>
        </w:rPr>
      </w:pPr>
    </w:p>
    <w:p w14:paraId="06BF60DE"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 xml:space="preserve">O neoliberalismo emergiu como uma reação ao estado mais interventor, mais social que se estruturava desde a grande depressão de 1929.  A crise impulsionou diversos estados a realizarem amplos investimentos econômicos e sociais no intuito de mitigar os efeitos perversos da depressão econômica mundial. Exsurgiu depois da Segunda guerra mundial, </w:t>
      </w:r>
      <w:r w:rsidRPr="005662E1">
        <w:rPr>
          <w:rFonts w:ascii="Arial" w:hAnsi="Arial" w:cs="Arial"/>
        </w:rPr>
        <w:lastRenderedPageBreak/>
        <w:t xml:space="preserve">como oposição crítica ao pensamento intervencionista e Keynesiana que se materializava nas políticas econômicos anticíclicas dos diversos governos na Europa e nos Estados Unidos.  Essa reação teórica e política tem sua origem acadêmica na contribuição do economista austríaco Friedrich Hayek, por meio do livro </w:t>
      </w:r>
      <w:r w:rsidRPr="005662E1">
        <w:rPr>
          <w:rFonts w:ascii="Arial" w:hAnsi="Arial" w:cs="Arial"/>
          <w:iCs/>
        </w:rPr>
        <w:t>“O Caminho da Servidão</w:t>
      </w:r>
      <w:r w:rsidRPr="005662E1">
        <w:rPr>
          <w:rFonts w:ascii="Arial" w:hAnsi="Arial" w:cs="Arial"/>
          <w:i/>
        </w:rPr>
        <w:t xml:space="preserve">” </w:t>
      </w:r>
      <w:r w:rsidRPr="005662E1">
        <w:rPr>
          <w:rFonts w:ascii="Arial" w:hAnsi="Arial" w:cs="Arial"/>
        </w:rPr>
        <w:t>publicado em 1944, no qual atacava ferozmente toda e qualquer intervenção do governo na economia.</w:t>
      </w:r>
    </w:p>
    <w:p w14:paraId="10033FE1"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 xml:space="preserve">No ano de 1947, Hayek reuniu na Suíça, um grupo de pensadores, fundando a Sociedade de </w:t>
      </w:r>
      <w:proofErr w:type="spellStart"/>
      <w:r w:rsidRPr="005662E1">
        <w:rPr>
          <w:rFonts w:ascii="Arial" w:hAnsi="Arial" w:cs="Arial"/>
        </w:rPr>
        <w:t>Mont</w:t>
      </w:r>
      <w:proofErr w:type="spellEnd"/>
      <w:r w:rsidRPr="005662E1">
        <w:rPr>
          <w:rFonts w:ascii="Arial" w:hAnsi="Arial" w:cs="Arial"/>
        </w:rPr>
        <w:t xml:space="preserve"> </w:t>
      </w:r>
      <w:proofErr w:type="spellStart"/>
      <w:r w:rsidRPr="005662E1">
        <w:rPr>
          <w:rFonts w:ascii="Arial" w:hAnsi="Arial" w:cs="Arial"/>
        </w:rPr>
        <w:t>Pèlerin</w:t>
      </w:r>
      <w:proofErr w:type="spellEnd"/>
      <w:r w:rsidRPr="005662E1">
        <w:rPr>
          <w:rFonts w:ascii="Arial" w:hAnsi="Arial" w:cs="Arial"/>
        </w:rPr>
        <w:t xml:space="preserve">. </w:t>
      </w:r>
      <w:proofErr w:type="spellStart"/>
      <w:r w:rsidRPr="005662E1">
        <w:rPr>
          <w:rFonts w:ascii="Arial" w:hAnsi="Arial" w:cs="Arial"/>
          <w:lang w:val="en-US"/>
        </w:rPr>
        <w:t>Destacavam</w:t>
      </w:r>
      <w:proofErr w:type="spellEnd"/>
      <w:r w:rsidRPr="005662E1">
        <w:rPr>
          <w:rFonts w:ascii="Arial" w:hAnsi="Arial" w:cs="Arial"/>
          <w:lang w:val="en-US"/>
        </w:rPr>
        <w:t xml:space="preserve">-se </w:t>
      </w:r>
      <w:proofErr w:type="spellStart"/>
      <w:r w:rsidRPr="005662E1">
        <w:rPr>
          <w:rFonts w:ascii="Arial" w:hAnsi="Arial" w:cs="Arial"/>
          <w:lang w:val="en-US"/>
        </w:rPr>
        <w:t>nesse</w:t>
      </w:r>
      <w:proofErr w:type="spellEnd"/>
      <w:r w:rsidRPr="005662E1">
        <w:rPr>
          <w:rFonts w:ascii="Arial" w:hAnsi="Arial" w:cs="Arial"/>
          <w:lang w:val="en-US"/>
        </w:rPr>
        <w:t xml:space="preserve"> </w:t>
      </w:r>
      <w:proofErr w:type="spellStart"/>
      <w:r w:rsidRPr="005662E1">
        <w:rPr>
          <w:rFonts w:ascii="Arial" w:hAnsi="Arial" w:cs="Arial"/>
          <w:lang w:val="en-US"/>
        </w:rPr>
        <w:t>grupo</w:t>
      </w:r>
      <w:proofErr w:type="spellEnd"/>
      <w:r w:rsidRPr="005662E1">
        <w:rPr>
          <w:rFonts w:ascii="Arial" w:hAnsi="Arial" w:cs="Arial"/>
          <w:lang w:val="en-US"/>
        </w:rPr>
        <w:t xml:space="preserve"> </w:t>
      </w:r>
      <w:proofErr w:type="spellStart"/>
      <w:r w:rsidRPr="005662E1">
        <w:rPr>
          <w:rFonts w:ascii="Arial" w:hAnsi="Arial" w:cs="Arial"/>
          <w:lang w:val="en-US"/>
        </w:rPr>
        <w:t>os</w:t>
      </w:r>
      <w:proofErr w:type="spellEnd"/>
      <w:r w:rsidRPr="005662E1">
        <w:rPr>
          <w:rFonts w:ascii="Arial" w:hAnsi="Arial" w:cs="Arial"/>
          <w:lang w:val="en-US"/>
        </w:rPr>
        <w:t xml:space="preserve"> </w:t>
      </w:r>
      <w:proofErr w:type="spellStart"/>
      <w:r w:rsidRPr="005662E1">
        <w:rPr>
          <w:rFonts w:ascii="Arial" w:hAnsi="Arial" w:cs="Arial"/>
          <w:lang w:val="en-US"/>
        </w:rPr>
        <w:t>acadêmicos</w:t>
      </w:r>
      <w:proofErr w:type="spellEnd"/>
      <w:r w:rsidRPr="005662E1">
        <w:rPr>
          <w:rFonts w:ascii="Arial" w:hAnsi="Arial" w:cs="Arial"/>
          <w:lang w:val="en-US"/>
        </w:rPr>
        <w:t xml:space="preserve">, Milton Friedman, Karl Popper, </w:t>
      </w:r>
      <w:proofErr w:type="spellStart"/>
      <w:r w:rsidRPr="005662E1">
        <w:rPr>
          <w:rFonts w:ascii="Arial" w:hAnsi="Arial" w:cs="Arial"/>
          <w:lang w:val="en-US"/>
        </w:rPr>
        <w:t>Lieonel</w:t>
      </w:r>
      <w:proofErr w:type="spellEnd"/>
      <w:r w:rsidRPr="005662E1">
        <w:rPr>
          <w:rFonts w:ascii="Arial" w:hAnsi="Arial" w:cs="Arial"/>
          <w:lang w:val="en-US"/>
        </w:rPr>
        <w:t xml:space="preserve"> Robbins, </w:t>
      </w:r>
      <w:proofErr w:type="spellStart"/>
      <w:r w:rsidRPr="005662E1">
        <w:rPr>
          <w:rFonts w:ascii="Arial" w:hAnsi="Arial" w:cs="Arial"/>
          <w:lang w:val="en-US"/>
        </w:rPr>
        <w:t>Ludwing</w:t>
      </w:r>
      <w:proofErr w:type="spellEnd"/>
      <w:r w:rsidRPr="005662E1">
        <w:rPr>
          <w:rFonts w:ascii="Arial" w:hAnsi="Arial" w:cs="Arial"/>
          <w:lang w:val="en-US"/>
        </w:rPr>
        <w:t xml:space="preserve"> Von Mises, Walter </w:t>
      </w:r>
      <w:proofErr w:type="spellStart"/>
      <w:r w:rsidRPr="005662E1">
        <w:rPr>
          <w:rFonts w:ascii="Arial" w:hAnsi="Arial" w:cs="Arial"/>
          <w:lang w:val="en-US"/>
        </w:rPr>
        <w:t>Eupken</w:t>
      </w:r>
      <w:proofErr w:type="spellEnd"/>
      <w:r w:rsidRPr="005662E1">
        <w:rPr>
          <w:rFonts w:ascii="Arial" w:hAnsi="Arial" w:cs="Arial"/>
          <w:lang w:val="en-US"/>
        </w:rPr>
        <w:t xml:space="preserve">, Walter Lipman, Michael Polanyi, </w:t>
      </w:r>
      <w:proofErr w:type="spellStart"/>
      <w:r w:rsidRPr="005662E1">
        <w:rPr>
          <w:rFonts w:ascii="Arial" w:hAnsi="Arial" w:cs="Arial"/>
          <w:lang w:val="en-US"/>
        </w:rPr>
        <w:t>dentre</w:t>
      </w:r>
      <w:proofErr w:type="spellEnd"/>
      <w:r w:rsidRPr="005662E1">
        <w:rPr>
          <w:rFonts w:ascii="Arial" w:hAnsi="Arial" w:cs="Arial"/>
          <w:lang w:val="en-US"/>
        </w:rPr>
        <w:t xml:space="preserve"> outros.  </w:t>
      </w:r>
      <w:r w:rsidRPr="005662E1">
        <w:rPr>
          <w:rFonts w:ascii="Arial" w:hAnsi="Arial" w:cs="Arial"/>
        </w:rPr>
        <w:t>Esta sociedade tinha como desígnio arguir contra o keynesianismo que avançava na academia e na política desde a crise de 1929</w:t>
      </w:r>
      <w:r w:rsidRPr="005662E1">
        <w:rPr>
          <w:rStyle w:val="Refdenotaderodap"/>
          <w:rFonts w:ascii="Arial" w:hAnsi="Arial" w:cs="Arial"/>
        </w:rPr>
        <w:footnoteReference w:id="38"/>
      </w:r>
      <w:r w:rsidRPr="005662E1">
        <w:rPr>
          <w:rFonts w:ascii="Arial" w:hAnsi="Arial" w:cs="Arial"/>
        </w:rPr>
        <w:t>.</w:t>
      </w:r>
    </w:p>
    <w:p w14:paraId="1698CFE7"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A constituição dessa sociedade de pensadores não logrou êxito no curto prazo, dado que o capitalismo, sobre a égide do keynesianismo, crescia significativamente no pós-segunda grande guerra. Somente na década de 1970, quando se tornou perceptível a crise do Fordismo e a ascensão da acumulação flexível é que as concepções neoliberais adquiriram adeptos nas universidades, na política, nos governos. O processo de ascensão da acumulação flexível evidencia-se como solução para a crise do sistema, que possuía no fordismo seu padrão de produção</w:t>
      </w:r>
      <w:r w:rsidRPr="005662E1">
        <w:rPr>
          <w:rStyle w:val="Refdenotaderodap"/>
          <w:rFonts w:ascii="Arial" w:hAnsi="Arial" w:cs="Arial"/>
        </w:rPr>
        <w:footnoteReference w:id="39"/>
      </w:r>
      <w:r w:rsidRPr="005662E1">
        <w:rPr>
          <w:rFonts w:ascii="Arial" w:hAnsi="Arial" w:cs="Arial"/>
        </w:rPr>
        <w:t>. A explicação para a crise do sistema segundo os neoliberais se estabelecia no poder excessivo dos sindicatos e no movimento do operariado que ao garantir a ampliação dos direitos sociais, tinham promovido a corrosão da lucratividade das empresas.</w:t>
      </w:r>
    </w:p>
    <w:p w14:paraId="62A7B778"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 xml:space="preserve">A nova crise capitalista emergiu no fim dos anos 1960 e materializava-se nos anos 1970, via crise do dólar, choques do petróleo etc. A solução para os neoliberais constituía-se na redução radical do estado e em um governo forte.  No entanto, essa redução do Estado não se coadunava nos limites defendidos pelo liberalismo clássico. Deveria ser mais profunda. Se constituía no afastamento total do estado, não somente das atividades econômicas, mas também da regulamentação dessas atividades. Os neoliberais propunham reduções que </w:t>
      </w:r>
      <w:r w:rsidRPr="005662E1">
        <w:rPr>
          <w:rFonts w:ascii="Arial" w:hAnsi="Arial" w:cs="Arial"/>
        </w:rPr>
        <w:lastRenderedPageBreak/>
        <w:t xml:space="preserve">afetavam a terceira função do estado na concepção defendida por Smith.  Quanto ao governo forte, deveria sê-lo, mas somente no sentido de controlar e romper o poder dos sindicatos, de controlar estritamente a emissão de dinheiro, de controlar e diminuir os gastos sociais. As propostas neoliberais foram paulatinamente sendo impostas, devido a incapacidade política e técnica que os defensores do intervencionismo apresentaram na defesa de suas propostas. Além do mais os elementos da crise (queda da lucratividade, declínio do crescimento econômico, endividamento do Estado etc.) pressionavam por soluções urgentes. </w:t>
      </w:r>
    </w:p>
    <w:p w14:paraId="377E408A"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 xml:space="preserve">A hegemonia do Neoliberalismo não se construiu do dia para a noite, mas iniciou-se com a experiencia chilena em 1976, com o golpe militar de Pinochet, que implementou as primeiras políticas neoliberais com apoio dos Chicago boys. Posteriormente a ascensão de Margareth Thatcher na Inglaterra em 1979, de Reagan no E.U.A em 1980, de Helmut </w:t>
      </w:r>
      <w:proofErr w:type="spellStart"/>
      <w:r w:rsidRPr="005662E1">
        <w:rPr>
          <w:rFonts w:ascii="Arial" w:hAnsi="Arial" w:cs="Arial"/>
        </w:rPr>
        <w:t>Khol</w:t>
      </w:r>
      <w:proofErr w:type="spellEnd"/>
      <w:r w:rsidRPr="005662E1">
        <w:rPr>
          <w:rFonts w:ascii="Arial" w:hAnsi="Arial" w:cs="Arial"/>
        </w:rPr>
        <w:t xml:space="preserve"> (1982) na Alemanha fortaleceram o movimento neoliberal. Em diversos outros países os partidos de direita vinculados a concepção neoliberal assumiram paulatinamente o poder a partir da década de 1980.  O neoliberalismo estadunidense se constituiu muito mais fortemente do que na Europa. Este fato se deve a existência do </w:t>
      </w:r>
      <w:r w:rsidRPr="005662E1">
        <w:rPr>
          <w:rFonts w:ascii="Arial" w:hAnsi="Arial" w:cs="Arial"/>
          <w:i/>
          <w:iCs/>
        </w:rPr>
        <w:t xml:space="preserve">Welfare </w:t>
      </w:r>
      <w:proofErr w:type="spellStart"/>
      <w:r w:rsidRPr="005662E1">
        <w:rPr>
          <w:rFonts w:ascii="Arial" w:hAnsi="Arial" w:cs="Arial"/>
          <w:i/>
          <w:iCs/>
        </w:rPr>
        <w:t>State</w:t>
      </w:r>
      <w:proofErr w:type="spellEnd"/>
      <w:r w:rsidRPr="005662E1">
        <w:rPr>
          <w:rFonts w:ascii="Arial" w:hAnsi="Arial" w:cs="Arial"/>
        </w:rPr>
        <w:t xml:space="preserve"> europeu que atenuou o impacto de desestruturação econômica e social promovida pelo neoliberalismo. É importante destacar que não foi Keynes que criou o </w:t>
      </w:r>
      <w:r w:rsidRPr="005662E1">
        <w:rPr>
          <w:rFonts w:ascii="Arial" w:hAnsi="Arial" w:cs="Arial"/>
          <w:i/>
          <w:iCs/>
        </w:rPr>
        <w:t xml:space="preserve">Welfare </w:t>
      </w:r>
      <w:proofErr w:type="spellStart"/>
      <w:r w:rsidRPr="005662E1">
        <w:rPr>
          <w:rFonts w:ascii="Arial" w:hAnsi="Arial" w:cs="Arial"/>
          <w:i/>
          <w:iCs/>
        </w:rPr>
        <w:t>State</w:t>
      </w:r>
      <w:proofErr w:type="spellEnd"/>
      <w:r w:rsidRPr="005662E1">
        <w:rPr>
          <w:rFonts w:ascii="Arial" w:hAnsi="Arial" w:cs="Arial"/>
        </w:rPr>
        <w:t xml:space="preserve">. Ele simplesmente legitimou de forma parcial, embora abrangente, as medidas sociais mediante suas posições quanto ao processo de intervenção do Governo na dimensão econômica. Afinal à expressão Estado do Bem-estar “foi forjada por economistas e homens políticos hostis a qualquer proteção social dos operários da indústria, na segunda metade do século XIX” </w:t>
      </w:r>
      <w:r w:rsidRPr="005662E1">
        <w:rPr>
          <w:rStyle w:val="Refdenotaderodap"/>
          <w:rFonts w:ascii="Arial" w:hAnsi="Arial" w:cs="Arial"/>
        </w:rPr>
        <w:footnoteReference w:id="40"/>
      </w:r>
      <w:r w:rsidRPr="005662E1">
        <w:rPr>
          <w:rFonts w:ascii="Arial" w:hAnsi="Arial" w:cs="Arial"/>
        </w:rPr>
        <w:t xml:space="preserve">.  </w:t>
      </w:r>
    </w:p>
    <w:p w14:paraId="64C3EED5"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 xml:space="preserve">Os países latino-americanos, asiáticos e africanos implementaram políticas neoliberais, tornando o Neoliberalismo hegemônico enquanto ideologia. Na América Latina, após a experiencia chilena, o neoliberalismo continuará se expandindo no México com o governo Salinas, na Argentina de </w:t>
      </w:r>
      <w:proofErr w:type="spellStart"/>
      <w:r w:rsidRPr="005662E1">
        <w:rPr>
          <w:rFonts w:ascii="Arial" w:hAnsi="Arial" w:cs="Arial"/>
        </w:rPr>
        <w:t>Menén</w:t>
      </w:r>
      <w:proofErr w:type="spellEnd"/>
      <w:r w:rsidRPr="005662E1">
        <w:rPr>
          <w:rFonts w:ascii="Arial" w:hAnsi="Arial" w:cs="Arial"/>
        </w:rPr>
        <w:t xml:space="preserve">, na Venezuela de Perez, no Peru com Fujimori e no Brasil com Fernando Collor de Melo. </w:t>
      </w:r>
    </w:p>
    <w:p w14:paraId="58BFAE3B"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 xml:space="preserve">As concepções neoliberais, disseminadas no fim do século XX, preconizava não somente a saída do Estado de todas as atividades produtivas e intervencionistas, mas </w:t>
      </w:r>
      <w:r w:rsidRPr="005662E1">
        <w:rPr>
          <w:rFonts w:ascii="Arial" w:hAnsi="Arial" w:cs="Arial"/>
        </w:rPr>
        <w:lastRenderedPageBreak/>
        <w:t>também um processo privatização e de desregulamentação generalizado. O processo de privatização se justificava devido à grande participação do Estado na Economia no período pré-1980, no período nacional desenvolvimentista, enquanto a desregulamentação beneficiaria a “liberdade” de atuação das empresas privadas, estimulando-as ao investimento, e consequentemente ao crescimento econômico.</w:t>
      </w:r>
    </w:p>
    <w:p w14:paraId="6B3AD60C"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Se o liberalismo se constituiu como um movimento revolucionário ao colaborar para com a ruína do feudalismo e ascensão de um novo modo de produção, o neoliberalismo não apresentou as mesmas características. Diversas contradições são inerentes a teoria e a prática política dos neoliberais. Os argumentos de Friedman sobre a liberdade, direcionam-se na defesa desta como o elemento fundamental da ordem Capitalista. Para preservar a liberdade, os neoliberais propõem a limitação e descentralização do poder do governo. A liberdade é enfatizada na sua dimensão econômica, subordinando a dimensão política.</w:t>
      </w:r>
    </w:p>
    <w:p w14:paraId="2D34E296"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O liberalismo clássico estimulava a liberdade política que possibilitava a democracia, defendendo a limitação do poder do soberano e a liberdade econômica como corolário da liberdade política. Quanto ao neoliberalismo aproxima-se dos regimes ditatoriais, embora defendesse que a “liberdade econômica é também um instrumento indispensável para a obtenção da liberdade política,”</w:t>
      </w:r>
      <w:r w:rsidRPr="005662E1">
        <w:rPr>
          <w:rStyle w:val="Refdenotaderodap"/>
          <w:rFonts w:ascii="Arial" w:hAnsi="Arial" w:cs="Arial"/>
        </w:rPr>
        <w:footnoteReference w:id="41"/>
      </w:r>
      <w:r w:rsidRPr="005662E1">
        <w:rPr>
          <w:rFonts w:ascii="Arial" w:hAnsi="Arial" w:cs="Arial"/>
        </w:rPr>
        <w:t xml:space="preserve"> em uma lógica inversa ao liberalismo. Os neoliberais não percebem ou não querem perceber, que a liberdade econômica exagerada tende a promover a concentração de poder econômico e, consequentemente, o político, fomentando situação de não liberdade para os que não detém poder econômico. A preponderância da dimensão econômica sobre a política, coexiste e se ratifica com a aceitação de regimes ditatórias ou autoritários, quando necessários para a manutenção da liberdade econômica. Esse fato se exemplifica claramente pela aproximação de Milton Fridman e dos Chicago </w:t>
      </w:r>
      <w:r w:rsidRPr="005662E1">
        <w:rPr>
          <w:rFonts w:ascii="Arial" w:hAnsi="Arial" w:cs="Arial"/>
          <w:i/>
          <w:iCs/>
        </w:rPr>
        <w:t>boys,</w:t>
      </w:r>
      <w:r w:rsidRPr="005662E1">
        <w:rPr>
          <w:rFonts w:ascii="Arial" w:hAnsi="Arial" w:cs="Arial"/>
        </w:rPr>
        <w:t xml:space="preserve"> renitentes neoliberais, com a ditadura de Pinochet. Além disso, os neoliberais exerceram cargos importantes nos governos autoritários de Thatcher, Regan, Collor e, atualmente, no governo Bolsonaro.</w:t>
      </w:r>
    </w:p>
    <w:p w14:paraId="54A49F7C"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 xml:space="preserve">Quando se colabora com um regime ditatorial, corrompe-se a tão magníloqua defesa da liberdade realizada pelos neoliberais. Mas a aquiescência com a ditadura talvez se deva </w:t>
      </w:r>
      <w:r w:rsidRPr="005662E1">
        <w:rPr>
          <w:rFonts w:ascii="Arial" w:hAnsi="Arial" w:cs="Arial"/>
        </w:rPr>
        <w:lastRenderedPageBreak/>
        <w:t>ao fato de que o (</w:t>
      </w:r>
      <w:proofErr w:type="spellStart"/>
      <w:r w:rsidRPr="005662E1">
        <w:rPr>
          <w:rFonts w:ascii="Arial" w:hAnsi="Arial" w:cs="Arial"/>
        </w:rPr>
        <w:t>neo</w:t>
      </w:r>
      <w:proofErr w:type="spellEnd"/>
      <w:r w:rsidRPr="005662E1">
        <w:rPr>
          <w:rFonts w:ascii="Arial" w:hAnsi="Arial" w:cs="Arial"/>
        </w:rPr>
        <w:t>) “liberal consistente não é um anarquista”</w:t>
      </w:r>
      <w:r w:rsidRPr="005662E1">
        <w:rPr>
          <w:rStyle w:val="Refdenotaderodap"/>
          <w:rFonts w:ascii="Arial" w:hAnsi="Arial" w:cs="Arial"/>
        </w:rPr>
        <w:footnoteReference w:id="42"/>
      </w:r>
      <w:r w:rsidRPr="005662E1">
        <w:rPr>
          <w:rFonts w:ascii="Arial" w:hAnsi="Arial" w:cs="Arial"/>
        </w:rPr>
        <w:t xml:space="preserve"> e, consequentemente, a liberdade tão defendida é circunscrita a sua dimensão política se sua dimensão econômica for ameaçada pela primeira. A liberdade econômica assume a preponderância sobre a liberdade política, em outras palavras, em primeiro lugar os lucros e, marginalmente, os direitos políticos. O Desenvolvimento seria alcançado pela plena liberdade econômica cedida ao indivíduo, não um indivíduo qualquer, mas àqueles que detém o poder econômico. Nesse sentido, a liberdade econômica implicaria em mais lucro, mais acumulação de capital e, por consequência, mais desenvolvimento, tanto econômico quanto social.  Sem a liberdade econômica plena não ocorreria desenvolvimento.  A liberdade política é irrelevante para o desenvolvimento na concepção neoliberal.</w:t>
      </w:r>
    </w:p>
    <w:p w14:paraId="5E5D6E71"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Quando o desenvolvimento não ocorre, a receita neoliberal consiste em reduzir a presença do estado e ampliar as liberdades econômicas dos detentores do capital. Se mesmo com a implantação das políticas neoliberais o desenvolvimento não ocorre, os neoliberais atribuem o não desenvolvimento a insuficiência de políticas neoliberais.  Nesse diapasão é possível diagnosticar que o neoliberalismo padece de uma síndrome de imunidade autoatribuída</w:t>
      </w:r>
      <w:r w:rsidRPr="005662E1">
        <w:rPr>
          <w:rStyle w:val="Refdenotaderodap"/>
          <w:rFonts w:ascii="Arial" w:hAnsi="Arial" w:cs="Arial"/>
        </w:rPr>
        <w:footnoteReference w:id="43"/>
      </w:r>
      <w:r w:rsidRPr="005662E1">
        <w:rPr>
          <w:rFonts w:ascii="Arial" w:hAnsi="Arial" w:cs="Arial"/>
        </w:rPr>
        <w:t xml:space="preserve"> ao não aceitar a ineficácia das políticas implementadas e, recorrentemente, insistir na insuficiência da dosagem do remédio (políticas neoliberais), tornando-se necessário mais liberdade de mercado.</w:t>
      </w:r>
    </w:p>
    <w:p w14:paraId="5712B17F"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 xml:space="preserve">As consequências da acentuação das políticas neoliberais a partir da década de 1970 nos países desenvolvidos e na década seguinte nos países em desenvolvimento, afetaram abruptamente o mercado de trabalho e reduziram o desenvolvimento social e econômico desses países. Ao culpar o poder excessivo dos sindicatos e dos trabalhadores pela crise econômica, os neoliberais procuraram implementar políticas que solucionam o problema dos capitalistas, a redução nos lucros no curto prazo, em detrimento da queda nos índices de desenvolvimento humano e a expansão dos óbices a realização dos direitos humanos. A flexibilização da produção e das relações de trabalho provoca a diminuição dos salários reais dos trabalhadores, promove-se a contração no consumo e, consequentemente, das vendas, </w:t>
      </w:r>
      <w:r w:rsidRPr="005662E1">
        <w:rPr>
          <w:rFonts w:ascii="Arial" w:hAnsi="Arial" w:cs="Arial"/>
        </w:rPr>
        <w:lastRenderedPageBreak/>
        <w:t xml:space="preserve">da produção etc. Cria-se assim uma espiral viciosa, na qual os trabalhadores são os que mais perdem, pois se evaporam os salários, qualidade e postos de trabalhos corroendo-se o estado de direito, os direitos humanos e o desenvolvimento socioeconômico da nação. O resultado das políticas neoliberais consiste sempre em redução dos salários, aumento do desemprego, precarização dos postos de trabalho, </w:t>
      </w:r>
      <w:proofErr w:type="spellStart"/>
      <w:r w:rsidRPr="005662E1">
        <w:rPr>
          <w:rFonts w:ascii="Arial" w:hAnsi="Arial" w:cs="Arial"/>
        </w:rPr>
        <w:t>desassalariamento</w:t>
      </w:r>
      <w:proofErr w:type="spellEnd"/>
      <w:r w:rsidRPr="005662E1">
        <w:rPr>
          <w:rFonts w:ascii="Arial" w:hAnsi="Arial" w:cs="Arial"/>
        </w:rPr>
        <w:t>, crescimento do trabalho em tempo parcial, precário, intermitente,</w:t>
      </w:r>
      <w:r w:rsidRPr="005662E1">
        <w:rPr>
          <w:rStyle w:val="Refdenotaderodap"/>
          <w:rFonts w:ascii="Arial" w:hAnsi="Arial" w:cs="Arial"/>
        </w:rPr>
        <w:footnoteReference w:id="44"/>
      </w:r>
      <w:r w:rsidRPr="005662E1">
        <w:rPr>
          <w:rFonts w:ascii="Arial" w:hAnsi="Arial" w:cs="Arial"/>
        </w:rPr>
        <w:t xml:space="preserve"> etc. (POCHMANN, 1999), em síntese, corrosão do estado democrático de direito e do desenvolvimento inerente ao mesmo.</w:t>
      </w:r>
    </w:p>
    <w:p w14:paraId="5F1C3A19" w14:textId="77777777" w:rsidR="00553B94" w:rsidRDefault="005662E1" w:rsidP="00553B94">
      <w:pPr>
        <w:pStyle w:val="Recuodecorpodetexto"/>
        <w:spacing w:line="360" w:lineRule="auto"/>
        <w:ind w:left="0" w:firstLine="705"/>
        <w:jc w:val="both"/>
        <w:rPr>
          <w:rFonts w:ascii="Arial" w:hAnsi="Arial" w:cs="Arial"/>
        </w:rPr>
      </w:pPr>
      <w:r w:rsidRPr="005662E1">
        <w:rPr>
          <w:rFonts w:ascii="Arial" w:hAnsi="Arial" w:cs="Arial"/>
        </w:rPr>
        <w:t xml:space="preserve">O livre comércio, defendido pelos liberais clássicos, exsurgiu para os neoliberais como dogma inquestionável e defendido como imperativo para o desenvolvimento econômico e social. Divergente dos liberais que defendiam investimentos estatais estratégicos para o desenvolvimento da nação, os neoliberais propugnavam a liberdade econômica plena, principalmente do comércio, sem considerar os níveis de produtividade local e a real capacidade de concorrência dos produtores locais. </w:t>
      </w:r>
    </w:p>
    <w:p w14:paraId="2FB52D18" w14:textId="6E5572A6" w:rsidR="005662E1" w:rsidRPr="005662E1" w:rsidRDefault="005662E1" w:rsidP="00553B94">
      <w:pPr>
        <w:pStyle w:val="Recuodecorpodetexto"/>
        <w:spacing w:line="360" w:lineRule="auto"/>
        <w:ind w:left="0" w:firstLine="705"/>
        <w:jc w:val="both"/>
        <w:rPr>
          <w:rFonts w:ascii="Arial" w:hAnsi="Arial" w:cs="Arial"/>
        </w:rPr>
      </w:pPr>
      <w:r w:rsidRPr="005662E1">
        <w:rPr>
          <w:rFonts w:ascii="Arial" w:hAnsi="Arial" w:cs="Arial"/>
        </w:rPr>
        <w:t>A abertura comercial que proporcionava o livre comercio impulsionou uma concorrência que levou as empresas a reduzirem os custos, especialmente com salários, no âmbito global, implicando em queda da massa salarial e consumo, gerando um espiral vicioso que levava as empresas a buscarem mais produtividade, com menores custos, impactando sempre nos salários</w:t>
      </w:r>
      <w:r w:rsidRPr="005662E1">
        <w:rPr>
          <w:rStyle w:val="Refdenotaderodap"/>
          <w:rFonts w:ascii="Arial" w:hAnsi="Arial" w:cs="Arial"/>
        </w:rPr>
        <w:footnoteReference w:id="45"/>
      </w:r>
      <w:r w:rsidRPr="005662E1">
        <w:rPr>
          <w:rFonts w:ascii="Arial" w:hAnsi="Arial" w:cs="Arial"/>
        </w:rPr>
        <w:t>. Para o sociólogo espanhol Manuel Castells essa abertura comercial e o impulso ao livre mercado ocorrido nos anos 1980 contou com a participação ativa do estado, que se constituiu no articulador mais ativo do processo de globalização e restruturação produtiva. Evidente que esse papel exercido pelo estado se deve ao fato do mesmo ser hegemonicamente controlado pelos agentes do capital produtivo, e principalmente financeiro-especulativo.  Esse controle exercido pelos agentes do capital faz com que o “estado de hoje (seja) mais vigiado do que vigilante”</w:t>
      </w:r>
      <w:r w:rsidRPr="005662E1">
        <w:rPr>
          <w:rStyle w:val="Refdenotaderodap"/>
          <w:rFonts w:ascii="Arial" w:hAnsi="Arial" w:cs="Arial"/>
        </w:rPr>
        <w:footnoteReference w:id="46"/>
      </w:r>
      <w:r w:rsidRPr="005662E1">
        <w:rPr>
          <w:rFonts w:ascii="Arial" w:hAnsi="Arial" w:cs="Arial"/>
        </w:rPr>
        <w:t>.</w:t>
      </w:r>
    </w:p>
    <w:p w14:paraId="548FBBF9" w14:textId="77777777" w:rsidR="005662E1" w:rsidRPr="005662E1" w:rsidRDefault="005662E1" w:rsidP="005662E1">
      <w:pPr>
        <w:spacing w:after="120" w:line="360" w:lineRule="auto"/>
        <w:jc w:val="both"/>
        <w:rPr>
          <w:rFonts w:ascii="Arial" w:hAnsi="Arial" w:cs="Arial"/>
        </w:rPr>
      </w:pPr>
    </w:p>
    <w:p w14:paraId="757EE9E4" w14:textId="1628D50B" w:rsidR="005662E1" w:rsidRPr="00E73BB8" w:rsidRDefault="005662E1" w:rsidP="00E73BB8">
      <w:pPr>
        <w:numPr>
          <w:ilvl w:val="0"/>
          <w:numId w:val="1"/>
        </w:numPr>
        <w:spacing w:after="120" w:line="360" w:lineRule="auto"/>
        <w:jc w:val="both"/>
        <w:rPr>
          <w:rFonts w:ascii="Arial" w:hAnsi="Arial" w:cs="Arial"/>
          <w:b/>
          <w:bCs/>
        </w:rPr>
      </w:pPr>
      <w:r w:rsidRPr="005662E1">
        <w:rPr>
          <w:rFonts w:ascii="Arial" w:hAnsi="Arial" w:cs="Arial"/>
          <w:b/>
          <w:bCs/>
        </w:rPr>
        <w:t>CONSIDERAÇÕES FINAIS</w:t>
      </w:r>
    </w:p>
    <w:p w14:paraId="4A0680B8" w14:textId="77777777" w:rsidR="00E73BB8" w:rsidRDefault="005662E1" w:rsidP="00E73BB8">
      <w:pPr>
        <w:pStyle w:val="Recuodecorpodetexto"/>
        <w:spacing w:line="360" w:lineRule="auto"/>
        <w:ind w:left="0" w:firstLine="705"/>
        <w:jc w:val="both"/>
        <w:rPr>
          <w:rFonts w:ascii="Arial" w:hAnsi="Arial" w:cs="Arial"/>
          <w:iCs/>
        </w:rPr>
      </w:pPr>
      <w:r w:rsidRPr="005662E1">
        <w:rPr>
          <w:rFonts w:ascii="Arial" w:hAnsi="Arial" w:cs="Arial"/>
          <w:iCs/>
        </w:rPr>
        <w:t xml:space="preserve">Os liberais clássicos contribuíram para a evolução sociopolítica e econômica da sociedade. Ao se contraporem ao absolutismo e ao feudalismo os liberais assumiram um </w:t>
      </w:r>
      <w:r w:rsidRPr="005662E1">
        <w:rPr>
          <w:rFonts w:ascii="Arial" w:hAnsi="Arial" w:cs="Arial"/>
          <w:iCs/>
        </w:rPr>
        <w:lastRenderedPageBreak/>
        <w:t>papel revolucionário.  Contribuíram para a evolução societal ao propor e combater os excessos do estado e do soberano, ao incentivar a divisão dos poderes, ao promover as liberdades individuais. No entanto, seus descendentes, os neoliberais, recaíram no conservadorismo ao não perceberem, não aceitarem e se contraporem a evolução das forças produtivas e da sociedade em geral. A liberdade preconizada passou a ser uma ameaça, principalmente quando se tratava da liberdade dos outros, em particular da classe trabalhadora.</w:t>
      </w:r>
    </w:p>
    <w:p w14:paraId="5F1A82CD" w14:textId="77777777" w:rsidR="00E73BB8" w:rsidRDefault="005662E1" w:rsidP="00E73BB8">
      <w:pPr>
        <w:pStyle w:val="Recuodecorpodetexto"/>
        <w:spacing w:line="360" w:lineRule="auto"/>
        <w:ind w:left="0" w:firstLine="705"/>
        <w:jc w:val="both"/>
        <w:rPr>
          <w:rFonts w:ascii="Arial" w:hAnsi="Arial" w:cs="Arial"/>
          <w:iCs/>
        </w:rPr>
      </w:pPr>
      <w:r w:rsidRPr="005662E1">
        <w:rPr>
          <w:rFonts w:ascii="Arial" w:hAnsi="Arial" w:cs="Arial"/>
          <w:iCs/>
        </w:rPr>
        <w:t>Os neoliberais simplificam o problema da economia, apresentando uma solução equivocada para sociedade, mas funcional para as elites econômicas, ao proporem a redução radical do Estado e a ampliação de suas liberdades econômicas. A argumentação que o mercado é uma panaceia para todos os males, cai por terra quando se observam os diversos problemas agravados por mais liberdade dada ao mercado, que efetivamente é excesso de liberdade dada aos capitalistas.  A preconizada neutralidade do Estado, quando este é controlado hegemonicamente pelas elites econômicas, constitui-se em um procedimento ideológico para conter o ímpeto reivindicativo da classe trabalhadora, além de ser uma simplificação demasiada da função do Estado na contemporaneidade.</w:t>
      </w:r>
    </w:p>
    <w:p w14:paraId="17140FDB" w14:textId="64BDC424" w:rsidR="005662E1" w:rsidRPr="00E73BB8" w:rsidRDefault="005662E1" w:rsidP="00E73BB8">
      <w:pPr>
        <w:pStyle w:val="Recuodecorpodetexto"/>
        <w:spacing w:line="360" w:lineRule="auto"/>
        <w:ind w:left="0" w:firstLine="705"/>
        <w:jc w:val="both"/>
        <w:rPr>
          <w:rFonts w:ascii="Arial" w:hAnsi="Arial" w:cs="Arial"/>
          <w:iCs/>
        </w:rPr>
      </w:pPr>
      <w:r w:rsidRPr="005662E1">
        <w:rPr>
          <w:rFonts w:ascii="Arial" w:hAnsi="Arial" w:cs="Arial"/>
        </w:rPr>
        <w:t xml:space="preserve">O estado social surgido e estruturado da mesma forma que as outras formas de estado, ou seja, como resultado do conflito social e político na sociedade, mostrou uma fase avançada, uma etapa adiante na evolução dessa instituição.  Avançada, principalmente, por proporcionar esforços, antes direcionados ao aumento do lucro dos detentores do capital, agora voltados para uma sociedade estável política e economicamente. O estado social assume a garantia dos direitos fundamentais como essência de uma sociedade estável, segura e desenvolvida. Nesse diapasão o estado social, na vertente democrática de direitos se constitui na fase mais avançada a possibilitar o direito ao desenvolvimento, tanto ao </w:t>
      </w:r>
      <w:proofErr w:type="spellStart"/>
      <w:r w:rsidRPr="005662E1">
        <w:rPr>
          <w:rFonts w:ascii="Arial" w:hAnsi="Arial" w:cs="Arial"/>
        </w:rPr>
        <w:t>individuo</w:t>
      </w:r>
      <w:proofErr w:type="spellEnd"/>
      <w:r w:rsidRPr="005662E1">
        <w:rPr>
          <w:rFonts w:ascii="Arial" w:hAnsi="Arial" w:cs="Arial"/>
        </w:rPr>
        <w:t xml:space="preserve"> quanto as classes sociais. Para isso, urge a redução do poder de controle dos capitalistas sobre o estado, que somente é possível com a constituição de instituições fortes, democráticas e participativas. </w:t>
      </w:r>
    </w:p>
    <w:p w14:paraId="77B0F915" w14:textId="77777777" w:rsidR="005662E1" w:rsidRPr="005662E1" w:rsidRDefault="005662E1" w:rsidP="005662E1">
      <w:pPr>
        <w:spacing w:after="0" w:line="360" w:lineRule="auto"/>
        <w:ind w:firstLine="708"/>
        <w:jc w:val="both"/>
        <w:rPr>
          <w:rFonts w:ascii="Arial" w:hAnsi="Arial" w:cs="Arial"/>
          <w:color w:val="70AD47" w:themeColor="accent6"/>
        </w:rPr>
      </w:pPr>
      <w:r w:rsidRPr="005662E1">
        <w:rPr>
          <w:rFonts w:ascii="Arial" w:hAnsi="Arial" w:cs="Arial"/>
        </w:rPr>
        <w:t xml:space="preserve">O papel do Estado, em especial o brasileiro por se constituir um estado democrático de direitos, deve insistentemente promover a redução das desigualdades regionais e sociais para materializar o direito ao desenvolvimento em um contexto de crescente dignidade. Não é possível ampliar as desigualdades sejam elas regionais ou sociais sem violentar a dignidade </w:t>
      </w:r>
      <w:r w:rsidRPr="005662E1">
        <w:rPr>
          <w:rFonts w:ascii="Arial" w:hAnsi="Arial" w:cs="Arial"/>
        </w:rPr>
        <w:lastRenderedPageBreak/>
        <w:t>da pessoa humano, o direito ao desenvolvimento, o direito à vida, a liberdade, e tantos outros direitos sagrados aos seres humanos.</w:t>
      </w:r>
    </w:p>
    <w:p w14:paraId="3A76BB69" w14:textId="77777777" w:rsidR="005662E1" w:rsidRPr="005662E1" w:rsidRDefault="005662E1" w:rsidP="005662E1">
      <w:pPr>
        <w:spacing w:after="120" w:line="360" w:lineRule="auto"/>
        <w:jc w:val="both"/>
        <w:rPr>
          <w:rFonts w:ascii="Arial" w:hAnsi="Arial" w:cs="Arial"/>
        </w:rPr>
      </w:pPr>
    </w:p>
    <w:p w14:paraId="78007E9D" w14:textId="77777777" w:rsidR="005662E1" w:rsidRPr="005662E1" w:rsidRDefault="005662E1" w:rsidP="005662E1">
      <w:pPr>
        <w:spacing w:after="120" w:line="360" w:lineRule="auto"/>
        <w:jc w:val="both"/>
        <w:rPr>
          <w:rFonts w:ascii="Arial" w:hAnsi="Arial" w:cs="Arial"/>
          <w:b/>
          <w:bCs/>
        </w:rPr>
      </w:pPr>
      <w:r w:rsidRPr="005662E1">
        <w:rPr>
          <w:rFonts w:ascii="Arial" w:hAnsi="Arial" w:cs="Arial"/>
          <w:b/>
          <w:bCs/>
        </w:rPr>
        <w:t>REFERENCIAS</w:t>
      </w:r>
    </w:p>
    <w:p w14:paraId="46063436" w14:textId="77777777" w:rsidR="005662E1" w:rsidRPr="005662E1" w:rsidRDefault="005662E1" w:rsidP="005662E1">
      <w:pPr>
        <w:spacing w:after="120" w:line="360" w:lineRule="auto"/>
        <w:jc w:val="both"/>
        <w:rPr>
          <w:rFonts w:ascii="Arial" w:hAnsi="Arial" w:cs="Arial"/>
        </w:rPr>
      </w:pPr>
    </w:p>
    <w:p w14:paraId="770DDA19" w14:textId="77777777" w:rsidR="005662E1" w:rsidRPr="005662E1" w:rsidRDefault="005662E1" w:rsidP="005662E1">
      <w:pPr>
        <w:shd w:val="clear" w:color="auto" w:fill="FFFFFF"/>
        <w:spacing w:after="240" w:line="240" w:lineRule="auto"/>
        <w:rPr>
          <w:rFonts w:ascii="Arial" w:eastAsia="Times New Roman" w:hAnsi="Arial" w:cs="Arial"/>
          <w:lang w:eastAsia="pt-BR"/>
        </w:rPr>
      </w:pPr>
      <w:r w:rsidRPr="005662E1">
        <w:rPr>
          <w:rFonts w:ascii="Arial" w:eastAsia="Times New Roman" w:hAnsi="Arial" w:cs="Arial"/>
          <w:color w:val="403D39"/>
          <w:lang w:eastAsia="pt-BR"/>
        </w:rPr>
        <w:t>ANDERSON, Perry.</w:t>
      </w:r>
      <w:r w:rsidRPr="005662E1">
        <w:rPr>
          <w:rFonts w:ascii="Arial" w:eastAsia="Times New Roman" w:hAnsi="Arial" w:cs="Arial"/>
          <w:b/>
          <w:bCs/>
          <w:color w:val="403D39"/>
          <w:lang w:eastAsia="pt-BR"/>
        </w:rPr>
        <w:t> Linhagens do Estado absolutista.</w:t>
      </w:r>
      <w:r w:rsidRPr="005662E1">
        <w:rPr>
          <w:rFonts w:ascii="Arial" w:eastAsia="Times New Roman" w:hAnsi="Arial" w:cs="Arial"/>
          <w:color w:val="403D39"/>
          <w:lang w:eastAsia="pt-BR"/>
        </w:rPr>
        <w:t xml:space="preserve"> Porto: Editora </w:t>
      </w:r>
      <w:r w:rsidRPr="005662E1">
        <w:rPr>
          <w:rFonts w:ascii="Arial" w:eastAsia="Times New Roman" w:hAnsi="Arial" w:cs="Arial"/>
          <w:lang w:eastAsia="pt-BR"/>
        </w:rPr>
        <w:t>Afrontamento. 1984</w:t>
      </w:r>
    </w:p>
    <w:p w14:paraId="6974F328"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______, Balanço do Neoliberalismo, IN: SADER, Emir e GENTILI, Pablo (org.) </w:t>
      </w:r>
      <w:r w:rsidRPr="005662E1">
        <w:rPr>
          <w:rFonts w:ascii="Arial" w:hAnsi="Arial" w:cs="Arial"/>
          <w:b/>
          <w:bCs/>
        </w:rPr>
        <w:t>PÓS-NEOLIBERALISMO</w:t>
      </w:r>
      <w:r w:rsidRPr="005662E1">
        <w:rPr>
          <w:rFonts w:ascii="Arial" w:hAnsi="Arial" w:cs="Arial"/>
        </w:rPr>
        <w:t>: as políticas sociais e o estado democrático. Rio de janeiro, Paz e Terra:1995</w:t>
      </w:r>
    </w:p>
    <w:p w14:paraId="46A12BF5"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BASTOS, C. R. </w:t>
      </w:r>
      <w:r w:rsidRPr="005662E1">
        <w:rPr>
          <w:rFonts w:ascii="Arial" w:hAnsi="Arial" w:cs="Arial"/>
          <w:b/>
          <w:bCs/>
        </w:rPr>
        <w:t>Curso de Teoria do Estado e Ciência Política.</w:t>
      </w:r>
      <w:r w:rsidRPr="005662E1">
        <w:rPr>
          <w:rFonts w:ascii="Arial" w:hAnsi="Arial" w:cs="Arial"/>
        </w:rPr>
        <w:t xml:space="preserve"> São Paulo, Saraiva:1995</w:t>
      </w:r>
    </w:p>
    <w:p w14:paraId="30203B75" w14:textId="77777777" w:rsidR="005662E1" w:rsidRPr="005662E1" w:rsidRDefault="005662E1" w:rsidP="005662E1">
      <w:pPr>
        <w:pStyle w:val="Textodenotaderodap"/>
        <w:spacing w:after="240"/>
        <w:rPr>
          <w:rFonts w:ascii="Arial" w:hAnsi="Arial" w:cs="Arial"/>
          <w:sz w:val="22"/>
          <w:szCs w:val="22"/>
        </w:rPr>
      </w:pPr>
      <w:r w:rsidRPr="005662E1">
        <w:rPr>
          <w:rFonts w:ascii="Arial" w:hAnsi="Arial" w:cs="Arial"/>
          <w:sz w:val="22"/>
          <w:szCs w:val="22"/>
        </w:rPr>
        <w:t xml:space="preserve">BEDIN, G. A. Direitos Humanos e desenvolvimento: algumas reflexões sobre a constituição do direito ao desenvolvimento. </w:t>
      </w:r>
      <w:r w:rsidRPr="005662E1">
        <w:rPr>
          <w:rFonts w:ascii="Arial" w:hAnsi="Arial" w:cs="Arial"/>
          <w:b/>
          <w:bCs/>
          <w:sz w:val="22"/>
          <w:szCs w:val="22"/>
        </w:rPr>
        <w:t>Desenvolvimento em Questão.</w:t>
      </w:r>
      <w:r w:rsidRPr="005662E1">
        <w:rPr>
          <w:rFonts w:ascii="Arial" w:hAnsi="Arial" w:cs="Arial"/>
          <w:sz w:val="22"/>
          <w:szCs w:val="22"/>
        </w:rPr>
        <w:t xml:space="preserve"> Editora </w:t>
      </w:r>
      <w:proofErr w:type="spellStart"/>
      <w:r w:rsidRPr="005662E1">
        <w:rPr>
          <w:rFonts w:ascii="Arial" w:hAnsi="Arial" w:cs="Arial"/>
          <w:sz w:val="22"/>
          <w:szCs w:val="22"/>
        </w:rPr>
        <w:t>Unijuí</w:t>
      </w:r>
      <w:proofErr w:type="spellEnd"/>
      <w:r w:rsidRPr="005662E1">
        <w:rPr>
          <w:rFonts w:ascii="Arial" w:hAnsi="Arial" w:cs="Arial"/>
          <w:sz w:val="22"/>
          <w:szCs w:val="22"/>
        </w:rPr>
        <w:t xml:space="preserve">, ano 01, n. 01, </w:t>
      </w:r>
      <w:proofErr w:type="spellStart"/>
      <w:r w:rsidRPr="005662E1">
        <w:rPr>
          <w:rFonts w:ascii="Arial" w:hAnsi="Arial" w:cs="Arial"/>
          <w:sz w:val="22"/>
          <w:szCs w:val="22"/>
        </w:rPr>
        <w:t>jan</w:t>
      </w:r>
      <w:proofErr w:type="spellEnd"/>
      <w:r w:rsidRPr="005662E1">
        <w:rPr>
          <w:rFonts w:ascii="Arial" w:hAnsi="Arial" w:cs="Arial"/>
          <w:sz w:val="22"/>
          <w:szCs w:val="22"/>
        </w:rPr>
        <w:t>/</w:t>
      </w:r>
      <w:proofErr w:type="spellStart"/>
      <w:r w:rsidRPr="005662E1">
        <w:rPr>
          <w:rFonts w:ascii="Arial" w:hAnsi="Arial" w:cs="Arial"/>
          <w:sz w:val="22"/>
          <w:szCs w:val="22"/>
        </w:rPr>
        <w:t>jun</w:t>
      </w:r>
      <w:proofErr w:type="spellEnd"/>
      <w:r w:rsidRPr="005662E1">
        <w:rPr>
          <w:rFonts w:ascii="Arial" w:hAnsi="Arial" w:cs="Arial"/>
          <w:sz w:val="22"/>
          <w:szCs w:val="22"/>
        </w:rPr>
        <w:t xml:space="preserve"> 2000. Disponível em: &lt;&lt;</w:t>
      </w:r>
      <w:hyperlink r:id="rId9" w:history="1">
        <w:r w:rsidRPr="005662E1">
          <w:rPr>
            <w:rStyle w:val="Hyperlink"/>
            <w:rFonts w:ascii="Arial" w:hAnsi="Arial" w:cs="Arial"/>
            <w:sz w:val="22"/>
            <w:szCs w:val="22"/>
          </w:rPr>
          <w:t>Direitos Humanos e Desenvolvimento: algumas reflexões sobre a constituição do direito ao desenvolvimento | Desenvolvimento em Questão (unijui.edu.br)</w:t>
        </w:r>
      </w:hyperlink>
      <w:r w:rsidRPr="005662E1">
        <w:rPr>
          <w:rFonts w:ascii="Arial" w:hAnsi="Arial" w:cs="Arial"/>
          <w:sz w:val="22"/>
          <w:szCs w:val="22"/>
        </w:rPr>
        <w:t>&gt;&gt; Acesso em 05 de setembro de 2021</w:t>
      </w:r>
    </w:p>
    <w:p w14:paraId="5F95CF18"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BERCOVICI, Gilberto. </w:t>
      </w:r>
      <w:r w:rsidRPr="005662E1">
        <w:rPr>
          <w:rFonts w:ascii="Arial" w:hAnsi="Arial" w:cs="Arial"/>
          <w:b/>
        </w:rPr>
        <w:t>Desigualdades regionais, Estado e Constituição</w:t>
      </w:r>
      <w:r w:rsidRPr="005662E1">
        <w:rPr>
          <w:rFonts w:ascii="Arial" w:hAnsi="Arial" w:cs="Arial"/>
        </w:rPr>
        <w:t xml:space="preserve">. São Paulo: Max </w:t>
      </w:r>
      <w:proofErr w:type="spellStart"/>
      <w:r w:rsidRPr="005662E1">
        <w:rPr>
          <w:rFonts w:ascii="Arial" w:hAnsi="Arial" w:cs="Arial"/>
        </w:rPr>
        <w:t>Limonad</w:t>
      </w:r>
      <w:proofErr w:type="spellEnd"/>
      <w:r w:rsidRPr="005662E1">
        <w:rPr>
          <w:rFonts w:ascii="Arial" w:hAnsi="Arial" w:cs="Arial"/>
        </w:rPr>
        <w:t>, 2003.</w:t>
      </w:r>
    </w:p>
    <w:p w14:paraId="1136B286"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BONAVIDES, Paulo. </w:t>
      </w:r>
      <w:r w:rsidRPr="005662E1">
        <w:rPr>
          <w:rStyle w:val="nfase"/>
          <w:rFonts w:ascii="Arial" w:hAnsi="Arial" w:cs="Arial"/>
          <w:b/>
        </w:rPr>
        <w:t>Do</w:t>
      </w:r>
      <w:r w:rsidRPr="005662E1">
        <w:rPr>
          <w:rFonts w:ascii="Arial" w:hAnsi="Arial" w:cs="Arial"/>
          <w:b/>
          <w:i/>
        </w:rPr>
        <w:t xml:space="preserve"> </w:t>
      </w:r>
      <w:r w:rsidRPr="005662E1">
        <w:rPr>
          <w:rStyle w:val="nfase"/>
          <w:rFonts w:ascii="Arial" w:hAnsi="Arial" w:cs="Arial"/>
          <w:b/>
        </w:rPr>
        <w:t>estado</w:t>
      </w:r>
      <w:r w:rsidRPr="005662E1">
        <w:rPr>
          <w:rFonts w:ascii="Arial" w:hAnsi="Arial" w:cs="Arial"/>
          <w:b/>
          <w:i/>
        </w:rPr>
        <w:t xml:space="preserve"> </w:t>
      </w:r>
      <w:r w:rsidRPr="005662E1">
        <w:rPr>
          <w:rStyle w:val="nfase"/>
          <w:rFonts w:ascii="Arial" w:hAnsi="Arial" w:cs="Arial"/>
          <w:b/>
        </w:rPr>
        <w:t>liberal</w:t>
      </w:r>
      <w:r w:rsidRPr="005662E1">
        <w:rPr>
          <w:rFonts w:ascii="Arial" w:hAnsi="Arial" w:cs="Arial"/>
          <w:b/>
          <w:i/>
        </w:rPr>
        <w:t xml:space="preserve"> </w:t>
      </w:r>
      <w:r w:rsidRPr="005662E1">
        <w:rPr>
          <w:rStyle w:val="nfase"/>
          <w:rFonts w:ascii="Arial" w:hAnsi="Arial" w:cs="Arial"/>
          <w:b/>
        </w:rPr>
        <w:t>ao</w:t>
      </w:r>
      <w:r w:rsidRPr="005662E1">
        <w:rPr>
          <w:rFonts w:ascii="Arial" w:hAnsi="Arial" w:cs="Arial"/>
          <w:b/>
          <w:i/>
        </w:rPr>
        <w:t xml:space="preserve"> </w:t>
      </w:r>
      <w:r w:rsidRPr="005662E1">
        <w:rPr>
          <w:rStyle w:val="nfase"/>
          <w:rFonts w:ascii="Arial" w:hAnsi="Arial" w:cs="Arial"/>
          <w:b/>
        </w:rPr>
        <w:t>estado</w:t>
      </w:r>
      <w:r w:rsidRPr="005662E1">
        <w:rPr>
          <w:rFonts w:ascii="Arial" w:hAnsi="Arial" w:cs="Arial"/>
          <w:b/>
          <w:i/>
        </w:rPr>
        <w:t xml:space="preserve"> </w:t>
      </w:r>
      <w:r w:rsidRPr="005662E1">
        <w:rPr>
          <w:rStyle w:val="nfase"/>
          <w:rFonts w:ascii="Arial" w:hAnsi="Arial" w:cs="Arial"/>
          <w:b/>
        </w:rPr>
        <w:t>social</w:t>
      </w:r>
      <w:r w:rsidRPr="005662E1">
        <w:rPr>
          <w:rFonts w:ascii="Arial" w:hAnsi="Arial" w:cs="Arial"/>
        </w:rPr>
        <w:t>. 8. ed. 2° tiragem, São Paulo, Malheiros, 2007</w:t>
      </w:r>
    </w:p>
    <w:p w14:paraId="7A6B7A3F" w14:textId="77777777" w:rsidR="005662E1" w:rsidRPr="005662E1" w:rsidRDefault="005662E1" w:rsidP="005662E1">
      <w:pPr>
        <w:pStyle w:val="Recuodecorpodetexto"/>
        <w:spacing w:after="240" w:line="240" w:lineRule="auto"/>
        <w:ind w:left="0"/>
        <w:rPr>
          <w:rFonts w:ascii="Arial" w:hAnsi="Arial" w:cs="Arial"/>
        </w:rPr>
      </w:pPr>
      <w:r w:rsidRPr="005662E1">
        <w:rPr>
          <w:rFonts w:ascii="Arial" w:hAnsi="Arial" w:cs="Arial"/>
        </w:rPr>
        <w:t xml:space="preserve">BORÓN, A. A sociedade civil depois do dilúvio neoliberal. In SADER, E. e GENTILI, P.(org.) </w:t>
      </w:r>
      <w:r w:rsidRPr="005662E1">
        <w:rPr>
          <w:rFonts w:ascii="Arial" w:hAnsi="Arial" w:cs="Arial"/>
          <w:b/>
          <w:bCs/>
        </w:rPr>
        <w:t>Pós-Neoliberalismo:</w:t>
      </w:r>
      <w:r w:rsidRPr="005662E1">
        <w:rPr>
          <w:rFonts w:ascii="Arial" w:hAnsi="Arial" w:cs="Arial"/>
        </w:rPr>
        <w:t xml:space="preserve"> as políticas sociais e o Estado democrático. Rio de janeiro, Paz e Terra, 1995</w:t>
      </w:r>
    </w:p>
    <w:p w14:paraId="083DAC3D" w14:textId="77777777" w:rsidR="005662E1" w:rsidRPr="005662E1" w:rsidRDefault="00043D32" w:rsidP="005662E1">
      <w:pPr>
        <w:pStyle w:val="Recuodecorpodetexto"/>
        <w:spacing w:after="240" w:line="240" w:lineRule="auto"/>
        <w:ind w:left="0"/>
        <w:rPr>
          <w:rFonts w:ascii="Arial" w:hAnsi="Arial" w:cs="Arial"/>
        </w:rPr>
      </w:pPr>
      <w:hyperlink r:id="rId10" w:tgtFrame="_blank" w:history="1">
        <w:r w:rsidR="005662E1" w:rsidRPr="005662E1">
          <w:rPr>
            <w:rStyle w:val="Hyperlink"/>
            <w:rFonts w:ascii="Arial" w:hAnsi="Arial" w:cs="Arial"/>
            <w:bdr w:val="none" w:sz="0" w:space="0" w:color="auto" w:frame="1"/>
          </w:rPr>
          <w:t>BRAGA JUNIOR, S. A. M.</w:t>
        </w:r>
      </w:hyperlink>
      <w:r w:rsidR="005662E1" w:rsidRPr="005662E1">
        <w:rPr>
          <w:rFonts w:ascii="Arial" w:hAnsi="Arial" w:cs="Arial"/>
          <w:shd w:val="clear" w:color="auto" w:fill="FFFFFF"/>
        </w:rPr>
        <w:t xml:space="preserve">. O papel do Direito Econômico como fator de conciliação entre o Liberalismo e o Socialismo. </w:t>
      </w:r>
      <w:r w:rsidR="005662E1" w:rsidRPr="005662E1">
        <w:rPr>
          <w:rFonts w:ascii="Arial" w:hAnsi="Arial" w:cs="Arial"/>
          <w:b/>
          <w:bCs/>
          <w:shd w:val="clear" w:color="auto" w:fill="FFFFFF"/>
        </w:rPr>
        <w:t>Revista de Direito e Liberdade</w:t>
      </w:r>
      <w:r w:rsidR="005662E1" w:rsidRPr="005662E1">
        <w:rPr>
          <w:rFonts w:ascii="Arial" w:hAnsi="Arial" w:cs="Arial"/>
          <w:shd w:val="clear" w:color="auto" w:fill="FFFFFF"/>
        </w:rPr>
        <w:t>, v. 2, 2005</w:t>
      </w:r>
    </w:p>
    <w:p w14:paraId="4105629F" w14:textId="77777777" w:rsidR="005662E1" w:rsidRPr="005662E1" w:rsidRDefault="005662E1" w:rsidP="005662E1">
      <w:pPr>
        <w:pStyle w:val="Recuodecorpodetexto"/>
        <w:spacing w:after="240" w:line="240" w:lineRule="auto"/>
        <w:ind w:left="0"/>
        <w:rPr>
          <w:rFonts w:ascii="Arial" w:hAnsi="Arial" w:cs="Arial"/>
        </w:rPr>
      </w:pPr>
      <w:r w:rsidRPr="005662E1">
        <w:rPr>
          <w:rFonts w:ascii="Arial" w:hAnsi="Arial" w:cs="Arial"/>
        </w:rPr>
        <w:t xml:space="preserve">BRUNHOFF, S. de. </w:t>
      </w:r>
      <w:r w:rsidRPr="005662E1">
        <w:rPr>
          <w:rFonts w:ascii="Arial" w:hAnsi="Arial" w:cs="Arial"/>
          <w:b/>
          <w:bCs/>
        </w:rPr>
        <w:t>A Hora do Mercado:</w:t>
      </w:r>
      <w:r w:rsidRPr="005662E1">
        <w:rPr>
          <w:rFonts w:ascii="Arial" w:hAnsi="Arial" w:cs="Arial"/>
        </w:rPr>
        <w:t xml:space="preserve"> crítica do liberalismo. São Paulo, Universidade Estadual Paulista, 1991,</w:t>
      </w:r>
    </w:p>
    <w:p w14:paraId="06A54C06" w14:textId="77777777" w:rsidR="005662E1" w:rsidRPr="005662E1" w:rsidRDefault="005662E1" w:rsidP="005662E1">
      <w:pPr>
        <w:pStyle w:val="Recuodecorpodetexto"/>
        <w:spacing w:after="240" w:line="240" w:lineRule="auto"/>
        <w:ind w:left="0"/>
        <w:rPr>
          <w:rFonts w:ascii="Arial" w:hAnsi="Arial" w:cs="Arial"/>
        </w:rPr>
      </w:pPr>
      <w:r w:rsidRPr="005662E1">
        <w:rPr>
          <w:rFonts w:ascii="Arial" w:hAnsi="Arial" w:cs="Arial"/>
        </w:rPr>
        <w:t xml:space="preserve">CARCANHOLO, R. A. A Globalização, o Neoliberalismo e a Síndrome da Imunidade </w:t>
      </w:r>
      <w:proofErr w:type="spellStart"/>
      <w:r w:rsidRPr="005662E1">
        <w:rPr>
          <w:rFonts w:ascii="Arial" w:hAnsi="Arial" w:cs="Arial"/>
        </w:rPr>
        <w:t>Auto-Atribuida</w:t>
      </w:r>
      <w:proofErr w:type="spellEnd"/>
      <w:r w:rsidRPr="005662E1">
        <w:rPr>
          <w:rFonts w:ascii="Arial" w:hAnsi="Arial" w:cs="Arial"/>
        </w:rPr>
        <w:t>. IN: CARCANOLHO, R.A.; MALAGUTI, M. L. e CARCANHO, M. D (</w:t>
      </w:r>
      <w:proofErr w:type="spellStart"/>
      <w:r w:rsidRPr="005662E1">
        <w:rPr>
          <w:rFonts w:ascii="Arial" w:hAnsi="Arial" w:cs="Arial"/>
        </w:rPr>
        <w:t>orgs</w:t>
      </w:r>
      <w:proofErr w:type="spellEnd"/>
      <w:r w:rsidRPr="005662E1">
        <w:rPr>
          <w:rFonts w:ascii="Arial" w:hAnsi="Arial" w:cs="Arial"/>
        </w:rPr>
        <w:t xml:space="preserve">) </w:t>
      </w:r>
      <w:r w:rsidRPr="005662E1">
        <w:rPr>
          <w:rFonts w:ascii="Arial" w:hAnsi="Arial" w:cs="Arial"/>
          <w:b/>
          <w:bCs/>
        </w:rPr>
        <w:t>NEOLIBERALISMO:</w:t>
      </w:r>
      <w:r w:rsidRPr="005662E1">
        <w:rPr>
          <w:rFonts w:ascii="Arial" w:hAnsi="Arial" w:cs="Arial"/>
        </w:rPr>
        <w:t xml:space="preserve"> a tragédia do nosso tempo, São Paulo, Cortez:1998</w:t>
      </w:r>
    </w:p>
    <w:p w14:paraId="0E6248FE" w14:textId="77777777" w:rsidR="005662E1" w:rsidRPr="005662E1" w:rsidRDefault="005662E1" w:rsidP="005662E1">
      <w:pPr>
        <w:pStyle w:val="Recuodecorpodetexto"/>
        <w:spacing w:after="240" w:line="240" w:lineRule="auto"/>
        <w:ind w:left="0"/>
        <w:rPr>
          <w:rFonts w:ascii="Arial" w:hAnsi="Arial" w:cs="Arial"/>
        </w:rPr>
      </w:pPr>
      <w:r w:rsidRPr="005662E1">
        <w:rPr>
          <w:rFonts w:ascii="Arial" w:hAnsi="Arial" w:cs="Arial"/>
          <w:shd w:val="clear" w:color="auto" w:fill="FFFFFF"/>
        </w:rPr>
        <w:t xml:space="preserve">CASTELLS, Manuel. </w:t>
      </w:r>
      <w:r w:rsidRPr="005662E1">
        <w:rPr>
          <w:rFonts w:ascii="Arial" w:hAnsi="Arial" w:cs="Arial"/>
        </w:rPr>
        <w:t>O </w:t>
      </w:r>
      <w:r w:rsidRPr="005662E1">
        <w:rPr>
          <w:rFonts w:ascii="Arial" w:hAnsi="Arial" w:cs="Arial"/>
          <w:b/>
          <w:bCs/>
        </w:rPr>
        <w:t>poder da identidade</w:t>
      </w:r>
      <w:r w:rsidRPr="005662E1">
        <w:rPr>
          <w:rFonts w:ascii="Arial" w:hAnsi="Arial" w:cs="Arial"/>
        </w:rPr>
        <w:t xml:space="preserve">. </w:t>
      </w:r>
      <w:r w:rsidRPr="005662E1">
        <w:rPr>
          <w:rFonts w:ascii="Arial" w:hAnsi="Arial" w:cs="Arial"/>
          <w:shd w:val="clear" w:color="auto" w:fill="FFFFFF"/>
        </w:rPr>
        <w:t>São Paulo: Paz e Terra, 2000</w:t>
      </w:r>
    </w:p>
    <w:p w14:paraId="6B96DE56" w14:textId="77777777" w:rsidR="005662E1" w:rsidRPr="005662E1" w:rsidRDefault="005662E1" w:rsidP="005662E1">
      <w:pPr>
        <w:pStyle w:val="Recuodecorpodetexto"/>
        <w:spacing w:after="240" w:line="240" w:lineRule="auto"/>
        <w:ind w:left="0"/>
        <w:rPr>
          <w:rFonts w:ascii="Arial" w:hAnsi="Arial" w:cs="Arial"/>
        </w:rPr>
      </w:pPr>
      <w:r w:rsidRPr="005662E1">
        <w:rPr>
          <w:rFonts w:ascii="Arial" w:hAnsi="Arial" w:cs="Arial"/>
        </w:rPr>
        <w:t xml:space="preserve">DALLARI, Dalmo. </w:t>
      </w:r>
      <w:r w:rsidRPr="005662E1">
        <w:rPr>
          <w:rFonts w:ascii="Arial" w:hAnsi="Arial" w:cs="Arial"/>
          <w:b/>
          <w:bCs/>
        </w:rPr>
        <w:t xml:space="preserve">O Futuro do Estado. </w:t>
      </w:r>
      <w:r w:rsidRPr="005662E1">
        <w:rPr>
          <w:rFonts w:ascii="Arial" w:hAnsi="Arial" w:cs="Arial"/>
        </w:rPr>
        <w:t>Ed. Saraiva, SP 1972</w:t>
      </w:r>
      <w:r w:rsidRPr="005662E1">
        <w:rPr>
          <w:rFonts w:ascii="Arial" w:hAnsi="Arial" w:cs="Arial"/>
        </w:rPr>
        <w:tab/>
      </w:r>
    </w:p>
    <w:p w14:paraId="15DC6D93" w14:textId="77777777" w:rsidR="005662E1" w:rsidRPr="005662E1" w:rsidRDefault="005662E1" w:rsidP="005662E1">
      <w:pPr>
        <w:pStyle w:val="Textodenotaderodap"/>
        <w:spacing w:after="240"/>
        <w:rPr>
          <w:rFonts w:ascii="Arial" w:hAnsi="Arial" w:cs="Arial"/>
          <w:sz w:val="22"/>
          <w:szCs w:val="22"/>
        </w:rPr>
      </w:pPr>
      <w:r w:rsidRPr="005662E1">
        <w:rPr>
          <w:rFonts w:ascii="Arial" w:hAnsi="Arial" w:cs="Arial"/>
          <w:sz w:val="22"/>
          <w:szCs w:val="22"/>
        </w:rPr>
        <w:lastRenderedPageBreak/>
        <w:t xml:space="preserve">ELALI, André de S. D. </w:t>
      </w:r>
      <w:r w:rsidRPr="005662E1">
        <w:rPr>
          <w:rFonts w:ascii="Arial" w:hAnsi="Arial" w:cs="Arial"/>
          <w:b/>
          <w:sz w:val="22"/>
          <w:szCs w:val="22"/>
        </w:rPr>
        <w:t>Tributação e regulação econômica: um exame da tributação como instrumento de regulação econômica na busca da redução das desigualdades regionais</w:t>
      </w:r>
      <w:r w:rsidRPr="005662E1">
        <w:rPr>
          <w:rFonts w:ascii="Arial" w:hAnsi="Arial" w:cs="Arial"/>
          <w:sz w:val="22"/>
          <w:szCs w:val="22"/>
        </w:rPr>
        <w:t>. São Paulo: MP, 2007</w:t>
      </w:r>
    </w:p>
    <w:p w14:paraId="44645C45"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ENGELS, </w:t>
      </w:r>
      <w:proofErr w:type="spellStart"/>
      <w:r w:rsidRPr="005662E1">
        <w:rPr>
          <w:rFonts w:ascii="Arial" w:hAnsi="Arial" w:cs="Arial"/>
        </w:rPr>
        <w:t>Frederich</w:t>
      </w:r>
      <w:proofErr w:type="spellEnd"/>
      <w:r w:rsidRPr="005662E1">
        <w:rPr>
          <w:rFonts w:ascii="Arial" w:hAnsi="Arial" w:cs="Arial"/>
        </w:rPr>
        <w:t xml:space="preserve">.  Origem da família, da propriedade privada e do Estado. IN: MARX, Karl; ENGELS, </w:t>
      </w:r>
      <w:proofErr w:type="spellStart"/>
      <w:r w:rsidRPr="005662E1">
        <w:rPr>
          <w:rFonts w:ascii="Arial" w:hAnsi="Arial" w:cs="Arial"/>
        </w:rPr>
        <w:t>Frederich</w:t>
      </w:r>
      <w:proofErr w:type="spellEnd"/>
      <w:r w:rsidRPr="005662E1">
        <w:rPr>
          <w:rFonts w:ascii="Arial" w:hAnsi="Arial" w:cs="Arial"/>
        </w:rPr>
        <w:t xml:space="preserve">. </w:t>
      </w:r>
      <w:r w:rsidRPr="005662E1">
        <w:rPr>
          <w:rFonts w:ascii="Arial" w:hAnsi="Arial" w:cs="Arial"/>
          <w:b/>
        </w:rPr>
        <w:t>Obras Escolhidas.</w:t>
      </w:r>
      <w:r w:rsidRPr="005662E1">
        <w:rPr>
          <w:rFonts w:ascii="Arial" w:hAnsi="Arial" w:cs="Arial"/>
        </w:rPr>
        <w:t xml:space="preserve"> Vol. I, II e III. São Paulo: Alfa-</w:t>
      </w:r>
      <w:proofErr w:type="spellStart"/>
      <w:r w:rsidRPr="005662E1">
        <w:rPr>
          <w:rFonts w:ascii="Arial" w:hAnsi="Arial" w:cs="Arial"/>
        </w:rPr>
        <w:t>Omega</w:t>
      </w:r>
      <w:proofErr w:type="spellEnd"/>
      <w:r w:rsidRPr="005662E1">
        <w:rPr>
          <w:rFonts w:ascii="Arial" w:hAnsi="Arial" w:cs="Arial"/>
        </w:rPr>
        <w:t xml:space="preserve"> 1980</w:t>
      </w:r>
    </w:p>
    <w:p w14:paraId="5934A1ED"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ESPING-ANDERSEN, G. </w:t>
      </w:r>
      <w:r w:rsidRPr="005662E1">
        <w:rPr>
          <w:rFonts w:ascii="Arial" w:hAnsi="Arial" w:cs="Arial"/>
          <w:b/>
          <w:bCs/>
        </w:rPr>
        <w:t xml:space="preserve">As Três Economias Políticas do Welfare </w:t>
      </w:r>
      <w:proofErr w:type="spellStart"/>
      <w:r w:rsidRPr="005662E1">
        <w:rPr>
          <w:rFonts w:ascii="Arial" w:hAnsi="Arial" w:cs="Arial"/>
          <w:b/>
          <w:bCs/>
        </w:rPr>
        <w:t>State</w:t>
      </w:r>
      <w:proofErr w:type="spellEnd"/>
      <w:r w:rsidRPr="005662E1">
        <w:rPr>
          <w:rFonts w:ascii="Arial" w:hAnsi="Arial" w:cs="Arial"/>
        </w:rPr>
        <w:t xml:space="preserve"> In: Lua Nova, São Paulo, set. 1991</w:t>
      </w:r>
    </w:p>
    <w:p w14:paraId="5334D94A" w14:textId="77777777" w:rsidR="005662E1" w:rsidRPr="005662E1" w:rsidRDefault="005662E1" w:rsidP="005662E1">
      <w:pPr>
        <w:pStyle w:val="Ttulo1"/>
        <w:spacing w:before="0" w:beforeAutospacing="0" w:after="240" w:afterAutospacing="0"/>
        <w:rPr>
          <w:rStyle w:val="Hyperlink"/>
          <w:rFonts w:ascii="Arial" w:hAnsi="Arial" w:cs="Arial"/>
          <w:b w:val="0"/>
          <w:bCs w:val="0"/>
          <w:sz w:val="22"/>
          <w:szCs w:val="22"/>
        </w:rPr>
      </w:pPr>
      <w:r w:rsidRPr="005662E1">
        <w:rPr>
          <w:rFonts w:ascii="Arial" w:hAnsi="Arial" w:cs="Arial"/>
          <w:b w:val="0"/>
          <w:bCs w:val="0"/>
          <w:sz w:val="22"/>
          <w:szCs w:val="22"/>
        </w:rPr>
        <w:t>FLORENZANO, M.</w:t>
      </w:r>
      <w:r w:rsidRPr="005662E1">
        <w:rPr>
          <w:rFonts w:ascii="Arial" w:hAnsi="Arial" w:cs="Arial"/>
          <w:b w:val="0"/>
          <w:bCs w:val="0"/>
          <w:spacing w:val="-6"/>
          <w:sz w:val="22"/>
          <w:szCs w:val="22"/>
        </w:rPr>
        <w:t xml:space="preserve"> Sobre as origens e o desenvolvimento do estado moderno no ocidente. </w:t>
      </w:r>
      <w:r w:rsidRPr="005662E1">
        <w:rPr>
          <w:rStyle w:val="separator"/>
          <w:rFonts w:ascii="Arial" w:hAnsi="Arial" w:cs="Arial"/>
          <w:sz w:val="22"/>
          <w:szCs w:val="22"/>
          <w:shd w:val="clear" w:color="auto" w:fill="FFFFFF"/>
        </w:rPr>
        <w:t> </w:t>
      </w:r>
      <w:r w:rsidRPr="005662E1">
        <w:rPr>
          <w:rStyle w:val="editionmeta"/>
          <w:rFonts w:ascii="Arial" w:eastAsia="Calibri" w:hAnsi="Arial" w:cs="Arial"/>
          <w:sz w:val="22"/>
          <w:szCs w:val="22"/>
          <w:shd w:val="clear" w:color="auto" w:fill="FFFFFF"/>
        </w:rPr>
        <w:t>Lua Nova: Revista de Cultura e Política. (71), São Paulo,</w:t>
      </w:r>
      <w:r w:rsidRPr="005662E1">
        <w:rPr>
          <w:rStyle w:val="separator"/>
          <w:rFonts w:ascii="Arial" w:hAnsi="Arial" w:cs="Arial"/>
          <w:sz w:val="22"/>
          <w:szCs w:val="22"/>
          <w:shd w:val="clear" w:color="auto" w:fill="FFFFFF"/>
        </w:rPr>
        <w:t> </w:t>
      </w:r>
      <w:r w:rsidRPr="005662E1">
        <w:rPr>
          <w:rStyle w:val="editionmeta"/>
          <w:rFonts w:ascii="Arial" w:eastAsia="Calibri" w:hAnsi="Arial" w:cs="Arial"/>
          <w:sz w:val="22"/>
          <w:szCs w:val="22"/>
          <w:shd w:val="clear" w:color="auto" w:fill="FFFFFF"/>
        </w:rPr>
        <w:t>2007</w:t>
      </w:r>
      <w:r w:rsidRPr="005662E1">
        <w:rPr>
          <w:rStyle w:val="separator"/>
          <w:rFonts w:ascii="Arial" w:hAnsi="Arial" w:cs="Arial"/>
          <w:sz w:val="22"/>
          <w:szCs w:val="22"/>
          <w:shd w:val="clear" w:color="auto" w:fill="FFFFFF"/>
        </w:rPr>
        <w:t> &lt;&lt; </w:t>
      </w:r>
      <w:hyperlink r:id="rId11" w:tgtFrame="_blank" w:history="1">
        <w:r w:rsidRPr="005662E1">
          <w:rPr>
            <w:rStyle w:val="Hyperlink"/>
            <w:rFonts w:ascii="Arial" w:hAnsi="Arial" w:cs="Arial"/>
            <w:sz w:val="22"/>
            <w:szCs w:val="22"/>
          </w:rPr>
          <w:t>https://doi.org/10.1590/S0102-64452007000200002</w:t>
        </w:r>
      </w:hyperlink>
      <w:r w:rsidRPr="005662E1">
        <w:rPr>
          <w:rStyle w:val="Hyperlink"/>
          <w:rFonts w:ascii="Arial" w:hAnsi="Arial" w:cs="Arial"/>
          <w:sz w:val="22"/>
          <w:szCs w:val="22"/>
        </w:rPr>
        <w:t xml:space="preserve">&gt;&gt; </w:t>
      </w:r>
      <w:r w:rsidRPr="005662E1">
        <w:rPr>
          <w:rStyle w:val="Hyperlink"/>
          <w:rFonts w:ascii="Arial" w:hAnsi="Arial" w:cs="Arial"/>
          <w:b w:val="0"/>
          <w:bCs w:val="0"/>
          <w:sz w:val="22"/>
          <w:szCs w:val="22"/>
        </w:rPr>
        <w:t>Acesso em 07 de setembro de 2021</w:t>
      </w:r>
    </w:p>
    <w:p w14:paraId="2D80BDB5" w14:textId="77777777" w:rsidR="005662E1" w:rsidRPr="005662E1" w:rsidRDefault="005662E1" w:rsidP="005662E1">
      <w:pPr>
        <w:pStyle w:val="Ttulo1"/>
        <w:spacing w:before="0" w:beforeAutospacing="0" w:after="240" w:afterAutospacing="0"/>
        <w:rPr>
          <w:rStyle w:val="Hyperlink"/>
          <w:rFonts w:ascii="Arial" w:hAnsi="Arial" w:cs="Arial"/>
          <w:sz w:val="22"/>
          <w:szCs w:val="22"/>
        </w:rPr>
      </w:pPr>
      <w:r w:rsidRPr="005662E1">
        <w:rPr>
          <w:rFonts w:ascii="Arial" w:hAnsi="Arial" w:cs="Arial"/>
          <w:b w:val="0"/>
          <w:bCs w:val="0"/>
          <w:sz w:val="22"/>
          <w:szCs w:val="22"/>
        </w:rPr>
        <w:t>FRIEDMAN, M.</w:t>
      </w:r>
      <w:r w:rsidRPr="005662E1">
        <w:rPr>
          <w:rFonts w:ascii="Arial" w:hAnsi="Arial" w:cs="Arial"/>
          <w:sz w:val="22"/>
          <w:szCs w:val="22"/>
        </w:rPr>
        <w:t xml:space="preserve"> Capitalismo e Liberdade. </w:t>
      </w:r>
      <w:r w:rsidRPr="005662E1">
        <w:rPr>
          <w:rFonts w:ascii="Arial" w:hAnsi="Arial" w:cs="Arial"/>
          <w:b w:val="0"/>
          <w:bCs w:val="0"/>
          <w:sz w:val="22"/>
          <w:szCs w:val="22"/>
        </w:rPr>
        <w:t>São Paulo: Nova Cultural:1982</w:t>
      </w:r>
    </w:p>
    <w:p w14:paraId="3EFA89B8" w14:textId="77777777" w:rsidR="005662E1" w:rsidRPr="005662E1" w:rsidRDefault="005662E1" w:rsidP="005662E1">
      <w:pPr>
        <w:pStyle w:val="Ttulo1"/>
        <w:spacing w:before="0" w:beforeAutospacing="0" w:after="240" w:afterAutospacing="0"/>
        <w:rPr>
          <w:rFonts w:ascii="Arial" w:hAnsi="Arial" w:cs="Arial"/>
          <w:b w:val="0"/>
          <w:bCs w:val="0"/>
          <w:sz w:val="22"/>
          <w:szCs w:val="22"/>
        </w:rPr>
      </w:pPr>
      <w:r w:rsidRPr="005662E1">
        <w:rPr>
          <w:rFonts w:ascii="Arial" w:hAnsi="Arial" w:cs="Arial"/>
          <w:b w:val="0"/>
          <w:bCs w:val="0"/>
          <w:sz w:val="22"/>
          <w:szCs w:val="22"/>
        </w:rPr>
        <w:t>FURTADO. C</w:t>
      </w:r>
      <w:r w:rsidRPr="005662E1">
        <w:rPr>
          <w:rFonts w:ascii="Arial" w:hAnsi="Arial" w:cs="Arial"/>
          <w:sz w:val="22"/>
          <w:szCs w:val="22"/>
        </w:rPr>
        <w:t>. O mito do desenvolvimento econômico</w:t>
      </w:r>
      <w:r w:rsidRPr="005662E1">
        <w:rPr>
          <w:rFonts w:ascii="Arial" w:hAnsi="Arial" w:cs="Arial"/>
          <w:b w:val="0"/>
          <w:bCs w:val="0"/>
          <w:sz w:val="22"/>
          <w:szCs w:val="22"/>
        </w:rPr>
        <w:t>. Rio de Janeiro, Paz e Terra, 1974</w:t>
      </w:r>
    </w:p>
    <w:p w14:paraId="2C821DD4" w14:textId="77777777" w:rsidR="005662E1" w:rsidRPr="005662E1" w:rsidRDefault="005662E1" w:rsidP="005662E1">
      <w:pPr>
        <w:pStyle w:val="Ttulo1"/>
        <w:spacing w:before="0" w:beforeAutospacing="0" w:after="240" w:afterAutospacing="0"/>
        <w:rPr>
          <w:rStyle w:val="group-doi"/>
          <w:rFonts w:ascii="Arial" w:hAnsi="Arial" w:cs="Arial"/>
          <w:sz w:val="22"/>
          <w:szCs w:val="22"/>
          <w:shd w:val="clear" w:color="auto" w:fill="FFFFFF"/>
        </w:rPr>
      </w:pPr>
      <w:r w:rsidRPr="005662E1">
        <w:rPr>
          <w:rFonts w:ascii="Arial" w:hAnsi="Arial" w:cs="Arial"/>
          <w:b w:val="0"/>
          <w:bCs w:val="0"/>
          <w:sz w:val="22"/>
          <w:szCs w:val="22"/>
        </w:rPr>
        <w:t>HARVEY, D</w:t>
      </w:r>
      <w:r w:rsidRPr="005662E1">
        <w:rPr>
          <w:rFonts w:ascii="Arial" w:hAnsi="Arial" w:cs="Arial"/>
          <w:sz w:val="22"/>
          <w:szCs w:val="22"/>
        </w:rPr>
        <w:t xml:space="preserve">. A Condição do Pós-Moderno. </w:t>
      </w:r>
      <w:r w:rsidRPr="005662E1">
        <w:rPr>
          <w:rFonts w:ascii="Arial" w:hAnsi="Arial" w:cs="Arial"/>
          <w:b w:val="0"/>
          <w:bCs w:val="0"/>
          <w:sz w:val="22"/>
          <w:szCs w:val="22"/>
        </w:rPr>
        <w:t>São Paulo, Loyola:1993</w:t>
      </w:r>
      <w:r w:rsidRPr="005662E1">
        <w:rPr>
          <w:rFonts w:ascii="Arial" w:hAnsi="Arial" w:cs="Arial"/>
          <w:sz w:val="22"/>
          <w:szCs w:val="22"/>
        </w:rPr>
        <w:t xml:space="preserve">  </w:t>
      </w:r>
    </w:p>
    <w:p w14:paraId="16BF1A85" w14:textId="77777777" w:rsidR="005662E1" w:rsidRPr="005662E1" w:rsidRDefault="005662E1" w:rsidP="005662E1">
      <w:pPr>
        <w:pStyle w:val="Ttulo1"/>
        <w:spacing w:before="0" w:beforeAutospacing="0" w:after="240" w:afterAutospacing="0"/>
        <w:rPr>
          <w:rFonts w:ascii="Arial" w:hAnsi="Arial" w:cs="Arial"/>
          <w:b w:val="0"/>
          <w:bCs w:val="0"/>
          <w:spacing w:val="-6"/>
          <w:sz w:val="22"/>
          <w:szCs w:val="22"/>
        </w:rPr>
      </w:pPr>
      <w:r w:rsidRPr="005662E1">
        <w:rPr>
          <w:rFonts w:ascii="Arial" w:hAnsi="Arial" w:cs="Arial"/>
          <w:b w:val="0"/>
          <w:bCs w:val="0"/>
          <w:sz w:val="22"/>
          <w:szCs w:val="22"/>
        </w:rPr>
        <w:t>MACPHERSON, C. B</w:t>
      </w:r>
      <w:r w:rsidRPr="005662E1">
        <w:rPr>
          <w:rFonts w:ascii="Arial" w:hAnsi="Arial" w:cs="Arial"/>
          <w:sz w:val="22"/>
          <w:szCs w:val="22"/>
        </w:rPr>
        <w:t>. A teoria política do individualismo possessivo de Hobbes e Locke.</w:t>
      </w:r>
      <w:r w:rsidRPr="005662E1">
        <w:rPr>
          <w:rFonts w:ascii="Arial" w:hAnsi="Arial" w:cs="Arial"/>
          <w:b w:val="0"/>
          <w:bCs w:val="0"/>
          <w:sz w:val="22"/>
          <w:szCs w:val="22"/>
        </w:rPr>
        <w:t xml:space="preserve"> Rio de Janeiro: Paz e Terra, 1979. (Capítulos V sobre Locke).</w:t>
      </w:r>
    </w:p>
    <w:p w14:paraId="3C692540"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MARX, K. </w:t>
      </w:r>
      <w:r w:rsidRPr="005662E1">
        <w:rPr>
          <w:rFonts w:ascii="Arial" w:hAnsi="Arial" w:cs="Arial"/>
          <w:b/>
          <w:bCs/>
        </w:rPr>
        <w:t>O Capital. Crítica da Economia Política.</w:t>
      </w:r>
      <w:r w:rsidRPr="005662E1">
        <w:rPr>
          <w:rFonts w:ascii="Arial" w:hAnsi="Arial" w:cs="Arial"/>
        </w:rPr>
        <w:t xml:space="preserve"> São Paulo, Nova Cultural:1988. livro I, Vol. I</w:t>
      </w:r>
    </w:p>
    <w:p w14:paraId="28C6E649" w14:textId="77777777" w:rsidR="005662E1" w:rsidRPr="005662E1" w:rsidRDefault="005662E1" w:rsidP="005662E1">
      <w:pPr>
        <w:spacing w:after="240" w:line="240" w:lineRule="auto"/>
        <w:rPr>
          <w:rFonts w:ascii="Arial" w:hAnsi="Arial" w:cs="Arial"/>
        </w:rPr>
      </w:pPr>
      <w:r w:rsidRPr="005662E1">
        <w:rPr>
          <w:rFonts w:ascii="Arial" w:hAnsi="Arial" w:cs="Arial"/>
        </w:rPr>
        <w:t>MILL, J. S.</w:t>
      </w:r>
      <w:r w:rsidRPr="005662E1">
        <w:rPr>
          <w:rFonts w:ascii="Arial" w:hAnsi="Arial" w:cs="Arial"/>
          <w:b/>
          <w:bCs/>
        </w:rPr>
        <w:t xml:space="preserve"> Princípio de Economia Política.  </w:t>
      </w:r>
      <w:r w:rsidRPr="005662E1">
        <w:rPr>
          <w:rFonts w:ascii="Arial" w:hAnsi="Arial" w:cs="Arial"/>
        </w:rPr>
        <w:t>São Paulo, Nova Cultural:1996 Vol. I, (Os Economistas)</w:t>
      </w:r>
    </w:p>
    <w:p w14:paraId="717D56C8" w14:textId="77777777" w:rsidR="005662E1" w:rsidRPr="005662E1" w:rsidRDefault="005662E1" w:rsidP="005662E1">
      <w:pPr>
        <w:pStyle w:val="Textbodyindent"/>
        <w:spacing w:after="240"/>
        <w:ind w:firstLine="0"/>
        <w:rPr>
          <w:sz w:val="22"/>
          <w:szCs w:val="22"/>
        </w:rPr>
      </w:pPr>
      <w:r w:rsidRPr="005662E1">
        <w:rPr>
          <w:rFonts w:ascii="Arial" w:hAnsi="Arial" w:cs="Arial"/>
          <w:sz w:val="22"/>
          <w:szCs w:val="22"/>
        </w:rPr>
        <w:t xml:space="preserve">MIRANDA, J. Os novos paradigmas do estado social. Conferência proferida em 28 de setembro de 2011, em Belo Horizonte, no </w:t>
      </w:r>
      <w:r w:rsidRPr="005662E1">
        <w:rPr>
          <w:rFonts w:ascii="Arial" w:hAnsi="Arial" w:cs="Arial"/>
          <w:b/>
          <w:sz w:val="22"/>
          <w:szCs w:val="22"/>
        </w:rPr>
        <w:t>XXXVII Congresso Nacional de Procuradores de Estado</w:t>
      </w:r>
      <w:r w:rsidRPr="005662E1">
        <w:rPr>
          <w:rFonts w:ascii="Arial" w:hAnsi="Arial" w:cs="Arial"/>
          <w:sz w:val="22"/>
          <w:szCs w:val="22"/>
        </w:rPr>
        <w:t xml:space="preserve">. Disponível em: &lt;&lt; </w:t>
      </w:r>
      <w:hyperlink r:id="rId12" w:history="1">
        <w:r w:rsidRPr="005662E1">
          <w:rPr>
            <w:rStyle w:val="Internetlink"/>
            <w:rFonts w:ascii="Arial" w:hAnsi="Arial" w:cs="Arial"/>
            <w:sz w:val="22"/>
            <w:szCs w:val="22"/>
          </w:rPr>
          <w:t>https://www.icjp.pt/sites/default/files/media/1116-2433.pdf</w:t>
        </w:r>
      </w:hyperlink>
      <w:r w:rsidRPr="005662E1">
        <w:rPr>
          <w:rFonts w:ascii="Arial" w:hAnsi="Arial" w:cs="Arial"/>
          <w:sz w:val="22"/>
          <w:szCs w:val="22"/>
        </w:rPr>
        <w:t>&gt;&gt; Acesso em 30 de agosto de 2021</w:t>
      </w:r>
    </w:p>
    <w:p w14:paraId="707735CF" w14:textId="77777777" w:rsidR="005662E1" w:rsidRPr="005662E1" w:rsidRDefault="005662E1" w:rsidP="005662E1">
      <w:pPr>
        <w:pStyle w:val="Textodenotaderodap"/>
        <w:spacing w:after="240"/>
        <w:rPr>
          <w:rFonts w:ascii="Arial" w:hAnsi="Arial" w:cs="Arial"/>
          <w:sz w:val="22"/>
          <w:szCs w:val="22"/>
        </w:rPr>
      </w:pPr>
      <w:r w:rsidRPr="005662E1">
        <w:rPr>
          <w:rFonts w:ascii="Arial" w:hAnsi="Arial" w:cs="Arial"/>
          <w:sz w:val="22"/>
          <w:szCs w:val="22"/>
        </w:rPr>
        <w:t>ONU, Declaração sobre o Direito ao Desenvolvimento. 1986. Declaração adotada pela Resolução n. 41/128 da Assembleia Geral das Nações Unidades, de 04 de dezembro de 1986. Disponível em: &lt;&lt;</w:t>
      </w:r>
      <w:hyperlink r:id="rId13" w:history="1">
        <w:r w:rsidRPr="005662E1">
          <w:rPr>
            <w:rStyle w:val="Hyperlink"/>
            <w:rFonts w:ascii="Arial" w:hAnsi="Arial" w:cs="Arial"/>
            <w:sz w:val="22"/>
            <w:szCs w:val="22"/>
          </w:rPr>
          <w:t>Biblioteca Virtual de Direitos Humanos da USP - Declaração sobre o Direito ao Desenvolvimento - 1986 | Direito ao Desenvolvimento</w:t>
        </w:r>
      </w:hyperlink>
      <w:r w:rsidRPr="005662E1">
        <w:rPr>
          <w:rFonts w:ascii="Arial" w:hAnsi="Arial" w:cs="Arial"/>
          <w:sz w:val="22"/>
          <w:szCs w:val="22"/>
        </w:rPr>
        <w:t>&gt;&gt; Acesso em 17 de setembro de 2021.</w:t>
      </w:r>
    </w:p>
    <w:p w14:paraId="2858297B"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PEREIRA, W. E. N. </w:t>
      </w:r>
      <w:hyperlink r:id="rId14" w:history="1">
        <w:r w:rsidRPr="005662E1">
          <w:rPr>
            <w:rStyle w:val="Hyperlink"/>
            <w:rFonts w:ascii="Arial" w:hAnsi="Arial" w:cs="Arial"/>
            <w:shd w:val="clear" w:color="auto" w:fill="FFFFFF"/>
          </w:rPr>
          <w:t>Do Estado Liberal ao Neoliberal</w:t>
        </w:r>
      </w:hyperlink>
      <w:r w:rsidRPr="005662E1">
        <w:rPr>
          <w:rFonts w:ascii="Arial" w:hAnsi="Arial" w:cs="Arial"/>
        </w:rPr>
        <w:t>.</w:t>
      </w:r>
      <w:r w:rsidRPr="005662E1">
        <w:rPr>
          <w:rFonts w:ascii="Arial" w:eastAsia="Times New Roman" w:hAnsi="Arial" w:cs="Arial"/>
        </w:rPr>
        <w:t xml:space="preserve"> </w:t>
      </w:r>
      <w:r w:rsidRPr="005662E1">
        <w:rPr>
          <w:rFonts w:ascii="Arial" w:hAnsi="Arial" w:cs="Arial"/>
        </w:rPr>
        <w:t xml:space="preserve">Revista </w:t>
      </w:r>
      <w:r w:rsidRPr="005662E1">
        <w:rPr>
          <w:rFonts w:ascii="Arial" w:hAnsi="Arial" w:cs="Arial"/>
          <w:b/>
          <w:bCs/>
        </w:rPr>
        <w:t>INTERFACE</w:t>
      </w:r>
      <w:r w:rsidRPr="005662E1">
        <w:rPr>
          <w:rFonts w:ascii="Arial" w:hAnsi="Arial" w:cs="Arial"/>
        </w:rPr>
        <w:t xml:space="preserve">, 1 (01), 11-24, Disponível em: &lt;&lt; </w:t>
      </w:r>
      <w:hyperlink r:id="rId15" w:history="1">
        <w:r w:rsidRPr="005662E1">
          <w:rPr>
            <w:rStyle w:val="Hyperlink"/>
            <w:rFonts w:ascii="Arial" w:hAnsi="Arial" w:cs="Arial"/>
          </w:rPr>
          <w:t>Do Estado Liberal ao Neoliberal | Revista INTERFACE - UFRN/CCSA ISSN Eletrônico 2237-7506</w:t>
        </w:r>
      </w:hyperlink>
      <w:r w:rsidRPr="005662E1">
        <w:rPr>
          <w:rFonts w:ascii="Arial" w:hAnsi="Arial" w:cs="Arial"/>
        </w:rPr>
        <w:t>&gt;&gt; Acesso em 13 de setembro de 2021.</w:t>
      </w:r>
    </w:p>
    <w:p w14:paraId="593C2115"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POCHMANN, M. </w:t>
      </w:r>
      <w:r w:rsidRPr="005662E1">
        <w:rPr>
          <w:rFonts w:ascii="Arial" w:hAnsi="Arial" w:cs="Arial"/>
          <w:b/>
          <w:bCs/>
        </w:rPr>
        <w:t>O Trabalho sob Fogo Cruzado</w:t>
      </w:r>
      <w:r w:rsidRPr="005662E1">
        <w:rPr>
          <w:rFonts w:ascii="Arial" w:hAnsi="Arial" w:cs="Arial"/>
        </w:rPr>
        <w:t xml:space="preserve"> São Paulo, Contexto:1999</w:t>
      </w:r>
    </w:p>
    <w:p w14:paraId="72CE14D1" w14:textId="77777777" w:rsidR="005662E1" w:rsidRPr="005662E1" w:rsidRDefault="005662E1" w:rsidP="005662E1">
      <w:pPr>
        <w:spacing w:after="240" w:line="240" w:lineRule="auto"/>
        <w:rPr>
          <w:rFonts w:ascii="Arial" w:hAnsi="Arial" w:cs="Arial"/>
        </w:rPr>
      </w:pPr>
      <w:r w:rsidRPr="005662E1">
        <w:rPr>
          <w:rFonts w:ascii="Arial" w:hAnsi="Arial" w:cs="Arial"/>
        </w:rPr>
        <w:lastRenderedPageBreak/>
        <w:t>RAMOS, André de Carvalho.</w:t>
      </w:r>
      <w:r w:rsidRPr="005662E1">
        <w:rPr>
          <w:rFonts w:ascii="Arial" w:hAnsi="Arial" w:cs="Arial"/>
          <w:b/>
          <w:bCs/>
        </w:rPr>
        <w:t xml:space="preserve"> Curso de direitos humanos. </w:t>
      </w:r>
      <w:r w:rsidRPr="005662E1">
        <w:rPr>
          <w:rFonts w:ascii="Arial" w:hAnsi="Arial" w:cs="Arial"/>
        </w:rPr>
        <w:t>4. ed. – São Paulo: Saraiva, 2017</w:t>
      </w:r>
    </w:p>
    <w:p w14:paraId="67018F3C"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RICARDO, D. </w:t>
      </w:r>
      <w:r w:rsidRPr="005662E1">
        <w:rPr>
          <w:rFonts w:ascii="Arial" w:hAnsi="Arial" w:cs="Arial"/>
          <w:b/>
          <w:bCs/>
        </w:rPr>
        <w:t>Princípios de Economia Política e Tributação</w:t>
      </w:r>
      <w:r w:rsidRPr="005662E1">
        <w:rPr>
          <w:rFonts w:ascii="Arial" w:hAnsi="Arial" w:cs="Arial"/>
        </w:rPr>
        <w:t>, São Paulo, Abril Cultural, 1982 (Os Economistas)</w:t>
      </w:r>
    </w:p>
    <w:p w14:paraId="41E0CDA2" w14:textId="77777777" w:rsidR="005662E1" w:rsidRPr="005662E1" w:rsidRDefault="005662E1" w:rsidP="005662E1">
      <w:pPr>
        <w:spacing w:after="240" w:line="240" w:lineRule="auto"/>
        <w:rPr>
          <w:rFonts w:ascii="Arial" w:hAnsi="Arial" w:cs="Arial"/>
        </w:rPr>
      </w:pPr>
      <w:r w:rsidRPr="005662E1">
        <w:rPr>
          <w:rFonts w:ascii="Arial" w:hAnsi="Arial" w:cs="Arial"/>
        </w:rPr>
        <w:t>SANTOS, Boaventura de S. Estado social, estado providência e de bem-estar. IN:</w:t>
      </w:r>
      <w:r w:rsidRPr="005662E1">
        <w:rPr>
          <w:rFonts w:ascii="Arial" w:hAnsi="Arial" w:cs="Arial"/>
          <w:b/>
        </w:rPr>
        <w:t xml:space="preserve"> Carta Capital</w:t>
      </w:r>
      <w:r w:rsidRPr="005662E1">
        <w:rPr>
          <w:rFonts w:ascii="Arial" w:hAnsi="Arial" w:cs="Arial"/>
        </w:rPr>
        <w:t>. Disponível em: &lt;&lt;http://www.cartamaior.com.br/?/Editoria/Internacional/Estado-social-estado-providencia-e-de-bem-estar/6/26294&gt;&gt; Acesso em 10 de setembro de 2021.</w:t>
      </w:r>
    </w:p>
    <w:p w14:paraId="683D9BB6"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SEN, Amartya. </w:t>
      </w:r>
      <w:r w:rsidRPr="005662E1">
        <w:rPr>
          <w:rFonts w:ascii="Arial" w:hAnsi="Arial" w:cs="Arial"/>
          <w:b/>
          <w:bCs/>
        </w:rPr>
        <w:t>Desenvolvimento como Liberdade</w:t>
      </w:r>
      <w:r w:rsidRPr="005662E1">
        <w:rPr>
          <w:rFonts w:ascii="Arial" w:hAnsi="Arial" w:cs="Arial"/>
        </w:rPr>
        <w:t>. São Paulo: Companhia das Letras, 2000.</w:t>
      </w:r>
    </w:p>
    <w:p w14:paraId="1E8B897C"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SILVA, José Afonso da. </w:t>
      </w:r>
      <w:r w:rsidRPr="005662E1">
        <w:rPr>
          <w:rFonts w:ascii="Arial" w:hAnsi="Arial" w:cs="Arial"/>
          <w:b/>
          <w:bCs/>
        </w:rPr>
        <w:t>Curso de direito constitucional positivo</w:t>
      </w:r>
      <w:r w:rsidRPr="005662E1">
        <w:rPr>
          <w:rFonts w:ascii="Arial" w:hAnsi="Arial" w:cs="Arial"/>
        </w:rPr>
        <w:t>. 37ª ed. São Paulo: Malheiros, 2014</w:t>
      </w:r>
    </w:p>
    <w:p w14:paraId="6A2610E4"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SMITH, Adam. </w:t>
      </w:r>
      <w:r w:rsidRPr="005662E1">
        <w:rPr>
          <w:rFonts w:ascii="Arial" w:hAnsi="Arial" w:cs="Arial"/>
          <w:b/>
          <w:bCs/>
        </w:rPr>
        <w:t>A Riqueza das Nações</w:t>
      </w:r>
      <w:r w:rsidRPr="005662E1">
        <w:rPr>
          <w:rFonts w:ascii="Arial" w:hAnsi="Arial" w:cs="Arial"/>
        </w:rPr>
        <w:t>. Rio de Janeiro, Ediouro:1986</w:t>
      </w:r>
    </w:p>
    <w:p w14:paraId="5162F988"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SOUZA, N.A. de. </w:t>
      </w:r>
      <w:r w:rsidRPr="005662E1">
        <w:rPr>
          <w:rFonts w:ascii="Arial" w:hAnsi="Arial" w:cs="Arial"/>
          <w:b/>
          <w:bCs/>
        </w:rPr>
        <w:t xml:space="preserve"> O Colapso do Neoliberalismo. </w:t>
      </w:r>
      <w:r w:rsidRPr="005662E1">
        <w:rPr>
          <w:rFonts w:ascii="Arial" w:hAnsi="Arial" w:cs="Arial"/>
        </w:rPr>
        <w:t>São Paulo, Global:1995</w:t>
      </w:r>
    </w:p>
    <w:p w14:paraId="5D0BB62A"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TORRES, J. C. Brum. </w:t>
      </w:r>
      <w:r w:rsidRPr="005662E1">
        <w:rPr>
          <w:rFonts w:ascii="Arial" w:hAnsi="Arial" w:cs="Arial"/>
          <w:b/>
          <w:bCs/>
        </w:rPr>
        <w:t xml:space="preserve">Figuras do Estado Moderno. </w:t>
      </w:r>
      <w:r w:rsidRPr="005662E1">
        <w:rPr>
          <w:rFonts w:ascii="Arial" w:hAnsi="Arial" w:cs="Arial"/>
        </w:rPr>
        <w:t>São Paulo, Brasiliense:1989</w:t>
      </w:r>
    </w:p>
    <w:p w14:paraId="25584858" w14:textId="77777777" w:rsidR="005662E1" w:rsidRPr="005662E1" w:rsidRDefault="005662E1" w:rsidP="005662E1">
      <w:pPr>
        <w:spacing w:after="240" w:line="240" w:lineRule="auto"/>
        <w:rPr>
          <w:rFonts w:ascii="Arial" w:hAnsi="Arial" w:cs="Arial"/>
        </w:rPr>
      </w:pPr>
      <w:r w:rsidRPr="005662E1">
        <w:rPr>
          <w:rFonts w:ascii="Arial" w:eastAsia="Times New Roman" w:hAnsi="Arial" w:cs="Arial"/>
          <w:lang w:eastAsia="pt-BR"/>
        </w:rPr>
        <w:t>WEBER, Max. </w:t>
      </w:r>
      <w:r w:rsidRPr="005662E1">
        <w:rPr>
          <w:rFonts w:ascii="Arial" w:eastAsia="Times New Roman" w:hAnsi="Arial" w:cs="Arial"/>
          <w:b/>
          <w:bCs/>
          <w:lang w:eastAsia="pt-BR"/>
        </w:rPr>
        <w:t>A Ética Protestante e o Espírito do Capitalismo.</w:t>
      </w:r>
      <w:r w:rsidRPr="005662E1">
        <w:rPr>
          <w:rFonts w:ascii="Arial" w:eastAsia="Times New Roman" w:hAnsi="Arial" w:cs="Arial"/>
          <w:lang w:eastAsia="pt-BR"/>
        </w:rPr>
        <w:t xml:space="preserve"> São Paulo, Livraria Pioneira Editora: </w:t>
      </w:r>
      <w:r w:rsidRPr="005662E1">
        <w:rPr>
          <w:rFonts w:ascii="Arial" w:hAnsi="Arial" w:cs="Arial"/>
        </w:rPr>
        <w:t>1976</w:t>
      </w:r>
    </w:p>
    <w:p w14:paraId="46DC1EB3" w14:textId="77777777" w:rsidR="005662E1" w:rsidRPr="005662E1" w:rsidRDefault="005662E1" w:rsidP="005662E1">
      <w:pPr>
        <w:spacing w:after="240" w:line="240" w:lineRule="auto"/>
        <w:rPr>
          <w:rFonts w:ascii="Arial" w:hAnsi="Arial" w:cs="Arial"/>
        </w:rPr>
      </w:pPr>
      <w:r w:rsidRPr="005662E1">
        <w:rPr>
          <w:rFonts w:ascii="Arial" w:hAnsi="Arial" w:cs="Arial"/>
        </w:rPr>
        <w:t xml:space="preserve">WOLFF, R. P. </w:t>
      </w:r>
      <w:r w:rsidRPr="005662E1">
        <w:rPr>
          <w:rFonts w:ascii="Arial" w:hAnsi="Arial" w:cs="Arial"/>
          <w:b/>
          <w:bCs/>
        </w:rPr>
        <w:t xml:space="preserve"> A Miséria do Liberalismo.</w:t>
      </w:r>
      <w:r w:rsidRPr="005662E1">
        <w:rPr>
          <w:rFonts w:ascii="Arial" w:hAnsi="Arial" w:cs="Arial"/>
        </w:rPr>
        <w:t xml:space="preserve"> Rio de Janeiro, Paz e Terra:1989</w:t>
      </w:r>
    </w:p>
    <w:p w14:paraId="0592A4DA" w14:textId="77777777" w:rsidR="005662E1" w:rsidRPr="005662E1" w:rsidRDefault="005662E1" w:rsidP="005662E1">
      <w:pPr>
        <w:spacing w:after="240" w:line="240" w:lineRule="auto"/>
        <w:rPr>
          <w:rFonts w:ascii="Arial" w:hAnsi="Arial" w:cs="Arial"/>
        </w:rPr>
      </w:pPr>
    </w:p>
    <w:p w14:paraId="29B83E02" w14:textId="77777777" w:rsidR="00DF3835" w:rsidRPr="005662E1" w:rsidRDefault="00DF3835">
      <w:pPr>
        <w:spacing w:after="0" w:line="360" w:lineRule="auto"/>
        <w:jc w:val="both"/>
        <w:rPr>
          <w:rFonts w:ascii="Times New Roman" w:hAnsi="Times New Roman"/>
        </w:rPr>
      </w:pPr>
    </w:p>
    <w:sectPr w:rsidR="00DF3835" w:rsidRPr="005662E1">
      <w:headerReference w:type="default" r:id="rId16"/>
      <w:footerReference w:type="default" r:id="rId17"/>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07E9D" w14:textId="77777777" w:rsidR="00DF3835" w:rsidRDefault="002128A1">
      <w:pPr>
        <w:spacing w:line="240" w:lineRule="auto"/>
      </w:pPr>
      <w:r>
        <w:separator/>
      </w:r>
    </w:p>
  </w:endnote>
  <w:endnote w:type="continuationSeparator" w:id="0">
    <w:p w14:paraId="64767E0A" w14:textId="77777777" w:rsidR="00DF3835" w:rsidRDefault="002128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60072" w14:textId="77777777" w:rsidR="00DF3835" w:rsidRDefault="002128A1">
    <w:pPr>
      <w:pStyle w:val="Rodap"/>
      <w:jc w:val="both"/>
      <w:rPr>
        <w:rFonts w:ascii="Times New Roman" w:hAnsi="Times New Roman"/>
        <w:sz w:val="20"/>
        <w:szCs w:val="20"/>
      </w:rPr>
    </w:pPr>
    <w:r>
      <w:rPr>
        <w:noProof/>
      </w:rPr>
      <mc:AlternateContent>
        <mc:Choice Requires="wps">
          <w:drawing>
            <wp:anchor distT="0" distB="0" distL="114300" distR="114300" simplePos="0" relativeHeight="251661312" behindDoc="1" locked="0" layoutInCell="1" allowOverlap="1" wp14:anchorId="2B809F54" wp14:editId="006D1E3B">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6E5BD181" w14:textId="77777777" w:rsidR="00DF3835" w:rsidRDefault="00DF3835">
    <w:pPr>
      <w:pStyle w:val="Rodap"/>
      <w:jc w:val="both"/>
      <w:rPr>
        <w:rFonts w:ascii="Times New Roman" w:hAnsi="Times New Roman"/>
        <w:sz w:val="20"/>
        <w:szCs w:val="20"/>
      </w:rPr>
    </w:pPr>
  </w:p>
  <w:p w14:paraId="538135A0" w14:textId="77777777" w:rsidR="00DF3835" w:rsidRDefault="002128A1">
    <w:pPr>
      <w:pStyle w:val="Rodap"/>
      <w:jc w:val="both"/>
      <w:rPr>
        <w:rFonts w:ascii="Times New Roman" w:hAnsi="Times New Roman"/>
        <w:sz w:val="20"/>
        <w:szCs w:val="20"/>
      </w:rPr>
    </w:pPr>
    <w:r>
      <w:rPr>
        <w:rFonts w:ascii="Times New Roman" w:hAnsi="Times New Roman"/>
        <w:sz w:val="20"/>
        <w:szCs w:val="20"/>
      </w:rPr>
      <w:t xml:space="preserve">VI SEDRES. Seminário de Desenvolvimento Regional, Estado e Sociedade. Crato - </w:t>
    </w:r>
    <w:proofErr w:type="spellStart"/>
    <w:r>
      <w:rPr>
        <w:rFonts w:ascii="Times New Roman" w:hAnsi="Times New Roman"/>
        <w:sz w:val="20"/>
        <w:szCs w:val="20"/>
      </w:rPr>
      <w:t>Ce</w:t>
    </w:r>
    <w:proofErr w:type="spellEnd"/>
    <w:r>
      <w:rPr>
        <w:rFonts w:ascii="Times New Roman" w:hAnsi="Times New Roman"/>
        <w:sz w:val="20"/>
        <w:szCs w:val="20"/>
      </w:rPr>
      <w:t>, 06 a 08 de dezembro de 2022. ISSN 2358-4408.</w:t>
    </w:r>
  </w:p>
  <w:p w14:paraId="1EF32D65" w14:textId="77777777" w:rsidR="00DF3835" w:rsidRDefault="00DF3835">
    <w:pPr>
      <w:pStyle w:val="Rodap"/>
      <w:jc w:val="both"/>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F9318" w14:textId="77777777" w:rsidR="00DF3835" w:rsidRDefault="002128A1">
      <w:pPr>
        <w:spacing w:after="0"/>
      </w:pPr>
      <w:r>
        <w:separator/>
      </w:r>
    </w:p>
  </w:footnote>
  <w:footnote w:type="continuationSeparator" w:id="0">
    <w:p w14:paraId="495474E5" w14:textId="77777777" w:rsidR="00DF3835" w:rsidRDefault="002128A1">
      <w:pPr>
        <w:spacing w:after="0"/>
      </w:pPr>
      <w:r>
        <w:continuationSeparator/>
      </w:r>
    </w:p>
  </w:footnote>
  <w:footnote w:id="1">
    <w:p w14:paraId="37FD08F0"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DALLARI, Dalmo. </w:t>
      </w:r>
      <w:r w:rsidRPr="00E73BB8">
        <w:rPr>
          <w:rFonts w:ascii="Arial" w:hAnsi="Arial" w:cs="Arial"/>
          <w:b/>
          <w:bCs/>
          <w:sz w:val="18"/>
          <w:szCs w:val="18"/>
        </w:rPr>
        <w:t xml:space="preserve">O Futuro do Estado. </w:t>
      </w:r>
      <w:r w:rsidRPr="00E73BB8">
        <w:rPr>
          <w:rFonts w:ascii="Arial" w:hAnsi="Arial" w:cs="Arial"/>
          <w:sz w:val="18"/>
          <w:szCs w:val="18"/>
        </w:rPr>
        <w:t>Ed. Saraiva, SP 1972, p. 104</w:t>
      </w:r>
    </w:p>
  </w:footnote>
  <w:footnote w:id="2">
    <w:p w14:paraId="014CBA9B" w14:textId="77777777" w:rsidR="005662E1" w:rsidRPr="00E73BB8" w:rsidRDefault="005662E1" w:rsidP="005662E1">
      <w:pPr>
        <w:spacing w:after="0" w:line="240" w:lineRule="auto"/>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BASTOS, C. R. </w:t>
      </w:r>
      <w:r w:rsidRPr="00E73BB8">
        <w:rPr>
          <w:rFonts w:ascii="Arial" w:hAnsi="Arial" w:cs="Arial"/>
          <w:b/>
          <w:bCs/>
          <w:sz w:val="18"/>
          <w:szCs w:val="18"/>
        </w:rPr>
        <w:t>Curso de Teoria do Estado e Ciência Política.</w:t>
      </w:r>
      <w:r w:rsidRPr="00E73BB8">
        <w:rPr>
          <w:rFonts w:ascii="Arial" w:hAnsi="Arial" w:cs="Arial"/>
          <w:sz w:val="18"/>
          <w:szCs w:val="18"/>
        </w:rPr>
        <w:t xml:space="preserve"> São Paulo, Saraiva: 1995, p. 10</w:t>
      </w:r>
    </w:p>
  </w:footnote>
  <w:footnote w:id="3">
    <w:p w14:paraId="779F707F"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TORRES, J. C. Brum. </w:t>
      </w:r>
      <w:r w:rsidRPr="00E73BB8">
        <w:rPr>
          <w:rFonts w:ascii="Arial" w:hAnsi="Arial" w:cs="Arial"/>
          <w:b/>
          <w:bCs/>
          <w:sz w:val="18"/>
          <w:szCs w:val="18"/>
        </w:rPr>
        <w:t xml:space="preserve">Figuras do Estado Moderno. </w:t>
      </w:r>
      <w:r w:rsidRPr="00E73BB8">
        <w:rPr>
          <w:rFonts w:ascii="Arial" w:hAnsi="Arial" w:cs="Arial"/>
          <w:sz w:val="18"/>
          <w:szCs w:val="18"/>
        </w:rPr>
        <w:t>São Paulo, Brasiliense: 1989, p. 40</w:t>
      </w:r>
    </w:p>
  </w:footnote>
  <w:footnote w:id="4">
    <w:p w14:paraId="3AABAE13" w14:textId="77777777" w:rsidR="005662E1" w:rsidRPr="00E73BB8" w:rsidRDefault="005662E1" w:rsidP="005662E1">
      <w:pPr>
        <w:pStyle w:val="Ttulo1"/>
        <w:spacing w:before="0" w:beforeAutospacing="0" w:after="180" w:afterAutospacing="0"/>
        <w:jc w:val="both"/>
        <w:rPr>
          <w:rFonts w:ascii="Arial" w:hAnsi="Arial" w:cs="Arial"/>
          <w:b w:val="0"/>
          <w:bCs w:val="0"/>
          <w:spacing w:val="-6"/>
          <w:sz w:val="18"/>
          <w:szCs w:val="18"/>
        </w:rPr>
      </w:pPr>
      <w:r w:rsidRPr="00E73BB8">
        <w:rPr>
          <w:rStyle w:val="Refdenotaderodap"/>
          <w:rFonts w:ascii="Arial" w:hAnsi="Arial" w:cs="Arial"/>
          <w:b w:val="0"/>
          <w:bCs w:val="0"/>
          <w:sz w:val="18"/>
          <w:szCs w:val="18"/>
        </w:rPr>
        <w:footnoteRef/>
      </w:r>
      <w:r w:rsidRPr="00E73BB8">
        <w:rPr>
          <w:rFonts w:ascii="Arial" w:hAnsi="Arial" w:cs="Arial"/>
          <w:b w:val="0"/>
          <w:bCs w:val="0"/>
          <w:sz w:val="18"/>
          <w:szCs w:val="18"/>
        </w:rPr>
        <w:t xml:space="preserve"> Destaque-se: </w:t>
      </w:r>
      <w:bookmarkStart w:id="0" w:name="_Hlk82199757"/>
      <w:r w:rsidRPr="00E73BB8">
        <w:rPr>
          <w:rFonts w:ascii="Arial" w:hAnsi="Arial" w:cs="Arial"/>
          <w:b w:val="0"/>
          <w:bCs w:val="0"/>
          <w:sz w:val="18"/>
          <w:szCs w:val="18"/>
        </w:rPr>
        <w:t>WEBER, Max. </w:t>
      </w:r>
      <w:r w:rsidRPr="00E73BB8">
        <w:rPr>
          <w:rFonts w:ascii="Arial" w:hAnsi="Arial" w:cs="Arial"/>
          <w:sz w:val="18"/>
          <w:szCs w:val="18"/>
        </w:rPr>
        <w:t>A Ética Protestante e o Espírito do Capitalismo</w:t>
      </w:r>
      <w:r w:rsidRPr="00E73BB8">
        <w:rPr>
          <w:rFonts w:ascii="Arial" w:hAnsi="Arial" w:cs="Arial"/>
          <w:b w:val="0"/>
          <w:bCs w:val="0"/>
          <w:sz w:val="18"/>
          <w:szCs w:val="18"/>
        </w:rPr>
        <w:t>. São Paulo: Livraria Pioneira Editora.1976</w:t>
      </w:r>
      <w:bookmarkEnd w:id="0"/>
      <w:r w:rsidRPr="00E73BB8">
        <w:rPr>
          <w:rFonts w:ascii="Arial" w:hAnsi="Arial" w:cs="Arial"/>
          <w:b w:val="0"/>
          <w:bCs w:val="0"/>
          <w:sz w:val="18"/>
          <w:szCs w:val="18"/>
        </w:rPr>
        <w:t>; ANDERSON, Perry. </w:t>
      </w:r>
      <w:r w:rsidRPr="00E73BB8">
        <w:rPr>
          <w:rFonts w:ascii="Arial" w:hAnsi="Arial" w:cs="Arial"/>
          <w:sz w:val="18"/>
          <w:szCs w:val="18"/>
        </w:rPr>
        <w:t>Linhagens do Estado absolutista</w:t>
      </w:r>
      <w:r w:rsidRPr="00E73BB8">
        <w:rPr>
          <w:rFonts w:ascii="Arial" w:hAnsi="Arial" w:cs="Arial"/>
          <w:b w:val="0"/>
          <w:bCs w:val="0"/>
          <w:sz w:val="18"/>
          <w:szCs w:val="18"/>
        </w:rPr>
        <w:t> Porto: Editora Afrontamento. 1984 e FLORENZANO, M.</w:t>
      </w:r>
      <w:r w:rsidRPr="00E73BB8">
        <w:rPr>
          <w:rFonts w:ascii="Arial" w:hAnsi="Arial" w:cs="Arial"/>
          <w:b w:val="0"/>
          <w:bCs w:val="0"/>
          <w:spacing w:val="-6"/>
          <w:sz w:val="18"/>
          <w:szCs w:val="18"/>
        </w:rPr>
        <w:t xml:space="preserve"> Sobre as origens e o desenvolvimento do estado moderno no ocidente. </w:t>
      </w:r>
      <w:r w:rsidRPr="00E73BB8">
        <w:rPr>
          <w:rStyle w:val="separator"/>
          <w:rFonts w:ascii="Arial" w:hAnsi="Arial" w:cs="Arial"/>
          <w:sz w:val="18"/>
          <w:szCs w:val="18"/>
          <w:shd w:val="clear" w:color="auto" w:fill="FFFFFF"/>
        </w:rPr>
        <w:t> </w:t>
      </w:r>
      <w:r w:rsidRPr="00E73BB8">
        <w:rPr>
          <w:rStyle w:val="editionmeta"/>
          <w:rFonts w:ascii="Arial" w:eastAsia="Calibri" w:hAnsi="Arial" w:cs="Arial"/>
          <w:sz w:val="18"/>
          <w:szCs w:val="18"/>
          <w:shd w:val="clear" w:color="auto" w:fill="FFFFFF"/>
        </w:rPr>
        <w:t>Lua Nova: Revista de Cultura e Política. (71), São Paulo,</w:t>
      </w:r>
      <w:r w:rsidRPr="00E73BB8">
        <w:rPr>
          <w:rStyle w:val="separator"/>
          <w:rFonts w:ascii="Arial" w:hAnsi="Arial" w:cs="Arial"/>
          <w:sz w:val="18"/>
          <w:szCs w:val="18"/>
          <w:shd w:val="clear" w:color="auto" w:fill="FFFFFF"/>
        </w:rPr>
        <w:t> </w:t>
      </w:r>
      <w:r w:rsidRPr="00E73BB8">
        <w:rPr>
          <w:rStyle w:val="editionmeta"/>
          <w:rFonts w:ascii="Arial" w:eastAsia="Calibri" w:hAnsi="Arial" w:cs="Arial"/>
          <w:sz w:val="18"/>
          <w:szCs w:val="18"/>
          <w:shd w:val="clear" w:color="auto" w:fill="FFFFFF"/>
        </w:rPr>
        <w:t>2007</w:t>
      </w:r>
      <w:r w:rsidRPr="00E73BB8">
        <w:rPr>
          <w:rStyle w:val="separator"/>
          <w:rFonts w:ascii="Arial" w:hAnsi="Arial" w:cs="Arial"/>
          <w:sz w:val="18"/>
          <w:szCs w:val="18"/>
          <w:shd w:val="clear" w:color="auto" w:fill="FFFFFF"/>
        </w:rPr>
        <w:t> • </w:t>
      </w:r>
      <w:hyperlink r:id="rId1" w:tgtFrame="_blank" w:history="1">
        <w:r w:rsidRPr="00E73BB8">
          <w:rPr>
            <w:rStyle w:val="Hyperlink"/>
            <w:rFonts w:ascii="Arial" w:hAnsi="Arial" w:cs="Arial"/>
            <w:sz w:val="18"/>
            <w:szCs w:val="18"/>
          </w:rPr>
          <w:t>https://doi.org/10.1590/S0102-64452007000200002</w:t>
        </w:r>
      </w:hyperlink>
    </w:p>
    <w:p w14:paraId="6741F088" w14:textId="77777777" w:rsidR="005662E1" w:rsidRPr="00E87264" w:rsidRDefault="005662E1" w:rsidP="005662E1">
      <w:pPr>
        <w:shd w:val="clear" w:color="auto" w:fill="FFFFFF"/>
        <w:spacing w:after="0" w:line="262" w:lineRule="atLeast"/>
        <w:rPr>
          <w:rFonts w:ascii="Arial" w:eastAsia="Times New Roman" w:hAnsi="Arial" w:cs="Arial"/>
          <w:color w:val="403D39"/>
          <w:sz w:val="23"/>
          <w:szCs w:val="23"/>
          <w:lang w:eastAsia="pt-BR"/>
        </w:rPr>
      </w:pPr>
    </w:p>
    <w:p w14:paraId="67B5853E" w14:textId="77777777" w:rsidR="005662E1" w:rsidRPr="003745B6" w:rsidRDefault="005662E1" w:rsidP="005662E1">
      <w:pPr>
        <w:shd w:val="clear" w:color="auto" w:fill="FFFFFF"/>
        <w:spacing w:after="0" w:line="262" w:lineRule="atLeast"/>
        <w:rPr>
          <w:rFonts w:ascii="Arial" w:eastAsia="Times New Roman" w:hAnsi="Arial" w:cs="Arial"/>
          <w:color w:val="403D39"/>
          <w:sz w:val="20"/>
          <w:szCs w:val="20"/>
          <w:lang w:eastAsia="pt-BR"/>
        </w:rPr>
      </w:pPr>
    </w:p>
  </w:footnote>
  <w:footnote w:id="5">
    <w:p w14:paraId="39C594AF"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MARX, K. </w:t>
      </w:r>
      <w:r w:rsidRPr="00E73BB8">
        <w:rPr>
          <w:rFonts w:ascii="Arial" w:hAnsi="Arial" w:cs="Arial"/>
          <w:b/>
          <w:bCs/>
          <w:sz w:val="18"/>
          <w:szCs w:val="18"/>
        </w:rPr>
        <w:t>O Capital. Crítica da Economia Política.</w:t>
      </w:r>
      <w:r w:rsidRPr="00E73BB8">
        <w:rPr>
          <w:rFonts w:ascii="Arial" w:hAnsi="Arial" w:cs="Arial"/>
          <w:sz w:val="18"/>
          <w:szCs w:val="18"/>
        </w:rPr>
        <w:t xml:space="preserve"> São Paulo, Nova Cultural:1988. livro I, Vol. I</w:t>
      </w:r>
    </w:p>
  </w:footnote>
  <w:footnote w:id="6">
    <w:p w14:paraId="6BE5CC65"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rFonts w:ascii="Arial" w:hAnsi="Arial" w:cs="Arial"/>
          <w:sz w:val="18"/>
          <w:szCs w:val="18"/>
        </w:rPr>
        <w:footnoteRef/>
      </w:r>
      <w:r w:rsidRPr="00E73BB8">
        <w:rPr>
          <w:rFonts w:ascii="Arial" w:hAnsi="Arial" w:cs="Arial"/>
          <w:sz w:val="18"/>
          <w:szCs w:val="18"/>
        </w:rPr>
        <w:t xml:space="preserve"> SMITH, Adam. </w:t>
      </w:r>
      <w:r w:rsidRPr="00E73BB8">
        <w:rPr>
          <w:rFonts w:ascii="Arial" w:hAnsi="Arial" w:cs="Arial"/>
          <w:b/>
          <w:bCs/>
          <w:sz w:val="18"/>
          <w:szCs w:val="18"/>
        </w:rPr>
        <w:t>A Riqueza das Nações</w:t>
      </w:r>
      <w:r w:rsidRPr="00E73BB8">
        <w:rPr>
          <w:rFonts w:ascii="Arial" w:hAnsi="Arial" w:cs="Arial"/>
          <w:sz w:val="18"/>
          <w:szCs w:val="18"/>
        </w:rPr>
        <w:t>. Rio de Janeiro, Ediouro:1986</w:t>
      </w:r>
    </w:p>
  </w:footnote>
  <w:footnote w:id="7">
    <w:p w14:paraId="69DF4230" w14:textId="77777777" w:rsidR="005662E1" w:rsidRPr="00E73BB8" w:rsidRDefault="005662E1" w:rsidP="005662E1">
      <w:pPr>
        <w:pStyle w:val="Textodenotaderodap"/>
        <w:rPr>
          <w:sz w:val="18"/>
          <w:szCs w:val="18"/>
        </w:rPr>
      </w:pPr>
      <w:r w:rsidRPr="00E73BB8">
        <w:rPr>
          <w:rStyle w:val="Refdenotaderodap"/>
          <w:rFonts w:ascii="Arial" w:hAnsi="Arial" w:cs="Arial"/>
          <w:sz w:val="18"/>
          <w:szCs w:val="18"/>
        </w:rPr>
        <w:footnoteRef/>
      </w:r>
      <w:r w:rsidRPr="00E73BB8">
        <w:rPr>
          <w:rFonts w:ascii="Arial" w:hAnsi="Arial" w:cs="Arial"/>
          <w:sz w:val="18"/>
          <w:szCs w:val="18"/>
        </w:rPr>
        <w:t xml:space="preserve"> RICARDO, D. </w:t>
      </w:r>
      <w:r w:rsidRPr="00E73BB8">
        <w:rPr>
          <w:rFonts w:ascii="Arial" w:hAnsi="Arial" w:cs="Arial"/>
          <w:b/>
          <w:bCs/>
          <w:sz w:val="18"/>
          <w:szCs w:val="18"/>
        </w:rPr>
        <w:t>Princípios de Economia Política e Tributação</w:t>
      </w:r>
      <w:r w:rsidRPr="00E73BB8">
        <w:rPr>
          <w:rFonts w:ascii="Arial" w:hAnsi="Arial" w:cs="Arial"/>
          <w:sz w:val="18"/>
          <w:szCs w:val="18"/>
        </w:rPr>
        <w:t>, São Paulo, Abril Cultural, 1982 (Os Economistas)</w:t>
      </w:r>
    </w:p>
  </w:footnote>
  <w:footnote w:id="8">
    <w:p w14:paraId="34FB2340"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MACPHERSON, C. B. </w:t>
      </w:r>
      <w:r w:rsidRPr="00E73BB8">
        <w:rPr>
          <w:rFonts w:ascii="Arial" w:hAnsi="Arial" w:cs="Arial"/>
          <w:b/>
          <w:sz w:val="18"/>
          <w:szCs w:val="18"/>
        </w:rPr>
        <w:t>A teoria política do individualismo possessivo de Hobbes e Locke.</w:t>
      </w:r>
      <w:r w:rsidRPr="00E73BB8">
        <w:rPr>
          <w:rFonts w:ascii="Arial" w:hAnsi="Arial" w:cs="Arial"/>
          <w:sz w:val="18"/>
          <w:szCs w:val="18"/>
        </w:rPr>
        <w:t xml:space="preserve"> Rio de Janeiro: Paz e Terra, 1979. (Capítulos V sobre Locke).</w:t>
      </w:r>
    </w:p>
  </w:footnote>
  <w:footnote w:id="9">
    <w:p w14:paraId="218412BD"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BONAVIDES, Paulo. </w:t>
      </w:r>
      <w:r w:rsidRPr="00E73BB8">
        <w:rPr>
          <w:rStyle w:val="nfase"/>
          <w:rFonts w:ascii="Arial" w:hAnsi="Arial" w:cs="Arial"/>
          <w:b/>
          <w:sz w:val="18"/>
          <w:szCs w:val="18"/>
        </w:rPr>
        <w:t>Do</w:t>
      </w:r>
      <w:r w:rsidRPr="00E73BB8">
        <w:rPr>
          <w:rFonts w:ascii="Arial" w:hAnsi="Arial" w:cs="Arial"/>
          <w:b/>
          <w:i/>
          <w:sz w:val="18"/>
          <w:szCs w:val="18"/>
        </w:rPr>
        <w:t xml:space="preserve"> </w:t>
      </w:r>
      <w:r w:rsidRPr="00E73BB8">
        <w:rPr>
          <w:rStyle w:val="nfase"/>
          <w:rFonts w:ascii="Arial" w:hAnsi="Arial" w:cs="Arial"/>
          <w:b/>
          <w:sz w:val="18"/>
          <w:szCs w:val="18"/>
        </w:rPr>
        <w:t>estado</w:t>
      </w:r>
      <w:r w:rsidRPr="00E73BB8">
        <w:rPr>
          <w:rFonts w:ascii="Arial" w:hAnsi="Arial" w:cs="Arial"/>
          <w:b/>
          <w:i/>
          <w:sz w:val="18"/>
          <w:szCs w:val="18"/>
        </w:rPr>
        <w:t xml:space="preserve"> </w:t>
      </w:r>
      <w:r w:rsidRPr="00E73BB8">
        <w:rPr>
          <w:rStyle w:val="nfase"/>
          <w:rFonts w:ascii="Arial" w:hAnsi="Arial" w:cs="Arial"/>
          <w:b/>
          <w:sz w:val="18"/>
          <w:szCs w:val="18"/>
        </w:rPr>
        <w:t>liberal</w:t>
      </w:r>
      <w:r w:rsidRPr="00E73BB8">
        <w:rPr>
          <w:rFonts w:ascii="Arial" w:hAnsi="Arial" w:cs="Arial"/>
          <w:b/>
          <w:i/>
          <w:sz w:val="18"/>
          <w:szCs w:val="18"/>
        </w:rPr>
        <w:t xml:space="preserve"> </w:t>
      </w:r>
      <w:r w:rsidRPr="00E73BB8">
        <w:rPr>
          <w:rStyle w:val="nfase"/>
          <w:rFonts w:ascii="Arial" w:hAnsi="Arial" w:cs="Arial"/>
          <w:b/>
          <w:sz w:val="18"/>
          <w:szCs w:val="18"/>
        </w:rPr>
        <w:t>ao</w:t>
      </w:r>
      <w:r w:rsidRPr="00E73BB8">
        <w:rPr>
          <w:rFonts w:ascii="Arial" w:hAnsi="Arial" w:cs="Arial"/>
          <w:b/>
          <w:i/>
          <w:sz w:val="18"/>
          <w:szCs w:val="18"/>
        </w:rPr>
        <w:t xml:space="preserve"> </w:t>
      </w:r>
      <w:r w:rsidRPr="00E73BB8">
        <w:rPr>
          <w:rStyle w:val="nfase"/>
          <w:rFonts w:ascii="Arial" w:hAnsi="Arial" w:cs="Arial"/>
          <w:b/>
          <w:sz w:val="18"/>
          <w:szCs w:val="18"/>
        </w:rPr>
        <w:t>estado</w:t>
      </w:r>
      <w:r w:rsidRPr="00E73BB8">
        <w:rPr>
          <w:rFonts w:ascii="Arial" w:hAnsi="Arial" w:cs="Arial"/>
          <w:b/>
          <w:i/>
          <w:sz w:val="18"/>
          <w:szCs w:val="18"/>
        </w:rPr>
        <w:t xml:space="preserve"> </w:t>
      </w:r>
      <w:r w:rsidRPr="00E73BB8">
        <w:rPr>
          <w:rStyle w:val="nfase"/>
          <w:rFonts w:ascii="Arial" w:hAnsi="Arial" w:cs="Arial"/>
          <w:b/>
          <w:sz w:val="18"/>
          <w:szCs w:val="18"/>
        </w:rPr>
        <w:t>social</w:t>
      </w:r>
      <w:r w:rsidRPr="00E73BB8">
        <w:rPr>
          <w:rFonts w:ascii="Arial" w:hAnsi="Arial" w:cs="Arial"/>
          <w:sz w:val="18"/>
          <w:szCs w:val="18"/>
        </w:rPr>
        <w:t>. 8. ed. 2° tiragem, São Paulo, Malheiros, 2007</w:t>
      </w:r>
    </w:p>
  </w:footnote>
  <w:footnote w:id="10">
    <w:p w14:paraId="62CF90E2"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SANTOS, Boaventura de S. Estado social, estado providência e de bem-estar. IN:</w:t>
      </w:r>
      <w:r w:rsidRPr="00E73BB8">
        <w:rPr>
          <w:rFonts w:ascii="Arial" w:hAnsi="Arial" w:cs="Arial"/>
          <w:b/>
          <w:sz w:val="18"/>
          <w:szCs w:val="18"/>
        </w:rPr>
        <w:t xml:space="preserve"> Carta Capital</w:t>
      </w:r>
      <w:r w:rsidRPr="00E73BB8">
        <w:rPr>
          <w:rFonts w:ascii="Arial" w:hAnsi="Arial" w:cs="Arial"/>
          <w:sz w:val="18"/>
          <w:szCs w:val="18"/>
        </w:rPr>
        <w:t>. Disponível em: &lt;&lt;http://www.cartamaior.com.br/?/Editoria/Internacional/Estado-social-estado-providencia-e-de-bem-estar/6/26294&gt;&gt; Acesso em 10 de setembro de 2021.</w:t>
      </w:r>
    </w:p>
  </w:footnote>
  <w:footnote w:id="11">
    <w:p w14:paraId="4FF61F18"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SMITH, Adam. </w:t>
      </w:r>
      <w:r w:rsidRPr="00E73BB8">
        <w:rPr>
          <w:rFonts w:ascii="Arial" w:hAnsi="Arial" w:cs="Arial"/>
          <w:b/>
          <w:bCs/>
          <w:sz w:val="18"/>
          <w:szCs w:val="18"/>
        </w:rPr>
        <w:t>A Riqueza das Nações</w:t>
      </w:r>
      <w:r w:rsidRPr="00E73BB8">
        <w:rPr>
          <w:rFonts w:ascii="Arial" w:hAnsi="Arial" w:cs="Arial"/>
          <w:sz w:val="18"/>
          <w:szCs w:val="18"/>
        </w:rPr>
        <w:t>. Rio de Janeiro, Ediouro:1986</w:t>
      </w:r>
    </w:p>
  </w:footnote>
  <w:footnote w:id="12">
    <w:p w14:paraId="3013B243" w14:textId="77777777" w:rsidR="005662E1" w:rsidRPr="00E73BB8" w:rsidRDefault="005662E1" w:rsidP="005662E1">
      <w:pPr>
        <w:pStyle w:val="Textodenotaderodap"/>
        <w:rPr>
          <w:sz w:val="18"/>
          <w:szCs w:val="18"/>
        </w:rPr>
      </w:pPr>
      <w:r w:rsidRPr="00E73BB8">
        <w:rPr>
          <w:rStyle w:val="Refdenotaderodap"/>
          <w:sz w:val="18"/>
          <w:szCs w:val="18"/>
        </w:rPr>
        <w:footnoteRef/>
      </w:r>
      <w:r w:rsidRPr="00E73BB8">
        <w:rPr>
          <w:sz w:val="18"/>
          <w:szCs w:val="18"/>
        </w:rPr>
        <w:t xml:space="preserve">  Idem, ibidem, cap. IX. </w:t>
      </w:r>
    </w:p>
  </w:footnote>
  <w:footnote w:id="13">
    <w:p w14:paraId="7EAA864F"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ESPING-ANDERSEN, G. </w:t>
      </w:r>
      <w:r w:rsidRPr="00E73BB8">
        <w:rPr>
          <w:rFonts w:ascii="Arial" w:hAnsi="Arial" w:cs="Arial"/>
          <w:b/>
          <w:bCs/>
          <w:sz w:val="18"/>
          <w:szCs w:val="18"/>
        </w:rPr>
        <w:t xml:space="preserve">As Três Economias Políticas do Welfare </w:t>
      </w:r>
      <w:proofErr w:type="spellStart"/>
      <w:r w:rsidRPr="00E73BB8">
        <w:rPr>
          <w:rFonts w:ascii="Arial" w:hAnsi="Arial" w:cs="Arial"/>
          <w:b/>
          <w:bCs/>
          <w:sz w:val="18"/>
          <w:szCs w:val="18"/>
        </w:rPr>
        <w:t>State</w:t>
      </w:r>
      <w:proofErr w:type="spellEnd"/>
      <w:r w:rsidRPr="00E73BB8">
        <w:rPr>
          <w:rFonts w:ascii="Arial" w:hAnsi="Arial" w:cs="Arial"/>
          <w:sz w:val="18"/>
          <w:szCs w:val="18"/>
        </w:rPr>
        <w:t xml:space="preserve"> In: Lua Nova, São Paulo, set. 1991, p. 16</w:t>
      </w:r>
    </w:p>
  </w:footnote>
  <w:footnote w:id="14">
    <w:p w14:paraId="6EEF79F6" w14:textId="77777777" w:rsidR="005662E1" w:rsidRPr="00E73BB8" w:rsidRDefault="005662E1" w:rsidP="005662E1">
      <w:pPr>
        <w:pStyle w:val="Textodenotaderodap"/>
        <w:rPr>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BONAVIDES, Paulo. </w:t>
      </w:r>
      <w:r w:rsidRPr="00E73BB8">
        <w:rPr>
          <w:rStyle w:val="nfase"/>
          <w:rFonts w:ascii="Arial" w:hAnsi="Arial" w:cs="Arial"/>
          <w:b/>
          <w:sz w:val="18"/>
          <w:szCs w:val="18"/>
        </w:rPr>
        <w:t>Do</w:t>
      </w:r>
      <w:r w:rsidRPr="00E73BB8">
        <w:rPr>
          <w:rFonts w:ascii="Arial" w:hAnsi="Arial" w:cs="Arial"/>
          <w:b/>
          <w:i/>
          <w:sz w:val="18"/>
          <w:szCs w:val="18"/>
        </w:rPr>
        <w:t xml:space="preserve"> </w:t>
      </w:r>
      <w:r w:rsidRPr="00E73BB8">
        <w:rPr>
          <w:rStyle w:val="nfase"/>
          <w:rFonts w:ascii="Arial" w:hAnsi="Arial" w:cs="Arial"/>
          <w:b/>
          <w:sz w:val="18"/>
          <w:szCs w:val="18"/>
        </w:rPr>
        <w:t>estado</w:t>
      </w:r>
      <w:r w:rsidRPr="00E73BB8">
        <w:rPr>
          <w:rFonts w:ascii="Arial" w:hAnsi="Arial" w:cs="Arial"/>
          <w:b/>
          <w:i/>
          <w:sz w:val="18"/>
          <w:szCs w:val="18"/>
        </w:rPr>
        <w:t xml:space="preserve"> </w:t>
      </w:r>
      <w:r w:rsidRPr="00E73BB8">
        <w:rPr>
          <w:rStyle w:val="nfase"/>
          <w:rFonts w:ascii="Arial" w:hAnsi="Arial" w:cs="Arial"/>
          <w:b/>
          <w:sz w:val="18"/>
          <w:szCs w:val="18"/>
        </w:rPr>
        <w:t>liberal</w:t>
      </w:r>
      <w:r w:rsidRPr="00E73BB8">
        <w:rPr>
          <w:rFonts w:ascii="Arial" w:hAnsi="Arial" w:cs="Arial"/>
          <w:b/>
          <w:i/>
          <w:sz w:val="18"/>
          <w:szCs w:val="18"/>
        </w:rPr>
        <w:t xml:space="preserve"> </w:t>
      </w:r>
      <w:r w:rsidRPr="00E73BB8">
        <w:rPr>
          <w:rStyle w:val="nfase"/>
          <w:rFonts w:ascii="Arial" w:hAnsi="Arial" w:cs="Arial"/>
          <w:b/>
          <w:sz w:val="18"/>
          <w:szCs w:val="18"/>
        </w:rPr>
        <w:t>ao</w:t>
      </w:r>
      <w:r w:rsidRPr="00E73BB8">
        <w:rPr>
          <w:rFonts w:ascii="Arial" w:hAnsi="Arial" w:cs="Arial"/>
          <w:b/>
          <w:i/>
          <w:sz w:val="18"/>
          <w:szCs w:val="18"/>
        </w:rPr>
        <w:t xml:space="preserve"> </w:t>
      </w:r>
      <w:r w:rsidRPr="00E73BB8">
        <w:rPr>
          <w:rStyle w:val="nfase"/>
          <w:rFonts w:ascii="Arial" w:hAnsi="Arial" w:cs="Arial"/>
          <w:b/>
          <w:sz w:val="18"/>
          <w:szCs w:val="18"/>
        </w:rPr>
        <w:t>estado</w:t>
      </w:r>
      <w:r w:rsidRPr="00E73BB8">
        <w:rPr>
          <w:rFonts w:ascii="Arial" w:hAnsi="Arial" w:cs="Arial"/>
          <w:b/>
          <w:i/>
          <w:sz w:val="18"/>
          <w:szCs w:val="18"/>
        </w:rPr>
        <w:t xml:space="preserve"> </w:t>
      </w:r>
      <w:r w:rsidRPr="00E73BB8">
        <w:rPr>
          <w:rStyle w:val="nfase"/>
          <w:rFonts w:ascii="Arial" w:hAnsi="Arial" w:cs="Arial"/>
          <w:b/>
          <w:sz w:val="18"/>
          <w:szCs w:val="18"/>
        </w:rPr>
        <w:t>social</w:t>
      </w:r>
      <w:r w:rsidRPr="00E73BB8">
        <w:rPr>
          <w:rFonts w:ascii="Arial" w:hAnsi="Arial" w:cs="Arial"/>
          <w:sz w:val="18"/>
          <w:szCs w:val="18"/>
        </w:rPr>
        <w:t>. 8. ed. 2° tiragem, São Paulo, Malheiros, 2007</w:t>
      </w:r>
    </w:p>
  </w:footnote>
  <w:footnote w:id="15">
    <w:p w14:paraId="7426B68B" w14:textId="77777777" w:rsidR="005662E1" w:rsidRPr="00E73BB8" w:rsidRDefault="005662E1" w:rsidP="005662E1">
      <w:pPr>
        <w:spacing w:after="0" w:line="240" w:lineRule="auto"/>
        <w:rPr>
          <w:rFonts w:ascii="Arial" w:eastAsia="Times New Roman"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PEREIRA, W. E. N. </w:t>
      </w:r>
      <w:hyperlink r:id="rId2" w:history="1">
        <w:r w:rsidRPr="00E73BB8">
          <w:rPr>
            <w:rStyle w:val="Hyperlink"/>
            <w:rFonts w:ascii="Arial" w:hAnsi="Arial" w:cs="Arial"/>
            <w:sz w:val="18"/>
            <w:szCs w:val="18"/>
            <w:shd w:val="clear" w:color="auto" w:fill="FFFFFF"/>
          </w:rPr>
          <w:t>Do Estado Liberal ao Neoliberal</w:t>
        </w:r>
      </w:hyperlink>
      <w:r w:rsidRPr="00E73BB8">
        <w:rPr>
          <w:rFonts w:ascii="Arial" w:eastAsia="Times New Roman" w:hAnsi="Arial" w:cs="Arial"/>
          <w:sz w:val="18"/>
          <w:szCs w:val="18"/>
        </w:rPr>
        <w:t xml:space="preserve"> </w:t>
      </w:r>
      <w:r w:rsidRPr="00E73BB8">
        <w:rPr>
          <w:rFonts w:ascii="Arial" w:hAnsi="Arial" w:cs="Arial"/>
          <w:sz w:val="18"/>
          <w:szCs w:val="18"/>
        </w:rPr>
        <w:t xml:space="preserve">Revista </w:t>
      </w:r>
      <w:r w:rsidRPr="00E73BB8">
        <w:rPr>
          <w:rFonts w:ascii="Arial" w:hAnsi="Arial" w:cs="Arial"/>
          <w:b/>
          <w:bCs/>
          <w:sz w:val="18"/>
          <w:szCs w:val="18"/>
        </w:rPr>
        <w:t>INTERFACE</w:t>
      </w:r>
      <w:r w:rsidRPr="00E73BB8">
        <w:rPr>
          <w:rFonts w:ascii="Arial" w:hAnsi="Arial" w:cs="Arial"/>
          <w:sz w:val="18"/>
          <w:szCs w:val="18"/>
        </w:rPr>
        <w:t xml:space="preserve">, 1 (01), 11-24, Disponível em: &lt;&lt; </w:t>
      </w:r>
      <w:hyperlink r:id="rId3" w:history="1">
        <w:r w:rsidRPr="00E73BB8">
          <w:rPr>
            <w:rStyle w:val="Hyperlink"/>
            <w:rFonts w:ascii="Arial" w:hAnsi="Arial" w:cs="Arial"/>
            <w:sz w:val="18"/>
            <w:szCs w:val="18"/>
          </w:rPr>
          <w:t>Do Estado Liberal ao Neoliberal | Revista INTERFACE - UFRN/CCSA ISSN Eletrônico 2237-7506</w:t>
        </w:r>
      </w:hyperlink>
      <w:r w:rsidRPr="00E73BB8">
        <w:rPr>
          <w:rFonts w:ascii="Arial" w:hAnsi="Arial" w:cs="Arial"/>
          <w:sz w:val="18"/>
          <w:szCs w:val="18"/>
        </w:rPr>
        <w:t>&gt;&gt; Acesso em 13 de setembro de 2021.</w:t>
      </w:r>
    </w:p>
  </w:footnote>
  <w:footnote w:id="16">
    <w:p w14:paraId="0C35ED28"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MILL, J. S.</w:t>
      </w:r>
      <w:r w:rsidRPr="00E73BB8">
        <w:rPr>
          <w:rFonts w:ascii="Arial" w:hAnsi="Arial" w:cs="Arial"/>
          <w:b/>
          <w:bCs/>
          <w:sz w:val="18"/>
          <w:szCs w:val="18"/>
        </w:rPr>
        <w:t xml:space="preserve"> Princípio de Economia Política.  </w:t>
      </w:r>
      <w:r w:rsidRPr="00E73BB8">
        <w:rPr>
          <w:rFonts w:ascii="Arial" w:hAnsi="Arial" w:cs="Arial"/>
          <w:sz w:val="18"/>
          <w:szCs w:val="18"/>
        </w:rPr>
        <w:t xml:space="preserve">São Paulo, Nova Cultural:1996 Vol. I, </w:t>
      </w:r>
      <w:r w:rsidRPr="00E73BB8">
        <w:rPr>
          <w:sz w:val="18"/>
          <w:szCs w:val="18"/>
        </w:rPr>
        <w:t>(Os Economistas)</w:t>
      </w:r>
    </w:p>
  </w:footnote>
  <w:footnote w:id="17">
    <w:p w14:paraId="0BD7D859"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WOLFF, R. P. </w:t>
      </w:r>
      <w:r w:rsidRPr="00E73BB8">
        <w:rPr>
          <w:rFonts w:ascii="Arial" w:hAnsi="Arial" w:cs="Arial"/>
          <w:b/>
          <w:bCs/>
          <w:sz w:val="18"/>
          <w:szCs w:val="18"/>
        </w:rPr>
        <w:t xml:space="preserve"> A Miséria do Liberalismo.</w:t>
      </w:r>
      <w:r w:rsidRPr="00E73BB8">
        <w:rPr>
          <w:rFonts w:ascii="Arial" w:hAnsi="Arial" w:cs="Arial"/>
          <w:sz w:val="18"/>
          <w:szCs w:val="18"/>
        </w:rPr>
        <w:t xml:space="preserve"> Rio de Janeiro, Paz e Terra:1989, p. 13</w:t>
      </w:r>
    </w:p>
  </w:footnote>
  <w:footnote w:id="18">
    <w:p w14:paraId="72938660" w14:textId="77777777" w:rsidR="005662E1" w:rsidRPr="00E73BB8" w:rsidRDefault="005662E1" w:rsidP="005662E1">
      <w:pPr>
        <w:pStyle w:val="Textodenotaderodap"/>
        <w:rPr>
          <w:rFonts w:ascii="Arial" w:hAnsi="Arial" w:cs="Arial"/>
          <w:sz w:val="18"/>
          <w:szCs w:val="18"/>
        </w:rPr>
      </w:pPr>
      <w:r w:rsidRPr="00E73BB8">
        <w:rPr>
          <w:rStyle w:val="Refdenotaderodap"/>
          <w:rFonts w:ascii="Arial" w:hAnsi="Arial" w:cs="Arial"/>
          <w:sz w:val="18"/>
          <w:szCs w:val="18"/>
        </w:rPr>
        <w:footnoteRef/>
      </w:r>
      <w:r w:rsidRPr="00E73BB8">
        <w:rPr>
          <w:rFonts w:ascii="Arial" w:hAnsi="Arial" w:cs="Arial"/>
          <w:sz w:val="18"/>
          <w:szCs w:val="18"/>
        </w:rPr>
        <w:t xml:space="preserve"> </w:t>
      </w:r>
      <w:hyperlink r:id="rId4" w:tgtFrame="_blank" w:history="1">
        <w:r w:rsidRPr="00E73BB8">
          <w:rPr>
            <w:rStyle w:val="Hyperlink"/>
            <w:rFonts w:ascii="Arial" w:hAnsi="Arial" w:cs="Arial"/>
            <w:sz w:val="18"/>
            <w:szCs w:val="18"/>
            <w:bdr w:val="none" w:sz="0" w:space="0" w:color="auto" w:frame="1"/>
          </w:rPr>
          <w:t>BRAGA JUNIOR, S. A. M.</w:t>
        </w:r>
      </w:hyperlink>
      <w:r w:rsidRPr="00E73BB8">
        <w:rPr>
          <w:rFonts w:ascii="Arial" w:hAnsi="Arial" w:cs="Arial"/>
          <w:sz w:val="18"/>
          <w:szCs w:val="18"/>
          <w:shd w:val="clear" w:color="auto" w:fill="FFFFFF"/>
        </w:rPr>
        <w:t xml:space="preserve">. O papel do Direito Econômico como fator de conciliação entre o Liberalismo e o Socialismo. </w:t>
      </w:r>
      <w:r w:rsidRPr="00E73BB8">
        <w:rPr>
          <w:rFonts w:ascii="Arial" w:hAnsi="Arial" w:cs="Arial"/>
          <w:b/>
          <w:bCs/>
          <w:sz w:val="18"/>
          <w:szCs w:val="18"/>
          <w:shd w:val="clear" w:color="auto" w:fill="FFFFFF"/>
        </w:rPr>
        <w:t>Revista de Direito e Liberdade</w:t>
      </w:r>
      <w:r w:rsidRPr="00E73BB8">
        <w:rPr>
          <w:rFonts w:ascii="Arial" w:hAnsi="Arial" w:cs="Arial"/>
          <w:sz w:val="18"/>
          <w:szCs w:val="18"/>
          <w:shd w:val="clear" w:color="auto" w:fill="FFFFFF"/>
        </w:rPr>
        <w:t>, v. 2, 2005, p. 402</w:t>
      </w:r>
    </w:p>
  </w:footnote>
  <w:footnote w:id="19">
    <w:p w14:paraId="20970BFC" w14:textId="77777777" w:rsidR="005662E1" w:rsidRPr="00E73BB8" w:rsidRDefault="005662E1" w:rsidP="005662E1">
      <w:pPr>
        <w:pStyle w:val="Textodenotaderodap"/>
        <w:rPr>
          <w:rFonts w:ascii="Arial" w:hAnsi="Arial" w:cs="Arial"/>
          <w:sz w:val="18"/>
          <w:szCs w:val="18"/>
        </w:rPr>
      </w:pPr>
      <w:r w:rsidRPr="00E73BB8">
        <w:rPr>
          <w:rStyle w:val="Refdenotaderodap"/>
          <w:rFonts w:ascii="Arial" w:hAnsi="Arial" w:cs="Arial"/>
          <w:sz w:val="18"/>
          <w:szCs w:val="18"/>
        </w:rPr>
        <w:footnoteRef/>
      </w:r>
      <w:r w:rsidRPr="00E73BB8">
        <w:rPr>
          <w:rFonts w:ascii="Arial" w:hAnsi="Arial" w:cs="Arial"/>
          <w:sz w:val="18"/>
          <w:szCs w:val="18"/>
        </w:rPr>
        <w:t xml:space="preserve"> SILVA, José Afonso da. </w:t>
      </w:r>
      <w:r w:rsidRPr="00E73BB8">
        <w:rPr>
          <w:rFonts w:ascii="Arial" w:hAnsi="Arial" w:cs="Arial"/>
          <w:b/>
          <w:bCs/>
          <w:sz w:val="18"/>
          <w:szCs w:val="18"/>
        </w:rPr>
        <w:t>Curso de direito constitucional positivo</w:t>
      </w:r>
      <w:r w:rsidRPr="00E73BB8">
        <w:rPr>
          <w:rFonts w:ascii="Arial" w:hAnsi="Arial" w:cs="Arial"/>
          <w:sz w:val="18"/>
          <w:szCs w:val="18"/>
        </w:rPr>
        <w:t>. 37ª ed. São Paulo: Malheiros, 2014, p. 155.</w:t>
      </w:r>
    </w:p>
  </w:footnote>
  <w:footnote w:id="20">
    <w:p w14:paraId="5DB386CE" w14:textId="77777777" w:rsidR="005662E1" w:rsidRPr="00E73BB8" w:rsidRDefault="005662E1" w:rsidP="005662E1">
      <w:pPr>
        <w:pStyle w:val="Textodenotaderodap"/>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RAMOS, André de Carvalho.</w:t>
      </w:r>
      <w:r w:rsidRPr="00E73BB8">
        <w:rPr>
          <w:rFonts w:ascii="Arial" w:hAnsi="Arial" w:cs="Arial"/>
          <w:b/>
          <w:bCs/>
          <w:sz w:val="18"/>
          <w:szCs w:val="18"/>
        </w:rPr>
        <w:t xml:space="preserve"> Curso de direitos humanos. </w:t>
      </w:r>
      <w:r w:rsidRPr="00E73BB8">
        <w:rPr>
          <w:rFonts w:ascii="Arial" w:hAnsi="Arial" w:cs="Arial"/>
          <w:sz w:val="18"/>
          <w:szCs w:val="18"/>
        </w:rPr>
        <w:t>4. ed. – São Paulo: Saraiva, 2017</w:t>
      </w:r>
    </w:p>
  </w:footnote>
  <w:footnote w:id="21">
    <w:p w14:paraId="0FF54D19" w14:textId="4C0B0F36" w:rsidR="005662E1" w:rsidRPr="00E73BB8" w:rsidRDefault="005662E1" w:rsidP="00E73BB8">
      <w:pPr>
        <w:pStyle w:val="Textbodyindent"/>
        <w:ind w:firstLine="0"/>
        <w:rPr>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MIRANDA, J. Os novos paradigmas do estado social. Conferência proferida em 28 de setembro de 2011, em Belo Horizonte, no </w:t>
      </w:r>
      <w:r w:rsidRPr="00E73BB8">
        <w:rPr>
          <w:rFonts w:ascii="Arial" w:hAnsi="Arial" w:cs="Arial"/>
          <w:b/>
          <w:sz w:val="18"/>
          <w:szCs w:val="18"/>
        </w:rPr>
        <w:t>XXXVII Congresso Nacional de Procuradores de Estado</w:t>
      </w:r>
      <w:r w:rsidRPr="00E73BB8">
        <w:rPr>
          <w:rFonts w:ascii="Arial" w:hAnsi="Arial" w:cs="Arial"/>
          <w:sz w:val="18"/>
          <w:szCs w:val="18"/>
        </w:rPr>
        <w:t xml:space="preserve">. Disponível em: &lt;&lt; </w:t>
      </w:r>
      <w:hyperlink r:id="rId5" w:history="1">
        <w:r w:rsidRPr="00E73BB8">
          <w:rPr>
            <w:rStyle w:val="Internetlink"/>
            <w:rFonts w:ascii="Arial" w:hAnsi="Arial" w:cs="Arial"/>
            <w:sz w:val="18"/>
            <w:szCs w:val="18"/>
          </w:rPr>
          <w:t>https://www.icjp.pt/sites/default/files/media/1116-2433.pdf</w:t>
        </w:r>
      </w:hyperlink>
      <w:r w:rsidRPr="00E73BB8">
        <w:rPr>
          <w:rFonts w:ascii="Arial" w:hAnsi="Arial" w:cs="Arial"/>
          <w:sz w:val="18"/>
          <w:szCs w:val="18"/>
        </w:rPr>
        <w:t>&gt;&gt; Acesso em 30 de agosto de 2021</w:t>
      </w:r>
    </w:p>
  </w:footnote>
  <w:footnote w:id="22">
    <w:p w14:paraId="509B6723" w14:textId="77777777" w:rsidR="005662E1" w:rsidRPr="00E73BB8" w:rsidRDefault="005662E1" w:rsidP="00E73BB8">
      <w:pPr>
        <w:spacing w:after="0" w:line="240" w:lineRule="auto"/>
        <w:jc w:val="both"/>
        <w:rPr>
          <w:rFonts w:ascii="Arial" w:hAnsi="Arial" w:cs="Arial"/>
          <w:sz w:val="18"/>
          <w:szCs w:val="18"/>
        </w:rPr>
      </w:pPr>
      <w:r w:rsidRPr="00E73BB8">
        <w:rPr>
          <w:rStyle w:val="Refdenotaderodap"/>
          <w:rFonts w:ascii="Arial" w:hAnsi="Arial" w:cs="Arial"/>
          <w:sz w:val="18"/>
          <w:szCs w:val="18"/>
        </w:rPr>
        <w:footnoteRef/>
      </w:r>
      <w:r w:rsidRPr="00E73BB8">
        <w:rPr>
          <w:rFonts w:ascii="Arial" w:hAnsi="Arial" w:cs="Arial"/>
          <w:sz w:val="18"/>
          <w:szCs w:val="18"/>
        </w:rPr>
        <w:t xml:space="preserve"> ENGELS, </w:t>
      </w:r>
      <w:proofErr w:type="spellStart"/>
      <w:r w:rsidRPr="00E73BB8">
        <w:rPr>
          <w:rFonts w:ascii="Arial" w:hAnsi="Arial" w:cs="Arial"/>
          <w:sz w:val="18"/>
          <w:szCs w:val="18"/>
        </w:rPr>
        <w:t>Frederich</w:t>
      </w:r>
      <w:proofErr w:type="spellEnd"/>
      <w:r w:rsidRPr="00E73BB8">
        <w:rPr>
          <w:rFonts w:ascii="Arial" w:hAnsi="Arial" w:cs="Arial"/>
          <w:sz w:val="18"/>
          <w:szCs w:val="18"/>
        </w:rPr>
        <w:t xml:space="preserve">.  Origem da família, da propriedade privada e do Estado. IN: MARX, Karl; ENGELS, </w:t>
      </w:r>
      <w:proofErr w:type="spellStart"/>
      <w:r w:rsidRPr="00E73BB8">
        <w:rPr>
          <w:rFonts w:ascii="Arial" w:hAnsi="Arial" w:cs="Arial"/>
          <w:sz w:val="18"/>
          <w:szCs w:val="18"/>
        </w:rPr>
        <w:t>Frederich</w:t>
      </w:r>
      <w:proofErr w:type="spellEnd"/>
      <w:r w:rsidRPr="00E73BB8">
        <w:rPr>
          <w:rFonts w:ascii="Arial" w:hAnsi="Arial" w:cs="Arial"/>
          <w:sz w:val="18"/>
          <w:szCs w:val="18"/>
        </w:rPr>
        <w:t xml:space="preserve">. </w:t>
      </w:r>
      <w:r w:rsidRPr="00E73BB8">
        <w:rPr>
          <w:rFonts w:ascii="Arial" w:hAnsi="Arial" w:cs="Arial"/>
          <w:b/>
          <w:sz w:val="18"/>
          <w:szCs w:val="18"/>
        </w:rPr>
        <w:t>Obras Escolhidas.</w:t>
      </w:r>
      <w:r w:rsidRPr="00E73BB8">
        <w:rPr>
          <w:rFonts w:ascii="Arial" w:hAnsi="Arial" w:cs="Arial"/>
          <w:sz w:val="18"/>
          <w:szCs w:val="18"/>
        </w:rPr>
        <w:t xml:space="preserve"> Vol. I, II e III. São Paulo: Alfa-</w:t>
      </w:r>
      <w:proofErr w:type="spellStart"/>
      <w:r w:rsidRPr="00E73BB8">
        <w:rPr>
          <w:rFonts w:ascii="Arial" w:hAnsi="Arial" w:cs="Arial"/>
          <w:sz w:val="18"/>
          <w:szCs w:val="18"/>
        </w:rPr>
        <w:t>Omega</w:t>
      </w:r>
      <w:proofErr w:type="spellEnd"/>
      <w:r w:rsidRPr="00E73BB8">
        <w:rPr>
          <w:rFonts w:ascii="Arial" w:hAnsi="Arial" w:cs="Arial"/>
          <w:sz w:val="18"/>
          <w:szCs w:val="18"/>
        </w:rPr>
        <w:t xml:space="preserve"> 1980</w:t>
      </w:r>
    </w:p>
  </w:footnote>
  <w:footnote w:id="23">
    <w:p w14:paraId="74D08640" w14:textId="77777777" w:rsidR="005662E1" w:rsidRPr="00E73BB8" w:rsidRDefault="005662E1" w:rsidP="00E73BB8">
      <w:pPr>
        <w:pStyle w:val="Textodenotaderodap"/>
        <w:rPr>
          <w:sz w:val="18"/>
          <w:szCs w:val="18"/>
        </w:rPr>
      </w:pPr>
      <w:r w:rsidRPr="00E73BB8">
        <w:rPr>
          <w:rStyle w:val="Refdenotaderodap"/>
          <w:sz w:val="18"/>
          <w:szCs w:val="18"/>
        </w:rPr>
        <w:footnoteRef/>
      </w:r>
      <w:r w:rsidRPr="00E73BB8">
        <w:rPr>
          <w:sz w:val="18"/>
          <w:szCs w:val="18"/>
        </w:rPr>
        <w:t xml:space="preserve"> Idem, ibidem, p. 135</w:t>
      </w:r>
    </w:p>
  </w:footnote>
  <w:footnote w:id="24">
    <w:p w14:paraId="7EBB2B99" w14:textId="77777777" w:rsidR="005662E1" w:rsidRPr="00E73BB8" w:rsidRDefault="005662E1" w:rsidP="005662E1">
      <w:pPr>
        <w:pStyle w:val="Textodenotaderodap"/>
        <w:rPr>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BONAVIDES, Paulo. </w:t>
      </w:r>
      <w:r w:rsidRPr="00E73BB8">
        <w:rPr>
          <w:rStyle w:val="nfase"/>
          <w:rFonts w:ascii="Arial" w:hAnsi="Arial" w:cs="Arial"/>
          <w:b/>
          <w:sz w:val="18"/>
          <w:szCs w:val="18"/>
        </w:rPr>
        <w:t>Do</w:t>
      </w:r>
      <w:r w:rsidRPr="00E73BB8">
        <w:rPr>
          <w:rFonts w:ascii="Arial" w:hAnsi="Arial" w:cs="Arial"/>
          <w:b/>
          <w:i/>
          <w:sz w:val="18"/>
          <w:szCs w:val="18"/>
        </w:rPr>
        <w:t xml:space="preserve"> </w:t>
      </w:r>
      <w:r w:rsidRPr="00E73BB8">
        <w:rPr>
          <w:rStyle w:val="nfase"/>
          <w:rFonts w:ascii="Arial" w:hAnsi="Arial" w:cs="Arial"/>
          <w:b/>
          <w:sz w:val="18"/>
          <w:szCs w:val="18"/>
        </w:rPr>
        <w:t>estado</w:t>
      </w:r>
      <w:r w:rsidRPr="00E73BB8">
        <w:rPr>
          <w:rFonts w:ascii="Arial" w:hAnsi="Arial" w:cs="Arial"/>
          <w:b/>
          <w:i/>
          <w:sz w:val="18"/>
          <w:szCs w:val="18"/>
        </w:rPr>
        <w:t xml:space="preserve"> </w:t>
      </w:r>
      <w:r w:rsidRPr="00E73BB8">
        <w:rPr>
          <w:rStyle w:val="nfase"/>
          <w:rFonts w:ascii="Arial" w:hAnsi="Arial" w:cs="Arial"/>
          <w:b/>
          <w:sz w:val="18"/>
          <w:szCs w:val="18"/>
        </w:rPr>
        <w:t>liberal</w:t>
      </w:r>
      <w:r w:rsidRPr="00E73BB8">
        <w:rPr>
          <w:rFonts w:ascii="Arial" w:hAnsi="Arial" w:cs="Arial"/>
          <w:b/>
          <w:i/>
          <w:sz w:val="18"/>
          <w:szCs w:val="18"/>
        </w:rPr>
        <w:t xml:space="preserve"> </w:t>
      </w:r>
      <w:r w:rsidRPr="00E73BB8">
        <w:rPr>
          <w:rStyle w:val="nfase"/>
          <w:rFonts w:ascii="Arial" w:hAnsi="Arial" w:cs="Arial"/>
          <w:b/>
          <w:sz w:val="18"/>
          <w:szCs w:val="18"/>
        </w:rPr>
        <w:t>ao</w:t>
      </w:r>
      <w:r w:rsidRPr="00E73BB8">
        <w:rPr>
          <w:rFonts w:ascii="Arial" w:hAnsi="Arial" w:cs="Arial"/>
          <w:b/>
          <w:i/>
          <w:sz w:val="18"/>
          <w:szCs w:val="18"/>
        </w:rPr>
        <w:t xml:space="preserve"> </w:t>
      </w:r>
      <w:r w:rsidRPr="00E73BB8">
        <w:rPr>
          <w:rStyle w:val="nfase"/>
          <w:rFonts w:ascii="Arial" w:hAnsi="Arial" w:cs="Arial"/>
          <w:b/>
          <w:sz w:val="18"/>
          <w:szCs w:val="18"/>
        </w:rPr>
        <w:t>estado</w:t>
      </w:r>
      <w:r w:rsidRPr="00E73BB8">
        <w:rPr>
          <w:rFonts w:ascii="Arial" w:hAnsi="Arial" w:cs="Arial"/>
          <w:b/>
          <w:i/>
          <w:sz w:val="18"/>
          <w:szCs w:val="18"/>
        </w:rPr>
        <w:t xml:space="preserve"> </w:t>
      </w:r>
      <w:r w:rsidRPr="00E73BB8">
        <w:rPr>
          <w:rStyle w:val="nfase"/>
          <w:rFonts w:ascii="Arial" w:hAnsi="Arial" w:cs="Arial"/>
          <w:b/>
          <w:sz w:val="18"/>
          <w:szCs w:val="18"/>
        </w:rPr>
        <w:t>social</w:t>
      </w:r>
      <w:r w:rsidRPr="00E73BB8">
        <w:rPr>
          <w:rFonts w:ascii="Arial" w:hAnsi="Arial" w:cs="Arial"/>
          <w:sz w:val="18"/>
          <w:szCs w:val="18"/>
        </w:rPr>
        <w:t>. 8. ed. 2° tiragem, São Paulo, Malheiros, 2007, p. 200</w:t>
      </w:r>
    </w:p>
  </w:footnote>
  <w:footnote w:id="25">
    <w:p w14:paraId="6D849194" w14:textId="77777777" w:rsidR="005662E1" w:rsidRPr="00E73BB8" w:rsidRDefault="005662E1" w:rsidP="005662E1">
      <w:pPr>
        <w:pStyle w:val="Textodenotaderodap"/>
        <w:rPr>
          <w:sz w:val="18"/>
          <w:szCs w:val="18"/>
        </w:rPr>
      </w:pPr>
      <w:r w:rsidRPr="00E73BB8">
        <w:rPr>
          <w:rStyle w:val="Refdenotaderodap"/>
          <w:sz w:val="18"/>
          <w:szCs w:val="18"/>
        </w:rPr>
        <w:footnoteRef/>
      </w:r>
      <w:r w:rsidRPr="00E73BB8">
        <w:rPr>
          <w:sz w:val="18"/>
          <w:szCs w:val="18"/>
        </w:rPr>
        <w:t xml:space="preserve"> Idem, ibidem.</w:t>
      </w:r>
    </w:p>
  </w:footnote>
  <w:footnote w:id="26">
    <w:p w14:paraId="11D1C47E" w14:textId="77777777" w:rsidR="005662E1" w:rsidRPr="00E73BB8" w:rsidRDefault="005662E1" w:rsidP="005662E1">
      <w:pPr>
        <w:pStyle w:val="Textodenotaderodap"/>
        <w:rPr>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MIRANDA, J. Os novos paradigmas do estado social. Conferência proferida em 28 de setembro de 2011, em Belo Horizonte, no </w:t>
      </w:r>
      <w:r w:rsidRPr="00E73BB8">
        <w:rPr>
          <w:rFonts w:ascii="Arial" w:hAnsi="Arial" w:cs="Arial"/>
          <w:b/>
          <w:sz w:val="18"/>
          <w:szCs w:val="18"/>
        </w:rPr>
        <w:t>XXXVII Congresso Nacional de Procuradores de Estado</w:t>
      </w:r>
      <w:r w:rsidRPr="00E73BB8">
        <w:rPr>
          <w:rFonts w:ascii="Arial" w:hAnsi="Arial" w:cs="Arial"/>
          <w:sz w:val="18"/>
          <w:szCs w:val="18"/>
        </w:rPr>
        <w:t xml:space="preserve">. Disponível em: &lt;&lt; </w:t>
      </w:r>
      <w:hyperlink r:id="rId6" w:history="1">
        <w:r w:rsidRPr="00E73BB8">
          <w:rPr>
            <w:rStyle w:val="Internetlink"/>
            <w:rFonts w:ascii="Arial" w:hAnsi="Arial" w:cs="Arial"/>
            <w:sz w:val="18"/>
            <w:szCs w:val="18"/>
          </w:rPr>
          <w:t>https://www.icjp.pt/sites/default/files/media/1116-2433.pdf</w:t>
        </w:r>
      </w:hyperlink>
      <w:r w:rsidRPr="00E73BB8">
        <w:rPr>
          <w:rFonts w:ascii="Arial" w:hAnsi="Arial" w:cs="Arial"/>
          <w:sz w:val="18"/>
          <w:szCs w:val="18"/>
        </w:rPr>
        <w:t>&gt;&gt; Acesso em 30 de agosto de 2021, p. 02</w:t>
      </w:r>
    </w:p>
  </w:footnote>
  <w:footnote w:id="27">
    <w:p w14:paraId="376BD4A4" w14:textId="77777777" w:rsidR="005662E1" w:rsidRPr="00E73BB8" w:rsidRDefault="005662E1" w:rsidP="005662E1">
      <w:pPr>
        <w:pStyle w:val="Textodenotaderodap"/>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ONU, Declaração sobre o Direito ao Desenvolvimento. 1986. Declaração adotada pela Resolução n. 41/128 da Assembleia Geral das Nações Unidades, de 04 de dezembro de 1986. Disponível em: &lt;&lt;</w:t>
      </w:r>
      <w:hyperlink r:id="rId7" w:history="1">
        <w:r w:rsidRPr="00E73BB8">
          <w:rPr>
            <w:rStyle w:val="Hyperlink"/>
            <w:rFonts w:ascii="Arial" w:hAnsi="Arial" w:cs="Arial"/>
            <w:sz w:val="18"/>
            <w:szCs w:val="18"/>
          </w:rPr>
          <w:t>Biblioteca Virtual de Direitos Humanos da USP - Declaração sobre o Direito ao Desenvolvimento - 1986 | Direito ao Desenvolvimento</w:t>
        </w:r>
      </w:hyperlink>
      <w:r w:rsidRPr="00E73BB8">
        <w:rPr>
          <w:rFonts w:ascii="Arial" w:hAnsi="Arial" w:cs="Arial"/>
          <w:sz w:val="18"/>
          <w:szCs w:val="18"/>
        </w:rPr>
        <w:t>&gt;&gt; Acesso em 17 de setembro de 2021.</w:t>
      </w:r>
    </w:p>
  </w:footnote>
  <w:footnote w:id="28">
    <w:p w14:paraId="3EC95A44" w14:textId="77777777" w:rsidR="005662E1" w:rsidRPr="00E73BB8" w:rsidRDefault="005662E1" w:rsidP="005662E1">
      <w:pPr>
        <w:pStyle w:val="Textodenotaderodap"/>
        <w:rPr>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BEDIN, G. A. Direitos Humanos e desenvolvimento: algumas reflexões sobre a constituição do direito ao desenvolvimento. </w:t>
      </w:r>
      <w:r w:rsidRPr="00E73BB8">
        <w:rPr>
          <w:rFonts w:ascii="Arial" w:hAnsi="Arial" w:cs="Arial"/>
          <w:b/>
          <w:bCs/>
          <w:sz w:val="18"/>
          <w:szCs w:val="18"/>
        </w:rPr>
        <w:t>Desenvolvimento em Questão.</w:t>
      </w:r>
      <w:r w:rsidRPr="00E73BB8">
        <w:rPr>
          <w:rFonts w:ascii="Arial" w:hAnsi="Arial" w:cs="Arial"/>
          <w:sz w:val="18"/>
          <w:szCs w:val="18"/>
        </w:rPr>
        <w:t xml:space="preserve"> Editora </w:t>
      </w:r>
      <w:proofErr w:type="spellStart"/>
      <w:r w:rsidRPr="00E73BB8">
        <w:rPr>
          <w:rFonts w:ascii="Arial" w:hAnsi="Arial" w:cs="Arial"/>
          <w:sz w:val="18"/>
          <w:szCs w:val="18"/>
        </w:rPr>
        <w:t>Unijuí</w:t>
      </w:r>
      <w:proofErr w:type="spellEnd"/>
      <w:r w:rsidRPr="00E73BB8">
        <w:rPr>
          <w:rFonts w:ascii="Arial" w:hAnsi="Arial" w:cs="Arial"/>
          <w:sz w:val="18"/>
          <w:szCs w:val="18"/>
        </w:rPr>
        <w:t xml:space="preserve">, ano 01, n. 01, </w:t>
      </w:r>
      <w:proofErr w:type="spellStart"/>
      <w:r w:rsidRPr="00E73BB8">
        <w:rPr>
          <w:rFonts w:ascii="Arial" w:hAnsi="Arial" w:cs="Arial"/>
          <w:sz w:val="18"/>
          <w:szCs w:val="18"/>
        </w:rPr>
        <w:t>jan</w:t>
      </w:r>
      <w:proofErr w:type="spellEnd"/>
      <w:r w:rsidRPr="00E73BB8">
        <w:rPr>
          <w:rFonts w:ascii="Arial" w:hAnsi="Arial" w:cs="Arial"/>
          <w:sz w:val="18"/>
          <w:szCs w:val="18"/>
        </w:rPr>
        <w:t>/</w:t>
      </w:r>
      <w:proofErr w:type="spellStart"/>
      <w:r w:rsidRPr="00E73BB8">
        <w:rPr>
          <w:rFonts w:ascii="Arial" w:hAnsi="Arial" w:cs="Arial"/>
          <w:sz w:val="18"/>
          <w:szCs w:val="18"/>
        </w:rPr>
        <w:t>jun</w:t>
      </w:r>
      <w:proofErr w:type="spellEnd"/>
      <w:r w:rsidRPr="00E73BB8">
        <w:rPr>
          <w:rFonts w:ascii="Arial" w:hAnsi="Arial" w:cs="Arial"/>
          <w:sz w:val="18"/>
          <w:szCs w:val="18"/>
        </w:rPr>
        <w:t xml:space="preserve"> 200. Disponível em: &lt;&lt;</w:t>
      </w:r>
      <w:hyperlink r:id="rId8" w:history="1">
        <w:r w:rsidRPr="00E73BB8">
          <w:rPr>
            <w:rStyle w:val="Hyperlink"/>
            <w:rFonts w:ascii="Arial" w:hAnsi="Arial" w:cs="Arial"/>
            <w:sz w:val="18"/>
            <w:szCs w:val="18"/>
          </w:rPr>
          <w:t>Direitos Humanos e Desenvolvimento: algumas reflexões sobre a constituição do direito ao desenvolvimento | Desenvolvimento em Questão (unijui.edu.br)</w:t>
        </w:r>
      </w:hyperlink>
      <w:r w:rsidRPr="00E73BB8">
        <w:rPr>
          <w:rFonts w:ascii="Arial" w:hAnsi="Arial" w:cs="Arial"/>
          <w:sz w:val="18"/>
          <w:szCs w:val="18"/>
        </w:rPr>
        <w:t>&gt;&gt; Acesso em 15 de abril de 2021</w:t>
      </w:r>
    </w:p>
  </w:footnote>
  <w:footnote w:id="29">
    <w:p w14:paraId="4D98AF81" w14:textId="77777777" w:rsidR="005662E1" w:rsidRPr="00E73BB8" w:rsidRDefault="005662E1" w:rsidP="005662E1">
      <w:pPr>
        <w:pStyle w:val="Textodenotaderodap"/>
        <w:rPr>
          <w:sz w:val="18"/>
          <w:szCs w:val="18"/>
        </w:rPr>
      </w:pPr>
      <w:r w:rsidRPr="00E73BB8">
        <w:rPr>
          <w:rStyle w:val="Caracteresdenotaderodap"/>
          <w:sz w:val="18"/>
          <w:szCs w:val="18"/>
        </w:rPr>
        <w:footnoteRef/>
      </w:r>
      <w:r w:rsidRPr="00E73BB8">
        <w:rPr>
          <w:rFonts w:ascii="Arial" w:hAnsi="Arial" w:cs="Arial"/>
          <w:sz w:val="18"/>
          <w:szCs w:val="18"/>
        </w:rPr>
        <w:t xml:space="preserve"> BERCOVICI, Gilberto. </w:t>
      </w:r>
      <w:r w:rsidRPr="00E73BB8">
        <w:rPr>
          <w:rFonts w:ascii="Arial" w:hAnsi="Arial" w:cs="Arial"/>
          <w:b/>
          <w:sz w:val="18"/>
          <w:szCs w:val="18"/>
        </w:rPr>
        <w:t>Desigualdades regionais, Estado e Constituição</w:t>
      </w:r>
      <w:r w:rsidRPr="00E73BB8">
        <w:rPr>
          <w:rFonts w:ascii="Arial" w:hAnsi="Arial" w:cs="Arial"/>
          <w:sz w:val="18"/>
          <w:szCs w:val="18"/>
        </w:rPr>
        <w:t xml:space="preserve">. São Paulo: Max </w:t>
      </w:r>
      <w:proofErr w:type="spellStart"/>
      <w:r w:rsidRPr="00E73BB8">
        <w:rPr>
          <w:rFonts w:ascii="Arial" w:hAnsi="Arial" w:cs="Arial"/>
          <w:sz w:val="18"/>
          <w:szCs w:val="18"/>
        </w:rPr>
        <w:t>Limonad</w:t>
      </w:r>
      <w:proofErr w:type="spellEnd"/>
      <w:r w:rsidRPr="00E73BB8">
        <w:rPr>
          <w:rFonts w:ascii="Arial" w:hAnsi="Arial" w:cs="Arial"/>
          <w:sz w:val="18"/>
          <w:szCs w:val="18"/>
        </w:rPr>
        <w:t>, 2003.</w:t>
      </w:r>
    </w:p>
  </w:footnote>
  <w:footnote w:id="30">
    <w:p w14:paraId="7591C8AB" w14:textId="77777777" w:rsidR="005662E1" w:rsidRDefault="005662E1" w:rsidP="005662E1">
      <w:pPr>
        <w:pStyle w:val="Textodenotaderodap"/>
        <w:jc w:val="both"/>
      </w:pPr>
      <w:r w:rsidRPr="00E73BB8">
        <w:rPr>
          <w:rStyle w:val="Caracteresdenotaderodap"/>
          <w:sz w:val="18"/>
          <w:szCs w:val="18"/>
        </w:rPr>
        <w:footnoteRef/>
      </w:r>
      <w:r w:rsidRPr="00E73BB8">
        <w:rPr>
          <w:rFonts w:ascii="Arial" w:hAnsi="Arial" w:cs="Arial"/>
          <w:sz w:val="18"/>
          <w:szCs w:val="18"/>
        </w:rPr>
        <w:t xml:space="preserve"> ELALI, André de S. D. </w:t>
      </w:r>
      <w:r w:rsidRPr="00E73BB8">
        <w:rPr>
          <w:rFonts w:ascii="Arial" w:hAnsi="Arial" w:cs="Arial"/>
          <w:b/>
          <w:sz w:val="18"/>
          <w:szCs w:val="18"/>
        </w:rPr>
        <w:t>Tributação e regulação econômica: um exame da tributação como instrumento de regulação econômica na busca da redução das desigualdades regionais</w:t>
      </w:r>
      <w:r w:rsidRPr="00E73BB8">
        <w:rPr>
          <w:rFonts w:ascii="Arial" w:hAnsi="Arial" w:cs="Arial"/>
          <w:sz w:val="18"/>
          <w:szCs w:val="18"/>
        </w:rPr>
        <w:t>. São Paulo: MP, 2007</w:t>
      </w:r>
    </w:p>
  </w:footnote>
  <w:footnote w:id="31">
    <w:p w14:paraId="74CC3C08" w14:textId="77777777" w:rsidR="005662E1" w:rsidRPr="00E73BB8" w:rsidRDefault="005662E1" w:rsidP="005662E1">
      <w:pPr>
        <w:pStyle w:val="Textodenotaderodap"/>
        <w:jc w:val="both"/>
        <w:rPr>
          <w:rFonts w:ascii="Arial" w:hAnsi="Arial" w:cs="Arial"/>
          <w:sz w:val="18"/>
          <w:szCs w:val="18"/>
        </w:rPr>
      </w:pPr>
      <w:r w:rsidRPr="00E73BB8">
        <w:rPr>
          <w:rStyle w:val="Caracteresdenotaderodap"/>
          <w:rFonts w:ascii="Arial" w:hAnsi="Arial" w:cs="Arial"/>
          <w:sz w:val="18"/>
          <w:szCs w:val="18"/>
        </w:rPr>
        <w:footnoteRef/>
      </w:r>
      <w:r w:rsidRPr="00E73BB8">
        <w:rPr>
          <w:rFonts w:ascii="Arial" w:hAnsi="Arial" w:cs="Arial"/>
          <w:sz w:val="18"/>
          <w:szCs w:val="18"/>
        </w:rPr>
        <w:t xml:space="preserve"> FURTADO. C. </w:t>
      </w:r>
      <w:r w:rsidRPr="00E73BB8">
        <w:rPr>
          <w:rFonts w:ascii="Arial" w:hAnsi="Arial" w:cs="Arial"/>
          <w:b/>
          <w:sz w:val="18"/>
          <w:szCs w:val="18"/>
        </w:rPr>
        <w:t>O mito do desenvolvimento econômico</w:t>
      </w:r>
      <w:r w:rsidRPr="00E73BB8">
        <w:rPr>
          <w:rFonts w:ascii="Arial" w:hAnsi="Arial" w:cs="Arial"/>
          <w:sz w:val="18"/>
          <w:szCs w:val="18"/>
        </w:rPr>
        <w:t>. Rio de Janeiro, Paz e Terra, 1974</w:t>
      </w:r>
    </w:p>
  </w:footnote>
  <w:footnote w:id="32">
    <w:p w14:paraId="5A27FF1B"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rFonts w:ascii="Arial" w:hAnsi="Arial" w:cs="Arial"/>
          <w:sz w:val="18"/>
          <w:szCs w:val="18"/>
        </w:rPr>
        <w:footnoteRef/>
      </w:r>
      <w:r w:rsidRPr="00E73BB8">
        <w:rPr>
          <w:rFonts w:ascii="Arial" w:hAnsi="Arial" w:cs="Arial"/>
          <w:sz w:val="18"/>
          <w:szCs w:val="18"/>
        </w:rPr>
        <w:t xml:space="preserve"> SEN, Amartya. </w:t>
      </w:r>
      <w:r w:rsidRPr="00E73BB8">
        <w:rPr>
          <w:rFonts w:ascii="Arial" w:hAnsi="Arial" w:cs="Arial"/>
          <w:b/>
          <w:bCs/>
          <w:sz w:val="18"/>
          <w:szCs w:val="18"/>
        </w:rPr>
        <w:t>Desenvolvimento como Liberdade</w:t>
      </w:r>
      <w:r w:rsidRPr="00E73BB8">
        <w:rPr>
          <w:rFonts w:ascii="Arial" w:hAnsi="Arial" w:cs="Arial"/>
          <w:sz w:val="18"/>
          <w:szCs w:val="18"/>
        </w:rPr>
        <w:t>. São Paulo: Companhia das Letras, 2000.</w:t>
      </w:r>
    </w:p>
  </w:footnote>
  <w:footnote w:id="33">
    <w:p w14:paraId="4B72A6EB" w14:textId="77777777" w:rsidR="005662E1" w:rsidRDefault="005662E1" w:rsidP="005662E1">
      <w:pPr>
        <w:pStyle w:val="Textodenotaderodap"/>
      </w:pPr>
      <w:r w:rsidRPr="00E73BB8">
        <w:rPr>
          <w:rStyle w:val="Refdenotaderodap"/>
          <w:rFonts w:ascii="Arial" w:hAnsi="Arial" w:cs="Arial"/>
          <w:sz w:val="18"/>
          <w:szCs w:val="18"/>
        </w:rPr>
        <w:footnoteRef/>
      </w:r>
      <w:r w:rsidRPr="00E73BB8">
        <w:rPr>
          <w:rFonts w:ascii="Arial" w:hAnsi="Arial" w:cs="Arial"/>
          <w:sz w:val="18"/>
          <w:szCs w:val="18"/>
        </w:rPr>
        <w:t xml:space="preserve"> Idem, ibidem, p. 18</w:t>
      </w:r>
    </w:p>
  </w:footnote>
  <w:footnote w:id="34">
    <w:p w14:paraId="087A65BC" w14:textId="77777777" w:rsidR="005662E1" w:rsidRPr="00E73BB8" w:rsidRDefault="005662E1" w:rsidP="005662E1">
      <w:pPr>
        <w:pStyle w:val="Textodenotaderodap"/>
        <w:rPr>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BEDIN, G. A. Direitos Humanos e desenvolvimento: algumas reflexões sobre a constituição do direito ao desenvolvimento. </w:t>
      </w:r>
      <w:r w:rsidRPr="00E73BB8">
        <w:rPr>
          <w:rFonts w:ascii="Arial" w:hAnsi="Arial" w:cs="Arial"/>
          <w:b/>
          <w:bCs/>
          <w:sz w:val="18"/>
          <w:szCs w:val="18"/>
        </w:rPr>
        <w:t>Desenvolvimento em Questão.</w:t>
      </w:r>
      <w:r w:rsidRPr="00E73BB8">
        <w:rPr>
          <w:rFonts w:ascii="Arial" w:hAnsi="Arial" w:cs="Arial"/>
          <w:sz w:val="18"/>
          <w:szCs w:val="18"/>
        </w:rPr>
        <w:t xml:space="preserve"> Editora </w:t>
      </w:r>
      <w:proofErr w:type="spellStart"/>
      <w:r w:rsidRPr="00E73BB8">
        <w:rPr>
          <w:rFonts w:ascii="Arial" w:hAnsi="Arial" w:cs="Arial"/>
          <w:sz w:val="18"/>
          <w:szCs w:val="18"/>
        </w:rPr>
        <w:t>Unijuí</w:t>
      </w:r>
      <w:proofErr w:type="spellEnd"/>
      <w:r w:rsidRPr="00E73BB8">
        <w:rPr>
          <w:rFonts w:ascii="Arial" w:hAnsi="Arial" w:cs="Arial"/>
          <w:sz w:val="18"/>
          <w:szCs w:val="18"/>
        </w:rPr>
        <w:t xml:space="preserve">, ano 01, n. 01, </w:t>
      </w:r>
      <w:proofErr w:type="spellStart"/>
      <w:r w:rsidRPr="00E73BB8">
        <w:rPr>
          <w:rFonts w:ascii="Arial" w:hAnsi="Arial" w:cs="Arial"/>
          <w:sz w:val="18"/>
          <w:szCs w:val="18"/>
        </w:rPr>
        <w:t>jan</w:t>
      </w:r>
      <w:proofErr w:type="spellEnd"/>
      <w:r w:rsidRPr="00E73BB8">
        <w:rPr>
          <w:rFonts w:ascii="Arial" w:hAnsi="Arial" w:cs="Arial"/>
          <w:sz w:val="18"/>
          <w:szCs w:val="18"/>
        </w:rPr>
        <w:t>/</w:t>
      </w:r>
      <w:proofErr w:type="spellStart"/>
      <w:r w:rsidRPr="00E73BB8">
        <w:rPr>
          <w:rFonts w:ascii="Arial" w:hAnsi="Arial" w:cs="Arial"/>
          <w:sz w:val="18"/>
          <w:szCs w:val="18"/>
        </w:rPr>
        <w:t>jun</w:t>
      </w:r>
      <w:proofErr w:type="spellEnd"/>
      <w:r w:rsidRPr="00E73BB8">
        <w:rPr>
          <w:rFonts w:ascii="Arial" w:hAnsi="Arial" w:cs="Arial"/>
          <w:sz w:val="18"/>
          <w:szCs w:val="18"/>
        </w:rPr>
        <w:t xml:space="preserve"> 2000. Disponível em: &lt;&lt;</w:t>
      </w:r>
      <w:hyperlink r:id="rId9" w:history="1">
        <w:r w:rsidRPr="00E73BB8">
          <w:rPr>
            <w:rStyle w:val="Hyperlink"/>
            <w:rFonts w:ascii="Arial" w:hAnsi="Arial" w:cs="Arial"/>
            <w:sz w:val="18"/>
            <w:szCs w:val="18"/>
          </w:rPr>
          <w:t>Direitos Humanos e Desenvolvimento: algumas reflexões sobre a constituição do direito ao desenvolvimento | Desenvolvimento em Questão (unijui.edu.br)</w:t>
        </w:r>
      </w:hyperlink>
      <w:r w:rsidRPr="00E73BB8">
        <w:rPr>
          <w:rFonts w:ascii="Arial" w:hAnsi="Arial" w:cs="Arial"/>
          <w:sz w:val="18"/>
          <w:szCs w:val="18"/>
        </w:rPr>
        <w:t>&gt;&gt; Acesso em 15 de setembro de 2021</w:t>
      </w:r>
    </w:p>
  </w:footnote>
  <w:footnote w:id="35">
    <w:p w14:paraId="5A9D8109" w14:textId="77777777" w:rsidR="005662E1" w:rsidRPr="00F87796" w:rsidRDefault="005662E1" w:rsidP="005662E1">
      <w:pPr>
        <w:pStyle w:val="Textodenotaderodap"/>
        <w:rPr>
          <w:rFonts w:ascii="Arial" w:hAnsi="Arial" w:cs="Arial"/>
        </w:rPr>
      </w:pPr>
      <w:r w:rsidRPr="00E73BB8">
        <w:rPr>
          <w:rStyle w:val="Refdenotaderodap"/>
          <w:rFonts w:ascii="Arial" w:hAnsi="Arial" w:cs="Arial"/>
          <w:sz w:val="18"/>
          <w:szCs w:val="18"/>
        </w:rPr>
        <w:footnoteRef/>
      </w:r>
      <w:r w:rsidRPr="00E73BB8">
        <w:rPr>
          <w:rFonts w:ascii="Arial" w:hAnsi="Arial" w:cs="Arial"/>
          <w:sz w:val="18"/>
          <w:szCs w:val="18"/>
        </w:rPr>
        <w:t xml:space="preserve"> ONU, Declaração sobre o Direito ao Desenvolvimento. 1986. Declaração adotada pela Resolução n. 41/128 da Assembleia Geral das Nações Unidades, de 04 de dezembro de 1986. Disponível em: &lt;&lt;</w:t>
      </w:r>
      <w:hyperlink r:id="rId10" w:history="1">
        <w:r w:rsidRPr="00E73BB8">
          <w:rPr>
            <w:rStyle w:val="Hyperlink"/>
            <w:rFonts w:ascii="Arial" w:hAnsi="Arial" w:cs="Arial"/>
            <w:sz w:val="18"/>
            <w:szCs w:val="18"/>
          </w:rPr>
          <w:t>Biblioteca Virtual de Direitos Humanos da USP - Declaração sobre o Direito ao Desenvolvimento - 1986 | Direito ao Desenvolvimento</w:t>
        </w:r>
      </w:hyperlink>
      <w:r w:rsidRPr="00E73BB8">
        <w:rPr>
          <w:rFonts w:ascii="Arial" w:hAnsi="Arial" w:cs="Arial"/>
          <w:sz w:val="18"/>
          <w:szCs w:val="18"/>
        </w:rPr>
        <w:t>&gt;&gt; Acesso em 17 de setembro de 2021.</w:t>
      </w:r>
    </w:p>
  </w:footnote>
  <w:footnote w:id="36">
    <w:p w14:paraId="676C28C2"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SANTOS, Boaventura de S. Estado social, estado providência e de bem-estar. IN:</w:t>
      </w:r>
      <w:r w:rsidRPr="00E73BB8">
        <w:rPr>
          <w:rFonts w:ascii="Arial" w:hAnsi="Arial" w:cs="Arial"/>
          <w:b/>
          <w:sz w:val="18"/>
          <w:szCs w:val="18"/>
        </w:rPr>
        <w:t xml:space="preserve"> Carta Capital</w:t>
      </w:r>
      <w:r w:rsidRPr="00E73BB8">
        <w:rPr>
          <w:rFonts w:ascii="Arial" w:hAnsi="Arial" w:cs="Arial"/>
          <w:sz w:val="18"/>
          <w:szCs w:val="18"/>
        </w:rPr>
        <w:t>. Disponível em: &lt;&lt;http://www.cartamaior.com.br/?/Editoria/Internacional/Estado-social-estado-providencia-e-de-bem-estar/6/26294&gt;&gt; Acesso em 10 de setembro de 2021.</w:t>
      </w:r>
    </w:p>
  </w:footnote>
  <w:footnote w:id="37">
    <w:p w14:paraId="3B64894C" w14:textId="77777777" w:rsidR="005662E1" w:rsidRDefault="005662E1" w:rsidP="005662E1">
      <w:pPr>
        <w:pStyle w:val="Textodenotaderodap"/>
      </w:pPr>
      <w:r w:rsidRPr="00E73BB8">
        <w:rPr>
          <w:rStyle w:val="Refdenotaderodap"/>
          <w:sz w:val="18"/>
          <w:szCs w:val="18"/>
        </w:rPr>
        <w:footnoteRef/>
      </w:r>
      <w:r w:rsidRPr="00E73BB8">
        <w:rPr>
          <w:sz w:val="18"/>
          <w:szCs w:val="18"/>
        </w:rPr>
        <w:t xml:space="preserve"> Idem, ibidem.</w:t>
      </w:r>
    </w:p>
  </w:footnote>
  <w:footnote w:id="38">
    <w:p w14:paraId="1AF3F4E4" w14:textId="77777777" w:rsidR="005662E1" w:rsidRPr="00E73BB8" w:rsidRDefault="005662E1" w:rsidP="005662E1">
      <w:pPr>
        <w:spacing w:after="0" w:line="240" w:lineRule="auto"/>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ANDERSON, P. Balanço do Neoliberalismo, IN: SADER, Emir e GENTILI, Pablo (org.) </w:t>
      </w:r>
      <w:r w:rsidRPr="00E73BB8">
        <w:rPr>
          <w:rFonts w:ascii="Arial" w:hAnsi="Arial" w:cs="Arial"/>
          <w:b/>
          <w:bCs/>
          <w:sz w:val="18"/>
          <w:szCs w:val="18"/>
        </w:rPr>
        <w:t>PÓS-NEOLIBERALISMO</w:t>
      </w:r>
      <w:r w:rsidRPr="00E73BB8">
        <w:rPr>
          <w:rFonts w:ascii="Arial" w:hAnsi="Arial" w:cs="Arial"/>
          <w:sz w:val="18"/>
          <w:szCs w:val="18"/>
        </w:rPr>
        <w:t>: as políticas sociais e o estado democrático. Rio de janeiro, Paz e Terra:1995</w:t>
      </w:r>
    </w:p>
  </w:footnote>
  <w:footnote w:id="39">
    <w:p w14:paraId="1C067EDC" w14:textId="77777777" w:rsidR="005662E1" w:rsidRPr="00E73BB8" w:rsidRDefault="005662E1" w:rsidP="005662E1">
      <w:pPr>
        <w:pStyle w:val="Ttulo1"/>
        <w:spacing w:before="0" w:beforeAutospacing="0" w:after="240" w:afterAutospacing="0"/>
        <w:rPr>
          <w:rStyle w:val="group-doi"/>
          <w:rFonts w:ascii="Arial" w:hAnsi="Arial" w:cs="Arial"/>
          <w:sz w:val="18"/>
          <w:szCs w:val="18"/>
          <w:shd w:val="clear" w:color="auto" w:fill="FFFFFF"/>
        </w:rPr>
      </w:pPr>
      <w:r w:rsidRPr="00E73BB8">
        <w:rPr>
          <w:rStyle w:val="Refdenotaderodap"/>
          <w:sz w:val="18"/>
          <w:szCs w:val="18"/>
        </w:rPr>
        <w:footnoteRef/>
      </w:r>
      <w:r w:rsidRPr="00E73BB8">
        <w:rPr>
          <w:sz w:val="18"/>
          <w:szCs w:val="18"/>
        </w:rPr>
        <w:t xml:space="preserve"> </w:t>
      </w:r>
      <w:r w:rsidRPr="00E73BB8">
        <w:rPr>
          <w:rFonts w:ascii="Arial" w:hAnsi="Arial" w:cs="Arial"/>
          <w:b w:val="0"/>
          <w:bCs w:val="0"/>
          <w:sz w:val="18"/>
          <w:szCs w:val="18"/>
        </w:rPr>
        <w:t>HARVEY, D</w:t>
      </w:r>
      <w:r w:rsidRPr="00E73BB8">
        <w:rPr>
          <w:rFonts w:ascii="Arial" w:hAnsi="Arial" w:cs="Arial"/>
          <w:sz w:val="18"/>
          <w:szCs w:val="18"/>
        </w:rPr>
        <w:t xml:space="preserve">. A Condição do Pós-Moderno. </w:t>
      </w:r>
      <w:r w:rsidRPr="00E73BB8">
        <w:rPr>
          <w:rFonts w:ascii="Arial" w:hAnsi="Arial" w:cs="Arial"/>
          <w:b w:val="0"/>
          <w:bCs w:val="0"/>
          <w:sz w:val="18"/>
          <w:szCs w:val="18"/>
        </w:rPr>
        <w:t>São Paulo, Loyola:1993</w:t>
      </w:r>
      <w:r w:rsidRPr="00E73BB8">
        <w:rPr>
          <w:rFonts w:ascii="Arial" w:hAnsi="Arial" w:cs="Arial"/>
          <w:sz w:val="18"/>
          <w:szCs w:val="18"/>
        </w:rPr>
        <w:t xml:space="preserve">  </w:t>
      </w:r>
    </w:p>
    <w:p w14:paraId="403D81F5" w14:textId="77777777" w:rsidR="005662E1" w:rsidRPr="00213AEE" w:rsidRDefault="005662E1" w:rsidP="005662E1">
      <w:pPr>
        <w:pStyle w:val="Recuodecorpodetexto"/>
        <w:jc w:val="both"/>
        <w:rPr>
          <w:rFonts w:ascii="Arial" w:hAnsi="Arial" w:cs="Arial"/>
          <w:sz w:val="20"/>
        </w:rPr>
      </w:pPr>
    </w:p>
  </w:footnote>
  <w:footnote w:id="40">
    <w:p w14:paraId="12AF6B26" w14:textId="77777777" w:rsidR="005662E1" w:rsidRPr="00E73BB8" w:rsidRDefault="005662E1" w:rsidP="00E73BB8">
      <w:pPr>
        <w:pStyle w:val="Recuodecorpodetexto"/>
        <w:ind w:left="0"/>
        <w:jc w:val="both"/>
        <w:rPr>
          <w:rFonts w:ascii="Arial" w:hAnsi="Arial" w:cs="Arial"/>
          <w:sz w:val="18"/>
          <w:szCs w:val="18"/>
        </w:rPr>
      </w:pPr>
      <w:r w:rsidRPr="00E73BB8">
        <w:rPr>
          <w:rStyle w:val="Refdenotaderodap"/>
          <w:rFonts w:ascii="Arial" w:hAnsi="Arial" w:cs="Arial"/>
          <w:sz w:val="18"/>
          <w:szCs w:val="18"/>
        </w:rPr>
        <w:footnoteRef/>
      </w:r>
      <w:r w:rsidRPr="00E73BB8">
        <w:rPr>
          <w:rFonts w:ascii="Arial" w:hAnsi="Arial" w:cs="Arial"/>
          <w:sz w:val="18"/>
          <w:szCs w:val="18"/>
        </w:rPr>
        <w:t xml:space="preserve"> BRUNHOFF, S. de. </w:t>
      </w:r>
      <w:r w:rsidRPr="00E73BB8">
        <w:rPr>
          <w:rFonts w:ascii="Arial" w:hAnsi="Arial" w:cs="Arial"/>
          <w:b/>
          <w:bCs/>
          <w:sz w:val="18"/>
          <w:szCs w:val="18"/>
        </w:rPr>
        <w:t>A Hora do Mercado:</w:t>
      </w:r>
      <w:r w:rsidRPr="00E73BB8">
        <w:rPr>
          <w:rFonts w:ascii="Arial" w:hAnsi="Arial" w:cs="Arial"/>
          <w:sz w:val="18"/>
          <w:szCs w:val="18"/>
        </w:rPr>
        <w:t xml:space="preserve"> crítica do liberalismo. São Paulo, Universidade Estadual Paulista, 1991, p. 56</w:t>
      </w:r>
    </w:p>
  </w:footnote>
  <w:footnote w:id="41">
    <w:p w14:paraId="6EAE4DCB" w14:textId="77777777" w:rsidR="005662E1" w:rsidRPr="00E73BB8" w:rsidRDefault="005662E1" w:rsidP="00E73BB8">
      <w:pPr>
        <w:pStyle w:val="Recuodecorpodetexto"/>
        <w:ind w:left="0"/>
        <w:jc w:val="both"/>
        <w:rPr>
          <w:rFonts w:ascii="Arial" w:hAnsi="Arial" w:cs="Arial"/>
          <w:sz w:val="18"/>
          <w:szCs w:val="18"/>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FRIEDMAN, M. </w:t>
      </w:r>
      <w:r w:rsidRPr="00E73BB8">
        <w:rPr>
          <w:rFonts w:ascii="Arial" w:hAnsi="Arial" w:cs="Arial"/>
          <w:b/>
          <w:bCs/>
          <w:sz w:val="18"/>
          <w:szCs w:val="18"/>
        </w:rPr>
        <w:t>Capitalismo e Liberdade.</w:t>
      </w:r>
      <w:r w:rsidRPr="00E73BB8">
        <w:rPr>
          <w:rFonts w:ascii="Arial" w:hAnsi="Arial" w:cs="Arial"/>
          <w:sz w:val="18"/>
          <w:szCs w:val="18"/>
        </w:rPr>
        <w:t xml:space="preserve"> São Paulo: Nova Cultural:1982, p. 17</w:t>
      </w:r>
    </w:p>
  </w:footnote>
  <w:footnote w:id="42">
    <w:p w14:paraId="2FEB5F68" w14:textId="77777777" w:rsidR="005662E1" w:rsidRPr="00E73BB8" w:rsidRDefault="005662E1" w:rsidP="005662E1">
      <w:pPr>
        <w:pStyle w:val="Textodenotaderodap"/>
        <w:rPr>
          <w:sz w:val="18"/>
          <w:szCs w:val="18"/>
        </w:rPr>
      </w:pPr>
      <w:r w:rsidRPr="00E73BB8">
        <w:rPr>
          <w:rStyle w:val="Refdenotaderodap"/>
          <w:sz w:val="18"/>
          <w:szCs w:val="18"/>
        </w:rPr>
        <w:footnoteRef/>
      </w:r>
      <w:r w:rsidRPr="00E73BB8">
        <w:rPr>
          <w:sz w:val="18"/>
          <w:szCs w:val="18"/>
        </w:rPr>
        <w:t xml:space="preserve">  Idem, ibidem, p. 39</w:t>
      </w:r>
    </w:p>
  </w:footnote>
  <w:footnote w:id="43">
    <w:p w14:paraId="73B7D997" w14:textId="77777777" w:rsidR="005662E1" w:rsidRPr="00CD62C4" w:rsidRDefault="005662E1" w:rsidP="00E73BB8">
      <w:pPr>
        <w:pStyle w:val="Recuodecorpodetexto"/>
        <w:ind w:left="0"/>
        <w:jc w:val="both"/>
        <w:rPr>
          <w:rFonts w:ascii="Arial" w:hAnsi="Arial" w:cs="Arial"/>
          <w:sz w:val="20"/>
        </w:rPr>
      </w:pPr>
      <w:r w:rsidRPr="00E73BB8">
        <w:rPr>
          <w:rStyle w:val="Refdenotaderodap"/>
          <w:sz w:val="18"/>
          <w:szCs w:val="18"/>
        </w:rPr>
        <w:footnoteRef/>
      </w:r>
      <w:r w:rsidRPr="00E73BB8">
        <w:rPr>
          <w:sz w:val="18"/>
          <w:szCs w:val="18"/>
        </w:rPr>
        <w:t xml:space="preserve"> </w:t>
      </w:r>
      <w:r w:rsidRPr="00E73BB8">
        <w:rPr>
          <w:rFonts w:ascii="Arial" w:hAnsi="Arial" w:cs="Arial"/>
          <w:sz w:val="18"/>
          <w:szCs w:val="18"/>
        </w:rPr>
        <w:t xml:space="preserve">CARCANHOLO, R. A. A Globalização, o Neoliberalismo e a Síndrome da Imunidade Autoatribuída. IN: CARCANOLHO, R.A.; MALAGUTI, M. L. e CARCANHO, M. D (org.) </w:t>
      </w:r>
      <w:r w:rsidRPr="00E73BB8">
        <w:rPr>
          <w:rFonts w:ascii="Arial" w:hAnsi="Arial" w:cs="Arial"/>
          <w:b/>
          <w:bCs/>
          <w:sz w:val="18"/>
          <w:szCs w:val="18"/>
        </w:rPr>
        <w:t>NEOLIBERALISMO:</w:t>
      </w:r>
      <w:r w:rsidRPr="00E73BB8">
        <w:rPr>
          <w:rFonts w:ascii="Arial" w:hAnsi="Arial" w:cs="Arial"/>
          <w:sz w:val="18"/>
          <w:szCs w:val="18"/>
        </w:rPr>
        <w:t xml:space="preserve"> a tragédia do nosso tempo, São Paulo, Cortez:1998</w:t>
      </w:r>
    </w:p>
  </w:footnote>
  <w:footnote w:id="44">
    <w:p w14:paraId="6F237AA0" w14:textId="77777777" w:rsidR="005662E1" w:rsidRPr="00E73BB8" w:rsidRDefault="005662E1" w:rsidP="00E73BB8">
      <w:pPr>
        <w:pStyle w:val="Recuodecorpodetexto"/>
        <w:spacing w:after="0" w:line="240" w:lineRule="auto"/>
        <w:ind w:left="0"/>
        <w:jc w:val="both"/>
        <w:rPr>
          <w:rFonts w:ascii="Arial" w:hAnsi="Arial" w:cs="Arial"/>
          <w:b/>
          <w:bCs/>
          <w:sz w:val="18"/>
          <w:szCs w:val="18"/>
        </w:rPr>
      </w:pPr>
      <w:r w:rsidRPr="00E73BB8">
        <w:rPr>
          <w:rStyle w:val="Refdenotaderodap"/>
          <w:rFonts w:ascii="Arial" w:hAnsi="Arial" w:cs="Arial"/>
          <w:sz w:val="18"/>
          <w:szCs w:val="18"/>
        </w:rPr>
        <w:footnoteRef/>
      </w:r>
      <w:r w:rsidRPr="00E73BB8">
        <w:rPr>
          <w:rFonts w:ascii="Arial" w:hAnsi="Arial" w:cs="Arial"/>
          <w:sz w:val="18"/>
          <w:szCs w:val="18"/>
        </w:rPr>
        <w:t xml:space="preserve"> POCHMANN, M. </w:t>
      </w:r>
      <w:r w:rsidRPr="00E73BB8">
        <w:rPr>
          <w:rFonts w:ascii="Arial" w:hAnsi="Arial" w:cs="Arial"/>
          <w:b/>
          <w:bCs/>
          <w:sz w:val="18"/>
          <w:szCs w:val="18"/>
        </w:rPr>
        <w:t>O Trabalho sob Fogo Cruzado</w:t>
      </w:r>
      <w:r w:rsidRPr="00E73BB8">
        <w:rPr>
          <w:rFonts w:ascii="Arial" w:hAnsi="Arial" w:cs="Arial"/>
          <w:sz w:val="18"/>
          <w:szCs w:val="18"/>
        </w:rPr>
        <w:t xml:space="preserve"> São Paulo, Contexto:1999</w:t>
      </w:r>
    </w:p>
  </w:footnote>
  <w:footnote w:id="45">
    <w:p w14:paraId="3F24473C" w14:textId="77777777" w:rsidR="005662E1" w:rsidRPr="00E73BB8" w:rsidRDefault="005662E1" w:rsidP="00E73BB8">
      <w:pPr>
        <w:shd w:val="clear" w:color="auto" w:fill="FFFFFF"/>
        <w:spacing w:after="0" w:line="240" w:lineRule="auto"/>
        <w:rPr>
          <w:rFonts w:ascii="Arial" w:eastAsia="Times New Roman" w:hAnsi="Arial" w:cs="Arial"/>
          <w:color w:val="202124"/>
          <w:sz w:val="18"/>
          <w:szCs w:val="18"/>
          <w:lang w:eastAsia="pt-BR"/>
        </w:rPr>
      </w:pPr>
      <w:r w:rsidRPr="00E73BB8">
        <w:rPr>
          <w:rStyle w:val="Refdenotaderodap"/>
          <w:rFonts w:ascii="Arial" w:hAnsi="Arial" w:cs="Arial"/>
          <w:sz w:val="18"/>
          <w:szCs w:val="18"/>
        </w:rPr>
        <w:footnoteRef/>
      </w:r>
      <w:r w:rsidRPr="00E73BB8">
        <w:rPr>
          <w:rFonts w:ascii="Arial" w:hAnsi="Arial" w:cs="Arial"/>
          <w:sz w:val="18"/>
          <w:szCs w:val="18"/>
        </w:rPr>
        <w:t xml:space="preserve"> </w:t>
      </w:r>
      <w:r w:rsidRPr="00E73BB8">
        <w:rPr>
          <w:rFonts w:ascii="Arial" w:eastAsia="Times New Roman" w:hAnsi="Arial" w:cs="Arial"/>
          <w:color w:val="202124"/>
          <w:sz w:val="18"/>
          <w:szCs w:val="18"/>
          <w:shd w:val="clear" w:color="auto" w:fill="FFFFFF"/>
          <w:lang w:eastAsia="pt-BR"/>
        </w:rPr>
        <w:t xml:space="preserve">CASTELLS, Manuel. </w:t>
      </w:r>
      <w:r w:rsidRPr="00E73BB8">
        <w:rPr>
          <w:rFonts w:ascii="Arial" w:eastAsia="Times New Roman" w:hAnsi="Arial" w:cs="Arial"/>
          <w:color w:val="202124"/>
          <w:sz w:val="18"/>
          <w:szCs w:val="18"/>
          <w:lang w:eastAsia="pt-BR"/>
        </w:rPr>
        <w:t>O </w:t>
      </w:r>
      <w:r w:rsidRPr="00E73BB8">
        <w:rPr>
          <w:rFonts w:ascii="Arial" w:eastAsia="Times New Roman" w:hAnsi="Arial" w:cs="Arial"/>
          <w:b/>
          <w:bCs/>
          <w:color w:val="202124"/>
          <w:sz w:val="18"/>
          <w:szCs w:val="18"/>
          <w:lang w:eastAsia="pt-BR"/>
        </w:rPr>
        <w:t>poder da identidade</w:t>
      </w:r>
      <w:r w:rsidRPr="00E73BB8">
        <w:rPr>
          <w:rFonts w:ascii="Arial" w:eastAsia="Times New Roman" w:hAnsi="Arial" w:cs="Arial"/>
          <w:color w:val="202124"/>
          <w:sz w:val="18"/>
          <w:szCs w:val="18"/>
          <w:lang w:eastAsia="pt-BR"/>
        </w:rPr>
        <w:t xml:space="preserve">. </w:t>
      </w:r>
      <w:r w:rsidRPr="00E73BB8">
        <w:rPr>
          <w:rFonts w:ascii="Arial" w:eastAsia="Times New Roman" w:hAnsi="Arial" w:cs="Arial"/>
          <w:color w:val="202124"/>
          <w:sz w:val="18"/>
          <w:szCs w:val="18"/>
          <w:shd w:val="clear" w:color="auto" w:fill="FFFFFF"/>
          <w:lang w:eastAsia="pt-BR"/>
        </w:rPr>
        <w:t>São Paulo: Paz e Terra, 2000.  Cap. 05. </w:t>
      </w:r>
    </w:p>
  </w:footnote>
  <w:footnote w:id="46">
    <w:p w14:paraId="6DCD8D0E" w14:textId="77777777" w:rsidR="005662E1" w:rsidRPr="00E73BB8" w:rsidRDefault="005662E1" w:rsidP="00E73BB8">
      <w:pPr>
        <w:pStyle w:val="Textodenotaderodap"/>
        <w:rPr>
          <w:sz w:val="18"/>
          <w:szCs w:val="18"/>
        </w:rPr>
      </w:pPr>
      <w:r w:rsidRPr="00E73BB8">
        <w:rPr>
          <w:rStyle w:val="Refdenotaderodap"/>
          <w:rFonts w:ascii="Arial" w:hAnsi="Arial" w:cs="Arial"/>
          <w:sz w:val="18"/>
          <w:szCs w:val="18"/>
        </w:rPr>
        <w:footnoteRef/>
      </w:r>
      <w:r w:rsidRPr="00E73BB8">
        <w:rPr>
          <w:rFonts w:ascii="Arial" w:hAnsi="Arial" w:cs="Arial"/>
          <w:sz w:val="18"/>
          <w:szCs w:val="18"/>
        </w:rPr>
        <w:t xml:space="preserve"> CASTELLS, op. Cit. p. 351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82401" w14:textId="77777777" w:rsidR="00DF3835" w:rsidRDefault="002128A1">
    <w:pPr>
      <w:pStyle w:val="Cabealho"/>
      <w:jc w:val="center"/>
    </w:pPr>
    <w:r>
      <w:rPr>
        <w:noProof/>
      </w:rPr>
      <mc:AlternateContent>
        <mc:Choice Requires="wps">
          <w:drawing>
            <wp:anchor distT="0" distB="0" distL="114300" distR="114300" simplePos="0" relativeHeight="251660288" behindDoc="1" locked="0" layoutInCell="1" allowOverlap="1" wp14:anchorId="6810BE99" wp14:editId="656CEF96">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1F303EF0" wp14:editId="18EB30D1">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11BC7B2D" wp14:editId="06CE1823">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34CA2822" w14:textId="77777777" w:rsidR="00DF3835" w:rsidRDefault="00DF3835">
    <w:pPr>
      <w:pStyle w:val="Cabealho"/>
      <w:jc w:val="center"/>
    </w:pPr>
  </w:p>
  <w:p w14:paraId="4A727E3D" w14:textId="77777777" w:rsidR="00DF3835" w:rsidRDefault="00DF3835">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B7F18"/>
    <w:multiLevelType w:val="multilevel"/>
    <w:tmpl w:val="3B185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96682C"/>
    <w:multiLevelType w:val="multilevel"/>
    <w:tmpl w:val="44A61786"/>
    <w:lvl w:ilvl="0">
      <w:start w:val="1"/>
      <w:numFmt w:val="decimal"/>
      <w:lvlText w:val="%1.0"/>
      <w:lvlJc w:val="left"/>
      <w:pPr>
        <w:tabs>
          <w:tab w:val="num" w:pos="1125"/>
        </w:tabs>
        <w:ind w:left="1125" w:hanging="420"/>
      </w:pPr>
      <w:rPr>
        <w:rFonts w:hint="default"/>
      </w:rPr>
    </w:lvl>
    <w:lvl w:ilvl="1">
      <w:start w:val="1"/>
      <w:numFmt w:val="decimal"/>
      <w:lvlText w:val="%1.%2"/>
      <w:lvlJc w:val="left"/>
      <w:pPr>
        <w:tabs>
          <w:tab w:val="num" w:pos="1833"/>
        </w:tabs>
        <w:ind w:left="1833" w:hanging="420"/>
      </w:pPr>
      <w:rPr>
        <w:rFonts w:hint="default"/>
      </w:rPr>
    </w:lvl>
    <w:lvl w:ilvl="2">
      <w:start w:val="1"/>
      <w:numFmt w:val="decimal"/>
      <w:lvlText w:val="%1.%2.%3"/>
      <w:lvlJc w:val="left"/>
      <w:pPr>
        <w:tabs>
          <w:tab w:val="num" w:pos="2841"/>
        </w:tabs>
        <w:ind w:left="2841" w:hanging="720"/>
      </w:pPr>
      <w:rPr>
        <w:rFonts w:hint="default"/>
      </w:rPr>
    </w:lvl>
    <w:lvl w:ilvl="3">
      <w:start w:val="1"/>
      <w:numFmt w:val="decimal"/>
      <w:lvlText w:val="%1.%2.%3.%4"/>
      <w:lvlJc w:val="left"/>
      <w:pPr>
        <w:tabs>
          <w:tab w:val="num" w:pos="3549"/>
        </w:tabs>
        <w:ind w:left="3549" w:hanging="720"/>
      </w:pPr>
      <w:rPr>
        <w:rFonts w:hint="default"/>
      </w:rPr>
    </w:lvl>
    <w:lvl w:ilvl="4">
      <w:start w:val="1"/>
      <w:numFmt w:val="decimal"/>
      <w:lvlText w:val="%1.%2.%3.%4.%5"/>
      <w:lvlJc w:val="left"/>
      <w:pPr>
        <w:tabs>
          <w:tab w:val="num" w:pos="4617"/>
        </w:tabs>
        <w:ind w:left="4617" w:hanging="1080"/>
      </w:pPr>
      <w:rPr>
        <w:rFonts w:hint="default"/>
      </w:rPr>
    </w:lvl>
    <w:lvl w:ilvl="5">
      <w:start w:val="1"/>
      <w:numFmt w:val="decimal"/>
      <w:lvlText w:val="%1.%2.%3.%4.%5.%6"/>
      <w:lvlJc w:val="left"/>
      <w:pPr>
        <w:tabs>
          <w:tab w:val="num" w:pos="5325"/>
        </w:tabs>
        <w:ind w:left="5325" w:hanging="1080"/>
      </w:pPr>
      <w:rPr>
        <w:rFonts w:hint="default"/>
      </w:rPr>
    </w:lvl>
    <w:lvl w:ilvl="6">
      <w:start w:val="1"/>
      <w:numFmt w:val="decimal"/>
      <w:lvlText w:val="%1.%2.%3.%4.%5.%6.%7"/>
      <w:lvlJc w:val="left"/>
      <w:pPr>
        <w:tabs>
          <w:tab w:val="num" w:pos="6393"/>
        </w:tabs>
        <w:ind w:left="6393" w:hanging="1440"/>
      </w:pPr>
      <w:rPr>
        <w:rFonts w:hint="default"/>
      </w:rPr>
    </w:lvl>
    <w:lvl w:ilvl="7">
      <w:start w:val="1"/>
      <w:numFmt w:val="decimal"/>
      <w:lvlText w:val="%1.%2.%3.%4.%5.%6.%7.%8"/>
      <w:lvlJc w:val="left"/>
      <w:pPr>
        <w:tabs>
          <w:tab w:val="num" w:pos="7101"/>
        </w:tabs>
        <w:ind w:left="7101" w:hanging="1440"/>
      </w:pPr>
      <w:rPr>
        <w:rFonts w:hint="default"/>
      </w:rPr>
    </w:lvl>
    <w:lvl w:ilvl="8">
      <w:start w:val="1"/>
      <w:numFmt w:val="decimal"/>
      <w:lvlText w:val="%1.%2.%3.%4.%5.%6.%7.%8.%9"/>
      <w:lvlJc w:val="left"/>
      <w:pPr>
        <w:tabs>
          <w:tab w:val="num" w:pos="8169"/>
        </w:tabs>
        <w:ind w:left="8169" w:hanging="1800"/>
      </w:pPr>
      <w:rPr>
        <w:rFonts w:hint="default"/>
      </w:rPr>
    </w:lvl>
  </w:abstractNum>
  <w:abstractNum w:abstractNumId="2" w15:restartNumberingAfterBreak="0">
    <w:nsid w:val="2C5C11F8"/>
    <w:multiLevelType w:val="multilevel"/>
    <w:tmpl w:val="0CEC3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962EF5"/>
    <w:multiLevelType w:val="hybridMultilevel"/>
    <w:tmpl w:val="640A4E3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7874496">
    <w:abstractNumId w:val="1"/>
  </w:num>
  <w:num w:numId="2" w16cid:durableId="482694943">
    <w:abstractNumId w:val="3"/>
  </w:num>
  <w:num w:numId="3" w16cid:durableId="188373433">
    <w:abstractNumId w:val="0"/>
  </w:num>
  <w:num w:numId="4" w16cid:durableId="1430538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43D32"/>
    <w:rsid w:val="000F2C33"/>
    <w:rsid w:val="0017619A"/>
    <w:rsid w:val="00206A92"/>
    <w:rsid w:val="002128A1"/>
    <w:rsid w:val="00241841"/>
    <w:rsid w:val="00255C43"/>
    <w:rsid w:val="00422E27"/>
    <w:rsid w:val="004D292A"/>
    <w:rsid w:val="00507F7E"/>
    <w:rsid w:val="00510F45"/>
    <w:rsid w:val="00553B94"/>
    <w:rsid w:val="005662E1"/>
    <w:rsid w:val="007A3A8D"/>
    <w:rsid w:val="007C3EAC"/>
    <w:rsid w:val="00827E5B"/>
    <w:rsid w:val="0085799B"/>
    <w:rsid w:val="009F167A"/>
    <w:rsid w:val="00A12BDF"/>
    <w:rsid w:val="00BC6D50"/>
    <w:rsid w:val="00C87F92"/>
    <w:rsid w:val="00DF3835"/>
    <w:rsid w:val="00E50039"/>
    <w:rsid w:val="00E73BB8"/>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D06928"/>
  <w15:docId w15:val="{2A609433-C11D-4631-B699-568A6848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2E1"/>
    <w:pPr>
      <w:spacing w:after="200" w:line="276" w:lineRule="auto"/>
    </w:pPr>
    <w:rPr>
      <w:rFonts w:ascii="Calibri" w:eastAsia="Calibri" w:hAnsi="Calibri" w:cs="Times New Roman"/>
      <w:sz w:val="22"/>
      <w:szCs w:val="22"/>
      <w:lang w:eastAsia="en-US"/>
    </w:rPr>
  </w:style>
  <w:style w:type="paragraph" w:styleId="Ttulo1">
    <w:name w:val="heading 1"/>
    <w:basedOn w:val="Normal"/>
    <w:link w:val="Ttulo1Char"/>
    <w:uiPriority w:val="9"/>
    <w:qFormat/>
    <w:rsid w:val="005662E1"/>
    <w:pPr>
      <w:spacing w:before="100" w:beforeAutospacing="1" w:after="100" w:afterAutospacing="1" w:line="240" w:lineRule="auto"/>
      <w:outlineLvl w:val="0"/>
    </w:pPr>
    <w:rPr>
      <w:rFonts w:ascii="Times New Roman" w:eastAsia="Times New Roman" w:hAnsi="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Recuodecorpodetexto">
    <w:name w:val="Body Text Indent"/>
    <w:basedOn w:val="Normal"/>
    <w:link w:val="RecuodecorpodetextoChar"/>
    <w:unhideWhenUsed/>
    <w:rsid w:val="00422E27"/>
    <w:pPr>
      <w:spacing w:after="120"/>
      <w:ind w:left="283"/>
    </w:pPr>
  </w:style>
  <w:style w:type="character" w:customStyle="1" w:styleId="RecuodecorpodetextoChar">
    <w:name w:val="Recuo de corpo de texto Char"/>
    <w:basedOn w:val="Fontepargpadro"/>
    <w:link w:val="Recuodecorpodetexto"/>
    <w:rsid w:val="00422E27"/>
    <w:rPr>
      <w:sz w:val="22"/>
      <w:szCs w:val="22"/>
      <w:lang w:eastAsia="en-US"/>
    </w:rPr>
  </w:style>
  <w:style w:type="character" w:customStyle="1" w:styleId="Ttulo1Char">
    <w:name w:val="Título 1 Char"/>
    <w:basedOn w:val="Fontepargpadro"/>
    <w:link w:val="Ttulo1"/>
    <w:uiPriority w:val="9"/>
    <w:rsid w:val="005662E1"/>
    <w:rPr>
      <w:rFonts w:ascii="Times New Roman" w:eastAsia="Times New Roman" w:hAnsi="Times New Roman" w:cs="Times New Roman"/>
      <w:b/>
      <w:bCs/>
      <w:kern w:val="36"/>
      <w:sz w:val="48"/>
      <w:szCs w:val="48"/>
    </w:rPr>
  </w:style>
  <w:style w:type="character" w:styleId="nfase">
    <w:name w:val="Emphasis"/>
    <w:uiPriority w:val="20"/>
    <w:qFormat/>
    <w:rsid w:val="005662E1"/>
    <w:rPr>
      <w:i/>
      <w:iCs/>
    </w:rPr>
  </w:style>
  <w:style w:type="paragraph" w:customStyle="1" w:styleId="Corpodetexto21">
    <w:name w:val="Corpo de texto 21"/>
    <w:basedOn w:val="Normal"/>
    <w:rsid w:val="005662E1"/>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4"/>
      <w:szCs w:val="20"/>
      <w:lang w:eastAsia="pt-BR"/>
    </w:rPr>
  </w:style>
  <w:style w:type="paragraph" w:styleId="PargrafodaLista">
    <w:name w:val="List Paragraph"/>
    <w:basedOn w:val="Normal"/>
    <w:uiPriority w:val="34"/>
    <w:qFormat/>
    <w:rsid w:val="005662E1"/>
    <w:pPr>
      <w:ind w:left="720"/>
      <w:contextualSpacing/>
    </w:pPr>
  </w:style>
  <w:style w:type="paragraph" w:styleId="Textodenotaderodap">
    <w:name w:val="footnote text"/>
    <w:basedOn w:val="Normal"/>
    <w:link w:val="TextodenotaderodapChar"/>
    <w:unhideWhenUsed/>
    <w:rsid w:val="005662E1"/>
    <w:pPr>
      <w:spacing w:after="0" w:line="240" w:lineRule="auto"/>
    </w:pPr>
    <w:rPr>
      <w:sz w:val="20"/>
      <w:szCs w:val="20"/>
    </w:rPr>
  </w:style>
  <w:style w:type="character" w:customStyle="1" w:styleId="TextodenotaderodapChar">
    <w:name w:val="Texto de nota de rodapé Char"/>
    <w:basedOn w:val="Fontepargpadro"/>
    <w:link w:val="Textodenotaderodap"/>
    <w:rsid w:val="005662E1"/>
    <w:rPr>
      <w:rFonts w:ascii="Calibri" w:eastAsia="Calibri" w:hAnsi="Calibri" w:cs="Times New Roman"/>
      <w:lang w:eastAsia="en-US"/>
    </w:rPr>
  </w:style>
  <w:style w:type="character" w:styleId="Refdenotaderodap">
    <w:name w:val="footnote reference"/>
    <w:basedOn w:val="Fontepargpadro"/>
    <w:uiPriority w:val="99"/>
    <w:semiHidden/>
    <w:unhideWhenUsed/>
    <w:rsid w:val="005662E1"/>
    <w:rPr>
      <w:vertAlign w:val="superscript"/>
    </w:rPr>
  </w:style>
  <w:style w:type="character" w:customStyle="1" w:styleId="separator">
    <w:name w:val="_separator"/>
    <w:basedOn w:val="Fontepargpadro"/>
    <w:rsid w:val="005662E1"/>
  </w:style>
  <w:style w:type="character" w:customStyle="1" w:styleId="editionmeta">
    <w:name w:val="_editionmeta"/>
    <w:basedOn w:val="Fontepargpadro"/>
    <w:rsid w:val="005662E1"/>
  </w:style>
  <w:style w:type="character" w:customStyle="1" w:styleId="group-doi">
    <w:name w:val="group-doi"/>
    <w:basedOn w:val="Fontepargpadro"/>
    <w:rsid w:val="005662E1"/>
  </w:style>
  <w:style w:type="character" w:styleId="Hyperlink">
    <w:name w:val="Hyperlink"/>
    <w:basedOn w:val="Fontepargpadro"/>
    <w:uiPriority w:val="99"/>
    <w:semiHidden/>
    <w:unhideWhenUsed/>
    <w:rsid w:val="005662E1"/>
    <w:rPr>
      <w:color w:val="0000FF"/>
      <w:u w:val="single"/>
    </w:rPr>
  </w:style>
  <w:style w:type="character" w:customStyle="1" w:styleId="hgkelc">
    <w:name w:val="hgkelc"/>
    <w:basedOn w:val="Fontepargpadro"/>
    <w:rsid w:val="005662E1"/>
  </w:style>
  <w:style w:type="character" w:customStyle="1" w:styleId="ncoradanotaderodap">
    <w:name w:val="Âncora da nota de rodapé"/>
    <w:rsid w:val="005662E1"/>
    <w:rPr>
      <w:vertAlign w:val="superscript"/>
    </w:rPr>
  </w:style>
  <w:style w:type="character" w:customStyle="1" w:styleId="Caracteresdenotaderodap">
    <w:name w:val="Caracteres de nota de rodapé"/>
    <w:qFormat/>
    <w:rsid w:val="005662E1"/>
  </w:style>
  <w:style w:type="paragraph" w:customStyle="1" w:styleId="Textbodyindent">
    <w:name w:val="Text body indent"/>
    <w:basedOn w:val="Normal"/>
    <w:rsid w:val="005662E1"/>
    <w:pPr>
      <w:suppressAutoHyphens/>
      <w:autoSpaceDN w:val="0"/>
      <w:spacing w:after="0" w:line="240" w:lineRule="auto"/>
      <w:ind w:firstLine="708"/>
      <w:textAlignment w:val="baseline"/>
    </w:pPr>
    <w:rPr>
      <w:rFonts w:ascii="Times New Roman" w:eastAsia="Times New Roman" w:hAnsi="Times New Roman"/>
      <w:sz w:val="24"/>
      <w:szCs w:val="20"/>
      <w:lang w:eastAsia="pt-BR"/>
    </w:rPr>
  </w:style>
  <w:style w:type="character" w:customStyle="1" w:styleId="Internetlink">
    <w:name w:val="Internet link"/>
    <w:basedOn w:val="Fontepargpadro"/>
    <w:rsid w:val="005662E1"/>
    <w:rPr>
      <w:color w:val="0000FF"/>
      <w:u w:val="single"/>
    </w:rPr>
  </w:style>
  <w:style w:type="character" w:styleId="HiperlinkVisitado">
    <w:name w:val="FollowedHyperlink"/>
    <w:basedOn w:val="Fontepargpadro"/>
    <w:uiPriority w:val="99"/>
    <w:semiHidden/>
    <w:unhideWhenUsed/>
    <w:rsid w:val="005662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ireitoshumanos.usp.br/index.php/Direito-ao-Desenvolvimento/declaracao-sobre-o-direito-ao-desenvolvimento.html"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icjp.pt/sites/default/files/media/1116-243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590/S0102-64452007000200002" TargetMode="External"/><Relationship Id="rId5" Type="http://schemas.openxmlformats.org/officeDocument/2006/relationships/settings" Target="settings.xml"/><Relationship Id="rId15" Type="http://schemas.openxmlformats.org/officeDocument/2006/relationships/hyperlink" Target="https://ojs.ccsa.ufrn.br/index.php/interface/article/view/10" TargetMode="External"/><Relationship Id="rId10" Type="http://schemas.openxmlformats.org/officeDocument/2006/relationships/hyperlink" Target="http://lattes.cnpq.br/8429436981406857"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revistas.unijui.edu.br/index.php/desenvolvimentoemquestao/article/view/70" TargetMode="External"/><Relationship Id="rId14" Type="http://schemas.openxmlformats.org/officeDocument/2006/relationships/hyperlink" Target="https://scholar.google.com.br/citations?view_op=view_citation&amp;hl=pt-BR&amp;user=BY7griYAAAAJ&amp;citation_for_view=BY7griYAAAAJ:SpbeaW3--B0C"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revistas.unijui.edu.br/index.php/desenvolvimentoemquestao/article/view/70" TargetMode="External"/><Relationship Id="rId3" Type="http://schemas.openxmlformats.org/officeDocument/2006/relationships/hyperlink" Target="https://ojs.ccsa.ufrn.br/index.php/interface/article/view/10" TargetMode="External"/><Relationship Id="rId7" Type="http://schemas.openxmlformats.org/officeDocument/2006/relationships/hyperlink" Target="http://www.direitoshumanos.usp.br/index.php/Direito-ao-Desenvolvimento/declaracao-sobre-o-direito-ao-desenvolvimento.html" TargetMode="External"/><Relationship Id="rId2" Type="http://schemas.openxmlformats.org/officeDocument/2006/relationships/hyperlink" Target="https://scholar.google.com.br/citations?view_op=view_citation&amp;hl=pt-BR&amp;user=BY7griYAAAAJ&amp;citation_for_view=BY7griYAAAAJ:SpbeaW3--B0C" TargetMode="External"/><Relationship Id="rId1" Type="http://schemas.openxmlformats.org/officeDocument/2006/relationships/hyperlink" Target="https://doi.org/10.1590/S0102-64452007000200002" TargetMode="External"/><Relationship Id="rId6" Type="http://schemas.openxmlformats.org/officeDocument/2006/relationships/hyperlink" Target="https://www.icjp.pt/sites/default/files/media/1116-2433.pdf" TargetMode="External"/><Relationship Id="rId5" Type="http://schemas.openxmlformats.org/officeDocument/2006/relationships/hyperlink" Target="https://www.icjp.pt/sites/default/files/media/1116-2433.pdf" TargetMode="External"/><Relationship Id="rId10" Type="http://schemas.openxmlformats.org/officeDocument/2006/relationships/hyperlink" Target="http://www.direitoshumanos.usp.br/index.php/Direito-ao-Desenvolvimento/declaracao-sobre-o-direito-ao-desenvolvimento.html" TargetMode="External"/><Relationship Id="rId4" Type="http://schemas.openxmlformats.org/officeDocument/2006/relationships/hyperlink" Target="http://lattes.cnpq.br/8429436981406857" TargetMode="External"/><Relationship Id="rId9" Type="http://schemas.openxmlformats.org/officeDocument/2006/relationships/hyperlink" Target="https://www.revistas.unijui.edu.br/index.php/desenvolvimentoemquestao/article/view/7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9133</Words>
  <Characters>49323</Characters>
  <Application>Microsoft Office Word</Application>
  <DocSecurity>0</DocSecurity>
  <Lines>411</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WILLIAM Pereira</cp:lastModifiedBy>
  <cp:revision>3</cp:revision>
  <dcterms:created xsi:type="dcterms:W3CDTF">2022-08-16T01:23:00Z</dcterms:created>
  <dcterms:modified xsi:type="dcterms:W3CDTF">2022-08-16T01:24:00Z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