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5EC26" w14:textId="77777777" w:rsidR="00E75EF3" w:rsidRDefault="00E75EF3" w:rsidP="00CA6A46">
      <w:pPr>
        <w:pStyle w:val="Corpodetexto3"/>
        <w:spacing w:line="360" w:lineRule="auto"/>
        <w:rPr>
          <w:szCs w:val="28"/>
        </w:rPr>
      </w:pPr>
    </w:p>
    <w:p w14:paraId="62E0C1E9" w14:textId="5D338E46" w:rsidR="00A962FC" w:rsidRPr="00CA6A46" w:rsidRDefault="00A962FC" w:rsidP="00CA6A46">
      <w:pPr>
        <w:pStyle w:val="Corpodetexto3"/>
        <w:spacing w:line="360" w:lineRule="auto"/>
        <w:rPr>
          <w:szCs w:val="28"/>
        </w:rPr>
      </w:pPr>
      <w:r w:rsidRPr="00CA6A46">
        <w:rPr>
          <w:szCs w:val="28"/>
        </w:rPr>
        <w:t xml:space="preserve">ANÁLISE DE CONVERGÊNCIA DE RENDA </w:t>
      </w:r>
      <w:r w:rsidRPr="00CA6A46">
        <w:rPr>
          <w:i/>
          <w:iCs/>
          <w:szCs w:val="28"/>
        </w:rPr>
        <w:t>PER CAPITA</w:t>
      </w:r>
      <w:r w:rsidRPr="00CA6A46">
        <w:rPr>
          <w:szCs w:val="28"/>
        </w:rPr>
        <w:t xml:space="preserve"> NOS ESTADOS BRASILEIROS 1989-2019</w:t>
      </w:r>
    </w:p>
    <w:p w14:paraId="637BE527" w14:textId="77777777" w:rsidR="00A962FC" w:rsidRPr="00CA6A46" w:rsidRDefault="00A962FC" w:rsidP="00CA6A46">
      <w:pPr>
        <w:pStyle w:val="Corpodetexto3"/>
        <w:rPr>
          <w:szCs w:val="28"/>
        </w:rPr>
      </w:pPr>
    </w:p>
    <w:p w14:paraId="2312FD62" w14:textId="77777777" w:rsidR="00AB731B" w:rsidRPr="00CA6A46" w:rsidRDefault="00642DB2" w:rsidP="00CA6A46">
      <w:pPr>
        <w:pStyle w:val="Ttulo"/>
        <w:jc w:val="both"/>
        <w:rPr>
          <w:rFonts w:ascii="Times New Roman" w:hAnsi="Times New Roman"/>
          <w:sz w:val="24"/>
          <w:lang w:val="pt-BR"/>
        </w:rPr>
      </w:pPr>
      <w:r w:rsidRPr="00CA6A46">
        <w:rPr>
          <w:rFonts w:ascii="Times New Roman" w:hAnsi="Times New Roman"/>
          <w:sz w:val="24"/>
          <w:lang w:val="pt-BR"/>
        </w:rPr>
        <w:t>RESUMO</w:t>
      </w:r>
    </w:p>
    <w:p w14:paraId="2A8F67E1" w14:textId="5C3CC316" w:rsidR="00A962FC" w:rsidRPr="00CA6A46" w:rsidRDefault="00A962FC" w:rsidP="00CA6A46">
      <w:pPr>
        <w:spacing w:after="0" w:line="240" w:lineRule="auto"/>
        <w:jc w:val="both"/>
        <w:rPr>
          <w:rFonts w:ascii="Times New Roman" w:hAnsi="Times New Roman" w:cs="Times New Roman"/>
          <w:sz w:val="24"/>
          <w:szCs w:val="24"/>
        </w:rPr>
      </w:pPr>
      <w:r w:rsidRPr="00CA6A46">
        <w:rPr>
          <w:rFonts w:ascii="Times New Roman" w:hAnsi="Times New Roman" w:cs="Times New Roman"/>
          <w:sz w:val="24"/>
          <w:szCs w:val="24"/>
        </w:rPr>
        <w:t xml:space="preserve">O Brasil é conhecido pelas </w:t>
      </w:r>
      <w:r w:rsidR="002A16F0" w:rsidRPr="00CA6A46">
        <w:rPr>
          <w:rFonts w:ascii="Times New Roman" w:hAnsi="Times New Roman" w:cs="Times New Roman"/>
          <w:sz w:val="24"/>
          <w:szCs w:val="24"/>
        </w:rPr>
        <w:t xml:space="preserve">suas </w:t>
      </w:r>
      <w:r w:rsidRPr="00CA6A46">
        <w:rPr>
          <w:rFonts w:ascii="Times New Roman" w:hAnsi="Times New Roman" w:cs="Times New Roman"/>
          <w:sz w:val="24"/>
          <w:szCs w:val="24"/>
        </w:rPr>
        <w:t>diferenças regionais de renda</w:t>
      </w:r>
      <w:r w:rsidR="002A16F0" w:rsidRPr="00CA6A46">
        <w:rPr>
          <w:rFonts w:ascii="Times New Roman" w:hAnsi="Times New Roman" w:cs="Times New Roman"/>
          <w:sz w:val="24"/>
          <w:szCs w:val="24"/>
        </w:rPr>
        <w:t xml:space="preserve">, o que </w:t>
      </w:r>
      <w:r w:rsidRPr="00CA6A46">
        <w:rPr>
          <w:rFonts w:ascii="Times New Roman" w:hAnsi="Times New Roman" w:cs="Times New Roman"/>
          <w:sz w:val="24"/>
          <w:szCs w:val="24"/>
        </w:rPr>
        <w:t xml:space="preserve">intriga e faz surgir diversos estudos a respeito dos processos de crescimento e de convergência de renda. O objetivo do presente trabalho é verificar quanto o crescimento econômico em determinado período depende do nível de renda que a região detinha em determinado ponto no passado. A metodologia desse teste tem como base teórica o modelo de crescimento econômico de Solow (1954), em que se prevê a existência de tendências de convergência de produto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entre regiões com condições semelhantes de acumulação de capital. Foram estimados quatro testes de convergência absoluta, utilizando dados de uma série histórica de 30 anos de produto agregado per capita das 27 unidades da Federação do Brasil. Com os resultados, foi possível destacar que o Distrito Federal é o estado com maior nível de produto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do país e o Ceará o menor, no entanto, esses não foram os estados que apresentaram, respectivamente a menor e a maior taxa de crescimento econômico.</w:t>
      </w:r>
    </w:p>
    <w:p w14:paraId="3F7B58C7" w14:textId="77777777" w:rsidR="00616B33" w:rsidRPr="00CA6A46" w:rsidRDefault="00616B33" w:rsidP="00CA6A46">
      <w:pPr>
        <w:spacing w:after="0" w:line="240" w:lineRule="auto"/>
        <w:jc w:val="both"/>
        <w:rPr>
          <w:rFonts w:ascii="Times New Roman" w:hAnsi="Times New Roman" w:cs="Times New Roman"/>
          <w:sz w:val="24"/>
          <w:szCs w:val="24"/>
        </w:rPr>
      </w:pPr>
    </w:p>
    <w:p w14:paraId="5A90DCF5" w14:textId="6C312DB0" w:rsidR="00A962FC" w:rsidRPr="00CA6A46" w:rsidRDefault="00642DB2" w:rsidP="00CA6A46">
      <w:pPr>
        <w:spacing w:after="0"/>
        <w:rPr>
          <w:rFonts w:ascii="Times New Roman" w:hAnsi="Times New Roman" w:cs="Times New Roman"/>
          <w:sz w:val="24"/>
          <w:szCs w:val="24"/>
        </w:rPr>
      </w:pPr>
      <w:r w:rsidRPr="00CA6A46">
        <w:rPr>
          <w:rFonts w:ascii="Times New Roman" w:hAnsi="Times New Roman" w:cs="Times New Roman"/>
          <w:b/>
          <w:bCs/>
          <w:sz w:val="24"/>
          <w:szCs w:val="24"/>
        </w:rPr>
        <w:t>Palavras-chave</w:t>
      </w:r>
      <w:r w:rsidRPr="00CA6A46">
        <w:rPr>
          <w:rFonts w:ascii="Times New Roman" w:hAnsi="Times New Roman" w:cs="Times New Roman"/>
          <w:sz w:val="24"/>
          <w:szCs w:val="24"/>
        </w:rPr>
        <w:t xml:space="preserve">: </w:t>
      </w:r>
      <w:r w:rsidR="00A962FC" w:rsidRPr="00CA6A46">
        <w:rPr>
          <w:rFonts w:ascii="Times New Roman" w:hAnsi="Times New Roman" w:cs="Times New Roman"/>
          <w:sz w:val="24"/>
          <w:szCs w:val="24"/>
        </w:rPr>
        <w:t>Crescimento Econômico</w:t>
      </w:r>
      <w:r w:rsidR="0072020D">
        <w:rPr>
          <w:rFonts w:ascii="Times New Roman" w:hAnsi="Times New Roman" w:cs="Times New Roman"/>
          <w:sz w:val="24"/>
          <w:szCs w:val="24"/>
        </w:rPr>
        <w:t>,</w:t>
      </w:r>
      <w:r w:rsidR="00A962FC" w:rsidRPr="00CA6A46">
        <w:rPr>
          <w:rFonts w:ascii="Times New Roman" w:hAnsi="Times New Roman" w:cs="Times New Roman"/>
          <w:sz w:val="24"/>
          <w:szCs w:val="24"/>
        </w:rPr>
        <w:t xml:space="preserve"> convergência</w:t>
      </w:r>
      <w:r w:rsidR="0072020D">
        <w:rPr>
          <w:rFonts w:ascii="Times New Roman" w:hAnsi="Times New Roman" w:cs="Times New Roman"/>
          <w:sz w:val="24"/>
          <w:szCs w:val="24"/>
        </w:rPr>
        <w:t>,</w:t>
      </w:r>
      <w:r w:rsidR="00A962FC" w:rsidRPr="00CA6A46">
        <w:rPr>
          <w:rFonts w:ascii="Times New Roman" w:hAnsi="Times New Roman" w:cs="Times New Roman"/>
          <w:sz w:val="24"/>
          <w:szCs w:val="24"/>
        </w:rPr>
        <w:t xml:space="preserve"> desigualdade de renda.</w:t>
      </w:r>
    </w:p>
    <w:p w14:paraId="02798204" w14:textId="77777777" w:rsidR="00AB731B" w:rsidRPr="00CA6A46" w:rsidRDefault="00AB731B" w:rsidP="00CA6A46">
      <w:pPr>
        <w:spacing w:after="0" w:line="360" w:lineRule="auto"/>
        <w:jc w:val="both"/>
        <w:rPr>
          <w:rFonts w:ascii="Times New Roman" w:hAnsi="Times New Roman" w:cs="Times New Roman"/>
          <w:sz w:val="24"/>
          <w:szCs w:val="24"/>
        </w:rPr>
      </w:pPr>
    </w:p>
    <w:p w14:paraId="0A7D9338" w14:textId="27022023" w:rsidR="00A962FC" w:rsidRPr="00CA6A46" w:rsidRDefault="00642DB2" w:rsidP="00CA6A46">
      <w:pPr>
        <w:spacing w:after="0" w:line="360" w:lineRule="auto"/>
        <w:jc w:val="both"/>
        <w:rPr>
          <w:rFonts w:ascii="Times New Roman" w:hAnsi="Times New Roman" w:cs="Times New Roman"/>
          <w:b/>
          <w:bCs/>
          <w:sz w:val="24"/>
          <w:szCs w:val="24"/>
        </w:rPr>
      </w:pPr>
      <w:r w:rsidRPr="00CA6A46">
        <w:rPr>
          <w:rFonts w:ascii="Times New Roman" w:hAnsi="Times New Roman" w:cs="Times New Roman"/>
          <w:b/>
          <w:bCs/>
          <w:sz w:val="24"/>
          <w:szCs w:val="24"/>
        </w:rPr>
        <w:t>GT N</w:t>
      </w:r>
      <w:r w:rsidR="003C7298">
        <w:rPr>
          <w:rFonts w:ascii="Times New Roman" w:hAnsi="Times New Roman" w:cs="Times New Roman"/>
          <w:b/>
          <w:bCs/>
          <w:sz w:val="24"/>
          <w:szCs w:val="24"/>
        </w:rPr>
        <w:t>º</w:t>
      </w:r>
      <w:r w:rsidRPr="00CA6A46">
        <w:rPr>
          <w:rFonts w:ascii="Times New Roman" w:hAnsi="Times New Roman" w:cs="Times New Roman"/>
          <w:b/>
          <w:bCs/>
          <w:sz w:val="24"/>
          <w:szCs w:val="24"/>
        </w:rPr>
        <w:t xml:space="preserve"> </w:t>
      </w:r>
      <w:r w:rsidR="00A962FC" w:rsidRPr="00CA6A46">
        <w:rPr>
          <w:rFonts w:ascii="Times New Roman" w:hAnsi="Times New Roman" w:cs="Times New Roman"/>
          <w:b/>
          <w:bCs/>
          <w:sz w:val="24"/>
          <w:szCs w:val="24"/>
        </w:rPr>
        <w:t>1</w:t>
      </w:r>
      <w:r w:rsidR="00AC0685" w:rsidRPr="00CA6A46">
        <w:rPr>
          <w:rFonts w:ascii="Times New Roman" w:hAnsi="Times New Roman" w:cs="Times New Roman"/>
          <w:b/>
          <w:bCs/>
          <w:sz w:val="24"/>
          <w:szCs w:val="24"/>
        </w:rPr>
        <w:t>-</w:t>
      </w:r>
      <w:r w:rsidR="00A962FC" w:rsidRPr="00CA6A46">
        <w:rPr>
          <w:rFonts w:ascii="Times New Roman" w:hAnsi="Times New Roman" w:cs="Times New Roman"/>
          <w:b/>
          <w:bCs/>
          <w:sz w:val="24"/>
          <w:szCs w:val="24"/>
        </w:rPr>
        <w:t xml:space="preserve"> Estudos teóricos e metodológicos do Desenvolvimento.</w:t>
      </w:r>
    </w:p>
    <w:p w14:paraId="35AF20CE" w14:textId="77777777" w:rsidR="00AB731B" w:rsidRPr="00CA6A46" w:rsidRDefault="00AB731B" w:rsidP="00CA6A46">
      <w:pPr>
        <w:spacing w:after="0" w:line="360" w:lineRule="auto"/>
        <w:jc w:val="both"/>
        <w:rPr>
          <w:rFonts w:ascii="Times New Roman" w:hAnsi="Times New Roman" w:cs="Times New Roman"/>
          <w:sz w:val="24"/>
          <w:szCs w:val="24"/>
        </w:rPr>
      </w:pPr>
    </w:p>
    <w:p w14:paraId="1A8A4BD4" w14:textId="77777777" w:rsidR="00AB731B" w:rsidRPr="00CA6A46" w:rsidRDefault="00642DB2" w:rsidP="00CA6A46">
      <w:pPr>
        <w:spacing w:after="0" w:line="360" w:lineRule="auto"/>
        <w:jc w:val="both"/>
        <w:rPr>
          <w:rFonts w:ascii="Times New Roman" w:hAnsi="Times New Roman" w:cs="Times New Roman"/>
          <w:b/>
          <w:bCs/>
          <w:sz w:val="24"/>
          <w:szCs w:val="24"/>
        </w:rPr>
      </w:pPr>
      <w:r w:rsidRPr="00CA6A46">
        <w:rPr>
          <w:rFonts w:ascii="Times New Roman" w:hAnsi="Times New Roman" w:cs="Times New Roman"/>
          <w:b/>
          <w:bCs/>
          <w:sz w:val="24"/>
          <w:szCs w:val="24"/>
        </w:rPr>
        <w:t>1 INTRODUÇÃO</w:t>
      </w:r>
    </w:p>
    <w:p w14:paraId="790A903F" w14:textId="77777777" w:rsidR="00172DB0" w:rsidRPr="00CA6A46" w:rsidRDefault="00172DB0" w:rsidP="00CA6A46">
      <w:pPr>
        <w:spacing w:after="0" w:line="360" w:lineRule="auto"/>
        <w:ind w:firstLine="708"/>
        <w:jc w:val="both"/>
        <w:rPr>
          <w:rFonts w:ascii="Times New Roman" w:hAnsi="Times New Roman" w:cs="Times New Roman"/>
          <w:sz w:val="24"/>
          <w:szCs w:val="24"/>
        </w:rPr>
      </w:pPr>
    </w:p>
    <w:p w14:paraId="468BBCA9" w14:textId="76AA2997" w:rsidR="00AC0685" w:rsidRPr="00CA6A46" w:rsidRDefault="00AC0685" w:rsidP="00900914">
      <w:pPr>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Nas últimas décadas, o debate sobre a hipótese da convergência de renda tornou-se repetido na literatura que aborda o crescimento econômico. Embora que o tema não seja consensual, pesquisas buscam, por meio de evidências empíricas, esclarecimentos para as diferenças de renda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entre as diversas economias do mundo. Além dessa questão, outro fato observado nesses tipos de trabalhos é de que nem sempre o crescimento econômico extingue ou reduz os diferenciais de renda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ao longo do tempo (DAVID; MEYER; PAIXÃO, 2019). </w:t>
      </w:r>
    </w:p>
    <w:p w14:paraId="79D18585" w14:textId="77777777"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A teoria da convergência de renda começa com o modelo de Solow (1956). Nele, o capital fixo é respeitável, sendo que os retornos decrescentes para os fatores de produção induziriam as economias a convergirem para o mesmo nível de renda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após uma trajetória de longo prazo. Em seguida, estudos empíricos associados à essa temática foram se </w:t>
      </w:r>
      <w:r w:rsidRPr="00CA6A46">
        <w:rPr>
          <w:rFonts w:ascii="Times New Roman" w:hAnsi="Times New Roman" w:cs="Times New Roman"/>
          <w:sz w:val="24"/>
          <w:szCs w:val="24"/>
        </w:rPr>
        <w:lastRenderedPageBreak/>
        <w:t xml:space="preserve">desenvolvendo, compondo uma vasta literatura, com destaque para os trabalhos precursores desenvolvidos por Baumol (1986) e Barro e Sala-i-Martin (1992) (DAVID; MEYER; PAIXÃO, 2019). </w:t>
      </w:r>
    </w:p>
    <w:p w14:paraId="75FC2F42" w14:textId="77777777"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A desigualdade regional vem se apresentando como uma questão fundamental no contexto do desenvolvimento econômico. De modo particular, desde a década de 1990 muitos pesquisadores buscam abordar e compreender as questões relacionadas à trajetória da renda entre regiões ricas e pobres e os motivos pelos quais indicadores socioeconômicos desiguais tendem a persistir. Partindo da análise do modelo neoclássico de crescimento de Solow (1956) os diferenciais de rendas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são determinados pela dotação inicial de recursos da região. Desta maneira, o que existe é uma maior concentração de famílias pobres em uma determinada área e não uma região pobre (ALMEIDA; MOREIRA, 2019). </w:t>
      </w:r>
    </w:p>
    <w:p w14:paraId="15B6C988" w14:textId="77777777" w:rsidR="00DA17B3"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De fato, a realidade brasileira é de concentração da atividade econômica. A região Sudeste, segunda menor região territorial do país, possui mais de 44% da população do país e é responsável por mais da metade do produto interno bruto (PIB) nacional. Todavia, ao se comparar os anos de 2001 a 2012, constata-se que houve redução da participação da região Sudeste no PIB, que passou de 59,1% para 54,9%, em favor das outras regiões, como Centro-Oeste, que aumentou sua participação em mais de 1%. Neste sentido, pode haver indícios de um processo de desconcentração regional (ALMEIDA; MOREIRA, 2019).</w:t>
      </w:r>
    </w:p>
    <w:p w14:paraId="37589AD8" w14:textId="62DEBAF2"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A hipótese de convergência possui um relevante significado para a teoria do crescimento econômico, uma vez que remete a redução do grau de desigualdade através de um processo de aproximação dos padrões de vida. Isso decorre do crescimento da renda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verificado nos países ou nas regiões menos desenvolvidas se dar a taxas mais elevadas do que nos países ou regiões desenvolvidas (ALMEIDA; MOREIRA, 2019).</w:t>
      </w:r>
    </w:p>
    <w:p w14:paraId="5D3918D9" w14:textId="77777777"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Um dos principais problemas encontrados no Brasil é o nível de desigualdade de renda. A redução de desigualdade, neste caso, dá a ideia de que os agentes estudados irão, em algum momento, ter rendas equivalentes, e essa redução pode ser estudada pela hipótese de convergência de renda. Essa modelagem neoclássica de crescimento e desenvolvimento econômico é explicada principalmente por Solow (1956). Seu modelo é composto por duas equações básicas, dentre elas uma função de produção e uma equação de acumulação de capital. A função de produção descreve como os insumos - capital e trabalho - devem se combinar para </w:t>
      </w:r>
      <w:r w:rsidRPr="00CA6A46">
        <w:rPr>
          <w:rFonts w:ascii="Times New Roman" w:hAnsi="Times New Roman" w:cs="Times New Roman"/>
          <w:sz w:val="24"/>
          <w:szCs w:val="24"/>
        </w:rPr>
        <w:lastRenderedPageBreak/>
        <w:t xml:space="preserve">gerar o produto, a qual apresenta retornos constantes de escala, ou seja, se todos os insumos forem duplicados, o produto dobrará. Assume-se no modelo que as taxas de poupança e crescimento populacional são exógenas e diferentes para cada país, logo, diferentes países possuirão distintos níveis de estado estacionário. O estado estacionário é o equilíbrio de longo prazo de uma economia, quando o crescimento do estoque de capital é equalizado ao crescimento da mão de obra (SILVA; SANTOS; AMARANTE, 2020). </w:t>
      </w:r>
    </w:p>
    <w:p w14:paraId="727B2880" w14:textId="342C2B96"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O objetivo do presente trabalho é verificar quanto o crescimento econômico em determinado período depende do nível de renda que a região detinha em determinado ponto no passado. A metodologia tem como base teórica o modelo de crescimento econômico de Solow (1954), em que se prevê a existência de tendências de convergência de produto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entre regiões com condições semelhantes de acumulação de capital. Foram estimados quatro testes de convergência absoluta, utilizando dados de uma série histórica de 30 anos de produto agregado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das 27 unidades da Federação do Brasil.</w:t>
      </w:r>
    </w:p>
    <w:p w14:paraId="79CDB760" w14:textId="71D50A31" w:rsidR="00AC0685" w:rsidRPr="00CA6A46" w:rsidRDefault="00AC0685" w:rsidP="00900914">
      <w:pPr>
        <w:spacing w:after="0" w:line="360" w:lineRule="auto"/>
        <w:jc w:val="both"/>
        <w:rPr>
          <w:rFonts w:ascii="Times New Roman" w:hAnsi="Times New Roman" w:cs="Times New Roman"/>
          <w:sz w:val="24"/>
          <w:szCs w:val="24"/>
        </w:rPr>
      </w:pPr>
      <w:r w:rsidRPr="00CA6A46">
        <w:rPr>
          <w:rFonts w:ascii="Times New Roman" w:hAnsi="Times New Roman" w:cs="Times New Roman"/>
          <w:sz w:val="24"/>
          <w:szCs w:val="24"/>
        </w:rPr>
        <w:t xml:space="preserve"> </w:t>
      </w:r>
      <w:r w:rsidRPr="00CA6A46">
        <w:rPr>
          <w:rFonts w:ascii="Times New Roman" w:hAnsi="Times New Roman" w:cs="Times New Roman"/>
          <w:sz w:val="24"/>
          <w:szCs w:val="24"/>
        </w:rPr>
        <w:tab/>
        <w:t>Além da introdução e refer</w:t>
      </w:r>
      <w:r w:rsidR="00457492" w:rsidRPr="00CA6A46">
        <w:rPr>
          <w:rFonts w:ascii="Times New Roman" w:hAnsi="Times New Roman" w:cs="Times New Roman"/>
          <w:sz w:val="24"/>
          <w:szCs w:val="24"/>
        </w:rPr>
        <w:t>ê</w:t>
      </w:r>
      <w:r w:rsidRPr="00CA6A46">
        <w:rPr>
          <w:rFonts w:ascii="Times New Roman" w:hAnsi="Times New Roman" w:cs="Times New Roman"/>
          <w:sz w:val="24"/>
          <w:szCs w:val="24"/>
        </w:rPr>
        <w:t xml:space="preserve">ncias, o presente trabalho divide-se em referencial teórico, metodologia, resultados (Análise de convergência absoluta entre estados brasileiros 1989-2019), </w:t>
      </w:r>
      <w:r w:rsidR="00966BA9" w:rsidRPr="00CA6A46">
        <w:rPr>
          <w:rFonts w:ascii="Times New Roman" w:hAnsi="Times New Roman" w:cs="Times New Roman"/>
          <w:sz w:val="24"/>
          <w:szCs w:val="24"/>
        </w:rPr>
        <w:t>e as considerações finais</w:t>
      </w:r>
      <w:r w:rsidRPr="00CA6A46">
        <w:rPr>
          <w:rFonts w:ascii="Times New Roman" w:hAnsi="Times New Roman" w:cs="Times New Roman"/>
          <w:sz w:val="24"/>
          <w:szCs w:val="24"/>
        </w:rPr>
        <w:t xml:space="preserve">. </w:t>
      </w:r>
    </w:p>
    <w:p w14:paraId="0D019D4C" w14:textId="77777777" w:rsidR="00AB731B" w:rsidRPr="00CA6A46" w:rsidRDefault="00AB731B" w:rsidP="00900914">
      <w:pPr>
        <w:spacing w:after="0" w:line="360" w:lineRule="auto"/>
        <w:jc w:val="both"/>
        <w:rPr>
          <w:rFonts w:ascii="Times New Roman" w:hAnsi="Times New Roman" w:cs="Times New Roman"/>
          <w:sz w:val="24"/>
          <w:szCs w:val="24"/>
        </w:rPr>
      </w:pPr>
    </w:p>
    <w:p w14:paraId="11FC1ED1" w14:textId="77777777" w:rsidR="00AB731B" w:rsidRPr="00CA6A46" w:rsidRDefault="00642DB2" w:rsidP="00900914">
      <w:pPr>
        <w:spacing w:after="0" w:line="360" w:lineRule="auto"/>
        <w:jc w:val="both"/>
        <w:rPr>
          <w:rFonts w:ascii="Times New Roman" w:hAnsi="Times New Roman" w:cs="Times New Roman"/>
          <w:sz w:val="24"/>
          <w:szCs w:val="24"/>
        </w:rPr>
      </w:pPr>
      <w:r w:rsidRPr="00CA6A46">
        <w:rPr>
          <w:rFonts w:ascii="Times New Roman" w:hAnsi="Times New Roman" w:cs="Times New Roman"/>
          <w:b/>
          <w:bCs/>
          <w:sz w:val="24"/>
          <w:szCs w:val="24"/>
        </w:rPr>
        <w:t>2 ASPECTOS METODOLÓGICOS</w:t>
      </w:r>
    </w:p>
    <w:p w14:paraId="09AD02BB" w14:textId="77777777" w:rsidR="00172DB0" w:rsidRPr="00CA6A46" w:rsidRDefault="00172DB0" w:rsidP="00900914">
      <w:pPr>
        <w:spacing w:after="0" w:line="360" w:lineRule="auto"/>
        <w:ind w:firstLine="708"/>
        <w:jc w:val="both"/>
        <w:rPr>
          <w:rFonts w:ascii="Times New Roman" w:hAnsi="Times New Roman" w:cs="Times New Roman"/>
          <w:sz w:val="24"/>
          <w:szCs w:val="24"/>
        </w:rPr>
      </w:pPr>
    </w:p>
    <w:p w14:paraId="1036DFDE" w14:textId="254CAD9C"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Testes de convergência de renda já são bem estabelecidos na literatura econômica. Esses, buscam, de forma geral, verificar quanto o crescimento econômico em determinado período depende do nível de renda que a região detinha em determinado ponto no passado. Esse teste tem como base teórica o modelo de crescimento econômico de Solow (1954), em que se prevê a existência de tendências de convergência de produto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entre regiões com condições semelhantes de acumulação de capital.</w:t>
      </w:r>
    </w:p>
    <w:p w14:paraId="2436F402" w14:textId="77777777"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Seguindo Silveira Neto e Azzoni (2011) as equações estimadas para os testes de convergência absoluta seguem o seguinte formato:</w:t>
      </w:r>
    </w:p>
    <w:p w14:paraId="6D250D62" w14:textId="77777777" w:rsidR="00AC0685" w:rsidRPr="00CA6A46" w:rsidRDefault="00DF3D9D" w:rsidP="00900914">
      <w:pPr>
        <w:spacing w:after="0" w:line="360" w:lineRule="auto"/>
        <w:jc w:val="both"/>
        <w:rPr>
          <w:rFonts w:ascii="Times New Roman" w:hAnsi="Times New Roman" w:cs="Times New Roman"/>
          <w:sz w:val="24"/>
          <w:szCs w:val="24"/>
        </w:rPr>
      </w:pPr>
      <m:oMathPara>
        <m:oMath>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ln</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m:t>
                      </m:r>
                    </m:sub>
                  </m:sSub>
                  <m:r>
                    <w:rPr>
                      <w:rFonts w:ascii="Cambria Math" w:hAnsi="Cambria Math" w:cs="Times New Roman"/>
                      <w:sz w:val="24"/>
                      <w:szCs w:val="24"/>
                    </w:rPr>
                    <m:t>-ln</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t-1</m:t>
                      </m:r>
                    </m:sub>
                  </m:sSub>
                </m:num>
                <m:den>
                  <m:r>
                    <w:rPr>
                      <w:rFonts w:ascii="Cambria Math" w:hAnsi="Cambria Math" w:cs="Times New Roman"/>
                      <w:sz w:val="24"/>
                      <w:szCs w:val="24"/>
                    </w:rPr>
                    <m:t>T</m:t>
                  </m:r>
                </m:den>
              </m:f>
            </m:e>
          </m:d>
          <m:r>
            <w:rPr>
              <w:rFonts w:ascii="Cambria Math" w:hAnsi="Cambria Math" w:cs="Times New Roman"/>
              <w:sz w:val="24"/>
              <w:szCs w:val="24"/>
            </w:rPr>
            <m:t>=α+βln</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t-1</m:t>
              </m:r>
            </m:sub>
          </m:sSub>
          <m:r>
            <w:rPr>
              <w:rFonts w:ascii="Cambria Math" w:hAnsi="Cambria Math" w:cs="Times New Roman"/>
              <w:sz w:val="24"/>
              <w:szCs w:val="24"/>
            </w:rPr>
            <m:t>+ε</m:t>
          </m:r>
        </m:oMath>
      </m:oMathPara>
    </w:p>
    <w:p w14:paraId="072B5E35" w14:textId="77777777" w:rsidR="00AC0685" w:rsidRPr="00CA6A46" w:rsidRDefault="00AC0685" w:rsidP="00900914">
      <w:pPr>
        <w:spacing w:after="0" w:line="360" w:lineRule="auto"/>
        <w:ind w:left="709"/>
        <w:jc w:val="both"/>
        <w:rPr>
          <w:rFonts w:ascii="Times New Roman" w:hAnsi="Times New Roman" w:cs="Times New Roman"/>
          <w:sz w:val="24"/>
          <w:szCs w:val="24"/>
        </w:rPr>
      </w:pPr>
      <w:r w:rsidRPr="00CA6A46">
        <w:rPr>
          <w:rFonts w:ascii="Times New Roman" w:hAnsi="Times New Roman" w:cs="Times New Roman"/>
          <w:sz w:val="24"/>
          <w:szCs w:val="24"/>
        </w:rPr>
        <w:t>Em que:</w:t>
      </w:r>
    </w:p>
    <w:p w14:paraId="485F4605" w14:textId="77777777" w:rsidR="00AC0685" w:rsidRPr="00CA6A46" w:rsidRDefault="00DF3D9D" w:rsidP="00900914">
      <w:pPr>
        <w:spacing w:after="0" w:line="360" w:lineRule="auto"/>
        <w:ind w:left="709"/>
        <w:jc w:val="both"/>
        <w:rPr>
          <w:rFonts w:ascii="Times New Roman" w:hAnsi="Times New Roman" w:cs="Times New Roman"/>
          <w:sz w:val="24"/>
          <w:szCs w:val="24"/>
        </w:rPr>
      </w:pPr>
      <m:oMath>
        <m:sSub>
          <m:sSubPr>
            <m:ctrlPr>
              <w:rPr>
                <w:rFonts w:ascii="Cambria Math" w:hAnsi="Cambria Math" w:cs="Times New Roman"/>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t</m:t>
            </m:r>
          </m:sub>
        </m:sSub>
        <m:r>
          <w:rPr>
            <w:rFonts w:ascii="Cambria Math" w:hAnsi="Cambria Math" w:cs="Times New Roman"/>
            <w:sz w:val="24"/>
            <w:szCs w:val="24"/>
          </w:rPr>
          <m:t>=</m:t>
        </m:r>
      </m:oMath>
      <w:r w:rsidR="00AC0685" w:rsidRPr="00CA6A46">
        <w:rPr>
          <w:rFonts w:ascii="Times New Roman" w:hAnsi="Times New Roman" w:cs="Times New Roman"/>
          <w:sz w:val="24"/>
          <w:szCs w:val="24"/>
        </w:rPr>
        <w:t xml:space="preserve"> Produto </w:t>
      </w:r>
      <w:r w:rsidR="00AC0685" w:rsidRPr="00CA6A46">
        <w:rPr>
          <w:rFonts w:ascii="Times New Roman" w:hAnsi="Times New Roman" w:cs="Times New Roman"/>
          <w:i/>
          <w:iCs/>
          <w:sz w:val="24"/>
          <w:szCs w:val="24"/>
        </w:rPr>
        <w:t xml:space="preserve">per capita </w:t>
      </w:r>
      <w:r w:rsidR="00AC0685" w:rsidRPr="00CA6A46">
        <w:rPr>
          <w:rFonts w:ascii="Times New Roman" w:hAnsi="Times New Roman" w:cs="Times New Roman"/>
          <w:sz w:val="24"/>
          <w:szCs w:val="24"/>
        </w:rPr>
        <w:t>no período final;</w:t>
      </w:r>
    </w:p>
    <w:p w14:paraId="009EB5D5" w14:textId="77777777" w:rsidR="00AC0685" w:rsidRPr="00CA6A46" w:rsidRDefault="00DF3D9D" w:rsidP="00900914">
      <w:pPr>
        <w:spacing w:after="0" w:line="360" w:lineRule="auto"/>
        <w:ind w:left="709"/>
        <w:jc w:val="both"/>
        <w:rPr>
          <w:rFonts w:ascii="Times New Roman" w:hAnsi="Times New Roman" w:cs="Times New Roman"/>
          <w:sz w:val="24"/>
          <w:szCs w:val="24"/>
        </w:rPr>
      </w:pPr>
      <m:oMath>
        <m:sSub>
          <m:sSubPr>
            <m:ctrlPr>
              <w:rPr>
                <w:rFonts w:ascii="Cambria Math" w:hAnsi="Cambria Math" w:cs="Times New Roman"/>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t</m:t>
            </m:r>
            <m:r>
              <w:rPr>
                <w:rFonts w:ascii="Cambria Math" w:hAnsi="Cambria Math" w:cs="Times New Roman"/>
                <w:sz w:val="24"/>
                <w:szCs w:val="24"/>
              </w:rPr>
              <m:t>-1</m:t>
            </m:r>
          </m:sub>
        </m:sSub>
        <m:r>
          <w:rPr>
            <w:rFonts w:ascii="Cambria Math" w:hAnsi="Cambria Math" w:cs="Times New Roman"/>
            <w:sz w:val="24"/>
            <w:szCs w:val="24"/>
          </w:rPr>
          <m:t>=</m:t>
        </m:r>
      </m:oMath>
      <w:r w:rsidR="00AC0685" w:rsidRPr="00CA6A46">
        <w:rPr>
          <w:rFonts w:ascii="Times New Roman" w:hAnsi="Times New Roman" w:cs="Times New Roman"/>
          <w:sz w:val="24"/>
          <w:szCs w:val="24"/>
        </w:rPr>
        <w:t xml:space="preserve"> Produto </w:t>
      </w:r>
      <w:r w:rsidR="00AC0685" w:rsidRPr="00CA6A46">
        <w:rPr>
          <w:rFonts w:ascii="Times New Roman" w:hAnsi="Times New Roman" w:cs="Times New Roman"/>
          <w:i/>
          <w:iCs/>
          <w:sz w:val="24"/>
          <w:szCs w:val="24"/>
        </w:rPr>
        <w:t>per capita</w:t>
      </w:r>
      <w:r w:rsidR="00AC0685" w:rsidRPr="00CA6A46">
        <w:rPr>
          <w:rFonts w:ascii="Times New Roman" w:hAnsi="Times New Roman" w:cs="Times New Roman"/>
          <w:sz w:val="24"/>
          <w:szCs w:val="24"/>
        </w:rPr>
        <w:t xml:space="preserve"> no período inicial;</w:t>
      </w:r>
    </w:p>
    <w:p w14:paraId="70D6A201" w14:textId="77777777" w:rsidR="00AC0685" w:rsidRPr="00CA6A46" w:rsidRDefault="00AC0685" w:rsidP="00900914">
      <w:pPr>
        <w:spacing w:after="0" w:line="360" w:lineRule="auto"/>
        <w:ind w:left="709"/>
        <w:jc w:val="both"/>
        <w:rPr>
          <w:rFonts w:ascii="Times New Roman" w:hAnsi="Times New Roman" w:cs="Times New Roman"/>
          <w:sz w:val="24"/>
          <w:szCs w:val="24"/>
        </w:rPr>
      </w:pPr>
      <m:oMath>
        <m:r>
          <w:rPr>
            <w:rFonts w:ascii="Cambria Math" w:hAnsi="Cambria Math" w:cs="Times New Roman"/>
            <w:sz w:val="24"/>
            <w:szCs w:val="24"/>
          </w:rPr>
          <m:t>T=</m:t>
        </m:r>
      </m:oMath>
      <w:r w:rsidRPr="00CA6A46">
        <w:rPr>
          <w:rFonts w:ascii="Times New Roman" w:hAnsi="Times New Roman" w:cs="Times New Roman"/>
          <w:sz w:val="24"/>
          <w:szCs w:val="24"/>
        </w:rPr>
        <w:t xml:space="preserve"> Intervalo de tempo;</w:t>
      </w:r>
    </w:p>
    <w:p w14:paraId="7511E105" w14:textId="77777777" w:rsidR="00AC0685" w:rsidRPr="00CA6A46" w:rsidRDefault="00AC0685" w:rsidP="00900914">
      <w:pPr>
        <w:spacing w:after="0" w:line="360" w:lineRule="auto"/>
        <w:ind w:left="709"/>
        <w:jc w:val="both"/>
        <w:rPr>
          <w:rFonts w:ascii="Times New Roman" w:hAnsi="Times New Roman" w:cs="Times New Roman"/>
          <w:sz w:val="24"/>
          <w:szCs w:val="24"/>
        </w:rPr>
      </w:pPr>
      <m:oMath>
        <m:r>
          <w:rPr>
            <w:rFonts w:ascii="Cambria Math" w:hAnsi="Cambria Math" w:cs="Times New Roman"/>
            <w:sz w:val="24"/>
            <w:szCs w:val="24"/>
            <w:lang w:val="en-US"/>
          </w:rPr>
          <m:t>α</m:t>
        </m:r>
        <m:r>
          <w:rPr>
            <w:rFonts w:ascii="Cambria Math" w:hAnsi="Cambria Math" w:cs="Times New Roman"/>
            <w:sz w:val="24"/>
            <w:szCs w:val="24"/>
          </w:rPr>
          <m:t>=</m:t>
        </m:r>
      </m:oMath>
      <w:r w:rsidRPr="00CA6A46">
        <w:rPr>
          <w:rFonts w:ascii="Times New Roman" w:hAnsi="Times New Roman" w:cs="Times New Roman"/>
          <w:sz w:val="24"/>
          <w:szCs w:val="24"/>
        </w:rPr>
        <w:t xml:space="preserve"> Constante;</w:t>
      </w:r>
    </w:p>
    <w:p w14:paraId="49F262F2" w14:textId="77777777" w:rsidR="00AC0685" w:rsidRPr="00CA6A46" w:rsidRDefault="00AC0685" w:rsidP="00900914">
      <w:pPr>
        <w:spacing w:after="0" w:line="360" w:lineRule="auto"/>
        <w:ind w:left="709"/>
        <w:jc w:val="both"/>
        <w:rPr>
          <w:rFonts w:ascii="Times New Roman" w:hAnsi="Times New Roman" w:cs="Times New Roman"/>
          <w:sz w:val="24"/>
          <w:szCs w:val="24"/>
        </w:rPr>
      </w:pPr>
      <m:oMath>
        <m:r>
          <w:rPr>
            <w:rFonts w:ascii="Cambria Math" w:hAnsi="Cambria Math" w:cs="Times New Roman"/>
            <w:sz w:val="24"/>
            <w:szCs w:val="24"/>
            <w:lang w:val="en-US"/>
          </w:rPr>
          <m:t>β</m:t>
        </m:r>
        <m:r>
          <w:rPr>
            <w:rFonts w:ascii="Cambria Math" w:hAnsi="Cambria Math" w:cs="Times New Roman"/>
            <w:sz w:val="24"/>
            <w:szCs w:val="24"/>
          </w:rPr>
          <m:t>=</m:t>
        </m:r>
      </m:oMath>
      <w:r w:rsidRPr="00CA6A46">
        <w:rPr>
          <w:rFonts w:ascii="Times New Roman" w:hAnsi="Times New Roman" w:cs="Times New Roman"/>
          <w:sz w:val="24"/>
          <w:szCs w:val="24"/>
        </w:rPr>
        <w:t xml:space="preserve"> Parâmetro de convergência;</w:t>
      </w:r>
    </w:p>
    <w:p w14:paraId="72CAA791" w14:textId="77777777" w:rsidR="00AC0685" w:rsidRPr="00CA6A46" w:rsidRDefault="00AC0685" w:rsidP="00900914">
      <w:pPr>
        <w:spacing w:after="0" w:line="360" w:lineRule="auto"/>
        <w:ind w:left="709"/>
        <w:jc w:val="both"/>
        <w:rPr>
          <w:rFonts w:ascii="Times New Roman" w:hAnsi="Times New Roman" w:cs="Times New Roman"/>
          <w:sz w:val="24"/>
          <w:szCs w:val="24"/>
        </w:rPr>
      </w:pPr>
      <m:oMath>
        <m:r>
          <w:rPr>
            <w:rFonts w:ascii="Cambria Math" w:hAnsi="Cambria Math" w:cs="Times New Roman"/>
            <w:sz w:val="24"/>
            <w:szCs w:val="24"/>
            <w:lang w:val="en-US"/>
          </w:rPr>
          <m:t>ε</m:t>
        </m:r>
        <m:r>
          <w:rPr>
            <w:rFonts w:ascii="Cambria Math" w:hAnsi="Cambria Math" w:cs="Times New Roman"/>
            <w:sz w:val="24"/>
            <w:szCs w:val="24"/>
          </w:rPr>
          <m:t>=</m:t>
        </m:r>
      </m:oMath>
      <w:r w:rsidRPr="00CA6A46">
        <w:rPr>
          <w:rFonts w:ascii="Times New Roman" w:hAnsi="Times New Roman" w:cs="Times New Roman"/>
          <w:sz w:val="24"/>
          <w:szCs w:val="24"/>
        </w:rPr>
        <w:t xml:space="preserve"> Termo de erro aleatório. </w:t>
      </w:r>
    </w:p>
    <w:p w14:paraId="02E3906D" w14:textId="77777777" w:rsidR="0032078A"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Os testes de convergência foram estimados através de mínimos quadrados ordinários, com dados de corte transversal. Com base na literatura espera-se que </w:t>
      </w:r>
      <m:oMath>
        <m:r>
          <w:rPr>
            <w:rFonts w:ascii="Cambria Math" w:hAnsi="Cambria Math" w:cs="Times New Roman"/>
            <w:sz w:val="24"/>
            <w:szCs w:val="24"/>
          </w:rPr>
          <m:t>β</m:t>
        </m:r>
      </m:oMath>
      <w:r w:rsidRPr="00CA6A46">
        <w:rPr>
          <w:rFonts w:ascii="Times New Roman" w:hAnsi="Times New Roman" w:cs="Times New Roman"/>
          <w:sz w:val="24"/>
          <w:szCs w:val="24"/>
        </w:rPr>
        <w:t xml:space="preserve"> seja negativo e estatisticamente significante, demonstrando que economias com menor nível de produto cresçam mais rapidamente que as mais ricas. Esse fato demonstraria a existência de uma trajetória de crescimento com uma tendência de convergência entre as regiões.</w:t>
      </w:r>
    </w:p>
    <w:p w14:paraId="587DBB09" w14:textId="77777777" w:rsidR="00AC0685" w:rsidRPr="00CA6A46" w:rsidRDefault="00AC0685" w:rsidP="00900914">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velocidade=-</m:t>
          </m:r>
          <m:f>
            <m:fPr>
              <m:ctrlPr>
                <w:rPr>
                  <w:rFonts w:ascii="Cambria Math" w:hAnsi="Cambria Math" w:cs="Times New Roman"/>
                  <w:i/>
                  <w:sz w:val="24"/>
                  <w:szCs w:val="24"/>
                </w:rPr>
              </m:ctrlPr>
            </m:fPr>
            <m:num>
              <m:r>
                <w:rPr>
                  <w:rFonts w:ascii="Cambria Math" w:hAnsi="Cambria Math" w:cs="Times New Roman"/>
                  <w:sz w:val="24"/>
                  <w:szCs w:val="24"/>
                </w:rPr>
                <m:t>lnβ</m:t>
              </m:r>
            </m:num>
            <m:den>
              <m:r>
                <w:rPr>
                  <w:rFonts w:ascii="Cambria Math" w:hAnsi="Cambria Math" w:cs="Times New Roman"/>
                  <w:sz w:val="24"/>
                  <w:szCs w:val="24"/>
                </w:rPr>
                <m:t>T</m:t>
              </m:r>
            </m:den>
          </m:f>
          <m:r>
            <w:rPr>
              <w:rFonts w:ascii="Cambria Math" w:hAnsi="Cambria Math" w:cs="Times New Roman"/>
              <w:sz w:val="24"/>
              <w:szCs w:val="24"/>
            </w:rPr>
            <m:t xml:space="preserve">               meia vida=</m:t>
          </m:r>
          <m:f>
            <m:fPr>
              <m:ctrlPr>
                <w:rPr>
                  <w:rFonts w:ascii="Cambria Math" w:hAnsi="Cambria Math" w:cs="Times New Roman"/>
                  <w:i/>
                  <w:sz w:val="24"/>
                  <w:szCs w:val="24"/>
                </w:rPr>
              </m:ctrlPr>
            </m:fPr>
            <m:num>
              <m:r>
                <m:rPr>
                  <m:sty m:val="p"/>
                </m:rPr>
                <w:rPr>
                  <w:rFonts w:ascii="Cambria Math" w:hAnsi="Cambria Math" w:cs="Times New Roman"/>
                  <w:sz w:val="24"/>
                  <w:szCs w:val="24"/>
                </w:rPr>
                <m:t>ln⁡</m:t>
              </m:r>
              <m:r>
                <w:rPr>
                  <w:rFonts w:ascii="Cambria Math" w:hAnsi="Cambria Math" w:cs="Times New Roman"/>
                  <w:sz w:val="24"/>
                  <w:szCs w:val="24"/>
                </w:rPr>
                <m:t>(2)</m:t>
              </m:r>
            </m:num>
            <m:den>
              <m:r>
                <w:rPr>
                  <w:rFonts w:ascii="Cambria Math" w:hAnsi="Cambria Math" w:cs="Times New Roman"/>
                  <w:sz w:val="24"/>
                  <w:szCs w:val="24"/>
                </w:rPr>
                <m:t>λ</m:t>
              </m:r>
            </m:den>
          </m:f>
          <m:r>
            <w:rPr>
              <w:rFonts w:ascii="Cambria Math" w:hAnsi="Cambria Math" w:cs="Times New Roman"/>
              <w:sz w:val="24"/>
              <w:szCs w:val="24"/>
            </w:rPr>
            <m:t>*100</m:t>
          </m:r>
        </m:oMath>
      </m:oMathPara>
    </w:p>
    <w:p w14:paraId="78A1730B" w14:textId="0A063CAD" w:rsidR="00EF7A2C" w:rsidRPr="00CA6A46" w:rsidRDefault="00EF7A2C"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Ainda é possível calcular uma estimativa da velocidade do processo de convergência de acordo com as estimativas do teste, assim como quanto tempo demoraria até que metade do gap inicial entre regiões mais pobres e ricas se reduziria pela metade, denominado </w:t>
      </w:r>
      <w:r w:rsidRPr="00CA6A46">
        <w:rPr>
          <w:rFonts w:ascii="Times New Roman" w:hAnsi="Times New Roman" w:cs="Times New Roman"/>
          <w:i/>
          <w:iCs/>
          <w:sz w:val="24"/>
          <w:szCs w:val="24"/>
        </w:rPr>
        <w:t>meia vida</w:t>
      </w:r>
      <w:r w:rsidRPr="00CA6A46">
        <w:rPr>
          <w:rFonts w:ascii="Times New Roman" w:hAnsi="Times New Roman" w:cs="Times New Roman"/>
          <w:sz w:val="24"/>
          <w:szCs w:val="24"/>
        </w:rPr>
        <w:t>. As equações supracitadas demonstram como se dão os cálculos dessas estimativas.</w:t>
      </w:r>
    </w:p>
    <w:p w14:paraId="5871CE17" w14:textId="77777777" w:rsidR="00AB731B" w:rsidRPr="00CA6A46" w:rsidRDefault="00AB731B" w:rsidP="00900914">
      <w:pPr>
        <w:spacing w:after="0" w:line="360" w:lineRule="auto"/>
        <w:jc w:val="both"/>
        <w:rPr>
          <w:rFonts w:ascii="Times New Roman" w:hAnsi="Times New Roman" w:cs="Times New Roman"/>
          <w:sz w:val="24"/>
          <w:szCs w:val="24"/>
        </w:rPr>
      </w:pPr>
    </w:p>
    <w:p w14:paraId="20FC31DB" w14:textId="77777777" w:rsidR="00AB731B" w:rsidRPr="00CA6A46" w:rsidRDefault="00642DB2" w:rsidP="00900914">
      <w:pPr>
        <w:spacing w:after="0" w:line="360" w:lineRule="auto"/>
        <w:jc w:val="both"/>
        <w:rPr>
          <w:rFonts w:ascii="Times New Roman" w:hAnsi="Times New Roman" w:cs="Times New Roman"/>
          <w:b/>
          <w:bCs/>
          <w:sz w:val="24"/>
          <w:szCs w:val="24"/>
        </w:rPr>
      </w:pPr>
      <w:r w:rsidRPr="00CA6A46">
        <w:rPr>
          <w:rFonts w:ascii="Times New Roman" w:hAnsi="Times New Roman" w:cs="Times New Roman"/>
          <w:b/>
          <w:bCs/>
          <w:sz w:val="24"/>
          <w:szCs w:val="24"/>
        </w:rPr>
        <w:t>3 REFERENCIAL TEÓRICO</w:t>
      </w:r>
    </w:p>
    <w:p w14:paraId="7B9D2C2D" w14:textId="77777777" w:rsidR="0032078A" w:rsidRPr="00CA6A46" w:rsidRDefault="0032078A" w:rsidP="00900914">
      <w:pPr>
        <w:spacing w:after="0" w:line="360" w:lineRule="auto"/>
        <w:ind w:firstLine="708"/>
        <w:jc w:val="both"/>
        <w:rPr>
          <w:rFonts w:ascii="Times New Roman" w:hAnsi="Times New Roman" w:cs="Times New Roman"/>
          <w:sz w:val="24"/>
          <w:szCs w:val="24"/>
        </w:rPr>
      </w:pPr>
    </w:p>
    <w:p w14:paraId="06116ED0" w14:textId="78A8D687" w:rsidR="00AC0685"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A disparidade dos níveis de renda entre os estados brasileiros tem sua origem na formação econômica do Brasil. Os diferentes ciclos econômicos que o Brasil atravessou, juntamente com as relações trabalhistas e as características culturais predominantes em cada região</w:t>
      </w:r>
      <w:r w:rsidR="00FB54DB">
        <w:rPr>
          <w:rFonts w:ascii="Times New Roman" w:hAnsi="Times New Roman" w:cs="Times New Roman"/>
          <w:sz w:val="24"/>
          <w:szCs w:val="24"/>
        </w:rPr>
        <w:t>,</w:t>
      </w:r>
      <w:r w:rsidRPr="00CA6A46">
        <w:rPr>
          <w:rFonts w:ascii="Times New Roman" w:hAnsi="Times New Roman" w:cs="Times New Roman"/>
          <w:sz w:val="24"/>
          <w:szCs w:val="24"/>
        </w:rPr>
        <w:t xml:space="preserve"> foram alguns dos fatores que contribuíram para as diferentes taxas de desenvolvimento entre as regiões brasileiras (ABITANTE, 2007). </w:t>
      </w:r>
    </w:p>
    <w:p w14:paraId="26B814A0" w14:textId="5DED4348" w:rsidR="002C163D" w:rsidRDefault="002B520C" w:rsidP="002C163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Segundo Abitante (2007), </w:t>
      </w:r>
      <w:r w:rsidR="002C163D">
        <w:rPr>
          <w:rFonts w:ascii="Times New Roman" w:hAnsi="Times New Roman" w:cs="Times New Roman"/>
          <w:sz w:val="24"/>
          <w:szCs w:val="24"/>
        </w:rPr>
        <w:t>a</w:t>
      </w:r>
      <w:r w:rsidR="002C163D" w:rsidRPr="002C163D">
        <w:rPr>
          <w:rFonts w:ascii="Times New Roman" w:hAnsi="Times New Roman" w:cs="Times New Roman"/>
          <w:sz w:val="24"/>
          <w:szCs w:val="24"/>
        </w:rPr>
        <w:t xml:space="preserve"> vivência de regiões com renda</w:t>
      </w:r>
      <w:r w:rsidR="002C163D">
        <w:rPr>
          <w:rFonts w:ascii="Times New Roman" w:hAnsi="Times New Roman" w:cs="Times New Roman"/>
          <w:sz w:val="24"/>
          <w:szCs w:val="24"/>
        </w:rPr>
        <w:t xml:space="preserve"> ou produto</w:t>
      </w:r>
      <w:r w:rsidR="002C163D" w:rsidRPr="002C163D">
        <w:rPr>
          <w:rFonts w:ascii="Times New Roman" w:hAnsi="Times New Roman" w:cs="Times New Roman"/>
          <w:sz w:val="24"/>
          <w:szCs w:val="24"/>
        </w:rPr>
        <w:t xml:space="preserve"> </w:t>
      </w:r>
      <w:r w:rsidR="002C163D" w:rsidRPr="00FB54DB">
        <w:rPr>
          <w:rFonts w:ascii="Times New Roman" w:hAnsi="Times New Roman" w:cs="Times New Roman"/>
          <w:i/>
          <w:iCs/>
          <w:sz w:val="24"/>
          <w:szCs w:val="24"/>
        </w:rPr>
        <w:t>per capita</w:t>
      </w:r>
      <w:r w:rsidR="002C163D" w:rsidRPr="002C163D">
        <w:rPr>
          <w:rFonts w:ascii="Times New Roman" w:hAnsi="Times New Roman" w:cs="Times New Roman"/>
          <w:sz w:val="24"/>
          <w:szCs w:val="24"/>
        </w:rPr>
        <w:t xml:space="preserve"> diferentes não se compõe em uma questão apenas do Brasil, mas </w:t>
      </w:r>
      <w:r w:rsidR="002C163D">
        <w:rPr>
          <w:rFonts w:ascii="Times New Roman" w:hAnsi="Times New Roman" w:cs="Times New Roman"/>
          <w:sz w:val="24"/>
          <w:szCs w:val="24"/>
        </w:rPr>
        <w:t xml:space="preserve">em </w:t>
      </w:r>
      <w:r w:rsidR="002C163D" w:rsidRPr="002C163D">
        <w:rPr>
          <w:rFonts w:ascii="Times New Roman" w:hAnsi="Times New Roman" w:cs="Times New Roman"/>
          <w:sz w:val="24"/>
          <w:szCs w:val="24"/>
        </w:rPr>
        <w:t xml:space="preserve">distintos países. </w:t>
      </w:r>
      <w:r w:rsidR="002C163D">
        <w:rPr>
          <w:rFonts w:ascii="Times New Roman" w:hAnsi="Times New Roman" w:cs="Times New Roman"/>
          <w:sz w:val="24"/>
          <w:szCs w:val="24"/>
        </w:rPr>
        <w:t>Pois, n</w:t>
      </w:r>
      <w:r w:rsidR="002C163D" w:rsidRPr="002C163D">
        <w:rPr>
          <w:rFonts w:ascii="Times New Roman" w:hAnsi="Times New Roman" w:cs="Times New Roman"/>
          <w:sz w:val="24"/>
          <w:szCs w:val="24"/>
        </w:rPr>
        <w:t xml:space="preserve">as últimas décadas, </w:t>
      </w:r>
      <w:r w:rsidR="00482AED">
        <w:rPr>
          <w:rFonts w:ascii="Times New Roman" w:hAnsi="Times New Roman" w:cs="Times New Roman"/>
          <w:sz w:val="24"/>
          <w:szCs w:val="24"/>
        </w:rPr>
        <w:t>vários</w:t>
      </w:r>
      <w:r w:rsidR="002C163D" w:rsidRPr="002C163D">
        <w:rPr>
          <w:rFonts w:ascii="Times New Roman" w:hAnsi="Times New Roman" w:cs="Times New Roman"/>
          <w:sz w:val="24"/>
          <w:szCs w:val="24"/>
        </w:rPr>
        <w:t xml:space="preserve"> trabalhos foram elaborados a cerca deste tema, em específico na busca de verificar se há um processo de convergência do produto </w:t>
      </w:r>
      <w:r w:rsidR="002C163D" w:rsidRPr="00482AED">
        <w:rPr>
          <w:rFonts w:ascii="Times New Roman" w:hAnsi="Times New Roman" w:cs="Times New Roman"/>
          <w:i/>
          <w:iCs/>
          <w:sz w:val="24"/>
          <w:szCs w:val="24"/>
        </w:rPr>
        <w:t>per capita</w:t>
      </w:r>
      <w:r w:rsidR="002C163D" w:rsidRPr="002C163D">
        <w:rPr>
          <w:rFonts w:ascii="Times New Roman" w:hAnsi="Times New Roman" w:cs="Times New Roman"/>
          <w:sz w:val="24"/>
          <w:szCs w:val="24"/>
        </w:rPr>
        <w:t xml:space="preserve"> entre os países ou unidades federativas de </w:t>
      </w:r>
      <w:r w:rsidR="002C163D">
        <w:rPr>
          <w:rFonts w:ascii="Times New Roman" w:hAnsi="Times New Roman" w:cs="Times New Roman"/>
          <w:sz w:val="24"/>
          <w:szCs w:val="24"/>
        </w:rPr>
        <w:t xml:space="preserve">determinado </w:t>
      </w:r>
      <w:r>
        <w:rPr>
          <w:rFonts w:ascii="Times New Roman" w:hAnsi="Times New Roman" w:cs="Times New Roman"/>
          <w:sz w:val="24"/>
          <w:szCs w:val="24"/>
        </w:rPr>
        <w:t>um país</w:t>
      </w:r>
      <w:r w:rsidR="002C163D" w:rsidRPr="00CA6A46">
        <w:rPr>
          <w:rFonts w:ascii="Times New Roman" w:hAnsi="Times New Roman" w:cs="Times New Roman"/>
          <w:sz w:val="24"/>
          <w:szCs w:val="24"/>
        </w:rPr>
        <w:t>.</w:t>
      </w:r>
    </w:p>
    <w:p w14:paraId="6854E7B4" w14:textId="200E70D2" w:rsidR="00770F4E" w:rsidRDefault="00770F4E" w:rsidP="00770F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Por conseguinte, </w:t>
      </w:r>
      <w:r w:rsidRPr="00770F4E">
        <w:rPr>
          <w:rFonts w:ascii="Times New Roman" w:hAnsi="Times New Roman" w:cs="Times New Roman"/>
          <w:sz w:val="24"/>
          <w:szCs w:val="24"/>
        </w:rPr>
        <w:t xml:space="preserve">regiões caracterizadas de um país apresentam diferentes capacidades de crescimento. </w:t>
      </w:r>
      <w:r>
        <w:rPr>
          <w:rFonts w:ascii="Times New Roman" w:hAnsi="Times New Roman" w:cs="Times New Roman"/>
          <w:sz w:val="24"/>
          <w:szCs w:val="24"/>
        </w:rPr>
        <w:t xml:space="preserve">Como também, </w:t>
      </w:r>
      <w:r w:rsidRPr="00770F4E">
        <w:rPr>
          <w:rFonts w:ascii="Times New Roman" w:hAnsi="Times New Roman" w:cs="Times New Roman"/>
          <w:sz w:val="24"/>
          <w:szCs w:val="24"/>
        </w:rPr>
        <w:t>o impulso inicial de crescimento de uma dada região não será dispersado para as demais regiões em virtude de limitações na mobilidade de fatores, limitações na magnitude da integração regional e, sobretudo, pelas particularidades regionais que delongam os diversos espaços econômicos subnacionais</w:t>
      </w:r>
      <w:r>
        <w:rPr>
          <w:rFonts w:ascii="Times New Roman" w:hAnsi="Times New Roman" w:cs="Times New Roman"/>
          <w:sz w:val="24"/>
          <w:szCs w:val="24"/>
        </w:rPr>
        <w:t xml:space="preserve"> </w:t>
      </w:r>
      <w:r w:rsidRPr="00CA6A46">
        <w:rPr>
          <w:rFonts w:ascii="Times New Roman" w:hAnsi="Times New Roman" w:cs="Times New Roman"/>
          <w:sz w:val="24"/>
          <w:szCs w:val="24"/>
        </w:rPr>
        <w:t>(ABITANTE, 2007).</w:t>
      </w:r>
    </w:p>
    <w:p w14:paraId="650AFBE8" w14:textId="31040FA5" w:rsidR="00F41862" w:rsidRDefault="00F41862" w:rsidP="00770F4E">
      <w:pPr>
        <w:spacing w:after="0" w:line="360" w:lineRule="auto"/>
        <w:ind w:firstLine="708"/>
        <w:jc w:val="both"/>
        <w:rPr>
          <w:rFonts w:ascii="Times New Roman" w:hAnsi="Times New Roman" w:cs="Times New Roman"/>
          <w:sz w:val="24"/>
          <w:szCs w:val="24"/>
        </w:rPr>
      </w:pPr>
      <w:r w:rsidRPr="00F41862">
        <w:rPr>
          <w:rFonts w:ascii="Times New Roman" w:hAnsi="Times New Roman" w:cs="Times New Roman"/>
          <w:sz w:val="24"/>
          <w:szCs w:val="24"/>
        </w:rPr>
        <w:t>A desigualdade regional de renda é uma das questões centrais na agenda das decisões políticas em nível nacional. Mesmo com todos os estudos realizados para resolver o problema, as disparidades regionais continuam grandes, mesmo entre mercados bem integrados. Em anuência, a magnitude das disparidades, as questões territoriais envolvidas e a aparente falta de eficácia das políticas aplicadas, alimentaram a proliferação de estudos sobre a evolução e os determinantes da desigualdade regional de renda</w:t>
      </w:r>
      <w:r>
        <w:rPr>
          <w:rFonts w:ascii="Times New Roman" w:hAnsi="Times New Roman" w:cs="Times New Roman"/>
          <w:sz w:val="24"/>
          <w:szCs w:val="24"/>
        </w:rPr>
        <w:t xml:space="preserve"> (RODRIGUES, 2018).  </w:t>
      </w:r>
    </w:p>
    <w:p w14:paraId="23FD93E6" w14:textId="3EE215BF" w:rsidR="00F41862" w:rsidRDefault="00F41862" w:rsidP="00770F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Segundo Rodrigues (2018), n</w:t>
      </w:r>
      <w:r w:rsidRPr="00F41862">
        <w:rPr>
          <w:rFonts w:ascii="Times New Roman" w:hAnsi="Times New Roman" w:cs="Times New Roman"/>
          <w:sz w:val="24"/>
          <w:szCs w:val="24"/>
        </w:rPr>
        <w:t>o Brasil, encontramos vários trabalhos abordando o tema da convergência de renda, entre eles pode-se citar: Mello (2010), Lima, Notini e Gomes (2010), Penna e Linhares (2013), Silva, Filho et al. (2014), Figueiredo e Junior (2015), Freitas e Almeida (2015), dentre outros. Para as convergências de rendas estaduais pode</w:t>
      </w:r>
      <w:r w:rsidR="004B424E">
        <w:rPr>
          <w:rFonts w:ascii="Times New Roman" w:hAnsi="Times New Roman" w:cs="Times New Roman"/>
          <w:sz w:val="24"/>
          <w:szCs w:val="24"/>
        </w:rPr>
        <w:t>m-se</w:t>
      </w:r>
      <w:r w:rsidRPr="00F41862">
        <w:rPr>
          <w:rFonts w:ascii="Times New Roman" w:hAnsi="Times New Roman" w:cs="Times New Roman"/>
          <w:sz w:val="24"/>
          <w:szCs w:val="24"/>
        </w:rPr>
        <w:t xml:space="preserve"> citar os trabalhos de Azzoni (1994),</w:t>
      </w:r>
      <w:r w:rsidRPr="00F41862">
        <w:t xml:space="preserve"> </w:t>
      </w:r>
      <w:r w:rsidRPr="00F41862">
        <w:rPr>
          <w:rFonts w:ascii="Times New Roman" w:hAnsi="Times New Roman" w:cs="Times New Roman"/>
          <w:sz w:val="24"/>
          <w:szCs w:val="24"/>
        </w:rPr>
        <w:t>Diniz e Ferreira (1995), Júnior, Góes e Ferreira (1995), Azzoni (1997), Magalhães et al. (2001), Gondim, Barreto et al. (2004), Neto, Castelar e Linhares (2008)</w:t>
      </w:r>
      <w:r>
        <w:rPr>
          <w:rFonts w:ascii="Times New Roman" w:hAnsi="Times New Roman" w:cs="Times New Roman"/>
          <w:sz w:val="24"/>
          <w:szCs w:val="24"/>
        </w:rPr>
        <w:t xml:space="preserve">. </w:t>
      </w:r>
    </w:p>
    <w:p w14:paraId="29C21F27" w14:textId="77777777" w:rsidR="00900914"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Segundo Silva</w:t>
      </w:r>
      <w:r w:rsidR="00FB6D2E" w:rsidRPr="00CA6A46">
        <w:rPr>
          <w:rFonts w:ascii="Times New Roman" w:hAnsi="Times New Roman" w:cs="Times New Roman"/>
          <w:sz w:val="24"/>
          <w:szCs w:val="24"/>
        </w:rPr>
        <w:t>,</w:t>
      </w:r>
      <w:r w:rsidRPr="00CA6A46">
        <w:rPr>
          <w:rFonts w:ascii="Times New Roman" w:hAnsi="Times New Roman" w:cs="Times New Roman"/>
          <w:sz w:val="24"/>
          <w:szCs w:val="24"/>
        </w:rPr>
        <w:t xml:space="preserve"> Santos</w:t>
      </w:r>
      <w:r w:rsidR="00FB6D2E" w:rsidRPr="00CA6A46">
        <w:rPr>
          <w:rFonts w:ascii="Times New Roman" w:hAnsi="Times New Roman" w:cs="Times New Roman"/>
          <w:sz w:val="24"/>
          <w:szCs w:val="24"/>
        </w:rPr>
        <w:t xml:space="preserve"> e</w:t>
      </w:r>
      <w:r w:rsidRPr="00CA6A46">
        <w:rPr>
          <w:rFonts w:ascii="Times New Roman" w:hAnsi="Times New Roman" w:cs="Times New Roman"/>
          <w:sz w:val="24"/>
          <w:szCs w:val="24"/>
        </w:rPr>
        <w:t xml:space="preserve"> Amarante (2020), um dos fundamentais problemas localizados no Brasil é o nível de desigualdade de renda. A redução de desigualdade, neste caso, dá a ideia de que os agentes estudados irão, em algum momento, ter rendas paralelas, e essa redução pode ser estudada pela hipótese de convergência de renda. Essa modelagem neoclássica de crescimento e desenvolvimento econômico é explanada principalmente por Solow (1956). Posteriormente, o campo de crescimento econômico foi estudado por muitos outros autores, estes, tentaram modificar e aprimorar a modelagem do desenvolvimento econômico. </w:t>
      </w:r>
    </w:p>
    <w:p w14:paraId="65D4C347" w14:textId="75AA8520"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Romer (1986) e Lucas (1988) adicionaram outras variáveis na função de produção e determinaram modelos endógenos. Lucas, por exemplo, acrescentou a acumulação do capital humano ao modelo de crescimento econômico como uma variável endógena de dois formatos diferentes, uma dependendo principalmente de educação e a outra vinculada às experiências alcançadas.</w:t>
      </w:r>
    </w:p>
    <w:p w14:paraId="2E5470F5" w14:textId="77777777"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lastRenderedPageBreak/>
        <w:t xml:space="preserve">Outros autores que analisaram a convergência de renda foram Barro e Sala-i-Martin (1994), estes, declaram que é importante conhecer a velocidade de convergência para compreender a dinâmica do crescimento econômico, para assim auferir se a economia estudada está ou não próxima do estado estacionário. Além da velocidade, eles proferiram que é mais comum achar valores de convergência significativo para dentro de regiões de um determinado país, do que utilizar dados de vários países e tentar encontrar alguma convergência significativa; isso é devido ao grau de homogeneidade que há dentro de regiões de determinado país (SILVA; SANTOS; AMARANTE, 2020). </w:t>
      </w:r>
    </w:p>
    <w:p w14:paraId="1ABD9284" w14:textId="0DDB5518" w:rsidR="00900914"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O estudo da convergência de renda teve como antecessor Baumol (1986), </w:t>
      </w:r>
      <w:r w:rsidR="00F81B7D" w:rsidRPr="00CA6A46">
        <w:rPr>
          <w:rFonts w:ascii="Times New Roman" w:hAnsi="Times New Roman" w:cs="Times New Roman"/>
          <w:sz w:val="24"/>
          <w:szCs w:val="24"/>
        </w:rPr>
        <w:t xml:space="preserve">que </w:t>
      </w:r>
      <w:r w:rsidRPr="00CA6A46">
        <w:rPr>
          <w:rFonts w:ascii="Times New Roman" w:hAnsi="Times New Roman" w:cs="Times New Roman"/>
          <w:sz w:val="24"/>
          <w:szCs w:val="24"/>
        </w:rPr>
        <w:t xml:space="preserve">considerou o conjunto de dados coletados por Maddison (1983), que consistia em um estudo sobre 16 nações desenvolvidas e subdesenvolvidas. Encontrou uma alta correlação negativa entre o crescimento do PIB per capita, e o nível inicial da mesma variável no ano base do estudo, indicando que países que já apresentam um nível elevado de padrão de vida crescerão a taxas menores que os que estão começando seu desenvolvimento. Alguns anos depois, Barro e Sala-i-Martin (1992) analisaram a convergência de renda para 48 estados contíguos nos Estados Unidos, utilizando uma abordagem neoclássica em sua modelagem de crescimento. Segundo </w:t>
      </w:r>
      <w:r w:rsidR="00DE7028" w:rsidRPr="00CA6A46">
        <w:rPr>
          <w:rFonts w:ascii="Times New Roman" w:hAnsi="Times New Roman" w:cs="Times New Roman"/>
          <w:sz w:val="24"/>
          <w:szCs w:val="24"/>
        </w:rPr>
        <w:t>Silva</w:t>
      </w:r>
      <w:r w:rsidR="00FB6D2E" w:rsidRPr="00CA6A46">
        <w:rPr>
          <w:rFonts w:ascii="Times New Roman" w:hAnsi="Times New Roman" w:cs="Times New Roman"/>
          <w:sz w:val="24"/>
          <w:szCs w:val="24"/>
        </w:rPr>
        <w:t>,</w:t>
      </w:r>
      <w:r w:rsidR="00DE7028" w:rsidRPr="00CA6A46">
        <w:rPr>
          <w:rFonts w:ascii="Times New Roman" w:hAnsi="Times New Roman" w:cs="Times New Roman"/>
          <w:sz w:val="24"/>
          <w:szCs w:val="24"/>
        </w:rPr>
        <w:t xml:space="preserve"> Santos</w:t>
      </w:r>
      <w:r w:rsidR="00FB6D2E" w:rsidRPr="00CA6A46">
        <w:rPr>
          <w:rFonts w:ascii="Times New Roman" w:hAnsi="Times New Roman" w:cs="Times New Roman"/>
          <w:sz w:val="24"/>
          <w:szCs w:val="24"/>
        </w:rPr>
        <w:t xml:space="preserve"> e </w:t>
      </w:r>
      <w:r w:rsidR="00DE7028" w:rsidRPr="00CA6A46">
        <w:rPr>
          <w:rFonts w:ascii="Times New Roman" w:hAnsi="Times New Roman" w:cs="Times New Roman"/>
          <w:sz w:val="24"/>
          <w:szCs w:val="24"/>
        </w:rPr>
        <w:t>Amarante (</w:t>
      </w:r>
      <w:r w:rsidRPr="00CA6A46">
        <w:rPr>
          <w:rFonts w:ascii="Times New Roman" w:hAnsi="Times New Roman" w:cs="Times New Roman"/>
          <w:sz w:val="24"/>
          <w:szCs w:val="24"/>
        </w:rPr>
        <w:t xml:space="preserve">2020), em suas análises encontraram evidências de convergência de renda nos estados incluídos. </w:t>
      </w:r>
    </w:p>
    <w:p w14:paraId="325C3FC7" w14:textId="2A7780E0" w:rsidR="004D766A" w:rsidRDefault="004D766A" w:rsidP="00900914">
      <w:pPr>
        <w:spacing w:after="0" w:line="360" w:lineRule="auto"/>
        <w:ind w:firstLine="708"/>
        <w:jc w:val="both"/>
        <w:rPr>
          <w:rFonts w:ascii="Times New Roman" w:hAnsi="Times New Roman" w:cs="Times New Roman"/>
          <w:sz w:val="24"/>
          <w:szCs w:val="24"/>
        </w:rPr>
      </w:pPr>
      <w:r w:rsidRPr="004D766A">
        <w:rPr>
          <w:rFonts w:ascii="Times New Roman" w:hAnsi="Times New Roman" w:cs="Times New Roman"/>
          <w:sz w:val="24"/>
          <w:szCs w:val="24"/>
        </w:rPr>
        <w:t xml:space="preserve">Na década de 1990 </w:t>
      </w:r>
      <w:r>
        <w:rPr>
          <w:rFonts w:ascii="Times New Roman" w:hAnsi="Times New Roman" w:cs="Times New Roman"/>
          <w:sz w:val="24"/>
          <w:szCs w:val="24"/>
        </w:rPr>
        <w:t xml:space="preserve">foram </w:t>
      </w:r>
      <w:r w:rsidRPr="004D766A">
        <w:rPr>
          <w:rFonts w:ascii="Times New Roman" w:hAnsi="Times New Roman" w:cs="Times New Roman"/>
          <w:sz w:val="24"/>
          <w:szCs w:val="24"/>
        </w:rPr>
        <w:t xml:space="preserve">muito </w:t>
      </w:r>
      <w:r>
        <w:rPr>
          <w:rFonts w:ascii="Times New Roman" w:hAnsi="Times New Roman" w:cs="Times New Roman"/>
          <w:sz w:val="24"/>
          <w:szCs w:val="24"/>
        </w:rPr>
        <w:t xml:space="preserve">discutidos </w:t>
      </w:r>
      <w:r w:rsidRPr="004D766A">
        <w:rPr>
          <w:rFonts w:ascii="Times New Roman" w:hAnsi="Times New Roman" w:cs="Times New Roman"/>
          <w:sz w:val="24"/>
          <w:szCs w:val="24"/>
        </w:rPr>
        <w:t xml:space="preserve">as desigualdades regionais e o processo de convergência entre os estados e países. O estudo sobre convergência de renda </w:t>
      </w:r>
      <w:r w:rsidRPr="009D319C">
        <w:rPr>
          <w:rFonts w:ascii="Times New Roman" w:hAnsi="Times New Roman" w:cs="Times New Roman"/>
          <w:i/>
          <w:iCs/>
          <w:sz w:val="24"/>
          <w:szCs w:val="24"/>
        </w:rPr>
        <w:t>per capita</w:t>
      </w:r>
      <w:r w:rsidRPr="004D766A">
        <w:rPr>
          <w:rFonts w:ascii="Times New Roman" w:hAnsi="Times New Roman" w:cs="Times New Roman"/>
          <w:sz w:val="24"/>
          <w:szCs w:val="24"/>
        </w:rPr>
        <w:t xml:space="preserve"> foi desenvolvido inicialmente por Mankiw et al. (1992) e Barro e Sala-i-Martin (1992), tendo por base o modelo proposto por Solow (1956) e Swan (1956). Sabe-se que o modelo neoclássico de crescimento econômico assume taxas de poupança exógenas e uma função de produção baseada em retornos marginais decrescentes associados ao estoque de capital, além de retornos constantes de escala. Tais proposições apontam para uma tendência de convergência de renda per </w:t>
      </w:r>
      <w:r>
        <w:rPr>
          <w:rFonts w:ascii="Times New Roman" w:hAnsi="Times New Roman" w:cs="Times New Roman"/>
          <w:sz w:val="24"/>
          <w:szCs w:val="24"/>
        </w:rPr>
        <w:t>capita entre as regiões, quando</w:t>
      </w:r>
      <w:r w:rsidRPr="004D766A">
        <w:rPr>
          <w:rFonts w:ascii="Times New Roman" w:hAnsi="Times New Roman" w:cs="Times New Roman"/>
          <w:sz w:val="24"/>
          <w:szCs w:val="24"/>
        </w:rPr>
        <w:t xml:space="preserve"> no longo prazo, os países estariam todos caminhando para um mesmo nível de </w:t>
      </w:r>
      <w:r w:rsidRPr="009D319C">
        <w:rPr>
          <w:rFonts w:ascii="Times New Roman" w:hAnsi="Times New Roman" w:cs="Times New Roman"/>
          <w:i/>
          <w:iCs/>
          <w:sz w:val="24"/>
          <w:szCs w:val="24"/>
        </w:rPr>
        <w:t>steady-state</w:t>
      </w:r>
      <w:r w:rsidRPr="004D766A">
        <w:rPr>
          <w:rFonts w:ascii="Times New Roman" w:hAnsi="Times New Roman" w:cs="Times New Roman"/>
          <w:sz w:val="24"/>
          <w:szCs w:val="24"/>
        </w:rPr>
        <w:t>, com países mais pobres crescendo a uma taxa mai</w:t>
      </w:r>
      <w:r>
        <w:rPr>
          <w:rFonts w:ascii="Times New Roman" w:hAnsi="Times New Roman" w:cs="Times New Roman"/>
          <w:sz w:val="24"/>
          <w:szCs w:val="24"/>
        </w:rPr>
        <w:t xml:space="preserve">s rápida que os mais ricos (COSTA, 2009). </w:t>
      </w:r>
    </w:p>
    <w:p w14:paraId="4597E658" w14:textId="4FB9A57C" w:rsidR="00F41862" w:rsidRPr="00F41862" w:rsidRDefault="00F41862" w:rsidP="00F41862">
      <w:pPr>
        <w:spacing w:after="0" w:line="360" w:lineRule="auto"/>
        <w:ind w:firstLine="708"/>
        <w:jc w:val="both"/>
        <w:rPr>
          <w:rFonts w:ascii="Times New Roman" w:hAnsi="Times New Roman" w:cs="Times New Roman"/>
          <w:sz w:val="24"/>
          <w:szCs w:val="24"/>
        </w:rPr>
      </w:pPr>
      <w:r w:rsidRPr="00F41862">
        <w:rPr>
          <w:rFonts w:ascii="Times New Roman" w:hAnsi="Times New Roman" w:cs="Times New Roman"/>
          <w:sz w:val="24"/>
          <w:szCs w:val="24"/>
        </w:rPr>
        <w:t xml:space="preserve">Inicialmente o modelo de convergência foi concebido com o objetivo de analisar convergência entre os diversos países. No entanto, verificou-se que há grande heterogeneidade </w:t>
      </w:r>
      <w:r w:rsidRPr="00F41862">
        <w:rPr>
          <w:rFonts w:ascii="Times New Roman" w:hAnsi="Times New Roman" w:cs="Times New Roman"/>
          <w:sz w:val="24"/>
          <w:szCs w:val="24"/>
        </w:rPr>
        <w:lastRenderedPageBreak/>
        <w:t xml:space="preserve">entre as nações, já que estas apresentam instituições e estruturas muito diferente entre si. Sendo assim, o conceito de convergência é melhor aplicado quando estamos trabalhando com um grupo de países semelhantes ou então estudando convergência dentro de determinada nação. </w:t>
      </w:r>
      <w:r w:rsidRPr="005679D7">
        <w:rPr>
          <w:rFonts w:ascii="Times New Roman" w:hAnsi="Times New Roman" w:cs="Times New Roman"/>
          <w:sz w:val="24"/>
          <w:szCs w:val="24"/>
          <w:lang w:val="en-US"/>
        </w:rPr>
        <w:t xml:space="preserve">Em seu artigo Barro e Sala-i-Martin (1995) falam explicitamente: “Absolute convergence is more likely to apply across regions within countries than across countries”. </w:t>
      </w:r>
      <w:r w:rsidRPr="00F41862">
        <w:rPr>
          <w:rFonts w:ascii="Times New Roman" w:hAnsi="Times New Roman" w:cs="Times New Roman"/>
          <w:sz w:val="24"/>
          <w:szCs w:val="24"/>
        </w:rPr>
        <w:t>Os autores examinaram a convergência de renda per capita para 48 estados americanos no período de 1840 a 1963, obtendo evidências a favor de convergência absoluta, a uma taxa de 2%. Também fizeram o exercício para um grupo de 98 países no período de 1960 a 1985, porém, neste caso, só foi possível verificar convergência condicional, ou seja, quando controlado por características in</w:t>
      </w:r>
      <w:r>
        <w:rPr>
          <w:rFonts w:ascii="Times New Roman" w:hAnsi="Times New Roman" w:cs="Times New Roman"/>
          <w:sz w:val="24"/>
          <w:szCs w:val="24"/>
        </w:rPr>
        <w:t xml:space="preserve">iciais individuais de cada país (COSTA, 2009). </w:t>
      </w:r>
    </w:p>
    <w:p w14:paraId="787E2BA3" w14:textId="7C9928C2"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Além disso, ao mudar sua perspectiva para grupos de países, encontraram resultados significativos ao incluir controles que permitem que os estados estacionários variem de acordo com as características de cada localidade, introduzindo o conceito de convergência condicional de renda. </w:t>
      </w:r>
    </w:p>
    <w:p w14:paraId="5CD543DC" w14:textId="77777777" w:rsidR="00900914"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No mesmo ano, Mankiw, Romer e Weil (1992) procuraram evidências na consistência do modelo de Solow ao ser comparado com as variações internacionais no padrão de vida, encontrando evidências de que ao incorporar o capital humano ao modelo, este consegue uma boa aderência aos dados reais dos países. Ao analisar dados de vários países, assumindo o crescimento da população e do capital como constantes, o modelo tem uma boa precisão em estimar a taxa de convergência dos países. Para verificar a hipótese de convergência, Caselli, Esquivel e Lefort (1996) usaram o mesmo conjunto de dados utilizado por Barro e Lee (1994). Utilizaram um modelo de Método Generalizado dos Momentos (GMM) para verificar a convergência de renda, e assim corrigindo possíveis problemas de variáveis individuais correlacionadas e de endogeneidade de variáveis. Para o conjunto de 96 países analisados, encontraram que os níveis de renda per capita dos países converge para o estado estacionário a uma velocidade de 10% por ano. </w:t>
      </w:r>
    </w:p>
    <w:p w14:paraId="1B5CF4BE" w14:textId="3E945D8A"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 xml:space="preserve">Rey e Montouri (1999) fizeram um estudo de convergência de renda a partir de uma perspectiva econométrica espacial, para os Estados Unidos. Os autores resolveram utilizar a técnica espacial devido à dissipação de choques aleatórios de um estado para estados vizinhos, complicando a dinâmica de transição do processo de convergência de renda. Os resultados </w:t>
      </w:r>
      <w:r w:rsidRPr="00CA6A46">
        <w:rPr>
          <w:rFonts w:ascii="Times New Roman" w:hAnsi="Times New Roman" w:cs="Times New Roman"/>
          <w:sz w:val="24"/>
          <w:szCs w:val="24"/>
        </w:rPr>
        <w:lastRenderedPageBreak/>
        <w:t>foram de acordo com o esperado, confirmando a convergência de renda entre as unidades federativas dos Estados Unidos, e, principalmente, embora os estados possam convergir para rendas relativas, isso não é feito de forma independente para cada estado, mas os estados vizinhos também são afetados de forma positiva.</w:t>
      </w:r>
    </w:p>
    <w:p w14:paraId="5825DF7C" w14:textId="50AC5987" w:rsidR="00AC0685" w:rsidRPr="00CA6A46" w:rsidRDefault="00AC0685" w:rsidP="00900914">
      <w:pPr>
        <w:spacing w:after="0" w:line="360" w:lineRule="auto"/>
        <w:ind w:firstLine="708"/>
        <w:jc w:val="both"/>
        <w:rPr>
          <w:rFonts w:ascii="Times New Roman" w:hAnsi="Times New Roman" w:cs="Times New Roman"/>
          <w:sz w:val="24"/>
          <w:szCs w:val="24"/>
        </w:rPr>
      </w:pPr>
      <w:r w:rsidRPr="00CA6A46">
        <w:rPr>
          <w:rFonts w:ascii="Times New Roman" w:hAnsi="Times New Roman" w:cs="Times New Roman"/>
          <w:sz w:val="24"/>
          <w:szCs w:val="24"/>
        </w:rPr>
        <w:t>No Brasil, Ferreira e Ellery Jr. (1996) estudaram a convergência a fim de ver se os estados brasileiros estavam apresentando uma redução da desigualdade entre eles, encontrando indícios que confirmam a hipótese de convergência, apesar de ser mais lenta do que a que foi encontrada por Barro e Sala-i-Martin (1992) para os estados americanos. Abitante (2007) também fez algo semelhante, mas adicionando a análise condicional de convergência de renda, utilizando controles para variar o estado estacionário que os estados têm a possibilidade de alcançar. Assim como Ferreira e Ellery Jr.</w:t>
      </w:r>
      <w:r w:rsidR="00B26B9C" w:rsidRPr="00CA6A46">
        <w:rPr>
          <w:rFonts w:ascii="Times New Roman" w:hAnsi="Times New Roman" w:cs="Times New Roman"/>
          <w:sz w:val="24"/>
          <w:szCs w:val="24"/>
        </w:rPr>
        <w:t xml:space="preserve"> (1996)</w:t>
      </w:r>
      <w:r w:rsidRPr="00CA6A46">
        <w:rPr>
          <w:rFonts w:ascii="Times New Roman" w:hAnsi="Times New Roman" w:cs="Times New Roman"/>
          <w:sz w:val="24"/>
          <w:szCs w:val="24"/>
        </w:rPr>
        <w:t xml:space="preserve">, </w:t>
      </w:r>
      <w:r w:rsidR="00B26B9C" w:rsidRPr="00CA6A46">
        <w:rPr>
          <w:rFonts w:ascii="Times New Roman" w:hAnsi="Times New Roman" w:cs="Times New Roman"/>
          <w:sz w:val="24"/>
          <w:szCs w:val="24"/>
        </w:rPr>
        <w:t xml:space="preserve">Abitante (2007) </w:t>
      </w:r>
      <w:r w:rsidRPr="00CA6A46">
        <w:rPr>
          <w:rFonts w:ascii="Times New Roman" w:hAnsi="Times New Roman" w:cs="Times New Roman"/>
          <w:sz w:val="24"/>
          <w:szCs w:val="24"/>
        </w:rPr>
        <w:t>também encontrou evidências de que existe um processo de convergência entre os estados.</w:t>
      </w:r>
    </w:p>
    <w:p w14:paraId="3FFB764F" w14:textId="397229A4" w:rsidR="00AC0685" w:rsidRDefault="002B520C" w:rsidP="0090091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Almeida e Moreira (2019) relatam que é</w:t>
      </w:r>
      <w:r w:rsidR="00AC0685" w:rsidRPr="00CA6A46">
        <w:rPr>
          <w:rFonts w:ascii="Times New Roman" w:hAnsi="Times New Roman" w:cs="Times New Roman"/>
          <w:sz w:val="24"/>
          <w:szCs w:val="24"/>
        </w:rPr>
        <w:t xml:space="preserve"> de suma importância mencionar, um aspecto importante no estudo do crescimento econômico e da desigualdade de renda entre as regiões é a existência ou não do processo de convergência. Como definiu Abramovitz (1986), a convergência é uma tendência de longo prazo de equalização da renda per capita ou níveis de produto. Em outras palavras, constitui discutir se os países pobres apresentam taxas de crescimento mais velozes que os países ricos. Além do estudo de Abramovitz (1986), outra pesquisa que marca o início do estudo de convergência é a de Baumol (1986), que analisou um conjunto de países entre os anos de 1970 e 1979. Segundo o autor, os países considerados mais ricos crescem mais lentamente, enquanto os países considerados mais pobres crescem mais rapidamente. À luz desse debate, esta pesquisa pretende analisar o processo de convergência entre os estados brasileiros no período 1989-2019. </w:t>
      </w:r>
      <w:r w:rsidR="00E13747">
        <w:rPr>
          <w:rFonts w:ascii="Times New Roman" w:hAnsi="Times New Roman" w:cs="Times New Roman"/>
          <w:sz w:val="24"/>
          <w:szCs w:val="24"/>
        </w:rPr>
        <w:t>B</w:t>
      </w:r>
      <w:r w:rsidR="00AC0685" w:rsidRPr="00CA6A46">
        <w:rPr>
          <w:rFonts w:ascii="Times New Roman" w:hAnsi="Times New Roman" w:cs="Times New Roman"/>
          <w:sz w:val="24"/>
          <w:szCs w:val="24"/>
        </w:rPr>
        <w:t>usca-se colaborar com os debates recentes acerc</w:t>
      </w:r>
      <w:r>
        <w:rPr>
          <w:rFonts w:ascii="Times New Roman" w:hAnsi="Times New Roman" w:cs="Times New Roman"/>
          <w:sz w:val="24"/>
          <w:szCs w:val="24"/>
        </w:rPr>
        <w:t>a dos vários métodos de análise.</w:t>
      </w:r>
      <w:r w:rsidR="00AC0685" w:rsidRPr="00CA6A46">
        <w:rPr>
          <w:rFonts w:ascii="Times New Roman" w:hAnsi="Times New Roman" w:cs="Times New Roman"/>
          <w:sz w:val="24"/>
          <w:szCs w:val="24"/>
        </w:rPr>
        <w:t xml:space="preserve"> </w:t>
      </w:r>
    </w:p>
    <w:p w14:paraId="6F1A1A75" w14:textId="126D1186" w:rsidR="00503A69" w:rsidRDefault="00503A69" w:rsidP="00503A69">
      <w:pPr>
        <w:spacing w:after="0" w:line="360" w:lineRule="auto"/>
        <w:ind w:firstLine="708"/>
        <w:jc w:val="both"/>
        <w:rPr>
          <w:rFonts w:ascii="Times New Roman" w:hAnsi="Times New Roman" w:cs="Times New Roman"/>
          <w:sz w:val="24"/>
          <w:szCs w:val="24"/>
        </w:rPr>
      </w:pPr>
      <w:r w:rsidRPr="00503A69">
        <w:rPr>
          <w:rFonts w:ascii="Times New Roman" w:hAnsi="Times New Roman" w:cs="Times New Roman"/>
          <w:sz w:val="24"/>
          <w:szCs w:val="24"/>
        </w:rPr>
        <w:t xml:space="preserve">A teoria de convergência </w:t>
      </w:r>
      <w:r>
        <w:rPr>
          <w:rFonts w:ascii="Times New Roman" w:hAnsi="Times New Roman" w:cs="Times New Roman"/>
          <w:sz w:val="24"/>
          <w:szCs w:val="24"/>
        </w:rPr>
        <w:t xml:space="preserve">de renda </w:t>
      </w:r>
      <w:r w:rsidRPr="00503A69">
        <w:rPr>
          <w:rFonts w:ascii="Times New Roman" w:hAnsi="Times New Roman" w:cs="Times New Roman"/>
          <w:sz w:val="24"/>
          <w:szCs w:val="24"/>
        </w:rPr>
        <w:t xml:space="preserve">possui um relevante significado para a teoria do crescimento econômico, uma vez que remete a redução do grau de desigualdade através de um processo de aproximação dos padrões de vida. Isso decorre do crescimento da renda </w:t>
      </w:r>
      <w:r w:rsidRPr="009260FF">
        <w:rPr>
          <w:rFonts w:ascii="Times New Roman" w:hAnsi="Times New Roman" w:cs="Times New Roman"/>
          <w:i/>
          <w:iCs/>
          <w:sz w:val="24"/>
          <w:szCs w:val="24"/>
        </w:rPr>
        <w:t>per capita</w:t>
      </w:r>
      <w:r w:rsidRPr="00503A69">
        <w:rPr>
          <w:rFonts w:ascii="Times New Roman" w:hAnsi="Times New Roman" w:cs="Times New Roman"/>
          <w:sz w:val="24"/>
          <w:szCs w:val="24"/>
        </w:rPr>
        <w:t xml:space="preserve"> determinado nos países ou nas regiões menos desenvolvidas se dar a taxas mais elevadas do que nos países ou re</w:t>
      </w:r>
      <w:r w:rsidR="00623478">
        <w:rPr>
          <w:rFonts w:ascii="Times New Roman" w:hAnsi="Times New Roman" w:cs="Times New Roman"/>
          <w:sz w:val="24"/>
          <w:szCs w:val="24"/>
        </w:rPr>
        <w:t xml:space="preserve">giões desenvolvidas (ALMEIDA; MOREIRA, 2019). </w:t>
      </w:r>
    </w:p>
    <w:p w14:paraId="6F0A9EB1" w14:textId="4C1EAAB4" w:rsidR="00503A69" w:rsidRDefault="002B520C" w:rsidP="002B520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Almeida e Moreira (2019), destacam que n</w:t>
      </w:r>
      <w:r w:rsidR="00503A69" w:rsidRPr="00503A69">
        <w:rPr>
          <w:rFonts w:ascii="Times New Roman" w:hAnsi="Times New Roman" w:cs="Times New Roman"/>
          <w:sz w:val="24"/>
          <w:szCs w:val="24"/>
        </w:rPr>
        <w:t xml:space="preserve">o que se refere ao Brasil, </w:t>
      </w:r>
      <w:r w:rsidR="00503A69">
        <w:rPr>
          <w:rFonts w:ascii="Times New Roman" w:hAnsi="Times New Roman" w:cs="Times New Roman"/>
          <w:sz w:val="24"/>
          <w:szCs w:val="24"/>
        </w:rPr>
        <w:t>vários</w:t>
      </w:r>
      <w:r w:rsidR="00503A69" w:rsidRPr="00503A69">
        <w:rPr>
          <w:rFonts w:ascii="Times New Roman" w:hAnsi="Times New Roman" w:cs="Times New Roman"/>
          <w:sz w:val="24"/>
          <w:szCs w:val="24"/>
        </w:rPr>
        <w:t xml:space="preserve"> estudos sobre convergência de renda foram realizados e com variadas metodologias. </w:t>
      </w:r>
      <w:r w:rsidR="00974CEE">
        <w:rPr>
          <w:rFonts w:ascii="Times New Roman" w:hAnsi="Times New Roman" w:cs="Times New Roman"/>
          <w:sz w:val="24"/>
          <w:szCs w:val="24"/>
        </w:rPr>
        <w:t xml:space="preserve">Dentre eles </w:t>
      </w:r>
      <w:r w:rsidR="00503A69" w:rsidRPr="00503A69">
        <w:rPr>
          <w:rFonts w:ascii="Times New Roman" w:hAnsi="Times New Roman" w:cs="Times New Roman"/>
          <w:sz w:val="24"/>
          <w:szCs w:val="24"/>
        </w:rPr>
        <w:t>destaca-se a contribuição de Ferreira e Ellery Júnior (1996), que analisa</w:t>
      </w:r>
      <w:r w:rsidR="00C632FC">
        <w:rPr>
          <w:rFonts w:ascii="Times New Roman" w:hAnsi="Times New Roman" w:cs="Times New Roman"/>
          <w:sz w:val="24"/>
          <w:szCs w:val="24"/>
        </w:rPr>
        <w:t>ra</w:t>
      </w:r>
      <w:r w:rsidR="00503A69" w:rsidRPr="00503A69">
        <w:rPr>
          <w:rFonts w:ascii="Times New Roman" w:hAnsi="Times New Roman" w:cs="Times New Roman"/>
          <w:sz w:val="24"/>
          <w:szCs w:val="24"/>
        </w:rPr>
        <w:t>m a convergência de renda nos estados brasileiros entre 1970 e 1985. Os autores discut</w:t>
      </w:r>
      <w:r w:rsidR="008D1672">
        <w:rPr>
          <w:rFonts w:ascii="Times New Roman" w:hAnsi="Times New Roman" w:cs="Times New Roman"/>
          <w:sz w:val="24"/>
          <w:szCs w:val="24"/>
        </w:rPr>
        <w:t>ira</w:t>
      </w:r>
      <w:r w:rsidR="00503A69" w:rsidRPr="00503A69">
        <w:rPr>
          <w:rFonts w:ascii="Times New Roman" w:hAnsi="Times New Roman" w:cs="Times New Roman"/>
          <w:sz w:val="24"/>
          <w:szCs w:val="24"/>
        </w:rPr>
        <w:t>m a velocidade de convergência utilizando os conceitos de sigma e beta-convergências e</w:t>
      </w:r>
      <w:r w:rsidR="008D1672">
        <w:rPr>
          <w:rFonts w:ascii="Times New Roman" w:hAnsi="Times New Roman" w:cs="Times New Roman"/>
          <w:sz w:val="24"/>
          <w:szCs w:val="24"/>
        </w:rPr>
        <w:t>,</w:t>
      </w:r>
      <w:r w:rsidR="00503A69" w:rsidRPr="00503A69">
        <w:rPr>
          <w:rFonts w:ascii="Times New Roman" w:hAnsi="Times New Roman" w:cs="Times New Roman"/>
          <w:sz w:val="24"/>
          <w:szCs w:val="24"/>
        </w:rPr>
        <w:t xml:space="preserve"> por meio de estimações por Ordinary Least Squares (OLS)</w:t>
      </w:r>
      <w:r w:rsidR="008D1672">
        <w:rPr>
          <w:rFonts w:ascii="Times New Roman" w:hAnsi="Times New Roman" w:cs="Times New Roman"/>
          <w:sz w:val="24"/>
          <w:szCs w:val="24"/>
        </w:rPr>
        <w:t>,</w:t>
      </w:r>
      <w:r w:rsidR="00503A69" w:rsidRPr="00503A69">
        <w:rPr>
          <w:rFonts w:ascii="Times New Roman" w:hAnsi="Times New Roman" w:cs="Times New Roman"/>
          <w:sz w:val="24"/>
          <w:szCs w:val="24"/>
        </w:rPr>
        <w:t xml:space="preserve"> encontram evidências de ambos os tipos de conv</w:t>
      </w:r>
      <w:r>
        <w:rPr>
          <w:rFonts w:ascii="Times New Roman" w:hAnsi="Times New Roman" w:cs="Times New Roman"/>
          <w:sz w:val="24"/>
          <w:szCs w:val="24"/>
        </w:rPr>
        <w:t xml:space="preserve">ergência. </w:t>
      </w:r>
    </w:p>
    <w:p w14:paraId="75EA452C" w14:textId="64077120" w:rsidR="00503A69" w:rsidRDefault="00503A69" w:rsidP="00623478">
      <w:pPr>
        <w:spacing w:after="0" w:line="360" w:lineRule="auto"/>
        <w:ind w:firstLine="708"/>
        <w:jc w:val="both"/>
        <w:rPr>
          <w:rFonts w:ascii="Times New Roman" w:hAnsi="Times New Roman" w:cs="Times New Roman"/>
          <w:sz w:val="24"/>
          <w:szCs w:val="24"/>
        </w:rPr>
      </w:pPr>
      <w:r w:rsidRPr="00503A69">
        <w:rPr>
          <w:rFonts w:ascii="Times New Roman" w:hAnsi="Times New Roman" w:cs="Times New Roman"/>
          <w:sz w:val="24"/>
          <w:szCs w:val="24"/>
        </w:rPr>
        <w:t xml:space="preserve">Diversos trabalhos que abordam a convergência entre os estados brasileiros são os de Azzoni (1997; 2001) e Ferreira (2000). Azzoni (1997) buscou avaliar a concentração regional e a dispersão de renda </w:t>
      </w:r>
      <w:r w:rsidRPr="00974CEE">
        <w:rPr>
          <w:rFonts w:ascii="Times New Roman" w:hAnsi="Times New Roman" w:cs="Times New Roman"/>
          <w:i/>
          <w:iCs/>
          <w:sz w:val="24"/>
          <w:szCs w:val="24"/>
        </w:rPr>
        <w:t>per capita</w:t>
      </w:r>
      <w:r w:rsidRPr="00503A69">
        <w:rPr>
          <w:rFonts w:ascii="Times New Roman" w:hAnsi="Times New Roman" w:cs="Times New Roman"/>
          <w:sz w:val="24"/>
          <w:szCs w:val="24"/>
        </w:rPr>
        <w:t xml:space="preserve"> para os estados brasileiros no período 1939-1995. Usando um modelo OLS, o autor encontra evidências de convergência que, de modo particular, foi mais intensa no período 1970-1985. Na mesma direção, Ferreira (2000) analisa a hipótese de beta-convergência e os resultados encontrados sugerem que os estados brasileiros convergiram condicionalmente em renda entre 1970 e 1995. Azzoni (2001) corrobora os achados de Ferreira (2000). Através de uma estimação de mínimos quadrados não linear, o autor encontra evidências de convergência condicional e absoluta entre os estados no período 1948-1995. Todavia, destaca que os resultados sugerem oscilações e evolução da desiguald</w:t>
      </w:r>
      <w:r w:rsidR="00623478">
        <w:rPr>
          <w:rFonts w:ascii="Times New Roman" w:hAnsi="Times New Roman" w:cs="Times New Roman"/>
          <w:sz w:val="24"/>
          <w:szCs w:val="24"/>
        </w:rPr>
        <w:t>ade entre as regiões no período (ALMEIDA; MOREIRA, 2019).</w:t>
      </w:r>
    </w:p>
    <w:p w14:paraId="0C8BD54F" w14:textId="2CB35226" w:rsidR="006B3481" w:rsidRPr="006B3481" w:rsidRDefault="006B3481" w:rsidP="006B3481">
      <w:pPr>
        <w:spacing w:after="0" w:line="360" w:lineRule="auto"/>
        <w:ind w:firstLine="708"/>
        <w:jc w:val="both"/>
        <w:rPr>
          <w:rFonts w:ascii="Times New Roman" w:hAnsi="Times New Roman" w:cs="Times New Roman"/>
          <w:sz w:val="24"/>
          <w:szCs w:val="24"/>
        </w:rPr>
      </w:pPr>
      <w:r w:rsidRPr="006B3481">
        <w:rPr>
          <w:rFonts w:ascii="Times New Roman" w:hAnsi="Times New Roman" w:cs="Times New Roman"/>
          <w:sz w:val="24"/>
          <w:szCs w:val="24"/>
        </w:rPr>
        <w:t>A análise com séries temporais também foi praticada por uma série de autores, como Oxley e Greasley (1995) e Li e Papell (1999), que não encontraram forte sustentação para a hipótese de convergência de renda. No mais, ainda há estudos que testaram convergência com dados em painel, como em Islam (1995) e Caselli et al. (1996).</w:t>
      </w:r>
    </w:p>
    <w:p w14:paraId="06ECF6A8" w14:textId="77777777" w:rsidR="00AB731B" w:rsidRPr="00CA6A46" w:rsidRDefault="00AB731B" w:rsidP="00900914">
      <w:pPr>
        <w:spacing w:after="0" w:line="360" w:lineRule="auto"/>
        <w:jc w:val="both"/>
        <w:rPr>
          <w:rFonts w:ascii="Times New Roman" w:hAnsi="Times New Roman" w:cs="Times New Roman"/>
          <w:sz w:val="24"/>
          <w:szCs w:val="24"/>
        </w:rPr>
      </w:pPr>
    </w:p>
    <w:p w14:paraId="4BBF48FF" w14:textId="77777777" w:rsidR="00AB731B" w:rsidRPr="00CA6A46" w:rsidRDefault="00642DB2" w:rsidP="00900914">
      <w:pPr>
        <w:spacing w:after="0" w:line="360" w:lineRule="auto"/>
        <w:jc w:val="both"/>
        <w:rPr>
          <w:rFonts w:ascii="Times New Roman" w:hAnsi="Times New Roman" w:cs="Times New Roman"/>
          <w:b/>
          <w:bCs/>
          <w:sz w:val="24"/>
          <w:szCs w:val="24"/>
        </w:rPr>
      </w:pPr>
      <w:r w:rsidRPr="00CA6A46">
        <w:rPr>
          <w:rFonts w:ascii="Times New Roman" w:hAnsi="Times New Roman" w:cs="Times New Roman"/>
          <w:b/>
          <w:bCs/>
          <w:sz w:val="24"/>
          <w:szCs w:val="24"/>
        </w:rPr>
        <w:t xml:space="preserve">4 RESULTADOS E DISCUSSÕES </w:t>
      </w:r>
    </w:p>
    <w:p w14:paraId="5053E994" w14:textId="77777777" w:rsidR="002A787C" w:rsidRPr="00CA6A46" w:rsidRDefault="002A787C" w:rsidP="00900914">
      <w:pPr>
        <w:spacing w:after="0" w:line="360" w:lineRule="auto"/>
        <w:jc w:val="both"/>
        <w:rPr>
          <w:rFonts w:ascii="Times New Roman" w:hAnsi="Times New Roman" w:cs="Times New Roman"/>
          <w:b/>
          <w:bCs/>
          <w:sz w:val="24"/>
          <w:szCs w:val="24"/>
        </w:rPr>
      </w:pPr>
    </w:p>
    <w:p w14:paraId="046040CC" w14:textId="0434AF2A" w:rsidR="00AC0685" w:rsidRPr="00E85851" w:rsidRDefault="00AC0685" w:rsidP="00900914">
      <w:pPr>
        <w:spacing w:after="0" w:line="360" w:lineRule="auto"/>
        <w:jc w:val="both"/>
        <w:rPr>
          <w:rFonts w:ascii="Times New Roman" w:hAnsi="Times New Roman" w:cs="Times New Roman"/>
          <w:sz w:val="24"/>
          <w:szCs w:val="24"/>
        </w:rPr>
      </w:pPr>
      <w:r w:rsidRPr="00E85851">
        <w:rPr>
          <w:rFonts w:ascii="Times New Roman" w:hAnsi="Times New Roman" w:cs="Times New Roman"/>
          <w:sz w:val="24"/>
          <w:szCs w:val="24"/>
        </w:rPr>
        <w:t>4.1 ANÁLISE DE CONVERGÊNCIA ABSOLUTA ENTRE 1989-2019</w:t>
      </w:r>
    </w:p>
    <w:p w14:paraId="523E7E59" w14:textId="77777777" w:rsidR="005679D7" w:rsidRDefault="005679D7" w:rsidP="0053562D">
      <w:pPr>
        <w:spacing w:after="0" w:line="360" w:lineRule="auto"/>
        <w:jc w:val="both"/>
      </w:pPr>
    </w:p>
    <w:p w14:paraId="03CE732C" w14:textId="1C78EE7B" w:rsidR="00FD5FA2" w:rsidRPr="0053562D" w:rsidRDefault="0053562D" w:rsidP="0053562D">
      <w:pPr>
        <w:spacing w:after="0" w:line="360" w:lineRule="auto"/>
        <w:jc w:val="both"/>
        <w:rPr>
          <w:rFonts w:ascii="Times New Roman" w:hAnsi="Times New Roman" w:cs="Times New Roman"/>
          <w:sz w:val="24"/>
          <w:szCs w:val="24"/>
        </w:rPr>
      </w:pPr>
      <w:r>
        <w:tab/>
      </w:r>
      <w:r w:rsidRPr="0053562D">
        <w:rPr>
          <w:rFonts w:ascii="Times New Roman" w:hAnsi="Times New Roman" w:cs="Times New Roman"/>
          <w:sz w:val="24"/>
          <w:szCs w:val="24"/>
        </w:rPr>
        <w:t>Foram estimados 27 estados</w:t>
      </w:r>
      <w:r>
        <w:rPr>
          <w:rFonts w:ascii="Times New Roman" w:hAnsi="Times New Roman" w:cs="Times New Roman"/>
          <w:sz w:val="24"/>
          <w:szCs w:val="24"/>
        </w:rPr>
        <w:t xml:space="preserve">, a </w:t>
      </w:r>
      <w:r w:rsidR="005679D7">
        <w:rPr>
          <w:rFonts w:ascii="Times New Roman" w:hAnsi="Times New Roman" w:cs="Times New Roman"/>
          <w:sz w:val="24"/>
          <w:szCs w:val="24"/>
        </w:rPr>
        <w:t>T</w:t>
      </w:r>
      <w:r>
        <w:rPr>
          <w:rFonts w:ascii="Times New Roman" w:hAnsi="Times New Roman" w:cs="Times New Roman"/>
          <w:sz w:val="24"/>
          <w:szCs w:val="24"/>
        </w:rPr>
        <w:t xml:space="preserve">abela </w:t>
      </w:r>
      <w:r w:rsidR="000241D6">
        <w:rPr>
          <w:rFonts w:ascii="Times New Roman" w:hAnsi="Times New Roman" w:cs="Times New Roman"/>
          <w:sz w:val="24"/>
          <w:szCs w:val="24"/>
        </w:rPr>
        <w:t>1</w:t>
      </w:r>
      <w:r>
        <w:rPr>
          <w:rFonts w:ascii="Times New Roman" w:hAnsi="Times New Roman" w:cs="Times New Roman"/>
          <w:sz w:val="24"/>
          <w:szCs w:val="24"/>
        </w:rPr>
        <w:t xml:space="preserve"> ilustra o PIB </w:t>
      </w:r>
      <w:r w:rsidRPr="005679D7">
        <w:rPr>
          <w:rFonts w:ascii="Times New Roman" w:hAnsi="Times New Roman" w:cs="Times New Roman"/>
          <w:i/>
          <w:iCs/>
          <w:sz w:val="24"/>
          <w:szCs w:val="24"/>
        </w:rPr>
        <w:t>per capita</w:t>
      </w:r>
      <w:r>
        <w:rPr>
          <w:rFonts w:ascii="Times New Roman" w:hAnsi="Times New Roman" w:cs="Times New Roman"/>
          <w:sz w:val="24"/>
          <w:szCs w:val="24"/>
        </w:rPr>
        <w:t xml:space="preserve"> dos estados nos anos 1989, 2002, 2014 e 2019. </w:t>
      </w:r>
    </w:p>
    <w:p w14:paraId="1AA9014B" w14:textId="77777777" w:rsidR="00B4176F" w:rsidRDefault="00B4176F" w:rsidP="00B4176F">
      <w:pPr>
        <w:pStyle w:val="Corpodetexto"/>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1989 o PIB </w:t>
      </w:r>
      <w:r w:rsidRPr="005679D7">
        <w:rPr>
          <w:rFonts w:ascii="Times New Roman" w:hAnsi="Times New Roman" w:cs="Times New Roman"/>
          <w:i/>
          <w:iCs/>
          <w:sz w:val="24"/>
          <w:szCs w:val="24"/>
        </w:rPr>
        <w:t>per capita</w:t>
      </w:r>
      <w:r>
        <w:rPr>
          <w:rFonts w:ascii="Times New Roman" w:hAnsi="Times New Roman" w:cs="Times New Roman"/>
          <w:sz w:val="24"/>
          <w:szCs w:val="24"/>
        </w:rPr>
        <w:t xml:space="preserve"> mais elevado foi o do Distrito Federal com 45,66 em seguida São Paulo com 24,67 e Rio de Janeiro com 22,80. No ano de 2002, a tendência de crescimento </w:t>
      </w:r>
      <w:r>
        <w:rPr>
          <w:rFonts w:ascii="Times New Roman" w:hAnsi="Times New Roman" w:cs="Times New Roman"/>
          <w:sz w:val="24"/>
          <w:szCs w:val="24"/>
        </w:rPr>
        <w:lastRenderedPageBreak/>
        <w:t xml:space="preserve">dos estados continuou concentrada nestes dois estados e no Distrito Federal. Já em 2014, O Distrito Federal, São Paulo e Rio de Janeiro continuam com PIB </w:t>
      </w:r>
      <w:r w:rsidRPr="005679D7">
        <w:rPr>
          <w:rFonts w:ascii="Times New Roman" w:hAnsi="Times New Roman" w:cs="Times New Roman"/>
          <w:i/>
          <w:iCs/>
          <w:sz w:val="24"/>
          <w:szCs w:val="24"/>
        </w:rPr>
        <w:t>per capita</w:t>
      </w:r>
      <w:r>
        <w:rPr>
          <w:rFonts w:ascii="Times New Roman" w:hAnsi="Times New Roman" w:cs="Times New Roman"/>
          <w:sz w:val="24"/>
          <w:szCs w:val="24"/>
        </w:rPr>
        <w:t xml:space="preserve"> elevado. Mas, surge outros estados com elevação no mesmo, como o estado do Paraná com 20,04 Rio Grande do Sul com 20,40 Santa Catarina com 22,46 Espírito Santo com 20,85 Mato Grosso com 20,78. No ano de 2019 os estados mencionados, continuaram com PIB </w:t>
      </w:r>
      <w:r w:rsidRPr="005679D7">
        <w:rPr>
          <w:rFonts w:ascii="Times New Roman" w:hAnsi="Times New Roman" w:cs="Times New Roman"/>
          <w:i/>
          <w:iCs/>
          <w:sz w:val="24"/>
          <w:szCs w:val="24"/>
        </w:rPr>
        <w:t>per capita</w:t>
      </w:r>
      <w:r>
        <w:rPr>
          <w:rFonts w:ascii="Times New Roman" w:hAnsi="Times New Roman" w:cs="Times New Roman"/>
          <w:sz w:val="24"/>
          <w:szCs w:val="24"/>
        </w:rPr>
        <w:t xml:space="preserve"> elevado, mas, mesmo sofrendo uma pequena queda, exceto, o Distrito Federal. </w:t>
      </w:r>
    </w:p>
    <w:p w14:paraId="2A85164D" w14:textId="77777777" w:rsidR="00C4526A" w:rsidRDefault="00C4526A" w:rsidP="0053562D">
      <w:pPr>
        <w:spacing w:after="0" w:line="240" w:lineRule="auto"/>
        <w:rPr>
          <w:rFonts w:ascii="Times New Roman" w:hAnsi="Times New Roman" w:cs="Times New Roman"/>
          <w:sz w:val="24"/>
          <w:szCs w:val="24"/>
        </w:rPr>
      </w:pPr>
    </w:p>
    <w:p w14:paraId="20E6EB0A" w14:textId="6661A233" w:rsidR="0053562D" w:rsidRPr="005679D7" w:rsidRDefault="0053562D" w:rsidP="0053562D">
      <w:pPr>
        <w:spacing w:after="0" w:line="240" w:lineRule="auto"/>
        <w:rPr>
          <w:rFonts w:ascii="Times New Roman" w:hAnsi="Times New Roman" w:cs="Times New Roman"/>
          <w:sz w:val="24"/>
          <w:szCs w:val="24"/>
        </w:rPr>
      </w:pPr>
      <w:r w:rsidRPr="005679D7">
        <w:rPr>
          <w:rFonts w:ascii="Times New Roman" w:hAnsi="Times New Roman" w:cs="Times New Roman"/>
          <w:sz w:val="24"/>
          <w:szCs w:val="24"/>
        </w:rPr>
        <w:t>Tabela 01</w:t>
      </w:r>
      <w:r w:rsidR="005679D7">
        <w:rPr>
          <w:rFonts w:ascii="Times New Roman" w:hAnsi="Times New Roman" w:cs="Times New Roman"/>
          <w:sz w:val="24"/>
          <w:szCs w:val="24"/>
        </w:rPr>
        <w:t xml:space="preserve"> </w:t>
      </w:r>
      <w:r w:rsidRPr="005679D7">
        <w:rPr>
          <w:rFonts w:ascii="Times New Roman" w:hAnsi="Times New Roman" w:cs="Times New Roman"/>
          <w:sz w:val="24"/>
          <w:szCs w:val="24"/>
        </w:rPr>
        <w:t xml:space="preserve">– Produto Interno Bruto </w:t>
      </w:r>
      <w:r w:rsidRPr="005679D7">
        <w:rPr>
          <w:rFonts w:ascii="Times New Roman" w:hAnsi="Times New Roman" w:cs="Times New Roman"/>
          <w:i/>
          <w:iCs/>
          <w:sz w:val="24"/>
          <w:szCs w:val="24"/>
        </w:rPr>
        <w:t>per capita</w:t>
      </w:r>
      <w:r w:rsidRPr="005679D7">
        <w:rPr>
          <w:rFonts w:ascii="Times New Roman" w:hAnsi="Times New Roman" w:cs="Times New Roman"/>
          <w:sz w:val="24"/>
          <w:szCs w:val="24"/>
        </w:rPr>
        <w:t xml:space="preserve"> (em milhares de reais)</w:t>
      </w:r>
    </w:p>
    <w:tbl>
      <w:tblPr>
        <w:tblW w:w="5000" w:type="pct"/>
        <w:jc w:val="center"/>
        <w:tblBorders>
          <w:bottom w:val="single" w:sz="4" w:space="0" w:color="auto"/>
        </w:tblBorders>
        <w:tblCellMar>
          <w:left w:w="70" w:type="dxa"/>
          <w:right w:w="70" w:type="dxa"/>
        </w:tblCellMar>
        <w:tblLook w:val="04A0" w:firstRow="1" w:lastRow="0" w:firstColumn="1" w:lastColumn="0" w:noHBand="0" w:noVBand="1"/>
      </w:tblPr>
      <w:tblGrid>
        <w:gridCol w:w="1945"/>
        <w:gridCol w:w="1782"/>
        <w:gridCol w:w="1780"/>
        <w:gridCol w:w="1782"/>
        <w:gridCol w:w="1782"/>
      </w:tblGrid>
      <w:tr w:rsidR="0053562D" w:rsidRPr="00761270" w14:paraId="7CE1A2BB" w14:textId="77777777" w:rsidTr="00FF3298">
        <w:trPr>
          <w:trHeight w:val="284"/>
          <w:jc w:val="center"/>
        </w:trPr>
        <w:tc>
          <w:tcPr>
            <w:tcW w:w="1072" w:type="pct"/>
            <w:tcBorders>
              <w:top w:val="double" w:sz="4" w:space="0" w:color="auto"/>
              <w:bottom w:val="single" w:sz="4" w:space="0" w:color="auto"/>
            </w:tcBorders>
            <w:shd w:val="clear" w:color="auto" w:fill="auto"/>
            <w:noWrap/>
            <w:vAlign w:val="center"/>
            <w:hideMark/>
          </w:tcPr>
          <w:p w14:paraId="55D39CAC"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Estado</w:t>
            </w:r>
          </w:p>
        </w:tc>
        <w:tc>
          <w:tcPr>
            <w:tcW w:w="982" w:type="pct"/>
            <w:tcBorders>
              <w:top w:val="double" w:sz="4" w:space="0" w:color="auto"/>
              <w:bottom w:val="single" w:sz="4" w:space="0" w:color="auto"/>
            </w:tcBorders>
            <w:shd w:val="clear" w:color="auto" w:fill="auto"/>
            <w:noWrap/>
            <w:vAlign w:val="center"/>
            <w:hideMark/>
          </w:tcPr>
          <w:p w14:paraId="322E5B9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1989</w:t>
            </w:r>
          </w:p>
        </w:tc>
        <w:tc>
          <w:tcPr>
            <w:tcW w:w="981" w:type="pct"/>
            <w:tcBorders>
              <w:top w:val="double" w:sz="4" w:space="0" w:color="auto"/>
              <w:bottom w:val="single" w:sz="4" w:space="0" w:color="auto"/>
            </w:tcBorders>
            <w:shd w:val="clear" w:color="auto" w:fill="auto"/>
            <w:noWrap/>
            <w:vAlign w:val="center"/>
            <w:hideMark/>
          </w:tcPr>
          <w:p w14:paraId="377D437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2002</w:t>
            </w:r>
          </w:p>
        </w:tc>
        <w:tc>
          <w:tcPr>
            <w:tcW w:w="982" w:type="pct"/>
            <w:tcBorders>
              <w:top w:val="double" w:sz="4" w:space="0" w:color="auto"/>
              <w:bottom w:val="single" w:sz="4" w:space="0" w:color="auto"/>
            </w:tcBorders>
            <w:shd w:val="clear" w:color="auto" w:fill="auto"/>
            <w:noWrap/>
            <w:vAlign w:val="center"/>
            <w:hideMark/>
          </w:tcPr>
          <w:p w14:paraId="5B9122B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2014</w:t>
            </w:r>
          </w:p>
        </w:tc>
        <w:tc>
          <w:tcPr>
            <w:tcW w:w="982" w:type="pct"/>
            <w:tcBorders>
              <w:top w:val="double" w:sz="4" w:space="0" w:color="auto"/>
              <w:bottom w:val="single" w:sz="4" w:space="0" w:color="auto"/>
            </w:tcBorders>
            <w:shd w:val="clear" w:color="auto" w:fill="auto"/>
            <w:noWrap/>
            <w:vAlign w:val="center"/>
            <w:hideMark/>
          </w:tcPr>
          <w:p w14:paraId="69EE7A9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2019</w:t>
            </w:r>
          </w:p>
        </w:tc>
      </w:tr>
      <w:tr w:rsidR="0053562D" w:rsidRPr="00761270" w14:paraId="57D44E12" w14:textId="77777777" w:rsidTr="00FF3298">
        <w:trPr>
          <w:trHeight w:val="284"/>
          <w:jc w:val="center"/>
        </w:trPr>
        <w:tc>
          <w:tcPr>
            <w:tcW w:w="1072" w:type="pct"/>
            <w:tcBorders>
              <w:top w:val="single" w:sz="4" w:space="0" w:color="auto"/>
            </w:tcBorders>
            <w:shd w:val="clear" w:color="auto" w:fill="auto"/>
            <w:noWrap/>
            <w:vAlign w:val="center"/>
            <w:hideMark/>
          </w:tcPr>
          <w:p w14:paraId="772CE2C1"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Acre</w:t>
            </w:r>
          </w:p>
        </w:tc>
        <w:tc>
          <w:tcPr>
            <w:tcW w:w="982" w:type="pct"/>
            <w:tcBorders>
              <w:top w:val="single" w:sz="4" w:space="0" w:color="auto"/>
            </w:tcBorders>
            <w:shd w:val="clear" w:color="auto" w:fill="auto"/>
            <w:noWrap/>
            <w:vAlign w:val="center"/>
            <w:hideMark/>
          </w:tcPr>
          <w:p w14:paraId="10040C03"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8,40</w:t>
            </w:r>
          </w:p>
        </w:tc>
        <w:tc>
          <w:tcPr>
            <w:tcW w:w="981" w:type="pct"/>
            <w:tcBorders>
              <w:top w:val="single" w:sz="4" w:space="0" w:color="auto"/>
            </w:tcBorders>
            <w:shd w:val="clear" w:color="auto" w:fill="auto"/>
            <w:noWrap/>
            <w:vAlign w:val="center"/>
            <w:hideMark/>
          </w:tcPr>
          <w:p w14:paraId="064D9959"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8,88</w:t>
            </w:r>
          </w:p>
        </w:tc>
        <w:tc>
          <w:tcPr>
            <w:tcW w:w="982" w:type="pct"/>
            <w:tcBorders>
              <w:top w:val="single" w:sz="4" w:space="0" w:color="auto"/>
            </w:tcBorders>
            <w:shd w:val="clear" w:color="auto" w:fill="auto"/>
            <w:noWrap/>
            <w:vAlign w:val="center"/>
            <w:hideMark/>
          </w:tcPr>
          <w:p w14:paraId="6A009F08"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11,53</w:t>
            </w:r>
          </w:p>
        </w:tc>
        <w:tc>
          <w:tcPr>
            <w:tcW w:w="982" w:type="pct"/>
            <w:tcBorders>
              <w:top w:val="single" w:sz="4" w:space="0" w:color="auto"/>
            </w:tcBorders>
            <w:shd w:val="clear" w:color="auto" w:fill="auto"/>
            <w:noWrap/>
            <w:vAlign w:val="center"/>
            <w:hideMark/>
          </w:tcPr>
          <w:p w14:paraId="34E1DC7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8,99</w:t>
            </w:r>
          </w:p>
        </w:tc>
      </w:tr>
      <w:tr w:rsidR="0053562D" w:rsidRPr="00761270" w14:paraId="2E7AFE14" w14:textId="77777777" w:rsidTr="00FF3298">
        <w:trPr>
          <w:trHeight w:val="284"/>
          <w:jc w:val="center"/>
        </w:trPr>
        <w:tc>
          <w:tcPr>
            <w:tcW w:w="1072" w:type="pct"/>
            <w:shd w:val="clear" w:color="auto" w:fill="auto"/>
            <w:noWrap/>
            <w:vAlign w:val="center"/>
            <w:hideMark/>
          </w:tcPr>
          <w:p w14:paraId="06C3FE41"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Alagoas</w:t>
            </w:r>
          </w:p>
        </w:tc>
        <w:tc>
          <w:tcPr>
            <w:tcW w:w="982" w:type="pct"/>
            <w:shd w:val="clear" w:color="auto" w:fill="auto"/>
            <w:noWrap/>
            <w:vAlign w:val="center"/>
            <w:hideMark/>
          </w:tcPr>
          <w:p w14:paraId="27FDC4CD"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5,77</w:t>
            </w:r>
          </w:p>
        </w:tc>
        <w:tc>
          <w:tcPr>
            <w:tcW w:w="981" w:type="pct"/>
            <w:shd w:val="clear" w:color="auto" w:fill="auto"/>
            <w:noWrap/>
            <w:vAlign w:val="center"/>
            <w:hideMark/>
          </w:tcPr>
          <w:p w14:paraId="4D73C75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6,97</w:t>
            </w:r>
          </w:p>
        </w:tc>
        <w:tc>
          <w:tcPr>
            <w:tcW w:w="982" w:type="pct"/>
            <w:shd w:val="clear" w:color="auto" w:fill="auto"/>
            <w:noWrap/>
            <w:vAlign w:val="center"/>
            <w:hideMark/>
          </w:tcPr>
          <w:p w14:paraId="6DB3FAE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8,28</w:t>
            </w:r>
          </w:p>
        </w:tc>
        <w:tc>
          <w:tcPr>
            <w:tcW w:w="982" w:type="pct"/>
            <w:shd w:val="clear" w:color="auto" w:fill="auto"/>
            <w:noWrap/>
            <w:vAlign w:val="center"/>
            <w:hideMark/>
          </w:tcPr>
          <w:p w14:paraId="2CAE1C28"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9,04</w:t>
            </w:r>
          </w:p>
        </w:tc>
      </w:tr>
      <w:tr w:rsidR="0053562D" w:rsidRPr="00761270" w14:paraId="3FEF988D" w14:textId="77777777" w:rsidTr="00FF3298">
        <w:trPr>
          <w:trHeight w:val="284"/>
          <w:jc w:val="center"/>
        </w:trPr>
        <w:tc>
          <w:tcPr>
            <w:tcW w:w="1072" w:type="pct"/>
            <w:shd w:val="clear" w:color="auto" w:fill="auto"/>
            <w:noWrap/>
            <w:vAlign w:val="center"/>
            <w:hideMark/>
          </w:tcPr>
          <w:p w14:paraId="3F720D0C"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Amazonas</w:t>
            </w:r>
          </w:p>
        </w:tc>
        <w:tc>
          <w:tcPr>
            <w:tcW w:w="982" w:type="pct"/>
            <w:shd w:val="clear" w:color="auto" w:fill="auto"/>
            <w:noWrap/>
            <w:vAlign w:val="center"/>
            <w:hideMark/>
          </w:tcPr>
          <w:p w14:paraId="156B5FA7"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7,83</w:t>
            </w:r>
          </w:p>
        </w:tc>
        <w:tc>
          <w:tcPr>
            <w:tcW w:w="981" w:type="pct"/>
            <w:shd w:val="clear" w:color="auto" w:fill="auto"/>
            <w:noWrap/>
            <w:vAlign w:val="center"/>
            <w:hideMark/>
          </w:tcPr>
          <w:p w14:paraId="5341386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11,68</w:t>
            </w:r>
          </w:p>
        </w:tc>
        <w:tc>
          <w:tcPr>
            <w:tcW w:w="982" w:type="pct"/>
            <w:shd w:val="clear" w:color="auto" w:fill="auto"/>
            <w:noWrap/>
            <w:vAlign w:val="center"/>
            <w:hideMark/>
          </w:tcPr>
          <w:p w14:paraId="081E6E4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13,69</w:t>
            </w:r>
          </w:p>
        </w:tc>
        <w:tc>
          <w:tcPr>
            <w:tcW w:w="982" w:type="pct"/>
            <w:shd w:val="clear" w:color="auto" w:fill="auto"/>
            <w:noWrap/>
            <w:vAlign w:val="center"/>
            <w:hideMark/>
          </w:tcPr>
          <w:p w14:paraId="1278D0D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12,46</w:t>
            </w:r>
          </w:p>
        </w:tc>
      </w:tr>
      <w:tr w:rsidR="0053562D" w:rsidRPr="00761270" w14:paraId="5413A992" w14:textId="77777777" w:rsidTr="00FF3298">
        <w:trPr>
          <w:trHeight w:val="284"/>
          <w:jc w:val="center"/>
        </w:trPr>
        <w:tc>
          <w:tcPr>
            <w:tcW w:w="1072" w:type="pct"/>
            <w:shd w:val="clear" w:color="auto" w:fill="auto"/>
            <w:noWrap/>
            <w:vAlign w:val="center"/>
            <w:hideMark/>
          </w:tcPr>
          <w:p w14:paraId="65BC1CA8"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Amapá</w:t>
            </w:r>
          </w:p>
        </w:tc>
        <w:tc>
          <w:tcPr>
            <w:tcW w:w="982" w:type="pct"/>
            <w:shd w:val="clear" w:color="auto" w:fill="auto"/>
            <w:noWrap/>
            <w:vAlign w:val="center"/>
            <w:hideMark/>
          </w:tcPr>
          <w:p w14:paraId="7CA4452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9,72</w:t>
            </w:r>
          </w:p>
        </w:tc>
        <w:tc>
          <w:tcPr>
            <w:tcW w:w="981" w:type="pct"/>
            <w:shd w:val="clear" w:color="auto" w:fill="auto"/>
            <w:noWrap/>
            <w:vAlign w:val="center"/>
            <w:hideMark/>
          </w:tcPr>
          <w:p w14:paraId="44FDC72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10,94</w:t>
            </w:r>
          </w:p>
        </w:tc>
        <w:tc>
          <w:tcPr>
            <w:tcW w:w="982" w:type="pct"/>
            <w:shd w:val="clear" w:color="auto" w:fill="auto"/>
            <w:noWrap/>
            <w:vAlign w:val="center"/>
            <w:hideMark/>
          </w:tcPr>
          <w:p w14:paraId="56CD0E6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12,15</w:t>
            </w:r>
          </w:p>
        </w:tc>
        <w:tc>
          <w:tcPr>
            <w:tcW w:w="982" w:type="pct"/>
            <w:shd w:val="clear" w:color="auto" w:fill="auto"/>
            <w:noWrap/>
            <w:vAlign w:val="center"/>
            <w:hideMark/>
          </w:tcPr>
          <w:p w14:paraId="13AFA32D"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10,98</w:t>
            </w:r>
          </w:p>
        </w:tc>
      </w:tr>
      <w:tr w:rsidR="0053562D" w:rsidRPr="00761270" w14:paraId="035881DD" w14:textId="77777777" w:rsidTr="00FF3298">
        <w:trPr>
          <w:trHeight w:val="284"/>
          <w:jc w:val="center"/>
        </w:trPr>
        <w:tc>
          <w:tcPr>
            <w:tcW w:w="1072" w:type="pct"/>
            <w:shd w:val="clear" w:color="auto" w:fill="auto"/>
            <w:noWrap/>
            <w:vAlign w:val="center"/>
            <w:hideMark/>
          </w:tcPr>
          <w:p w14:paraId="115D3709"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Bahia</w:t>
            </w:r>
          </w:p>
        </w:tc>
        <w:tc>
          <w:tcPr>
            <w:tcW w:w="982" w:type="pct"/>
            <w:shd w:val="clear" w:color="auto" w:fill="auto"/>
            <w:noWrap/>
            <w:vAlign w:val="center"/>
            <w:hideMark/>
          </w:tcPr>
          <w:p w14:paraId="40150473"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5,61</w:t>
            </w:r>
          </w:p>
        </w:tc>
        <w:tc>
          <w:tcPr>
            <w:tcW w:w="981" w:type="pct"/>
            <w:shd w:val="clear" w:color="auto" w:fill="auto"/>
            <w:noWrap/>
            <w:vAlign w:val="center"/>
            <w:hideMark/>
          </w:tcPr>
          <w:p w14:paraId="015881C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7,20</w:t>
            </w:r>
          </w:p>
        </w:tc>
        <w:tc>
          <w:tcPr>
            <w:tcW w:w="982" w:type="pct"/>
            <w:shd w:val="clear" w:color="auto" w:fill="auto"/>
            <w:noWrap/>
            <w:vAlign w:val="center"/>
            <w:hideMark/>
          </w:tcPr>
          <w:p w14:paraId="3B7671A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9,57</w:t>
            </w:r>
          </w:p>
        </w:tc>
        <w:tc>
          <w:tcPr>
            <w:tcW w:w="982" w:type="pct"/>
            <w:shd w:val="clear" w:color="auto" w:fill="auto"/>
            <w:noWrap/>
            <w:vAlign w:val="center"/>
            <w:hideMark/>
          </w:tcPr>
          <w:p w14:paraId="49F2D169"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9,81</w:t>
            </w:r>
          </w:p>
        </w:tc>
      </w:tr>
      <w:tr w:rsidR="0053562D" w:rsidRPr="00761270" w14:paraId="05785AD7" w14:textId="77777777" w:rsidTr="00FF3298">
        <w:trPr>
          <w:trHeight w:val="284"/>
          <w:jc w:val="center"/>
        </w:trPr>
        <w:tc>
          <w:tcPr>
            <w:tcW w:w="1072" w:type="pct"/>
            <w:shd w:val="clear" w:color="auto" w:fill="auto"/>
            <w:noWrap/>
            <w:vAlign w:val="center"/>
            <w:hideMark/>
          </w:tcPr>
          <w:p w14:paraId="757AB128"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Ceará</w:t>
            </w:r>
          </w:p>
        </w:tc>
        <w:tc>
          <w:tcPr>
            <w:tcW w:w="982" w:type="pct"/>
            <w:shd w:val="clear" w:color="auto" w:fill="auto"/>
            <w:noWrap/>
            <w:vAlign w:val="center"/>
            <w:hideMark/>
          </w:tcPr>
          <w:p w14:paraId="7EEB3C5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4,63</w:t>
            </w:r>
          </w:p>
        </w:tc>
        <w:tc>
          <w:tcPr>
            <w:tcW w:w="981" w:type="pct"/>
            <w:shd w:val="clear" w:color="auto" w:fill="auto"/>
            <w:noWrap/>
            <w:vAlign w:val="center"/>
            <w:hideMark/>
          </w:tcPr>
          <w:p w14:paraId="2177F7A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6,21</w:t>
            </w:r>
          </w:p>
        </w:tc>
        <w:tc>
          <w:tcPr>
            <w:tcW w:w="982" w:type="pct"/>
            <w:shd w:val="clear" w:color="auto" w:fill="auto"/>
            <w:noWrap/>
            <w:vAlign w:val="center"/>
            <w:hideMark/>
          </w:tcPr>
          <w:p w14:paraId="1263C3B7"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9,24</w:t>
            </w:r>
          </w:p>
        </w:tc>
        <w:tc>
          <w:tcPr>
            <w:tcW w:w="982" w:type="pct"/>
            <w:shd w:val="clear" w:color="auto" w:fill="auto"/>
            <w:noWrap/>
            <w:vAlign w:val="center"/>
            <w:hideMark/>
          </w:tcPr>
          <w:p w14:paraId="1858105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8,92</w:t>
            </w:r>
          </w:p>
        </w:tc>
      </w:tr>
      <w:tr w:rsidR="0053562D" w:rsidRPr="00761270" w14:paraId="0D34A17A" w14:textId="77777777" w:rsidTr="00FF3298">
        <w:trPr>
          <w:trHeight w:val="284"/>
          <w:jc w:val="center"/>
        </w:trPr>
        <w:tc>
          <w:tcPr>
            <w:tcW w:w="1072" w:type="pct"/>
            <w:shd w:val="clear" w:color="auto" w:fill="auto"/>
            <w:noWrap/>
            <w:vAlign w:val="center"/>
            <w:hideMark/>
          </w:tcPr>
          <w:p w14:paraId="75418D2B"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Distrito Federal</w:t>
            </w:r>
          </w:p>
        </w:tc>
        <w:tc>
          <w:tcPr>
            <w:tcW w:w="982" w:type="pct"/>
            <w:shd w:val="clear" w:color="auto" w:fill="auto"/>
            <w:noWrap/>
            <w:vAlign w:val="center"/>
            <w:hideMark/>
          </w:tcPr>
          <w:p w14:paraId="6ED1AB1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45,66</w:t>
            </w:r>
          </w:p>
        </w:tc>
        <w:tc>
          <w:tcPr>
            <w:tcW w:w="981" w:type="pct"/>
            <w:shd w:val="clear" w:color="auto" w:fill="auto"/>
            <w:noWrap/>
            <w:vAlign w:val="center"/>
            <w:hideMark/>
          </w:tcPr>
          <w:p w14:paraId="7C9EB1E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41,59</w:t>
            </w:r>
          </w:p>
        </w:tc>
        <w:tc>
          <w:tcPr>
            <w:tcW w:w="982" w:type="pct"/>
            <w:shd w:val="clear" w:color="auto" w:fill="auto"/>
            <w:noWrap/>
            <w:vAlign w:val="center"/>
            <w:hideMark/>
          </w:tcPr>
          <w:p w14:paraId="6F1AFB0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44,28</w:t>
            </w:r>
          </w:p>
        </w:tc>
        <w:tc>
          <w:tcPr>
            <w:tcW w:w="982" w:type="pct"/>
            <w:shd w:val="clear" w:color="auto" w:fill="auto"/>
            <w:noWrap/>
            <w:vAlign w:val="center"/>
            <w:hideMark/>
          </w:tcPr>
          <w:p w14:paraId="791DF45E"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45,84</w:t>
            </w:r>
          </w:p>
        </w:tc>
      </w:tr>
      <w:tr w:rsidR="0053562D" w:rsidRPr="00761270" w14:paraId="7FA16ABC" w14:textId="77777777" w:rsidTr="00FF3298">
        <w:trPr>
          <w:trHeight w:val="284"/>
          <w:jc w:val="center"/>
        </w:trPr>
        <w:tc>
          <w:tcPr>
            <w:tcW w:w="1072" w:type="pct"/>
            <w:shd w:val="clear" w:color="auto" w:fill="auto"/>
            <w:noWrap/>
            <w:vAlign w:val="center"/>
            <w:hideMark/>
          </w:tcPr>
          <w:p w14:paraId="37238B61"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Espírito Santo</w:t>
            </w:r>
          </w:p>
        </w:tc>
        <w:tc>
          <w:tcPr>
            <w:tcW w:w="982" w:type="pct"/>
            <w:shd w:val="clear" w:color="auto" w:fill="auto"/>
            <w:noWrap/>
            <w:vAlign w:val="center"/>
            <w:hideMark/>
          </w:tcPr>
          <w:p w14:paraId="69A6DBB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14,10</w:t>
            </w:r>
          </w:p>
        </w:tc>
        <w:tc>
          <w:tcPr>
            <w:tcW w:w="981" w:type="pct"/>
            <w:shd w:val="clear" w:color="auto" w:fill="auto"/>
            <w:noWrap/>
            <w:vAlign w:val="center"/>
            <w:hideMark/>
          </w:tcPr>
          <w:p w14:paraId="414795EE"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13,23</w:t>
            </w:r>
          </w:p>
        </w:tc>
        <w:tc>
          <w:tcPr>
            <w:tcW w:w="982" w:type="pct"/>
            <w:shd w:val="clear" w:color="auto" w:fill="auto"/>
            <w:noWrap/>
            <w:vAlign w:val="center"/>
            <w:hideMark/>
          </w:tcPr>
          <w:p w14:paraId="724FA9DE"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20,85</w:t>
            </w:r>
          </w:p>
        </w:tc>
        <w:tc>
          <w:tcPr>
            <w:tcW w:w="982" w:type="pct"/>
            <w:shd w:val="clear" w:color="auto" w:fill="auto"/>
            <w:noWrap/>
            <w:vAlign w:val="center"/>
            <w:hideMark/>
          </w:tcPr>
          <w:p w14:paraId="7534A4C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16,26</w:t>
            </w:r>
          </w:p>
        </w:tc>
      </w:tr>
      <w:tr w:rsidR="0053562D" w:rsidRPr="00761270" w14:paraId="6BEA9E26" w14:textId="77777777" w:rsidTr="00FF3298">
        <w:trPr>
          <w:trHeight w:val="284"/>
          <w:jc w:val="center"/>
        </w:trPr>
        <w:tc>
          <w:tcPr>
            <w:tcW w:w="1072" w:type="pct"/>
            <w:shd w:val="clear" w:color="auto" w:fill="auto"/>
            <w:noWrap/>
            <w:vAlign w:val="center"/>
            <w:hideMark/>
          </w:tcPr>
          <w:p w14:paraId="6E889A6A"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Goiás</w:t>
            </w:r>
          </w:p>
        </w:tc>
        <w:tc>
          <w:tcPr>
            <w:tcW w:w="982" w:type="pct"/>
            <w:shd w:val="clear" w:color="auto" w:fill="auto"/>
            <w:noWrap/>
            <w:vAlign w:val="center"/>
            <w:hideMark/>
          </w:tcPr>
          <w:p w14:paraId="0998D8E9"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11,36</w:t>
            </w:r>
          </w:p>
        </w:tc>
        <w:tc>
          <w:tcPr>
            <w:tcW w:w="981" w:type="pct"/>
            <w:shd w:val="clear" w:color="auto" w:fill="auto"/>
            <w:noWrap/>
            <w:vAlign w:val="center"/>
            <w:hideMark/>
          </w:tcPr>
          <w:p w14:paraId="47C6149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12,45</w:t>
            </w:r>
          </w:p>
        </w:tc>
        <w:tc>
          <w:tcPr>
            <w:tcW w:w="982" w:type="pct"/>
            <w:shd w:val="clear" w:color="auto" w:fill="auto"/>
            <w:noWrap/>
            <w:vAlign w:val="center"/>
            <w:hideMark/>
          </w:tcPr>
          <w:p w14:paraId="1511F78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16,57</w:t>
            </w:r>
          </w:p>
        </w:tc>
        <w:tc>
          <w:tcPr>
            <w:tcW w:w="982" w:type="pct"/>
            <w:shd w:val="clear" w:color="auto" w:fill="auto"/>
            <w:noWrap/>
            <w:vAlign w:val="center"/>
            <w:hideMark/>
          </w:tcPr>
          <w:p w14:paraId="6D51886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15,01</w:t>
            </w:r>
          </w:p>
        </w:tc>
      </w:tr>
      <w:tr w:rsidR="0053562D" w:rsidRPr="00761270" w14:paraId="020367AD" w14:textId="77777777" w:rsidTr="00FF3298">
        <w:trPr>
          <w:trHeight w:val="284"/>
          <w:jc w:val="center"/>
        </w:trPr>
        <w:tc>
          <w:tcPr>
            <w:tcW w:w="1072" w:type="pct"/>
            <w:shd w:val="clear" w:color="auto" w:fill="auto"/>
            <w:noWrap/>
            <w:vAlign w:val="center"/>
            <w:hideMark/>
          </w:tcPr>
          <w:p w14:paraId="22C203A1"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Maranhão</w:t>
            </w:r>
          </w:p>
        </w:tc>
        <w:tc>
          <w:tcPr>
            <w:tcW w:w="982" w:type="pct"/>
            <w:shd w:val="clear" w:color="auto" w:fill="auto"/>
            <w:noWrap/>
            <w:vAlign w:val="center"/>
            <w:hideMark/>
          </w:tcPr>
          <w:p w14:paraId="0811F9A7"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4,70</w:t>
            </w:r>
          </w:p>
        </w:tc>
        <w:tc>
          <w:tcPr>
            <w:tcW w:w="981" w:type="pct"/>
            <w:shd w:val="clear" w:color="auto" w:fill="auto"/>
            <w:noWrap/>
            <w:vAlign w:val="center"/>
            <w:hideMark/>
          </w:tcPr>
          <w:p w14:paraId="34A33E0E"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4,77</w:t>
            </w:r>
          </w:p>
        </w:tc>
        <w:tc>
          <w:tcPr>
            <w:tcW w:w="982" w:type="pct"/>
            <w:shd w:val="clear" w:color="auto" w:fill="auto"/>
            <w:noWrap/>
            <w:vAlign w:val="center"/>
            <w:hideMark/>
          </w:tcPr>
          <w:p w14:paraId="75907660"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7,38</w:t>
            </w:r>
          </w:p>
        </w:tc>
        <w:tc>
          <w:tcPr>
            <w:tcW w:w="982" w:type="pct"/>
            <w:shd w:val="clear" w:color="auto" w:fill="auto"/>
            <w:noWrap/>
            <w:vAlign w:val="center"/>
            <w:hideMark/>
          </w:tcPr>
          <w:p w14:paraId="421A322B"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6,78</w:t>
            </w:r>
          </w:p>
        </w:tc>
      </w:tr>
      <w:tr w:rsidR="0053562D" w:rsidRPr="00761270" w14:paraId="39817299" w14:textId="77777777" w:rsidTr="00FF3298">
        <w:trPr>
          <w:trHeight w:val="284"/>
          <w:jc w:val="center"/>
        </w:trPr>
        <w:tc>
          <w:tcPr>
            <w:tcW w:w="1072" w:type="pct"/>
            <w:shd w:val="clear" w:color="auto" w:fill="auto"/>
            <w:noWrap/>
            <w:vAlign w:val="center"/>
            <w:hideMark/>
          </w:tcPr>
          <w:p w14:paraId="57AD1955"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Minas Gerais</w:t>
            </w:r>
          </w:p>
        </w:tc>
        <w:tc>
          <w:tcPr>
            <w:tcW w:w="982" w:type="pct"/>
            <w:shd w:val="clear" w:color="auto" w:fill="auto"/>
            <w:noWrap/>
            <w:vAlign w:val="center"/>
            <w:hideMark/>
          </w:tcPr>
          <w:p w14:paraId="26B1C8A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12,92</w:t>
            </w:r>
          </w:p>
        </w:tc>
        <w:tc>
          <w:tcPr>
            <w:tcW w:w="981" w:type="pct"/>
            <w:shd w:val="clear" w:color="auto" w:fill="auto"/>
            <w:noWrap/>
            <w:vAlign w:val="center"/>
            <w:hideMark/>
          </w:tcPr>
          <w:p w14:paraId="0D6B289A"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11,00</w:t>
            </w:r>
          </w:p>
        </w:tc>
        <w:tc>
          <w:tcPr>
            <w:tcW w:w="982" w:type="pct"/>
            <w:shd w:val="clear" w:color="auto" w:fill="auto"/>
            <w:noWrap/>
            <w:vAlign w:val="center"/>
            <w:hideMark/>
          </w:tcPr>
          <w:p w14:paraId="63015A6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16,16</w:t>
            </w:r>
          </w:p>
        </w:tc>
        <w:tc>
          <w:tcPr>
            <w:tcW w:w="982" w:type="pct"/>
            <w:shd w:val="clear" w:color="auto" w:fill="auto"/>
            <w:noWrap/>
            <w:vAlign w:val="center"/>
            <w:hideMark/>
          </w:tcPr>
          <w:p w14:paraId="45F740E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15,36</w:t>
            </w:r>
          </w:p>
        </w:tc>
      </w:tr>
      <w:tr w:rsidR="0053562D" w:rsidRPr="00761270" w14:paraId="7AC4CBA0" w14:textId="77777777" w:rsidTr="00FF3298">
        <w:trPr>
          <w:trHeight w:val="284"/>
          <w:jc w:val="center"/>
        </w:trPr>
        <w:tc>
          <w:tcPr>
            <w:tcW w:w="1072" w:type="pct"/>
            <w:shd w:val="clear" w:color="auto" w:fill="auto"/>
            <w:noWrap/>
            <w:vAlign w:val="center"/>
            <w:hideMark/>
          </w:tcPr>
          <w:p w14:paraId="36163684"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Mato Grosso do Sul</w:t>
            </w:r>
          </w:p>
        </w:tc>
        <w:tc>
          <w:tcPr>
            <w:tcW w:w="982" w:type="pct"/>
            <w:shd w:val="clear" w:color="auto" w:fill="auto"/>
            <w:noWrap/>
            <w:vAlign w:val="center"/>
            <w:hideMark/>
          </w:tcPr>
          <w:p w14:paraId="0D36451E"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10,76</w:t>
            </w:r>
          </w:p>
        </w:tc>
        <w:tc>
          <w:tcPr>
            <w:tcW w:w="981" w:type="pct"/>
            <w:shd w:val="clear" w:color="auto" w:fill="auto"/>
            <w:noWrap/>
            <w:vAlign w:val="center"/>
            <w:hideMark/>
          </w:tcPr>
          <w:p w14:paraId="7606373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12,97</w:t>
            </w:r>
          </w:p>
        </w:tc>
        <w:tc>
          <w:tcPr>
            <w:tcW w:w="982" w:type="pct"/>
            <w:shd w:val="clear" w:color="auto" w:fill="auto"/>
            <w:noWrap/>
            <w:vAlign w:val="center"/>
            <w:hideMark/>
          </w:tcPr>
          <w:p w14:paraId="6781E07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19,82</w:t>
            </w:r>
          </w:p>
        </w:tc>
        <w:tc>
          <w:tcPr>
            <w:tcW w:w="982" w:type="pct"/>
            <w:shd w:val="clear" w:color="auto" w:fill="auto"/>
            <w:noWrap/>
            <w:vAlign w:val="center"/>
            <w:hideMark/>
          </w:tcPr>
          <w:p w14:paraId="7C8E50F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19,54</w:t>
            </w:r>
          </w:p>
        </w:tc>
      </w:tr>
      <w:tr w:rsidR="0053562D" w:rsidRPr="00761270" w14:paraId="3DF082FF" w14:textId="77777777" w:rsidTr="00FF3298">
        <w:trPr>
          <w:trHeight w:val="284"/>
          <w:jc w:val="center"/>
        </w:trPr>
        <w:tc>
          <w:tcPr>
            <w:tcW w:w="1072" w:type="pct"/>
            <w:shd w:val="clear" w:color="auto" w:fill="auto"/>
            <w:noWrap/>
            <w:vAlign w:val="center"/>
            <w:hideMark/>
          </w:tcPr>
          <w:p w14:paraId="6AC4A671"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Mato Grosso</w:t>
            </w:r>
          </w:p>
        </w:tc>
        <w:tc>
          <w:tcPr>
            <w:tcW w:w="982" w:type="pct"/>
            <w:shd w:val="clear" w:color="auto" w:fill="auto"/>
            <w:noWrap/>
            <w:vAlign w:val="center"/>
            <w:hideMark/>
          </w:tcPr>
          <w:p w14:paraId="15323DDB"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8,36</w:t>
            </w:r>
          </w:p>
        </w:tc>
        <w:tc>
          <w:tcPr>
            <w:tcW w:w="981" w:type="pct"/>
            <w:shd w:val="clear" w:color="auto" w:fill="auto"/>
            <w:noWrap/>
            <w:vAlign w:val="center"/>
            <w:hideMark/>
          </w:tcPr>
          <w:p w14:paraId="437BB753"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12,19</w:t>
            </w:r>
          </w:p>
        </w:tc>
        <w:tc>
          <w:tcPr>
            <w:tcW w:w="982" w:type="pct"/>
            <w:shd w:val="clear" w:color="auto" w:fill="auto"/>
            <w:noWrap/>
            <w:vAlign w:val="center"/>
            <w:hideMark/>
          </w:tcPr>
          <w:p w14:paraId="7C34D0E7"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20,78</w:t>
            </w:r>
          </w:p>
        </w:tc>
        <w:tc>
          <w:tcPr>
            <w:tcW w:w="982" w:type="pct"/>
            <w:shd w:val="clear" w:color="auto" w:fill="auto"/>
            <w:noWrap/>
            <w:vAlign w:val="center"/>
            <w:hideMark/>
          </w:tcPr>
          <w:p w14:paraId="113F2163"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20,68</w:t>
            </w:r>
          </w:p>
        </w:tc>
      </w:tr>
      <w:tr w:rsidR="0053562D" w:rsidRPr="00761270" w14:paraId="6C89520B" w14:textId="77777777" w:rsidTr="00FF3298">
        <w:trPr>
          <w:trHeight w:val="284"/>
          <w:jc w:val="center"/>
        </w:trPr>
        <w:tc>
          <w:tcPr>
            <w:tcW w:w="1072" w:type="pct"/>
            <w:shd w:val="clear" w:color="auto" w:fill="auto"/>
            <w:noWrap/>
            <w:vAlign w:val="center"/>
            <w:hideMark/>
          </w:tcPr>
          <w:p w14:paraId="4EDE34AC"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Pará</w:t>
            </w:r>
          </w:p>
        </w:tc>
        <w:tc>
          <w:tcPr>
            <w:tcW w:w="982" w:type="pct"/>
            <w:shd w:val="clear" w:color="auto" w:fill="auto"/>
            <w:noWrap/>
            <w:vAlign w:val="center"/>
            <w:hideMark/>
          </w:tcPr>
          <w:p w14:paraId="3D9781A0"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8,30</w:t>
            </w:r>
          </w:p>
        </w:tc>
        <w:tc>
          <w:tcPr>
            <w:tcW w:w="981" w:type="pct"/>
            <w:shd w:val="clear" w:color="auto" w:fill="auto"/>
            <w:noWrap/>
            <w:vAlign w:val="center"/>
            <w:hideMark/>
          </w:tcPr>
          <w:p w14:paraId="7854BA7A"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7,04</w:t>
            </w:r>
          </w:p>
        </w:tc>
        <w:tc>
          <w:tcPr>
            <w:tcW w:w="982" w:type="pct"/>
            <w:shd w:val="clear" w:color="auto" w:fill="auto"/>
            <w:noWrap/>
            <w:vAlign w:val="center"/>
            <w:hideMark/>
          </w:tcPr>
          <w:p w14:paraId="6582D4FA"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10,32</w:t>
            </w:r>
          </w:p>
        </w:tc>
        <w:tc>
          <w:tcPr>
            <w:tcW w:w="982" w:type="pct"/>
            <w:shd w:val="clear" w:color="auto" w:fill="auto"/>
            <w:noWrap/>
            <w:vAlign w:val="center"/>
            <w:hideMark/>
          </w:tcPr>
          <w:p w14:paraId="673161F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10,73</w:t>
            </w:r>
          </w:p>
        </w:tc>
      </w:tr>
      <w:tr w:rsidR="0053562D" w:rsidRPr="00761270" w14:paraId="2A6FAA28" w14:textId="77777777" w:rsidTr="00FF3298">
        <w:trPr>
          <w:trHeight w:val="284"/>
          <w:jc w:val="center"/>
        </w:trPr>
        <w:tc>
          <w:tcPr>
            <w:tcW w:w="1072" w:type="pct"/>
            <w:shd w:val="clear" w:color="auto" w:fill="auto"/>
            <w:noWrap/>
            <w:vAlign w:val="center"/>
            <w:hideMark/>
          </w:tcPr>
          <w:p w14:paraId="6B1D6B1A"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Paraíba</w:t>
            </w:r>
          </w:p>
        </w:tc>
        <w:tc>
          <w:tcPr>
            <w:tcW w:w="982" w:type="pct"/>
            <w:shd w:val="clear" w:color="auto" w:fill="auto"/>
            <w:noWrap/>
            <w:vAlign w:val="center"/>
            <w:hideMark/>
          </w:tcPr>
          <w:p w14:paraId="62A2AF1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5,04</w:t>
            </w:r>
          </w:p>
        </w:tc>
        <w:tc>
          <w:tcPr>
            <w:tcW w:w="981" w:type="pct"/>
            <w:shd w:val="clear" w:color="auto" w:fill="auto"/>
            <w:noWrap/>
            <w:vAlign w:val="center"/>
            <w:hideMark/>
          </w:tcPr>
          <w:p w14:paraId="16230B4D"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6,19</w:t>
            </w:r>
          </w:p>
        </w:tc>
        <w:tc>
          <w:tcPr>
            <w:tcW w:w="982" w:type="pct"/>
            <w:shd w:val="clear" w:color="auto" w:fill="auto"/>
            <w:noWrap/>
            <w:vAlign w:val="center"/>
            <w:hideMark/>
          </w:tcPr>
          <w:p w14:paraId="5975409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8,79</w:t>
            </w:r>
          </w:p>
        </w:tc>
        <w:tc>
          <w:tcPr>
            <w:tcW w:w="982" w:type="pct"/>
            <w:shd w:val="clear" w:color="auto" w:fill="auto"/>
            <w:noWrap/>
            <w:vAlign w:val="center"/>
            <w:hideMark/>
          </w:tcPr>
          <w:p w14:paraId="023AF257"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8,54</w:t>
            </w:r>
          </w:p>
        </w:tc>
      </w:tr>
      <w:tr w:rsidR="0053562D" w:rsidRPr="00761270" w14:paraId="3B9975E9" w14:textId="77777777" w:rsidTr="00FF3298">
        <w:trPr>
          <w:trHeight w:val="284"/>
          <w:jc w:val="center"/>
        </w:trPr>
        <w:tc>
          <w:tcPr>
            <w:tcW w:w="1072" w:type="pct"/>
            <w:shd w:val="clear" w:color="auto" w:fill="auto"/>
            <w:noWrap/>
            <w:vAlign w:val="center"/>
            <w:hideMark/>
          </w:tcPr>
          <w:p w14:paraId="18DF7D01"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Pernambuco</w:t>
            </w:r>
          </w:p>
        </w:tc>
        <w:tc>
          <w:tcPr>
            <w:tcW w:w="982" w:type="pct"/>
            <w:shd w:val="clear" w:color="auto" w:fill="auto"/>
            <w:noWrap/>
            <w:vAlign w:val="center"/>
            <w:hideMark/>
          </w:tcPr>
          <w:p w14:paraId="50CB49E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6,27</w:t>
            </w:r>
          </w:p>
        </w:tc>
        <w:tc>
          <w:tcPr>
            <w:tcW w:w="981" w:type="pct"/>
            <w:shd w:val="clear" w:color="auto" w:fill="auto"/>
            <w:noWrap/>
            <w:vAlign w:val="center"/>
            <w:hideMark/>
          </w:tcPr>
          <w:p w14:paraId="21DE379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7,32</w:t>
            </w:r>
          </w:p>
        </w:tc>
        <w:tc>
          <w:tcPr>
            <w:tcW w:w="982" w:type="pct"/>
            <w:shd w:val="clear" w:color="auto" w:fill="auto"/>
            <w:noWrap/>
            <w:vAlign w:val="center"/>
            <w:hideMark/>
          </w:tcPr>
          <w:p w14:paraId="6508A467"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10,60</w:t>
            </w:r>
          </w:p>
        </w:tc>
        <w:tc>
          <w:tcPr>
            <w:tcW w:w="982" w:type="pct"/>
            <w:shd w:val="clear" w:color="auto" w:fill="auto"/>
            <w:noWrap/>
            <w:vAlign w:val="center"/>
            <w:hideMark/>
          </w:tcPr>
          <w:p w14:paraId="1797F4DD"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10,06</w:t>
            </w:r>
          </w:p>
        </w:tc>
      </w:tr>
      <w:tr w:rsidR="0053562D" w:rsidRPr="00761270" w14:paraId="12834C88" w14:textId="77777777" w:rsidTr="00FF3298">
        <w:trPr>
          <w:trHeight w:val="284"/>
          <w:jc w:val="center"/>
        </w:trPr>
        <w:tc>
          <w:tcPr>
            <w:tcW w:w="1072" w:type="pct"/>
            <w:shd w:val="clear" w:color="auto" w:fill="auto"/>
            <w:noWrap/>
            <w:vAlign w:val="center"/>
            <w:hideMark/>
          </w:tcPr>
          <w:p w14:paraId="094D4B42"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Piauí</w:t>
            </w:r>
          </w:p>
        </w:tc>
        <w:tc>
          <w:tcPr>
            <w:tcW w:w="982" w:type="pct"/>
            <w:shd w:val="clear" w:color="auto" w:fill="auto"/>
            <w:noWrap/>
            <w:vAlign w:val="center"/>
            <w:hideMark/>
          </w:tcPr>
          <w:p w14:paraId="754CCDC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4,18</w:t>
            </w:r>
          </w:p>
        </w:tc>
        <w:tc>
          <w:tcPr>
            <w:tcW w:w="981" w:type="pct"/>
            <w:shd w:val="clear" w:color="auto" w:fill="auto"/>
            <w:noWrap/>
            <w:vAlign w:val="center"/>
            <w:hideMark/>
          </w:tcPr>
          <w:p w14:paraId="1E7E80D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4,13</w:t>
            </w:r>
          </w:p>
        </w:tc>
        <w:tc>
          <w:tcPr>
            <w:tcW w:w="982" w:type="pct"/>
            <w:shd w:val="clear" w:color="auto" w:fill="auto"/>
            <w:noWrap/>
            <w:vAlign w:val="center"/>
            <w:hideMark/>
          </w:tcPr>
          <w:p w14:paraId="762096C8"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7,87</w:t>
            </w:r>
          </w:p>
        </w:tc>
        <w:tc>
          <w:tcPr>
            <w:tcW w:w="982" w:type="pct"/>
            <w:shd w:val="clear" w:color="auto" w:fill="auto"/>
            <w:noWrap/>
            <w:vAlign w:val="center"/>
            <w:hideMark/>
          </w:tcPr>
          <w:p w14:paraId="5B45741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8,21</w:t>
            </w:r>
          </w:p>
        </w:tc>
      </w:tr>
      <w:tr w:rsidR="0053562D" w:rsidRPr="00761270" w14:paraId="0D36539C" w14:textId="77777777" w:rsidTr="00FF3298">
        <w:trPr>
          <w:trHeight w:val="284"/>
          <w:jc w:val="center"/>
        </w:trPr>
        <w:tc>
          <w:tcPr>
            <w:tcW w:w="1072" w:type="pct"/>
            <w:shd w:val="clear" w:color="auto" w:fill="auto"/>
            <w:noWrap/>
            <w:vAlign w:val="center"/>
            <w:hideMark/>
          </w:tcPr>
          <w:p w14:paraId="521BBD65"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Paraná</w:t>
            </w:r>
          </w:p>
        </w:tc>
        <w:tc>
          <w:tcPr>
            <w:tcW w:w="982" w:type="pct"/>
            <w:shd w:val="clear" w:color="auto" w:fill="auto"/>
            <w:noWrap/>
            <w:vAlign w:val="center"/>
            <w:hideMark/>
          </w:tcPr>
          <w:p w14:paraId="0D3DAA2E"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13,11</w:t>
            </w:r>
          </w:p>
        </w:tc>
        <w:tc>
          <w:tcPr>
            <w:tcW w:w="981" w:type="pct"/>
            <w:shd w:val="clear" w:color="auto" w:fill="auto"/>
            <w:noWrap/>
            <w:vAlign w:val="center"/>
            <w:hideMark/>
          </w:tcPr>
          <w:p w14:paraId="11B65C10"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14,80</w:t>
            </w:r>
          </w:p>
        </w:tc>
        <w:tc>
          <w:tcPr>
            <w:tcW w:w="982" w:type="pct"/>
            <w:shd w:val="clear" w:color="auto" w:fill="auto"/>
            <w:noWrap/>
            <w:vAlign w:val="center"/>
            <w:hideMark/>
          </w:tcPr>
          <w:p w14:paraId="1BF691E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20,04</w:t>
            </w:r>
          </w:p>
        </w:tc>
        <w:tc>
          <w:tcPr>
            <w:tcW w:w="982" w:type="pct"/>
            <w:shd w:val="clear" w:color="auto" w:fill="auto"/>
            <w:noWrap/>
            <w:vAlign w:val="center"/>
            <w:hideMark/>
          </w:tcPr>
          <w:p w14:paraId="5D4723D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20,19</w:t>
            </w:r>
          </w:p>
        </w:tc>
      </w:tr>
      <w:tr w:rsidR="0053562D" w:rsidRPr="00761270" w14:paraId="51882633" w14:textId="77777777" w:rsidTr="00FF3298">
        <w:trPr>
          <w:trHeight w:val="284"/>
          <w:jc w:val="center"/>
        </w:trPr>
        <w:tc>
          <w:tcPr>
            <w:tcW w:w="1072" w:type="pct"/>
            <w:shd w:val="clear" w:color="auto" w:fill="auto"/>
            <w:noWrap/>
            <w:vAlign w:val="center"/>
            <w:hideMark/>
          </w:tcPr>
          <w:p w14:paraId="7832481B"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Rio de Janeiro</w:t>
            </w:r>
          </w:p>
        </w:tc>
        <w:tc>
          <w:tcPr>
            <w:tcW w:w="982" w:type="pct"/>
            <w:shd w:val="clear" w:color="auto" w:fill="auto"/>
            <w:noWrap/>
            <w:vAlign w:val="center"/>
            <w:hideMark/>
          </w:tcPr>
          <w:p w14:paraId="3C053C1B"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22,80</w:t>
            </w:r>
          </w:p>
        </w:tc>
        <w:tc>
          <w:tcPr>
            <w:tcW w:w="981" w:type="pct"/>
            <w:shd w:val="clear" w:color="auto" w:fill="auto"/>
            <w:noWrap/>
            <w:vAlign w:val="center"/>
            <w:hideMark/>
          </w:tcPr>
          <w:p w14:paraId="2FDF9AD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20,38</w:t>
            </w:r>
          </w:p>
        </w:tc>
        <w:tc>
          <w:tcPr>
            <w:tcW w:w="982" w:type="pct"/>
            <w:shd w:val="clear" w:color="auto" w:fill="auto"/>
            <w:noWrap/>
            <w:vAlign w:val="center"/>
            <w:hideMark/>
          </w:tcPr>
          <w:p w14:paraId="3045264B"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25,96</w:t>
            </w:r>
          </w:p>
        </w:tc>
        <w:tc>
          <w:tcPr>
            <w:tcW w:w="982" w:type="pct"/>
            <w:shd w:val="clear" w:color="auto" w:fill="auto"/>
            <w:noWrap/>
            <w:vAlign w:val="center"/>
            <w:hideMark/>
          </w:tcPr>
          <w:p w14:paraId="67DAD77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21,79</w:t>
            </w:r>
          </w:p>
        </w:tc>
      </w:tr>
      <w:tr w:rsidR="0053562D" w:rsidRPr="00761270" w14:paraId="260A729D" w14:textId="77777777" w:rsidTr="00FF3298">
        <w:trPr>
          <w:trHeight w:val="284"/>
          <w:jc w:val="center"/>
        </w:trPr>
        <w:tc>
          <w:tcPr>
            <w:tcW w:w="1072" w:type="pct"/>
            <w:shd w:val="clear" w:color="auto" w:fill="auto"/>
            <w:noWrap/>
            <w:vAlign w:val="center"/>
            <w:hideMark/>
          </w:tcPr>
          <w:p w14:paraId="6F2E610B"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Rio Grande do Norte</w:t>
            </w:r>
          </w:p>
        </w:tc>
        <w:tc>
          <w:tcPr>
            <w:tcW w:w="982" w:type="pct"/>
            <w:shd w:val="clear" w:color="auto" w:fill="auto"/>
            <w:noWrap/>
            <w:vAlign w:val="center"/>
            <w:hideMark/>
          </w:tcPr>
          <w:p w14:paraId="614DE020"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5,15</w:t>
            </w:r>
          </w:p>
        </w:tc>
        <w:tc>
          <w:tcPr>
            <w:tcW w:w="981" w:type="pct"/>
            <w:shd w:val="clear" w:color="auto" w:fill="auto"/>
            <w:noWrap/>
            <w:vAlign w:val="center"/>
            <w:hideMark/>
          </w:tcPr>
          <w:p w14:paraId="039C12A8"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8,05</w:t>
            </w:r>
          </w:p>
        </w:tc>
        <w:tc>
          <w:tcPr>
            <w:tcW w:w="982" w:type="pct"/>
            <w:shd w:val="clear" w:color="auto" w:fill="auto"/>
            <w:noWrap/>
            <w:vAlign w:val="center"/>
            <w:hideMark/>
          </w:tcPr>
          <w:p w14:paraId="1584612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10,44</w:t>
            </w:r>
          </w:p>
        </w:tc>
        <w:tc>
          <w:tcPr>
            <w:tcW w:w="982" w:type="pct"/>
            <w:shd w:val="clear" w:color="auto" w:fill="auto"/>
            <w:noWrap/>
            <w:vAlign w:val="center"/>
            <w:hideMark/>
          </w:tcPr>
          <w:p w14:paraId="128F7F1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10,36</w:t>
            </w:r>
          </w:p>
        </w:tc>
      </w:tr>
      <w:tr w:rsidR="0053562D" w:rsidRPr="00761270" w14:paraId="04E445C1" w14:textId="77777777" w:rsidTr="00FF3298">
        <w:trPr>
          <w:trHeight w:val="284"/>
          <w:jc w:val="center"/>
        </w:trPr>
        <w:tc>
          <w:tcPr>
            <w:tcW w:w="1072" w:type="pct"/>
            <w:shd w:val="clear" w:color="auto" w:fill="auto"/>
            <w:noWrap/>
            <w:vAlign w:val="center"/>
            <w:hideMark/>
          </w:tcPr>
          <w:p w14:paraId="79DBB6CA"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Rondônia</w:t>
            </w:r>
          </w:p>
        </w:tc>
        <w:tc>
          <w:tcPr>
            <w:tcW w:w="982" w:type="pct"/>
            <w:shd w:val="clear" w:color="auto" w:fill="auto"/>
            <w:noWrap/>
            <w:vAlign w:val="center"/>
            <w:hideMark/>
          </w:tcPr>
          <w:p w14:paraId="7D0067B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8,20</w:t>
            </w:r>
          </w:p>
        </w:tc>
        <w:tc>
          <w:tcPr>
            <w:tcW w:w="981" w:type="pct"/>
            <w:shd w:val="clear" w:color="auto" w:fill="auto"/>
            <w:noWrap/>
            <w:vAlign w:val="center"/>
            <w:hideMark/>
          </w:tcPr>
          <w:p w14:paraId="13975C3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8,79</w:t>
            </w:r>
          </w:p>
        </w:tc>
        <w:tc>
          <w:tcPr>
            <w:tcW w:w="982" w:type="pct"/>
            <w:shd w:val="clear" w:color="auto" w:fill="auto"/>
            <w:noWrap/>
            <w:vAlign w:val="center"/>
            <w:hideMark/>
          </w:tcPr>
          <w:p w14:paraId="30B8FB7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12,82</w:t>
            </w:r>
          </w:p>
        </w:tc>
        <w:tc>
          <w:tcPr>
            <w:tcW w:w="982" w:type="pct"/>
            <w:shd w:val="clear" w:color="auto" w:fill="auto"/>
            <w:noWrap/>
            <w:vAlign w:val="center"/>
            <w:hideMark/>
          </w:tcPr>
          <w:p w14:paraId="43934C5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13,46</w:t>
            </w:r>
          </w:p>
        </w:tc>
      </w:tr>
      <w:tr w:rsidR="0053562D" w:rsidRPr="00761270" w14:paraId="040CF762" w14:textId="77777777" w:rsidTr="00FF3298">
        <w:trPr>
          <w:trHeight w:val="284"/>
          <w:jc w:val="center"/>
        </w:trPr>
        <w:tc>
          <w:tcPr>
            <w:tcW w:w="1072" w:type="pct"/>
            <w:shd w:val="clear" w:color="auto" w:fill="auto"/>
            <w:noWrap/>
            <w:vAlign w:val="center"/>
            <w:hideMark/>
          </w:tcPr>
          <w:p w14:paraId="4454ADAB"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Roraima</w:t>
            </w:r>
          </w:p>
        </w:tc>
        <w:tc>
          <w:tcPr>
            <w:tcW w:w="982" w:type="pct"/>
            <w:shd w:val="clear" w:color="auto" w:fill="auto"/>
            <w:noWrap/>
            <w:vAlign w:val="center"/>
            <w:hideMark/>
          </w:tcPr>
          <w:p w14:paraId="7F974791"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11,44</w:t>
            </w:r>
          </w:p>
        </w:tc>
        <w:tc>
          <w:tcPr>
            <w:tcW w:w="981" w:type="pct"/>
            <w:shd w:val="clear" w:color="auto" w:fill="auto"/>
            <w:noWrap/>
            <w:vAlign w:val="center"/>
            <w:hideMark/>
          </w:tcPr>
          <w:p w14:paraId="69A18CB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12,15</w:t>
            </w:r>
          </w:p>
        </w:tc>
        <w:tc>
          <w:tcPr>
            <w:tcW w:w="982" w:type="pct"/>
            <w:shd w:val="clear" w:color="auto" w:fill="auto"/>
            <w:noWrap/>
            <w:vAlign w:val="center"/>
            <w:hideMark/>
          </w:tcPr>
          <w:p w14:paraId="759F6ECA"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13,35</w:t>
            </w:r>
          </w:p>
        </w:tc>
        <w:tc>
          <w:tcPr>
            <w:tcW w:w="982" w:type="pct"/>
            <w:shd w:val="clear" w:color="auto" w:fill="auto"/>
            <w:noWrap/>
            <w:vAlign w:val="center"/>
            <w:hideMark/>
          </w:tcPr>
          <w:p w14:paraId="006A2B5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12,21</w:t>
            </w:r>
          </w:p>
        </w:tc>
      </w:tr>
      <w:tr w:rsidR="0053562D" w:rsidRPr="00761270" w14:paraId="3345CFF8" w14:textId="77777777" w:rsidTr="00FF3298">
        <w:trPr>
          <w:trHeight w:val="284"/>
          <w:jc w:val="center"/>
        </w:trPr>
        <w:tc>
          <w:tcPr>
            <w:tcW w:w="1072" w:type="pct"/>
            <w:shd w:val="clear" w:color="auto" w:fill="auto"/>
            <w:noWrap/>
            <w:vAlign w:val="center"/>
            <w:hideMark/>
          </w:tcPr>
          <w:p w14:paraId="007B111F"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Rio Grande do Sul</w:t>
            </w:r>
          </w:p>
        </w:tc>
        <w:tc>
          <w:tcPr>
            <w:tcW w:w="982" w:type="pct"/>
            <w:shd w:val="clear" w:color="auto" w:fill="auto"/>
            <w:noWrap/>
            <w:vAlign w:val="center"/>
            <w:hideMark/>
          </w:tcPr>
          <w:p w14:paraId="0C4C78D0"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13,91</w:t>
            </w:r>
          </w:p>
        </w:tc>
        <w:tc>
          <w:tcPr>
            <w:tcW w:w="981" w:type="pct"/>
            <w:shd w:val="clear" w:color="auto" w:fill="auto"/>
            <w:noWrap/>
            <w:vAlign w:val="center"/>
            <w:hideMark/>
          </w:tcPr>
          <w:p w14:paraId="6CC36DA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15,42</w:t>
            </w:r>
          </w:p>
        </w:tc>
        <w:tc>
          <w:tcPr>
            <w:tcW w:w="982" w:type="pct"/>
            <w:shd w:val="clear" w:color="auto" w:fill="auto"/>
            <w:noWrap/>
            <w:vAlign w:val="center"/>
            <w:hideMark/>
          </w:tcPr>
          <w:p w14:paraId="20526203"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20,40</w:t>
            </w:r>
          </w:p>
        </w:tc>
        <w:tc>
          <w:tcPr>
            <w:tcW w:w="982" w:type="pct"/>
            <w:shd w:val="clear" w:color="auto" w:fill="auto"/>
            <w:noWrap/>
            <w:vAlign w:val="center"/>
            <w:hideMark/>
          </w:tcPr>
          <w:p w14:paraId="1386BE78"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21,02</w:t>
            </w:r>
          </w:p>
        </w:tc>
      </w:tr>
      <w:tr w:rsidR="0053562D" w:rsidRPr="00761270" w14:paraId="5533E575" w14:textId="77777777" w:rsidTr="00FF3298">
        <w:trPr>
          <w:trHeight w:val="284"/>
          <w:jc w:val="center"/>
        </w:trPr>
        <w:tc>
          <w:tcPr>
            <w:tcW w:w="1072" w:type="pct"/>
            <w:shd w:val="clear" w:color="auto" w:fill="auto"/>
            <w:noWrap/>
            <w:vAlign w:val="center"/>
            <w:hideMark/>
          </w:tcPr>
          <w:p w14:paraId="184836C9"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Santa Catarina</w:t>
            </w:r>
          </w:p>
        </w:tc>
        <w:tc>
          <w:tcPr>
            <w:tcW w:w="982" w:type="pct"/>
            <w:shd w:val="clear" w:color="auto" w:fill="auto"/>
            <w:noWrap/>
            <w:vAlign w:val="center"/>
            <w:hideMark/>
          </w:tcPr>
          <w:p w14:paraId="256A80C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18,04</w:t>
            </w:r>
          </w:p>
        </w:tc>
        <w:tc>
          <w:tcPr>
            <w:tcW w:w="981" w:type="pct"/>
            <w:shd w:val="clear" w:color="auto" w:fill="auto"/>
            <w:noWrap/>
            <w:vAlign w:val="center"/>
            <w:hideMark/>
          </w:tcPr>
          <w:p w14:paraId="01DA4DC0"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16,27</w:t>
            </w:r>
          </w:p>
        </w:tc>
        <w:tc>
          <w:tcPr>
            <w:tcW w:w="982" w:type="pct"/>
            <w:shd w:val="clear" w:color="auto" w:fill="auto"/>
            <w:noWrap/>
            <w:vAlign w:val="center"/>
            <w:hideMark/>
          </w:tcPr>
          <w:p w14:paraId="2EE565DD"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22,46</w:t>
            </w:r>
          </w:p>
        </w:tc>
        <w:tc>
          <w:tcPr>
            <w:tcW w:w="982" w:type="pct"/>
            <w:shd w:val="clear" w:color="auto" w:fill="auto"/>
            <w:noWrap/>
            <w:vAlign w:val="center"/>
            <w:hideMark/>
          </w:tcPr>
          <w:p w14:paraId="3181A216"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21,34</w:t>
            </w:r>
          </w:p>
        </w:tc>
      </w:tr>
      <w:tr w:rsidR="0053562D" w:rsidRPr="00761270" w14:paraId="26E7BD8D" w14:textId="77777777" w:rsidTr="00FF3298">
        <w:trPr>
          <w:trHeight w:val="284"/>
          <w:jc w:val="center"/>
        </w:trPr>
        <w:tc>
          <w:tcPr>
            <w:tcW w:w="1072" w:type="pct"/>
            <w:shd w:val="clear" w:color="auto" w:fill="auto"/>
            <w:noWrap/>
            <w:vAlign w:val="center"/>
            <w:hideMark/>
          </w:tcPr>
          <w:p w14:paraId="42F68D93"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Sergipe</w:t>
            </w:r>
          </w:p>
        </w:tc>
        <w:tc>
          <w:tcPr>
            <w:tcW w:w="982" w:type="pct"/>
            <w:shd w:val="clear" w:color="auto" w:fill="auto"/>
            <w:noWrap/>
            <w:vAlign w:val="center"/>
            <w:hideMark/>
          </w:tcPr>
          <w:p w14:paraId="07A2129A"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8,53</w:t>
            </w:r>
          </w:p>
        </w:tc>
        <w:tc>
          <w:tcPr>
            <w:tcW w:w="981" w:type="pct"/>
            <w:shd w:val="clear" w:color="auto" w:fill="auto"/>
            <w:noWrap/>
            <w:vAlign w:val="center"/>
            <w:hideMark/>
          </w:tcPr>
          <w:p w14:paraId="6FB05B6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9,54</w:t>
            </w:r>
          </w:p>
        </w:tc>
        <w:tc>
          <w:tcPr>
            <w:tcW w:w="982" w:type="pct"/>
            <w:shd w:val="clear" w:color="auto" w:fill="auto"/>
            <w:noWrap/>
            <w:vAlign w:val="center"/>
            <w:hideMark/>
          </w:tcPr>
          <w:p w14:paraId="5BAEBCB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11,19</w:t>
            </w:r>
          </w:p>
        </w:tc>
        <w:tc>
          <w:tcPr>
            <w:tcW w:w="982" w:type="pct"/>
            <w:shd w:val="clear" w:color="auto" w:fill="auto"/>
            <w:noWrap/>
            <w:vAlign w:val="center"/>
            <w:hideMark/>
          </w:tcPr>
          <w:p w14:paraId="598A3A34"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9,87</w:t>
            </w:r>
          </w:p>
        </w:tc>
      </w:tr>
      <w:tr w:rsidR="0053562D" w:rsidRPr="00761270" w14:paraId="70731E8F" w14:textId="77777777" w:rsidTr="00FF3298">
        <w:trPr>
          <w:trHeight w:val="284"/>
          <w:jc w:val="center"/>
        </w:trPr>
        <w:tc>
          <w:tcPr>
            <w:tcW w:w="1072" w:type="pct"/>
            <w:shd w:val="clear" w:color="auto" w:fill="auto"/>
            <w:noWrap/>
            <w:vAlign w:val="center"/>
            <w:hideMark/>
          </w:tcPr>
          <w:p w14:paraId="235F89D7"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São Paulo</w:t>
            </w:r>
          </w:p>
        </w:tc>
        <w:tc>
          <w:tcPr>
            <w:tcW w:w="982" w:type="pct"/>
            <w:shd w:val="clear" w:color="auto" w:fill="auto"/>
            <w:noWrap/>
            <w:vAlign w:val="center"/>
            <w:hideMark/>
          </w:tcPr>
          <w:p w14:paraId="2337B8C0"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24,67</w:t>
            </w:r>
          </w:p>
        </w:tc>
        <w:tc>
          <w:tcPr>
            <w:tcW w:w="981" w:type="pct"/>
            <w:shd w:val="clear" w:color="auto" w:fill="auto"/>
            <w:noWrap/>
            <w:vAlign w:val="center"/>
            <w:hideMark/>
          </w:tcPr>
          <w:p w14:paraId="2BB767B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21,44</w:t>
            </w:r>
          </w:p>
        </w:tc>
        <w:tc>
          <w:tcPr>
            <w:tcW w:w="982" w:type="pct"/>
            <w:shd w:val="clear" w:color="auto" w:fill="auto"/>
            <w:noWrap/>
            <w:vAlign w:val="center"/>
            <w:hideMark/>
          </w:tcPr>
          <w:p w14:paraId="361248F2"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26,01</w:t>
            </w:r>
          </w:p>
        </w:tc>
        <w:tc>
          <w:tcPr>
            <w:tcW w:w="982" w:type="pct"/>
            <w:shd w:val="clear" w:color="auto" w:fill="auto"/>
            <w:noWrap/>
            <w:vAlign w:val="center"/>
            <w:hideMark/>
          </w:tcPr>
          <w:p w14:paraId="76853C9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24,48</w:t>
            </w:r>
          </w:p>
        </w:tc>
      </w:tr>
      <w:tr w:rsidR="0053562D" w:rsidRPr="00761270" w14:paraId="3E0DE3FD" w14:textId="77777777" w:rsidTr="00FF3298">
        <w:trPr>
          <w:trHeight w:val="284"/>
          <w:jc w:val="center"/>
        </w:trPr>
        <w:tc>
          <w:tcPr>
            <w:tcW w:w="1072" w:type="pct"/>
            <w:tcBorders>
              <w:bottom w:val="double" w:sz="4" w:space="0" w:color="auto"/>
            </w:tcBorders>
            <w:shd w:val="clear" w:color="auto" w:fill="auto"/>
            <w:noWrap/>
            <w:vAlign w:val="center"/>
            <w:hideMark/>
          </w:tcPr>
          <w:p w14:paraId="0B6857C0" w14:textId="77777777" w:rsidR="0053562D" w:rsidRPr="00761270" w:rsidRDefault="0053562D" w:rsidP="00FD5FA2">
            <w:pPr>
              <w:spacing w:after="0" w:line="240" w:lineRule="auto"/>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Tocantins</w:t>
            </w:r>
          </w:p>
        </w:tc>
        <w:tc>
          <w:tcPr>
            <w:tcW w:w="982" w:type="pct"/>
            <w:tcBorders>
              <w:bottom w:val="double" w:sz="4" w:space="0" w:color="auto"/>
            </w:tcBorders>
            <w:shd w:val="clear" w:color="auto" w:fill="auto"/>
            <w:noWrap/>
            <w:vAlign w:val="center"/>
            <w:hideMark/>
          </w:tcPr>
          <w:p w14:paraId="3CFB27B5"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7,91</w:t>
            </w:r>
          </w:p>
        </w:tc>
        <w:tc>
          <w:tcPr>
            <w:tcW w:w="981" w:type="pct"/>
            <w:tcBorders>
              <w:bottom w:val="double" w:sz="4" w:space="0" w:color="auto"/>
            </w:tcBorders>
            <w:shd w:val="clear" w:color="auto" w:fill="auto"/>
            <w:noWrap/>
            <w:vAlign w:val="center"/>
            <w:hideMark/>
          </w:tcPr>
          <w:p w14:paraId="0A2F251F"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7,51</w:t>
            </w:r>
          </w:p>
        </w:tc>
        <w:tc>
          <w:tcPr>
            <w:tcW w:w="982" w:type="pct"/>
            <w:tcBorders>
              <w:bottom w:val="double" w:sz="4" w:space="0" w:color="auto"/>
            </w:tcBorders>
            <w:shd w:val="clear" w:color="auto" w:fill="auto"/>
            <w:noWrap/>
            <w:vAlign w:val="center"/>
            <w:hideMark/>
          </w:tcPr>
          <w:p w14:paraId="4DAFCBFC"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11,70</w:t>
            </w:r>
          </w:p>
        </w:tc>
        <w:tc>
          <w:tcPr>
            <w:tcW w:w="982" w:type="pct"/>
            <w:tcBorders>
              <w:bottom w:val="double" w:sz="4" w:space="0" w:color="auto"/>
            </w:tcBorders>
            <w:shd w:val="clear" w:color="auto" w:fill="auto"/>
            <w:noWrap/>
            <w:vAlign w:val="center"/>
            <w:hideMark/>
          </w:tcPr>
          <w:p w14:paraId="6C316573" w14:textId="77777777" w:rsidR="0053562D" w:rsidRPr="00761270" w:rsidRDefault="0053562D" w:rsidP="00FD5FA2">
            <w:pPr>
              <w:spacing w:after="0" w:line="240" w:lineRule="auto"/>
              <w:jc w:val="center"/>
              <w:rPr>
                <w:rFonts w:ascii="Times New Roman" w:eastAsia="Times New Roman" w:hAnsi="Times New Roman" w:cs="Times New Roman"/>
                <w:color w:val="000000"/>
                <w:sz w:val="20"/>
                <w:szCs w:val="20"/>
                <w:lang w:eastAsia="pt-BR"/>
              </w:rPr>
            </w:pPr>
            <w:r w:rsidRPr="00761270">
              <w:rPr>
                <w:rFonts w:ascii="Times New Roman" w:eastAsia="Times New Roman" w:hAnsi="Times New Roman" w:cs="Times New Roman"/>
                <w:color w:val="000000"/>
                <w:sz w:val="20"/>
                <w:szCs w:val="20"/>
                <w:lang w:eastAsia="pt-BR"/>
              </w:rPr>
              <w:t>12,86</w:t>
            </w:r>
          </w:p>
        </w:tc>
      </w:tr>
    </w:tbl>
    <w:p w14:paraId="35F03A73" w14:textId="77777777" w:rsidR="0053562D" w:rsidRPr="008844F2" w:rsidRDefault="0053562D" w:rsidP="0053562D">
      <w:pPr>
        <w:rPr>
          <w:rFonts w:ascii="Times New Roman" w:hAnsi="Times New Roman" w:cs="Times New Roman"/>
          <w:sz w:val="20"/>
          <w:szCs w:val="20"/>
        </w:rPr>
      </w:pPr>
      <w:r>
        <w:rPr>
          <w:rFonts w:ascii="Times New Roman" w:hAnsi="Times New Roman" w:cs="Times New Roman"/>
          <w:sz w:val="20"/>
          <w:szCs w:val="20"/>
        </w:rPr>
        <w:t>Fonte: IPEADATA. Nota: A preços de 2010.</w:t>
      </w:r>
    </w:p>
    <w:p w14:paraId="7BA283A2" w14:textId="77777777" w:rsidR="00AC0685" w:rsidRPr="00CA6A46" w:rsidRDefault="00AC0685" w:rsidP="00900914">
      <w:pPr>
        <w:spacing w:after="0" w:line="360" w:lineRule="auto"/>
        <w:jc w:val="both"/>
        <w:rPr>
          <w:rFonts w:ascii="Times New Roman" w:hAnsi="Times New Roman" w:cs="Times New Roman"/>
          <w:sz w:val="24"/>
          <w:szCs w:val="24"/>
        </w:rPr>
      </w:pPr>
    </w:p>
    <w:p w14:paraId="4EB55F90" w14:textId="77777777" w:rsidR="00C4526A" w:rsidRDefault="00C4526A" w:rsidP="00C4526A">
      <w:pPr>
        <w:pStyle w:val="Corpodetexto"/>
        <w:spacing w:after="0" w:line="360" w:lineRule="auto"/>
        <w:ind w:firstLine="709"/>
        <w:jc w:val="both"/>
        <w:rPr>
          <w:rFonts w:ascii="Times New Roman" w:eastAsiaTheme="minorEastAsia" w:hAnsi="Times New Roman" w:cs="Times New Roman"/>
          <w:sz w:val="24"/>
          <w:szCs w:val="24"/>
        </w:rPr>
      </w:pPr>
      <w:r w:rsidRPr="00CA6A46">
        <w:rPr>
          <w:rFonts w:ascii="Times New Roman" w:eastAsiaTheme="minorEastAsia" w:hAnsi="Times New Roman" w:cs="Times New Roman"/>
          <w:sz w:val="24"/>
          <w:szCs w:val="24"/>
        </w:rPr>
        <w:lastRenderedPageBreak/>
        <w:t xml:space="preserve">Foram estimados quatro testes de convergência absoluta, utilizando dados de uma série histórica de 30 anos de produto agregado </w:t>
      </w:r>
      <w:r w:rsidRPr="00CA6A46">
        <w:rPr>
          <w:rFonts w:ascii="Times New Roman" w:eastAsiaTheme="minorEastAsia" w:hAnsi="Times New Roman" w:cs="Times New Roman"/>
          <w:i/>
          <w:iCs/>
          <w:sz w:val="24"/>
          <w:szCs w:val="24"/>
        </w:rPr>
        <w:t>per capita</w:t>
      </w:r>
      <w:r w:rsidRPr="00CA6A46">
        <w:rPr>
          <w:rFonts w:ascii="Times New Roman" w:eastAsiaTheme="minorEastAsia" w:hAnsi="Times New Roman" w:cs="Times New Roman"/>
          <w:sz w:val="24"/>
          <w:szCs w:val="24"/>
        </w:rPr>
        <w:t xml:space="preserve"> das 27 unidades da Federação do Brasil. Os testes correspondem a: 1) considerando os 30 anos entre 1989 e 2019; 2) considerando o subperíodo entre 1989 a 2002; 3) considerando o subperíodo entre 2002 e 2019; 4) considerando o subperíodo entre 2002-2014. Na Tabela </w:t>
      </w:r>
      <w:r>
        <w:rPr>
          <w:rFonts w:ascii="Times New Roman" w:eastAsiaTheme="minorEastAsia" w:hAnsi="Times New Roman" w:cs="Times New Roman"/>
          <w:sz w:val="24"/>
          <w:szCs w:val="24"/>
        </w:rPr>
        <w:t>2</w:t>
      </w:r>
      <w:r w:rsidRPr="00CA6A46">
        <w:rPr>
          <w:rFonts w:ascii="Times New Roman" w:eastAsiaTheme="minorEastAsia" w:hAnsi="Times New Roman" w:cs="Times New Roman"/>
          <w:sz w:val="24"/>
          <w:szCs w:val="24"/>
        </w:rPr>
        <w:t xml:space="preserve"> estão dispostos os resultados desses testes.</w:t>
      </w:r>
    </w:p>
    <w:p w14:paraId="4368C256" w14:textId="77777777" w:rsidR="00FF3298" w:rsidRPr="00CA6A46" w:rsidRDefault="00FF3298" w:rsidP="008408EB">
      <w:pPr>
        <w:pStyle w:val="Corpodetexto"/>
        <w:spacing w:after="0" w:line="360" w:lineRule="auto"/>
        <w:ind w:firstLine="709"/>
        <w:jc w:val="both"/>
        <w:rPr>
          <w:rFonts w:ascii="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54"/>
        <w:gridCol w:w="1460"/>
        <w:gridCol w:w="108"/>
        <w:gridCol w:w="1437"/>
        <w:gridCol w:w="131"/>
        <w:gridCol w:w="1412"/>
        <w:gridCol w:w="151"/>
        <w:gridCol w:w="1818"/>
      </w:tblGrid>
      <w:tr w:rsidR="00AC0685" w:rsidRPr="00CA6A46" w14:paraId="552CD890" w14:textId="77777777" w:rsidTr="001219A2">
        <w:trPr>
          <w:trHeight w:val="284"/>
          <w:tblCellSpacing w:w="15" w:type="dxa"/>
        </w:trPr>
        <w:tc>
          <w:tcPr>
            <w:tcW w:w="4967" w:type="pct"/>
            <w:gridSpan w:val="8"/>
            <w:tcBorders>
              <w:bottom w:val="single" w:sz="6" w:space="0" w:color="000000"/>
            </w:tcBorders>
            <w:vAlign w:val="center"/>
            <w:hideMark/>
          </w:tcPr>
          <w:p w14:paraId="0598E243" w14:textId="7731D64A" w:rsidR="00AC0685" w:rsidRPr="00CA6A46" w:rsidRDefault="000241D6" w:rsidP="005679D7">
            <w:pPr>
              <w:spacing w:after="0" w:line="240" w:lineRule="auto"/>
              <w:rPr>
                <w:rFonts w:ascii="Times New Roman" w:eastAsia="Times New Roman" w:hAnsi="Times New Roman" w:cs="Times New Roman"/>
                <w:sz w:val="24"/>
                <w:szCs w:val="24"/>
                <w:lang w:eastAsia="pt-BR"/>
              </w:rPr>
            </w:pPr>
            <w:r>
              <w:rPr>
                <w:rFonts w:ascii="Times New Roman" w:hAnsi="Times New Roman" w:cs="Times New Roman"/>
                <w:sz w:val="24"/>
                <w:szCs w:val="24"/>
              </w:rPr>
              <w:t>Tabela 2</w:t>
            </w:r>
            <w:r w:rsidR="00AC0685" w:rsidRPr="00CA6A46">
              <w:rPr>
                <w:rFonts w:ascii="Times New Roman" w:hAnsi="Times New Roman" w:cs="Times New Roman"/>
                <w:sz w:val="24"/>
                <w:szCs w:val="24"/>
              </w:rPr>
              <w:t xml:space="preserve"> – Resultados das estimativas de convergência </w:t>
            </w:r>
          </w:p>
        </w:tc>
      </w:tr>
      <w:tr w:rsidR="005679D7" w:rsidRPr="00CA6A46" w14:paraId="56E6DCB5" w14:textId="77777777" w:rsidTr="00C4526A">
        <w:trPr>
          <w:trHeight w:val="284"/>
          <w:tblCellSpacing w:w="15" w:type="dxa"/>
        </w:trPr>
        <w:tc>
          <w:tcPr>
            <w:tcW w:w="1416" w:type="pct"/>
            <w:vAlign w:val="center"/>
            <w:hideMark/>
          </w:tcPr>
          <w:p w14:paraId="347CFD4E" w14:textId="77777777" w:rsidR="005679D7" w:rsidRPr="00CA6A46" w:rsidRDefault="005679D7" w:rsidP="005679D7">
            <w:pPr>
              <w:spacing w:after="0" w:line="240" w:lineRule="auto"/>
              <w:jc w:val="center"/>
              <w:rPr>
                <w:rFonts w:ascii="Times New Roman" w:eastAsia="Times New Roman" w:hAnsi="Times New Roman" w:cs="Times New Roman"/>
                <w:sz w:val="20"/>
                <w:szCs w:val="20"/>
                <w:lang w:eastAsia="pt-BR"/>
              </w:rPr>
            </w:pPr>
          </w:p>
        </w:tc>
        <w:tc>
          <w:tcPr>
            <w:tcW w:w="3534" w:type="pct"/>
            <w:gridSpan w:val="7"/>
            <w:vAlign w:val="center"/>
            <w:hideMark/>
          </w:tcPr>
          <w:p w14:paraId="3A0E6FE1" w14:textId="77777777" w:rsidR="005679D7" w:rsidRPr="00CA6A46" w:rsidRDefault="005679D7"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i/>
                <w:iCs/>
                <w:sz w:val="20"/>
                <w:szCs w:val="20"/>
                <w:lang w:eastAsia="pt-BR"/>
              </w:rPr>
              <w:t>Variáveis Dependentes</w:t>
            </w:r>
          </w:p>
        </w:tc>
      </w:tr>
      <w:tr w:rsidR="001219A2" w:rsidRPr="00CA6A46" w14:paraId="22C3BD23" w14:textId="77777777" w:rsidTr="00C4526A">
        <w:trPr>
          <w:trHeight w:val="284"/>
          <w:tblCellSpacing w:w="15" w:type="dxa"/>
        </w:trPr>
        <w:tc>
          <w:tcPr>
            <w:tcW w:w="1416" w:type="pct"/>
            <w:vAlign w:val="center"/>
            <w:hideMark/>
          </w:tcPr>
          <w:p w14:paraId="7D5421C7"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851" w:type="pct"/>
            <w:gridSpan w:val="2"/>
            <w:vAlign w:val="center"/>
            <w:hideMark/>
          </w:tcPr>
          <w:p w14:paraId="1FA0D0D9"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Crescimento 1989-2019</w:t>
            </w:r>
          </w:p>
        </w:tc>
        <w:tc>
          <w:tcPr>
            <w:tcW w:w="851" w:type="pct"/>
            <w:gridSpan w:val="2"/>
            <w:vAlign w:val="center"/>
            <w:hideMark/>
          </w:tcPr>
          <w:p w14:paraId="7778CA8D"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Crescimento 1989-2002</w:t>
            </w:r>
          </w:p>
        </w:tc>
        <w:tc>
          <w:tcPr>
            <w:tcW w:w="849" w:type="pct"/>
            <w:gridSpan w:val="2"/>
            <w:vAlign w:val="center"/>
            <w:hideMark/>
          </w:tcPr>
          <w:p w14:paraId="6FFF8C7D"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Crescimento 2002-2019</w:t>
            </w:r>
          </w:p>
        </w:tc>
        <w:tc>
          <w:tcPr>
            <w:tcW w:w="934" w:type="pct"/>
            <w:vAlign w:val="center"/>
            <w:hideMark/>
          </w:tcPr>
          <w:p w14:paraId="39BD8E9F"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 xml:space="preserve">Crescimento </w:t>
            </w:r>
          </w:p>
          <w:p w14:paraId="3815434D"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2002-2014</w:t>
            </w:r>
          </w:p>
        </w:tc>
      </w:tr>
      <w:tr w:rsidR="001219A2" w:rsidRPr="00CA6A46" w14:paraId="3C92F53D" w14:textId="77777777" w:rsidTr="00C4526A">
        <w:trPr>
          <w:trHeight w:val="284"/>
          <w:tblCellSpacing w:w="15" w:type="dxa"/>
        </w:trPr>
        <w:tc>
          <w:tcPr>
            <w:tcW w:w="1416" w:type="pct"/>
            <w:tcBorders>
              <w:bottom w:val="single" w:sz="4" w:space="0" w:color="auto"/>
            </w:tcBorders>
            <w:vAlign w:val="center"/>
            <w:hideMark/>
          </w:tcPr>
          <w:p w14:paraId="4A3BAB3A"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851" w:type="pct"/>
            <w:gridSpan w:val="2"/>
            <w:tcBorders>
              <w:bottom w:val="single" w:sz="4" w:space="0" w:color="auto"/>
            </w:tcBorders>
            <w:vAlign w:val="center"/>
            <w:hideMark/>
          </w:tcPr>
          <w:p w14:paraId="6E249CCB"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(1)</w:t>
            </w:r>
          </w:p>
        </w:tc>
        <w:tc>
          <w:tcPr>
            <w:tcW w:w="851" w:type="pct"/>
            <w:gridSpan w:val="2"/>
            <w:tcBorders>
              <w:bottom w:val="single" w:sz="4" w:space="0" w:color="auto"/>
            </w:tcBorders>
            <w:vAlign w:val="center"/>
            <w:hideMark/>
          </w:tcPr>
          <w:p w14:paraId="0DA017F4"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(2)</w:t>
            </w:r>
          </w:p>
        </w:tc>
        <w:tc>
          <w:tcPr>
            <w:tcW w:w="849" w:type="pct"/>
            <w:gridSpan w:val="2"/>
            <w:tcBorders>
              <w:bottom w:val="single" w:sz="4" w:space="0" w:color="auto"/>
            </w:tcBorders>
            <w:vAlign w:val="center"/>
            <w:hideMark/>
          </w:tcPr>
          <w:p w14:paraId="51C39706"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(3)</w:t>
            </w:r>
          </w:p>
        </w:tc>
        <w:tc>
          <w:tcPr>
            <w:tcW w:w="934" w:type="pct"/>
            <w:tcBorders>
              <w:bottom w:val="single" w:sz="4" w:space="0" w:color="auto"/>
            </w:tcBorders>
            <w:vAlign w:val="center"/>
            <w:hideMark/>
          </w:tcPr>
          <w:p w14:paraId="5785A189"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(4)</w:t>
            </w:r>
          </w:p>
        </w:tc>
      </w:tr>
      <w:tr w:rsidR="001219A2" w:rsidRPr="00CA6A46" w14:paraId="470E5ECA" w14:textId="77777777" w:rsidTr="00C4526A">
        <w:trPr>
          <w:trHeight w:val="284"/>
          <w:tblCellSpacing w:w="15" w:type="dxa"/>
        </w:trPr>
        <w:tc>
          <w:tcPr>
            <w:tcW w:w="1416" w:type="pct"/>
            <w:vAlign w:val="center"/>
            <w:hideMark/>
          </w:tcPr>
          <w:p w14:paraId="719011F4"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 xml:space="preserve">PIB </w:t>
            </w:r>
            <w:r w:rsidRPr="00CA6A46">
              <w:rPr>
                <w:rFonts w:ascii="Times New Roman" w:eastAsia="Times New Roman" w:hAnsi="Times New Roman" w:cs="Times New Roman"/>
                <w:i/>
                <w:iCs/>
                <w:sz w:val="20"/>
                <w:szCs w:val="20"/>
                <w:lang w:eastAsia="pt-BR"/>
              </w:rPr>
              <w:t xml:space="preserve">per capita </w:t>
            </w:r>
            <w:r w:rsidRPr="00CA6A46">
              <w:rPr>
                <w:rFonts w:ascii="Times New Roman" w:eastAsia="Times New Roman" w:hAnsi="Times New Roman" w:cs="Times New Roman"/>
                <w:sz w:val="20"/>
                <w:szCs w:val="20"/>
                <w:lang w:eastAsia="pt-BR"/>
              </w:rPr>
              <w:t>1989</w:t>
            </w:r>
          </w:p>
        </w:tc>
        <w:tc>
          <w:tcPr>
            <w:tcW w:w="851" w:type="pct"/>
            <w:gridSpan w:val="2"/>
            <w:vAlign w:val="center"/>
            <w:hideMark/>
          </w:tcPr>
          <w:p w14:paraId="3F0DC15D"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-0.00059</w:t>
            </w:r>
            <w:r w:rsidRPr="00CA6A46">
              <w:rPr>
                <w:rFonts w:ascii="Times New Roman" w:eastAsia="Times New Roman" w:hAnsi="Times New Roman" w:cs="Times New Roman"/>
                <w:sz w:val="20"/>
                <w:szCs w:val="20"/>
                <w:vertAlign w:val="superscript"/>
                <w:lang w:eastAsia="pt-BR"/>
              </w:rPr>
              <w:t>***</w:t>
            </w:r>
          </w:p>
        </w:tc>
        <w:tc>
          <w:tcPr>
            <w:tcW w:w="851" w:type="pct"/>
            <w:gridSpan w:val="2"/>
            <w:vAlign w:val="center"/>
            <w:hideMark/>
          </w:tcPr>
          <w:p w14:paraId="0DBFF337"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-0.00077</w:t>
            </w:r>
            <w:r w:rsidRPr="00CA6A46">
              <w:rPr>
                <w:rFonts w:ascii="Times New Roman" w:eastAsia="Times New Roman" w:hAnsi="Times New Roman" w:cs="Times New Roman"/>
                <w:sz w:val="20"/>
                <w:szCs w:val="20"/>
                <w:vertAlign w:val="superscript"/>
                <w:lang w:eastAsia="pt-BR"/>
              </w:rPr>
              <w:t>***</w:t>
            </w:r>
          </w:p>
        </w:tc>
        <w:tc>
          <w:tcPr>
            <w:tcW w:w="849" w:type="pct"/>
            <w:gridSpan w:val="2"/>
            <w:vAlign w:val="center"/>
            <w:hideMark/>
          </w:tcPr>
          <w:p w14:paraId="17E24413" w14:textId="77777777" w:rsidR="00AC0685" w:rsidRPr="00CA6A46" w:rsidRDefault="00AC0685" w:rsidP="005679D7">
            <w:pPr>
              <w:spacing w:after="0" w:line="240" w:lineRule="auto"/>
              <w:jc w:val="center"/>
              <w:rPr>
                <w:rFonts w:ascii="Times New Roman" w:eastAsia="Times New Roman" w:hAnsi="Times New Roman" w:cs="Times New Roman"/>
                <w:b/>
                <w:bCs/>
                <w:sz w:val="20"/>
                <w:szCs w:val="20"/>
                <w:lang w:eastAsia="pt-BR"/>
              </w:rPr>
            </w:pPr>
            <w:r w:rsidRPr="00CA6A46">
              <w:rPr>
                <w:rFonts w:ascii="Times New Roman" w:eastAsia="Times New Roman" w:hAnsi="Times New Roman" w:cs="Times New Roman"/>
                <w:b/>
                <w:bCs/>
                <w:sz w:val="20"/>
                <w:szCs w:val="20"/>
                <w:lang w:eastAsia="pt-BR"/>
              </w:rPr>
              <w:t>-</w:t>
            </w:r>
          </w:p>
        </w:tc>
        <w:tc>
          <w:tcPr>
            <w:tcW w:w="934" w:type="pct"/>
            <w:vAlign w:val="center"/>
            <w:hideMark/>
          </w:tcPr>
          <w:p w14:paraId="5E5A3E21"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w:t>
            </w:r>
          </w:p>
        </w:tc>
      </w:tr>
      <w:tr w:rsidR="001219A2" w:rsidRPr="00CA6A46" w14:paraId="5EDF20AB" w14:textId="77777777" w:rsidTr="00C4526A">
        <w:trPr>
          <w:trHeight w:val="284"/>
          <w:tblCellSpacing w:w="15" w:type="dxa"/>
        </w:trPr>
        <w:tc>
          <w:tcPr>
            <w:tcW w:w="1416" w:type="pct"/>
            <w:vAlign w:val="center"/>
            <w:hideMark/>
          </w:tcPr>
          <w:p w14:paraId="0D574D51"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p>
        </w:tc>
        <w:tc>
          <w:tcPr>
            <w:tcW w:w="851" w:type="pct"/>
            <w:gridSpan w:val="2"/>
            <w:vAlign w:val="center"/>
            <w:hideMark/>
          </w:tcPr>
          <w:p w14:paraId="693DDF69"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(0.00015)</w:t>
            </w:r>
          </w:p>
        </w:tc>
        <w:tc>
          <w:tcPr>
            <w:tcW w:w="851" w:type="pct"/>
            <w:gridSpan w:val="2"/>
            <w:vAlign w:val="center"/>
            <w:hideMark/>
          </w:tcPr>
          <w:p w14:paraId="05B0A7D3"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(0.00027)</w:t>
            </w:r>
          </w:p>
        </w:tc>
        <w:tc>
          <w:tcPr>
            <w:tcW w:w="849" w:type="pct"/>
            <w:gridSpan w:val="2"/>
            <w:vAlign w:val="center"/>
            <w:hideMark/>
          </w:tcPr>
          <w:p w14:paraId="6522F39C" w14:textId="77777777" w:rsidR="00AC0685" w:rsidRPr="00CA6A46" w:rsidRDefault="00AC0685" w:rsidP="005679D7">
            <w:pPr>
              <w:spacing w:after="0" w:line="240" w:lineRule="auto"/>
              <w:jc w:val="center"/>
              <w:rPr>
                <w:rFonts w:ascii="Times New Roman" w:eastAsia="Times New Roman" w:hAnsi="Times New Roman" w:cs="Times New Roman"/>
                <w:b/>
                <w:bCs/>
                <w:sz w:val="20"/>
                <w:szCs w:val="20"/>
                <w:lang w:eastAsia="pt-BR"/>
              </w:rPr>
            </w:pPr>
            <w:r w:rsidRPr="00CA6A46">
              <w:rPr>
                <w:rFonts w:ascii="Times New Roman" w:eastAsia="Times New Roman" w:hAnsi="Times New Roman" w:cs="Times New Roman"/>
                <w:b/>
                <w:bCs/>
                <w:sz w:val="20"/>
                <w:szCs w:val="20"/>
                <w:lang w:eastAsia="pt-BR"/>
              </w:rPr>
              <w:t>-</w:t>
            </w:r>
          </w:p>
        </w:tc>
        <w:tc>
          <w:tcPr>
            <w:tcW w:w="934" w:type="pct"/>
            <w:vAlign w:val="center"/>
            <w:hideMark/>
          </w:tcPr>
          <w:p w14:paraId="08E89D17"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w:t>
            </w:r>
          </w:p>
        </w:tc>
      </w:tr>
      <w:tr w:rsidR="001219A2" w:rsidRPr="00CA6A46" w14:paraId="7802CDDA" w14:textId="77777777" w:rsidTr="00C4526A">
        <w:trPr>
          <w:trHeight w:val="284"/>
          <w:tblCellSpacing w:w="15" w:type="dxa"/>
        </w:trPr>
        <w:tc>
          <w:tcPr>
            <w:tcW w:w="1416" w:type="pct"/>
            <w:vAlign w:val="center"/>
            <w:hideMark/>
          </w:tcPr>
          <w:p w14:paraId="30F52B7F"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p>
        </w:tc>
        <w:tc>
          <w:tcPr>
            <w:tcW w:w="851" w:type="pct"/>
            <w:gridSpan w:val="2"/>
            <w:vAlign w:val="center"/>
            <w:hideMark/>
          </w:tcPr>
          <w:p w14:paraId="489265C7"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851" w:type="pct"/>
            <w:gridSpan w:val="2"/>
            <w:vAlign w:val="center"/>
            <w:hideMark/>
          </w:tcPr>
          <w:p w14:paraId="33575770"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849" w:type="pct"/>
            <w:gridSpan w:val="2"/>
            <w:vAlign w:val="center"/>
            <w:hideMark/>
          </w:tcPr>
          <w:p w14:paraId="38C23CDA"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934" w:type="pct"/>
            <w:vAlign w:val="center"/>
            <w:hideMark/>
          </w:tcPr>
          <w:p w14:paraId="0EA556E2"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r>
      <w:tr w:rsidR="001219A2" w:rsidRPr="00CA6A46" w14:paraId="48F5F54C" w14:textId="77777777" w:rsidTr="00C4526A">
        <w:trPr>
          <w:trHeight w:val="284"/>
          <w:tblCellSpacing w:w="15" w:type="dxa"/>
        </w:trPr>
        <w:tc>
          <w:tcPr>
            <w:tcW w:w="1416" w:type="pct"/>
            <w:vAlign w:val="center"/>
            <w:hideMark/>
          </w:tcPr>
          <w:p w14:paraId="1EA0156A"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 xml:space="preserve">PIB </w:t>
            </w:r>
            <w:r w:rsidRPr="00CA6A46">
              <w:rPr>
                <w:rFonts w:ascii="Times New Roman" w:eastAsia="Times New Roman" w:hAnsi="Times New Roman" w:cs="Times New Roman"/>
                <w:i/>
                <w:iCs/>
                <w:sz w:val="20"/>
                <w:szCs w:val="20"/>
                <w:lang w:eastAsia="pt-BR"/>
              </w:rPr>
              <w:t xml:space="preserve">per capita </w:t>
            </w:r>
            <w:r w:rsidRPr="00CA6A46">
              <w:rPr>
                <w:rFonts w:ascii="Times New Roman" w:eastAsia="Times New Roman" w:hAnsi="Times New Roman" w:cs="Times New Roman"/>
                <w:sz w:val="20"/>
                <w:szCs w:val="20"/>
                <w:lang w:eastAsia="pt-BR"/>
              </w:rPr>
              <w:t>2002</w:t>
            </w:r>
          </w:p>
        </w:tc>
        <w:tc>
          <w:tcPr>
            <w:tcW w:w="851" w:type="pct"/>
            <w:gridSpan w:val="2"/>
            <w:vAlign w:val="center"/>
            <w:hideMark/>
          </w:tcPr>
          <w:p w14:paraId="7E6248AA" w14:textId="77777777" w:rsidR="00AC0685" w:rsidRPr="00CA6A46" w:rsidRDefault="00AC0685" w:rsidP="005679D7">
            <w:pPr>
              <w:spacing w:after="0" w:line="240" w:lineRule="auto"/>
              <w:jc w:val="center"/>
              <w:rPr>
                <w:rFonts w:ascii="Times New Roman" w:eastAsia="Times New Roman" w:hAnsi="Times New Roman" w:cs="Times New Roman"/>
                <w:b/>
                <w:bCs/>
                <w:sz w:val="20"/>
                <w:szCs w:val="20"/>
                <w:lang w:eastAsia="pt-BR"/>
              </w:rPr>
            </w:pPr>
            <w:r w:rsidRPr="00CA6A46">
              <w:rPr>
                <w:rFonts w:ascii="Times New Roman" w:eastAsia="Times New Roman" w:hAnsi="Times New Roman" w:cs="Times New Roman"/>
                <w:b/>
                <w:bCs/>
                <w:sz w:val="20"/>
                <w:szCs w:val="20"/>
                <w:lang w:eastAsia="pt-BR"/>
              </w:rPr>
              <w:t>-</w:t>
            </w:r>
          </w:p>
        </w:tc>
        <w:tc>
          <w:tcPr>
            <w:tcW w:w="851" w:type="pct"/>
            <w:gridSpan w:val="2"/>
            <w:vAlign w:val="center"/>
            <w:hideMark/>
          </w:tcPr>
          <w:p w14:paraId="1B8A94B3"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w:t>
            </w:r>
          </w:p>
        </w:tc>
        <w:tc>
          <w:tcPr>
            <w:tcW w:w="849" w:type="pct"/>
            <w:gridSpan w:val="2"/>
            <w:vAlign w:val="center"/>
            <w:hideMark/>
          </w:tcPr>
          <w:p w14:paraId="2E776315"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-0.00057</w:t>
            </w:r>
            <w:r w:rsidRPr="00CA6A46">
              <w:rPr>
                <w:rFonts w:ascii="Times New Roman" w:eastAsia="Times New Roman" w:hAnsi="Times New Roman" w:cs="Times New Roman"/>
                <w:sz w:val="20"/>
                <w:szCs w:val="20"/>
                <w:vertAlign w:val="superscript"/>
                <w:lang w:eastAsia="pt-BR"/>
              </w:rPr>
              <w:t>**</w:t>
            </w:r>
          </w:p>
        </w:tc>
        <w:tc>
          <w:tcPr>
            <w:tcW w:w="934" w:type="pct"/>
            <w:vAlign w:val="center"/>
            <w:hideMark/>
          </w:tcPr>
          <w:p w14:paraId="3520DE1E"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-0.00075</w:t>
            </w:r>
            <w:r w:rsidRPr="00CA6A46">
              <w:rPr>
                <w:rFonts w:ascii="Times New Roman" w:eastAsia="Times New Roman" w:hAnsi="Times New Roman" w:cs="Times New Roman"/>
                <w:sz w:val="20"/>
                <w:szCs w:val="20"/>
                <w:vertAlign w:val="superscript"/>
                <w:lang w:eastAsia="pt-BR"/>
              </w:rPr>
              <w:t>**</w:t>
            </w:r>
          </w:p>
        </w:tc>
      </w:tr>
      <w:tr w:rsidR="001219A2" w:rsidRPr="00CA6A46" w14:paraId="0ACCE53F" w14:textId="77777777" w:rsidTr="00C4526A">
        <w:trPr>
          <w:trHeight w:val="284"/>
          <w:tblCellSpacing w:w="15" w:type="dxa"/>
        </w:trPr>
        <w:tc>
          <w:tcPr>
            <w:tcW w:w="1416" w:type="pct"/>
            <w:vAlign w:val="center"/>
            <w:hideMark/>
          </w:tcPr>
          <w:p w14:paraId="1ED03AA1"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p>
        </w:tc>
        <w:tc>
          <w:tcPr>
            <w:tcW w:w="851" w:type="pct"/>
            <w:gridSpan w:val="2"/>
            <w:vAlign w:val="center"/>
            <w:hideMark/>
          </w:tcPr>
          <w:p w14:paraId="3565FA0C"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w:t>
            </w:r>
          </w:p>
        </w:tc>
        <w:tc>
          <w:tcPr>
            <w:tcW w:w="851" w:type="pct"/>
            <w:gridSpan w:val="2"/>
            <w:vAlign w:val="center"/>
            <w:hideMark/>
          </w:tcPr>
          <w:p w14:paraId="243663BF"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w:t>
            </w:r>
          </w:p>
        </w:tc>
        <w:tc>
          <w:tcPr>
            <w:tcW w:w="849" w:type="pct"/>
            <w:gridSpan w:val="2"/>
            <w:vAlign w:val="center"/>
            <w:hideMark/>
          </w:tcPr>
          <w:p w14:paraId="559D5181"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(0.00026)</w:t>
            </w:r>
          </w:p>
        </w:tc>
        <w:tc>
          <w:tcPr>
            <w:tcW w:w="934" w:type="pct"/>
            <w:vAlign w:val="center"/>
            <w:hideMark/>
          </w:tcPr>
          <w:p w14:paraId="0F4CA7C5"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(0.00027)</w:t>
            </w:r>
          </w:p>
        </w:tc>
      </w:tr>
      <w:tr w:rsidR="001219A2" w:rsidRPr="00CA6A46" w14:paraId="256D8FFF" w14:textId="77777777" w:rsidTr="00C4526A">
        <w:trPr>
          <w:trHeight w:val="284"/>
          <w:tblCellSpacing w:w="15" w:type="dxa"/>
        </w:trPr>
        <w:tc>
          <w:tcPr>
            <w:tcW w:w="1416" w:type="pct"/>
            <w:vAlign w:val="center"/>
            <w:hideMark/>
          </w:tcPr>
          <w:p w14:paraId="71834999"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p>
        </w:tc>
        <w:tc>
          <w:tcPr>
            <w:tcW w:w="851" w:type="pct"/>
            <w:gridSpan w:val="2"/>
            <w:vAlign w:val="center"/>
            <w:hideMark/>
          </w:tcPr>
          <w:p w14:paraId="54AB56C3"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851" w:type="pct"/>
            <w:gridSpan w:val="2"/>
            <w:vAlign w:val="center"/>
            <w:hideMark/>
          </w:tcPr>
          <w:p w14:paraId="4C2C4B22"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849" w:type="pct"/>
            <w:gridSpan w:val="2"/>
            <w:vAlign w:val="center"/>
            <w:hideMark/>
          </w:tcPr>
          <w:p w14:paraId="5A4B3E74"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c>
          <w:tcPr>
            <w:tcW w:w="934" w:type="pct"/>
            <w:vAlign w:val="center"/>
            <w:hideMark/>
          </w:tcPr>
          <w:p w14:paraId="13A7BF96"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r>
      <w:tr w:rsidR="001219A2" w:rsidRPr="00CA6A46" w14:paraId="0A19EE76" w14:textId="77777777" w:rsidTr="00C4526A">
        <w:trPr>
          <w:trHeight w:val="284"/>
          <w:tblCellSpacing w:w="15" w:type="dxa"/>
        </w:trPr>
        <w:tc>
          <w:tcPr>
            <w:tcW w:w="1416" w:type="pct"/>
            <w:vAlign w:val="center"/>
            <w:hideMark/>
          </w:tcPr>
          <w:p w14:paraId="7739ED72"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Constante</w:t>
            </w:r>
          </w:p>
        </w:tc>
        <w:tc>
          <w:tcPr>
            <w:tcW w:w="851" w:type="pct"/>
            <w:gridSpan w:val="2"/>
            <w:vAlign w:val="center"/>
            <w:hideMark/>
          </w:tcPr>
          <w:p w14:paraId="04571705"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0.01853</w:t>
            </w:r>
            <w:r w:rsidRPr="00CA6A46">
              <w:rPr>
                <w:rFonts w:ascii="Times New Roman" w:eastAsia="Times New Roman" w:hAnsi="Times New Roman" w:cs="Times New Roman"/>
                <w:sz w:val="20"/>
                <w:szCs w:val="20"/>
                <w:vertAlign w:val="superscript"/>
                <w:lang w:eastAsia="pt-BR"/>
              </w:rPr>
              <w:t>***</w:t>
            </w:r>
          </w:p>
        </w:tc>
        <w:tc>
          <w:tcPr>
            <w:tcW w:w="851" w:type="pct"/>
            <w:gridSpan w:val="2"/>
            <w:vAlign w:val="center"/>
            <w:hideMark/>
          </w:tcPr>
          <w:p w14:paraId="1C1ABDCF"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0.01544</w:t>
            </w:r>
            <w:r w:rsidRPr="00CA6A46">
              <w:rPr>
                <w:rFonts w:ascii="Times New Roman" w:eastAsia="Times New Roman" w:hAnsi="Times New Roman" w:cs="Times New Roman"/>
                <w:sz w:val="20"/>
                <w:szCs w:val="20"/>
                <w:vertAlign w:val="superscript"/>
                <w:lang w:eastAsia="pt-BR"/>
              </w:rPr>
              <w:t>***</w:t>
            </w:r>
          </w:p>
        </w:tc>
        <w:tc>
          <w:tcPr>
            <w:tcW w:w="849" w:type="pct"/>
            <w:gridSpan w:val="2"/>
            <w:vAlign w:val="center"/>
            <w:hideMark/>
          </w:tcPr>
          <w:p w14:paraId="48F0815F"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0.02241</w:t>
            </w:r>
            <w:r w:rsidRPr="00CA6A46">
              <w:rPr>
                <w:rFonts w:ascii="Times New Roman" w:eastAsia="Times New Roman" w:hAnsi="Times New Roman" w:cs="Times New Roman"/>
                <w:sz w:val="20"/>
                <w:szCs w:val="20"/>
                <w:vertAlign w:val="superscript"/>
                <w:lang w:eastAsia="pt-BR"/>
              </w:rPr>
              <w:t>***</w:t>
            </w:r>
          </w:p>
        </w:tc>
        <w:tc>
          <w:tcPr>
            <w:tcW w:w="934" w:type="pct"/>
            <w:vAlign w:val="center"/>
            <w:hideMark/>
          </w:tcPr>
          <w:p w14:paraId="4D9FE4D0"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0.03476</w:t>
            </w:r>
            <w:r w:rsidRPr="00CA6A46">
              <w:rPr>
                <w:rFonts w:ascii="Times New Roman" w:eastAsia="Times New Roman" w:hAnsi="Times New Roman" w:cs="Times New Roman"/>
                <w:sz w:val="20"/>
                <w:szCs w:val="20"/>
                <w:vertAlign w:val="superscript"/>
                <w:lang w:eastAsia="pt-BR"/>
              </w:rPr>
              <w:t>***</w:t>
            </w:r>
          </w:p>
        </w:tc>
      </w:tr>
      <w:tr w:rsidR="001219A2" w:rsidRPr="00CA6A46" w14:paraId="4946DEB5" w14:textId="77777777" w:rsidTr="00C4526A">
        <w:trPr>
          <w:trHeight w:val="284"/>
          <w:tblCellSpacing w:w="15" w:type="dxa"/>
        </w:trPr>
        <w:tc>
          <w:tcPr>
            <w:tcW w:w="1416" w:type="pct"/>
            <w:vAlign w:val="center"/>
            <w:hideMark/>
          </w:tcPr>
          <w:p w14:paraId="1FDDD1C0"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p>
        </w:tc>
        <w:tc>
          <w:tcPr>
            <w:tcW w:w="851" w:type="pct"/>
            <w:gridSpan w:val="2"/>
            <w:vAlign w:val="center"/>
            <w:hideMark/>
          </w:tcPr>
          <w:p w14:paraId="1BC48506"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(0.00218)</w:t>
            </w:r>
          </w:p>
        </w:tc>
        <w:tc>
          <w:tcPr>
            <w:tcW w:w="851" w:type="pct"/>
            <w:gridSpan w:val="2"/>
            <w:vAlign w:val="center"/>
            <w:hideMark/>
          </w:tcPr>
          <w:p w14:paraId="5D2FFB96"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(0.00377)</w:t>
            </w:r>
          </w:p>
        </w:tc>
        <w:tc>
          <w:tcPr>
            <w:tcW w:w="849" w:type="pct"/>
            <w:gridSpan w:val="2"/>
            <w:vAlign w:val="center"/>
            <w:hideMark/>
          </w:tcPr>
          <w:p w14:paraId="14D3A37A"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(0.00358)</w:t>
            </w:r>
          </w:p>
        </w:tc>
        <w:tc>
          <w:tcPr>
            <w:tcW w:w="934" w:type="pct"/>
            <w:vAlign w:val="center"/>
            <w:hideMark/>
          </w:tcPr>
          <w:p w14:paraId="16334E13"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(0.00379)</w:t>
            </w:r>
          </w:p>
        </w:tc>
      </w:tr>
      <w:tr w:rsidR="001219A2" w:rsidRPr="00CA6A46" w14:paraId="451A2C26" w14:textId="77777777" w:rsidTr="00C4526A">
        <w:trPr>
          <w:trHeight w:val="284"/>
          <w:tblCellSpacing w:w="15" w:type="dxa"/>
        </w:trPr>
        <w:tc>
          <w:tcPr>
            <w:tcW w:w="1416" w:type="pct"/>
            <w:vAlign w:val="center"/>
          </w:tcPr>
          <w:p w14:paraId="3EDA9B3F"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Velocidade de convergência a.a.</w:t>
            </w:r>
          </w:p>
        </w:tc>
        <w:tc>
          <w:tcPr>
            <w:tcW w:w="851" w:type="pct"/>
            <w:gridSpan w:val="2"/>
            <w:vAlign w:val="center"/>
          </w:tcPr>
          <w:p w14:paraId="6382A364"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0,247%</w:t>
            </w:r>
          </w:p>
        </w:tc>
        <w:tc>
          <w:tcPr>
            <w:tcW w:w="851" w:type="pct"/>
            <w:gridSpan w:val="2"/>
            <w:vAlign w:val="center"/>
          </w:tcPr>
          <w:p w14:paraId="25C31590"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0,651%</w:t>
            </w:r>
          </w:p>
        </w:tc>
        <w:tc>
          <w:tcPr>
            <w:tcW w:w="849" w:type="pct"/>
            <w:gridSpan w:val="2"/>
            <w:vAlign w:val="center"/>
          </w:tcPr>
          <w:p w14:paraId="481EEDCF"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0,439%</w:t>
            </w:r>
          </w:p>
        </w:tc>
        <w:tc>
          <w:tcPr>
            <w:tcW w:w="934" w:type="pct"/>
            <w:vAlign w:val="center"/>
          </w:tcPr>
          <w:p w14:paraId="6595F663"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0,599%</w:t>
            </w:r>
          </w:p>
        </w:tc>
      </w:tr>
      <w:tr w:rsidR="001219A2" w:rsidRPr="00CA6A46" w14:paraId="226FBFFF" w14:textId="77777777" w:rsidTr="00C4526A">
        <w:trPr>
          <w:trHeight w:val="284"/>
          <w:tblCellSpacing w:w="15" w:type="dxa"/>
        </w:trPr>
        <w:tc>
          <w:tcPr>
            <w:tcW w:w="1416" w:type="pct"/>
            <w:vAlign w:val="center"/>
          </w:tcPr>
          <w:p w14:paraId="181C9522"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Meia vida em anos</w:t>
            </w:r>
          </w:p>
        </w:tc>
        <w:tc>
          <w:tcPr>
            <w:tcW w:w="851" w:type="pct"/>
            <w:gridSpan w:val="2"/>
            <w:vAlign w:val="center"/>
          </w:tcPr>
          <w:p w14:paraId="1B91FF56"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280</w:t>
            </w:r>
          </w:p>
        </w:tc>
        <w:tc>
          <w:tcPr>
            <w:tcW w:w="851" w:type="pct"/>
            <w:gridSpan w:val="2"/>
            <w:vAlign w:val="center"/>
          </w:tcPr>
          <w:p w14:paraId="4AFD52BE"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106</w:t>
            </w:r>
          </w:p>
        </w:tc>
        <w:tc>
          <w:tcPr>
            <w:tcW w:w="849" w:type="pct"/>
            <w:gridSpan w:val="2"/>
            <w:vAlign w:val="center"/>
          </w:tcPr>
          <w:p w14:paraId="735C2E51"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157</w:t>
            </w:r>
          </w:p>
        </w:tc>
        <w:tc>
          <w:tcPr>
            <w:tcW w:w="934" w:type="pct"/>
            <w:vAlign w:val="center"/>
          </w:tcPr>
          <w:p w14:paraId="3269DDD3"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115</w:t>
            </w:r>
          </w:p>
        </w:tc>
      </w:tr>
      <w:tr w:rsidR="00AC0685" w:rsidRPr="00CA6A46" w14:paraId="72B48ACD" w14:textId="77777777" w:rsidTr="001219A2">
        <w:trPr>
          <w:trHeight w:val="284"/>
          <w:tblCellSpacing w:w="15" w:type="dxa"/>
        </w:trPr>
        <w:tc>
          <w:tcPr>
            <w:tcW w:w="4967" w:type="pct"/>
            <w:gridSpan w:val="8"/>
            <w:tcBorders>
              <w:bottom w:val="single" w:sz="6" w:space="0" w:color="000000"/>
            </w:tcBorders>
            <w:vAlign w:val="center"/>
            <w:hideMark/>
          </w:tcPr>
          <w:p w14:paraId="27E0B60B"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p>
        </w:tc>
      </w:tr>
      <w:tr w:rsidR="001219A2" w:rsidRPr="00CA6A46" w14:paraId="094BAAEA" w14:textId="77777777" w:rsidTr="00C4526A">
        <w:trPr>
          <w:trHeight w:val="284"/>
          <w:tblCellSpacing w:w="15" w:type="dxa"/>
        </w:trPr>
        <w:tc>
          <w:tcPr>
            <w:tcW w:w="1416" w:type="pct"/>
            <w:vAlign w:val="center"/>
            <w:hideMark/>
          </w:tcPr>
          <w:p w14:paraId="133DCD44"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Observações</w:t>
            </w:r>
          </w:p>
        </w:tc>
        <w:tc>
          <w:tcPr>
            <w:tcW w:w="807" w:type="pct"/>
            <w:vAlign w:val="center"/>
            <w:hideMark/>
          </w:tcPr>
          <w:p w14:paraId="44F867AB"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27</w:t>
            </w:r>
          </w:p>
        </w:tc>
        <w:tc>
          <w:tcPr>
            <w:tcW w:w="838" w:type="pct"/>
            <w:gridSpan w:val="2"/>
            <w:vAlign w:val="center"/>
            <w:hideMark/>
          </w:tcPr>
          <w:p w14:paraId="08ADED48"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27</w:t>
            </w:r>
          </w:p>
        </w:tc>
        <w:tc>
          <w:tcPr>
            <w:tcW w:w="837" w:type="pct"/>
            <w:gridSpan w:val="2"/>
            <w:vAlign w:val="center"/>
            <w:hideMark/>
          </w:tcPr>
          <w:p w14:paraId="137494B0"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27</w:t>
            </w:r>
          </w:p>
        </w:tc>
        <w:tc>
          <w:tcPr>
            <w:tcW w:w="1002" w:type="pct"/>
            <w:gridSpan w:val="2"/>
            <w:vAlign w:val="center"/>
            <w:hideMark/>
          </w:tcPr>
          <w:p w14:paraId="7A78D9E2"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27</w:t>
            </w:r>
          </w:p>
        </w:tc>
      </w:tr>
      <w:tr w:rsidR="001219A2" w:rsidRPr="00CA6A46" w14:paraId="54BF1C78" w14:textId="77777777" w:rsidTr="00C4526A">
        <w:trPr>
          <w:trHeight w:val="284"/>
          <w:tblCellSpacing w:w="15" w:type="dxa"/>
        </w:trPr>
        <w:tc>
          <w:tcPr>
            <w:tcW w:w="1416" w:type="pct"/>
            <w:vAlign w:val="center"/>
            <w:hideMark/>
          </w:tcPr>
          <w:p w14:paraId="36E89791"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R</w:t>
            </w:r>
            <w:r w:rsidRPr="00CA6A46">
              <w:rPr>
                <w:rFonts w:ascii="Times New Roman" w:eastAsia="Times New Roman" w:hAnsi="Times New Roman" w:cs="Times New Roman"/>
                <w:sz w:val="20"/>
                <w:szCs w:val="20"/>
                <w:vertAlign w:val="superscript"/>
                <w:lang w:eastAsia="pt-BR"/>
              </w:rPr>
              <w:t>2</w:t>
            </w:r>
          </w:p>
        </w:tc>
        <w:tc>
          <w:tcPr>
            <w:tcW w:w="807" w:type="pct"/>
            <w:vAlign w:val="center"/>
            <w:hideMark/>
          </w:tcPr>
          <w:p w14:paraId="140B773C"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0.37034</w:t>
            </w:r>
          </w:p>
        </w:tc>
        <w:tc>
          <w:tcPr>
            <w:tcW w:w="838" w:type="pct"/>
            <w:gridSpan w:val="2"/>
            <w:vAlign w:val="center"/>
            <w:hideMark/>
          </w:tcPr>
          <w:p w14:paraId="16E9FF4F"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0.25073</w:t>
            </w:r>
          </w:p>
        </w:tc>
        <w:tc>
          <w:tcPr>
            <w:tcW w:w="837" w:type="pct"/>
            <w:gridSpan w:val="2"/>
            <w:vAlign w:val="center"/>
            <w:hideMark/>
          </w:tcPr>
          <w:p w14:paraId="29F42A41"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0.16091</w:t>
            </w:r>
          </w:p>
        </w:tc>
        <w:tc>
          <w:tcPr>
            <w:tcW w:w="1002" w:type="pct"/>
            <w:gridSpan w:val="2"/>
            <w:vAlign w:val="center"/>
            <w:hideMark/>
          </w:tcPr>
          <w:p w14:paraId="1705CE11"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0.23227</w:t>
            </w:r>
          </w:p>
        </w:tc>
      </w:tr>
      <w:tr w:rsidR="001219A2" w:rsidRPr="00CA6A46" w14:paraId="4837239C" w14:textId="77777777" w:rsidTr="00C4526A">
        <w:trPr>
          <w:trHeight w:val="284"/>
          <w:tblCellSpacing w:w="15" w:type="dxa"/>
        </w:trPr>
        <w:tc>
          <w:tcPr>
            <w:tcW w:w="1416" w:type="pct"/>
            <w:vAlign w:val="center"/>
            <w:hideMark/>
          </w:tcPr>
          <w:p w14:paraId="42B40D92"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R</w:t>
            </w:r>
            <w:r w:rsidRPr="00CA6A46">
              <w:rPr>
                <w:rFonts w:ascii="Times New Roman" w:eastAsia="Times New Roman" w:hAnsi="Times New Roman" w:cs="Times New Roman"/>
                <w:sz w:val="20"/>
                <w:szCs w:val="20"/>
                <w:vertAlign w:val="superscript"/>
                <w:lang w:eastAsia="pt-BR"/>
              </w:rPr>
              <w:t>2</w:t>
            </w:r>
            <w:r w:rsidRPr="00CA6A46">
              <w:rPr>
                <w:rFonts w:ascii="Times New Roman" w:eastAsia="Times New Roman" w:hAnsi="Times New Roman" w:cs="Times New Roman"/>
                <w:sz w:val="20"/>
                <w:szCs w:val="20"/>
                <w:lang w:eastAsia="pt-BR"/>
              </w:rPr>
              <w:t xml:space="preserve"> Ajustado</w:t>
            </w:r>
          </w:p>
        </w:tc>
        <w:tc>
          <w:tcPr>
            <w:tcW w:w="807" w:type="pct"/>
            <w:vAlign w:val="center"/>
            <w:hideMark/>
          </w:tcPr>
          <w:p w14:paraId="10797C0C"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0.34515</w:t>
            </w:r>
          </w:p>
        </w:tc>
        <w:tc>
          <w:tcPr>
            <w:tcW w:w="838" w:type="pct"/>
            <w:gridSpan w:val="2"/>
            <w:vAlign w:val="center"/>
            <w:hideMark/>
          </w:tcPr>
          <w:p w14:paraId="1F98A251"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0.22076</w:t>
            </w:r>
          </w:p>
        </w:tc>
        <w:tc>
          <w:tcPr>
            <w:tcW w:w="837" w:type="pct"/>
            <w:gridSpan w:val="2"/>
            <w:vAlign w:val="center"/>
            <w:hideMark/>
          </w:tcPr>
          <w:p w14:paraId="3D97BB9E"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0.12735</w:t>
            </w:r>
          </w:p>
        </w:tc>
        <w:tc>
          <w:tcPr>
            <w:tcW w:w="1002" w:type="pct"/>
            <w:gridSpan w:val="2"/>
            <w:vAlign w:val="center"/>
            <w:hideMark/>
          </w:tcPr>
          <w:p w14:paraId="01056D1A"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0.20156</w:t>
            </w:r>
          </w:p>
        </w:tc>
      </w:tr>
      <w:tr w:rsidR="001219A2" w:rsidRPr="00CA6A46" w14:paraId="33080240" w14:textId="77777777" w:rsidTr="00C4526A">
        <w:trPr>
          <w:trHeight w:val="284"/>
          <w:tblCellSpacing w:w="15" w:type="dxa"/>
        </w:trPr>
        <w:tc>
          <w:tcPr>
            <w:tcW w:w="1416" w:type="pct"/>
            <w:vAlign w:val="center"/>
            <w:hideMark/>
          </w:tcPr>
          <w:p w14:paraId="065DF51D"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Residual Std. Error (gl = 25)</w:t>
            </w:r>
          </w:p>
        </w:tc>
        <w:tc>
          <w:tcPr>
            <w:tcW w:w="807" w:type="pct"/>
            <w:vAlign w:val="center"/>
            <w:hideMark/>
          </w:tcPr>
          <w:p w14:paraId="5D910584"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0.00676</w:t>
            </w:r>
          </w:p>
        </w:tc>
        <w:tc>
          <w:tcPr>
            <w:tcW w:w="838" w:type="pct"/>
            <w:gridSpan w:val="2"/>
            <w:vAlign w:val="center"/>
            <w:hideMark/>
          </w:tcPr>
          <w:p w14:paraId="1F8D8AB2"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0.01167</w:t>
            </w:r>
          </w:p>
        </w:tc>
        <w:tc>
          <w:tcPr>
            <w:tcW w:w="837" w:type="pct"/>
            <w:gridSpan w:val="2"/>
            <w:vAlign w:val="center"/>
            <w:hideMark/>
          </w:tcPr>
          <w:p w14:paraId="140E9E2A"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0.00972</w:t>
            </w:r>
          </w:p>
        </w:tc>
        <w:tc>
          <w:tcPr>
            <w:tcW w:w="1002" w:type="pct"/>
            <w:gridSpan w:val="2"/>
            <w:vAlign w:val="center"/>
            <w:hideMark/>
          </w:tcPr>
          <w:p w14:paraId="0FD68063"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0.01029</w:t>
            </w:r>
          </w:p>
        </w:tc>
      </w:tr>
      <w:tr w:rsidR="001219A2" w:rsidRPr="00CA6A46" w14:paraId="7B379552" w14:textId="77777777" w:rsidTr="00C4526A">
        <w:trPr>
          <w:trHeight w:val="284"/>
          <w:tblCellSpacing w:w="15" w:type="dxa"/>
        </w:trPr>
        <w:tc>
          <w:tcPr>
            <w:tcW w:w="1416" w:type="pct"/>
            <w:tcBorders>
              <w:bottom w:val="single" w:sz="4" w:space="0" w:color="auto"/>
            </w:tcBorders>
            <w:vAlign w:val="center"/>
            <w:hideMark/>
          </w:tcPr>
          <w:p w14:paraId="554B1223"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Estatística F (gl = 1; 25)</w:t>
            </w:r>
          </w:p>
        </w:tc>
        <w:tc>
          <w:tcPr>
            <w:tcW w:w="807" w:type="pct"/>
            <w:tcBorders>
              <w:bottom w:val="single" w:sz="4" w:space="0" w:color="auto"/>
            </w:tcBorders>
            <w:vAlign w:val="center"/>
            <w:hideMark/>
          </w:tcPr>
          <w:p w14:paraId="3C03AE18"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14.70392</w:t>
            </w:r>
            <w:r w:rsidRPr="00CA6A46">
              <w:rPr>
                <w:rFonts w:ascii="Times New Roman" w:eastAsia="Times New Roman" w:hAnsi="Times New Roman" w:cs="Times New Roman"/>
                <w:sz w:val="20"/>
                <w:szCs w:val="20"/>
                <w:vertAlign w:val="superscript"/>
                <w:lang w:eastAsia="pt-BR"/>
              </w:rPr>
              <w:t>***</w:t>
            </w:r>
          </w:p>
        </w:tc>
        <w:tc>
          <w:tcPr>
            <w:tcW w:w="838" w:type="pct"/>
            <w:gridSpan w:val="2"/>
            <w:tcBorders>
              <w:bottom w:val="single" w:sz="4" w:space="0" w:color="auto"/>
            </w:tcBorders>
            <w:vAlign w:val="center"/>
            <w:hideMark/>
          </w:tcPr>
          <w:p w14:paraId="743A9F57"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8.36595</w:t>
            </w:r>
            <w:r w:rsidRPr="00CA6A46">
              <w:rPr>
                <w:rFonts w:ascii="Times New Roman" w:eastAsia="Times New Roman" w:hAnsi="Times New Roman" w:cs="Times New Roman"/>
                <w:sz w:val="20"/>
                <w:szCs w:val="20"/>
                <w:vertAlign w:val="superscript"/>
                <w:lang w:eastAsia="pt-BR"/>
              </w:rPr>
              <w:t>***</w:t>
            </w:r>
          </w:p>
        </w:tc>
        <w:tc>
          <w:tcPr>
            <w:tcW w:w="837" w:type="pct"/>
            <w:gridSpan w:val="2"/>
            <w:tcBorders>
              <w:bottom w:val="single" w:sz="4" w:space="0" w:color="auto"/>
            </w:tcBorders>
            <w:vAlign w:val="center"/>
            <w:hideMark/>
          </w:tcPr>
          <w:p w14:paraId="07FFB788"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4.79424</w:t>
            </w:r>
            <w:r w:rsidRPr="00CA6A46">
              <w:rPr>
                <w:rFonts w:ascii="Times New Roman" w:eastAsia="Times New Roman" w:hAnsi="Times New Roman" w:cs="Times New Roman"/>
                <w:sz w:val="20"/>
                <w:szCs w:val="20"/>
                <w:vertAlign w:val="superscript"/>
                <w:lang w:eastAsia="pt-BR"/>
              </w:rPr>
              <w:t>**</w:t>
            </w:r>
          </w:p>
        </w:tc>
        <w:tc>
          <w:tcPr>
            <w:tcW w:w="1002" w:type="pct"/>
            <w:gridSpan w:val="2"/>
            <w:tcBorders>
              <w:bottom w:val="single" w:sz="4" w:space="0" w:color="auto"/>
            </w:tcBorders>
            <w:vAlign w:val="center"/>
            <w:hideMark/>
          </w:tcPr>
          <w:p w14:paraId="783097AC" w14:textId="77777777" w:rsidR="00AC0685" w:rsidRPr="00CA6A46" w:rsidRDefault="00AC0685" w:rsidP="005679D7">
            <w:pPr>
              <w:spacing w:after="0" w:line="240" w:lineRule="auto"/>
              <w:jc w:val="center"/>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lang w:eastAsia="pt-BR"/>
              </w:rPr>
              <w:t>7.56335</w:t>
            </w:r>
            <w:r w:rsidRPr="00CA6A46">
              <w:rPr>
                <w:rFonts w:ascii="Times New Roman" w:eastAsia="Times New Roman" w:hAnsi="Times New Roman" w:cs="Times New Roman"/>
                <w:sz w:val="20"/>
                <w:szCs w:val="20"/>
                <w:vertAlign w:val="superscript"/>
                <w:lang w:eastAsia="pt-BR"/>
              </w:rPr>
              <w:t>**</w:t>
            </w:r>
          </w:p>
        </w:tc>
      </w:tr>
      <w:tr w:rsidR="00AC0685" w:rsidRPr="00CA6A46" w14:paraId="46DEC465" w14:textId="77777777" w:rsidTr="00C4526A">
        <w:trPr>
          <w:trHeight w:val="284"/>
          <w:tblCellSpacing w:w="15" w:type="dxa"/>
        </w:trPr>
        <w:tc>
          <w:tcPr>
            <w:tcW w:w="1416" w:type="pct"/>
            <w:vAlign w:val="center"/>
            <w:hideMark/>
          </w:tcPr>
          <w:p w14:paraId="7504E63B" w14:textId="77777777" w:rsidR="00AC0685" w:rsidRPr="00CA6A46" w:rsidRDefault="00AC0685" w:rsidP="005679D7">
            <w:pPr>
              <w:spacing w:after="0" w:line="240" w:lineRule="auto"/>
              <w:rPr>
                <w:rFonts w:ascii="Times New Roman" w:eastAsia="Times New Roman" w:hAnsi="Times New Roman" w:cs="Times New Roman"/>
                <w:sz w:val="20"/>
                <w:szCs w:val="20"/>
                <w:lang w:eastAsia="pt-BR"/>
              </w:rPr>
            </w:pPr>
            <w:r w:rsidRPr="00CA6A46">
              <w:rPr>
                <w:rFonts w:ascii="Times New Roman" w:eastAsia="Times New Roman" w:hAnsi="Times New Roman" w:cs="Times New Roman"/>
                <w:i/>
                <w:iCs/>
                <w:sz w:val="20"/>
                <w:szCs w:val="20"/>
                <w:lang w:eastAsia="pt-BR"/>
              </w:rPr>
              <w:t>Nota:</w:t>
            </w:r>
          </w:p>
        </w:tc>
        <w:tc>
          <w:tcPr>
            <w:tcW w:w="3534" w:type="pct"/>
            <w:gridSpan w:val="7"/>
            <w:vAlign w:val="center"/>
            <w:hideMark/>
          </w:tcPr>
          <w:p w14:paraId="580159CC" w14:textId="77777777" w:rsidR="00AC0685" w:rsidRPr="00CA6A46" w:rsidRDefault="00AC0685" w:rsidP="005679D7">
            <w:pPr>
              <w:spacing w:after="0" w:line="240" w:lineRule="auto"/>
              <w:jc w:val="right"/>
              <w:rPr>
                <w:rFonts w:ascii="Times New Roman" w:eastAsia="Times New Roman" w:hAnsi="Times New Roman" w:cs="Times New Roman"/>
                <w:sz w:val="20"/>
                <w:szCs w:val="20"/>
                <w:lang w:eastAsia="pt-BR"/>
              </w:rPr>
            </w:pPr>
            <w:r w:rsidRPr="00CA6A46">
              <w:rPr>
                <w:rFonts w:ascii="Times New Roman" w:eastAsia="Times New Roman" w:hAnsi="Times New Roman" w:cs="Times New Roman"/>
                <w:sz w:val="20"/>
                <w:szCs w:val="20"/>
                <w:vertAlign w:val="superscript"/>
                <w:lang w:eastAsia="pt-BR"/>
              </w:rPr>
              <w:t>*</w:t>
            </w:r>
            <w:r w:rsidRPr="00CA6A46">
              <w:rPr>
                <w:rFonts w:ascii="Times New Roman" w:eastAsia="Times New Roman" w:hAnsi="Times New Roman" w:cs="Times New Roman"/>
                <w:sz w:val="20"/>
                <w:szCs w:val="20"/>
                <w:lang w:eastAsia="pt-BR"/>
              </w:rPr>
              <w:t xml:space="preserve">p&lt;0.1; </w:t>
            </w:r>
            <w:r w:rsidRPr="00CA6A46">
              <w:rPr>
                <w:rFonts w:ascii="Times New Roman" w:eastAsia="Times New Roman" w:hAnsi="Times New Roman" w:cs="Times New Roman"/>
                <w:sz w:val="20"/>
                <w:szCs w:val="20"/>
                <w:vertAlign w:val="superscript"/>
                <w:lang w:eastAsia="pt-BR"/>
              </w:rPr>
              <w:t>**</w:t>
            </w:r>
            <w:r w:rsidRPr="00CA6A46">
              <w:rPr>
                <w:rFonts w:ascii="Times New Roman" w:eastAsia="Times New Roman" w:hAnsi="Times New Roman" w:cs="Times New Roman"/>
                <w:sz w:val="20"/>
                <w:szCs w:val="20"/>
                <w:lang w:eastAsia="pt-BR"/>
              </w:rPr>
              <w:t xml:space="preserve">p&lt;0.05; </w:t>
            </w:r>
            <w:r w:rsidRPr="00CA6A46">
              <w:rPr>
                <w:rFonts w:ascii="Times New Roman" w:eastAsia="Times New Roman" w:hAnsi="Times New Roman" w:cs="Times New Roman"/>
                <w:sz w:val="20"/>
                <w:szCs w:val="20"/>
                <w:vertAlign w:val="superscript"/>
                <w:lang w:eastAsia="pt-BR"/>
              </w:rPr>
              <w:t>***</w:t>
            </w:r>
            <w:r w:rsidRPr="00CA6A46">
              <w:rPr>
                <w:rFonts w:ascii="Times New Roman" w:eastAsia="Times New Roman" w:hAnsi="Times New Roman" w:cs="Times New Roman"/>
                <w:sz w:val="20"/>
                <w:szCs w:val="20"/>
                <w:lang w:eastAsia="pt-BR"/>
              </w:rPr>
              <w:t>p&lt;0.01</w:t>
            </w:r>
          </w:p>
        </w:tc>
      </w:tr>
    </w:tbl>
    <w:p w14:paraId="6B2135FF" w14:textId="00805EF9" w:rsidR="00AC0685" w:rsidRDefault="00AC0685" w:rsidP="00900914">
      <w:pPr>
        <w:pStyle w:val="Corpodetexto"/>
        <w:spacing w:after="0" w:line="360" w:lineRule="auto"/>
        <w:rPr>
          <w:rFonts w:ascii="Times New Roman" w:hAnsi="Times New Roman" w:cs="Times New Roman"/>
          <w:sz w:val="20"/>
          <w:szCs w:val="20"/>
        </w:rPr>
      </w:pPr>
      <w:r w:rsidRPr="00CA6A46">
        <w:rPr>
          <w:rFonts w:ascii="Times New Roman" w:hAnsi="Times New Roman" w:cs="Times New Roman"/>
          <w:sz w:val="20"/>
          <w:szCs w:val="20"/>
        </w:rPr>
        <w:t>Fonte: Elaboração própria com base nas estimações a partir de dados do IPEADATA.</w:t>
      </w:r>
    </w:p>
    <w:p w14:paraId="57C836D2" w14:textId="77777777" w:rsidR="00C4526A" w:rsidRPr="00CA6A46" w:rsidRDefault="00C4526A" w:rsidP="00900914">
      <w:pPr>
        <w:pStyle w:val="Corpodetexto"/>
        <w:spacing w:after="0" w:line="360" w:lineRule="auto"/>
        <w:rPr>
          <w:rFonts w:ascii="Times New Roman" w:hAnsi="Times New Roman" w:cs="Times New Roman"/>
          <w:sz w:val="20"/>
          <w:szCs w:val="20"/>
        </w:rPr>
      </w:pPr>
    </w:p>
    <w:p w14:paraId="6AA15283" w14:textId="77777777" w:rsidR="00FF3298" w:rsidRDefault="00FF3298" w:rsidP="00FF3298">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As estimativas demonstram que os resultados apresentaram resultados negativos e estatisticamente significantes com, pelo menos, 95% de confiança. De forma geral os resultados demonstram coeficientes significativamente pequenos, tanto para o período completo com usando o intervalo de 30 anos, quanto para os recortes de subperíodos. Esses resultados são </w:t>
      </w:r>
      <w:r w:rsidRPr="00CA6A46">
        <w:rPr>
          <w:rFonts w:ascii="Times New Roman" w:hAnsi="Times New Roman" w:cs="Times New Roman"/>
          <w:sz w:val="24"/>
          <w:szCs w:val="24"/>
        </w:rPr>
        <w:lastRenderedPageBreak/>
        <w:t xml:space="preserve">indícios que os estados brasileiros possuem características muito distintas em relação aos determinantes da acumulação de capital. </w:t>
      </w:r>
    </w:p>
    <w:p w14:paraId="37EA9C71" w14:textId="77777777" w:rsidR="00C4526A" w:rsidRPr="00CA6A46" w:rsidRDefault="00C4526A" w:rsidP="00C4526A">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Em relação ao intervalo entre 1989 a 2019 o teste resultou em uma velocidade de convergência anual de 0,247% entre os estados. Isso significa que somente passados 280 anos poderíamos reduzir pela metade as divergências entre os estados, se as condições de acumulação de capital dadas não se modificarem. Os problemas regionais se mostram como historicamente persistentes e a atuação das forças de mercado, ainda que estejam produzindo uma tendência de convergência, não são suficientes para redução das desigualdades em um período factível.</w:t>
      </w:r>
    </w:p>
    <w:p w14:paraId="05E5912E" w14:textId="49E74B6C" w:rsidR="00AC0685" w:rsidRDefault="00AC0685"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Como pode se visualizar </w:t>
      </w:r>
      <w:r w:rsidR="00004ADA" w:rsidRPr="00CA6A46">
        <w:rPr>
          <w:rFonts w:ascii="Times New Roman" w:hAnsi="Times New Roman" w:cs="Times New Roman"/>
          <w:sz w:val="24"/>
          <w:szCs w:val="24"/>
        </w:rPr>
        <w:t>na Figura 2</w:t>
      </w:r>
      <w:r w:rsidRPr="00CA6A46">
        <w:rPr>
          <w:rFonts w:ascii="Times New Roman" w:hAnsi="Times New Roman" w:cs="Times New Roman"/>
          <w:sz w:val="24"/>
          <w:szCs w:val="24"/>
        </w:rPr>
        <w:t>, apesar do aumento considerável no nível de produto de todos os estados criaram-se novas desigualdades.</w:t>
      </w:r>
    </w:p>
    <w:p w14:paraId="49455449" w14:textId="77777777" w:rsidR="00FF3298" w:rsidRPr="00CA6A46" w:rsidRDefault="00FF3298" w:rsidP="00900914">
      <w:pPr>
        <w:pStyle w:val="Corpodetexto"/>
        <w:spacing w:after="0" w:line="360" w:lineRule="auto"/>
        <w:ind w:firstLine="709"/>
        <w:jc w:val="both"/>
        <w:rPr>
          <w:rFonts w:ascii="Times New Roman" w:hAnsi="Times New Roman" w:cs="Times New Roman"/>
          <w:sz w:val="24"/>
          <w:szCs w:val="24"/>
        </w:rPr>
      </w:pPr>
    </w:p>
    <w:p w14:paraId="24228A3A" w14:textId="7B13477C" w:rsidR="00AC0685" w:rsidRPr="00CA6A46" w:rsidRDefault="00004ADA" w:rsidP="008408EB">
      <w:pPr>
        <w:pStyle w:val="Corpodetexto"/>
        <w:spacing w:after="0" w:line="240" w:lineRule="auto"/>
        <w:jc w:val="both"/>
        <w:rPr>
          <w:rFonts w:ascii="Times New Roman" w:hAnsi="Times New Roman" w:cs="Times New Roman"/>
          <w:sz w:val="24"/>
          <w:szCs w:val="24"/>
        </w:rPr>
      </w:pPr>
      <w:r w:rsidRPr="00CA6A46">
        <w:rPr>
          <w:rFonts w:ascii="Times New Roman" w:hAnsi="Times New Roman" w:cs="Times New Roman"/>
          <w:sz w:val="24"/>
          <w:szCs w:val="24"/>
        </w:rPr>
        <w:t>Figura 2</w:t>
      </w:r>
      <w:r w:rsidR="00AC0685" w:rsidRPr="00CA6A46">
        <w:rPr>
          <w:rFonts w:ascii="Times New Roman" w:hAnsi="Times New Roman" w:cs="Times New Roman"/>
          <w:sz w:val="24"/>
          <w:szCs w:val="24"/>
        </w:rPr>
        <w:t xml:space="preserve"> – PIB </w:t>
      </w:r>
      <w:r w:rsidR="00AC0685" w:rsidRPr="00CA6A46">
        <w:rPr>
          <w:rFonts w:ascii="Times New Roman" w:hAnsi="Times New Roman" w:cs="Times New Roman"/>
          <w:i/>
          <w:iCs/>
          <w:sz w:val="24"/>
          <w:szCs w:val="24"/>
        </w:rPr>
        <w:t>per capita</w:t>
      </w:r>
      <w:r w:rsidR="00AC0685" w:rsidRPr="00CA6A46">
        <w:rPr>
          <w:rFonts w:ascii="Times New Roman" w:hAnsi="Times New Roman" w:cs="Times New Roman"/>
          <w:sz w:val="24"/>
          <w:szCs w:val="24"/>
        </w:rPr>
        <w:t xml:space="preserve"> nos estados do Brasil em 1985 e em 2019</w:t>
      </w:r>
    </w:p>
    <w:p w14:paraId="5C1D9442" w14:textId="77777777" w:rsidR="00AC0685" w:rsidRPr="00CA6A46" w:rsidRDefault="00AC0685" w:rsidP="008408EB">
      <w:pPr>
        <w:pStyle w:val="Corpodetexto"/>
        <w:spacing w:after="0" w:line="240" w:lineRule="auto"/>
        <w:rPr>
          <w:rFonts w:ascii="Times New Roman" w:hAnsi="Times New Roman" w:cs="Times New Roman"/>
          <w:sz w:val="24"/>
          <w:szCs w:val="24"/>
        </w:rPr>
      </w:pPr>
      <w:r w:rsidRPr="00CA6A46">
        <w:rPr>
          <w:rFonts w:ascii="Times New Roman" w:hAnsi="Times New Roman" w:cs="Times New Roman"/>
          <w:noProof/>
          <w:sz w:val="24"/>
          <w:szCs w:val="24"/>
          <w:lang w:eastAsia="pt-BR"/>
        </w:rPr>
        <w:drawing>
          <wp:inline distT="0" distB="0" distL="0" distR="0" wp14:anchorId="799D4CFF" wp14:editId="5D9172AD">
            <wp:extent cx="2878984" cy="2498756"/>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3220" b="3209"/>
                    <a:stretch/>
                  </pic:blipFill>
                  <pic:spPr bwMode="auto">
                    <a:xfrm>
                      <a:off x="0" y="0"/>
                      <a:ext cx="2880000" cy="2499638"/>
                    </a:xfrm>
                    <a:prstGeom prst="rect">
                      <a:avLst/>
                    </a:prstGeom>
                    <a:ln>
                      <a:noFill/>
                    </a:ln>
                    <a:extLst>
                      <a:ext uri="{53640926-AAD7-44D8-BBD7-CCE9431645EC}">
                        <a14:shadowObscured xmlns:a14="http://schemas.microsoft.com/office/drawing/2010/main"/>
                      </a:ext>
                    </a:extLst>
                  </pic:spPr>
                </pic:pic>
              </a:graphicData>
            </a:graphic>
          </wp:inline>
        </w:drawing>
      </w:r>
      <w:r w:rsidRPr="00CA6A46">
        <w:rPr>
          <w:rFonts w:ascii="Times New Roman" w:hAnsi="Times New Roman" w:cs="Times New Roman"/>
          <w:noProof/>
          <w:sz w:val="24"/>
          <w:szCs w:val="24"/>
          <w:lang w:eastAsia="pt-BR"/>
        </w:rPr>
        <w:drawing>
          <wp:inline distT="0" distB="0" distL="0" distR="0" wp14:anchorId="6A201FFD" wp14:editId="3FD6A64B">
            <wp:extent cx="2879090" cy="2498439"/>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887" b="3400"/>
                    <a:stretch/>
                  </pic:blipFill>
                  <pic:spPr bwMode="auto">
                    <a:xfrm>
                      <a:off x="0" y="0"/>
                      <a:ext cx="2880000" cy="2499229"/>
                    </a:xfrm>
                    <a:prstGeom prst="rect">
                      <a:avLst/>
                    </a:prstGeom>
                    <a:ln>
                      <a:noFill/>
                    </a:ln>
                    <a:extLst>
                      <a:ext uri="{53640926-AAD7-44D8-BBD7-CCE9431645EC}">
                        <a14:shadowObscured xmlns:a14="http://schemas.microsoft.com/office/drawing/2010/main"/>
                      </a:ext>
                    </a:extLst>
                  </pic:spPr>
                </pic:pic>
              </a:graphicData>
            </a:graphic>
          </wp:inline>
        </w:drawing>
      </w:r>
    </w:p>
    <w:p w14:paraId="55A305F4" w14:textId="77777777" w:rsidR="005679D7" w:rsidRDefault="00AC0685" w:rsidP="008408EB">
      <w:pPr>
        <w:pStyle w:val="Corpodetexto"/>
        <w:spacing w:after="0" w:line="240" w:lineRule="auto"/>
        <w:rPr>
          <w:rFonts w:ascii="Times New Roman" w:hAnsi="Times New Roman" w:cs="Times New Roman"/>
          <w:sz w:val="24"/>
          <w:szCs w:val="24"/>
        </w:rPr>
      </w:pPr>
      <w:r w:rsidRPr="00CA6A46">
        <w:rPr>
          <w:rFonts w:ascii="Times New Roman" w:hAnsi="Times New Roman" w:cs="Times New Roman"/>
          <w:sz w:val="24"/>
          <w:szCs w:val="24"/>
        </w:rPr>
        <w:t>Fonte: Elaboração própria com base em dados da pesquisa.</w:t>
      </w:r>
    </w:p>
    <w:p w14:paraId="75CD82DD" w14:textId="0ED9D3E7" w:rsidR="00AC0685" w:rsidRPr="00CA6A46" w:rsidRDefault="00AC0685" w:rsidP="008408EB">
      <w:pPr>
        <w:pStyle w:val="Corpodetexto"/>
        <w:spacing w:after="0" w:line="240" w:lineRule="auto"/>
        <w:rPr>
          <w:rFonts w:ascii="Times New Roman" w:hAnsi="Times New Roman" w:cs="Times New Roman"/>
          <w:sz w:val="24"/>
          <w:szCs w:val="24"/>
        </w:rPr>
      </w:pPr>
      <w:r w:rsidRPr="00CA6A46">
        <w:rPr>
          <w:rFonts w:ascii="Times New Roman" w:hAnsi="Times New Roman" w:cs="Times New Roman"/>
          <w:sz w:val="24"/>
          <w:szCs w:val="24"/>
        </w:rPr>
        <w:t>Nota: Em milhares de reais a preços de 2010.</w:t>
      </w:r>
    </w:p>
    <w:p w14:paraId="68223EC9" w14:textId="77777777" w:rsidR="00AC0685" w:rsidRPr="00CA6A46" w:rsidRDefault="00AC0685" w:rsidP="00900914">
      <w:pPr>
        <w:pStyle w:val="Corpodetexto"/>
        <w:spacing w:after="0" w:line="360" w:lineRule="auto"/>
        <w:jc w:val="both"/>
        <w:rPr>
          <w:rFonts w:ascii="Times New Roman" w:hAnsi="Times New Roman" w:cs="Times New Roman"/>
          <w:sz w:val="24"/>
          <w:szCs w:val="24"/>
        </w:rPr>
      </w:pPr>
    </w:p>
    <w:p w14:paraId="72CE7A55" w14:textId="77777777" w:rsidR="00B32120" w:rsidRPr="00CA6A46" w:rsidRDefault="00B32120" w:rsidP="00B32120">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O Gráfico 1, mostra o comportamento da convergência no período, a linha pontilhada é a reta de regressão estimada no teste de convergência, a linha vermelha é a regressão polinomial local que possibilita uma visualização melhor do comportamento dos dados (FAN; GIJBELS, 2018) e a área sombreada é seu intervalo de 95% de confiança. </w:t>
      </w:r>
    </w:p>
    <w:p w14:paraId="3FACD4CE" w14:textId="77777777" w:rsidR="00976E75" w:rsidRDefault="00976E75" w:rsidP="00C4526A">
      <w:pPr>
        <w:pStyle w:val="FirstParagraph"/>
        <w:spacing w:before="0" w:after="0"/>
        <w:jc w:val="both"/>
        <w:rPr>
          <w:rFonts w:ascii="Times New Roman" w:hAnsi="Times New Roman" w:cs="Times New Roman"/>
          <w:noProof/>
          <w:lang w:val="pt-BR"/>
        </w:rPr>
      </w:pPr>
    </w:p>
    <w:p w14:paraId="256F3515" w14:textId="78145925" w:rsidR="00AC0685" w:rsidRPr="00CA6A46" w:rsidRDefault="00AC0685" w:rsidP="00C4526A">
      <w:pPr>
        <w:pStyle w:val="FirstParagraph"/>
        <w:spacing w:before="0" w:after="0"/>
        <w:jc w:val="both"/>
        <w:rPr>
          <w:rFonts w:ascii="Times New Roman" w:hAnsi="Times New Roman" w:cs="Times New Roman"/>
          <w:noProof/>
          <w:lang w:val="pt-BR"/>
        </w:rPr>
      </w:pPr>
      <w:r w:rsidRPr="00CA6A46">
        <w:rPr>
          <w:rFonts w:ascii="Times New Roman" w:hAnsi="Times New Roman" w:cs="Times New Roman"/>
          <w:noProof/>
          <w:lang w:val="pt-BR"/>
        </w:rPr>
        <w:lastRenderedPageBreak/>
        <w:t xml:space="preserve">Gráfico 1 – Relação entre crescimento econômico entre 1989-2019 e nível de produto </w:t>
      </w:r>
      <w:r w:rsidRPr="00CA6A46">
        <w:rPr>
          <w:rFonts w:ascii="Times New Roman" w:hAnsi="Times New Roman" w:cs="Times New Roman"/>
          <w:i/>
          <w:iCs/>
          <w:noProof/>
          <w:lang w:val="pt-BR"/>
        </w:rPr>
        <w:t xml:space="preserve">per capita </w:t>
      </w:r>
      <w:r w:rsidRPr="00CA6A46">
        <w:rPr>
          <w:rFonts w:ascii="Times New Roman" w:hAnsi="Times New Roman" w:cs="Times New Roman"/>
          <w:noProof/>
          <w:lang w:val="pt-BR"/>
        </w:rPr>
        <w:t>em 1989</w:t>
      </w:r>
    </w:p>
    <w:p w14:paraId="36543887" w14:textId="77777777" w:rsidR="00AC0685" w:rsidRPr="00CA6A46" w:rsidRDefault="00AC0685" w:rsidP="00C4526A">
      <w:pPr>
        <w:pStyle w:val="FirstParagraph"/>
        <w:spacing w:before="0" w:after="0"/>
        <w:jc w:val="center"/>
        <w:rPr>
          <w:rFonts w:ascii="Times New Roman" w:hAnsi="Times New Roman" w:cs="Times New Roman"/>
        </w:rPr>
      </w:pPr>
      <w:r w:rsidRPr="00CA6A46">
        <w:rPr>
          <w:rFonts w:ascii="Times New Roman" w:hAnsi="Times New Roman" w:cs="Times New Roman"/>
          <w:noProof/>
          <w:lang w:val="pt-BR" w:eastAsia="pt-BR"/>
        </w:rPr>
        <w:drawing>
          <wp:inline distT="0" distB="0" distL="0" distR="0" wp14:anchorId="33D540D3" wp14:editId="603BC132">
            <wp:extent cx="4902028" cy="3240000"/>
            <wp:effectExtent l="19050" t="19050" r="13335" b="17780"/>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pic:nvPicPr>
                  <pic:blipFill rotWithShape="1">
                    <a:blip r:embed="rId11"/>
                    <a:srcRect t="8169" b="9224"/>
                    <a:stretch/>
                  </pic:blipFill>
                  <pic:spPr bwMode="auto">
                    <a:xfrm>
                      <a:off x="0" y="0"/>
                      <a:ext cx="4902028" cy="3240000"/>
                    </a:xfrm>
                    <a:prstGeom prst="rect">
                      <a:avLst/>
                    </a:prstGeom>
                    <a:noFill/>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8095AF9" w14:textId="77777777" w:rsidR="00AC0685" w:rsidRPr="00CA6A46" w:rsidRDefault="00AC0685" w:rsidP="00C4526A">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 xml:space="preserve">Fonte: Elaboração própria conforme dados do IPEADATA. </w:t>
      </w:r>
    </w:p>
    <w:p w14:paraId="79F3EAAE" w14:textId="77777777" w:rsidR="00AC0685" w:rsidRPr="00CA6A46" w:rsidRDefault="00AC0685" w:rsidP="00C4526A">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Nota: dados linearizados utilizando logaritmo natural.</w:t>
      </w:r>
    </w:p>
    <w:p w14:paraId="1D7F0874" w14:textId="77777777" w:rsidR="00AC0685" w:rsidRPr="00CA6A46" w:rsidRDefault="00AC0685" w:rsidP="00C4526A">
      <w:pPr>
        <w:pStyle w:val="Corpodetexto"/>
        <w:spacing w:after="0" w:line="240" w:lineRule="auto"/>
        <w:ind w:firstLine="709"/>
        <w:jc w:val="both"/>
        <w:rPr>
          <w:rFonts w:ascii="Times New Roman" w:hAnsi="Times New Roman" w:cs="Times New Roman"/>
          <w:sz w:val="24"/>
          <w:szCs w:val="24"/>
        </w:rPr>
      </w:pPr>
    </w:p>
    <w:p w14:paraId="793CC854" w14:textId="77777777" w:rsidR="00C4526A" w:rsidRPr="00CA6A46" w:rsidRDefault="00C4526A" w:rsidP="00C4526A">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É possível destacar que o Distrito Federal é o estado com maior nível de produto </w:t>
      </w:r>
      <w:r w:rsidRPr="00CA6A46">
        <w:rPr>
          <w:rFonts w:ascii="Times New Roman" w:hAnsi="Times New Roman" w:cs="Times New Roman"/>
          <w:i/>
          <w:iCs/>
          <w:sz w:val="24"/>
          <w:szCs w:val="24"/>
        </w:rPr>
        <w:t xml:space="preserve">per capita </w:t>
      </w:r>
      <w:r w:rsidRPr="00CA6A46">
        <w:rPr>
          <w:rFonts w:ascii="Times New Roman" w:hAnsi="Times New Roman" w:cs="Times New Roman"/>
          <w:sz w:val="24"/>
          <w:szCs w:val="24"/>
        </w:rPr>
        <w:t xml:space="preserve">do país e o Ceará o menor, no entanto, esses não foram os estados que apresentaram, respectivamente a menor e a maior taxa de crescimento econômico. O estado do Mato Grosso produziu um alto crescimento econômico partindo de um nível de produto </w:t>
      </w:r>
      <w:r w:rsidRPr="00CA6A46">
        <w:rPr>
          <w:rFonts w:ascii="Times New Roman" w:hAnsi="Times New Roman" w:cs="Times New Roman"/>
          <w:i/>
          <w:iCs/>
          <w:sz w:val="24"/>
          <w:szCs w:val="24"/>
        </w:rPr>
        <w:t xml:space="preserve">per capita </w:t>
      </w:r>
      <w:r w:rsidRPr="00CA6A46">
        <w:rPr>
          <w:rFonts w:ascii="Times New Roman" w:hAnsi="Times New Roman" w:cs="Times New Roman"/>
          <w:sz w:val="24"/>
          <w:szCs w:val="24"/>
        </w:rPr>
        <w:t>semelhante à de estados mais pobres como Amazonas, Pará e Acre, enquanto o Rio de Janeiro partiu de um nível de produto elevado e foi o único estado do país a apresentar retração econômica nos 30 anos avaliados.</w:t>
      </w:r>
    </w:p>
    <w:p w14:paraId="57F1CFC2" w14:textId="323D451C" w:rsidR="000B4B25" w:rsidRPr="00CA6A46" w:rsidRDefault="00AC0685"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Ao realizar um recorte temporal para os anos entre 1989 e 2002</w:t>
      </w:r>
      <w:r w:rsidR="000B4B25" w:rsidRPr="00CA6A46">
        <w:rPr>
          <w:rFonts w:ascii="Times New Roman" w:hAnsi="Times New Roman" w:cs="Times New Roman"/>
          <w:sz w:val="24"/>
          <w:szCs w:val="24"/>
        </w:rPr>
        <w:t xml:space="preserve"> (Gráfico 2)</w:t>
      </w:r>
      <w:r w:rsidRPr="00CA6A46">
        <w:rPr>
          <w:rFonts w:ascii="Times New Roman" w:hAnsi="Times New Roman" w:cs="Times New Roman"/>
          <w:sz w:val="24"/>
          <w:szCs w:val="24"/>
        </w:rPr>
        <w:t xml:space="preserve">, os resultados dos testes apontam para uma trajetória mais célere de convergência quando comparado a outros períodos, sendo a velocidade de convergência anual de 0,651%, implicando em uma meia vida de 106 anos. </w:t>
      </w:r>
    </w:p>
    <w:p w14:paraId="640E8D75" w14:textId="77777777" w:rsidR="005679D7" w:rsidRPr="00CA6A46" w:rsidRDefault="005679D7" w:rsidP="005679D7">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Quando se analisa graficamente é possível observar não linearidades importantes; em primeiro lugar entre as economias mais pobres parece ter imperado uma tendência de divergência; em segundo lugar, apesar da convergência ter se observado entre os estados com </w:t>
      </w:r>
      <w:r w:rsidRPr="00CA6A46">
        <w:rPr>
          <w:rFonts w:ascii="Times New Roman" w:hAnsi="Times New Roman" w:cs="Times New Roman"/>
          <w:sz w:val="24"/>
          <w:szCs w:val="24"/>
        </w:rPr>
        <w:lastRenderedPageBreak/>
        <w:t>níveis de produto em torno da média essa se deu em um ambiente de recessão indicando uma convergência para um nível de produto menor.</w:t>
      </w:r>
    </w:p>
    <w:p w14:paraId="72BC175F" w14:textId="1D316B7B" w:rsidR="00AC0685" w:rsidRPr="00CA6A46" w:rsidRDefault="00AC0685" w:rsidP="00900914">
      <w:pPr>
        <w:pStyle w:val="Corpodetexto"/>
        <w:spacing w:after="0" w:line="360" w:lineRule="auto"/>
        <w:ind w:firstLine="709"/>
        <w:jc w:val="both"/>
        <w:rPr>
          <w:rFonts w:ascii="Times New Roman" w:hAnsi="Times New Roman" w:cs="Times New Roman"/>
          <w:sz w:val="24"/>
          <w:szCs w:val="24"/>
        </w:rPr>
      </w:pPr>
    </w:p>
    <w:p w14:paraId="619D2180" w14:textId="77777777" w:rsidR="00AC0685" w:rsidRPr="00CA6A46" w:rsidRDefault="00AC0685" w:rsidP="00FF3298">
      <w:pPr>
        <w:pStyle w:val="FirstParagraph"/>
        <w:spacing w:before="0" w:after="0"/>
        <w:jc w:val="both"/>
        <w:rPr>
          <w:rFonts w:ascii="Times New Roman" w:hAnsi="Times New Roman" w:cs="Times New Roman"/>
          <w:noProof/>
          <w:lang w:val="pt-BR"/>
        </w:rPr>
      </w:pPr>
      <w:r w:rsidRPr="00CA6A46">
        <w:rPr>
          <w:rFonts w:ascii="Times New Roman" w:hAnsi="Times New Roman" w:cs="Times New Roman"/>
          <w:noProof/>
          <w:lang w:val="pt-BR"/>
        </w:rPr>
        <w:t xml:space="preserve">Gráfico 2 – Relação entre crescimento econômico entre 1989-2002 e nível de produto </w:t>
      </w:r>
      <w:r w:rsidRPr="00CA6A46">
        <w:rPr>
          <w:rFonts w:ascii="Times New Roman" w:hAnsi="Times New Roman" w:cs="Times New Roman"/>
          <w:i/>
          <w:iCs/>
          <w:noProof/>
          <w:lang w:val="pt-BR"/>
        </w:rPr>
        <w:t xml:space="preserve">per capita </w:t>
      </w:r>
      <w:r w:rsidRPr="00CA6A46">
        <w:rPr>
          <w:rFonts w:ascii="Times New Roman" w:hAnsi="Times New Roman" w:cs="Times New Roman"/>
          <w:noProof/>
          <w:lang w:val="pt-BR"/>
        </w:rPr>
        <w:t>em 1989</w:t>
      </w:r>
    </w:p>
    <w:p w14:paraId="641B1AD7" w14:textId="77777777" w:rsidR="00AC0685" w:rsidRPr="00CA6A46" w:rsidRDefault="00AC0685" w:rsidP="00FF3298">
      <w:pPr>
        <w:pStyle w:val="FirstParagraph"/>
        <w:spacing w:before="0" w:after="0"/>
        <w:jc w:val="center"/>
        <w:rPr>
          <w:rFonts w:ascii="Times New Roman" w:hAnsi="Times New Roman" w:cs="Times New Roman"/>
        </w:rPr>
      </w:pPr>
      <w:r w:rsidRPr="00CA6A46">
        <w:rPr>
          <w:rFonts w:ascii="Times New Roman" w:hAnsi="Times New Roman" w:cs="Times New Roman"/>
          <w:noProof/>
          <w:lang w:val="pt-BR" w:eastAsia="pt-BR"/>
        </w:rPr>
        <w:drawing>
          <wp:inline distT="0" distB="0" distL="0" distR="0" wp14:anchorId="746AE69A" wp14:editId="2D6C1657">
            <wp:extent cx="4750765" cy="3240000"/>
            <wp:effectExtent l="19050" t="19050" r="12065" b="17780"/>
            <wp:docPr id="2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pic:cNvPicPr/>
                  </pic:nvPicPr>
                  <pic:blipFill rotWithShape="1">
                    <a:blip r:embed="rId12"/>
                    <a:srcRect t="5948" b="8815"/>
                    <a:stretch/>
                  </pic:blipFill>
                  <pic:spPr bwMode="auto">
                    <a:xfrm>
                      <a:off x="0" y="0"/>
                      <a:ext cx="4750765" cy="3240000"/>
                    </a:xfrm>
                    <a:prstGeom prst="rect">
                      <a:avLst/>
                    </a:prstGeom>
                    <a:noFill/>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E1A728" w14:textId="77777777" w:rsidR="00AC0685" w:rsidRPr="00CA6A46" w:rsidRDefault="00AC0685" w:rsidP="00FF3298">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 xml:space="preserve">Fonte: Elaboração própria conforme dados do IPEADATA. </w:t>
      </w:r>
    </w:p>
    <w:p w14:paraId="31D6AFCE" w14:textId="77777777" w:rsidR="00AC0685" w:rsidRPr="00CA6A46" w:rsidRDefault="00AC0685" w:rsidP="00FF3298">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Nota: dados linearizados utilizando logaritmo natural.</w:t>
      </w:r>
    </w:p>
    <w:p w14:paraId="1423387F" w14:textId="77777777" w:rsidR="00AC0685" w:rsidRPr="00CA6A46" w:rsidRDefault="00AC0685" w:rsidP="00900914">
      <w:pPr>
        <w:pStyle w:val="FirstParagraph"/>
        <w:spacing w:before="0" w:after="0" w:line="360" w:lineRule="auto"/>
        <w:jc w:val="center"/>
        <w:rPr>
          <w:rFonts w:ascii="Times New Roman" w:hAnsi="Times New Roman" w:cs="Times New Roman"/>
          <w:lang w:val="pt-BR"/>
        </w:rPr>
      </w:pPr>
    </w:p>
    <w:p w14:paraId="263B1EA1" w14:textId="50C886C7" w:rsidR="00AC0685" w:rsidRPr="00CA6A46" w:rsidRDefault="000B4B25"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Isso significa que a convergência observada se trata de uma trajetória de empobrecimento das maiores economias enquanto as economias pobres apresentavam uma quase estagnação, em outras palavras uma tendência de convergência espúria.</w:t>
      </w:r>
    </w:p>
    <w:p w14:paraId="33D8682A" w14:textId="205834A3" w:rsidR="00AC0685" w:rsidRPr="00CA6A46" w:rsidRDefault="00AC0685" w:rsidP="00900914">
      <w:pPr>
        <w:pStyle w:val="Corpodetexto"/>
        <w:spacing w:after="0" w:line="360" w:lineRule="auto"/>
        <w:ind w:firstLine="709"/>
        <w:jc w:val="both"/>
        <w:rPr>
          <w:rFonts w:ascii="Times New Roman" w:hAnsi="Times New Roman" w:cs="Times New Roman"/>
          <w:noProof/>
          <w:sz w:val="24"/>
          <w:szCs w:val="24"/>
        </w:rPr>
      </w:pPr>
      <w:r w:rsidRPr="00CA6A46">
        <w:rPr>
          <w:rFonts w:ascii="Times New Roman" w:hAnsi="Times New Roman" w:cs="Times New Roman"/>
          <w:sz w:val="24"/>
          <w:szCs w:val="24"/>
        </w:rPr>
        <w:t>O período subsequente, entre 2002 e 2019</w:t>
      </w:r>
      <w:r w:rsidR="000B4B25" w:rsidRPr="00CA6A46">
        <w:rPr>
          <w:rFonts w:ascii="Times New Roman" w:hAnsi="Times New Roman" w:cs="Times New Roman"/>
          <w:sz w:val="24"/>
          <w:szCs w:val="24"/>
        </w:rPr>
        <w:t xml:space="preserve"> (Gráfico 3)</w:t>
      </w:r>
      <w:r w:rsidRPr="00CA6A46">
        <w:rPr>
          <w:rFonts w:ascii="Times New Roman" w:hAnsi="Times New Roman" w:cs="Times New Roman"/>
          <w:sz w:val="24"/>
          <w:szCs w:val="24"/>
        </w:rPr>
        <w:t xml:space="preserve">, também apresenta não linearidades importantes em relação os resultados do teste, porém de maneira bastante distinta. </w:t>
      </w:r>
    </w:p>
    <w:p w14:paraId="5CF1998E" w14:textId="77777777" w:rsidR="005679D7" w:rsidRPr="00CA6A46" w:rsidRDefault="005679D7" w:rsidP="005679D7">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A velocidade de convergência foi de 0,439% ao ano, implicando uma meia vida de 157 anos, o que distingue essa taxa das demais é o fato que a maioria das economias apresentaram dinamicidade de produto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Outro aspecto relevante são os indícios que o regime de crescimento dos estados do Centro-Oeste elevou seu patamar de nível de produto para as proximidades do nível médio entre os estados e, mais importante, esse regime ainda funciona no período entre 2002 e 2019 como catalizador de crescimento.</w:t>
      </w:r>
    </w:p>
    <w:p w14:paraId="569C1DAD" w14:textId="77777777" w:rsidR="00AC0685" w:rsidRPr="00CA6A46" w:rsidRDefault="00AC0685" w:rsidP="00FF3298">
      <w:pPr>
        <w:pStyle w:val="FirstParagraph"/>
        <w:spacing w:before="0" w:after="0"/>
        <w:jc w:val="both"/>
        <w:rPr>
          <w:rFonts w:ascii="Times New Roman" w:hAnsi="Times New Roman" w:cs="Times New Roman"/>
          <w:noProof/>
          <w:lang w:val="pt-BR"/>
        </w:rPr>
      </w:pPr>
      <w:r w:rsidRPr="00CA6A46">
        <w:rPr>
          <w:rFonts w:ascii="Times New Roman" w:hAnsi="Times New Roman" w:cs="Times New Roman"/>
          <w:noProof/>
          <w:lang w:val="pt-BR"/>
        </w:rPr>
        <w:lastRenderedPageBreak/>
        <w:t xml:space="preserve">Gráfico 3 – Relação entre crescimento econômico entre 2002-2019 e nível de produto </w:t>
      </w:r>
      <w:r w:rsidRPr="00CA6A46">
        <w:rPr>
          <w:rFonts w:ascii="Times New Roman" w:hAnsi="Times New Roman" w:cs="Times New Roman"/>
          <w:i/>
          <w:iCs/>
          <w:noProof/>
          <w:lang w:val="pt-BR"/>
        </w:rPr>
        <w:t xml:space="preserve">per capita </w:t>
      </w:r>
      <w:r w:rsidRPr="00CA6A46">
        <w:rPr>
          <w:rFonts w:ascii="Times New Roman" w:hAnsi="Times New Roman" w:cs="Times New Roman"/>
          <w:noProof/>
          <w:lang w:val="pt-BR"/>
        </w:rPr>
        <w:t>em 2002</w:t>
      </w:r>
    </w:p>
    <w:p w14:paraId="3E2B692A" w14:textId="77777777" w:rsidR="00AC0685" w:rsidRPr="00CA6A46" w:rsidRDefault="00AC0685" w:rsidP="00FF3298">
      <w:pPr>
        <w:pStyle w:val="FirstParagraph"/>
        <w:spacing w:before="0" w:after="0"/>
        <w:jc w:val="center"/>
        <w:rPr>
          <w:rFonts w:ascii="Times New Roman" w:hAnsi="Times New Roman" w:cs="Times New Roman"/>
        </w:rPr>
      </w:pPr>
      <w:r w:rsidRPr="00CA6A46">
        <w:rPr>
          <w:rFonts w:ascii="Times New Roman" w:hAnsi="Times New Roman" w:cs="Times New Roman"/>
          <w:noProof/>
          <w:lang w:val="pt-BR" w:eastAsia="pt-BR"/>
        </w:rPr>
        <w:drawing>
          <wp:inline distT="0" distB="0" distL="0" distR="0" wp14:anchorId="3D477B8E" wp14:editId="5C84E678">
            <wp:extent cx="4745342" cy="3240000"/>
            <wp:effectExtent l="19050" t="19050" r="17780" b="17780"/>
            <wp:docPr id="2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pic:cNvPicPr/>
                  </pic:nvPicPr>
                  <pic:blipFill rotWithShape="1">
                    <a:blip r:embed="rId13"/>
                    <a:srcRect t="6756" b="7906"/>
                    <a:stretch/>
                  </pic:blipFill>
                  <pic:spPr bwMode="auto">
                    <a:xfrm>
                      <a:off x="0" y="0"/>
                      <a:ext cx="4745342" cy="3240000"/>
                    </a:xfrm>
                    <a:prstGeom prst="rect">
                      <a:avLst/>
                    </a:prstGeom>
                    <a:noFill/>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6E38A4" w14:textId="77777777" w:rsidR="00AC0685" w:rsidRPr="00CA6A46" w:rsidRDefault="00AC0685" w:rsidP="00FF3298">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 xml:space="preserve">Fonte: Elaboração própria conforme dados do IPEADATA. </w:t>
      </w:r>
    </w:p>
    <w:p w14:paraId="797FB0E2" w14:textId="77777777" w:rsidR="00AC0685" w:rsidRPr="00CA6A46" w:rsidRDefault="00AC0685" w:rsidP="00FF3298">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Nota: dados linearizados utilizando logaritmo natural.</w:t>
      </w:r>
    </w:p>
    <w:p w14:paraId="32B1CEFB" w14:textId="77777777" w:rsidR="00AC0685" w:rsidRPr="00CA6A46" w:rsidRDefault="00AC0685" w:rsidP="00900914">
      <w:pPr>
        <w:pStyle w:val="Corpodetexto"/>
        <w:spacing w:after="0" w:line="360" w:lineRule="auto"/>
        <w:rPr>
          <w:rFonts w:ascii="Times New Roman" w:hAnsi="Times New Roman" w:cs="Times New Roman"/>
          <w:sz w:val="24"/>
          <w:szCs w:val="24"/>
        </w:rPr>
      </w:pPr>
    </w:p>
    <w:p w14:paraId="1E1D3762" w14:textId="07EC23C3" w:rsidR="00AC0685" w:rsidRPr="00CA6A46" w:rsidRDefault="00AC0685"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É importante explicitar que o período entre 2002 e 2019 não foi totalmente de crescimento econômico, </w:t>
      </w:r>
      <w:r w:rsidR="00900914">
        <w:rPr>
          <w:rFonts w:ascii="Times New Roman" w:hAnsi="Times New Roman" w:cs="Times New Roman"/>
          <w:sz w:val="24"/>
          <w:szCs w:val="24"/>
        </w:rPr>
        <w:t xml:space="preserve">ou seja, </w:t>
      </w:r>
      <w:r w:rsidRPr="00CA6A46">
        <w:rPr>
          <w:rFonts w:ascii="Times New Roman" w:hAnsi="Times New Roman" w:cs="Times New Roman"/>
          <w:sz w:val="24"/>
          <w:szCs w:val="24"/>
        </w:rPr>
        <w:t>em 2015 e 2016 a economia brasileira apresentou uma grave recessão que se manifestou de forma diferenciada através do espaço. Como poderia se esperar que o resultado da convergência considerando apenas o intervalo de pleno crescimento, 2002-2014</w:t>
      </w:r>
      <w:r w:rsidR="00893552" w:rsidRPr="00CA6A46">
        <w:rPr>
          <w:rFonts w:ascii="Times New Roman" w:hAnsi="Times New Roman" w:cs="Times New Roman"/>
          <w:sz w:val="24"/>
          <w:szCs w:val="24"/>
        </w:rPr>
        <w:t xml:space="preserve"> </w:t>
      </w:r>
      <w:r w:rsidR="00900914">
        <w:rPr>
          <w:rFonts w:ascii="Times New Roman" w:hAnsi="Times New Roman" w:cs="Times New Roman"/>
          <w:sz w:val="24"/>
          <w:szCs w:val="24"/>
        </w:rPr>
        <w:t xml:space="preserve">ver o </w:t>
      </w:r>
      <w:r w:rsidR="00893552" w:rsidRPr="00CA6A46">
        <w:rPr>
          <w:rFonts w:ascii="Times New Roman" w:hAnsi="Times New Roman" w:cs="Times New Roman"/>
          <w:sz w:val="24"/>
          <w:szCs w:val="24"/>
        </w:rPr>
        <w:t>Gráfico 4</w:t>
      </w:r>
      <w:r w:rsidRPr="00CA6A46">
        <w:rPr>
          <w:rFonts w:ascii="Times New Roman" w:hAnsi="Times New Roman" w:cs="Times New Roman"/>
          <w:sz w:val="24"/>
          <w:szCs w:val="24"/>
        </w:rPr>
        <w:t>, apresenta melhores resultados de convergência. A velocidade de convergência estimada foi de 0,599% ao ano, implicando em uma meia vida de 115 anos.</w:t>
      </w:r>
    </w:p>
    <w:p w14:paraId="1D3E9EB3" w14:textId="77777777" w:rsidR="005679D7" w:rsidRPr="00CA6A46" w:rsidRDefault="005679D7" w:rsidP="00FF3298">
      <w:pPr>
        <w:pStyle w:val="Corpodetexto"/>
        <w:spacing w:after="0" w:line="240" w:lineRule="auto"/>
        <w:rPr>
          <w:rFonts w:ascii="Times New Roman" w:hAnsi="Times New Roman" w:cs="Times New Roman"/>
          <w:sz w:val="24"/>
          <w:szCs w:val="24"/>
        </w:rPr>
      </w:pPr>
    </w:p>
    <w:p w14:paraId="3A67DBB5" w14:textId="77777777" w:rsidR="00AA1A60" w:rsidRDefault="00AA1A60">
      <w:pPr>
        <w:spacing w:after="0" w:line="240" w:lineRule="auto"/>
        <w:rPr>
          <w:rFonts w:ascii="Times New Roman" w:hAnsi="Times New Roman" w:cs="Times New Roman"/>
          <w:noProof/>
          <w:sz w:val="24"/>
          <w:szCs w:val="24"/>
        </w:rPr>
      </w:pPr>
      <w:r>
        <w:rPr>
          <w:rFonts w:ascii="Times New Roman" w:hAnsi="Times New Roman" w:cs="Times New Roman"/>
          <w:noProof/>
        </w:rPr>
        <w:br w:type="page"/>
      </w:r>
    </w:p>
    <w:p w14:paraId="44F7EEA9" w14:textId="1217E98F" w:rsidR="00AC0685" w:rsidRPr="00CA6A46" w:rsidRDefault="00AC0685" w:rsidP="00FF3298">
      <w:pPr>
        <w:pStyle w:val="FirstParagraph"/>
        <w:spacing w:before="0" w:after="0"/>
        <w:jc w:val="both"/>
        <w:rPr>
          <w:rFonts w:ascii="Times New Roman" w:hAnsi="Times New Roman" w:cs="Times New Roman"/>
          <w:lang w:val="pt-BR"/>
        </w:rPr>
      </w:pPr>
      <w:r w:rsidRPr="00CA6A46">
        <w:rPr>
          <w:rFonts w:ascii="Times New Roman" w:hAnsi="Times New Roman" w:cs="Times New Roman"/>
          <w:noProof/>
          <w:lang w:val="pt-BR"/>
        </w:rPr>
        <w:lastRenderedPageBreak/>
        <w:t xml:space="preserve">Gráfico 4 – Relação entre crescimento econômico entre 2002-2014 e nível de produto </w:t>
      </w:r>
      <w:r w:rsidRPr="00CA6A46">
        <w:rPr>
          <w:rFonts w:ascii="Times New Roman" w:hAnsi="Times New Roman" w:cs="Times New Roman"/>
          <w:i/>
          <w:iCs/>
          <w:noProof/>
          <w:lang w:val="pt-BR"/>
        </w:rPr>
        <w:t xml:space="preserve">per capita </w:t>
      </w:r>
      <w:r w:rsidRPr="00CA6A46">
        <w:rPr>
          <w:rFonts w:ascii="Times New Roman" w:hAnsi="Times New Roman" w:cs="Times New Roman"/>
          <w:noProof/>
          <w:lang w:val="pt-BR"/>
        </w:rPr>
        <w:t>em 2002</w:t>
      </w:r>
    </w:p>
    <w:p w14:paraId="768BA794" w14:textId="77777777" w:rsidR="00AC0685" w:rsidRPr="00CA6A46" w:rsidRDefault="00AC0685" w:rsidP="00FF3298">
      <w:pPr>
        <w:pStyle w:val="FirstParagraph"/>
        <w:spacing w:before="0" w:after="0"/>
        <w:jc w:val="center"/>
        <w:rPr>
          <w:rFonts w:ascii="Times New Roman" w:hAnsi="Times New Roman" w:cs="Times New Roman"/>
        </w:rPr>
      </w:pPr>
      <w:r w:rsidRPr="00CA6A46">
        <w:rPr>
          <w:rFonts w:ascii="Times New Roman" w:hAnsi="Times New Roman" w:cs="Times New Roman"/>
          <w:noProof/>
          <w:lang w:val="pt-BR" w:eastAsia="pt-BR"/>
        </w:rPr>
        <w:drawing>
          <wp:inline distT="0" distB="0" distL="0" distR="0" wp14:anchorId="2FDED131" wp14:editId="35DEC93B">
            <wp:extent cx="4739932" cy="3240000"/>
            <wp:effectExtent l="19050" t="19050" r="22860" b="17780"/>
            <wp:docPr id="3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rotWithShape="1">
                    <a:blip r:embed="rId14"/>
                    <a:srcRect t="6352" b="8211"/>
                    <a:stretch/>
                  </pic:blipFill>
                  <pic:spPr bwMode="auto">
                    <a:xfrm>
                      <a:off x="0" y="0"/>
                      <a:ext cx="4739932" cy="3240000"/>
                    </a:xfrm>
                    <a:prstGeom prst="rect">
                      <a:avLst/>
                    </a:prstGeom>
                    <a:noFill/>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6A8BEF7" w14:textId="77777777" w:rsidR="00AC0685" w:rsidRPr="00CA6A46" w:rsidRDefault="00AC0685" w:rsidP="00FF3298">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 xml:space="preserve">Fonte: Elaboração própria conforme dados do IPEADATA. </w:t>
      </w:r>
    </w:p>
    <w:p w14:paraId="72B300A4" w14:textId="77777777" w:rsidR="00AC0685" w:rsidRPr="00CA6A46" w:rsidRDefault="00AC0685" w:rsidP="00FF3298">
      <w:pPr>
        <w:pStyle w:val="FirstParagraph"/>
        <w:spacing w:before="0" w:after="0"/>
        <w:jc w:val="center"/>
        <w:rPr>
          <w:rFonts w:ascii="Times New Roman" w:hAnsi="Times New Roman" w:cs="Times New Roman"/>
          <w:lang w:val="pt-BR"/>
        </w:rPr>
      </w:pPr>
      <w:r w:rsidRPr="00CA6A46">
        <w:rPr>
          <w:rFonts w:ascii="Times New Roman" w:hAnsi="Times New Roman" w:cs="Times New Roman"/>
          <w:lang w:val="pt-BR"/>
        </w:rPr>
        <w:t>Nota: dados linearizados utilizando logaritmo natural.</w:t>
      </w:r>
    </w:p>
    <w:p w14:paraId="582C7788" w14:textId="77777777" w:rsidR="00AC0685" w:rsidRPr="00CA6A46" w:rsidRDefault="00AC0685" w:rsidP="00900914">
      <w:pPr>
        <w:pStyle w:val="Corpodetexto"/>
        <w:spacing w:after="0" w:line="360" w:lineRule="auto"/>
        <w:rPr>
          <w:rFonts w:ascii="Times New Roman" w:hAnsi="Times New Roman" w:cs="Times New Roman"/>
          <w:sz w:val="24"/>
          <w:szCs w:val="24"/>
        </w:rPr>
      </w:pPr>
    </w:p>
    <w:p w14:paraId="3CF2823C" w14:textId="6B9FA678" w:rsidR="00AC0685" w:rsidRPr="00CA6A46" w:rsidRDefault="00AC0685"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Como </w:t>
      </w:r>
      <w:r w:rsidR="00900914">
        <w:rPr>
          <w:rFonts w:ascii="Times New Roman" w:hAnsi="Times New Roman" w:cs="Times New Roman"/>
          <w:sz w:val="24"/>
          <w:szCs w:val="24"/>
        </w:rPr>
        <w:t xml:space="preserve">foi </w:t>
      </w:r>
      <w:r w:rsidRPr="00CA6A46">
        <w:rPr>
          <w:rFonts w:ascii="Times New Roman" w:hAnsi="Times New Roman" w:cs="Times New Roman"/>
          <w:sz w:val="24"/>
          <w:szCs w:val="24"/>
        </w:rPr>
        <w:t xml:space="preserve">observado nos </w:t>
      </w:r>
      <w:r w:rsidR="005679D7">
        <w:rPr>
          <w:rFonts w:ascii="Times New Roman" w:hAnsi="Times New Roman" w:cs="Times New Roman"/>
          <w:sz w:val="24"/>
          <w:szCs w:val="24"/>
        </w:rPr>
        <w:t>G</w:t>
      </w:r>
      <w:r w:rsidRPr="00CA6A46">
        <w:rPr>
          <w:rFonts w:ascii="Times New Roman" w:hAnsi="Times New Roman" w:cs="Times New Roman"/>
          <w:sz w:val="24"/>
          <w:szCs w:val="24"/>
        </w:rPr>
        <w:t xml:space="preserve">ráficos 3 e 4 existem evidências que apontam duas trajetórias distintas de convergência; a primeira se dá entre os estados mais pobres e a segunda entre os estados mais ricos. Ambas são separadas pela divergência provocada pelos estados da região Centro-Oeste que, apesar de já obterem um nível de produto </w:t>
      </w:r>
      <w:r w:rsidRPr="00CA6A46">
        <w:rPr>
          <w:rFonts w:ascii="Times New Roman" w:hAnsi="Times New Roman" w:cs="Times New Roman"/>
          <w:i/>
          <w:iCs/>
          <w:sz w:val="24"/>
          <w:szCs w:val="24"/>
        </w:rPr>
        <w:t>per capita</w:t>
      </w:r>
      <w:r w:rsidRPr="00CA6A46">
        <w:rPr>
          <w:rFonts w:ascii="Times New Roman" w:hAnsi="Times New Roman" w:cs="Times New Roman"/>
          <w:sz w:val="24"/>
          <w:szCs w:val="24"/>
        </w:rPr>
        <w:t xml:space="preserve"> bem acima do que apresentava em 1989, ainda continua crescendo a taxas muito céleres.</w:t>
      </w:r>
    </w:p>
    <w:p w14:paraId="3E7B0BDE" w14:textId="271BF35F" w:rsidR="00AC0685" w:rsidRDefault="00AC0685" w:rsidP="00900914">
      <w:pPr>
        <w:spacing w:after="0" w:line="360" w:lineRule="auto"/>
        <w:jc w:val="both"/>
        <w:rPr>
          <w:rFonts w:ascii="Times New Roman" w:hAnsi="Times New Roman" w:cs="Times New Roman"/>
          <w:b/>
          <w:bCs/>
          <w:sz w:val="24"/>
          <w:szCs w:val="24"/>
        </w:rPr>
      </w:pPr>
    </w:p>
    <w:p w14:paraId="76545C86" w14:textId="77777777" w:rsidR="00211213" w:rsidRPr="00CA6A46" w:rsidRDefault="00211213" w:rsidP="00900914">
      <w:pPr>
        <w:spacing w:after="0" w:line="360" w:lineRule="auto"/>
        <w:jc w:val="both"/>
        <w:rPr>
          <w:rFonts w:ascii="Times New Roman" w:hAnsi="Times New Roman" w:cs="Times New Roman"/>
          <w:b/>
          <w:bCs/>
          <w:sz w:val="24"/>
          <w:szCs w:val="24"/>
        </w:rPr>
      </w:pPr>
    </w:p>
    <w:p w14:paraId="118315D9" w14:textId="0FFF4D71" w:rsidR="00AC0685" w:rsidRPr="00CA6A46" w:rsidRDefault="00AC0685" w:rsidP="00900914">
      <w:pPr>
        <w:pStyle w:val="Corpodetexto"/>
        <w:spacing w:after="0" w:line="360" w:lineRule="auto"/>
        <w:jc w:val="both"/>
        <w:rPr>
          <w:rFonts w:ascii="Times New Roman" w:hAnsi="Times New Roman" w:cs="Times New Roman"/>
          <w:b/>
          <w:sz w:val="24"/>
          <w:szCs w:val="24"/>
        </w:rPr>
      </w:pPr>
      <w:r w:rsidRPr="00CA6A46">
        <w:rPr>
          <w:rFonts w:ascii="Times New Roman" w:hAnsi="Times New Roman" w:cs="Times New Roman"/>
          <w:b/>
          <w:sz w:val="24"/>
          <w:szCs w:val="24"/>
        </w:rPr>
        <w:t xml:space="preserve">CONSIDERAÇÕES FINAIS </w:t>
      </w:r>
    </w:p>
    <w:p w14:paraId="6CE9E345" w14:textId="77777777" w:rsidR="00AC0685" w:rsidRPr="00CA6A46" w:rsidRDefault="00AC0685" w:rsidP="00900914">
      <w:pPr>
        <w:pStyle w:val="Corpodetexto"/>
        <w:spacing w:after="0" w:line="360" w:lineRule="auto"/>
        <w:ind w:firstLine="709"/>
        <w:jc w:val="both"/>
        <w:rPr>
          <w:rFonts w:ascii="Times New Roman" w:hAnsi="Times New Roman" w:cs="Times New Roman"/>
          <w:sz w:val="24"/>
          <w:szCs w:val="24"/>
        </w:rPr>
      </w:pPr>
    </w:p>
    <w:p w14:paraId="63C0CC2B" w14:textId="20631F78" w:rsidR="00AC0685" w:rsidRPr="00CA6A46" w:rsidRDefault="00893552"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A</w:t>
      </w:r>
      <w:r w:rsidR="00AC0685" w:rsidRPr="00CA6A46">
        <w:rPr>
          <w:rFonts w:ascii="Times New Roman" w:hAnsi="Times New Roman" w:cs="Times New Roman"/>
          <w:sz w:val="24"/>
          <w:szCs w:val="24"/>
        </w:rPr>
        <w:t xml:space="preserve"> conclusão mais inquietante que merece atenção é o fato de a convergência absoluta entre os estados ter se manifestado com maior força em um período de recessão quando comparado aos períodos de crescimento econômico. Essa observação leva a crer que as tendências recessivas levam a uma convergência espúria maior que as passíveis de serem alcançadas em um período de crescimento econômico, indicando que pelas forças de mercado </w:t>
      </w:r>
      <w:r w:rsidR="00AC0685" w:rsidRPr="00CA6A46">
        <w:rPr>
          <w:rFonts w:ascii="Times New Roman" w:hAnsi="Times New Roman" w:cs="Times New Roman"/>
          <w:sz w:val="24"/>
          <w:szCs w:val="24"/>
        </w:rPr>
        <w:lastRenderedPageBreak/>
        <w:t>é infinitamente mais difícil reduzir as desigualdades regionais que produzir crescimento econômico regional. Ainda que seja possível replicar as trajetórias de crescimento econômico observadas entre 2002 e 2014, a capacidade das economias autonomamente convergirem em nível de produto per capita decorreria somente em períodos seculares.</w:t>
      </w:r>
    </w:p>
    <w:p w14:paraId="7665826E" w14:textId="77777777" w:rsidR="00AC0685" w:rsidRPr="00CA6A46" w:rsidRDefault="00AC0685"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As estimativas demonstram que os resultados apresentaram resultados negativos e estatisticamente significantes com, pelo menos, 95% de confiança. De forma geral os resultados demonstram coeficientes significativamente pequenos, tanto para o período completo com usando o intervalo de 30 anos, quanto para os recortes de subperíodos. Esses resultados são indícios que os estados brasileiros possuem características muito distintas em relação aos determinantes da acumulação de capital. </w:t>
      </w:r>
    </w:p>
    <w:p w14:paraId="2F49BCFC" w14:textId="77777777" w:rsidR="00AC0685" w:rsidRPr="00CA6A46" w:rsidRDefault="00AC0685" w:rsidP="00900914">
      <w:pPr>
        <w:pStyle w:val="Corpodetexto"/>
        <w:spacing w:after="0" w:line="360" w:lineRule="auto"/>
        <w:ind w:firstLine="709"/>
        <w:jc w:val="both"/>
        <w:rPr>
          <w:rFonts w:ascii="Times New Roman" w:hAnsi="Times New Roman" w:cs="Times New Roman"/>
          <w:sz w:val="24"/>
          <w:szCs w:val="24"/>
        </w:rPr>
      </w:pPr>
      <w:r w:rsidRPr="00CA6A46">
        <w:rPr>
          <w:rFonts w:ascii="Times New Roman" w:hAnsi="Times New Roman" w:cs="Times New Roman"/>
          <w:sz w:val="24"/>
          <w:szCs w:val="24"/>
        </w:rPr>
        <w:t xml:space="preserve">É possível destacar que o Distrito Federal é o estado com maior nível de produto </w:t>
      </w:r>
      <w:r w:rsidRPr="00CA6A46">
        <w:rPr>
          <w:rFonts w:ascii="Times New Roman" w:hAnsi="Times New Roman" w:cs="Times New Roman"/>
          <w:i/>
          <w:iCs/>
          <w:sz w:val="24"/>
          <w:szCs w:val="24"/>
        </w:rPr>
        <w:t xml:space="preserve">per capita </w:t>
      </w:r>
      <w:r w:rsidRPr="00CA6A46">
        <w:rPr>
          <w:rFonts w:ascii="Times New Roman" w:hAnsi="Times New Roman" w:cs="Times New Roman"/>
          <w:sz w:val="24"/>
          <w:szCs w:val="24"/>
        </w:rPr>
        <w:t xml:space="preserve">do país e o Ceará o menor, no entanto, esses não foram os estados que apresentaram, respectivamente a menor e a maior taxa de crescimento econômico.  O estado do Mato Grosso produziu um altíssimo crescimento econômico partindo de um nível de produto </w:t>
      </w:r>
      <w:r w:rsidRPr="00CA6A46">
        <w:rPr>
          <w:rFonts w:ascii="Times New Roman" w:hAnsi="Times New Roman" w:cs="Times New Roman"/>
          <w:i/>
          <w:iCs/>
          <w:sz w:val="24"/>
          <w:szCs w:val="24"/>
        </w:rPr>
        <w:t xml:space="preserve">per capita </w:t>
      </w:r>
      <w:r w:rsidRPr="00CA6A46">
        <w:rPr>
          <w:rFonts w:ascii="Times New Roman" w:hAnsi="Times New Roman" w:cs="Times New Roman"/>
          <w:sz w:val="24"/>
          <w:szCs w:val="24"/>
        </w:rPr>
        <w:t>semelhante à de estados mais pobres como Amazonas, Pará e Acre, enquanto o Rio de Janeiro partiu de um nível de produto elevado e foi o único estado do país a apresentar retração econômica nos 30 anos avaliados.</w:t>
      </w:r>
    </w:p>
    <w:p w14:paraId="3AE3CF50" w14:textId="77777777" w:rsidR="00AC0685" w:rsidRPr="00CA6A46" w:rsidRDefault="00AC0685" w:rsidP="00CA6A46">
      <w:pPr>
        <w:spacing w:after="0" w:line="360" w:lineRule="auto"/>
        <w:jc w:val="both"/>
        <w:rPr>
          <w:rFonts w:ascii="Times New Roman" w:hAnsi="Times New Roman" w:cs="Times New Roman"/>
          <w:b/>
          <w:bCs/>
          <w:sz w:val="24"/>
          <w:szCs w:val="24"/>
        </w:rPr>
      </w:pPr>
    </w:p>
    <w:p w14:paraId="7E39F0A6" w14:textId="77777777" w:rsidR="00AB731B" w:rsidRPr="00CA6A46" w:rsidRDefault="00642DB2" w:rsidP="00CA6A46">
      <w:pPr>
        <w:spacing w:after="0" w:line="360" w:lineRule="auto"/>
        <w:jc w:val="both"/>
        <w:rPr>
          <w:rFonts w:ascii="Times New Roman" w:hAnsi="Times New Roman" w:cs="Times New Roman"/>
          <w:b/>
          <w:bCs/>
          <w:sz w:val="24"/>
          <w:szCs w:val="24"/>
        </w:rPr>
      </w:pPr>
      <w:r w:rsidRPr="00CA6A46">
        <w:rPr>
          <w:rFonts w:ascii="Times New Roman" w:hAnsi="Times New Roman" w:cs="Times New Roman"/>
          <w:b/>
          <w:bCs/>
          <w:sz w:val="24"/>
          <w:szCs w:val="24"/>
        </w:rPr>
        <w:t>REFERÊNCIAS</w:t>
      </w:r>
    </w:p>
    <w:p w14:paraId="0FD21BF9" w14:textId="77777777" w:rsidR="00AB731B" w:rsidRPr="00CA6A46" w:rsidRDefault="00AB731B" w:rsidP="00CA6A46">
      <w:pPr>
        <w:spacing w:after="0" w:line="360" w:lineRule="auto"/>
        <w:jc w:val="both"/>
        <w:rPr>
          <w:rFonts w:ascii="Times New Roman" w:hAnsi="Times New Roman" w:cs="Times New Roman"/>
          <w:sz w:val="24"/>
          <w:szCs w:val="24"/>
        </w:rPr>
      </w:pPr>
    </w:p>
    <w:p w14:paraId="0A87E91D" w14:textId="77777777" w:rsidR="009B4351" w:rsidRPr="00CA6A46" w:rsidRDefault="009B4351" w:rsidP="00CA6A46">
      <w:pPr>
        <w:pStyle w:val="Corpodetexto"/>
        <w:spacing w:after="0" w:line="360" w:lineRule="auto"/>
        <w:rPr>
          <w:rFonts w:ascii="Times New Roman" w:hAnsi="Times New Roman" w:cs="Times New Roman"/>
          <w:sz w:val="24"/>
          <w:szCs w:val="24"/>
        </w:rPr>
      </w:pPr>
      <w:r w:rsidRPr="00CA6A46">
        <w:rPr>
          <w:rFonts w:ascii="Times New Roman" w:hAnsi="Times New Roman" w:cs="Times New Roman"/>
          <w:sz w:val="24"/>
          <w:szCs w:val="24"/>
        </w:rPr>
        <w:t xml:space="preserve">ABITANTE, K. G. Desigualdade no Brasil: um estudo sobre convergência de renda. </w:t>
      </w:r>
      <w:r w:rsidRPr="00CA6A46">
        <w:rPr>
          <w:rFonts w:ascii="Times New Roman" w:hAnsi="Times New Roman" w:cs="Times New Roman"/>
          <w:b/>
          <w:sz w:val="24"/>
          <w:szCs w:val="24"/>
        </w:rPr>
        <w:t>Pesquisa &amp; Debate</w:t>
      </w:r>
      <w:r w:rsidRPr="00CA6A46">
        <w:rPr>
          <w:rFonts w:ascii="Times New Roman" w:hAnsi="Times New Roman" w:cs="Times New Roman"/>
          <w:sz w:val="24"/>
          <w:szCs w:val="24"/>
        </w:rPr>
        <w:t>. Revista do Programa de Estudos Pós-Graduados em Economia Política, v. 18, n. 2 (32), 2007.</w:t>
      </w:r>
    </w:p>
    <w:p w14:paraId="1B06C638" w14:textId="77777777" w:rsidR="009B4351" w:rsidRPr="00CA6A46" w:rsidRDefault="009B4351" w:rsidP="00CA6A46">
      <w:pPr>
        <w:pStyle w:val="Corpodetexto"/>
        <w:spacing w:after="0" w:line="360" w:lineRule="auto"/>
        <w:rPr>
          <w:rFonts w:ascii="Times New Roman" w:hAnsi="Times New Roman" w:cs="Times New Roman"/>
          <w:sz w:val="24"/>
          <w:szCs w:val="24"/>
        </w:rPr>
      </w:pPr>
    </w:p>
    <w:p w14:paraId="6DEF0D29"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rPr>
        <w:t xml:space="preserve">ABITANTE, K. G. Desigualdade no Brasil: um estudo sobre convergência de renda. </w:t>
      </w:r>
      <w:r w:rsidRPr="00CA6A46">
        <w:rPr>
          <w:rFonts w:ascii="Times New Roman" w:hAnsi="Times New Roman" w:cs="Times New Roman"/>
          <w:b/>
          <w:sz w:val="24"/>
          <w:szCs w:val="24"/>
          <w:lang w:val="en-US"/>
        </w:rPr>
        <w:t>PESQUISA &amp; DEBATE</w:t>
      </w:r>
      <w:r w:rsidRPr="00CA6A46">
        <w:rPr>
          <w:rFonts w:ascii="Times New Roman" w:hAnsi="Times New Roman" w:cs="Times New Roman"/>
          <w:sz w:val="24"/>
          <w:szCs w:val="24"/>
          <w:lang w:val="en-US"/>
        </w:rPr>
        <w:t xml:space="preserve">, SP, volume 18, número 2 (32) pp.155-169, 2007. </w:t>
      </w:r>
    </w:p>
    <w:p w14:paraId="06D8CE4A"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466EB20B"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ABRAMOVITZ, M. Catching up, forging ahead, and falling behind. </w:t>
      </w:r>
      <w:r w:rsidRPr="00CA6A46">
        <w:rPr>
          <w:rFonts w:ascii="Times New Roman" w:hAnsi="Times New Roman" w:cs="Times New Roman"/>
          <w:b/>
          <w:sz w:val="24"/>
          <w:szCs w:val="24"/>
          <w:lang w:val="en-US"/>
        </w:rPr>
        <w:t>Journal of Economic History</w:t>
      </w:r>
      <w:r w:rsidRPr="00CA6A46">
        <w:rPr>
          <w:rFonts w:ascii="Times New Roman" w:hAnsi="Times New Roman" w:cs="Times New Roman"/>
          <w:sz w:val="24"/>
          <w:szCs w:val="24"/>
          <w:lang w:val="en-US"/>
        </w:rPr>
        <w:t>, v. 46, p. 385-406, 1986.</w:t>
      </w:r>
    </w:p>
    <w:p w14:paraId="1FB11C93"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68A1FF4D" w14:textId="77777777" w:rsidR="009B4351" w:rsidRPr="00CA6A46" w:rsidRDefault="009B4351" w:rsidP="00CA6A46">
      <w:pPr>
        <w:pStyle w:val="Corpodetexto"/>
        <w:spacing w:after="0" w:line="360" w:lineRule="auto"/>
        <w:rPr>
          <w:rFonts w:ascii="Times New Roman" w:hAnsi="Times New Roman" w:cs="Times New Roman"/>
          <w:sz w:val="24"/>
          <w:szCs w:val="24"/>
        </w:rPr>
      </w:pPr>
      <w:r w:rsidRPr="00CA6A46">
        <w:rPr>
          <w:rFonts w:ascii="Times New Roman" w:hAnsi="Times New Roman" w:cs="Times New Roman"/>
          <w:sz w:val="24"/>
          <w:szCs w:val="24"/>
        </w:rPr>
        <w:lastRenderedPageBreak/>
        <w:t xml:space="preserve">ALMEIDA, R. D. C.; MOREIRA, T. B. S. Convergência de renda entre os estados brasileiros: uma análise em painel dinâmico. </w:t>
      </w:r>
      <w:r w:rsidRPr="00CA6A46">
        <w:rPr>
          <w:rFonts w:ascii="Times New Roman" w:hAnsi="Times New Roman" w:cs="Times New Roman"/>
          <w:b/>
          <w:sz w:val="24"/>
          <w:szCs w:val="24"/>
        </w:rPr>
        <w:t>Planejamento e políticas públicas</w:t>
      </w:r>
      <w:r w:rsidRPr="00CA6A46">
        <w:rPr>
          <w:rFonts w:ascii="Times New Roman" w:hAnsi="Times New Roman" w:cs="Times New Roman"/>
          <w:sz w:val="24"/>
          <w:szCs w:val="24"/>
        </w:rPr>
        <w:t xml:space="preserve"> | ppp | n. 52 | jan./jun. 2019.</w:t>
      </w:r>
    </w:p>
    <w:p w14:paraId="29CC2D40" w14:textId="77777777" w:rsidR="009B4351" w:rsidRPr="00CA6A46" w:rsidRDefault="009B4351" w:rsidP="00CA6A46">
      <w:pPr>
        <w:pStyle w:val="Corpodetexto"/>
        <w:spacing w:after="0" w:line="360" w:lineRule="auto"/>
        <w:rPr>
          <w:rFonts w:ascii="Times New Roman" w:hAnsi="Times New Roman" w:cs="Times New Roman"/>
          <w:sz w:val="24"/>
          <w:szCs w:val="24"/>
        </w:rPr>
      </w:pPr>
    </w:p>
    <w:p w14:paraId="18F0C8E5"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rPr>
        <w:t xml:space="preserve">BARRO, R. J.; SALA-I-MARTIN, X. </w:t>
      </w:r>
      <w:r w:rsidRPr="00CA6A46">
        <w:rPr>
          <w:rFonts w:ascii="Times New Roman" w:hAnsi="Times New Roman" w:cs="Times New Roman"/>
          <w:b/>
          <w:sz w:val="24"/>
          <w:szCs w:val="24"/>
        </w:rPr>
        <w:t>Quality improvements in models of growth</w:t>
      </w:r>
      <w:r w:rsidRPr="00CA6A46">
        <w:rPr>
          <w:rFonts w:ascii="Times New Roman" w:hAnsi="Times New Roman" w:cs="Times New Roman"/>
          <w:sz w:val="24"/>
          <w:szCs w:val="24"/>
        </w:rPr>
        <w:t xml:space="preserve">. </w:t>
      </w:r>
      <w:r w:rsidRPr="00CA6A46">
        <w:rPr>
          <w:rFonts w:ascii="Times New Roman" w:hAnsi="Times New Roman" w:cs="Times New Roman"/>
          <w:sz w:val="24"/>
          <w:szCs w:val="24"/>
          <w:lang w:val="en-US"/>
        </w:rPr>
        <w:t>National Bureau of Economic Research, 1994.</w:t>
      </w:r>
    </w:p>
    <w:p w14:paraId="6857A818"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05D895B0"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BARRO, R. J.; LEE, J.-W. Sources of economic growth. In: </w:t>
      </w:r>
      <w:r w:rsidRPr="00CA6A46">
        <w:rPr>
          <w:rFonts w:ascii="Times New Roman" w:hAnsi="Times New Roman" w:cs="Times New Roman"/>
          <w:b/>
          <w:sz w:val="24"/>
          <w:szCs w:val="24"/>
          <w:lang w:val="en-US"/>
        </w:rPr>
        <w:t>Carnegie-Rochester conference series on public policy</w:t>
      </w:r>
      <w:r w:rsidRPr="00CA6A46">
        <w:rPr>
          <w:rFonts w:ascii="Times New Roman" w:hAnsi="Times New Roman" w:cs="Times New Roman"/>
          <w:sz w:val="24"/>
          <w:szCs w:val="24"/>
          <w:lang w:val="en-US"/>
        </w:rPr>
        <w:t>. North-Holland, v. 40, p. 1-46, 1994.</w:t>
      </w:r>
    </w:p>
    <w:p w14:paraId="07E67D10" w14:textId="77777777" w:rsidR="00CC3A0E" w:rsidRPr="00CA6A46" w:rsidRDefault="00CC3A0E" w:rsidP="00CA6A46">
      <w:pPr>
        <w:pStyle w:val="Corpodetexto"/>
        <w:spacing w:after="0" w:line="360" w:lineRule="auto"/>
        <w:rPr>
          <w:rFonts w:ascii="Times New Roman" w:hAnsi="Times New Roman" w:cs="Times New Roman"/>
          <w:sz w:val="24"/>
          <w:szCs w:val="24"/>
          <w:lang w:val="en-US"/>
        </w:rPr>
      </w:pPr>
    </w:p>
    <w:p w14:paraId="60F322CE" w14:textId="7C093295"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BAUMOL, W. Productivity growth, convergence and welfare. </w:t>
      </w:r>
      <w:r w:rsidRPr="00CA6A46">
        <w:rPr>
          <w:rFonts w:ascii="Times New Roman" w:hAnsi="Times New Roman" w:cs="Times New Roman"/>
          <w:b/>
          <w:sz w:val="24"/>
          <w:szCs w:val="24"/>
          <w:lang w:val="en-US"/>
        </w:rPr>
        <w:t>The American Economic Review</w:t>
      </w:r>
      <w:r w:rsidRPr="00CA6A46">
        <w:rPr>
          <w:rFonts w:ascii="Times New Roman" w:hAnsi="Times New Roman" w:cs="Times New Roman"/>
          <w:sz w:val="24"/>
          <w:szCs w:val="24"/>
          <w:lang w:val="en-US"/>
        </w:rPr>
        <w:t>, p. 1072-1085, 1986.</w:t>
      </w:r>
    </w:p>
    <w:p w14:paraId="6A8B1692"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74EDC1CB"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BAUMOL, W. J. Productivity growth, convergence, and welfare: what the long-run data show. </w:t>
      </w:r>
      <w:r w:rsidRPr="00CA6A46">
        <w:rPr>
          <w:rFonts w:ascii="Times New Roman" w:hAnsi="Times New Roman" w:cs="Times New Roman"/>
          <w:b/>
          <w:sz w:val="24"/>
          <w:szCs w:val="24"/>
          <w:lang w:val="en-US"/>
        </w:rPr>
        <w:t>American Economic Review</w:t>
      </w:r>
      <w:r w:rsidRPr="00CA6A46">
        <w:rPr>
          <w:rFonts w:ascii="Times New Roman" w:hAnsi="Times New Roman" w:cs="Times New Roman"/>
          <w:sz w:val="24"/>
          <w:szCs w:val="24"/>
          <w:lang w:val="en-US"/>
        </w:rPr>
        <w:t>, v. 76, n. 5, p. 1.072-1.085, Dec. 1986.</w:t>
      </w:r>
    </w:p>
    <w:p w14:paraId="60307205"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3D930B99" w14:textId="5DB7028E" w:rsidR="009B4351" w:rsidRDefault="009B4351" w:rsidP="00CA6A46">
      <w:pPr>
        <w:pStyle w:val="Corpodetexto"/>
        <w:spacing w:after="0" w:line="360" w:lineRule="auto"/>
        <w:rPr>
          <w:rFonts w:ascii="Times New Roman" w:hAnsi="Times New Roman" w:cs="Times New Roman"/>
          <w:sz w:val="24"/>
          <w:szCs w:val="24"/>
        </w:rPr>
      </w:pPr>
      <w:r w:rsidRPr="00CA6A46">
        <w:rPr>
          <w:rFonts w:ascii="Times New Roman" w:hAnsi="Times New Roman" w:cs="Times New Roman"/>
          <w:sz w:val="24"/>
          <w:szCs w:val="24"/>
          <w:lang w:val="en-US"/>
        </w:rPr>
        <w:t xml:space="preserve">CASELLI, F.; ESQUIVEL, G.; LEFORT, F. Reopening the convergence debate: a new look at cross-country growth empirics. </w:t>
      </w:r>
      <w:r w:rsidRPr="00CA6A46">
        <w:rPr>
          <w:rFonts w:ascii="Times New Roman" w:hAnsi="Times New Roman" w:cs="Times New Roman"/>
          <w:b/>
          <w:sz w:val="24"/>
          <w:szCs w:val="24"/>
        </w:rPr>
        <w:t>Journal of economic growth</w:t>
      </w:r>
      <w:r w:rsidRPr="00CA6A46">
        <w:rPr>
          <w:rFonts w:ascii="Times New Roman" w:hAnsi="Times New Roman" w:cs="Times New Roman"/>
          <w:sz w:val="24"/>
          <w:szCs w:val="24"/>
        </w:rPr>
        <w:t xml:space="preserve">, Springer, v. 1, n. 3, p. 36-389, 1996. </w:t>
      </w:r>
    </w:p>
    <w:p w14:paraId="50E9D9A0" w14:textId="364EB960" w:rsidR="004D766A" w:rsidRDefault="004D766A" w:rsidP="00CA6A46">
      <w:pPr>
        <w:pStyle w:val="Corpodetexto"/>
        <w:spacing w:after="0" w:line="360" w:lineRule="auto"/>
        <w:rPr>
          <w:rFonts w:ascii="Times New Roman" w:hAnsi="Times New Roman" w:cs="Times New Roman"/>
          <w:sz w:val="24"/>
          <w:szCs w:val="24"/>
        </w:rPr>
      </w:pPr>
    </w:p>
    <w:p w14:paraId="052A6115" w14:textId="26A005B3" w:rsidR="004D766A" w:rsidRPr="004D766A" w:rsidRDefault="004D766A" w:rsidP="004D766A">
      <w:pPr>
        <w:pStyle w:val="Corpodetexto"/>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COSTA, L. M. </w:t>
      </w:r>
      <w:r w:rsidRPr="004D766A">
        <w:rPr>
          <w:rFonts w:ascii="Times New Roman" w:hAnsi="Times New Roman" w:cs="Times New Roman"/>
          <w:b/>
          <w:sz w:val="24"/>
          <w:szCs w:val="24"/>
        </w:rPr>
        <w:t>Análise do processo de convergência de renda nos estados brasileiros: 1970-2005</w:t>
      </w:r>
      <w:r>
        <w:rPr>
          <w:rFonts w:ascii="Times New Roman" w:hAnsi="Times New Roman" w:cs="Times New Roman"/>
          <w:sz w:val="24"/>
          <w:szCs w:val="24"/>
        </w:rPr>
        <w:t xml:space="preserve">. </w:t>
      </w:r>
      <w:r w:rsidRPr="004D766A">
        <w:rPr>
          <w:rFonts w:ascii="Times New Roman" w:hAnsi="Times New Roman" w:cs="Times New Roman"/>
          <w:sz w:val="24"/>
          <w:szCs w:val="24"/>
        </w:rPr>
        <w:t xml:space="preserve">Dissertação submetida à Escola de </w:t>
      </w:r>
      <w:r w:rsidR="006B3481" w:rsidRPr="004D766A">
        <w:rPr>
          <w:rFonts w:ascii="Times New Roman" w:hAnsi="Times New Roman" w:cs="Times New Roman"/>
          <w:sz w:val="24"/>
          <w:szCs w:val="24"/>
        </w:rPr>
        <w:t>Pós-graduação</w:t>
      </w:r>
      <w:r w:rsidRPr="004D766A">
        <w:rPr>
          <w:rFonts w:ascii="Times New Roman" w:hAnsi="Times New Roman" w:cs="Times New Roman"/>
          <w:sz w:val="24"/>
          <w:szCs w:val="24"/>
        </w:rPr>
        <w:t xml:space="preserve"> em Economia da Fundação Getúlio Vargas como requisito de obtenção do título de Mestre em Economia</w:t>
      </w:r>
      <w:r>
        <w:rPr>
          <w:rFonts w:ascii="Times New Roman" w:hAnsi="Times New Roman" w:cs="Times New Roman"/>
          <w:sz w:val="24"/>
          <w:szCs w:val="24"/>
        </w:rPr>
        <w:t xml:space="preserve">. </w:t>
      </w:r>
      <w:r w:rsidRPr="004D766A">
        <w:rPr>
          <w:rFonts w:ascii="Times New Roman" w:hAnsi="Times New Roman" w:cs="Times New Roman"/>
          <w:sz w:val="24"/>
          <w:szCs w:val="24"/>
        </w:rPr>
        <w:t xml:space="preserve">Rio de Janeiro </w:t>
      </w:r>
      <w:r>
        <w:rPr>
          <w:rFonts w:ascii="Times New Roman" w:hAnsi="Times New Roman" w:cs="Times New Roman"/>
          <w:sz w:val="24"/>
          <w:szCs w:val="24"/>
        </w:rPr>
        <w:t>–</w:t>
      </w:r>
      <w:r w:rsidRPr="004D766A">
        <w:rPr>
          <w:rFonts w:ascii="Times New Roman" w:hAnsi="Times New Roman" w:cs="Times New Roman"/>
          <w:sz w:val="24"/>
          <w:szCs w:val="24"/>
        </w:rPr>
        <w:t xml:space="preserve"> RJ</w:t>
      </w:r>
      <w:r>
        <w:rPr>
          <w:rFonts w:ascii="Times New Roman" w:hAnsi="Times New Roman" w:cs="Times New Roman"/>
          <w:sz w:val="24"/>
          <w:szCs w:val="24"/>
        </w:rPr>
        <w:t xml:space="preserve">, </w:t>
      </w:r>
      <w:r w:rsidRPr="004D766A">
        <w:rPr>
          <w:rFonts w:ascii="Times New Roman" w:hAnsi="Times New Roman" w:cs="Times New Roman"/>
          <w:sz w:val="24"/>
          <w:szCs w:val="24"/>
        </w:rPr>
        <w:t>2009</w:t>
      </w:r>
      <w:r>
        <w:rPr>
          <w:rFonts w:ascii="Times New Roman" w:hAnsi="Times New Roman" w:cs="Times New Roman"/>
          <w:sz w:val="24"/>
          <w:szCs w:val="24"/>
        </w:rPr>
        <w:t xml:space="preserve">. </w:t>
      </w:r>
    </w:p>
    <w:p w14:paraId="4D30C7FE" w14:textId="77777777" w:rsidR="009B4351" w:rsidRPr="00CA6A46" w:rsidRDefault="009B4351" w:rsidP="00CA6A46">
      <w:pPr>
        <w:pStyle w:val="Corpodetexto"/>
        <w:spacing w:after="0" w:line="360" w:lineRule="auto"/>
        <w:jc w:val="both"/>
        <w:rPr>
          <w:rFonts w:ascii="Times New Roman" w:hAnsi="Times New Roman" w:cs="Times New Roman"/>
          <w:sz w:val="24"/>
          <w:szCs w:val="24"/>
        </w:rPr>
      </w:pPr>
    </w:p>
    <w:p w14:paraId="63754C30" w14:textId="77777777" w:rsidR="009B4351" w:rsidRPr="00CA6A46" w:rsidRDefault="009B4351" w:rsidP="00CA6A46">
      <w:pPr>
        <w:pStyle w:val="Corpodetexto"/>
        <w:spacing w:after="0" w:line="360" w:lineRule="auto"/>
        <w:jc w:val="both"/>
        <w:rPr>
          <w:rFonts w:ascii="Times New Roman" w:hAnsi="Times New Roman" w:cs="Times New Roman"/>
          <w:sz w:val="24"/>
          <w:szCs w:val="24"/>
          <w:lang w:val="en-US"/>
        </w:rPr>
      </w:pPr>
      <w:r w:rsidRPr="00CA6A46">
        <w:rPr>
          <w:rFonts w:ascii="Times New Roman" w:hAnsi="Times New Roman" w:cs="Times New Roman"/>
          <w:sz w:val="24"/>
          <w:szCs w:val="24"/>
        </w:rPr>
        <w:t xml:space="preserve">DAVID, G. A. O.; MEYER, L. G.; PAIXÃO, M. A. S. Convergência de renda nos municípios do estado do Paraná: uma análise empírica no período 2002-2015.  </w:t>
      </w:r>
      <w:r w:rsidRPr="00CA6A46">
        <w:rPr>
          <w:rFonts w:ascii="Times New Roman" w:hAnsi="Times New Roman" w:cs="Times New Roman"/>
          <w:b/>
          <w:sz w:val="24"/>
          <w:szCs w:val="24"/>
          <w:lang w:val="en-US"/>
        </w:rPr>
        <w:t>Economia e Desenvolvimento</w:t>
      </w:r>
      <w:r w:rsidRPr="00CA6A46">
        <w:rPr>
          <w:rFonts w:ascii="Times New Roman" w:hAnsi="Times New Roman" w:cs="Times New Roman"/>
          <w:sz w:val="24"/>
          <w:szCs w:val="24"/>
          <w:lang w:val="en-US"/>
        </w:rPr>
        <w:t xml:space="preserve">, v. 31, e12, 2019. </w:t>
      </w:r>
    </w:p>
    <w:p w14:paraId="25F8C360"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536C0FF7"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lastRenderedPageBreak/>
        <w:t xml:space="preserve">FAN, Jianqing; GIJBELS, Irene. </w:t>
      </w:r>
      <w:r w:rsidRPr="00CA6A46">
        <w:rPr>
          <w:rFonts w:ascii="Times New Roman" w:hAnsi="Times New Roman" w:cs="Times New Roman"/>
          <w:b/>
          <w:bCs/>
          <w:sz w:val="24"/>
          <w:szCs w:val="24"/>
          <w:lang w:val="en-US"/>
        </w:rPr>
        <w:t>Local polynomial modelling and its applications</w:t>
      </w:r>
      <w:r w:rsidRPr="00CA6A46">
        <w:rPr>
          <w:rFonts w:ascii="Times New Roman" w:hAnsi="Times New Roman" w:cs="Times New Roman"/>
          <w:sz w:val="24"/>
          <w:szCs w:val="24"/>
          <w:lang w:val="en-US"/>
        </w:rPr>
        <w:t>. Routledge, 2018.</w:t>
      </w:r>
    </w:p>
    <w:p w14:paraId="73AD6B9E"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159DEC1D" w14:textId="2B08037B" w:rsidR="009B4351"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rPr>
        <w:t xml:space="preserve">FERREIRA, P. C. G.; ELLERY Jr., R. d. G. Convergência entre a renda per-capita dos estados </w:t>
      </w:r>
      <w:r w:rsidRPr="005679D7">
        <w:rPr>
          <w:rFonts w:ascii="Times New Roman" w:hAnsi="Times New Roman" w:cs="Times New Roman"/>
          <w:sz w:val="24"/>
          <w:szCs w:val="24"/>
        </w:rPr>
        <w:t xml:space="preserve">Brasileiros. </w:t>
      </w:r>
      <w:r w:rsidRPr="00CA6A46">
        <w:rPr>
          <w:rFonts w:ascii="Times New Roman" w:hAnsi="Times New Roman" w:cs="Times New Roman"/>
          <w:b/>
          <w:sz w:val="24"/>
          <w:szCs w:val="24"/>
          <w:lang w:val="en-US"/>
        </w:rPr>
        <w:t>Brazilian Review of Econometrics</w:t>
      </w:r>
      <w:r w:rsidRPr="00CA6A46">
        <w:rPr>
          <w:rFonts w:ascii="Times New Roman" w:hAnsi="Times New Roman" w:cs="Times New Roman"/>
          <w:sz w:val="24"/>
          <w:szCs w:val="24"/>
          <w:lang w:val="en-US"/>
        </w:rPr>
        <w:t>, v. 16, n. 1, p. 83-103, 1996.</w:t>
      </w:r>
    </w:p>
    <w:p w14:paraId="6D7A46A5" w14:textId="06F5144B" w:rsidR="00623478" w:rsidRDefault="00623478" w:rsidP="00CA6A46">
      <w:pPr>
        <w:pStyle w:val="Corpodetexto"/>
        <w:spacing w:after="0" w:line="360" w:lineRule="auto"/>
        <w:rPr>
          <w:rFonts w:ascii="Times New Roman" w:hAnsi="Times New Roman" w:cs="Times New Roman"/>
          <w:sz w:val="24"/>
          <w:szCs w:val="24"/>
          <w:lang w:val="en-US"/>
        </w:rPr>
      </w:pPr>
    </w:p>
    <w:p w14:paraId="0FDBABCA" w14:textId="77777777" w:rsidR="00623478" w:rsidRPr="00623478" w:rsidRDefault="00623478" w:rsidP="00623478">
      <w:pPr>
        <w:pStyle w:val="Corpodetexto"/>
        <w:spacing w:after="0" w:line="360" w:lineRule="auto"/>
        <w:rPr>
          <w:rFonts w:ascii="Times New Roman" w:hAnsi="Times New Roman" w:cs="Times New Roman"/>
          <w:sz w:val="24"/>
          <w:szCs w:val="24"/>
          <w:lang w:val="en-US"/>
        </w:rPr>
      </w:pPr>
      <w:r w:rsidRPr="00623478">
        <w:rPr>
          <w:rFonts w:ascii="Times New Roman" w:hAnsi="Times New Roman" w:cs="Times New Roman"/>
          <w:sz w:val="24"/>
          <w:szCs w:val="24"/>
          <w:lang w:val="en-US"/>
        </w:rPr>
        <w:t>FERREIRA, A. H. B. Convergence in Brazil: recent trends and long-run prospects,</w:t>
      </w:r>
    </w:p>
    <w:p w14:paraId="0318278A" w14:textId="795A1FF3" w:rsidR="00623478" w:rsidRPr="00CA6A46" w:rsidRDefault="00623478" w:rsidP="00623478">
      <w:pPr>
        <w:pStyle w:val="Corpodetexto"/>
        <w:spacing w:after="0" w:line="360" w:lineRule="auto"/>
        <w:rPr>
          <w:rFonts w:ascii="Times New Roman" w:hAnsi="Times New Roman" w:cs="Times New Roman"/>
          <w:sz w:val="24"/>
          <w:szCs w:val="24"/>
          <w:lang w:val="en-US"/>
        </w:rPr>
      </w:pPr>
      <w:r w:rsidRPr="00623478">
        <w:rPr>
          <w:rFonts w:ascii="Times New Roman" w:hAnsi="Times New Roman" w:cs="Times New Roman"/>
          <w:sz w:val="24"/>
          <w:szCs w:val="24"/>
          <w:lang w:val="en-US"/>
        </w:rPr>
        <w:t>Applied Economics, v. 32, p. 479-489, 2000.</w:t>
      </w:r>
    </w:p>
    <w:p w14:paraId="6677D785"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2CB76D99" w14:textId="118896A1"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LUCAS, R. E. On the mechanics of economic development. </w:t>
      </w:r>
      <w:r w:rsidRPr="00CA6A46">
        <w:rPr>
          <w:rFonts w:ascii="Times New Roman" w:hAnsi="Times New Roman" w:cs="Times New Roman"/>
          <w:b/>
          <w:sz w:val="24"/>
          <w:szCs w:val="24"/>
          <w:lang w:val="en-US"/>
        </w:rPr>
        <w:t>Journal of Monetary Economics</w:t>
      </w:r>
      <w:r w:rsidRPr="00CA6A46">
        <w:rPr>
          <w:rFonts w:ascii="Times New Roman" w:hAnsi="Times New Roman" w:cs="Times New Roman"/>
          <w:sz w:val="24"/>
          <w:szCs w:val="24"/>
          <w:lang w:val="en-US"/>
        </w:rPr>
        <w:t>, Elsevier, v. 22, n. 1, p. 3-42, 1988.</w:t>
      </w:r>
    </w:p>
    <w:p w14:paraId="13F455A2"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1F85F388"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MADDISON, A. A comparison of levels of GDPper capita in developed and developing countries, 1700-1980. </w:t>
      </w:r>
      <w:r w:rsidRPr="00CA6A46">
        <w:rPr>
          <w:rFonts w:ascii="Times New Roman" w:hAnsi="Times New Roman" w:cs="Times New Roman"/>
          <w:b/>
          <w:sz w:val="24"/>
          <w:szCs w:val="24"/>
          <w:lang w:val="en-US"/>
        </w:rPr>
        <w:t>The Journal of Economic History</w:t>
      </w:r>
      <w:r w:rsidRPr="00CA6A46">
        <w:rPr>
          <w:rFonts w:ascii="Times New Roman" w:hAnsi="Times New Roman" w:cs="Times New Roman"/>
          <w:sz w:val="24"/>
          <w:szCs w:val="24"/>
          <w:lang w:val="en-US"/>
        </w:rPr>
        <w:t>, Cambridge University Press, v. 43, n. 1, p. 27-41, 1983.</w:t>
      </w:r>
    </w:p>
    <w:p w14:paraId="70DC6D6A"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535E6083"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MANKIW, N. G.; ROMER, D.; WEIL, D. N. A contribution to the empirics of economic growth. </w:t>
      </w:r>
      <w:r w:rsidRPr="00CA6A46">
        <w:rPr>
          <w:rFonts w:ascii="Times New Roman" w:hAnsi="Times New Roman" w:cs="Times New Roman"/>
          <w:b/>
          <w:sz w:val="24"/>
          <w:szCs w:val="24"/>
          <w:lang w:val="en-US"/>
        </w:rPr>
        <w:t>The quarterly journal of economics</w:t>
      </w:r>
      <w:r w:rsidRPr="00CA6A46">
        <w:rPr>
          <w:rFonts w:ascii="Times New Roman" w:hAnsi="Times New Roman" w:cs="Times New Roman"/>
          <w:sz w:val="24"/>
          <w:szCs w:val="24"/>
          <w:lang w:val="en-US"/>
        </w:rPr>
        <w:t>, MIT Press, v. 107, n. 2, p. 407-437, 1992.</w:t>
      </w:r>
    </w:p>
    <w:p w14:paraId="66A955BB"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094AE677" w14:textId="19F402DA" w:rsidR="009B4351"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REY, S. J.; MONTOURI, B. D. US regional income convergence: a spatial econometric perspective. </w:t>
      </w:r>
      <w:r w:rsidRPr="00CA6A46">
        <w:rPr>
          <w:rFonts w:ascii="Times New Roman" w:hAnsi="Times New Roman" w:cs="Times New Roman"/>
          <w:b/>
          <w:sz w:val="24"/>
          <w:szCs w:val="24"/>
          <w:lang w:val="en-US"/>
        </w:rPr>
        <w:t>Regional studies</w:t>
      </w:r>
      <w:r w:rsidRPr="00CA6A46">
        <w:rPr>
          <w:rFonts w:ascii="Times New Roman" w:hAnsi="Times New Roman" w:cs="Times New Roman"/>
          <w:sz w:val="24"/>
          <w:szCs w:val="24"/>
          <w:lang w:val="en-US"/>
        </w:rPr>
        <w:t>, Taylor &amp; Francis Group, v. 33, n. 2, p. 143-156, 1999.</w:t>
      </w:r>
    </w:p>
    <w:p w14:paraId="411E197F" w14:textId="3AC4EEBC" w:rsidR="00F41862" w:rsidRDefault="00F41862" w:rsidP="00CA6A46">
      <w:pPr>
        <w:pStyle w:val="Corpodetexto"/>
        <w:spacing w:after="0" w:line="360" w:lineRule="auto"/>
        <w:rPr>
          <w:rFonts w:ascii="Times New Roman" w:hAnsi="Times New Roman" w:cs="Times New Roman"/>
          <w:sz w:val="24"/>
          <w:szCs w:val="24"/>
          <w:lang w:val="en-US"/>
        </w:rPr>
      </w:pPr>
    </w:p>
    <w:p w14:paraId="300774B8" w14:textId="7AEFDA38" w:rsidR="00F41862" w:rsidRPr="00CA6A46" w:rsidRDefault="00F41862" w:rsidP="00CA6A46">
      <w:pPr>
        <w:pStyle w:val="Corpodetexto"/>
        <w:spacing w:after="0" w:line="360" w:lineRule="auto"/>
        <w:rPr>
          <w:rFonts w:ascii="Times New Roman" w:hAnsi="Times New Roman" w:cs="Times New Roman"/>
          <w:sz w:val="24"/>
          <w:szCs w:val="24"/>
          <w:lang w:val="en-US"/>
        </w:rPr>
      </w:pPr>
      <w:r w:rsidRPr="005679D7">
        <w:rPr>
          <w:rFonts w:ascii="Times New Roman" w:hAnsi="Times New Roman" w:cs="Times New Roman"/>
          <w:sz w:val="24"/>
          <w:szCs w:val="24"/>
        </w:rPr>
        <w:t xml:space="preserve">RODRIGUES, R. R. M. </w:t>
      </w:r>
      <w:r w:rsidRPr="00F41862">
        <w:rPr>
          <w:rFonts w:ascii="Times New Roman" w:hAnsi="Times New Roman" w:cs="Times New Roman"/>
          <w:b/>
          <w:sz w:val="24"/>
          <w:szCs w:val="24"/>
        </w:rPr>
        <w:t>Análise da Convergência de Renda para os Estados e Municípios da Região Centro-Oeste do Brasil: Entre 1999 a 2015</w:t>
      </w:r>
      <w:r>
        <w:rPr>
          <w:rFonts w:ascii="Times New Roman" w:hAnsi="Times New Roman" w:cs="Times New Roman"/>
          <w:sz w:val="24"/>
          <w:szCs w:val="24"/>
        </w:rPr>
        <w:t xml:space="preserve">. </w:t>
      </w:r>
      <w:r w:rsidRPr="00F41862">
        <w:rPr>
          <w:rFonts w:ascii="Times New Roman" w:hAnsi="Times New Roman" w:cs="Times New Roman"/>
          <w:sz w:val="24"/>
          <w:szCs w:val="24"/>
        </w:rPr>
        <w:t>Dissertação apresentada ao Curso de Mestrado Acadêmico em Economia do Programa de Pós-Graduação em Economia do Faculdade de Economia da Universidade Federal de Mato Grosso</w:t>
      </w:r>
      <w:r>
        <w:rPr>
          <w:rFonts w:ascii="Times New Roman" w:hAnsi="Times New Roman" w:cs="Times New Roman"/>
          <w:sz w:val="24"/>
          <w:szCs w:val="24"/>
        </w:rPr>
        <w:t xml:space="preserve">. </w:t>
      </w:r>
      <w:r w:rsidRPr="005679D7">
        <w:rPr>
          <w:rFonts w:ascii="Times New Roman" w:hAnsi="Times New Roman" w:cs="Times New Roman"/>
          <w:sz w:val="24"/>
          <w:szCs w:val="24"/>
          <w:lang w:val="en-US"/>
        </w:rPr>
        <w:t xml:space="preserve">Cuiabá, Mato Grosso, 2018. </w:t>
      </w:r>
    </w:p>
    <w:p w14:paraId="19781C8E"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2FEC2557"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ROMER, P. M. Increasing returns and long-run growth. </w:t>
      </w:r>
      <w:r w:rsidRPr="00CA6A46">
        <w:rPr>
          <w:rFonts w:ascii="Times New Roman" w:hAnsi="Times New Roman" w:cs="Times New Roman"/>
          <w:b/>
          <w:sz w:val="24"/>
          <w:szCs w:val="24"/>
          <w:lang w:val="en-US"/>
        </w:rPr>
        <w:t>Journal of Political Economy</w:t>
      </w:r>
      <w:r w:rsidRPr="00CA6A46">
        <w:rPr>
          <w:rFonts w:ascii="Times New Roman" w:hAnsi="Times New Roman" w:cs="Times New Roman"/>
          <w:sz w:val="24"/>
          <w:szCs w:val="24"/>
          <w:lang w:val="en-US"/>
        </w:rPr>
        <w:t xml:space="preserve">, The </w:t>
      </w:r>
    </w:p>
    <w:p w14:paraId="11614576"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University of Chicago Press, v. 94, n. 5, p. 1002-1037, 1986.</w:t>
      </w:r>
    </w:p>
    <w:p w14:paraId="5BB284F3"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6AA34A3F"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rPr>
        <w:t xml:space="preserve">SILVA, F.; SANTOS, L. G.; AMARANTE, A. Análise de Convergência de Renda per capita nos municípios da Região Sul do Brasil entre 1999 e 2014. </w:t>
      </w:r>
      <w:r w:rsidRPr="00CA6A46">
        <w:rPr>
          <w:rFonts w:ascii="Times New Roman" w:hAnsi="Times New Roman" w:cs="Times New Roman"/>
          <w:b/>
          <w:sz w:val="24"/>
          <w:szCs w:val="24"/>
        </w:rPr>
        <w:t>Revista Brasileira de Gestão e Desenvolvimento Regional</w:t>
      </w:r>
      <w:r w:rsidRPr="00CA6A46">
        <w:rPr>
          <w:rFonts w:ascii="Times New Roman" w:hAnsi="Times New Roman" w:cs="Times New Roman"/>
          <w:sz w:val="24"/>
          <w:szCs w:val="24"/>
        </w:rPr>
        <w:t xml:space="preserve">. G&amp;DR. V. 16, N. 2, P. 354-366, mai-ago/2020. </w:t>
      </w:r>
      <w:r w:rsidRPr="00CA6A46">
        <w:rPr>
          <w:rFonts w:ascii="Times New Roman" w:hAnsi="Times New Roman" w:cs="Times New Roman"/>
          <w:sz w:val="24"/>
          <w:szCs w:val="24"/>
          <w:lang w:val="en-US"/>
        </w:rPr>
        <w:t>Taubaté, SP, Brasil.</w:t>
      </w:r>
    </w:p>
    <w:p w14:paraId="15644947"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435BDBF8"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SILVEIRA NETO, Raul M.; AZZONI, Carlos R. Non-spatial government policies and regional income inequality in Brazil. </w:t>
      </w:r>
      <w:r w:rsidRPr="00CA6A46">
        <w:rPr>
          <w:rFonts w:ascii="Times New Roman" w:hAnsi="Times New Roman" w:cs="Times New Roman"/>
          <w:b/>
          <w:bCs/>
          <w:sz w:val="24"/>
          <w:szCs w:val="24"/>
          <w:lang w:val="en-US"/>
        </w:rPr>
        <w:t>Regional Studies</w:t>
      </w:r>
      <w:r w:rsidRPr="00CA6A46">
        <w:rPr>
          <w:rFonts w:ascii="Times New Roman" w:hAnsi="Times New Roman" w:cs="Times New Roman"/>
          <w:sz w:val="24"/>
          <w:szCs w:val="24"/>
          <w:lang w:val="en-US"/>
        </w:rPr>
        <w:t>, vol. 45, no. 4, p. 453–461, 2011. https://doi.org/10.1080/00343400903241485.</w:t>
      </w:r>
    </w:p>
    <w:p w14:paraId="36129542"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p>
    <w:p w14:paraId="01F4C87E" w14:textId="77777777" w:rsidR="009B4351" w:rsidRPr="00CA6A46" w:rsidRDefault="009B4351" w:rsidP="00CA6A46">
      <w:pPr>
        <w:pStyle w:val="Corpodetexto"/>
        <w:spacing w:after="0" w:line="360" w:lineRule="auto"/>
        <w:rPr>
          <w:rFonts w:ascii="Times New Roman" w:hAnsi="Times New Roman" w:cs="Times New Roman"/>
          <w:sz w:val="24"/>
          <w:szCs w:val="24"/>
          <w:lang w:val="en-US"/>
        </w:rPr>
      </w:pPr>
      <w:r w:rsidRPr="00CA6A46">
        <w:rPr>
          <w:rFonts w:ascii="Times New Roman" w:hAnsi="Times New Roman" w:cs="Times New Roman"/>
          <w:sz w:val="24"/>
          <w:szCs w:val="24"/>
          <w:lang w:val="en-US"/>
        </w:rPr>
        <w:t xml:space="preserve">SOLOW, R. M. A contribution to the theory of economic growth. </w:t>
      </w:r>
      <w:r w:rsidRPr="00CA6A46">
        <w:rPr>
          <w:rFonts w:ascii="Times New Roman" w:hAnsi="Times New Roman" w:cs="Times New Roman"/>
          <w:b/>
          <w:sz w:val="24"/>
          <w:szCs w:val="24"/>
          <w:lang w:val="en-US"/>
        </w:rPr>
        <w:t>The quarterly journal of economics</w:t>
      </w:r>
      <w:r w:rsidRPr="00CA6A46">
        <w:rPr>
          <w:rFonts w:ascii="Times New Roman" w:hAnsi="Times New Roman" w:cs="Times New Roman"/>
          <w:sz w:val="24"/>
          <w:szCs w:val="24"/>
          <w:lang w:val="en-US"/>
        </w:rPr>
        <w:t>, MIT Press, v. 70, n. 1, p. 65-94, 1956.</w:t>
      </w:r>
    </w:p>
    <w:sectPr w:rsidR="009B4351" w:rsidRPr="00CA6A46">
      <w:headerReference w:type="default" r:id="rId15"/>
      <w:footerReference w:type="default" r:id="rId16"/>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D52AD" w14:textId="77777777" w:rsidR="009E3696" w:rsidRDefault="009E3696">
      <w:pPr>
        <w:spacing w:line="240" w:lineRule="auto"/>
      </w:pPr>
      <w:r>
        <w:separator/>
      </w:r>
    </w:p>
  </w:endnote>
  <w:endnote w:type="continuationSeparator" w:id="0">
    <w:p w14:paraId="655E9018" w14:textId="77777777" w:rsidR="009E3696" w:rsidRDefault="009E36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A73EB" w14:textId="77777777" w:rsidR="00AB731B" w:rsidRDefault="00642DB2">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14:anchorId="1CF0E561" wp14:editId="609C7F19">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3BDF415" w14:textId="77777777" w:rsidR="00AB731B" w:rsidRDefault="00AB731B">
    <w:pPr>
      <w:pStyle w:val="Rodap"/>
      <w:jc w:val="both"/>
      <w:rPr>
        <w:rFonts w:ascii="Times New Roman" w:hAnsi="Times New Roman" w:cs="Times New Roman"/>
        <w:sz w:val="20"/>
        <w:szCs w:val="20"/>
      </w:rPr>
    </w:pPr>
  </w:p>
  <w:p w14:paraId="3949B141" w14:textId="77777777" w:rsidR="00AB731B" w:rsidRDefault="00642DB2">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5B21EC78" w14:textId="77777777" w:rsidR="00AB731B" w:rsidRDefault="00AB731B">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ED5ED" w14:textId="77777777" w:rsidR="009E3696" w:rsidRDefault="009E3696">
      <w:pPr>
        <w:spacing w:after="0"/>
      </w:pPr>
      <w:r>
        <w:separator/>
      </w:r>
    </w:p>
  </w:footnote>
  <w:footnote w:type="continuationSeparator" w:id="0">
    <w:p w14:paraId="44B93CC1" w14:textId="77777777" w:rsidR="009E3696" w:rsidRDefault="009E36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7526" w14:textId="77777777" w:rsidR="00AB731B" w:rsidRDefault="00642DB2">
    <w:pPr>
      <w:pStyle w:val="Cabealho"/>
      <w:jc w:val="center"/>
    </w:pPr>
    <w:r>
      <w:rPr>
        <w:noProof/>
        <w:lang w:eastAsia="pt-BR"/>
      </w:rPr>
      <mc:AlternateContent>
        <mc:Choice Requires="wps">
          <w:drawing>
            <wp:anchor distT="0" distB="0" distL="114300" distR="114300" simplePos="0" relativeHeight="251660288" behindDoc="1" locked="0" layoutInCell="1" allowOverlap="1" wp14:anchorId="4D4E773B" wp14:editId="5640EE38">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14:anchorId="13FFC7BE" wp14:editId="569E7EFE">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14:anchorId="197AAE3E" wp14:editId="127B3D71">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6C431B2D" w14:textId="77777777" w:rsidR="00AB731B" w:rsidRDefault="00AB731B">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95141"/>
    <w:multiLevelType w:val="multilevel"/>
    <w:tmpl w:val="F23ED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405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4ADA"/>
    <w:rsid w:val="000241D6"/>
    <w:rsid w:val="0003184A"/>
    <w:rsid w:val="00036C01"/>
    <w:rsid w:val="00076637"/>
    <w:rsid w:val="000B4B25"/>
    <w:rsid w:val="000F2C33"/>
    <w:rsid w:val="001219A2"/>
    <w:rsid w:val="0015219D"/>
    <w:rsid w:val="00172DB0"/>
    <w:rsid w:val="0017619A"/>
    <w:rsid w:val="00206A92"/>
    <w:rsid w:val="00211213"/>
    <w:rsid w:val="00241841"/>
    <w:rsid w:val="00255C43"/>
    <w:rsid w:val="002A16F0"/>
    <w:rsid w:val="002A787C"/>
    <w:rsid w:val="002B520C"/>
    <w:rsid w:val="002B5431"/>
    <w:rsid w:val="002C163D"/>
    <w:rsid w:val="0032078A"/>
    <w:rsid w:val="003C7298"/>
    <w:rsid w:val="004314D0"/>
    <w:rsid w:val="00443657"/>
    <w:rsid w:val="00457492"/>
    <w:rsid w:val="00482AED"/>
    <w:rsid w:val="004B424E"/>
    <w:rsid w:val="004C702D"/>
    <w:rsid w:val="004D292A"/>
    <w:rsid w:val="004D766A"/>
    <w:rsid w:val="00503A69"/>
    <w:rsid w:val="00507F7E"/>
    <w:rsid w:val="00510F45"/>
    <w:rsid w:val="0053562D"/>
    <w:rsid w:val="005545B6"/>
    <w:rsid w:val="005679D7"/>
    <w:rsid w:val="005D306B"/>
    <w:rsid w:val="00616B33"/>
    <w:rsid w:val="00623478"/>
    <w:rsid w:val="00642DB2"/>
    <w:rsid w:val="00667E28"/>
    <w:rsid w:val="006B3481"/>
    <w:rsid w:val="0072020D"/>
    <w:rsid w:val="00770F4E"/>
    <w:rsid w:val="007A3A8D"/>
    <w:rsid w:val="007C3EAC"/>
    <w:rsid w:val="007D2B99"/>
    <w:rsid w:val="008408EB"/>
    <w:rsid w:val="0085799B"/>
    <w:rsid w:val="00893552"/>
    <w:rsid w:val="00894264"/>
    <w:rsid w:val="008B317E"/>
    <w:rsid w:val="008D1672"/>
    <w:rsid w:val="00900914"/>
    <w:rsid w:val="00903EE2"/>
    <w:rsid w:val="009260FF"/>
    <w:rsid w:val="00966BA9"/>
    <w:rsid w:val="00974CEE"/>
    <w:rsid w:val="00976E75"/>
    <w:rsid w:val="009B4351"/>
    <w:rsid w:val="009C3CEA"/>
    <w:rsid w:val="009D319C"/>
    <w:rsid w:val="009E3696"/>
    <w:rsid w:val="009F167A"/>
    <w:rsid w:val="00A12BDF"/>
    <w:rsid w:val="00A20502"/>
    <w:rsid w:val="00A732CD"/>
    <w:rsid w:val="00A962FC"/>
    <w:rsid w:val="00AA1A60"/>
    <w:rsid w:val="00AB731B"/>
    <w:rsid w:val="00AC0685"/>
    <w:rsid w:val="00B25DC8"/>
    <w:rsid w:val="00B26B9C"/>
    <w:rsid w:val="00B32120"/>
    <w:rsid w:val="00B4176F"/>
    <w:rsid w:val="00BC6D50"/>
    <w:rsid w:val="00C4526A"/>
    <w:rsid w:val="00C632FC"/>
    <w:rsid w:val="00C87F92"/>
    <w:rsid w:val="00C90275"/>
    <w:rsid w:val="00C90B3B"/>
    <w:rsid w:val="00CA6A46"/>
    <w:rsid w:val="00CC3A0E"/>
    <w:rsid w:val="00D30789"/>
    <w:rsid w:val="00DA17B3"/>
    <w:rsid w:val="00DE7028"/>
    <w:rsid w:val="00DF3D9D"/>
    <w:rsid w:val="00E13747"/>
    <w:rsid w:val="00E50039"/>
    <w:rsid w:val="00E75EF3"/>
    <w:rsid w:val="00E85851"/>
    <w:rsid w:val="00EF7A2C"/>
    <w:rsid w:val="00F41862"/>
    <w:rsid w:val="00F81B7D"/>
    <w:rsid w:val="00FA42DF"/>
    <w:rsid w:val="00FB54DB"/>
    <w:rsid w:val="00FB6D2E"/>
    <w:rsid w:val="00FC4F7E"/>
    <w:rsid w:val="00FD5FA2"/>
    <w:rsid w:val="00FF2309"/>
    <w:rsid w:val="00FF3298"/>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0C1A0"/>
  <w15:docId w15:val="{48562FA6-12BA-4E8B-8C27-47F3D9C4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Corpodetexto">
    <w:name w:val="Body Text"/>
    <w:basedOn w:val="Normal"/>
    <w:link w:val="CorpodetextoChar"/>
    <w:uiPriority w:val="99"/>
    <w:unhideWhenUsed/>
    <w:rsid w:val="00A962FC"/>
    <w:pPr>
      <w:spacing w:after="120"/>
    </w:pPr>
  </w:style>
  <w:style w:type="character" w:customStyle="1" w:styleId="CorpodetextoChar">
    <w:name w:val="Corpo de texto Char"/>
    <w:basedOn w:val="Fontepargpadro"/>
    <w:link w:val="Corpodetexto"/>
    <w:uiPriority w:val="99"/>
    <w:rsid w:val="00A962FC"/>
    <w:rPr>
      <w:sz w:val="22"/>
      <w:szCs w:val="22"/>
      <w:lang w:eastAsia="en-US"/>
    </w:rPr>
  </w:style>
  <w:style w:type="paragraph" w:customStyle="1" w:styleId="FirstParagraph">
    <w:name w:val="First Paragraph"/>
    <w:basedOn w:val="Corpodetexto"/>
    <w:next w:val="Corpodetexto"/>
    <w:qFormat/>
    <w:rsid w:val="00AC0685"/>
    <w:pPr>
      <w:spacing w:before="180" w:after="18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4399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99284D-6B30-4554-89E6-2B861163D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20</Pages>
  <Words>5478</Words>
  <Characters>29586</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Lucir Reinaldo Alves</cp:lastModifiedBy>
  <cp:revision>80</cp:revision>
  <dcterms:created xsi:type="dcterms:W3CDTF">2022-07-27T18:06:00Z</dcterms:created>
  <dcterms:modified xsi:type="dcterms:W3CDTF">2022-08-16T01:20:00Z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