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6C71E" w14:textId="43F64798" w:rsidR="00787223" w:rsidRPr="00787223" w:rsidRDefault="00787223" w:rsidP="00CA0769">
      <w:pPr>
        <w:spacing w:line="360" w:lineRule="auto"/>
        <w:jc w:val="center"/>
        <w:rPr>
          <w:rFonts w:ascii="Times New Roman" w:hAnsi="Times New Roman" w:cs="Times New Roman"/>
          <w:b/>
          <w:bCs/>
          <w:sz w:val="28"/>
          <w:szCs w:val="28"/>
        </w:rPr>
      </w:pPr>
      <w:bookmarkStart w:id="0" w:name="_Hlk111490430"/>
      <w:bookmarkEnd w:id="0"/>
      <w:r w:rsidRPr="00787223">
        <w:rPr>
          <w:rFonts w:ascii="Times New Roman" w:hAnsi="Times New Roman" w:cs="Times New Roman"/>
          <w:b/>
          <w:bCs/>
          <w:sz w:val="28"/>
          <w:szCs w:val="28"/>
        </w:rPr>
        <w:t xml:space="preserve">LOCALIZAÇÃO, ESPECIALIZAÇÃO E DECOMPOSIÇÃO DO EMPREGO FORMAL NOS ESTADOS DO NORDESTE: </w:t>
      </w:r>
      <w:r w:rsidRPr="00787223">
        <w:rPr>
          <w:rFonts w:ascii="Times New Roman" w:hAnsi="Times New Roman" w:cs="Times New Roman"/>
          <w:b/>
          <w:bCs/>
          <w:sz w:val="28"/>
          <w:szCs w:val="28"/>
        </w:rPr>
        <w:t>uma análise para os períodos de 2010/2015 e 2015/2020</w:t>
      </w:r>
    </w:p>
    <w:p w14:paraId="6099E022" w14:textId="77777777" w:rsidR="0053206E" w:rsidRDefault="0053206E">
      <w:pPr>
        <w:spacing w:after="0" w:line="360" w:lineRule="auto"/>
        <w:jc w:val="center"/>
        <w:rPr>
          <w:rFonts w:ascii="Times New Roman" w:hAnsi="Times New Roman" w:cs="Times New Roman"/>
          <w:sz w:val="28"/>
          <w:szCs w:val="28"/>
        </w:rPr>
      </w:pPr>
    </w:p>
    <w:p w14:paraId="0A386454" w14:textId="77777777" w:rsidR="0053206E" w:rsidRDefault="00000000">
      <w:pPr>
        <w:pStyle w:val="Ttulo"/>
        <w:jc w:val="both"/>
        <w:rPr>
          <w:rFonts w:ascii="Times New Roman" w:hAnsi="Times New Roman"/>
          <w:sz w:val="24"/>
        </w:rPr>
      </w:pPr>
      <w:r>
        <w:rPr>
          <w:rFonts w:ascii="Times New Roman" w:hAnsi="Times New Roman"/>
          <w:sz w:val="24"/>
        </w:rPr>
        <w:t>RESUMO</w:t>
      </w:r>
    </w:p>
    <w:p w14:paraId="12D75BBA" w14:textId="77777777" w:rsidR="00787223" w:rsidRPr="00787223" w:rsidRDefault="00787223" w:rsidP="00787223">
      <w:pPr>
        <w:spacing w:after="0" w:line="240" w:lineRule="auto"/>
        <w:jc w:val="both"/>
        <w:rPr>
          <w:rFonts w:ascii="Times New Roman" w:hAnsi="Times New Roman" w:cs="Times New Roman"/>
          <w:sz w:val="24"/>
        </w:rPr>
      </w:pPr>
      <w:r w:rsidRPr="00787223">
        <w:rPr>
          <w:rFonts w:ascii="Times New Roman" w:hAnsi="Times New Roman" w:cs="Times New Roman"/>
          <w:sz w:val="24"/>
        </w:rPr>
        <w:t xml:space="preserve">A pesquisa propõe analisar a localização, especialização e decomposição do emprego formal em oito setores produtivos no Nordeste em 2010, 2015 e 2020. Assim, utilizou-se do Quociente Locacional (QL), Coeficiente de Especialização (CE) e o </w:t>
      </w:r>
      <w:r w:rsidRPr="00787223">
        <w:rPr>
          <w:rFonts w:ascii="Times New Roman" w:hAnsi="Times New Roman" w:cs="Times New Roman"/>
          <w:i/>
          <w:iCs/>
          <w:sz w:val="24"/>
        </w:rPr>
        <w:t>shift-</w:t>
      </w:r>
      <w:proofErr w:type="spellStart"/>
      <w:r w:rsidRPr="00787223">
        <w:rPr>
          <w:rFonts w:ascii="Times New Roman" w:hAnsi="Times New Roman" w:cs="Times New Roman"/>
          <w:i/>
          <w:iCs/>
          <w:sz w:val="24"/>
        </w:rPr>
        <w:t>share</w:t>
      </w:r>
      <w:proofErr w:type="spellEnd"/>
      <w:r w:rsidRPr="00787223">
        <w:rPr>
          <w:rFonts w:ascii="Times New Roman" w:hAnsi="Times New Roman" w:cs="Times New Roman"/>
          <w:sz w:val="24"/>
        </w:rPr>
        <w:t xml:space="preserve"> clássico. Os resultados indicaram que a localização do emprego é diversa em sua maioria, mas que parcela significativa possui dependência em dois ou mais setores. Sobre a especialização, constata-se que a estrutura de emprego dos estados é próxima à do Nordeste. Sobre a decomposição do emprego, no período de 2010 a 2015 o componente regional foi o que mais influenciou positivamente a variação do emprego nos estados e, de 2015 a 2020 foi o maior responsável pelo retraimento da mão de obra da maior parte dos estados. Sendo os segmentos de administração, serviços e comércio, as principais causas pela elevação ou retraimento do emprego de 2010 a 2020.</w:t>
      </w:r>
    </w:p>
    <w:p w14:paraId="76DA5BE2" w14:textId="3A573679" w:rsidR="0053206E" w:rsidRPr="00B32524"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787223" w:rsidRPr="00B32524">
        <w:rPr>
          <w:rFonts w:ascii="Times New Roman" w:hAnsi="Times New Roman" w:cs="Times New Roman"/>
          <w:sz w:val="24"/>
          <w:szCs w:val="24"/>
        </w:rPr>
        <w:t>Emprego</w:t>
      </w:r>
      <w:r w:rsidR="00787223" w:rsidRPr="00B32524">
        <w:rPr>
          <w:rFonts w:ascii="Times New Roman" w:hAnsi="Times New Roman" w:cs="Times New Roman"/>
          <w:sz w:val="24"/>
          <w:szCs w:val="24"/>
        </w:rPr>
        <w:t xml:space="preserve"> formal</w:t>
      </w:r>
      <w:r w:rsidR="00787223" w:rsidRPr="00B32524">
        <w:rPr>
          <w:rFonts w:ascii="Times New Roman" w:hAnsi="Times New Roman" w:cs="Times New Roman"/>
          <w:sz w:val="24"/>
          <w:szCs w:val="24"/>
        </w:rPr>
        <w:t xml:space="preserve">; </w:t>
      </w:r>
      <w:r w:rsidR="00B32524" w:rsidRPr="00B32524">
        <w:rPr>
          <w:rFonts w:ascii="Times New Roman" w:hAnsi="Times New Roman" w:cs="Times New Roman"/>
          <w:sz w:val="24"/>
          <w:szCs w:val="24"/>
        </w:rPr>
        <w:t>Nordeste; Localização;</w:t>
      </w:r>
      <w:r w:rsidR="00787223" w:rsidRPr="00B32524">
        <w:rPr>
          <w:rFonts w:ascii="Times New Roman" w:hAnsi="Times New Roman" w:cs="Times New Roman"/>
          <w:sz w:val="24"/>
          <w:szCs w:val="24"/>
        </w:rPr>
        <w:t xml:space="preserve"> </w:t>
      </w:r>
      <w:r w:rsidR="00787223" w:rsidRPr="00B32524">
        <w:rPr>
          <w:rFonts w:ascii="Times New Roman" w:hAnsi="Times New Roman" w:cs="Times New Roman"/>
          <w:sz w:val="24"/>
          <w:szCs w:val="24"/>
        </w:rPr>
        <w:t xml:space="preserve">Especialização; </w:t>
      </w:r>
      <w:r w:rsidR="00787223" w:rsidRPr="00B32524">
        <w:rPr>
          <w:rFonts w:ascii="Times New Roman" w:hAnsi="Times New Roman" w:cs="Times New Roman"/>
          <w:i/>
          <w:iCs/>
          <w:sz w:val="24"/>
          <w:szCs w:val="24"/>
        </w:rPr>
        <w:t>Shift-</w:t>
      </w:r>
      <w:proofErr w:type="spellStart"/>
      <w:r w:rsidR="00787223" w:rsidRPr="00B32524">
        <w:rPr>
          <w:rFonts w:ascii="Times New Roman" w:hAnsi="Times New Roman" w:cs="Times New Roman"/>
          <w:i/>
          <w:iCs/>
          <w:sz w:val="24"/>
          <w:szCs w:val="24"/>
        </w:rPr>
        <w:t>Share</w:t>
      </w:r>
      <w:proofErr w:type="spellEnd"/>
      <w:r w:rsidR="00787223" w:rsidRPr="00B32524">
        <w:rPr>
          <w:rFonts w:ascii="Times New Roman" w:hAnsi="Times New Roman" w:cs="Times New Roman"/>
          <w:sz w:val="24"/>
          <w:szCs w:val="24"/>
        </w:rPr>
        <w:t>.</w:t>
      </w:r>
    </w:p>
    <w:p w14:paraId="3203EFA1" w14:textId="77777777" w:rsidR="0053206E" w:rsidRDefault="0053206E">
      <w:pPr>
        <w:spacing w:after="0" w:line="360" w:lineRule="auto"/>
        <w:jc w:val="both"/>
        <w:rPr>
          <w:rFonts w:ascii="Times New Roman" w:hAnsi="Times New Roman" w:cs="Times New Roman"/>
          <w:sz w:val="24"/>
          <w:szCs w:val="24"/>
        </w:rPr>
      </w:pPr>
    </w:p>
    <w:p w14:paraId="5C0CB726" w14:textId="3932BB57" w:rsidR="0053206E"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No</w:t>
      </w:r>
      <w:r w:rsidR="00B32524">
        <w:rPr>
          <w:rFonts w:ascii="Times New Roman" w:hAnsi="Times New Roman" w:cs="Times New Roman"/>
          <w:b/>
          <w:bCs/>
          <w:sz w:val="24"/>
          <w:szCs w:val="24"/>
        </w:rPr>
        <w:t xml:space="preserve"> III</w:t>
      </w:r>
      <w:r w:rsidR="00B32524">
        <w:rPr>
          <w:rFonts w:ascii="Times New Roman" w:hAnsi="Times New Roman" w:cs="Times New Roman"/>
          <w:sz w:val="24"/>
          <w:szCs w:val="24"/>
        </w:rPr>
        <w:t>:</w:t>
      </w:r>
      <w:r>
        <w:rPr>
          <w:rFonts w:ascii="Times New Roman" w:hAnsi="Times New Roman" w:cs="Times New Roman"/>
          <w:sz w:val="24"/>
          <w:szCs w:val="24"/>
        </w:rPr>
        <w:t xml:space="preserve"> </w:t>
      </w:r>
      <w:r w:rsidR="00B32524" w:rsidRPr="00B32524">
        <w:rPr>
          <w:rFonts w:ascii="Times New Roman" w:hAnsi="Times New Roman" w:cs="Times New Roman"/>
          <w:sz w:val="24"/>
          <w:szCs w:val="24"/>
        </w:rPr>
        <w:t>Dinâmicas socioeconômicas do Território</w:t>
      </w:r>
    </w:p>
    <w:p w14:paraId="6EDB0777" w14:textId="77777777" w:rsidR="0053206E" w:rsidRDefault="0053206E">
      <w:pPr>
        <w:spacing w:after="0" w:line="360" w:lineRule="auto"/>
        <w:jc w:val="both"/>
        <w:rPr>
          <w:rFonts w:ascii="Times New Roman" w:hAnsi="Times New Roman" w:cs="Times New Roman"/>
          <w:sz w:val="24"/>
          <w:szCs w:val="24"/>
        </w:rPr>
      </w:pPr>
    </w:p>
    <w:p w14:paraId="63BA5830" w14:textId="77777777" w:rsidR="0053206E"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0D7C518D"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O desenvolvimento regional é uma temática de elevado progresso nas discussões acerca da conjuntura econômica em que se objetiva investigar as variáveis que influenciam as variações da renda das regiões e as repercussões destas à sociedade (REZENDE, HASEGAWA, 2020). Discussões como estas são de suma importância, tendo em vista, que estas propiciam o conhecimento da realidade das localidades, servindo como base para o estado na elaboração de políticas públicas.</w:t>
      </w:r>
    </w:p>
    <w:p w14:paraId="755135EF"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Dentro do desenvolvimento regional, a variável emprego, sofre influência direta da conjuntura econômica. No Brasil após a década de 1990 com a abertura comercial, isso se confirma dada as mudanças econômicas, sociais, institucionais e culturais que elevaram a competitividade e modernizou o processo produtivo (OLIVEIRA, RIBEIRO, VIEIRA, 2020).</w:t>
      </w:r>
    </w:p>
    <w:p w14:paraId="478EF601"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 xml:space="preserve">Dada a dinâmica da economia e as mudanças na produção, o mercado de trabalho do país e especialmente o Nordeste, foco deste trabalho, passou por transformações ao longo das </w:t>
      </w:r>
      <w:r w:rsidRPr="00A10292">
        <w:rPr>
          <w:rFonts w:ascii="Times New Roman" w:hAnsi="Times New Roman" w:cs="Times New Roman"/>
          <w:sz w:val="24"/>
        </w:rPr>
        <w:lastRenderedPageBreak/>
        <w:t xml:space="preserve">últimas décadas, devido à fatores econômicos e políticos que produzem ciclos econômicos e promovem distintas mudanças no crescimento nacional e regional, refletindo na criação de postos de emprego, localização e especialização de setores econômicos no país e Nordeste. O mercado de trabalho mesmo diante da crise internacional do </w:t>
      </w:r>
      <w:proofErr w:type="spellStart"/>
      <w:r w:rsidRPr="00A10292">
        <w:rPr>
          <w:rFonts w:ascii="Times New Roman" w:hAnsi="Times New Roman" w:cs="Times New Roman"/>
          <w:i/>
          <w:iCs/>
          <w:sz w:val="24"/>
        </w:rPr>
        <w:t>subprime</w:t>
      </w:r>
      <w:proofErr w:type="spellEnd"/>
      <w:r w:rsidRPr="00A10292">
        <w:rPr>
          <w:rFonts w:ascii="Times New Roman" w:hAnsi="Times New Roman" w:cs="Times New Roman"/>
          <w:sz w:val="24"/>
        </w:rPr>
        <w:t xml:space="preserve"> de 2008 que impactou negativamente a economia do país, permaneceu em crescimento a partir de 2010, atingindo seu ápice em 2014. Todavia de 2015 a 2017, devido à crise econômica e política instaurada no país houve um decrescimento nas taxas de emprego do país e da região Nordeste (LEÃO, 2019). Em 2020 devido a pandemia da Covid -19, as economias do Brasil e do mundo sofreram retração e isso ocasionou perdas de postos de emprego, tanto em âmbito internacional, nacional, como regional. </w:t>
      </w:r>
    </w:p>
    <w:p w14:paraId="528058A8"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 xml:space="preserve">Diante dessas considerações, o presente artigo se propôs a analisar o padrão de localização, especialização e decomposição do emprego formal nos componentes regional, setorial e estadual, nos estados nordestinos no período de 2010 a 2020, subdividido em dois grupos: 2010/2015 e 2015 a 2020. </w:t>
      </w:r>
    </w:p>
    <w:p w14:paraId="20D60C23"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No período estudado, o cenário brasileiro produziu diferentes configurações para a geração de emprego e sua distribuição nos segmentos produtivos no País, sobretudo na Região Nordeste. O Nordeste, assim como as outras macrorregiões possuem localidades, que apesar de pertencerem a mesma região, possuem distintas particularidades físicas e econômicas, que são determinantes do processo de desigualdade instalado na região, que fazem alguns estados exibirem mais vantagens em relação à economia e a geração de postos de emprego.</w:t>
      </w:r>
    </w:p>
    <w:p w14:paraId="4E9C4BCB"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 xml:space="preserve">Conforme dados retirados da RAIS (2022), o estoque de emprego do Nordeste variou em 11,09% de 2010 a 2015 e retraiu em 5,96% de 2015 a 2020. Quando se verifica a participação da mão de obra dos estados na região, constata-se desigualdade, sendo Bahia e Pernambuco os maiores absorsores de mão de obra no período. Quando se analisa a absorção por setor produtivo verifica-se uma elevação da participação do serviço ao logo do período na região. </w:t>
      </w:r>
    </w:p>
    <w:p w14:paraId="5D14839C"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 xml:space="preserve">Portanto, para analisar as principais modificações observadas no período de 2010 a 2020, o qual foi desagregado em dois sub períodos, 2010 a 2015 e 2015 a 2020, esta pesquisa adotou como recorte geográfico a região do Nordeste brasileira, utilizado como economia de </w:t>
      </w:r>
      <w:r w:rsidRPr="00A10292">
        <w:rPr>
          <w:rFonts w:ascii="Times New Roman" w:hAnsi="Times New Roman" w:cs="Times New Roman"/>
          <w:sz w:val="24"/>
        </w:rPr>
        <w:lastRenderedPageBreak/>
        <w:t xml:space="preserve">referência para seus nove estados, a saber: Alagoas, Bahia, Ceará, Maranhão, Paraíba, Piauí, Rio Grande do Norte e Sergipe. </w:t>
      </w:r>
    </w:p>
    <w:p w14:paraId="7709E1D8"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 xml:space="preserve">Quanto aos procedimentos metodológicos, se utilizou de dados do emprego de 8 setores econômicos do IBGE extraídos do Relação Anual de Informações Sociais (RAIS), a saber: extrativa mineral, indústria de transformação, serviços industriais de utilidade pública, construção civil, comércio, serviços, administração pública e agropecuária, extração vegetal, caça e pesca. Utilizou-se também métodos explanatórios com o intuito de compreender mais detalhadamente a questão de localização, especialização e decomposição regional, a saber: Quociente Locacional (QL), Coeficiente de Especialização (CE) e </w:t>
      </w:r>
      <w:r w:rsidRPr="00A10292">
        <w:rPr>
          <w:rFonts w:ascii="Times New Roman" w:hAnsi="Times New Roman" w:cs="Times New Roman"/>
          <w:i/>
          <w:iCs/>
          <w:sz w:val="24"/>
        </w:rPr>
        <w:t xml:space="preserve">shift </w:t>
      </w:r>
      <w:proofErr w:type="spellStart"/>
      <w:r w:rsidRPr="00A10292">
        <w:rPr>
          <w:rFonts w:ascii="Times New Roman" w:hAnsi="Times New Roman" w:cs="Times New Roman"/>
          <w:i/>
          <w:iCs/>
          <w:sz w:val="24"/>
        </w:rPr>
        <w:t>share</w:t>
      </w:r>
      <w:proofErr w:type="spellEnd"/>
      <w:r w:rsidRPr="00A10292">
        <w:rPr>
          <w:rFonts w:ascii="Times New Roman" w:hAnsi="Times New Roman" w:cs="Times New Roman"/>
          <w:sz w:val="24"/>
        </w:rPr>
        <w:t>.</w:t>
      </w:r>
    </w:p>
    <w:p w14:paraId="512A0411" w14:textId="77777777"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 xml:space="preserve">De acordo com Rezende, Hasegawa (2020, p.17), o </w:t>
      </w:r>
      <w:r w:rsidRPr="00A10292">
        <w:rPr>
          <w:rFonts w:ascii="Times New Roman" w:hAnsi="Times New Roman" w:cs="Times New Roman"/>
          <w:i/>
          <w:iCs/>
          <w:sz w:val="24"/>
        </w:rPr>
        <w:t xml:space="preserve">shift </w:t>
      </w:r>
      <w:proofErr w:type="spellStart"/>
      <w:r w:rsidRPr="00A10292">
        <w:rPr>
          <w:rFonts w:ascii="Times New Roman" w:hAnsi="Times New Roman" w:cs="Times New Roman"/>
          <w:i/>
          <w:iCs/>
          <w:sz w:val="24"/>
        </w:rPr>
        <w:t>share</w:t>
      </w:r>
      <w:proofErr w:type="spellEnd"/>
      <w:r w:rsidRPr="00A10292">
        <w:rPr>
          <w:rFonts w:ascii="Times New Roman" w:hAnsi="Times New Roman" w:cs="Times New Roman"/>
          <w:sz w:val="24"/>
        </w:rPr>
        <w:t xml:space="preserve"> “é amparado por diferentes teorias provenientes do estudo regional, como a teoria dos polos de crescimento de François Perroux, a causação circular cumulativa de Gunnar Myrdal e os efeitos de encadeamento somado ao caráter desequilibrado do desenvolvimento de Albert O. </w:t>
      </w:r>
      <w:proofErr w:type="spellStart"/>
      <w:r w:rsidRPr="00A10292">
        <w:rPr>
          <w:rFonts w:ascii="Times New Roman" w:hAnsi="Times New Roman" w:cs="Times New Roman"/>
          <w:sz w:val="24"/>
        </w:rPr>
        <w:t>Hirschman</w:t>
      </w:r>
      <w:proofErr w:type="spellEnd"/>
      <w:r w:rsidRPr="00A10292">
        <w:rPr>
          <w:rFonts w:ascii="Times New Roman" w:hAnsi="Times New Roman" w:cs="Times New Roman"/>
          <w:sz w:val="24"/>
        </w:rPr>
        <w:t xml:space="preserve">”. </w:t>
      </w:r>
      <w:proofErr w:type="spellStart"/>
      <w:r w:rsidRPr="00A10292">
        <w:rPr>
          <w:rFonts w:ascii="Times New Roman" w:hAnsi="Times New Roman" w:cs="Times New Roman"/>
          <w:sz w:val="24"/>
        </w:rPr>
        <w:t>Telechi</w:t>
      </w:r>
      <w:proofErr w:type="spellEnd"/>
      <w:r w:rsidRPr="00A10292">
        <w:rPr>
          <w:rFonts w:ascii="Times New Roman" w:hAnsi="Times New Roman" w:cs="Times New Roman"/>
          <w:sz w:val="24"/>
        </w:rPr>
        <w:t xml:space="preserve"> (2017) afirma que esta metodologia possui uma natureza explanatória, visto que possibilita identificar onde estão os principais fatores que afetam a variação da variável analisada, e já vem sendo amplamente utilizada na literatura, em que se destacam os trabalhos de Vieira, Missio e </w:t>
      </w:r>
      <w:proofErr w:type="spellStart"/>
      <w:r w:rsidRPr="00A10292">
        <w:rPr>
          <w:rFonts w:ascii="Times New Roman" w:hAnsi="Times New Roman" w:cs="Times New Roman"/>
          <w:sz w:val="24"/>
        </w:rPr>
        <w:t>Dathein</w:t>
      </w:r>
      <w:proofErr w:type="spellEnd"/>
      <w:r w:rsidRPr="00A10292">
        <w:rPr>
          <w:rFonts w:ascii="Times New Roman" w:hAnsi="Times New Roman" w:cs="Times New Roman"/>
          <w:sz w:val="24"/>
        </w:rPr>
        <w:t xml:space="preserve"> (2017), Silva e Rezende (2018), Caliari e Santos (2020) e Resende e Hasegawa (2020).</w:t>
      </w:r>
    </w:p>
    <w:p w14:paraId="53EAEFE5" w14:textId="269A530B" w:rsidR="00A10292"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Embora essa metodologia já tenha sido amplamente discutida, este trabalho se diferencia dos consultados por fazer a análise para os estados nordestinos além de desagregar o período em dois (2010/2015 e 2015/2020), e trazer a análise até 2020, ano mais atual com dados disponíveis para o emprego</w:t>
      </w:r>
    </w:p>
    <w:p w14:paraId="1720C95B" w14:textId="5A98DA84" w:rsidR="0053206E" w:rsidRPr="00A10292" w:rsidRDefault="00A10292" w:rsidP="00A10292">
      <w:pPr>
        <w:spacing w:after="0" w:line="360" w:lineRule="auto"/>
        <w:ind w:firstLine="708"/>
        <w:jc w:val="both"/>
        <w:rPr>
          <w:rFonts w:ascii="Times New Roman" w:hAnsi="Times New Roman" w:cs="Times New Roman"/>
          <w:sz w:val="24"/>
        </w:rPr>
      </w:pPr>
      <w:r w:rsidRPr="00A10292">
        <w:rPr>
          <w:rFonts w:ascii="Times New Roman" w:hAnsi="Times New Roman" w:cs="Times New Roman"/>
          <w:sz w:val="24"/>
        </w:rPr>
        <w:t>Esta pesquisa se encontra organizada em cinco seções, incluindo esta introdução, a saber: a descrição dos métodos utilizados para análise</w:t>
      </w:r>
      <w:r w:rsidR="00704E86">
        <w:rPr>
          <w:rFonts w:ascii="Times New Roman" w:hAnsi="Times New Roman" w:cs="Times New Roman"/>
          <w:sz w:val="24"/>
        </w:rPr>
        <w:t xml:space="preserve">, </w:t>
      </w:r>
      <w:r w:rsidR="00704E86" w:rsidRPr="00A10292">
        <w:rPr>
          <w:rFonts w:ascii="Times New Roman" w:hAnsi="Times New Roman" w:cs="Times New Roman"/>
          <w:sz w:val="24"/>
        </w:rPr>
        <w:t>referencial teórico</w:t>
      </w:r>
      <w:r w:rsidRPr="00A10292">
        <w:rPr>
          <w:rFonts w:ascii="Times New Roman" w:hAnsi="Times New Roman" w:cs="Times New Roman"/>
          <w:sz w:val="24"/>
        </w:rPr>
        <w:t xml:space="preserve"> e, por fim, </w:t>
      </w:r>
      <w:r w:rsidR="00704E86">
        <w:rPr>
          <w:rFonts w:ascii="Times New Roman" w:hAnsi="Times New Roman" w:cs="Times New Roman"/>
          <w:sz w:val="24"/>
        </w:rPr>
        <w:t>os</w:t>
      </w:r>
      <w:r w:rsidRPr="00A10292">
        <w:rPr>
          <w:rFonts w:ascii="Times New Roman" w:hAnsi="Times New Roman" w:cs="Times New Roman"/>
          <w:sz w:val="24"/>
        </w:rPr>
        <w:t xml:space="preserve"> principais </w:t>
      </w:r>
      <w:r w:rsidR="00704E86">
        <w:rPr>
          <w:rFonts w:ascii="Times New Roman" w:hAnsi="Times New Roman" w:cs="Times New Roman"/>
          <w:sz w:val="24"/>
        </w:rPr>
        <w:t>resultados</w:t>
      </w:r>
      <w:r w:rsidRPr="00A10292">
        <w:rPr>
          <w:rFonts w:ascii="Times New Roman" w:hAnsi="Times New Roman" w:cs="Times New Roman"/>
          <w:sz w:val="24"/>
        </w:rPr>
        <w:t xml:space="preserve"> encontrad</w:t>
      </w:r>
      <w:r w:rsidR="00704E86">
        <w:rPr>
          <w:rFonts w:ascii="Times New Roman" w:hAnsi="Times New Roman" w:cs="Times New Roman"/>
          <w:sz w:val="24"/>
        </w:rPr>
        <w:t>o</w:t>
      </w:r>
      <w:r w:rsidRPr="00A10292">
        <w:rPr>
          <w:rFonts w:ascii="Times New Roman" w:hAnsi="Times New Roman" w:cs="Times New Roman"/>
          <w:sz w:val="24"/>
        </w:rPr>
        <w:t>s com o estudo.</w:t>
      </w:r>
    </w:p>
    <w:p w14:paraId="5FD97801" w14:textId="77777777" w:rsidR="0053206E" w:rsidRDefault="0053206E">
      <w:pPr>
        <w:spacing w:after="0" w:line="240" w:lineRule="auto"/>
        <w:jc w:val="both"/>
        <w:rPr>
          <w:rFonts w:ascii="Times New Roman" w:hAnsi="Times New Roman" w:cs="Times New Roman"/>
          <w:sz w:val="24"/>
          <w:szCs w:val="24"/>
        </w:rPr>
      </w:pPr>
    </w:p>
    <w:p w14:paraId="34DDB74C" w14:textId="77777777" w:rsidR="0053206E"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6BE5BFF4" w14:textId="750B90BC" w:rsidR="00092E04" w:rsidRPr="00092E04" w:rsidRDefault="00092E04" w:rsidP="00092E0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092E04">
        <w:rPr>
          <w:rFonts w:ascii="Times New Roman" w:hAnsi="Times New Roman" w:cs="Times New Roman"/>
          <w:b/>
          <w:bCs/>
          <w:sz w:val="24"/>
          <w:szCs w:val="24"/>
        </w:rPr>
        <w:t>.1 Base de dados</w:t>
      </w:r>
    </w:p>
    <w:p w14:paraId="6801ECB9" w14:textId="0F4C6CDA"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 xml:space="preserve">Esta pesquisa se utilizou de dados do emprego de 8 setores econômicos do IBGE extraídos do Relação Anual de Informações Sociais (RAIS), a saber: extrativa mineral, indústria </w:t>
      </w:r>
      <w:r w:rsidRPr="00092E04">
        <w:rPr>
          <w:rFonts w:ascii="Times New Roman" w:hAnsi="Times New Roman" w:cs="Times New Roman"/>
          <w:sz w:val="24"/>
          <w:szCs w:val="24"/>
        </w:rPr>
        <w:lastRenderedPageBreak/>
        <w:t>de transformação, serviços industriais de utilidade pública, construção civil, comércio, serviços, administração pública e agropecuária, extração vegetal, caça e pesca.</w:t>
      </w:r>
    </w:p>
    <w:p w14:paraId="2CE3636E" w14:textId="01F8A072"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No que diz respeito ao recorte geográfico adotado nesta pesquisa, foi a região Nordeste brasileira, utilizado como economia de referência para seus nove estados, a saber: Alagoas, Bahia, Ceará, Maranhão, Paraíba, Piauí, Rio Grande do Norte e Sergipe. Concernente ao período de análise, considerou-se o período de 2010 a 2020, sendo desagregado em dois sub períodos, 2010 a 2015 e 2015 a 2020.</w:t>
      </w:r>
    </w:p>
    <w:p w14:paraId="2A6A2DDB" w14:textId="14349279" w:rsidR="00092E04" w:rsidRPr="00092E04" w:rsidRDefault="007909FB" w:rsidP="007909F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092E04" w:rsidRPr="00092E04">
        <w:rPr>
          <w:rFonts w:ascii="Times New Roman" w:hAnsi="Times New Roman" w:cs="Times New Roman"/>
          <w:b/>
          <w:bCs/>
          <w:sz w:val="24"/>
          <w:szCs w:val="24"/>
        </w:rPr>
        <w:t>.2 Descrição do método analítico</w:t>
      </w:r>
    </w:p>
    <w:p w14:paraId="466DFB8E" w14:textId="23A93AE1" w:rsidR="00092E04" w:rsidRPr="00092E04" w:rsidRDefault="007909FB" w:rsidP="007909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092E04" w:rsidRPr="00092E04">
        <w:rPr>
          <w:rFonts w:ascii="Times New Roman" w:hAnsi="Times New Roman" w:cs="Times New Roman"/>
          <w:sz w:val="24"/>
          <w:szCs w:val="24"/>
        </w:rPr>
        <w:t>.2.1 Quociente Locacional (QL)</w:t>
      </w:r>
    </w:p>
    <w:p w14:paraId="04585DFE" w14:textId="3A2FE033"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O Quociente Locacional (QL) mensura o grau de concentração de um dado setor econômico em âmbito regional, em comparação com a distribuição em âmbito nacional. Nesta pesquisa, pretendeu-se analisar a distribuição do emprego dos estados nordestinos em relação a macro região Nordeste. Dessa forma, a mensuração do índice se dá da seguinte maneira:</w:t>
      </w:r>
    </w:p>
    <w:p w14:paraId="4D1A7FDC" w14:textId="3B125F4A" w:rsidR="00092E04" w:rsidRPr="00092E04" w:rsidRDefault="00092E04" w:rsidP="00092E04">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QL</m:t>
            </m:r>
          </m:e>
          <m:sub>
            <m:r>
              <w:rPr>
                <w:rFonts w:ascii="Cambria Math" w:hAnsi="Cambria Math" w:cs="Times New Roman"/>
                <w:sz w:val="24"/>
                <w:szCs w:val="24"/>
              </w:rPr>
              <m:t>ij</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tt</m:t>
                </m:r>
              </m:sub>
            </m:sSub>
          </m:den>
        </m:f>
      </m:oMath>
      <w:r w:rsidRPr="00092E04">
        <w:rPr>
          <w:rFonts w:ascii="Times New Roman" w:hAnsi="Times New Roman" w:cs="Times New Roman"/>
          <w:sz w:val="24"/>
          <w:szCs w:val="24"/>
        </w:rPr>
        <w:t xml:space="preserve">                                                                                                               (01)</w:t>
      </w:r>
    </w:p>
    <w:p w14:paraId="0CA809AB" w14:textId="3582D0DA"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 xml:space="preserve">Onde,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ij</m:t>
            </m:r>
          </m:sub>
        </m:sSub>
      </m:oMath>
      <w:r w:rsidRPr="00092E04">
        <w:rPr>
          <w:rFonts w:ascii="Times New Roman" w:hAnsi="Times New Roman" w:cs="Times New Roman"/>
          <w:sz w:val="24"/>
          <w:szCs w:val="24"/>
        </w:rPr>
        <w:t xml:space="preserve">, refere-se ao emprego formal no segmento i e no estado nordestino j;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oMath>
      <w:r w:rsidRPr="00092E04">
        <w:rPr>
          <w:rFonts w:ascii="Times New Roman" w:hAnsi="Times New Roman" w:cs="Times New Roman"/>
          <w:sz w:val="24"/>
          <w:szCs w:val="24"/>
        </w:rPr>
        <w:t xml:space="preserve"> é a totalidade do emprego no setor i de todos os estados j;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tj</m:t>
            </m:r>
          </m:sub>
        </m:sSub>
      </m:oMath>
      <w:r w:rsidRPr="00092E04">
        <w:rPr>
          <w:rFonts w:ascii="Times New Roman" w:hAnsi="Times New Roman" w:cs="Times New Roman"/>
          <w:sz w:val="24"/>
          <w:szCs w:val="24"/>
        </w:rPr>
        <w:t xml:space="preserve">, emprego formal em todos os segmentos produtivos no estado j e, por último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tt</m:t>
            </m:r>
          </m:sub>
        </m:sSub>
      </m:oMath>
      <w:r w:rsidRPr="00092E04">
        <w:rPr>
          <w:rFonts w:ascii="Times New Roman" w:hAnsi="Times New Roman" w:cs="Times New Roman"/>
          <w:sz w:val="24"/>
          <w:szCs w:val="24"/>
        </w:rPr>
        <w:t xml:space="preserve"> concerne ao somatório do emprego total dos setores e estados do Nordeste, ou seja, é o emprego total da região Nordeste. Se o QL &gt; 1, sugere que o certo estado nordestino é mais especializado em certo setor analisado, no contexto regional, quando comparado aos demais segmentos produtivos da economia de referência, Nordeste. Se QL &lt;1, indica que não há uma relativa concentração do segmento i no estado j, ou seja, este estado possui especialização inferior nesta atividade econômica, quando relacionada a importância relativa deste setor em análise na região nordestina. (RICHARDSON,1973).</w:t>
      </w:r>
    </w:p>
    <w:p w14:paraId="2587AA6F" w14:textId="75ADB686" w:rsidR="00092E04" w:rsidRPr="00092E04" w:rsidRDefault="006F2600" w:rsidP="006F26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092E04" w:rsidRPr="00092E04">
        <w:rPr>
          <w:rFonts w:ascii="Times New Roman" w:hAnsi="Times New Roman" w:cs="Times New Roman"/>
          <w:sz w:val="24"/>
          <w:szCs w:val="24"/>
        </w:rPr>
        <w:t>.2.2 Coeficiente de Especialização (CE)</w:t>
      </w:r>
    </w:p>
    <w:p w14:paraId="60A21879" w14:textId="244019C8"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O Coeficiente de Especialização (CE) propõe um comparativo entre o setor produtivo do emprego formal em análise do estado j, com a estrutura produtiva regional do setor i no Nordeste. Sendo descrito como:</w:t>
      </w:r>
    </w:p>
    <w:p w14:paraId="4591C3FB" w14:textId="2296D794" w:rsidR="00092E04" w:rsidRPr="00092E04" w:rsidRDefault="00092E04" w:rsidP="00092E04">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CE</m:t>
            </m:r>
          </m:e>
          <m:sub>
            <m:r>
              <w:rPr>
                <w:rFonts w:ascii="Cambria Math" w:hAnsi="Cambria Math" w:cs="Times New Roman"/>
                <w:sz w:val="24"/>
                <w:szCs w:val="24"/>
              </w:rPr>
              <m:t>j</m:t>
            </m:r>
          </m:sub>
        </m:sSub>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j</m:t>
                </m:r>
              </m:e>
            </m:nary>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ij</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tj</m:t>
                            </m:r>
                          </m:sub>
                        </m:sSub>
                      </m:den>
                    </m:f>
                  </m:e>
                </m:d>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tt</m:t>
                            </m:r>
                          </m:sub>
                        </m:sSub>
                      </m:den>
                    </m:f>
                  </m:e>
                </m:d>
              </m:e>
            </m:d>
            <m:r>
              <w:rPr>
                <w:rFonts w:ascii="Cambria Math" w:hAnsi="Cambria Math" w:cs="Times New Roman"/>
                <w:sz w:val="24"/>
                <w:szCs w:val="24"/>
              </w:rPr>
              <m:t>]</m:t>
            </m:r>
          </m:num>
          <m:den>
            <m:r>
              <w:rPr>
                <w:rFonts w:ascii="Cambria Math" w:hAnsi="Cambria Math" w:cs="Times New Roman"/>
                <w:sz w:val="24"/>
                <w:szCs w:val="24"/>
              </w:rPr>
              <m:t>2</m:t>
            </m:r>
          </m:den>
        </m:f>
      </m:oMath>
      <w:r w:rsidRPr="00092E04">
        <w:rPr>
          <w:rFonts w:ascii="Times New Roman" w:hAnsi="Times New Roman" w:cs="Times New Roman"/>
          <w:sz w:val="24"/>
          <w:szCs w:val="24"/>
        </w:rPr>
        <w:t xml:space="preserve">                                                                                                    (0</w:t>
      </w:r>
      <w:r w:rsidR="007909FB">
        <w:rPr>
          <w:rFonts w:ascii="Times New Roman" w:hAnsi="Times New Roman" w:cs="Times New Roman"/>
          <w:sz w:val="24"/>
          <w:szCs w:val="24"/>
        </w:rPr>
        <w:t>2</w:t>
      </w:r>
      <w:r w:rsidRPr="00092E04">
        <w:rPr>
          <w:rFonts w:ascii="Times New Roman" w:hAnsi="Times New Roman" w:cs="Times New Roman"/>
          <w:sz w:val="24"/>
          <w:szCs w:val="24"/>
        </w:rPr>
        <w:t>)</w:t>
      </w:r>
    </w:p>
    <w:p w14:paraId="04184EDA" w14:textId="4DBAA506"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lastRenderedPageBreak/>
        <w:t xml:space="preserve">Onde, </w:t>
      </w:r>
      <m:oMath>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ij</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tj</m:t>
                    </m:r>
                  </m:sub>
                </m:sSub>
              </m:den>
            </m:f>
          </m:e>
        </m:d>
      </m:oMath>
      <w:r w:rsidRPr="00092E04">
        <w:rPr>
          <w:rFonts w:ascii="Times New Roman" w:hAnsi="Times New Roman" w:cs="Times New Roman"/>
          <w:sz w:val="24"/>
          <w:szCs w:val="24"/>
        </w:rPr>
        <w:t xml:space="preserve"> retrata a distribuição da proporção do emprego no estado entre os setores; e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tt</m:t>
                </m:r>
              </m:sub>
            </m:sSub>
          </m:den>
        </m:f>
      </m:oMath>
      <w:r w:rsidRPr="00092E04">
        <w:rPr>
          <w:rFonts w:ascii="Times New Roman" w:hAnsi="Times New Roman" w:cs="Times New Roman"/>
          <w:sz w:val="24"/>
          <w:szCs w:val="24"/>
        </w:rPr>
        <w:t xml:space="preserve"> diz respeito a distribuição da proporção do emprego total no Nordeste entre as atividades econômicas. Este índice assim como o C</w:t>
      </w:r>
      <w:r w:rsidR="00374B09">
        <w:rPr>
          <w:rFonts w:ascii="Times New Roman" w:hAnsi="Times New Roman" w:cs="Times New Roman"/>
          <w:sz w:val="24"/>
          <w:szCs w:val="24"/>
        </w:rPr>
        <w:t>E</w:t>
      </w:r>
      <w:r w:rsidRPr="00092E04">
        <w:rPr>
          <w:rFonts w:ascii="Times New Roman" w:hAnsi="Times New Roman" w:cs="Times New Roman"/>
          <w:sz w:val="24"/>
          <w:szCs w:val="24"/>
        </w:rPr>
        <w:t>, se situa entre 0 e 1, quando igual a zero significa que o estado tal, possui uma composição produtiva do emprego semelhante à da região.  Se for igual a um, significa que determinado estado nordestino está com elevado grau de especialização em um dado setor, ou a estrutura neste estado difere da estrutura do emprego geral da região analisada (HADDAD, 1989).</w:t>
      </w:r>
    </w:p>
    <w:p w14:paraId="3395AC6E" w14:textId="56B22C92" w:rsidR="00092E04" w:rsidRPr="00092E04" w:rsidRDefault="006F2600" w:rsidP="006F2600">
      <w:pPr>
        <w:spacing w:after="0" w:line="360" w:lineRule="auto"/>
        <w:jc w:val="both"/>
        <w:rPr>
          <w:rFonts w:ascii="Times New Roman" w:hAnsi="Times New Roman" w:cs="Times New Roman"/>
          <w:sz w:val="24"/>
          <w:szCs w:val="24"/>
        </w:rPr>
      </w:pPr>
      <w:r w:rsidRPr="006F2600">
        <w:rPr>
          <w:rFonts w:ascii="Times New Roman" w:hAnsi="Times New Roman" w:cs="Times New Roman"/>
          <w:sz w:val="24"/>
          <w:szCs w:val="24"/>
        </w:rPr>
        <w:t>2</w:t>
      </w:r>
      <w:r w:rsidR="00092E04" w:rsidRPr="00092E04">
        <w:rPr>
          <w:rFonts w:ascii="Times New Roman" w:hAnsi="Times New Roman" w:cs="Times New Roman"/>
          <w:sz w:val="24"/>
          <w:szCs w:val="24"/>
        </w:rPr>
        <w:t>.2</w:t>
      </w:r>
      <w:r w:rsidRPr="006F2600">
        <w:rPr>
          <w:rFonts w:ascii="Times New Roman" w:hAnsi="Times New Roman" w:cs="Times New Roman"/>
          <w:sz w:val="24"/>
          <w:szCs w:val="24"/>
        </w:rPr>
        <w:t xml:space="preserve">.3 </w:t>
      </w:r>
      <w:r w:rsidR="00092E04" w:rsidRPr="00092E04">
        <w:rPr>
          <w:rFonts w:ascii="Times New Roman" w:hAnsi="Times New Roman" w:cs="Times New Roman"/>
          <w:i/>
          <w:iCs/>
          <w:sz w:val="24"/>
          <w:szCs w:val="24"/>
        </w:rPr>
        <w:t xml:space="preserve">Shift </w:t>
      </w:r>
      <w:proofErr w:type="spellStart"/>
      <w:r w:rsidR="00092E04" w:rsidRPr="00092E04">
        <w:rPr>
          <w:rFonts w:ascii="Times New Roman" w:hAnsi="Times New Roman" w:cs="Times New Roman"/>
          <w:i/>
          <w:iCs/>
          <w:sz w:val="24"/>
          <w:szCs w:val="24"/>
        </w:rPr>
        <w:t>Share</w:t>
      </w:r>
      <w:proofErr w:type="spellEnd"/>
      <w:r w:rsidR="00092E04" w:rsidRPr="00092E04">
        <w:rPr>
          <w:rFonts w:ascii="Times New Roman" w:hAnsi="Times New Roman" w:cs="Times New Roman"/>
          <w:sz w:val="24"/>
          <w:szCs w:val="24"/>
        </w:rPr>
        <w:tab/>
      </w:r>
    </w:p>
    <w:p w14:paraId="1004CA63" w14:textId="77777777"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 xml:space="preserve">Utilizou também da metodologia </w:t>
      </w:r>
      <w:r w:rsidRPr="00092E04">
        <w:rPr>
          <w:rFonts w:ascii="Times New Roman" w:hAnsi="Times New Roman" w:cs="Times New Roman"/>
          <w:i/>
          <w:iCs/>
          <w:sz w:val="24"/>
          <w:szCs w:val="24"/>
        </w:rPr>
        <w:t xml:space="preserve">shift </w:t>
      </w:r>
      <w:proofErr w:type="spellStart"/>
      <w:r w:rsidRPr="00092E04">
        <w:rPr>
          <w:rFonts w:ascii="Times New Roman" w:hAnsi="Times New Roman" w:cs="Times New Roman"/>
          <w:i/>
          <w:iCs/>
          <w:sz w:val="24"/>
          <w:szCs w:val="24"/>
        </w:rPr>
        <w:t>share</w:t>
      </w:r>
      <w:proofErr w:type="spellEnd"/>
      <w:r w:rsidRPr="00092E04">
        <w:rPr>
          <w:rFonts w:ascii="Times New Roman" w:hAnsi="Times New Roman" w:cs="Times New Roman"/>
          <w:sz w:val="24"/>
          <w:szCs w:val="24"/>
        </w:rPr>
        <w:t xml:space="preserve"> ou método diferencial estrutural foi idealizado por </w:t>
      </w:r>
      <w:proofErr w:type="spellStart"/>
      <w:r w:rsidRPr="00092E04">
        <w:rPr>
          <w:rFonts w:ascii="Times New Roman" w:hAnsi="Times New Roman" w:cs="Times New Roman"/>
          <w:sz w:val="24"/>
          <w:szCs w:val="24"/>
        </w:rPr>
        <w:t>Creamer</w:t>
      </w:r>
      <w:proofErr w:type="spellEnd"/>
      <w:r w:rsidRPr="00092E04">
        <w:rPr>
          <w:rFonts w:ascii="Times New Roman" w:hAnsi="Times New Roman" w:cs="Times New Roman"/>
          <w:sz w:val="24"/>
          <w:szCs w:val="24"/>
        </w:rPr>
        <w:t xml:space="preserve"> (1943) para caracterizar o crescimento do emprego em um estado em um dado setor específico. Dessa forma, de acordo com Cerejeira (2011) este método permite decompor este crescimento em três componentes, o componente nacional (no caso, a regional), setorial e regional (no caso, estadual) entre dois períodos de tempo.</w:t>
      </w:r>
    </w:p>
    <w:p w14:paraId="22D4E3F3" w14:textId="77777777"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ab/>
        <w:t>De acordo com Simões (2005, p. 10):</w:t>
      </w:r>
    </w:p>
    <w:p w14:paraId="5C39ACA7" w14:textId="77777777" w:rsidR="00092E04" w:rsidRPr="00092E04" w:rsidRDefault="00092E04" w:rsidP="006F2600">
      <w:pPr>
        <w:spacing w:after="0" w:line="240" w:lineRule="auto"/>
        <w:ind w:left="2127"/>
        <w:jc w:val="both"/>
        <w:rPr>
          <w:rFonts w:ascii="Times New Roman" w:hAnsi="Times New Roman" w:cs="Times New Roman"/>
          <w:sz w:val="20"/>
          <w:szCs w:val="20"/>
        </w:rPr>
      </w:pPr>
      <w:r w:rsidRPr="00092E04">
        <w:rPr>
          <w:rFonts w:ascii="Times New Roman" w:hAnsi="Times New Roman" w:cs="Times New Roman"/>
          <w:sz w:val="20"/>
          <w:szCs w:val="20"/>
        </w:rPr>
        <w:t>O método shift-</w:t>
      </w:r>
      <w:proofErr w:type="spellStart"/>
      <w:r w:rsidRPr="00092E04">
        <w:rPr>
          <w:rFonts w:ascii="Times New Roman" w:hAnsi="Times New Roman" w:cs="Times New Roman"/>
          <w:sz w:val="20"/>
          <w:szCs w:val="20"/>
        </w:rPr>
        <w:t>share</w:t>
      </w:r>
      <w:proofErr w:type="spellEnd"/>
      <w:r w:rsidRPr="00092E04">
        <w:rPr>
          <w:rFonts w:ascii="Times New Roman" w:hAnsi="Times New Roman" w:cs="Times New Roman"/>
          <w:sz w:val="20"/>
          <w:szCs w:val="20"/>
        </w:rPr>
        <w:t xml:space="preserve"> consiste, basicamente, na descrição do crescimento econômico de uma região nos termos de sua estrutura produtiva. O método é composto por um conjunto de identidades – com quaisquer hipóteses de causalidade – que procuram identificar e desagregar componentes de tal crescimento, numa análise descritiva da estrutura produtiva.</w:t>
      </w:r>
    </w:p>
    <w:p w14:paraId="2BA17888" w14:textId="77777777" w:rsidR="00092E04" w:rsidRPr="00092E04" w:rsidRDefault="00092E04" w:rsidP="00092E04">
      <w:pPr>
        <w:spacing w:after="0" w:line="360" w:lineRule="auto"/>
        <w:ind w:firstLine="708"/>
        <w:jc w:val="both"/>
        <w:rPr>
          <w:rFonts w:ascii="Times New Roman" w:hAnsi="Times New Roman" w:cs="Times New Roman"/>
          <w:sz w:val="24"/>
          <w:szCs w:val="24"/>
        </w:rPr>
      </w:pPr>
    </w:p>
    <w:p w14:paraId="6C99C887" w14:textId="6E2A8825"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 xml:space="preserve">A metodologia shift </w:t>
      </w:r>
      <w:proofErr w:type="spellStart"/>
      <w:r w:rsidRPr="00092E04">
        <w:rPr>
          <w:rFonts w:ascii="Times New Roman" w:hAnsi="Times New Roman" w:cs="Times New Roman"/>
          <w:sz w:val="24"/>
          <w:szCs w:val="24"/>
        </w:rPr>
        <w:t>share</w:t>
      </w:r>
      <w:proofErr w:type="spellEnd"/>
      <w:r w:rsidRPr="00092E04">
        <w:rPr>
          <w:rFonts w:ascii="Times New Roman" w:hAnsi="Times New Roman" w:cs="Times New Roman"/>
          <w:sz w:val="24"/>
          <w:szCs w:val="24"/>
        </w:rPr>
        <w:t>, consiste basicamente em três passos, o primeiro refere-se à seleção de uma economia que será utilizada como parâmetro para analisar o comportamento de uma dada região. O segundo passo consiste em escolher uma variável para se explicar o desempenho econômico e, por último é necessário isolar os efeitos desta variável para averiguar o comportamento do setor econômico na expansão econômica regional (POSPIESZ; SOUZA; OLIVEIRA, 2010).</w:t>
      </w:r>
    </w:p>
    <w:p w14:paraId="62AEDC0D" w14:textId="70B5F3B7"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No caso específico deste trabalho, a região que servirá como parâmetro serão os nove estados da macrorregião Nordeste e a variável escolhida foi o emprego a ser analisado em 8 setores econômicos nos estados desta região.</w:t>
      </w:r>
    </w:p>
    <w:p w14:paraId="693CC60C" w14:textId="77777777"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ab/>
        <w:t>De forma matemática, o modelo é expresso da seguinte forma:</w:t>
      </w:r>
    </w:p>
    <w:p w14:paraId="5B86A6B4" w14:textId="2AAF2A51" w:rsidR="00092E04" w:rsidRPr="00092E04" w:rsidRDefault="00092E04" w:rsidP="00092E04">
      <w:pPr>
        <w:spacing w:after="0" w:line="360" w:lineRule="auto"/>
        <w:ind w:firstLine="708"/>
        <w:jc w:val="both"/>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(t-1)</m:t>
                    </m:r>
                  </m:e>
                </m:d>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NX</m:t>
                        </m:r>
                      </m:e>
                      <m:sub>
                        <m:r>
                          <w:rPr>
                            <w:rFonts w:ascii="Cambria Math" w:hAnsi="Cambria Math" w:cs="Times New Roman"/>
                            <w:sz w:val="24"/>
                            <w:szCs w:val="24"/>
                          </w:rPr>
                          <m:t>ik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SX</m:t>
                        </m:r>
                      </m:e>
                      <m:sub>
                        <m:r>
                          <w:rPr>
                            <w:rFonts w:ascii="Cambria Math" w:hAnsi="Cambria Math" w:cs="Times New Roman"/>
                            <w:sz w:val="24"/>
                            <w:szCs w:val="24"/>
                          </w:rPr>
                          <m:t>ik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RX</m:t>
                        </m:r>
                      </m:e>
                      <m:sub>
                        <m:r>
                          <w:rPr>
                            <w:rFonts w:ascii="Cambria Math" w:hAnsi="Cambria Math" w:cs="Times New Roman"/>
                            <w:sz w:val="24"/>
                            <w:szCs w:val="24"/>
                          </w:rPr>
                          <m:t>ik</m:t>
                        </m:r>
                      </m:sub>
                    </m:sSub>
                    <m:r>
                      <w:rPr>
                        <w:rFonts w:ascii="Cambria Math" w:hAnsi="Cambria Math" w:cs="Times New Roman"/>
                        <w:sz w:val="24"/>
                        <w:szCs w:val="24"/>
                      </w:rPr>
                      <m:t>]</m:t>
                    </m:r>
                  </m:e>
                </m:nary>
              </m:e>
            </m:nary>
          </m:e>
        </m:nary>
      </m:oMath>
      <w:r w:rsidRPr="00092E04">
        <w:rPr>
          <w:rFonts w:ascii="Times New Roman" w:hAnsi="Times New Roman" w:cs="Times New Roman"/>
          <w:sz w:val="24"/>
          <w:szCs w:val="24"/>
        </w:rPr>
        <w:t xml:space="preserve">                                            (0</w:t>
      </w:r>
      <w:r w:rsidR="00922AE3">
        <w:rPr>
          <w:rFonts w:ascii="Times New Roman" w:hAnsi="Times New Roman" w:cs="Times New Roman"/>
          <w:sz w:val="24"/>
          <w:szCs w:val="24"/>
        </w:rPr>
        <w:t>3</w:t>
      </w:r>
      <w:r w:rsidRPr="00092E04">
        <w:rPr>
          <w:rFonts w:ascii="Times New Roman" w:hAnsi="Times New Roman" w:cs="Times New Roman"/>
          <w:sz w:val="24"/>
          <w:szCs w:val="24"/>
        </w:rPr>
        <w:t>)</w:t>
      </w:r>
    </w:p>
    <w:p w14:paraId="57B63A41" w14:textId="2917B8A5"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 xml:space="preserve">Em que: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oMath>
      <w:r w:rsidRPr="00092E04">
        <w:rPr>
          <w:rFonts w:ascii="Times New Roman" w:hAnsi="Times New Roman" w:cs="Times New Roman"/>
          <w:sz w:val="24"/>
          <w:szCs w:val="24"/>
        </w:rPr>
        <w:t xml:space="preserve"> corresponde a mudança observada na variável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oMath>
      <w:r w:rsidRPr="00092E04">
        <w:rPr>
          <w:rFonts w:ascii="Times New Roman" w:hAnsi="Times New Roman" w:cs="Times New Roman"/>
          <w:sz w:val="24"/>
          <w:szCs w:val="24"/>
        </w:rPr>
        <w:t xml:space="preserve">, que neste caso é representada pelo emprego formal nos oito setores econômicos.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(t)</m:t>
        </m:r>
      </m:oMath>
      <w:r w:rsidRPr="00092E04">
        <w:rPr>
          <w:rFonts w:ascii="Times New Roman" w:hAnsi="Times New Roman" w:cs="Times New Roman"/>
          <w:sz w:val="24"/>
          <w:szCs w:val="24"/>
        </w:rPr>
        <w:t xml:space="preserve"> refere-se formal mensurado na região i, na atividade econômica k, no período de análise t; </w:t>
      </w:r>
      <m:oMath>
        <m:sSub>
          <m:sSubPr>
            <m:ctrlPr>
              <w:rPr>
                <w:rFonts w:ascii="Cambria Math" w:hAnsi="Cambria Math" w:cs="Times New Roman"/>
                <w:i/>
                <w:sz w:val="24"/>
                <w:szCs w:val="24"/>
              </w:rPr>
            </m:ctrlPr>
          </m:sSubPr>
          <m:e>
            <m:r>
              <w:rPr>
                <w:rFonts w:ascii="Cambria Math" w:hAnsi="Cambria Math" w:cs="Times New Roman"/>
                <w:sz w:val="24"/>
                <w:szCs w:val="24"/>
              </w:rPr>
              <m:t>NX</m:t>
            </m:r>
          </m:e>
          <m:sub>
            <m:r>
              <w:rPr>
                <w:rFonts w:ascii="Cambria Math" w:hAnsi="Cambria Math" w:cs="Times New Roman"/>
                <w:sz w:val="24"/>
                <w:szCs w:val="24"/>
              </w:rPr>
              <m:t>ik</m:t>
            </m:r>
          </m:sub>
        </m:sSub>
      </m:oMath>
      <w:r w:rsidRPr="00092E04">
        <w:rPr>
          <w:rFonts w:ascii="Times New Roman" w:hAnsi="Times New Roman" w:cs="Times New Roman"/>
          <w:sz w:val="24"/>
          <w:szCs w:val="24"/>
        </w:rPr>
        <w:t xml:space="preserve"> é o elemento nacional, que neste caso refere-se ao agregado da região Nordeste; </w:t>
      </w:r>
      <m:oMath>
        <m:sSub>
          <m:sSubPr>
            <m:ctrlPr>
              <w:rPr>
                <w:rFonts w:ascii="Cambria Math" w:hAnsi="Cambria Math" w:cs="Times New Roman"/>
                <w:i/>
                <w:sz w:val="24"/>
                <w:szCs w:val="24"/>
              </w:rPr>
            </m:ctrlPr>
          </m:sSubPr>
          <m:e>
            <m:r>
              <w:rPr>
                <w:rFonts w:ascii="Cambria Math" w:hAnsi="Cambria Math" w:cs="Times New Roman"/>
                <w:sz w:val="24"/>
                <w:szCs w:val="24"/>
              </w:rPr>
              <m:t>SX</m:t>
            </m:r>
          </m:e>
          <m:sub>
            <m:r>
              <w:rPr>
                <w:rFonts w:ascii="Cambria Math" w:hAnsi="Cambria Math" w:cs="Times New Roman"/>
                <w:sz w:val="24"/>
                <w:szCs w:val="24"/>
              </w:rPr>
              <m:t>ik</m:t>
            </m:r>
          </m:sub>
        </m:sSub>
      </m:oMath>
      <w:r w:rsidRPr="00092E04">
        <w:rPr>
          <w:rFonts w:ascii="Times New Roman" w:hAnsi="Times New Roman" w:cs="Times New Roman"/>
          <w:sz w:val="24"/>
          <w:szCs w:val="24"/>
        </w:rPr>
        <w:t xml:space="preserve"> é o elemento estrutural ou setorial de cada estado nordestino e, por último  </w:t>
      </w:r>
      <m:oMath>
        <m:sSub>
          <m:sSubPr>
            <m:ctrlPr>
              <w:rPr>
                <w:rFonts w:ascii="Cambria Math" w:hAnsi="Cambria Math" w:cs="Times New Roman"/>
                <w:i/>
                <w:sz w:val="24"/>
                <w:szCs w:val="24"/>
              </w:rPr>
            </m:ctrlPr>
          </m:sSubPr>
          <m:e>
            <m:r>
              <w:rPr>
                <w:rFonts w:ascii="Cambria Math" w:hAnsi="Cambria Math" w:cs="Times New Roman"/>
                <w:sz w:val="24"/>
                <w:szCs w:val="24"/>
              </w:rPr>
              <m:t>RX</m:t>
            </m:r>
          </m:e>
          <m:sub>
            <m:r>
              <w:rPr>
                <w:rFonts w:ascii="Cambria Math" w:hAnsi="Cambria Math" w:cs="Times New Roman"/>
                <w:sz w:val="24"/>
                <w:szCs w:val="24"/>
              </w:rPr>
              <m:t>ik</m:t>
            </m:r>
          </m:sub>
        </m:sSub>
      </m:oMath>
      <w:r w:rsidRPr="00092E04">
        <w:rPr>
          <w:rFonts w:ascii="Times New Roman" w:hAnsi="Times New Roman" w:cs="Times New Roman"/>
          <w:sz w:val="24"/>
          <w:szCs w:val="24"/>
        </w:rPr>
        <w:t xml:space="preserve"> é o elemento regional, neste caso o elemento estadual de cada estado pertencente ao Nordeste.</w:t>
      </w:r>
    </w:p>
    <w:p w14:paraId="04E5BAEA" w14:textId="77777777" w:rsidR="00092E04" w:rsidRPr="00092E04" w:rsidRDefault="00092E04" w:rsidP="00092E04">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Estes componentes podem ser mensurados da seguinte forma:</w:t>
      </w:r>
    </w:p>
    <w:p w14:paraId="7C405AAD" w14:textId="5431A626" w:rsidR="00092E04" w:rsidRPr="00092E04" w:rsidRDefault="00092E04" w:rsidP="00092E04">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NX</m:t>
            </m:r>
          </m:e>
          <m:sub>
            <m:r>
              <w:rPr>
                <w:rFonts w:ascii="Cambria Math" w:hAnsi="Cambria Math" w:cs="Times New Roman"/>
                <w:sz w:val="24"/>
                <w:szCs w:val="24"/>
              </w:rPr>
              <m:t>ik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NX</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(t-1)</m:t>
        </m:r>
      </m:oMath>
      <w:r w:rsidRPr="00092E04">
        <w:rPr>
          <w:rFonts w:ascii="Times New Roman" w:hAnsi="Times New Roman" w:cs="Times New Roman"/>
          <w:sz w:val="24"/>
          <w:szCs w:val="24"/>
        </w:rPr>
        <w:t xml:space="preserve">                                                                                                   (0</w:t>
      </w:r>
      <w:r w:rsidR="00922AE3">
        <w:rPr>
          <w:rFonts w:ascii="Times New Roman" w:hAnsi="Times New Roman" w:cs="Times New Roman"/>
          <w:sz w:val="24"/>
          <w:szCs w:val="24"/>
        </w:rPr>
        <w:t>4</w:t>
      </w:r>
      <w:r w:rsidRPr="00092E04">
        <w:rPr>
          <w:rFonts w:ascii="Times New Roman" w:hAnsi="Times New Roman" w:cs="Times New Roman"/>
          <w:sz w:val="24"/>
          <w:szCs w:val="24"/>
        </w:rPr>
        <w:t>)</w:t>
      </w:r>
    </w:p>
    <w:p w14:paraId="4BE39D7A" w14:textId="51B0B6B6" w:rsidR="00092E04" w:rsidRPr="00092E04" w:rsidRDefault="00092E04" w:rsidP="00092E04">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SX</m:t>
            </m:r>
          </m:e>
          <m:sub>
            <m:r>
              <w:rPr>
                <w:rFonts w:ascii="Cambria Math" w:hAnsi="Cambria Math" w:cs="Times New Roman"/>
                <w:sz w:val="24"/>
                <w:szCs w:val="24"/>
              </w:rPr>
              <m:t>ik</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NXK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NX</m:t>
                </m:r>
              </m:sub>
            </m:sSub>
          </m:e>
        </m:d>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(t-1)</m:t>
        </m:r>
      </m:oMath>
      <w:r w:rsidRPr="00092E04">
        <w:rPr>
          <w:rFonts w:ascii="Times New Roman" w:hAnsi="Times New Roman" w:cs="Times New Roman"/>
          <w:sz w:val="24"/>
          <w:szCs w:val="24"/>
        </w:rPr>
        <w:t xml:space="preserve">                                                                                    (0</w:t>
      </w:r>
      <w:r w:rsidR="00922AE3">
        <w:rPr>
          <w:rFonts w:ascii="Times New Roman" w:hAnsi="Times New Roman" w:cs="Times New Roman"/>
          <w:sz w:val="24"/>
          <w:szCs w:val="24"/>
        </w:rPr>
        <w:t>5</w:t>
      </w:r>
      <w:r w:rsidRPr="00092E04">
        <w:rPr>
          <w:rFonts w:ascii="Times New Roman" w:hAnsi="Times New Roman" w:cs="Times New Roman"/>
          <w:sz w:val="24"/>
          <w:szCs w:val="24"/>
        </w:rPr>
        <w:t>)</w:t>
      </w:r>
    </w:p>
    <w:p w14:paraId="761D2A42" w14:textId="5289E585" w:rsidR="00092E04" w:rsidRPr="00092E04" w:rsidRDefault="00092E04" w:rsidP="00092E04">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RX</m:t>
            </m:r>
          </m:e>
          <m:sub>
            <m:r>
              <w:rPr>
                <w:rFonts w:ascii="Cambria Math" w:hAnsi="Cambria Math" w:cs="Times New Roman"/>
                <w:sz w:val="24"/>
                <w:szCs w:val="24"/>
              </w:rPr>
              <m:t>ik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NXK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r>
          <w:rPr>
            <w:rFonts w:ascii="Cambria Math" w:hAnsi="Cambria Math" w:cs="Times New Roman"/>
            <w:sz w:val="24"/>
            <w:szCs w:val="24"/>
          </w:rPr>
          <m:t>(t-1)</m:t>
        </m:r>
      </m:oMath>
      <w:r w:rsidRPr="00092E04">
        <w:rPr>
          <w:rFonts w:ascii="Times New Roman" w:hAnsi="Times New Roman" w:cs="Times New Roman"/>
          <w:sz w:val="24"/>
          <w:szCs w:val="24"/>
        </w:rPr>
        <w:t xml:space="preserve">                                                                                       (0</w:t>
      </w:r>
      <w:r w:rsidR="00922AE3">
        <w:rPr>
          <w:rFonts w:ascii="Times New Roman" w:hAnsi="Times New Roman" w:cs="Times New Roman"/>
          <w:sz w:val="24"/>
          <w:szCs w:val="24"/>
        </w:rPr>
        <w:t>6</w:t>
      </w:r>
      <w:r w:rsidRPr="00092E04">
        <w:rPr>
          <w:rFonts w:ascii="Times New Roman" w:hAnsi="Times New Roman" w:cs="Times New Roman"/>
          <w:sz w:val="24"/>
          <w:szCs w:val="24"/>
        </w:rPr>
        <w:t>)</w:t>
      </w:r>
    </w:p>
    <w:p w14:paraId="38FBD8C4" w14:textId="0F53B27D" w:rsidR="0053206E" w:rsidRDefault="00092E04" w:rsidP="006F2600">
      <w:pPr>
        <w:spacing w:after="0" w:line="360" w:lineRule="auto"/>
        <w:ind w:firstLine="708"/>
        <w:jc w:val="both"/>
        <w:rPr>
          <w:rFonts w:ascii="Times New Roman" w:hAnsi="Times New Roman" w:cs="Times New Roman"/>
          <w:sz w:val="24"/>
          <w:szCs w:val="24"/>
        </w:rPr>
      </w:pPr>
      <w:r w:rsidRPr="00092E04">
        <w:rPr>
          <w:rFonts w:ascii="Times New Roman" w:hAnsi="Times New Roman" w:cs="Times New Roman"/>
          <w:sz w:val="24"/>
          <w:szCs w:val="24"/>
        </w:rPr>
        <w:t xml:space="preserve">Em que: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NX</m:t>
            </m:r>
          </m:sub>
        </m:sSub>
      </m:oMath>
      <w:r w:rsidRPr="00092E04">
        <w:rPr>
          <w:rFonts w:ascii="Times New Roman" w:hAnsi="Times New Roman" w:cs="Times New Roman"/>
          <w:sz w:val="24"/>
          <w:szCs w:val="24"/>
        </w:rPr>
        <w:t xml:space="preserve"> representa a taxa de variação da variável X (emprego) observada em termos nacionais, neste caso em termos da região Nordeste;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NXK</m:t>
            </m:r>
          </m:sub>
        </m:sSub>
      </m:oMath>
      <w:r w:rsidRPr="00092E04">
        <w:rPr>
          <w:rFonts w:ascii="Times New Roman" w:hAnsi="Times New Roman" w:cs="Times New Roman"/>
          <w:sz w:val="24"/>
          <w:szCs w:val="24"/>
        </w:rPr>
        <w:t xml:space="preserve"> corresponde a taxa de variação da variável X, vista em nível nacional (Nordeste), correspondente a atividade econômica k e, por fim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ik</m:t>
            </m:r>
          </m:sub>
        </m:sSub>
      </m:oMath>
      <w:r w:rsidRPr="00092E04">
        <w:rPr>
          <w:rFonts w:ascii="Times New Roman" w:hAnsi="Times New Roman" w:cs="Times New Roman"/>
          <w:sz w:val="24"/>
          <w:szCs w:val="24"/>
        </w:rPr>
        <w:t xml:space="preserve"> representa a taxa de variação da variável X (emprego), verificada na região i, neste trabalho em cada estado constituinte da região Nordeste, no setor k (POSPIESZ; SOUZA; OLIVEIRA, 2010).</w:t>
      </w:r>
    </w:p>
    <w:p w14:paraId="30B79F49" w14:textId="77777777" w:rsidR="0053206E" w:rsidRDefault="0053206E">
      <w:pPr>
        <w:spacing w:after="0" w:line="240" w:lineRule="auto"/>
        <w:jc w:val="both"/>
        <w:rPr>
          <w:rFonts w:ascii="Times New Roman" w:hAnsi="Times New Roman" w:cs="Times New Roman"/>
          <w:sz w:val="24"/>
          <w:szCs w:val="24"/>
        </w:rPr>
      </w:pPr>
    </w:p>
    <w:p w14:paraId="0F668352" w14:textId="030D2A74" w:rsidR="0053206E"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w:t>
      </w:r>
      <w:r w:rsidR="00152860">
        <w:rPr>
          <w:rFonts w:ascii="Times New Roman" w:hAnsi="Times New Roman" w:cs="Times New Roman"/>
          <w:b/>
          <w:bCs/>
          <w:sz w:val="24"/>
          <w:szCs w:val="24"/>
        </w:rPr>
        <w:t>VISÃO DE LITERATURA</w:t>
      </w:r>
    </w:p>
    <w:p w14:paraId="60D86AF1" w14:textId="77777777" w:rsidR="00152860" w:rsidRDefault="00152860" w:rsidP="00152860">
      <w:pPr>
        <w:spacing w:after="0" w:line="360" w:lineRule="auto"/>
        <w:ind w:firstLine="708"/>
        <w:jc w:val="both"/>
        <w:rPr>
          <w:rFonts w:ascii="Times New Roman" w:eastAsia="Calibri" w:hAnsi="Times New Roman" w:cs="Times New Roman"/>
          <w:sz w:val="24"/>
          <w:szCs w:val="24"/>
        </w:rPr>
      </w:pPr>
    </w:p>
    <w:p w14:paraId="4DE493B1" w14:textId="2B226062"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Como sabido, a Região Nordeste é composta por nove estados federados - Alagoas, Bahia, Ceará, Maranhão, Paraíba, Pernambuco, Piauí, Rio Grande de Norte e Sergipe - formando assim uma das cinco macrorregiões do Brasil. Conforme ressalta Amaral Filho, Penna e Vieira (2021), às vezes, o Nordeste é analisado de maneira geral, deixando a margem suas particularidades. No entanto, não é desta maneira que essa região deva ser compreendida, pois, mesmo englobando nove espaços contíguos, estes recortes possuem diferenças econômicas, geográficas, culturais e sociais e, normalmente, os respectivos governos não atuam de forma coesa no que tange às questões políticas e federativas nacionais.</w:t>
      </w:r>
    </w:p>
    <w:p w14:paraId="5502BC59"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No âmbito econômico, especialmente, os nove estados apresentam distintas formações e evoluções, diferentes sistemas de forças locacionais no que diz respeito à atração e retenção </w:t>
      </w:r>
      <w:r w:rsidRPr="00152860">
        <w:rPr>
          <w:rFonts w:ascii="Times New Roman" w:eastAsia="Calibri" w:hAnsi="Times New Roman" w:cs="Times New Roman"/>
          <w:sz w:val="24"/>
          <w:szCs w:val="24"/>
        </w:rPr>
        <w:lastRenderedPageBreak/>
        <w:t>de investimentos, dos quais uns exibem mais vantagens que outros, e diversos sistemas de elementos propulsores do crescimento econômico, os quais são estruturados por meio de funções de produção agregadas estaduais igualmente diferentes (AMARAL FILHO; PENNA; VIEIRA, 2021).</w:t>
      </w:r>
    </w:p>
    <w:p w14:paraId="6500945F" w14:textId="77777777" w:rsidR="00152860" w:rsidRPr="00152860" w:rsidRDefault="00152860" w:rsidP="00152860">
      <w:pPr>
        <w:spacing w:after="0" w:line="360" w:lineRule="auto"/>
        <w:ind w:firstLine="851"/>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Segundo Myrdal (1957) as economias regionais divergem ao longo do tempo. Para o ele há mecanismos, corroborados pelo mercado, que direcionam as economias por diferentes percursos. O autor salienta que as forças de mercado operam em direção à desigualdade. Ele ainda ressalta que depois de algum surto de crescimento em uma determinada região, esta passa a atrair recursos produtivos, gerando distinções também sobre a qualidade dos serviços. As regiões mais dinâmicas conquistam mais capital, e por conseguinte, provoca desigualdades entre as regiões. </w:t>
      </w:r>
    </w:p>
    <w:p w14:paraId="6248EBE2" w14:textId="77777777" w:rsidR="00152860" w:rsidRPr="00152860" w:rsidRDefault="00152860" w:rsidP="00152860">
      <w:pPr>
        <w:spacing w:after="0" w:line="360" w:lineRule="auto"/>
        <w:ind w:firstLine="851"/>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Ao contrário de Myrdal, </w:t>
      </w:r>
      <w:proofErr w:type="spellStart"/>
      <w:r w:rsidRPr="00152860">
        <w:rPr>
          <w:rFonts w:ascii="Times New Roman" w:eastAsia="Calibri" w:hAnsi="Times New Roman" w:cs="Times New Roman"/>
          <w:sz w:val="24"/>
          <w:szCs w:val="24"/>
        </w:rPr>
        <w:t>Hirschman</w:t>
      </w:r>
      <w:proofErr w:type="spellEnd"/>
      <w:r w:rsidRPr="00152860">
        <w:rPr>
          <w:rFonts w:ascii="Times New Roman" w:eastAsia="Calibri" w:hAnsi="Times New Roman" w:cs="Times New Roman"/>
          <w:sz w:val="24"/>
          <w:szCs w:val="24"/>
        </w:rPr>
        <w:t xml:space="preserve"> (1961) constatou que a desigualdade é, na verdade, condição para promover o processo de desenvolvimento. Para o autor as desigualdades internacionais e inter-regionais de crescimento são circunstâncias que constituem o processo de crescimento. No contexto nacional, é fundamental frisar o estudo de Souza (1981), que destaca as transformações nos padrões locacionais, com a aparição de mercados urbanos estimulando a concentração industrial e as economias de aglomerações. </w:t>
      </w:r>
    </w:p>
    <w:p w14:paraId="228E221B"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Cada região dispõe de sua economia, com particularidades estaduais, e detém uma máquina própria de crescimento econômico, colaborando para a criação de um conjunto de máquinas que interligam entre si, através de variadas interrelações (AMARAL FILHO; PENNA; VIEIRA, 2021).</w:t>
      </w:r>
    </w:p>
    <w:p w14:paraId="41BF39F4"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Por volta dos anos 50, a região Nordeste possuía um sistema econômico fortemente dominado por poucas monoculturas agrícolas e extrativas focada para exportação, como o açúcar proveniente da cana, cacau, pescados, cera de carnaúba, amêndoa de babaçu, algodão etc.) e uma pecuária extensiva desenvolvida em grandes latifúndios (ACEMOGLU; JOHNSON; ROBINSON, 2004). </w:t>
      </w:r>
    </w:p>
    <w:p w14:paraId="601F1ECE"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Embora existam limites reais, a industrialização na região Nordeste se mostrava como uma grande promessa no processo de desenvolvimento regional. A industrialização no Nordeste iria dispor, por longo tempo, de um vasto excedente de força de trabalho presentes nas zonas </w:t>
      </w:r>
      <w:r w:rsidRPr="00152860">
        <w:rPr>
          <w:rFonts w:ascii="Times New Roman" w:eastAsia="Calibri" w:hAnsi="Times New Roman" w:cs="Times New Roman"/>
          <w:sz w:val="24"/>
          <w:szCs w:val="24"/>
        </w:rPr>
        <w:lastRenderedPageBreak/>
        <w:t>urbanas e rurais e seria capaz, simultaneamente, de gerar um aumento maciço da produtividade do trabalho conforme a transformação estrutural motivada pela migração rural-urbana (AMARAL FILHO; PENNA; VIEIRA, 2021).</w:t>
      </w:r>
    </w:p>
    <w:p w14:paraId="24EDA485"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Conforme salienta </w:t>
      </w:r>
      <w:proofErr w:type="spellStart"/>
      <w:r w:rsidRPr="00152860">
        <w:rPr>
          <w:rFonts w:ascii="Times New Roman" w:eastAsia="Calibri" w:hAnsi="Times New Roman" w:cs="Times New Roman"/>
          <w:sz w:val="24"/>
          <w:szCs w:val="24"/>
        </w:rPr>
        <w:t>Redwood</w:t>
      </w:r>
      <w:proofErr w:type="spellEnd"/>
      <w:r w:rsidRPr="00152860">
        <w:rPr>
          <w:rFonts w:ascii="Times New Roman" w:eastAsia="Calibri" w:hAnsi="Times New Roman" w:cs="Times New Roman"/>
          <w:sz w:val="24"/>
          <w:szCs w:val="24"/>
        </w:rPr>
        <w:t xml:space="preserve"> (1984), os investimentos industriais fornecidos pela Sudene geraram também efeitos novos na região, principalmente em relação a estruturas industrial e espacial, a saber: condensação de subsídios fiscais nas grandes empresas; </w:t>
      </w:r>
      <w:proofErr w:type="spellStart"/>
      <w:r w:rsidRPr="00152860">
        <w:rPr>
          <w:rFonts w:ascii="Times New Roman" w:eastAsia="Calibri" w:hAnsi="Times New Roman" w:cs="Times New Roman"/>
          <w:sz w:val="24"/>
          <w:szCs w:val="24"/>
        </w:rPr>
        <w:t>desrregionalização</w:t>
      </w:r>
      <w:proofErr w:type="spellEnd"/>
      <w:r w:rsidRPr="00152860">
        <w:rPr>
          <w:rFonts w:ascii="Times New Roman" w:eastAsia="Calibri" w:hAnsi="Times New Roman" w:cs="Times New Roman"/>
          <w:sz w:val="24"/>
          <w:szCs w:val="24"/>
        </w:rPr>
        <w:t xml:space="preserve"> no gerenciamento do capital financeiro das empresas subsidiadas, conforme a origem extrarregional dos investidores; condensação dos trabalhos industriais nas regiões metropolitanas dos estados que são mais desenvolvidos economicamente (Bahia, Pernambuco e Ceará), gerando disparidades econômicas intrarregionais; e a externalização dos efeitos multiplicadores da região em razão das importações de bens de capital e insumos industriais.</w:t>
      </w:r>
    </w:p>
    <w:p w14:paraId="4BCD5A6F"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Posteriormente ao término do período militar e com os novos procedimentos de política social e de despesas governamentais nas áreas periféricas do Brasil, principalmente na região Nordeste, o acúmulo de capital físico passou a não ser a única maneira de valorização da função de produção agregada da região, tal qual de outras localidades menos beneficiadas. Nesse contexto, o acúmulo de capital humano passa a obter mais espaço, contudo, passa a enfrentar grandes empecilhos por causa do devido ao tardamento histórico do governo estatal em relação ao âmbito educacional e de saúde brasileiro (KOMATSU </w:t>
      </w:r>
      <w:r w:rsidRPr="00152860">
        <w:rPr>
          <w:rFonts w:ascii="Times New Roman" w:eastAsia="Calibri" w:hAnsi="Times New Roman" w:cs="Times New Roman"/>
          <w:i/>
          <w:iCs/>
          <w:sz w:val="24"/>
          <w:szCs w:val="24"/>
        </w:rPr>
        <w:t>et al</w:t>
      </w:r>
      <w:r w:rsidRPr="00152860">
        <w:rPr>
          <w:rFonts w:ascii="Times New Roman" w:eastAsia="Calibri" w:hAnsi="Times New Roman" w:cs="Times New Roman"/>
          <w:sz w:val="24"/>
          <w:szCs w:val="24"/>
        </w:rPr>
        <w:t>., 2017; BARBOSA FILHO; PESSÔA, 2013). Com esses mecanismos observa-se novos caminhos de possibilidades para a realização de transformações da força de trabalho do Nordeste, que resultaram em crescimento do capital humano regional e, por conseguinte, ampliação da sua contribuição para o avanço econômico nessa região.</w:t>
      </w:r>
    </w:p>
    <w:p w14:paraId="20131F2E"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Num horizonte mais amplo compreendendo diferentes instâncias de governo, algumas iniciativas direcionadas para o âmbito setorial obtiveram corpo no Nordeste, a partir 1990, evidenciando novamente a participação do governo federal na região Nordeste, não necessariamente através da política de desenvolvimento regional ou territorial, mas setorial (AMARAL FILHO; PENNA; VIEIRA, 2021).</w:t>
      </w:r>
    </w:p>
    <w:p w14:paraId="189FECCC"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Ainda convém ressaltar que as áreas dos cerrados nordestinos foram apropriadas por empreendimentos em propriedades vastas, intensivos em capital e tecnologia e, </w:t>
      </w:r>
      <w:r w:rsidRPr="00152860">
        <w:rPr>
          <w:rFonts w:ascii="Times New Roman" w:eastAsia="Calibri" w:hAnsi="Times New Roman" w:cs="Times New Roman"/>
          <w:sz w:val="24"/>
          <w:szCs w:val="24"/>
        </w:rPr>
        <w:lastRenderedPageBreak/>
        <w:t xml:space="preserve">consequentemente, com uma produtividade elevada, se opondo à, ainda existente, produção agrícola familiar exercida nas regiões semiáridas (MAIA GOMES, 2014). Outro setor novo acessível aos investimentos abrange a produção de energia limpa -eólica, mantida através das instalações de parques geradores, especialmente nos estados da Bahia, Rio Grande do Norte e Ceará. Para além da oferta de energia, estes </w:t>
      </w:r>
      <w:proofErr w:type="spellStart"/>
      <w:r w:rsidRPr="00152860">
        <w:rPr>
          <w:rFonts w:ascii="Times New Roman" w:eastAsia="Calibri" w:hAnsi="Times New Roman" w:cs="Times New Roman"/>
          <w:sz w:val="24"/>
          <w:szCs w:val="24"/>
        </w:rPr>
        <w:t>empreendimentos</w:t>
      </w:r>
      <w:proofErr w:type="spellEnd"/>
      <w:r w:rsidRPr="00152860">
        <w:rPr>
          <w:rFonts w:ascii="Times New Roman" w:eastAsia="Calibri" w:hAnsi="Times New Roman" w:cs="Times New Roman"/>
          <w:sz w:val="24"/>
          <w:szCs w:val="24"/>
        </w:rPr>
        <w:t xml:space="preserve"> têm demonstrado efeitos positivos sobre a renda - de aluguel – nos espaços rurais, bem como efeitos de vinculação em segmentos industriais, produtores de componentes (AMARAL FILHO; PENNA; VIEIRA, 2021).</w:t>
      </w:r>
    </w:p>
    <w:p w14:paraId="4A4C13B8"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Por fim, é necessário se atentar ao processo de aceleração do crescimento dos aglomerados urbanos metropolitanos que se estruturaram ao redor dos centros populacionais de Salvador, Recife e Fortaleza (RIBEIRO; RIBEIRO, 2018). Essas aglomerações têm reunido mercados que consomem em elevada escala e também estruturas aprimoradas direcionadas para a oferta de serviços nas mais diversificadas áreas, como serviços comerciais (atacado e varejo), industriais, financeiro-bancários, além dos segmentos que englobam os setores da saúde, educação e das pesquisas acadêmicas. Nesse contexto, também se destaca, nas pequenas e grandes da região Nordeste, as estruturas e áreas de serviços relacionados ao ramo produtivo do turismo (AMARAL FILHO; PENNA; VIEIRA, 2021).</w:t>
      </w:r>
    </w:p>
    <w:p w14:paraId="639D49DE"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Esses grandes aglomerados urbanos propiciam ao desenvolvimento da região Nordeste algo que foi almejado no decorrer da história das políticas públicas voltadas para o desenvolvimento regional, isto é, possibilitam a organização de motores de crescimento econômico na região, nesta situação firmados sobre novas centralidades urbanas. Os componentes motrizes desse processo estão, antes de tudo, na alta densidade demográfica responsável pelo aumento nas escalas das demandas localizadas e também no acumulo dos altos estoques de capitais físico e humano, associados à avanços da produtividade total de fatores e às fortes relações econômicas e tecnológicas entre instituições e indivíduos, que se favorecem de intensas externalidades de informações e de conhecimento (</w:t>
      </w:r>
      <w:r w:rsidRPr="00152860">
        <w:rPr>
          <w:rFonts w:ascii="Times New Roman" w:eastAsia="Calibri" w:hAnsi="Times New Roman" w:cs="Times New Roman"/>
          <w:color w:val="0F0F0F"/>
          <w:sz w:val="24"/>
          <w:szCs w:val="24"/>
          <w:shd w:val="clear" w:color="auto" w:fill="F9F9F9"/>
        </w:rPr>
        <w:t>MARTINS; MATOS; NOGUEIRA, 2021</w:t>
      </w:r>
      <w:r w:rsidRPr="00152860">
        <w:rPr>
          <w:rFonts w:ascii="Times New Roman" w:eastAsia="Calibri" w:hAnsi="Times New Roman" w:cs="Times New Roman"/>
          <w:sz w:val="24"/>
          <w:szCs w:val="24"/>
        </w:rPr>
        <w:t>).</w:t>
      </w:r>
    </w:p>
    <w:p w14:paraId="2427A331"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No decorrer dos últimos anos, muitas políticas públicas estavam sendo direcionadas para o Nordeste, visando diminuir as disparidades sociais e de renda deste mediante as demais </w:t>
      </w:r>
      <w:r w:rsidRPr="00152860">
        <w:rPr>
          <w:rFonts w:ascii="Times New Roman" w:eastAsia="Calibri" w:hAnsi="Times New Roman" w:cs="Times New Roman"/>
          <w:sz w:val="24"/>
          <w:szCs w:val="24"/>
        </w:rPr>
        <w:lastRenderedPageBreak/>
        <w:t>regiões brasileiras. No entanto os investimentos eram destinados para setores estratégicos com um maior crescimento do país pela melhoria de sua infraestrutura, e consequentemente uma competitividade maior no mercado (CUNHA, 2019).</w:t>
      </w:r>
    </w:p>
    <w:p w14:paraId="1FAC449A"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O Nordeste brasileiro tem marcas históricas, principalmente no que concerne a questões sociais e econômicas. Tal contexto ainda persiste no atual cenário, mesmo com a existência de muitas políticas públicas, federais e estaduais, que buscam diminuir o hiato de desenvolvimento entre essa região (AMARAL FILHO; PENNA; VIEIRA, 2021).</w:t>
      </w:r>
    </w:p>
    <w:p w14:paraId="2ED08B75"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Levando em consideração os fatos mencionados, Leão (2019) afirma que as políticas econômicas aderidas no Brasil, no começo desse século, causaram efeitos na estrutura produtiva da região Nordeste, alterando as configurações do mercado de trabalho nesta área, tanto no que tange ao quantitativo de emprego quanto em relação as atuações dos segmentos da atividade econômica na Região e nos Estados, durante os anos de 2002 a 2018. Oliveira, Jardim e Teixeira (2020) afirmam que a pandemia da Covid-19 trouxe sérias consequências à economia do país e da região, causando falências a múltiplas empresas, além de reduções nos postos de trabalho.</w:t>
      </w:r>
    </w:p>
    <w:p w14:paraId="1182D43C"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De acordo com Meirelles (2008), o setor de Serviços apresenta diferenças relevantes entre as nações desenvolvidas e os em desenvolvimento, que podem aparecer na estrutura dos serviços tradicionais e modernos: os serviços tradicionais, que operam com uma mão de obra menos qualificada e com uma remuneração menor, ainda são os encarregados pela maior parte do progresso deste setor nos países subdesenvolvidos. Não obstante, nos países desenvolvidos, as atividades modernas que dispõem de um vasto conteúdo tecnológico e uma oferta de trabalho mais qualificada, buscam a ser fundamentais na composição do setor.</w:t>
      </w:r>
    </w:p>
    <w:p w14:paraId="6314B545"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O dinamismo do mercado de trabalho na Região Nordeste vem sendo configurado pela distinção e hierarquização de setores e atividades, em um processo de que existe muito em formação, onde a expansão industrial e suas ondas de investimento representaram uma função fundamental no atual cenário da economia regional (LEÃO, 2019).</w:t>
      </w:r>
    </w:p>
    <w:p w14:paraId="2C7B101A"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 xml:space="preserve">A Indústria de Transformação e a Construção Civil são setores que conseguiram obtiver marcos históricos de subsídios destinados para o dinamismo de ambas áreas na Região Nordeste. Conforme explícita Araújo (2014), com o crescente incremento na renda das famílias, o consumo se impulsionou. É importante frisar que durante o período de 2002 a 2018, aconteceu </w:t>
      </w:r>
      <w:r w:rsidRPr="00152860">
        <w:rPr>
          <w:rFonts w:ascii="Times New Roman" w:eastAsia="Calibri" w:hAnsi="Times New Roman" w:cs="Times New Roman"/>
          <w:sz w:val="24"/>
          <w:szCs w:val="24"/>
        </w:rPr>
        <w:lastRenderedPageBreak/>
        <w:t>uma estação de seca que perdurou cinco anos consecutivos, e, consequentemente, provocou efeitos negativos no Nordeste, especialmente, no Semiárido nordestino. De certa maneira, durante este período, o setor produtivo foi duramente penalizado, segundo informações da Pesquisa da Pecuária Municipal e Pesquisa Agrícola Municipal, realizada pelo IBGE (LEÃO, 2019)</w:t>
      </w:r>
    </w:p>
    <w:p w14:paraId="08258ED7" w14:textId="77777777" w:rsidR="00152860" w:rsidRPr="00152860" w:rsidRDefault="00152860" w:rsidP="00152860">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Conforme salienta Leão (2019) o setor agropecuário foi uma das áreas mais sentiu os impactos das crises internas e externas na economia regional, reforçando a magnitude sazonal do mercado de trabalho nesse ramo. O Nordeste vivenciou importantes avanços no mercado de trabalho, oriundo dos efeitos positivos das políticas fomentadas a partir de 2002.</w:t>
      </w:r>
    </w:p>
    <w:p w14:paraId="23E575F8" w14:textId="77777777" w:rsidR="00152860" w:rsidRPr="00152860" w:rsidRDefault="00152860" w:rsidP="00152860">
      <w:pPr>
        <w:spacing w:after="0" w:line="360" w:lineRule="auto"/>
        <w:ind w:firstLine="851"/>
        <w:jc w:val="both"/>
        <w:rPr>
          <w:rFonts w:ascii="Times New Roman" w:eastAsia="Calibri" w:hAnsi="Times New Roman" w:cs="Times New Roman"/>
          <w:color w:val="4472C4"/>
          <w:sz w:val="24"/>
          <w:szCs w:val="24"/>
        </w:rPr>
      </w:pPr>
      <w:r w:rsidRPr="00152860">
        <w:rPr>
          <w:rFonts w:ascii="Times New Roman" w:eastAsia="Calibri" w:hAnsi="Times New Roman" w:cs="Times New Roman"/>
          <w:sz w:val="24"/>
          <w:szCs w:val="24"/>
        </w:rPr>
        <w:t xml:space="preserve">Dado o exposto, é indiscutível a importância de verificar como está a composição das atividades setoriais dos estados que compõem a região Nordeste e quais são as divisões que mais contribuíram para a evolução do emprego formal nessas localidades. Nesse contexto, presente trabalho buscou abordar o método </w:t>
      </w:r>
      <w:r w:rsidRPr="00152860">
        <w:rPr>
          <w:rFonts w:ascii="Times New Roman" w:eastAsia="Calibri" w:hAnsi="Times New Roman" w:cs="Times New Roman"/>
          <w:i/>
          <w:iCs/>
          <w:sz w:val="24"/>
          <w:szCs w:val="24"/>
        </w:rPr>
        <w:t>shift-</w:t>
      </w:r>
      <w:proofErr w:type="spellStart"/>
      <w:r w:rsidRPr="00152860">
        <w:rPr>
          <w:rFonts w:ascii="Times New Roman" w:eastAsia="Calibri" w:hAnsi="Times New Roman" w:cs="Times New Roman"/>
          <w:i/>
          <w:iCs/>
          <w:sz w:val="24"/>
          <w:szCs w:val="24"/>
        </w:rPr>
        <w:t>share</w:t>
      </w:r>
      <w:proofErr w:type="spellEnd"/>
      <w:r w:rsidRPr="00152860">
        <w:rPr>
          <w:rFonts w:ascii="Times New Roman" w:eastAsia="Calibri" w:hAnsi="Times New Roman" w:cs="Times New Roman"/>
          <w:sz w:val="24"/>
          <w:szCs w:val="24"/>
        </w:rPr>
        <w:t xml:space="preserve"> que segundo </w:t>
      </w:r>
      <w:proofErr w:type="spellStart"/>
      <w:r w:rsidRPr="00152860">
        <w:rPr>
          <w:rFonts w:ascii="Times New Roman" w:eastAsia="Calibri" w:hAnsi="Times New Roman" w:cs="Times New Roman"/>
          <w:sz w:val="24"/>
          <w:szCs w:val="24"/>
        </w:rPr>
        <w:t>Telechi</w:t>
      </w:r>
      <w:proofErr w:type="spellEnd"/>
      <w:r w:rsidRPr="00152860">
        <w:rPr>
          <w:rFonts w:ascii="Times New Roman" w:eastAsia="Calibri" w:hAnsi="Times New Roman" w:cs="Times New Roman"/>
          <w:sz w:val="24"/>
          <w:szCs w:val="24"/>
        </w:rPr>
        <w:t xml:space="preserve"> (2017) possui uma natureza explanatória, visto que possibilita identificar onde estão os principais fatores que afetam a variação da variável analisada. Esta metodologia já vem sendo amplamente utilizada, em que se destacam os trabalhos de Vieira, Missio e</w:t>
      </w:r>
      <w:r w:rsidRPr="00152860">
        <w:rPr>
          <w:rFonts w:ascii="Times New Roman" w:eastAsia="Calibri" w:hAnsi="Times New Roman" w:cs="Times New Roman"/>
          <w:sz w:val="24"/>
        </w:rPr>
        <w:t xml:space="preserve"> </w:t>
      </w:r>
      <w:proofErr w:type="spellStart"/>
      <w:r w:rsidRPr="00152860">
        <w:rPr>
          <w:rFonts w:ascii="Times New Roman" w:eastAsia="Calibri" w:hAnsi="Times New Roman" w:cs="Times New Roman"/>
          <w:sz w:val="24"/>
          <w:szCs w:val="24"/>
        </w:rPr>
        <w:t>Dathein</w:t>
      </w:r>
      <w:proofErr w:type="spellEnd"/>
      <w:r w:rsidRPr="00152860">
        <w:rPr>
          <w:rFonts w:ascii="Times New Roman" w:eastAsia="Calibri" w:hAnsi="Times New Roman" w:cs="Times New Roman"/>
          <w:sz w:val="24"/>
          <w:szCs w:val="24"/>
        </w:rPr>
        <w:t xml:space="preserve"> (2017) para o mercado formal de trabalho em Mato Grosso do Sul de 1990 a 2010; Silva e Rezende (2018) para </w:t>
      </w:r>
      <w:r w:rsidRPr="00152860">
        <w:rPr>
          <w:rFonts w:ascii="Times New Roman" w:eastAsia="Calibri" w:hAnsi="Times New Roman" w:cs="Times New Roman"/>
          <w:sz w:val="24"/>
        </w:rPr>
        <w:t>as mesorregiões mineiras no período 2005-2015</w:t>
      </w:r>
      <w:r w:rsidRPr="00152860">
        <w:rPr>
          <w:rFonts w:ascii="Times New Roman" w:eastAsia="Calibri" w:hAnsi="Times New Roman" w:cs="Times New Roman"/>
          <w:sz w:val="24"/>
          <w:szCs w:val="24"/>
        </w:rPr>
        <w:t xml:space="preserve"> e Caliari e Santos (2020) para o </w:t>
      </w:r>
      <w:r w:rsidRPr="00152860">
        <w:rPr>
          <w:rFonts w:ascii="Times New Roman" w:eastAsia="Calibri" w:hAnsi="Times New Roman" w:cs="Times New Roman"/>
          <w:sz w:val="24"/>
        </w:rPr>
        <w:t xml:space="preserve">emprego nas Microrregiões brasileiras de 2003 a 2013 e </w:t>
      </w:r>
      <w:r w:rsidRPr="00152860">
        <w:rPr>
          <w:rFonts w:ascii="Times New Roman" w:eastAsia="Calibri" w:hAnsi="Times New Roman" w:cs="Times New Roman"/>
          <w:sz w:val="24"/>
          <w:szCs w:val="24"/>
        </w:rPr>
        <w:t>Resende e Hasegawa (2020) para as estruturas produtivas do Paraná de 2002 a 2018.</w:t>
      </w:r>
    </w:p>
    <w:p w14:paraId="5A7FE34D" w14:textId="2A506E6E" w:rsidR="0053206E" w:rsidRDefault="00152860" w:rsidP="0020783E">
      <w:pPr>
        <w:spacing w:after="0" w:line="360" w:lineRule="auto"/>
        <w:ind w:firstLine="708"/>
        <w:jc w:val="both"/>
        <w:rPr>
          <w:rFonts w:ascii="Times New Roman" w:eastAsia="Calibri" w:hAnsi="Times New Roman" w:cs="Times New Roman"/>
          <w:sz w:val="24"/>
          <w:szCs w:val="24"/>
        </w:rPr>
      </w:pPr>
      <w:r w:rsidRPr="00152860">
        <w:rPr>
          <w:rFonts w:ascii="Times New Roman" w:eastAsia="Calibri" w:hAnsi="Times New Roman" w:cs="Times New Roman"/>
          <w:sz w:val="24"/>
          <w:szCs w:val="24"/>
        </w:rPr>
        <w:t>Dessa forma, convém frisar que a decomposição do emprego formal estimula o interesse dos estudiosos e o Nordeste vêm sendo recorte geográfico em alguns estudos, como Cunha (2019), Leão (2019) e Amaral Filho; Penna; Vieira, (2021). Mas, a literatura acerca da região ainda é escassa, o que despertou a escolha desta análise. Assim esta pesquisa procurou inovar fazendo a análise para os estados nordestinos, no período de 2010/2015 e 2015 a 2020.</w:t>
      </w:r>
      <w:r w:rsidR="0020783E">
        <w:rPr>
          <w:rFonts w:ascii="Times New Roman" w:eastAsia="Calibri" w:hAnsi="Times New Roman" w:cs="Times New Roman"/>
          <w:sz w:val="24"/>
          <w:szCs w:val="24"/>
        </w:rPr>
        <w:t>, sendo 2020 o período mais atual com dados disponíveis.</w:t>
      </w:r>
    </w:p>
    <w:p w14:paraId="6AA92C7A" w14:textId="3FB5FD85" w:rsidR="0020783E" w:rsidRDefault="0020783E" w:rsidP="0020783E">
      <w:pPr>
        <w:spacing w:after="0" w:line="360" w:lineRule="auto"/>
        <w:ind w:firstLine="708"/>
        <w:jc w:val="both"/>
        <w:rPr>
          <w:rFonts w:ascii="Times New Roman" w:eastAsia="Calibri" w:hAnsi="Times New Roman" w:cs="Times New Roman"/>
          <w:sz w:val="24"/>
          <w:szCs w:val="24"/>
        </w:rPr>
      </w:pPr>
    </w:p>
    <w:p w14:paraId="43CB9F3F" w14:textId="75A91C1C" w:rsidR="003B2E49" w:rsidRDefault="003B2E49" w:rsidP="0020783E">
      <w:pPr>
        <w:spacing w:after="0" w:line="360" w:lineRule="auto"/>
        <w:ind w:firstLine="708"/>
        <w:jc w:val="both"/>
        <w:rPr>
          <w:rFonts w:ascii="Times New Roman" w:eastAsia="Calibri" w:hAnsi="Times New Roman" w:cs="Times New Roman"/>
          <w:sz w:val="24"/>
          <w:szCs w:val="24"/>
        </w:rPr>
      </w:pPr>
    </w:p>
    <w:p w14:paraId="73A85169" w14:textId="77777777" w:rsidR="003B2E49" w:rsidRPr="0020783E" w:rsidRDefault="003B2E49" w:rsidP="0020783E">
      <w:pPr>
        <w:spacing w:after="0" w:line="360" w:lineRule="auto"/>
        <w:ind w:firstLine="708"/>
        <w:jc w:val="both"/>
        <w:rPr>
          <w:rFonts w:ascii="Times New Roman" w:eastAsia="Calibri" w:hAnsi="Times New Roman" w:cs="Times New Roman"/>
          <w:sz w:val="24"/>
          <w:szCs w:val="24"/>
        </w:rPr>
      </w:pPr>
    </w:p>
    <w:p w14:paraId="773FDF3B" w14:textId="1E343FDA" w:rsidR="0053206E"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4 RESULTADOS E DISCUSS</w:t>
      </w:r>
      <w:r w:rsidR="00067705">
        <w:rPr>
          <w:rFonts w:ascii="Times New Roman" w:hAnsi="Times New Roman" w:cs="Times New Roman"/>
          <w:b/>
          <w:bCs/>
          <w:sz w:val="24"/>
          <w:szCs w:val="24"/>
        </w:rPr>
        <w:t>ÃO</w:t>
      </w:r>
      <w:r>
        <w:rPr>
          <w:rFonts w:ascii="Times New Roman" w:hAnsi="Times New Roman" w:cs="Times New Roman"/>
          <w:b/>
          <w:bCs/>
          <w:sz w:val="24"/>
          <w:szCs w:val="24"/>
        </w:rPr>
        <w:t xml:space="preserve"> </w:t>
      </w:r>
    </w:p>
    <w:p w14:paraId="0E143435" w14:textId="77777777" w:rsidR="00E848B3" w:rsidRDefault="00E848B3" w:rsidP="003B2E49">
      <w:pPr>
        <w:spacing w:after="0" w:line="240" w:lineRule="auto"/>
        <w:ind w:firstLine="708"/>
        <w:jc w:val="both"/>
        <w:rPr>
          <w:rFonts w:ascii="Times New Roman" w:hAnsi="Times New Roman" w:cs="Times New Roman"/>
          <w:sz w:val="24"/>
          <w:szCs w:val="24"/>
        </w:rPr>
      </w:pPr>
    </w:p>
    <w:p w14:paraId="41CB3C13" w14:textId="77777777" w:rsidR="00E848B3" w:rsidRPr="00E848B3" w:rsidRDefault="00E848B3" w:rsidP="003B2E49">
      <w:pPr>
        <w:spacing w:after="0" w:line="240" w:lineRule="auto"/>
        <w:jc w:val="both"/>
        <w:rPr>
          <w:rFonts w:ascii="Times New Roman" w:eastAsia="Calibri" w:hAnsi="Times New Roman" w:cs="Times New Roman"/>
          <w:b/>
          <w:bCs/>
          <w:sz w:val="24"/>
        </w:rPr>
      </w:pPr>
      <w:r w:rsidRPr="00E848B3">
        <w:rPr>
          <w:rFonts w:ascii="Times New Roman" w:eastAsia="Calibri" w:hAnsi="Times New Roman" w:cs="Times New Roman"/>
          <w:b/>
          <w:bCs/>
          <w:sz w:val="24"/>
        </w:rPr>
        <w:t>4.1 O emprego no Nordeste</w:t>
      </w:r>
    </w:p>
    <w:p w14:paraId="0D4F940D" w14:textId="77777777" w:rsidR="003B2E49" w:rsidRDefault="00E848B3" w:rsidP="003B2E49">
      <w:pPr>
        <w:spacing w:after="0" w:line="240" w:lineRule="auto"/>
        <w:jc w:val="both"/>
        <w:rPr>
          <w:rFonts w:ascii="Times New Roman" w:eastAsia="Calibri" w:hAnsi="Times New Roman" w:cs="Times New Roman"/>
          <w:sz w:val="24"/>
        </w:rPr>
      </w:pPr>
      <w:r w:rsidRPr="00E848B3">
        <w:rPr>
          <w:rFonts w:ascii="Times New Roman" w:eastAsia="Calibri" w:hAnsi="Times New Roman" w:cs="Times New Roman"/>
          <w:sz w:val="24"/>
        </w:rPr>
        <w:tab/>
      </w:r>
    </w:p>
    <w:p w14:paraId="2CCC79DF" w14:textId="36C3B6FB" w:rsidR="00E848B3" w:rsidRPr="00E848B3" w:rsidRDefault="00E848B3" w:rsidP="003B2E49">
      <w:pPr>
        <w:spacing w:after="0" w:line="360" w:lineRule="auto"/>
        <w:ind w:firstLine="708"/>
        <w:jc w:val="both"/>
        <w:rPr>
          <w:rFonts w:ascii="Times New Roman" w:eastAsia="Calibri" w:hAnsi="Times New Roman" w:cs="Times New Roman"/>
          <w:sz w:val="24"/>
        </w:rPr>
      </w:pPr>
      <w:r w:rsidRPr="00E848B3">
        <w:rPr>
          <w:rFonts w:ascii="Times New Roman" w:eastAsia="Calibri" w:hAnsi="Times New Roman" w:cs="Times New Roman"/>
          <w:sz w:val="24"/>
        </w:rPr>
        <w:t>A priori foi apresentado uma análise descritiva da evolução da participação do emprego dos estados na totalidade do emprego da região Nordeste (Tabela 1). Através desta análise permite-se observar o padrão de mudanças da participação do emprego nos estados em relação a macrorregião Nordeste.</w:t>
      </w:r>
    </w:p>
    <w:p w14:paraId="3B6C391A" w14:textId="77777777" w:rsidR="00E848B3" w:rsidRPr="00E848B3" w:rsidRDefault="00E848B3" w:rsidP="00E848B3">
      <w:pPr>
        <w:spacing w:after="0" w:line="240" w:lineRule="auto"/>
        <w:jc w:val="center"/>
        <w:rPr>
          <w:rFonts w:ascii="Times New Roman" w:eastAsia="Calibri" w:hAnsi="Times New Roman" w:cs="Times New Roman"/>
          <w:sz w:val="24"/>
        </w:rPr>
      </w:pPr>
      <w:r w:rsidRPr="00E848B3">
        <w:rPr>
          <w:rFonts w:ascii="Times New Roman" w:eastAsia="Calibri" w:hAnsi="Times New Roman" w:cs="Times New Roman"/>
          <w:b/>
          <w:bCs/>
          <w:sz w:val="24"/>
        </w:rPr>
        <w:t>Tabela 1</w:t>
      </w:r>
      <w:r w:rsidRPr="00E848B3">
        <w:rPr>
          <w:rFonts w:ascii="Times New Roman" w:eastAsia="Calibri" w:hAnsi="Times New Roman" w:cs="Times New Roman"/>
          <w:sz w:val="24"/>
        </w:rPr>
        <w:t xml:space="preserve"> – Participação (%) do emprego estadual no emprego total da Região Nordeste, nos anos 2010, 2015 e 2020</w:t>
      </w:r>
    </w:p>
    <w:tbl>
      <w:tblPr>
        <w:tblW w:w="8970" w:type="dxa"/>
        <w:jc w:val="center"/>
        <w:tblBorders>
          <w:top w:val="single" w:sz="4" w:space="0" w:color="auto"/>
          <w:bottom w:val="single" w:sz="4" w:space="0" w:color="auto"/>
          <w:insideV w:val="single" w:sz="4" w:space="0" w:color="auto"/>
        </w:tblBorders>
        <w:tblCellMar>
          <w:left w:w="70" w:type="dxa"/>
          <w:right w:w="70" w:type="dxa"/>
        </w:tblCellMar>
        <w:tblLook w:val="04A0" w:firstRow="1" w:lastRow="0" w:firstColumn="1" w:lastColumn="0" w:noHBand="0" w:noVBand="1"/>
      </w:tblPr>
      <w:tblGrid>
        <w:gridCol w:w="4170"/>
        <w:gridCol w:w="1600"/>
        <w:gridCol w:w="1600"/>
        <w:gridCol w:w="1600"/>
      </w:tblGrid>
      <w:tr w:rsidR="00E848B3" w:rsidRPr="00E848B3" w14:paraId="33370A3A" w14:textId="77777777" w:rsidTr="00E848B3">
        <w:trPr>
          <w:trHeight w:val="268"/>
          <w:jc w:val="center"/>
        </w:trPr>
        <w:tc>
          <w:tcPr>
            <w:tcW w:w="4170" w:type="dxa"/>
            <w:tcBorders>
              <w:bottom w:val="single" w:sz="4" w:space="0" w:color="auto"/>
            </w:tcBorders>
            <w:shd w:val="clear" w:color="auto" w:fill="D9D9D9"/>
            <w:noWrap/>
            <w:vAlign w:val="bottom"/>
            <w:hideMark/>
          </w:tcPr>
          <w:p w14:paraId="41D7732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Estado/ Ano</w:t>
            </w:r>
          </w:p>
        </w:tc>
        <w:tc>
          <w:tcPr>
            <w:tcW w:w="1600" w:type="dxa"/>
            <w:tcBorders>
              <w:bottom w:val="single" w:sz="4" w:space="0" w:color="auto"/>
            </w:tcBorders>
            <w:shd w:val="clear" w:color="auto" w:fill="D9D9D9"/>
            <w:noWrap/>
            <w:vAlign w:val="bottom"/>
            <w:hideMark/>
          </w:tcPr>
          <w:p w14:paraId="0169C823"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2010 (em %)</w:t>
            </w:r>
          </w:p>
        </w:tc>
        <w:tc>
          <w:tcPr>
            <w:tcW w:w="1600" w:type="dxa"/>
            <w:tcBorders>
              <w:bottom w:val="single" w:sz="4" w:space="0" w:color="auto"/>
            </w:tcBorders>
            <w:shd w:val="clear" w:color="auto" w:fill="D9D9D9"/>
            <w:noWrap/>
            <w:vAlign w:val="bottom"/>
            <w:hideMark/>
          </w:tcPr>
          <w:p w14:paraId="522F8AD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2015 (em %)</w:t>
            </w:r>
          </w:p>
        </w:tc>
        <w:tc>
          <w:tcPr>
            <w:tcW w:w="1600" w:type="dxa"/>
            <w:tcBorders>
              <w:bottom w:val="single" w:sz="4" w:space="0" w:color="auto"/>
            </w:tcBorders>
            <w:shd w:val="clear" w:color="auto" w:fill="D9D9D9"/>
            <w:noWrap/>
            <w:vAlign w:val="bottom"/>
            <w:hideMark/>
          </w:tcPr>
          <w:p w14:paraId="04EDD5FD"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2020(em %)</w:t>
            </w:r>
          </w:p>
        </w:tc>
      </w:tr>
      <w:tr w:rsidR="00E848B3" w:rsidRPr="00E848B3" w14:paraId="6383359D" w14:textId="77777777" w:rsidTr="001D0C0D">
        <w:trPr>
          <w:trHeight w:val="268"/>
          <w:jc w:val="center"/>
        </w:trPr>
        <w:tc>
          <w:tcPr>
            <w:tcW w:w="4170" w:type="dxa"/>
            <w:tcBorders>
              <w:top w:val="single" w:sz="4" w:space="0" w:color="auto"/>
            </w:tcBorders>
            <w:shd w:val="clear" w:color="auto" w:fill="auto"/>
            <w:noWrap/>
            <w:vAlign w:val="bottom"/>
            <w:hideMark/>
          </w:tcPr>
          <w:p w14:paraId="6190193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Alagoas (AL)</w:t>
            </w:r>
          </w:p>
        </w:tc>
        <w:tc>
          <w:tcPr>
            <w:tcW w:w="1600" w:type="dxa"/>
            <w:tcBorders>
              <w:top w:val="single" w:sz="4" w:space="0" w:color="auto"/>
            </w:tcBorders>
            <w:shd w:val="clear" w:color="auto" w:fill="auto"/>
            <w:noWrap/>
            <w:vAlign w:val="bottom"/>
            <w:hideMark/>
          </w:tcPr>
          <w:p w14:paraId="7023BA5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5,879</w:t>
            </w:r>
          </w:p>
        </w:tc>
        <w:tc>
          <w:tcPr>
            <w:tcW w:w="1600" w:type="dxa"/>
            <w:tcBorders>
              <w:top w:val="single" w:sz="4" w:space="0" w:color="auto"/>
            </w:tcBorders>
            <w:shd w:val="clear" w:color="auto" w:fill="auto"/>
            <w:noWrap/>
            <w:vAlign w:val="bottom"/>
            <w:hideMark/>
          </w:tcPr>
          <w:p w14:paraId="25B00B93"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5,723</w:t>
            </w:r>
          </w:p>
        </w:tc>
        <w:tc>
          <w:tcPr>
            <w:tcW w:w="1600" w:type="dxa"/>
            <w:tcBorders>
              <w:top w:val="single" w:sz="4" w:space="0" w:color="auto"/>
            </w:tcBorders>
            <w:shd w:val="clear" w:color="auto" w:fill="auto"/>
            <w:noWrap/>
            <w:vAlign w:val="bottom"/>
            <w:hideMark/>
          </w:tcPr>
          <w:p w14:paraId="6DB8BEF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5,754</w:t>
            </w:r>
          </w:p>
        </w:tc>
      </w:tr>
      <w:tr w:rsidR="00E848B3" w:rsidRPr="00E848B3" w14:paraId="16909868" w14:textId="77777777" w:rsidTr="001D0C0D">
        <w:trPr>
          <w:trHeight w:val="268"/>
          <w:jc w:val="center"/>
        </w:trPr>
        <w:tc>
          <w:tcPr>
            <w:tcW w:w="4170" w:type="dxa"/>
            <w:shd w:val="clear" w:color="auto" w:fill="auto"/>
            <w:noWrap/>
            <w:vAlign w:val="bottom"/>
            <w:hideMark/>
          </w:tcPr>
          <w:p w14:paraId="3BACBC40"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Bahia (BA)</w:t>
            </w:r>
          </w:p>
        </w:tc>
        <w:tc>
          <w:tcPr>
            <w:tcW w:w="1600" w:type="dxa"/>
            <w:shd w:val="clear" w:color="auto" w:fill="auto"/>
            <w:noWrap/>
            <w:vAlign w:val="bottom"/>
            <w:hideMark/>
          </w:tcPr>
          <w:p w14:paraId="6CBEB286"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26,704</w:t>
            </w:r>
          </w:p>
        </w:tc>
        <w:tc>
          <w:tcPr>
            <w:tcW w:w="1600" w:type="dxa"/>
            <w:shd w:val="clear" w:color="auto" w:fill="auto"/>
            <w:noWrap/>
            <w:vAlign w:val="bottom"/>
            <w:hideMark/>
          </w:tcPr>
          <w:p w14:paraId="6AD39F43"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25,984</w:t>
            </w:r>
          </w:p>
        </w:tc>
        <w:tc>
          <w:tcPr>
            <w:tcW w:w="1600" w:type="dxa"/>
            <w:shd w:val="clear" w:color="auto" w:fill="auto"/>
            <w:noWrap/>
            <w:vAlign w:val="bottom"/>
            <w:hideMark/>
          </w:tcPr>
          <w:p w14:paraId="5391AC6C"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26,005</w:t>
            </w:r>
          </w:p>
        </w:tc>
      </w:tr>
      <w:tr w:rsidR="00E848B3" w:rsidRPr="00E848B3" w14:paraId="1FDA8975" w14:textId="77777777" w:rsidTr="001D0C0D">
        <w:trPr>
          <w:trHeight w:val="268"/>
          <w:jc w:val="center"/>
        </w:trPr>
        <w:tc>
          <w:tcPr>
            <w:tcW w:w="4170" w:type="dxa"/>
            <w:shd w:val="clear" w:color="auto" w:fill="auto"/>
            <w:noWrap/>
            <w:vAlign w:val="bottom"/>
            <w:hideMark/>
          </w:tcPr>
          <w:p w14:paraId="44339A35"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Ceará (CE)</w:t>
            </w:r>
          </w:p>
        </w:tc>
        <w:tc>
          <w:tcPr>
            <w:tcW w:w="1600" w:type="dxa"/>
            <w:shd w:val="clear" w:color="auto" w:fill="auto"/>
            <w:noWrap/>
            <w:vAlign w:val="bottom"/>
            <w:hideMark/>
          </w:tcPr>
          <w:p w14:paraId="0AAFC796"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16,550</w:t>
            </w:r>
          </w:p>
        </w:tc>
        <w:tc>
          <w:tcPr>
            <w:tcW w:w="1600" w:type="dxa"/>
            <w:shd w:val="clear" w:color="auto" w:fill="auto"/>
            <w:noWrap/>
            <w:vAlign w:val="bottom"/>
            <w:hideMark/>
          </w:tcPr>
          <w:p w14:paraId="1488814A"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17,336</w:t>
            </w:r>
          </w:p>
        </w:tc>
        <w:tc>
          <w:tcPr>
            <w:tcW w:w="1600" w:type="dxa"/>
            <w:shd w:val="clear" w:color="auto" w:fill="auto"/>
            <w:noWrap/>
            <w:vAlign w:val="bottom"/>
            <w:hideMark/>
          </w:tcPr>
          <w:p w14:paraId="53D4A56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17,226</w:t>
            </w:r>
          </w:p>
        </w:tc>
      </w:tr>
      <w:tr w:rsidR="00E848B3" w:rsidRPr="00E848B3" w14:paraId="66429C36" w14:textId="77777777" w:rsidTr="001D0C0D">
        <w:trPr>
          <w:trHeight w:val="268"/>
          <w:jc w:val="center"/>
        </w:trPr>
        <w:tc>
          <w:tcPr>
            <w:tcW w:w="4170" w:type="dxa"/>
            <w:shd w:val="clear" w:color="auto" w:fill="auto"/>
            <w:noWrap/>
            <w:vAlign w:val="bottom"/>
            <w:hideMark/>
          </w:tcPr>
          <w:p w14:paraId="1DD81EF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Maranhão (MA)</w:t>
            </w:r>
          </w:p>
        </w:tc>
        <w:tc>
          <w:tcPr>
            <w:tcW w:w="1600" w:type="dxa"/>
            <w:shd w:val="clear" w:color="auto" w:fill="auto"/>
            <w:noWrap/>
            <w:vAlign w:val="bottom"/>
            <w:hideMark/>
          </w:tcPr>
          <w:p w14:paraId="07283B21"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7,947</w:t>
            </w:r>
          </w:p>
        </w:tc>
        <w:tc>
          <w:tcPr>
            <w:tcW w:w="1600" w:type="dxa"/>
            <w:shd w:val="clear" w:color="auto" w:fill="auto"/>
            <w:noWrap/>
            <w:vAlign w:val="bottom"/>
            <w:hideMark/>
          </w:tcPr>
          <w:p w14:paraId="2D711537"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8,123</w:t>
            </w:r>
          </w:p>
        </w:tc>
        <w:tc>
          <w:tcPr>
            <w:tcW w:w="1600" w:type="dxa"/>
            <w:shd w:val="clear" w:color="auto" w:fill="auto"/>
            <w:noWrap/>
            <w:vAlign w:val="bottom"/>
            <w:hideMark/>
          </w:tcPr>
          <w:p w14:paraId="6647A99B"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8,891</w:t>
            </w:r>
          </w:p>
        </w:tc>
      </w:tr>
      <w:tr w:rsidR="00E848B3" w:rsidRPr="00E848B3" w14:paraId="32A4557A" w14:textId="77777777" w:rsidTr="001D0C0D">
        <w:trPr>
          <w:trHeight w:val="268"/>
          <w:jc w:val="center"/>
        </w:trPr>
        <w:tc>
          <w:tcPr>
            <w:tcW w:w="4170" w:type="dxa"/>
            <w:shd w:val="clear" w:color="auto" w:fill="auto"/>
            <w:noWrap/>
            <w:vAlign w:val="bottom"/>
            <w:hideMark/>
          </w:tcPr>
          <w:p w14:paraId="246FBBF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Paraíba (PB)</w:t>
            </w:r>
          </w:p>
        </w:tc>
        <w:tc>
          <w:tcPr>
            <w:tcW w:w="1600" w:type="dxa"/>
            <w:shd w:val="clear" w:color="auto" w:fill="auto"/>
            <w:noWrap/>
            <w:vAlign w:val="bottom"/>
            <w:hideMark/>
          </w:tcPr>
          <w:p w14:paraId="6D8A4E8A"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7,234</w:t>
            </w:r>
          </w:p>
        </w:tc>
        <w:tc>
          <w:tcPr>
            <w:tcW w:w="1600" w:type="dxa"/>
            <w:shd w:val="clear" w:color="auto" w:fill="auto"/>
            <w:noWrap/>
            <w:vAlign w:val="bottom"/>
            <w:hideMark/>
          </w:tcPr>
          <w:p w14:paraId="6DF3E83C"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7,495</w:t>
            </w:r>
          </w:p>
        </w:tc>
        <w:tc>
          <w:tcPr>
            <w:tcW w:w="1600" w:type="dxa"/>
            <w:shd w:val="clear" w:color="auto" w:fill="auto"/>
            <w:noWrap/>
            <w:vAlign w:val="bottom"/>
            <w:hideMark/>
          </w:tcPr>
          <w:p w14:paraId="4121396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7,518</w:t>
            </w:r>
          </w:p>
        </w:tc>
      </w:tr>
      <w:tr w:rsidR="00E848B3" w:rsidRPr="00E848B3" w14:paraId="71BB0733" w14:textId="77777777" w:rsidTr="001D0C0D">
        <w:trPr>
          <w:trHeight w:val="268"/>
          <w:jc w:val="center"/>
        </w:trPr>
        <w:tc>
          <w:tcPr>
            <w:tcW w:w="4170" w:type="dxa"/>
            <w:shd w:val="clear" w:color="auto" w:fill="auto"/>
            <w:noWrap/>
            <w:vAlign w:val="bottom"/>
            <w:hideMark/>
          </w:tcPr>
          <w:p w14:paraId="656FE51C"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Pernambuco (PE)</w:t>
            </w:r>
          </w:p>
        </w:tc>
        <w:tc>
          <w:tcPr>
            <w:tcW w:w="1600" w:type="dxa"/>
            <w:shd w:val="clear" w:color="auto" w:fill="auto"/>
            <w:noWrap/>
            <w:vAlign w:val="bottom"/>
            <w:hideMark/>
          </w:tcPr>
          <w:p w14:paraId="10B5616E"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19,182</w:t>
            </w:r>
          </w:p>
        </w:tc>
        <w:tc>
          <w:tcPr>
            <w:tcW w:w="1600" w:type="dxa"/>
            <w:shd w:val="clear" w:color="auto" w:fill="auto"/>
            <w:noWrap/>
            <w:vAlign w:val="bottom"/>
            <w:hideMark/>
          </w:tcPr>
          <w:p w14:paraId="19676EE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18,769</w:t>
            </w:r>
          </w:p>
        </w:tc>
        <w:tc>
          <w:tcPr>
            <w:tcW w:w="1600" w:type="dxa"/>
            <w:shd w:val="clear" w:color="auto" w:fill="auto"/>
            <w:noWrap/>
            <w:vAlign w:val="bottom"/>
            <w:hideMark/>
          </w:tcPr>
          <w:p w14:paraId="3016B218"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18,227</w:t>
            </w:r>
          </w:p>
        </w:tc>
      </w:tr>
      <w:tr w:rsidR="00E848B3" w:rsidRPr="00E848B3" w14:paraId="32343D42" w14:textId="77777777" w:rsidTr="001D0C0D">
        <w:trPr>
          <w:trHeight w:val="268"/>
          <w:jc w:val="center"/>
        </w:trPr>
        <w:tc>
          <w:tcPr>
            <w:tcW w:w="4170" w:type="dxa"/>
            <w:shd w:val="clear" w:color="auto" w:fill="auto"/>
            <w:noWrap/>
            <w:vAlign w:val="bottom"/>
            <w:hideMark/>
          </w:tcPr>
          <w:p w14:paraId="2F10307B"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Piauí (PI)</w:t>
            </w:r>
          </w:p>
        </w:tc>
        <w:tc>
          <w:tcPr>
            <w:tcW w:w="1600" w:type="dxa"/>
            <w:shd w:val="clear" w:color="auto" w:fill="auto"/>
            <w:noWrap/>
            <w:vAlign w:val="bottom"/>
            <w:hideMark/>
          </w:tcPr>
          <w:p w14:paraId="1B20A96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4,712</w:t>
            </w:r>
          </w:p>
        </w:tc>
        <w:tc>
          <w:tcPr>
            <w:tcW w:w="1600" w:type="dxa"/>
            <w:shd w:val="clear" w:color="auto" w:fill="auto"/>
            <w:noWrap/>
            <w:vAlign w:val="bottom"/>
            <w:hideMark/>
          </w:tcPr>
          <w:p w14:paraId="4F0F187A"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5,178</w:t>
            </w:r>
          </w:p>
        </w:tc>
        <w:tc>
          <w:tcPr>
            <w:tcW w:w="1600" w:type="dxa"/>
            <w:shd w:val="clear" w:color="auto" w:fill="auto"/>
            <w:noWrap/>
            <w:vAlign w:val="bottom"/>
            <w:hideMark/>
          </w:tcPr>
          <w:p w14:paraId="112ACE2D"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5,215</w:t>
            </w:r>
          </w:p>
        </w:tc>
      </w:tr>
      <w:tr w:rsidR="00E848B3" w:rsidRPr="00E848B3" w14:paraId="40988DB0" w14:textId="77777777" w:rsidTr="001D0C0D">
        <w:trPr>
          <w:trHeight w:val="268"/>
          <w:jc w:val="center"/>
        </w:trPr>
        <w:tc>
          <w:tcPr>
            <w:tcW w:w="4170" w:type="dxa"/>
            <w:shd w:val="clear" w:color="auto" w:fill="auto"/>
            <w:noWrap/>
            <w:vAlign w:val="bottom"/>
            <w:hideMark/>
          </w:tcPr>
          <w:p w14:paraId="191EED90"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bookmarkStart w:id="1" w:name="_Hlk110276423"/>
            <w:r w:rsidRPr="00E848B3">
              <w:rPr>
                <w:rFonts w:ascii="Times New Roman" w:eastAsia="Times New Roman" w:hAnsi="Times New Roman" w:cs="Times New Roman"/>
                <w:color w:val="000000"/>
                <w:sz w:val="20"/>
                <w:szCs w:val="20"/>
                <w:lang w:eastAsia="pt-BR"/>
              </w:rPr>
              <w:t xml:space="preserve">Rio Grande do Norte </w:t>
            </w:r>
            <w:bookmarkEnd w:id="1"/>
            <w:r w:rsidRPr="00E848B3">
              <w:rPr>
                <w:rFonts w:ascii="Times New Roman" w:eastAsia="Times New Roman" w:hAnsi="Times New Roman" w:cs="Times New Roman"/>
                <w:color w:val="000000"/>
                <w:sz w:val="20"/>
                <w:szCs w:val="20"/>
                <w:lang w:eastAsia="pt-BR"/>
              </w:rPr>
              <w:t>(RN)</w:t>
            </w:r>
          </w:p>
        </w:tc>
        <w:tc>
          <w:tcPr>
            <w:tcW w:w="1600" w:type="dxa"/>
            <w:shd w:val="clear" w:color="auto" w:fill="auto"/>
            <w:noWrap/>
            <w:vAlign w:val="bottom"/>
            <w:hideMark/>
          </w:tcPr>
          <w:p w14:paraId="528C65F5"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7,178</w:t>
            </w:r>
          </w:p>
        </w:tc>
        <w:tc>
          <w:tcPr>
            <w:tcW w:w="1600" w:type="dxa"/>
            <w:shd w:val="clear" w:color="auto" w:fill="auto"/>
            <w:noWrap/>
            <w:vAlign w:val="bottom"/>
            <w:hideMark/>
          </w:tcPr>
          <w:p w14:paraId="6F304E21"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6,842</w:t>
            </w:r>
          </w:p>
        </w:tc>
        <w:tc>
          <w:tcPr>
            <w:tcW w:w="1600" w:type="dxa"/>
            <w:shd w:val="clear" w:color="auto" w:fill="auto"/>
            <w:noWrap/>
            <w:vAlign w:val="bottom"/>
            <w:hideMark/>
          </w:tcPr>
          <w:p w14:paraId="2B3237EF"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6,790</w:t>
            </w:r>
          </w:p>
        </w:tc>
      </w:tr>
      <w:tr w:rsidR="00E848B3" w:rsidRPr="00E848B3" w14:paraId="080E8955" w14:textId="77777777" w:rsidTr="001D0C0D">
        <w:trPr>
          <w:trHeight w:val="268"/>
          <w:jc w:val="center"/>
        </w:trPr>
        <w:tc>
          <w:tcPr>
            <w:tcW w:w="4170" w:type="dxa"/>
            <w:shd w:val="clear" w:color="auto" w:fill="auto"/>
            <w:noWrap/>
            <w:vAlign w:val="bottom"/>
            <w:hideMark/>
          </w:tcPr>
          <w:p w14:paraId="378065D1"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Sergipe (SE)</w:t>
            </w:r>
          </w:p>
        </w:tc>
        <w:tc>
          <w:tcPr>
            <w:tcW w:w="1600" w:type="dxa"/>
            <w:shd w:val="clear" w:color="auto" w:fill="auto"/>
            <w:noWrap/>
            <w:vAlign w:val="bottom"/>
            <w:hideMark/>
          </w:tcPr>
          <w:p w14:paraId="53CEC456"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4,613</w:t>
            </w:r>
          </w:p>
        </w:tc>
        <w:tc>
          <w:tcPr>
            <w:tcW w:w="1600" w:type="dxa"/>
            <w:shd w:val="clear" w:color="auto" w:fill="auto"/>
            <w:noWrap/>
            <w:vAlign w:val="bottom"/>
            <w:hideMark/>
          </w:tcPr>
          <w:p w14:paraId="3E4F070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4,551</w:t>
            </w:r>
          </w:p>
        </w:tc>
        <w:tc>
          <w:tcPr>
            <w:tcW w:w="1600" w:type="dxa"/>
            <w:shd w:val="clear" w:color="auto" w:fill="auto"/>
            <w:noWrap/>
            <w:vAlign w:val="bottom"/>
            <w:hideMark/>
          </w:tcPr>
          <w:p w14:paraId="78CDBE68"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4,374</w:t>
            </w:r>
          </w:p>
        </w:tc>
      </w:tr>
    </w:tbl>
    <w:p w14:paraId="30B72492" w14:textId="77777777" w:rsidR="00E848B3" w:rsidRPr="00E848B3" w:rsidRDefault="00E848B3" w:rsidP="00E848B3">
      <w:pPr>
        <w:jc w:val="center"/>
        <w:rPr>
          <w:rFonts w:ascii="Times New Roman" w:eastAsia="Calibri" w:hAnsi="Times New Roman" w:cs="Times New Roman"/>
          <w:sz w:val="20"/>
          <w:szCs w:val="20"/>
        </w:rPr>
      </w:pPr>
      <w:bookmarkStart w:id="2" w:name="_Hlk110504797"/>
      <w:r w:rsidRPr="00E848B3">
        <w:rPr>
          <w:rFonts w:ascii="Times New Roman" w:eastAsia="Calibri" w:hAnsi="Times New Roman" w:cs="Times New Roman"/>
          <w:sz w:val="20"/>
          <w:szCs w:val="20"/>
        </w:rPr>
        <w:t>Fonte: RAIS/CAGED – Elaboração própria</w:t>
      </w:r>
    </w:p>
    <w:bookmarkEnd w:id="2"/>
    <w:p w14:paraId="7D02D2B2" w14:textId="77777777" w:rsidR="00E848B3" w:rsidRPr="00E848B3" w:rsidRDefault="00E848B3" w:rsidP="00E848B3">
      <w:pPr>
        <w:spacing w:after="0"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Como se observa na Tabela 1, dentre os estados pertencentes a região Nordeste, Bahia é o que mais se destaca na absorção da mão de obra formal, mantendo participação com pequena variação negativa de 2010 a 2015 e positiva de 2015 a 2020. Concernente a segunda maior concentração do emprego, ocorreu no Pernambuco, porém observa-se que mesmo que tenha mantido participação no emprego, apresentou redução ao longo de todo o período. A terceira maior concentração observou no Ceará, mas ao contrário do que ocorreu os dois estados mais absorsores de mão de obra, neste apesar de nos últimos dois anos ter ocorrido uma pequena retração, a participação no último ano foi superior ao primeiro. Com relação a menor proporção de empregos da região, destaca-se Sergipe, com pequena diminuição ao longo dos anos. De acordo com Leão (2019), Bahia e Pernambuco e Ceará são os mais dinâmicos economicamente, além do elevado grau de urbanização e densidade demográfica, elementos estes que contribuem para a concentração de postos de trabalho.</w:t>
      </w:r>
    </w:p>
    <w:p w14:paraId="4623D356" w14:textId="1B481113" w:rsidR="003B2E49" w:rsidRPr="00E848B3" w:rsidRDefault="00E848B3" w:rsidP="00E848B3">
      <w:pPr>
        <w:spacing w:after="0"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A Tabela 2 apresenta a desagregação da proporção do emprego por setor econômico durante os anos 2010, 2015 e 2020.</w:t>
      </w:r>
    </w:p>
    <w:p w14:paraId="46AB3108" w14:textId="77777777" w:rsidR="00E848B3" w:rsidRPr="00E848B3" w:rsidRDefault="00E848B3" w:rsidP="00E848B3">
      <w:pPr>
        <w:spacing w:after="0" w:line="240" w:lineRule="auto"/>
        <w:jc w:val="center"/>
        <w:rPr>
          <w:rFonts w:ascii="Times New Roman" w:eastAsia="Calibri" w:hAnsi="Times New Roman" w:cs="Times New Roman"/>
          <w:sz w:val="24"/>
        </w:rPr>
      </w:pPr>
      <w:r w:rsidRPr="00E848B3">
        <w:rPr>
          <w:rFonts w:ascii="Times New Roman" w:eastAsia="Calibri" w:hAnsi="Times New Roman" w:cs="Times New Roman"/>
          <w:b/>
          <w:bCs/>
          <w:sz w:val="24"/>
        </w:rPr>
        <w:lastRenderedPageBreak/>
        <w:t>Tabela 2-</w:t>
      </w:r>
      <w:r w:rsidRPr="00E848B3">
        <w:rPr>
          <w:rFonts w:ascii="Times New Roman" w:eastAsia="Calibri" w:hAnsi="Times New Roman" w:cs="Times New Roman"/>
          <w:sz w:val="24"/>
        </w:rPr>
        <w:t xml:space="preserve"> Participação (%) no emprego do Nordeste por setor econômico nos anos 2010, 2015 e 2020.</w:t>
      </w:r>
    </w:p>
    <w:tbl>
      <w:tblPr>
        <w:tblW w:w="8826" w:type="dxa"/>
        <w:jc w:val="center"/>
        <w:tblBorders>
          <w:top w:val="single" w:sz="4" w:space="0" w:color="auto"/>
          <w:bottom w:val="single" w:sz="4" w:space="0" w:color="auto"/>
          <w:insideV w:val="single" w:sz="4" w:space="0" w:color="auto"/>
        </w:tblBorders>
        <w:tblCellMar>
          <w:left w:w="70" w:type="dxa"/>
          <w:right w:w="70" w:type="dxa"/>
        </w:tblCellMar>
        <w:tblLook w:val="04A0" w:firstRow="1" w:lastRow="0" w:firstColumn="1" w:lastColumn="0" w:noHBand="0" w:noVBand="1"/>
      </w:tblPr>
      <w:tblGrid>
        <w:gridCol w:w="4577"/>
        <w:gridCol w:w="1471"/>
        <w:gridCol w:w="1471"/>
        <w:gridCol w:w="1307"/>
      </w:tblGrid>
      <w:tr w:rsidR="00E848B3" w:rsidRPr="00E848B3" w14:paraId="35AC0217" w14:textId="77777777" w:rsidTr="00E848B3">
        <w:trPr>
          <w:trHeight w:val="268"/>
          <w:jc w:val="center"/>
        </w:trPr>
        <w:tc>
          <w:tcPr>
            <w:tcW w:w="4577" w:type="dxa"/>
            <w:tcBorders>
              <w:bottom w:val="single" w:sz="4" w:space="0" w:color="auto"/>
            </w:tcBorders>
            <w:shd w:val="clear" w:color="auto" w:fill="D9D9D9"/>
            <w:noWrap/>
            <w:vAlign w:val="bottom"/>
            <w:hideMark/>
          </w:tcPr>
          <w:p w14:paraId="3084E848" w14:textId="77777777" w:rsidR="00E848B3" w:rsidRPr="00E848B3" w:rsidRDefault="00E848B3" w:rsidP="00E848B3">
            <w:pPr>
              <w:spacing w:after="0" w:line="240" w:lineRule="auto"/>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Setor/Ano</w:t>
            </w:r>
          </w:p>
        </w:tc>
        <w:tc>
          <w:tcPr>
            <w:tcW w:w="1471" w:type="dxa"/>
            <w:tcBorders>
              <w:bottom w:val="single" w:sz="4" w:space="0" w:color="auto"/>
            </w:tcBorders>
            <w:shd w:val="clear" w:color="auto" w:fill="D9D9D9"/>
            <w:noWrap/>
            <w:vAlign w:val="bottom"/>
            <w:hideMark/>
          </w:tcPr>
          <w:p w14:paraId="75CFECF7" w14:textId="77777777" w:rsidR="00E848B3" w:rsidRPr="00E848B3" w:rsidRDefault="00E848B3" w:rsidP="00E848B3">
            <w:pPr>
              <w:spacing w:after="0" w:line="240" w:lineRule="auto"/>
              <w:jc w:val="right"/>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2010(em %)</w:t>
            </w:r>
          </w:p>
        </w:tc>
        <w:tc>
          <w:tcPr>
            <w:tcW w:w="1471" w:type="dxa"/>
            <w:tcBorders>
              <w:bottom w:val="single" w:sz="4" w:space="0" w:color="auto"/>
            </w:tcBorders>
            <w:shd w:val="clear" w:color="auto" w:fill="D9D9D9"/>
            <w:noWrap/>
            <w:vAlign w:val="bottom"/>
            <w:hideMark/>
          </w:tcPr>
          <w:p w14:paraId="44C2C5A1" w14:textId="77777777" w:rsidR="00E848B3" w:rsidRPr="00E848B3" w:rsidRDefault="00E848B3" w:rsidP="00E848B3">
            <w:pPr>
              <w:spacing w:after="0" w:line="240" w:lineRule="auto"/>
              <w:jc w:val="right"/>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2015(em%)</w:t>
            </w:r>
          </w:p>
        </w:tc>
        <w:tc>
          <w:tcPr>
            <w:tcW w:w="1307" w:type="dxa"/>
            <w:tcBorders>
              <w:bottom w:val="single" w:sz="4" w:space="0" w:color="auto"/>
            </w:tcBorders>
            <w:shd w:val="clear" w:color="auto" w:fill="D9D9D9"/>
            <w:noWrap/>
            <w:vAlign w:val="bottom"/>
            <w:hideMark/>
          </w:tcPr>
          <w:p w14:paraId="7F247BBD" w14:textId="77777777" w:rsidR="00E848B3" w:rsidRPr="00E848B3" w:rsidRDefault="00E848B3" w:rsidP="00E848B3">
            <w:pPr>
              <w:spacing w:after="0" w:line="240" w:lineRule="auto"/>
              <w:jc w:val="right"/>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2020(em %)</w:t>
            </w:r>
          </w:p>
        </w:tc>
      </w:tr>
      <w:tr w:rsidR="00E848B3" w:rsidRPr="00E848B3" w14:paraId="26A551EF" w14:textId="77777777" w:rsidTr="001D0C0D">
        <w:trPr>
          <w:trHeight w:val="268"/>
          <w:jc w:val="center"/>
        </w:trPr>
        <w:tc>
          <w:tcPr>
            <w:tcW w:w="4577" w:type="dxa"/>
            <w:tcBorders>
              <w:top w:val="single" w:sz="4" w:space="0" w:color="auto"/>
            </w:tcBorders>
            <w:shd w:val="clear" w:color="auto" w:fill="auto"/>
            <w:noWrap/>
            <w:vAlign w:val="bottom"/>
            <w:hideMark/>
          </w:tcPr>
          <w:p w14:paraId="22D8ECB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Extrativa mineral</w:t>
            </w:r>
          </w:p>
        </w:tc>
        <w:tc>
          <w:tcPr>
            <w:tcW w:w="1471" w:type="dxa"/>
            <w:tcBorders>
              <w:top w:val="single" w:sz="4" w:space="0" w:color="auto"/>
            </w:tcBorders>
            <w:shd w:val="clear" w:color="auto" w:fill="auto"/>
            <w:noWrap/>
            <w:vAlign w:val="bottom"/>
            <w:hideMark/>
          </w:tcPr>
          <w:p w14:paraId="76FE29CE"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0,444</w:t>
            </w:r>
          </w:p>
        </w:tc>
        <w:tc>
          <w:tcPr>
            <w:tcW w:w="1471" w:type="dxa"/>
            <w:tcBorders>
              <w:top w:val="single" w:sz="4" w:space="0" w:color="auto"/>
            </w:tcBorders>
            <w:shd w:val="clear" w:color="auto" w:fill="auto"/>
            <w:noWrap/>
            <w:vAlign w:val="bottom"/>
            <w:hideMark/>
          </w:tcPr>
          <w:p w14:paraId="0F96B14F"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0,461</w:t>
            </w:r>
          </w:p>
        </w:tc>
        <w:tc>
          <w:tcPr>
            <w:tcW w:w="1307" w:type="dxa"/>
            <w:tcBorders>
              <w:top w:val="single" w:sz="4" w:space="0" w:color="auto"/>
            </w:tcBorders>
            <w:shd w:val="clear" w:color="auto" w:fill="auto"/>
            <w:noWrap/>
            <w:vAlign w:val="bottom"/>
            <w:hideMark/>
          </w:tcPr>
          <w:p w14:paraId="231CE5B7"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0,430</w:t>
            </w:r>
          </w:p>
        </w:tc>
      </w:tr>
      <w:tr w:rsidR="00E848B3" w:rsidRPr="00E848B3" w14:paraId="7493399A" w14:textId="77777777" w:rsidTr="001D0C0D">
        <w:trPr>
          <w:trHeight w:val="268"/>
          <w:jc w:val="center"/>
        </w:trPr>
        <w:tc>
          <w:tcPr>
            <w:tcW w:w="4577" w:type="dxa"/>
            <w:shd w:val="clear" w:color="auto" w:fill="auto"/>
            <w:noWrap/>
            <w:vAlign w:val="bottom"/>
            <w:hideMark/>
          </w:tcPr>
          <w:p w14:paraId="2F44F6FF"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Indústria de transformação</w:t>
            </w:r>
          </w:p>
        </w:tc>
        <w:tc>
          <w:tcPr>
            <w:tcW w:w="1471" w:type="dxa"/>
            <w:shd w:val="clear" w:color="auto" w:fill="auto"/>
            <w:noWrap/>
            <w:vAlign w:val="bottom"/>
            <w:hideMark/>
          </w:tcPr>
          <w:p w14:paraId="03C45ED2"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13,138</w:t>
            </w:r>
          </w:p>
        </w:tc>
        <w:tc>
          <w:tcPr>
            <w:tcW w:w="1471" w:type="dxa"/>
            <w:shd w:val="clear" w:color="auto" w:fill="auto"/>
            <w:noWrap/>
            <w:vAlign w:val="bottom"/>
            <w:hideMark/>
          </w:tcPr>
          <w:p w14:paraId="1F764B06"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11,545</w:t>
            </w:r>
          </w:p>
        </w:tc>
        <w:tc>
          <w:tcPr>
            <w:tcW w:w="1307" w:type="dxa"/>
            <w:shd w:val="clear" w:color="auto" w:fill="auto"/>
            <w:noWrap/>
            <w:vAlign w:val="bottom"/>
            <w:hideMark/>
          </w:tcPr>
          <w:p w14:paraId="1828E98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11,289</w:t>
            </w:r>
          </w:p>
        </w:tc>
      </w:tr>
      <w:tr w:rsidR="00E848B3" w:rsidRPr="00E848B3" w14:paraId="5AF633CF" w14:textId="77777777" w:rsidTr="001D0C0D">
        <w:trPr>
          <w:trHeight w:val="268"/>
          <w:jc w:val="center"/>
        </w:trPr>
        <w:tc>
          <w:tcPr>
            <w:tcW w:w="4577" w:type="dxa"/>
            <w:shd w:val="clear" w:color="auto" w:fill="auto"/>
            <w:noWrap/>
            <w:vAlign w:val="bottom"/>
            <w:hideMark/>
          </w:tcPr>
          <w:p w14:paraId="4F15C22E"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Serviços industriais de utilidade pública</w:t>
            </w:r>
          </w:p>
        </w:tc>
        <w:tc>
          <w:tcPr>
            <w:tcW w:w="1471" w:type="dxa"/>
            <w:shd w:val="clear" w:color="auto" w:fill="auto"/>
            <w:noWrap/>
            <w:vAlign w:val="bottom"/>
            <w:hideMark/>
          </w:tcPr>
          <w:p w14:paraId="10C734A8"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0,977</w:t>
            </w:r>
          </w:p>
        </w:tc>
        <w:tc>
          <w:tcPr>
            <w:tcW w:w="1471" w:type="dxa"/>
            <w:shd w:val="clear" w:color="auto" w:fill="auto"/>
            <w:noWrap/>
            <w:vAlign w:val="bottom"/>
            <w:hideMark/>
          </w:tcPr>
          <w:p w14:paraId="453BD19F"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0,999</w:t>
            </w:r>
          </w:p>
        </w:tc>
        <w:tc>
          <w:tcPr>
            <w:tcW w:w="1307" w:type="dxa"/>
            <w:shd w:val="clear" w:color="auto" w:fill="auto"/>
            <w:noWrap/>
            <w:vAlign w:val="bottom"/>
            <w:hideMark/>
          </w:tcPr>
          <w:p w14:paraId="22E58A45"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1,065</w:t>
            </w:r>
          </w:p>
        </w:tc>
      </w:tr>
      <w:tr w:rsidR="00E848B3" w:rsidRPr="00E848B3" w14:paraId="5C329F9D" w14:textId="77777777" w:rsidTr="001D0C0D">
        <w:trPr>
          <w:trHeight w:val="268"/>
          <w:jc w:val="center"/>
        </w:trPr>
        <w:tc>
          <w:tcPr>
            <w:tcW w:w="4577" w:type="dxa"/>
            <w:shd w:val="clear" w:color="auto" w:fill="auto"/>
            <w:noWrap/>
            <w:vAlign w:val="bottom"/>
            <w:hideMark/>
          </w:tcPr>
          <w:p w14:paraId="322E75A0"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Construção Civil</w:t>
            </w:r>
          </w:p>
        </w:tc>
        <w:tc>
          <w:tcPr>
            <w:tcW w:w="1471" w:type="dxa"/>
            <w:shd w:val="clear" w:color="auto" w:fill="auto"/>
            <w:noWrap/>
            <w:vAlign w:val="bottom"/>
            <w:hideMark/>
          </w:tcPr>
          <w:p w14:paraId="3B634468"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7,116</w:t>
            </w:r>
          </w:p>
        </w:tc>
        <w:tc>
          <w:tcPr>
            <w:tcW w:w="1471" w:type="dxa"/>
            <w:shd w:val="clear" w:color="auto" w:fill="auto"/>
            <w:noWrap/>
            <w:vAlign w:val="bottom"/>
            <w:hideMark/>
          </w:tcPr>
          <w:p w14:paraId="6A4415FB"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5,624</w:t>
            </w:r>
          </w:p>
        </w:tc>
        <w:tc>
          <w:tcPr>
            <w:tcW w:w="1307" w:type="dxa"/>
            <w:shd w:val="clear" w:color="auto" w:fill="auto"/>
            <w:noWrap/>
            <w:vAlign w:val="bottom"/>
            <w:hideMark/>
          </w:tcPr>
          <w:p w14:paraId="510C33F8"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4,368</w:t>
            </w:r>
          </w:p>
        </w:tc>
      </w:tr>
      <w:tr w:rsidR="00E848B3" w:rsidRPr="00E848B3" w14:paraId="01E03A73" w14:textId="77777777" w:rsidTr="001D0C0D">
        <w:trPr>
          <w:trHeight w:val="268"/>
          <w:jc w:val="center"/>
        </w:trPr>
        <w:tc>
          <w:tcPr>
            <w:tcW w:w="4577" w:type="dxa"/>
            <w:shd w:val="clear" w:color="auto" w:fill="auto"/>
            <w:noWrap/>
            <w:vAlign w:val="bottom"/>
            <w:hideMark/>
          </w:tcPr>
          <w:p w14:paraId="1D2220CE"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Comércio</w:t>
            </w:r>
          </w:p>
        </w:tc>
        <w:tc>
          <w:tcPr>
            <w:tcW w:w="1471" w:type="dxa"/>
            <w:shd w:val="clear" w:color="auto" w:fill="auto"/>
            <w:noWrap/>
            <w:vAlign w:val="bottom"/>
            <w:hideMark/>
          </w:tcPr>
          <w:p w14:paraId="41513F59"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17,083</w:t>
            </w:r>
          </w:p>
        </w:tc>
        <w:tc>
          <w:tcPr>
            <w:tcW w:w="1471" w:type="dxa"/>
            <w:shd w:val="clear" w:color="auto" w:fill="auto"/>
            <w:noWrap/>
            <w:vAlign w:val="bottom"/>
            <w:hideMark/>
          </w:tcPr>
          <w:p w14:paraId="64F8223B"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18,805</w:t>
            </w:r>
          </w:p>
        </w:tc>
        <w:tc>
          <w:tcPr>
            <w:tcW w:w="1307" w:type="dxa"/>
            <w:shd w:val="clear" w:color="auto" w:fill="auto"/>
            <w:noWrap/>
            <w:vAlign w:val="bottom"/>
            <w:hideMark/>
          </w:tcPr>
          <w:p w14:paraId="1E4616AA"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18,666</w:t>
            </w:r>
          </w:p>
        </w:tc>
      </w:tr>
      <w:tr w:rsidR="00E848B3" w:rsidRPr="00E848B3" w14:paraId="7FF415FD" w14:textId="77777777" w:rsidTr="001D0C0D">
        <w:trPr>
          <w:trHeight w:val="268"/>
          <w:jc w:val="center"/>
        </w:trPr>
        <w:tc>
          <w:tcPr>
            <w:tcW w:w="4577" w:type="dxa"/>
            <w:shd w:val="clear" w:color="auto" w:fill="auto"/>
            <w:noWrap/>
            <w:vAlign w:val="bottom"/>
            <w:hideMark/>
          </w:tcPr>
          <w:p w14:paraId="122EF438"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Serviços</w:t>
            </w:r>
          </w:p>
        </w:tc>
        <w:tc>
          <w:tcPr>
            <w:tcW w:w="1471" w:type="dxa"/>
            <w:shd w:val="clear" w:color="auto" w:fill="auto"/>
            <w:noWrap/>
            <w:vAlign w:val="bottom"/>
            <w:hideMark/>
          </w:tcPr>
          <w:p w14:paraId="2E5BC2CB"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27,230</w:t>
            </w:r>
          </w:p>
        </w:tc>
        <w:tc>
          <w:tcPr>
            <w:tcW w:w="1471" w:type="dxa"/>
            <w:shd w:val="clear" w:color="auto" w:fill="auto"/>
            <w:noWrap/>
            <w:vAlign w:val="bottom"/>
            <w:hideMark/>
          </w:tcPr>
          <w:p w14:paraId="114CA3F1"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31,614</w:t>
            </w:r>
          </w:p>
        </w:tc>
        <w:tc>
          <w:tcPr>
            <w:tcW w:w="1307" w:type="dxa"/>
            <w:shd w:val="clear" w:color="auto" w:fill="auto"/>
            <w:noWrap/>
            <w:vAlign w:val="bottom"/>
            <w:hideMark/>
          </w:tcPr>
          <w:p w14:paraId="4439FEE3"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33,760</w:t>
            </w:r>
          </w:p>
        </w:tc>
      </w:tr>
      <w:tr w:rsidR="00E848B3" w:rsidRPr="00E848B3" w14:paraId="170F3E4A" w14:textId="77777777" w:rsidTr="001D0C0D">
        <w:trPr>
          <w:trHeight w:val="268"/>
          <w:jc w:val="center"/>
        </w:trPr>
        <w:tc>
          <w:tcPr>
            <w:tcW w:w="4577" w:type="dxa"/>
            <w:shd w:val="clear" w:color="auto" w:fill="auto"/>
            <w:noWrap/>
            <w:vAlign w:val="bottom"/>
            <w:hideMark/>
          </w:tcPr>
          <w:p w14:paraId="51FC8EB5"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Administração Pública</w:t>
            </w:r>
          </w:p>
        </w:tc>
        <w:tc>
          <w:tcPr>
            <w:tcW w:w="1471" w:type="dxa"/>
            <w:shd w:val="clear" w:color="auto" w:fill="auto"/>
            <w:noWrap/>
            <w:vAlign w:val="bottom"/>
            <w:hideMark/>
          </w:tcPr>
          <w:p w14:paraId="60FBA313"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31,059</w:t>
            </w:r>
          </w:p>
        </w:tc>
        <w:tc>
          <w:tcPr>
            <w:tcW w:w="1471" w:type="dxa"/>
            <w:shd w:val="clear" w:color="auto" w:fill="auto"/>
            <w:noWrap/>
            <w:vAlign w:val="bottom"/>
            <w:hideMark/>
          </w:tcPr>
          <w:p w14:paraId="30ABEA44"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28,230</w:t>
            </w:r>
          </w:p>
        </w:tc>
        <w:tc>
          <w:tcPr>
            <w:tcW w:w="1307" w:type="dxa"/>
            <w:shd w:val="clear" w:color="auto" w:fill="auto"/>
            <w:noWrap/>
            <w:vAlign w:val="bottom"/>
            <w:hideMark/>
          </w:tcPr>
          <w:p w14:paraId="4E470ECA"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27,512</w:t>
            </w:r>
          </w:p>
        </w:tc>
      </w:tr>
      <w:tr w:rsidR="00E848B3" w:rsidRPr="00E848B3" w14:paraId="3F99B674" w14:textId="77777777" w:rsidTr="001D0C0D">
        <w:trPr>
          <w:trHeight w:val="268"/>
          <w:jc w:val="center"/>
        </w:trPr>
        <w:tc>
          <w:tcPr>
            <w:tcW w:w="4577" w:type="dxa"/>
            <w:shd w:val="clear" w:color="auto" w:fill="auto"/>
            <w:noWrap/>
            <w:vAlign w:val="bottom"/>
            <w:hideMark/>
          </w:tcPr>
          <w:p w14:paraId="3ED56DBB"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Agropecuária, extração vegetal, caça e pesca</w:t>
            </w:r>
          </w:p>
        </w:tc>
        <w:tc>
          <w:tcPr>
            <w:tcW w:w="1471" w:type="dxa"/>
            <w:shd w:val="clear" w:color="auto" w:fill="auto"/>
            <w:noWrap/>
            <w:vAlign w:val="bottom"/>
            <w:hideMark/>
          </w:tcPr>
          <w:p w14:paraId="1CDF7867"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2,954</w:t>
            </w:r>
          </w:p>
        </w:tc>
        <w:tc>
          <w:tcPr>
            <w:tcW w:w="1471" w:type="dxa"/>
            <w:shd w:val="clear" w:color="auto" w:fill="auto"/>
            <w:noWrap/>
            <w:vAlign w:val="bottom"/>
            <w:hideMark/>
          </w:tcPr>
          <w:p w14:paraId="441AB640"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2,723</w:t>
            </w:r>
          </w:p>
        </w:tc>
        <w:tc>
          <w:tcPr>
            <w:tcW w:w="1307" w:type="dxa"/>
            <w:shd w:val="clear" w:color="auto" w:fill="auto"/>
            <w:noWrap/>
            <w:vAlign w:val="bottom"/>
            <w:hideMark/>
          </w:tcPr>
          <w:p w14:paraId="4FCE7CE1" w14:textId="77777777" w:rsidR="00E848B3" w:rsidRPr="00E848B3" w:rsidRDefault="00E848B3" w:rsidP="00E848B3">
            <w:pPr>
              <w:spacing w:after="0" w:line="240" w:lineRule="auto"/>
              <w:jc w:val="center"/>
              <w:rPr>
                <w:rFonts w:ascii="Times New Roman" w:eastAsia="Times New Roman" w:hAnsi="Times New Roman" w:cs="Times New Roman"/>
                <w:color w:val="000000"/>
                <w:sz w:val="20"/>
                <w:szCs w:val="20"/>
                <w:lang w:eastAsia="pt-BR"/>
              </w:rPr>
            </w:pPr>
            <w:r w:rsidRPr="00E848B3">
              <w:rPr>
                <w:rFonts w:ascii="Times New Roman" w:eastAsia="Times New Roman" w:hAnsi="Times New Roman" w:cs="Times New Roman"/>
                <w:color w:val="000000"/>
                <w:sz w:val="20"/>
                <w:szCs w:val="20"/>
                <w:lang w:eastAsia="pt-BR"/>
              </w:rPr>
              <w:t>2,910</w:t>
            </w:r>
          </w:p>
        </w:tc>
      </w:tr>
    </w:tbl>
    <w:p w14:paraId="06F95D81" w14:textId="77777777" w:rsidR="00E848B3" w:rsidRPr="00E848B3" w:rsidRDefault="00E848B3" w:rsidP="00E848B3">
      <w:pPr>
        <w:spacing w:line="360" w:lineRule="auto"/>
        <w:jc w:val="center"/>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2784DDC7" w14:textId="77777777" w:rsidR="00E848B3" w:rsidRPr="00E848B3" w:rsidRDefault="00E848B3" w:rsidP="00E848B3">
      <w:pPr>
        <w:spacing w:after="0"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Como nota-se na Tabela 2, os dois setores mais absorsores de mão de obra são administração pública e serviços. Com relação a administração pública, a mesma detinha em 2010 participação majoritária, mas ao longo dos anos foi perdendo participação, chegando em 2020, a ocupar a segunda posição no ranking dos estados nordestinos que mais concentram mão de obra. Concernente ao setor de serviços, observou-se o contrário, haja vista que em 2010, o mesmo ocupava a segunda posição no ranking, porém ao longo dos anos ganhou participação, chegando em 2010 a alcançar o maior contingente de mão de obra do Nordeste. De acordo com Leão (2019) nos últimos 15 anos, observaram-se alterações no processo produtivo e no mercado de trabalho do Nordeste, entre essas transformações tem-se o progresso do setor de serviços, com ênfase na saúde e educação.</w:t>
      </w:r>
    </w:p>
    <w:p w14:paraId="2F3CF2D0" w14:textId="77777777" w:rsidR="00E848B3" w:rsidRPr="00E848B3" w:rsidRDefault="00E848B3" w:rsidP="00E848B3">
      <w:pPr>
        <w:spacing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No tocante as menores proporções, estas se verificam no setor extrativo mineral com participações a 0,4% e nos serviços industriais de utilidade pública englobando aproximadamente 1% da mão de obra formal do Nordeste.</w:t>
      </w:r>
    </w:p>
    <w:p w14:paraId="503BCF08" w14:textId="77777777" w:rsidR="00E848B3" w:rsidRPr="00E848B3" w:rsidRDefault="00E848B3" w:rsidP="00E848B3">
      <w:pPr>
        <w:spacing w:after="0" w:line="360" w:lineRule="auto"/>
        <w:jc w:val="both"/>
        <w:rPr>
          <w:rFonts w:ascii="Times New Roman" w:eastAsia="Calibri" w:hAnsi="Times New Roman" w:cs="Times New Roman"/>
          <w:b/>
          <w:bCs/>
          <w:sz w:val="24"/>
        </w:rPr>
      </w:pPr>
      <w:r w:rsidRPr="00E848B3">
        <w:rPr>
          <w:rFonts w:ascii="Times New Roman" w:eastAsia="Calibri" w:hAnsi="Times New Roman" w:cs="Times New Roman"/>
          <w:b/>
          <w:bCs/>
          <w:sz w:val="24"/>
        </w:rPr>
        <w:t>4.2 Quociente Locacional</w:t>
      </w:r>
    </w:p>
    <w:p w14:paraId="21824BF6" w14:textId="676F6DBF" w:rsidR="00E848B3" w:rsidRDefault="00E848B3" w:rsidP="00E848B3">
      <w:pPr>
        <w:spacing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Sendo o uso de indicadores regionais de suma importância para se conhecer certas particularidades das localidades, a Tabela 3 apresenta os resultados do Quociente Locacional (QL) para o ano de 2010, como forma de mostrar como os setores produtivos dos estados em análise se destacam quando comparado com a estrutura produtiva da região.</w:t>
      </w:r>
    </w:p>
    <w:p w14:paraId="38D21A9E" w14:textId="6F53FE41" w:rsidR="003B2E49" w:rsidRDefault="003B2E49" w:rsidP="00E848B3">
      <w:pPr>
        <w:spacing w:line="360" w:lineRule="auto"/>
        <w:jc w:val="both"/>
        <w:rPr>
          <w:rFonts w:ascii="Times New Roman" w:eastAsia="Calibri" w:hAnsi="Times New Roman" w:cs="Times New Roman"/>
          <w:sz w:val="24"/>
        </w:rPr>
      </w:pPr>
    </w:p>
    <w:p w14:paraId="044E022C" w14:textId="77777777" w:rsidR="003B2E49" w:rsidRPr="00E848B3" w:rsidRDefault="003B2E49" w:rsidP="00E848B3">
      <w:pPr>
        <w:spacing w:line="360" w:lineRule="auto"/>
        <w:jc w:val="both"/>
        <w:rPr>
          <w:rFonts w:ascii="Times New Roman" w:eastAsia="Calibri" w:hAnsi="Times New Roman" w:cs="Times New Roman"/>
          <w:sz w:val="24"/>
        </w:rPr>
      </w:pPr>
    </w:p>
    <w:p w14:paraId="1EA8DEFB" w14:textId="77777777" w:rsidR="00E848B3" w:rsidRPr="00E848B3" w:rsidRDefault="00E848B3" w:rsidP="00E848B3">
      <w:pPr>
        <w:spacing w:after="0" w:line="360" w:lineRule="auto"/>
        <w:jc w:val="center"/>
        <w:rPr>
          <w:rFonts w:ascii="Times New Roman" w:eastAsia="Calibri" w:hAnsi="Times New Roman" w:cs="Times New Roman"/>
          <w:sz w:val="24"/>
        </w:rPr>
      </w:pPr>
      <w:r w:rsidRPr="00E848B3">
        <w:rPr>
          <w:rFonts w:ascii="Times New Roman" w:eastAsia="Calibri" w:hAnsi="Times New Roman" w:cs="Times New Roman"/>
          <w:b/>
          <w:bCs/>
          <w:sz w:val="24"/>
        </w:rPr>
        <w:lastRenderedPageBreak/>
        <w:t>Tabela 3 –</w:t>
      </w:r>
      <w:r w:rsidRPr="00E848B3">
        <w:rPr>
          <w:rFonts w:ascii="Times New Roman" w:eastAsia="Calibri" w:hAnsi="Times New Roman" w:cs="Times New Roman"/>
          <w:sz w:val="24"/>
        </w:rPr>
        <w:t xml:space="preserve"> Quociente Locacional (QL) por setores dos estados nordestinos, em 2010</w:t>
      </w:r>
    </w:p>
    <w:tbl>
      <w:tblPr>
        <w:tblStyle w:val="Tabelacomgrade"/>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835"/>
        <w:gridCol w:w="692"/>
        <w:gridCol w:w="693"/>
        <w:gridCol w:w="693"/>
        <w:gridCol w:w="693"/>
        <w:gridCol w:w="693"/>
        <w:gridCol w:w="693"/>
        <w:gridCol w:w="693"/>
        <w:gridCol w:w="693"/>
        <w:gridCol w:w="693"/>
      </w:tblGrid>
      <w:tr w:rsidR="00E848B3" w:rsidRPr="00E848B3" w14:paraId="49F5E707" w14:textId="77777777" w:rsidTr="00E848B3">
        <w:trPr>
          <w:trHeight w:val="300"/>
          <w:jc w:val="center"/>
        </w:trPr>
        <w:tc>
          <w:tcPr>
            <w:tcW w:w="2835" w:type="dxa"/>
            <w:tcBorders>
              <w:top w:val="single" w:sz="4" w:space="0" w:color="auto"/>
              <w:bottom w:val="single" w:sz="4" w:space="0" w:color="auto"/>
            </w:tcBorders>
            <w:shd w:val="clear" w:color="auto" w:fill="D9D9D9"/>
            <w:noWrap/>
            <w:hideMark/>
          </w:tcPr>
          <w:p w14:paraId="4F7F090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Setor</w:t>
            </w:r>
          </w:p>
        </w:tc>
        <w:tc>
          <w:tcPr>
            <w:tcW w:w="692" w:type="dxa"/>
            <w:tcBorders>
              <w:top w:val="single" w:sz="4" w:space="0" w:color="auto"/>
              <w:bottom w:val="single" w:sz="4" w:space="0" w:color="auto"/>
            </w:tcBorders>
            <w:shd w:val="clear" w:color="auto" w:fill="D9D9D9"/>
            <w:noWrap/>
            <w:hideMark/>
          </w:tcPr>
          <w:p w14:paraId="5789C36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AL</w:t>
            </w:r>
          </w:p>
        </w:tc>
        <w:tc>
          <w:tcPr>
            <w:tcW w:w="693" w:type="dxa"/>
            <w:tcBorders>
              <w:top w:val="single" w:sz="4" w:space="0" w:color="auto"/>
              <w:bottom w:val="single" w:sz="4" w:space="0" w:color="auto"/>
            </w:tcBorders>
            <w:shd w:val="clear" w:color="auto" w:fill="D9D9D9"/>
            <w:noWrap/>
            <w:hideMark/>
          </w:tcPr>
          <w:p w14:paraId="5B1953C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BA</w:t>
            </w:r>
          </w:p>
        </w:tc>
        <w:tc>
          <w:tcPr>
            <w:tcW w:w="693" w:type="dxa"/>
            <w:tcBorders>
              <w:top w:val="single" w:sz="4" w:space="0" w:color="auto"/>
              <w:bottom w:val="single" w:sz="4" w:space="0" w:color="auto"/>
            </w:tcBorders>
            <w:shd w:val="clear" w:color="auto" w:fill="D9D9D9"/>
            <w:noWrap/>
            <w:hideMark/>
          </w:tcPr>
          <w:p w14:paraId="75AFD69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CE</w:t>
            </w:r>
          </w:p>
        </w:tc>
        <w:tc>
          <w:tcPr>
            <w:tcW w:w="693" w:type="dxa"/>
            <w:tcBorders>
              <w:top w:val="single" w:sz="4" w:space="0" w:color="auto"/>
              <w:bottom w:val="single" w:sz="4" w:space="0" w:color="auto"/>
            </w:tcBorders>
            <w:shd w:val="clear" w:color="auto" w:fill="D9D9D9"/>
            <w:noWrap/>
            <w:hideMark/>
          </w:tcPr>
          <w:p w14:paraId="75C7CB1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MA</w:t>
            </w:r>
          </w:p>
        </w:tc>
        <w:tc>
          <w:tcPr>
            <w:tcW w:w="693" w:type="dxa"/>
            <w:tcBorders>
              <w:top w:val="single" w:sz="4" w:space="0" w:color="auto"/>
              <w:bottom w:val="single" w:sz="4" w:space="0" w:color="auto"/>
            </w:tcBorders>
            <w:shd w:val="clear" w:color="auto" w:fill="D9D9D9"/>
            <w:noWrap/>
            <w:hideMark/>
          </w:tcPr>
          <w:p w14:paraId="0CC6738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PB</w:t>
            </w:r>
          </w:p>
        </w:tc>
        <w:tc>
          <w:tcPr>
            <w:tcW w:w="693" w:type="dxa"/>
            <w:tcBorders>
              <w:top w:val="single" w:sz="4" w:space="0" w:color="auto"/>
              <w:bottom w:val="single" w:sz="4" w:space="0" w:color="auto"/>
            </w:tcBorders>
            <w:shd w:val="clear" w:color="auto" w:fill="D9D9D9"/>
            <w:noWrap/>
            <w:hideMark/>
          </w:tcPr>
          <w:p w14:paraId="344B54A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PE</w:t>
            </w:r>
          </w:p>
        </w:tc>
        <w:tc>
          <w:tcPr>
            <w:tcW w:w="693" w:type="dxa"/>
            <w:tcBorders>
              <w:top w:val="single" w:sz="4" w:space="0" w:color="auto"/>
              <w:bottom w:val="single" w:sz="4" w:space="0" w:color="auto"/>
            </w:tcBorders>
            <w:shd w:val="clear" w:color="auto" w:fill="D9D9D9"/>
            <w:noWrap/>
            <w:hideMark/>
          </w:tcPr>
          <w:p w14:paraId="48FBEE4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PI</w:t>
            </w:r>
          </w:p>
        </w:tc>
        <w:tc>
          <w:tcPr>
            <w:tcW w:w="693" w:type="dxa"/>
            <w:tcBorders>
              <w:top w:val="single" w:sz="4" w:space="0" w:color="auto"/>
              <w:bottom w:val="single" w:sz="4" w:space="0" w:color="auto"/>
            </w:tcBorders>
            <w:shd w:val="clear" w:color="auto" w:fill="D9D9D9"/>
            <w:noWrap/>
            <w:hideMark/>
          </w:tcPr>
          <w:p w14:paraId="03F1D31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RN</w:t>
            </w:r>
          </w:p>
        </w:tc>
        <w:tc>
          <w:tcPr>
            <w:tcW w:w="693" w:type="dxa"/>
            <w:tcBorders>
              <w:top w:val="single" w:sz="4" w:space="0" w:color="auto"/>
              <w:bottom w:val="single" w:sz="4" w:space="0" w:color="auto"/>
            </w:tcBorders>
            <w:shd w:val="clear" w:color="auto" w:fill="D9D9D9"/>
            <w:noWrap/>
            <w:hideMark/>
          </w:tcPr>
          <w:p w14:paraId="6F3B1DD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w:t>
            </w:r>
          </w:p>
        </w:tc>
      </w:tr>
      <w:tr w:rsidR="00E848B3" w:rsidRPr="00E848B3" w14:paraId="0FDF6E4B" w14:textId="77777777" w:rsidTr="001D0C0D">
        <w:trPr>
          <w:trHeight w:val="300"/>
          <w:jc w:val="center"/>
        </w:trPr>
        <w:tc>
          <w:tcPr>
            <w:tcW w:w="2835" w:type="dxa"/>
            <w:tcBorders>
              <w:top w:val="single" w:sz="4" w:space="0" w:color="auto"/>
            </w:tcBorders>
            <w:noWrap/>
            <w:hideMark/>
          </w:tcPr>
          <w:p w14:paraId="79ACCA7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Extrativa mineral</w:t>
            </w:r>
          </w:p>
        </w:tc>
        <w:tc>
          <w:tcPr>
            <w:tcW w:w="692" w:type="dxa"/>
            <w:tcBorders>
              <w:top w:val="single" w:sz="4" w:space="0" w:color="auto"/>
            </w:tcBorders>
            <w:noWrap/>
            <w:hideMark/>
          </w:tcPr>
          <w:p w14:paraId="74E0FA2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0,374</w:t>
            </w:r>
          </w:p>
        </w:tc>
        <w:tc>
          <w:tcPr>
            <w:tcW w:w="693" w:type="dxa"/>
            <w:tcBorders>
              <w:top w:val="single" w:sz="4" w:space="0" w:color="auto"/>
            </w:tcBorders>
            <w:noWrap/>
            <w:hideMark/>
          </w:tcPr>
          <w:p w14:paraId="75EA3F06"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1,360</w:t>
            </w:r>
          </w:p>
        </w:tc>
        <w:tc>
          <w:tcPr>
            <w:tcW w:w="693" w:type="dxa"/>
            <w:tcBorders>
              <w:top w:val="single" w:sz="4" w:space="0" w:color="auto"/>
            </w:tcBorders>
            <w:noWrap/>
            <w:hideMark/>
          </w:tcPr>
          <w:p w14:paraId="3680CFA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0,451</w:t>
            </w:r>
          </w:p>
        </w:tc>
        <w:tc>
          <w:tcPr>
            <w:tcW w:w="693" w:type="dxa"/>
            <w:tcBorders>
              <w:top w:val="single" w:sz="4" w:space="0" w:color="auto"/>
            </w:tcBorders>
            <w:noWrap/>
            <w:hideMark/>
          </w:tcPr>
          <w:p w14:paraId="06ABFB7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0,583</w:t>
            </w:r>
          </w:p>
        </w:tc>
        <w:tc>
          <w:tcPr>
            <w:tcW w:w="693" w:type="dxa"/>
            <w:tcBorders>
              <w:top w:val="single" w:sz="4" w:space="0" w:color="auto"/>
            </w:tcBorders>
            <w:noWrap/>
            <w:hideMark/>
          </w:tcPr>
          <w:p w14:paraId="0EDBA38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0,489</w:t>
            </w:r>
          </w:p>
        </w:tc>
        <w:tc>
          <w:tcPr>
            <w:tcW w:w="693" w:type="dxa"/>
            <w:tcBorders>
              <w:top w:val="single" w:sz="4" w:space="0" w:color="auto"/>
            </w:tcBorders>
            <w:noWrap/>
            <w:hideMark/>
          </w:tcPr>
          <w:p w14:paraId="1B1C757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0,342</w:t>
            </w:r>
          </w:p>
        </w:tc>
        <w:tc>
          <w:tcPr>
            <w:tcW w:w="693" w:type="dxa"/>
            <w:tcBorders>
              <w:top w:val="single" w:sz="4" w:space="0" w:color="auto"/>
            </w:tcBorders>
            <w:noWrap/>
            <w:hideMark/>
          </w:tcPr>
          <w:p w14:paraId="2DD220E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0,398</w:t>
            </w:r>
          </w:p>
        </w:tc>
        <w:tc>
          <w:tcPr>
            <w:tcW w:w="693" w:type="dxa"/>
            <w:tcBorders>
              <w:top w:val="single" w:sz="4" w:space="0" w:color="auto"/>
            </w:tcBorders>
            <w:noWrap/>
            <w:hideMark/>
          </w:tcPr>
          <w:p w14:paraId="7145283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3,411</w:t>
            </w:r>
          </w:p>
        </w:tc>
        <w:tc>
          <w:tcPr>
            <w:tcW w:w="693" w:type="dxa"/>
            <w:tcBorders>
              <w:top w:val="single" w:sz="4" w:space="0" w:color="auto"/>
            </w:tcBorders>
            <w:noWrap/>
            <w:hideMark/>
          </w:tcPr>
          <w:p w14:paraId="0525A2B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2,803</w:t>
            </w:r>
          </w:p>
        </w:tc>
      </w:tr>
      <w:tr w:rsidR="00E848B3" w:rsidRPr="00E848B3" w14:paraId="2E7892BF" w14:textId="77777777" w:rsidTr="001D0C0D">
        <w:trPr>
          <w:trHeight w:val="300"/>
          <w:jc w:val="center"/>
        </w:trPr>
        <w:tc>
          <w:tcPr>
            <w:tcW w:w="2835" w:type="dxa"/>
            <w:noWrap/>
            <w:hideMark/>
          </w:tcPr>
          <w:p w14:paraId="0996EEB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Indústria de transformação</w:t>
            </w:r>
          </w:p>
        </w:tc>
        <w:tc>
          <w:tcPr>
            <w:tcW w:w="692" w:type="dxa"/>
            <w:noWrap/>
            <w:hideMark/>
          </w:tcPr>
          <w:p w14:paraId="7E51AB0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1,698</w:t>
            </w:r>
          </w:p>
        </w:tc>
        <w:tc>
          <w:tcPr>
            <w:tcW w:w="693" w:type="dxa"/>
            <w:noWrap/>
            <w:hideMark/>
          </w:tcPr>
          <w:p w14:paraId="1E1B8B6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0,799</w:t>
            </w:r>
          </w:p>
        </w:tc>
        <w:tc>
          <w:tcPr>
            <w:tcW w:w="693" w:type="dxa"/>
            <w:noWrap/>
            <w:hideMark/>
          </w:tcPr>
          <w:p w14:paraId="21C0CAE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1,443</w:t>
            </w:r>
          </w:p>
        </w:tc>
        <w:tc>
          <w:tcPr>
            <w:tcW w:w="693" w:type="dxa"/>
            <w:noWrap/>
            <w:hideMark/>
          </w:tcPr>
          <w:p w14:paraId="7C351F3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0,430</w:t>
            </w:r>
          </w:p>
        </w:tc>
        <w:tc>
          <w:tcPr>
            <w:tcW w:w="693" w:type="dxa"/>
            <w:noWrap/>
            <w:hideMark/>
          </w:tcPr>
          <w:p w14:paraId="1CFB614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0,984</w:t>
            </w:r>
          </w:p>
        </w:tc>
        <w:tc>
          <w:tcPr>
            <w:tcW w:w="693" w:type="dxa"/>
            <w:noWrap/>
            <w:hideMark/>
          </w:tcPr>
          <w:p w14:paraId="72CF30E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1,076</w:t>
            </w:r>
          </w:p>
        </w:tc>
        <w:tc>
          <w:tcPr>
            <w:tcW w:w="693" w:type="dxa"/>
            <w:noWrap/>
            <w:hideMark/>
          </w:tcPr>
          <w:p w14:paraId="1194583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0,548</w:t>
            </w:r>
          </w:p>
        </w:tc>
        <w:tc>
          <w:tcPr>
            <w:tcW w:w="693" w:type="dxa"/>
            <w:noWrap/>
            <w:hideMark/>
          </w:tcPr>
          <w:p w14:paraId="03096D0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0,990</w:t>
            </w:r>
          </w:p>
        </w:tc>
        <w:tc>
          <w:tcPr>
            <w:tcW w:w="693" w:type="dxa"/>
            <w:noWrap/>
            <w:hideMark/>
          </w:tcPr>
          <w:p w14:paraId="1BA89C1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0,854</w:t>
            </w:r>
          </w:p>
        </w:tc>
      </w:tr>
      <w:tr w:rsidR="00E848B3" w:rsidRPr="00E848B3" w14:paraId="3FBAB0CA" w14:textId="77777777" w:rsidTr="001D0C0D">
        <w:trPr>
          <w:trHeight w:val="300"/>
          <w:jc w:val="center"/>
        </w:trPr>
        <w:tc>
          <w:tcPr>
            <w:tcW w:w="2835" w:type="dxa"/>
            <w:noWrap/>
            <w:hideMark/>
          </w:tcPr>
          <w:p w14:paraId="62A26DF2" w14:textId="77777777" w:rsidR="00E848B3" w:rsidRPr="00E848B3" w:rsidRDefault="00E848B3" w:rsidP="00E848B3">
            <w:pPr>
              <w:spacing w:after="0" w:line="240" w:lineRule="auto"/>
              <w:rPr>
                <w:rFonts w:ascii="Times New Roman" w:eastAsia="Calibri" w:hAnsi="Times New Roman" w:cs="Times New Roman"/>
                <w:sz w:val="20"/>
                <w:szCs w:val="20"/>
              </w:rPr>
            </w:pPr>
            <w:proofErr w:type="spellStart"/>
            <w:r w:rsidRPr="00E848B3">
              <w:rPr>
                <w:rFonts w:ascii="Times New Roman" w:eastAsia="Calibri" w:hAnsi="Times New Roman" w:cs="Times New Roman"/>
                <w:sz w:val="20"/>
                <w:szCs w:val="20"/>
              </w:rPr>
              <w:t>Servicos</w:t>
            </w:r>
            <w:proofErr w:type="spellEnd"/>
            <w:r w:rsidRPr="00E848B3">
              <w:rPr>
                <w:rFonts w:ascii="Times New Roman" w:eastAsia="Calibri" w:hAnsi="Times New Roman" w:cs="Times New Roman"/>
                <w:sz w:val="20"/>
                <w:szCs w:val="20"/>
              </w:rPr>
              <w:t xml:space="preserve"> industriais de utilidade pública</w:t>
            </w:r>
          </w:p>
        </w:tc>
        <w:tc>
          <w:tcPr>
            <w:tcW w:w="692" w:type="dxa"/>
            <w:noWrap/>
            <w:hideMark/>
          </w:tcPr>
          <w:p w14:paraId="0C60BE7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1,004</w:t>
            </w:r>
          </w:p>
        </w:tc>
        <w:tc>
          <w:tcPr>
            <w:tcW w:w="693" w:type="dxa"/>
            <w:noWrap/>
            <w:hideMark/>
          </w:tcPr>
          <w:p w14:paraId="7677EE7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0,879</w:t>
            </w:r>
          </w:p>
        </w:tc>
        <w:tc>
          <w:tcPr>
            <w:tcW w:w="693" w:type="dxa"/>
            <w:noWrap/>
            <w:hideMark/>
          </w:tcPr>
          <w:p w14:paraId="7204222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0,555</w:t>
            </w:r>
          </w:p>
        </w:tc>
        <w:tc>
          <w:tcPr>
            <w:tcW w:w="693" w:type="dxa"/>
            <w:noWrap/>
            <w:hideMark/>
          </w:tcPr>
          <w:p w14:paraId="239EDA42"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1,029</w:t>
            </w:r>
          </w:p>
        </w:tc>
        <w:tc>
          <w:tcPr>
            <w:tcW w:w="693" w:type="dxa"/>
            <w:noWrap/>
            <w:hideMark/>
          </w:tcPr>
          <w:p w14:paraId="2027D05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1,360</w:t>
            </w:r>
          </w:p>
        </w:tc>
        <w:tc>
          <w:tcPr>
            <w:tcW w:w="693" w:type="dxa"/>
            <w:noWrap/>
            <w:hideMark/>
          </w:tcPr>
          <w:p w14:paraId="3270ACE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1,126</w:t>
            </w:r>
          </w:p>
        </w:tc>
        <w:tc>
          <w:tcPr>
            <w:tcW w:w="693" w:type="dxa"/>
            <w:noWrap/>
            <w:hideMark/>
          </w:tcPr>
          <w:p w14:paraId="27A66AE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1,309</w:t>
            </w:r>
          </w:p>
        </w:tc>
        <w:tc>
          <w:tcPr>
            <w:tcW w:w="693" w:type="dxa"/>
            <w:noWrap/>
            <w:hideMark/>
          </w:tcPr>
          <w:p w14:paraId="365F9D8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1,100</w:t>
            </w:r>
          </w:p>
        </w:tc>
        <w:tc>
          <w:tcPr>
            <w:tcW w:w="693" w:type="dxa"/>
            <w:noWrap/>
            <w:hideMark/>
          </w:tcPr>
          <w:p w14:paraId="0D2AD85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1,688</w:t>
            </w:r>
          </w:p>
        </w:tc>
      </w:tr>
      <w:tr w:rsidR="00E848B3" w:rsidRPr="00E848B3" w14:paraId="62950778" w14:textId="77777777" w:rsidTr="001D0C0D">
        <w:trPr>
          <w:trHeight w:val="300"/>
          <w:jc w:val="center"/>
        </w:trPr>
        <w:tc>
          <w:tcPr>
            <w:tcW w:w="2835" w:type="dxa"/>
            <w:noWrap/>
            <w:hideMark/>
          </w:tcPr>
          <w:p w14:paraId="781D02C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Construção Civil</w:t>
            </w:r>
          </w:p>
        </w:tc>
        <w:tc>
          <w:tcPr>
            <w:tcW w:w="692" w:type="dxa"/>
            <w:noWrap/>
            <w:hideMark/>
          </w:tcPr>
          <w:p w14:paraId="0C00A4D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0,835</w:t>
            </w:r>
          </w:p>
        </w:tc>
        <w:tc>
          <w:tcPr>
            <w:tcW w:w="693" w:type="dxa"/>
            <w:noWrap/>
            <w:hideMark/>
          </w:tcPr>
          <w:p w14:paraId="0FC0EBC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1,008</w:t>
            </w:r>
          </w:p>
        </w:tc>
        <w:tc>
          <w:tcPr>
            <w:tcW w:w="693" w:type="dxa"/>
            <w:noWrap/>
            <w:hideMark/>
          </w:tcPr>
          <w:p w14:paraId="77220E0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0,805</w:t>
            </w:r>
          </w:p>
        </w:tc>
        <w:tc>
          <w:tcPr>
            <w:tcW w:w="693" w:type="dxa"/>
            <w:noWrap/>
            <w:hideMark/>
          </w:tcPr>
          <w:p w14:paraId="708203F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1,318</w:t>
            </w:r>
          </w:p>
        </w:tc>
        <w:tc>
          <w:tcPr>
            <w:tcW w:w="693" w:type="dxa"/>
            <w:noWrap/>
            <w:hideMark/>
          </w:tcPr>
          <w:p w14:paraId="46DF866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0,772</w:t>
            </w:r>
          </w:p>
        </w:tc>
        <w:tc>
          <w:tcPr>
            <w:tcW w:w="693" w:type="dxa"/>
            <w:noWrap/>
            <w:hideMark/>
          </w:tcPr>
          <w:p w14:paraId="08331B1F"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1,124</w:t>
            </w:r>
          </w:p>
        </w:tc>
        <w:tc>
          <w:tcPr>
            <w:tcW w:w="693" w:type="dxa"/>
            <w:noWrap/>
            <w:hideMark/>
          </w:tcPr>
          <w:p w14:paraId="2BA42C9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1,152</w:t>
            </w:r>
          </w:p>
        </w:tc>
        <w:tc>
          <w:tcPr>
            <w:tcW w:w="693" w:type="dxa"/>
            <w:noWrap/>
            <w:hideMark/>
          </w:tcPr>
          <w:p w14:paraId="545026E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0,941</w:t>
            </w:r>
          </w:p>
        </w:tc>
        <w:tc>
          <w:tcPr>
            <w:tcW w:w="693" w:type="dxa"/>
            <w:noWrap/>
            <w:hideMark/>
          </w:tcPr>
          <w:p w14:paraId="21F22C2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1,092</w:t>
            </w:r>
          </w:p>
        </w:tc>
      </w:tr>
      <w:tr w:rsidR="00E848B3" w:rsidRPr="00E848B3" w14:paraId="67CDC475" w14:textId="77777777" w:rsidTr="001D0C0D">
        <w:trPr>
          <w:trHeight w:val="300"/>
          <w:jc w:val="center"/>
        </w:trPr>
        <w:tc>
          <w:tcPr>
            <w:tcW w:w="2835" w:type="dxa"/>
            <w:noWrap/>
            <w:hideMark/>
          </w:tcPr>
          <w:p w14:paraId="0A4C79F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Comércio</w:t>
            </w:r>
          </w:p>
        </w:tc>
        <w:tc>
          <w:tcPr>
            <w:tcW w:w="692" w:type="dxa"/>
            <w:noWrap/>
            <w:hideMark/>
          </w:tcPr>
          <w:p w14:paraId="32F087E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0,911</w:t>
            </w:r>
          </w:p>
        </w:tc>
        <w:tc>
          <w:tcPr>
            <w:tcW w:w="693" w:type="dxa"/>
            <w:noWrap/>
            <w:hideMark/>
          </w:tcPr>
          <w:p w14:paraId="509A43BE"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1,062</w:t>
            </w:r>
          </w:p>
        </w:tc>
        <w:tc>
          <w:tcPr>
            <w:tcW w:w="693" w:type="dxa"/>
            <w:noWrap/>
            <w:hideMark/>
          </w:tcPr>
          <w:p w14:paraId="4925AAE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0,925</w:t>
            </w:r>
          </w:p>
        </w:tc>
        <w:tc>
          <w:tcPr>
            <w:tcW w:w="693" w:type="dxa"/>
            <w:noWrap/>
            <w:hideMark/>
          </w:tcPr>
          <w:p w14:paraId="451A932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1,089</w:t>
            </w:r>
          </w:p>
        </w:tc>
        <w:tc>
          <w:tcPr>
            <w:tcW w:w="693" w:type="dxa"/>
            <w:noWrap/>
            <w:hideMark/>
          </w:tcPr>
          <w:p w14:paraId="278BDED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0,848</w:t>
            </w:r>
          </w:p>
        </w:tc>
        <w:tc>
          <w:tcPr>
            <w:tcW w:w="693" w:type="dxa"/>
            <w:noWrap/>
            <w:hideMark/>
          </w:tcPr>
          <w:p w14:paraId="3BF197C1"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1,008</w:t>
            </w:r>
          </w:p>
        </w:tc>
        <w:tc>
          <w:tcPr>
            <w:tcW w:w="693" w:type="dxa"/>
            <w:noWrap/>
            <w:hideMark/>
          </w:tcPr>
          <w:p w14:paraId="3E57AE4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1,114</w:t>
            </w:r>
          </w:p>
        </w:tc>
        <w:tc>
          <w:tcPr>
            <w:tcW w:w="693" w:type="dxa"/>
            <w:noWrap/>
            <w:hideMark/>
          </w:tcPr>
          <w:p w14:paraId="44C62B4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1,041</w:t>
            </w:r>
          </w:p>
        </w:tc>
        <w:tc>
          <w:tcPr>
            <w:tcW w:w="693" w:type="dxa"/>
            <w:noWrap/>
            <w:hideMark/>
          </w:tcPr>
          <w:p w14:paraId="0177B0F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0,891</w:t>
            </w:r>
          </w:p>
        </w:tc>
      </w:tr>
      <w:tr w:rsidR="00E848B3" w:rsidRPr="00E848B3" w14:paraId="5E0A9E1C" w14:textId="77777777" w:rsidTr="001D0C0D">
        <w:trPr>
          <w:trHeight w:val="300"/>
          <w:jc w:val="center"/>
        </w:trPr>
        <w:tc>
          <w:tcPr>
            <w:tcW w:w="2835" w:type="dxa"/>
            <w:noWrap/>
            <w:hideMark/>
          </w:tcPr>
          <w:p w14:paraId="5BF6A19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Serviços</w:t>
            </w:r>
          </w:p>
        </w:tc>
        <w:tc>
          <w:tcPr>
            <w:tcW w:w="692" w:type="dxa"/>
            <w:noWrap/>
            <w:hideMark/>
          </w:tcPr>
          <w:p w14:paraId="1FA1B7B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0,791</w:t>
            </w:r>
          </w:p>
        </w:tc>
        <w:tc>
          <w:tcPr>
            <w:tcW w:w="693" w:type="dxa"/>
            <w:noWrap/>
            <w:hideMark/>
          </w:tcPr>
          <w:p w14:paraId="1A1167C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1,104</w:t>
            </w:r>
          </w:p>
        </w:tc>
        <w:tc>
          <w:tcPr>
            <w:tcW w:w="693" w:type="dxa"/>
            <w:noWrap/>
            <w:hideMark/>
          </w:tcPr>
          <w:p w14:paraId="28C73302"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1,022</w:t>
            </w:r>
          </w:p>
        </w:tc>
        <w:tc>
          <w:tcPr>
            <w:tcW w:w="693" w:type="dxa"/>
            <w:noWrap/>
            <w:hideMark/>
          </w:tcPr>
          <w:p w14:paraId="7CFC94E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0,817</w:t>
            </w:r>
          </w:p>
        </w:tc>
        <w:tc>
          <w:tcPr>
            <w:tcW w:w="693" w:type="dxa"/>
            <w:noWrap/>
            <w:hideMark/>
          </w:tcPr>
          <w:p w14:paraId="00E9AFE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0,755</w:t>
            </w:r>
          </w:p>
        </w:tc>
        <w:tc>
          <w:tcPr>
            <w:tcW w:w="693" w:type="dxa"/>
            <w:noWrap/>
            <w:hideMark/>
          </w:tcPr>
          <w:p w14:paraId="200DCAC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1,112</w:t>
            </w:r>
          </w:p>
        </w:tc>
        <w:tc>
          <w:tcPr>
            <w:tcW w:w="693" w:type="dxa"/>
            <w:noWrap/>
            <w:hideMark/>
          </w:tcPr>
          <w:p w14:paraId="4C28B49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0,919</w:t>
            </w:r>
          </w:p>
        </w:tc>
        <w:tc>
          <w:tcPr>
            <w:tcW w:w="693" w:type="dxa"/>
            <w:noWrap/>
            <w:hideMark/>
          </w:tcPr>
          <w:p w14:paraId="50A5061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0,936</w:t>
            </w:r>
          </w:p>
        </w:tc>
        <w:tc>
          <w:tcPr>
            <w:tcW w:w="693" w:type="dxa"/>
            <w:noWrap/>
            <w:hideMark/>
          </w:tcPr>
          <w:p w14:paraId="65E6B06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0,996</w:t>
            </w:r>
          </w:p>
        </w:tc>
      </w:tr>
      <w:tr w:rsidR="00E848B3" w:rsidRPr="00E848B3" w14:paraId="167AECF0" w14:textId="77777777" w:rsidTr="001D0C0D">
        <w:trPr>
          <w:trHeight w:val="300"/>
          <w:jc w:val="center"/>
        </w:trPr>
        <w:tc>
          <w:tcPr>
            <w:tcW w:w="2835" w:type="dxa"/>
            <w:noWrap/>
            <w:hideMark/>
          </w:tcPr>
          <w:p w14:paraId="58607C9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Administração Pública</w:t>
            </w:r>
          </w:p>
        </w:tc>
        <w:tc>
          <w:tcPr>
            <w:tcW w:w="692" w:type="dxa"/>
            <w:noWrap/>
            <w:hideMark/>
          </w:tcPr>
          <w:p w14:paraId="0897FC8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1,011</w:t>
            </w:r>
          </w:p>
        </w:tc>
        <w:tc>
          <w:tcPr>
            <w:tcW w:w="693" w:type="dxa"/>
            <w:noWrap/>
            <w:hideMark/>
          </w:tcPr>
          <w:p w14:paraId="49BF9AD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0,921</w:t>
            </w:r>
          </w:p>
        </w:tc>
        <w:tc>
          <w:tcPr>
            <w:tcW w:w="693" w:type="dxa"/>
            <w:noWrap/>
            <w:hideMark/>
          </w:tcPr>
          <w:p w14:paraId="56A2FA3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0,942</w:t>
            </w:r>
          </w:p>
        </w:tc>
        <w:tc>
          <w:tcPr>
            <w:tcW w:w="693" w:type="dxa"/>
            <w:noWrap/>
            <w:hideMark/>
          </w:tcPr>
          <w:p w14:paraId="4567372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1,290</w:t>
            </w:r>
          </w:p>
        </w:tc>
        <w:tc>
          <w:tcPr>
            <w:tcW w:w="693" w:type="dxa"/>
            <w:noWrap/>
            <w:hideMark/>
          </w:tcPr>
          <w:p w14:paraId="23BC8F9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1,370</w:t>
            </w:r>
          </w:p>
        </w:tc>
        <w:tc>
          <w:tcPr>
            <w:tcW w:w="693" w:type="dxa"/>
            <w:noWrap/>
            <w:hideMark/>
          </w:tcPr>
          <w:p w14:paraId="13DD705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0,830</w:t>
            </w:r>
          </w:p>
        </w:tc>
        <w:tc>
          <w:tcPr>
            <w:tcW w:w="693" w:type="dxa"/>
            <w:noWrap/>
            <w:hideMark/>
          </w:tcPr>
          <w:p w14:paraId="312AB2D0"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1,202</w:t>
            </w:r>
          </w:p>
        </w:tc>
        <w:tc>
          <w:tcPr>
            <w:tcW w:w="693" w:type="dxa"/>
            <w:noWrap/>
            <w:hideMark/>
          </w:tcPr>
          <w:p w14:paraId="4E1A91CE"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1,028</w:t>
            </w:r>
          </w:p>
        </w:tc>
        <w:tc>
          <w:tcPr>
            <w:tcW w:w="693" w:type="dxa"/>
            <w:noWrap/>
            <w:hideMark/>
          </w:tcPr>
          <w:p w14:paraId="6C58672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1,033</w:t>
            </w:r>
          </w:p>
        </w:tc>
      </w:tr>
      <w:tr w:rsidR="00E848B3" w:rsidRPr="00E848B3" w14:paraId="2992F304" w14:textId="77777777" w:rsidTr="001D0C0D">
        <w:trPr>
          <w:trHeight w:val="300"/>
          <w:jc w:val="center"/>
        </w:trPr>
        <w:tc>
          <w:tcPr>
            <w:tcW w:w="2835" w:type="dxa"/>
            <w:noWrap/>
            <w:hideMark/>
          </w:tcPr>
          <w:p w14:paraId="04E060A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Agropecuária, extração vegetal, caça e pesca</w:t>
            </w:r>
          </w:p>
        </w:tc>
        <w:tc>
          <w:tcPr>
            <w:tcW w:w="692" w:type="dxa"/>
            <w:noWrap/>
            <w:hideMark/>
          </w:tcPr>
          <w:p w14:paraId="2EE963C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0,706</w:t>
            </w:r>
          </w:p>
        </w:tc>
        <w:tc>
          <w:tcPr>
            <w:tcW w:w="693" w:type="dxa"/>
            <w:noWrap/>
            <w:hideMark/>
          </w:tcPr>
          <w:p w14:paraId="4AA5931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1,370</w:t>
            </w:r>
          </w:p>
        </w:tc>
        <w:tc>
          <w:tcPr>
            <w:tcW w:w="693" w:type="dxa"/>
            <w:noWrap/>
            <w:hideMark/>
          </w:tcPr>
          <w:p w14:paraId="4D08FCB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0,569</w:t>
            </w:r>
          </w:p>
        </w:tc>
        <w:tc>
          <w:tcPr>
            <w:tcW w:w="693" w:type="dxa"/>
            <w:noWrap/>
            <w:hideMark/>
          </w:tcPr>
          <w:p w14:paraId="6CD337F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0,951</w:t>
            </w:r>
          </w:p>
        </w:tc>
        <w:tc>
          <w:tcPr>
            <w:tcW w:w="693" w:type="dxa"/>
            <w:noWrap/>
            <w:hideMark/>
          </w:tcPr>
          <w:p w14:paraId="7E16EFD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0,827</w:t>
            </w:r>
          </w:p>
        </w:tc>
        <w:tc>
          <w:tcPr>
            <w:tcW w:w="693" w:type="dxa"/>
            <w:noWrap/>
            <w:hideMark/>
          </w:tcPr>
          <w:p w14:paraId="50FD22A4"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1,130</w:t>
            </w:r>
          </w:p>
        </w:tc>
        <w:tc>
          <w:tcPr>
            <w:tcW w:w="693" w:type="dxa"/>
            <w:noWrap/>
            <w:hideMark/>
          </w:tcPr>
          <w:p w14:paraId="1A26C55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0,595</w:t>
            </w:r>
          </w:p>
        </w:tc>
        <w:tc>
          <w:tcPr>
            <w:tcW w:w="693" w:type="dxa"/>
            <w:noWrap/>
            <w:hideMark/>
          </w:tcPr>
          <w:p w14:paraId="5C6CA92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0,839</w:t>
            </w:r>
          </w:p>
        </w:tc>
        <w:tc>
          <w:tcPr>
            <w:tcW w:w="693" w:type="dxa"/>
            <w:noWrap/>
            <w:hideMark/>
          </w:tcPr>
          <w:p w14:paraId="4FA289F2"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1,258</w:t>
            </w:r>
          </w:p>
        </w:tc>
      </w:tr>
    </w:tbl>
    <w:p w14:paraId="05819BBA" w14:textId="77777777" w:rsidR="00E848B3" w:rsidRPr="00E848B3" w:rsidRDefault="00E848B3" w:rsidP="00E848B3">
      <w:pPr>
        <w:jc w:val="center"/>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583FD5AF" w14:textId="77777777" w:rsidR="00E848B3" w:rsidRPr="00E848B3" w:rsidRDefault="00E848B3" w:rsidP="00E848B3">
      <w:pPr>
        <w:spacing w:after="0"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 xml:space="preserve">Como se verifica na Tabela 3, todos os estados nordestinos se mostraram localizados em certos setores produtivos, haja vista que parcela significativa dos índices se mostraram superiores a unidade. Sendo Rio Grande do Norte (RN) e Sergipe (SE) os estados nordestinos a apresentarem maior grau de especialização, haja vista que obtiveram QL de 3,411 e 2,803, respectivamente e ambos referentes a indústria extrativa mineral em 2010. No que tange aos menores </w:t>
      </w:r>
      <w:proofErr w:type="spellStart"/>
      <w:r w:rsidRPr="00E848B3">
        <w:rPr>
          <w:rFonts w:ascii="Times New Roman" w:eastAsia="Calibri" w:hAnsi="Times New Roman" w:cs="Times New Roman"/>
          <w:sz w:val="24"/>
        </w:rPr>
        <w:t>QLs</w:t>
      </w:r>
      <w:proofErr w:type="spellEnd"/>
      <w:r w:rsidRPr="00E848B3">
        <w:rPr>
          <w:rFonts w:ascii="Times New Roman" w:eastAsia="Calibri" w:hAnsi="Times New Roman" w:cs="Times New Roman"/>
          <w:sz w:val="24"/>
        </w:rPr>
        <w:t>, foram identificados na indústria extrativa mineral, para os estados Pernambuco com 0,342, Alagoas com 0,374 e Piauí com 0,398.</w:t>
      </w:r>
    </w:p>
    <w:p w14:paraId="37606DC4" w14:textId="3F32E1D4" w:rsidR="00E04CCF" w:rsidRDefault="00E848B3" w:rsidP="00E848B3">
      <w:pPr>
        <w:spacing w:after="0"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 xml:space="preserve">Em seguida, em 2015, Rio Grande do Norte e Sergipe continuaram com os maiores </w:t>
      </w:r>
      <w:proofErr w:type="spellStart"/>
      <w:r w:rsidRPr="00E848B3">
        <w:rPr>
          <w:rFonts w:ascii="Times New Roman" w:eastAsia="Calibri" w:hAnsi="Times New Roman" w:cs="Times New Roman"/>
          <w:sz w:val="24"/>
        </w:rPr>
        <w:t>QLs</w:t>
      </w:r>
      <w:proofErr w:type="spellEnd"/>
      <w:r w:rsidRPr="00E848B3">
        <w:rPr>
          <w:rFonts w:ascii="Times New Roman" w:eastAsia="Calibri" w:hAnsi="Times New Roman" w:cs="Times New Roman"/>
          <w:sz w:val="24"/>
        </w:rPr>
        <w:t xml:space="preserve">, porém ao passo que a localização do emprego na indústria extrativa mineral no RN aumentou em cerca de 2,46%, o QL do SE apresar de apresentar a segunda maior especialização, reduziu em 17,87% de 2010 a 2015.No que diz respeito aos menores </w:t>
      </w:r>
      <w:proofErr w:type="spellStart"/>
      <w:r w:rsidRPr="00E848B3">
        <w:rPr>
          <w:rFonts w:ascii="Times New Roman" w:eastAsia="Calibri" w:hAnsi="Times New Roman" w:cs="Times New Roman"/>
          <w:sz w:val="24"/>
        </w:rPr>
        <w:t>QLs</w:t>
      </w:r>
      <w:proofErr w:type="spellEnd"/>
      <w:r w:rsidRPr="00E848B3">
        <w:rPr>
          <w:rFonts w:ascii="Times New Roman" w:eastAsia="Calibri" w:hAnsi="Times New Roman" w:cs="Times New Roman"/>
          <w:sz w:val="24"/>
        </w:rPr>
        <w:t>, foram identificados no Pernambuco com 0,324, no Piauí com 0,339 e em Alagoas com 0,459, em ambos na indústria extrativa mineral.   (Tabela 4).</w:t>
      </w:r>
    </w:p>
    <w:p w14:paraId="1E0E466D" w14:textId="24B09738" w:rsidR="003B2E49" w:rsidRDefault="003B2E49" w:rsidP="00E848B3">
      <w:pPr>
        <w:spacing w:after="0" w:line="360" w:lineRule="auto"/>
        <w:jc w:val="both"/>
        <w:rPr>
          <w:rFonts w:ascii="Times New Roman" w:eastAsia="Calibri" w:hAnsi="Times New Roman" w:cs="Times New Roman"/>
          <w:sz w:val="24"/>
        </w:rPr>
      </w:pPr>
    </w:p>
    <w:p w14:paraId="25A60E18" w14:textId="6E7784E2" w:rsidR="003B2E49" w:rsidRDefault="003B2E49" w:rsidP="00E848B3">
      <w:pPr>
        <w:spacing w:after="0" w:line="360" w:lineRule="auto"/>
        <w:jc w:val="both"/>
        <w:rPr>
          <w:rFonts w:ascii="Times New Roman" w:eastAsia="Calibri" w:hAnsi="Times New Roman" w:cs="Times New Roman"/>
          <w:sz w:val="24"/>
        </w:rPr>
      </w:pPr>
    </w:p>
    <w:p w14:paraId="7A31CDF4" w14:textId="63B71395" w:rsidR="003B2E49" w:rsidRDefault="003B2E49" w:rsidP="00E848B3">
      <w:pPr>
        <w:spacing w:after="0" w:line="360" w:lineRule="auto"/>
        <w:jc w:val="both"/>
        <w:rPr>
          <w:rFonts w:ascii="Times New Roman" w:eastAsia="Calibri" w:hAnsi="Times New Roman" w:cs="Times New Roman"/>
          <w:sz w:val="24"/>
        </w:rPr>
      </w:pPr>
    </w:p>
    <w:p w14:paraId="01772468" w14:textId="52BC6520" w:rsidR="003B2E49" w:rsidRDefault="003B2E49" w:rsidP="00E848B3">
      <w:pPr>
        <w:spacing w:after="0" w:line="360" w:lineRule="auto"/>
        <w:jc w:val="both"/>
        <w:rPr>
          <w:rFonts w:ascii="Times New Roman" w:eastAsia="Calibri" w:hAnsi="Times New Roman" w:cs="Times New Roman"/>
          <w:sz w:val="24"/>
        </w:rPr>
      </w:pPr>
    </w:p>
    <w:p w14:paraId="20805113" w14:textId="75B2F9AD" w:rsidR="003B2E49" w:rsidRDefault="003B2E49" w:rsidP="00E848B3">
      <w:pPr>
        <w:spacing w:after="0" w:line="360" w:lineRule="auto"/>
        <w:jc w:val="both"/>
        <w:rPr>
          <w:rFonts w:ascii="Times New Roman" w:eastAsia="Calibri" w:hAnsi="Times New Roman" w:cs="Times New Roman"/>
          <w:sz w:val="24"/>
        </w:rPr>
      </w:pPr>
    </w:p>
    <w:p w14:paraId="6E214F64" w14:textId="0EEF9EC0" w:rsidR="003B2E49" w:rsidRDefault="003B2E49" w:rsidP="00E848B3">
      <w:pPr>
        <w:spacing w:after="0" w:line="360" w:lineRule="auto"/>
        <w:jc w:val="both"/>
        <w:rPr>
          <w:rFonts w:ascii="Times New Roman" w:eastAsia="Calibri" w:hAnsi="Times New Roman" w:cs="Times New Roman"/>
          <w:sz w:val="24"/>
        </w:rPr>
      </w:pPr>
    </w:p>
    <w:p w14:paraId="19A9E320" w14:textId="77777777" w:rsidR="003B2E49" w:rsidRPr="00E848B3" w:rsidRDefault="003B2E49" w:rsidP="00E848B3">
      <w:pPr>
        <w:spacing w:after="0" w:line="360" w:lineRule="auto"/>
        <w:jc w:val="both"/>
        <w:rPr>
          <w:rFonts w:ascii="Times New Roman" w:eastAsia="Calibri" w:hAnsi="Times New Roman" w:cs="Times New Roman"/>
          <w:sz w:val="24"/>
        </w:rPr>
      </w:pPr>
    </w:p>
    <w:p w14:paraId="1971A457" w14:textId="77777777" w:rsidR="00E848B3" w:rsidRPr="00E848B3" w:rsidRDefault="00E848B3" w:rsidP="00E848B3">
      <w:pPr>
        <w:jc w:val="center"/>
        <w:rPr>
          <w:rFonts w:ascii="Times New Roman" w:eastAsia="Calibri" w:hAnsi="Times New Roman" w:cs="Times New Roman"/>
          <w:sz w:val="24"/>
        </w:rPr>
      </w:pPr>
      <w:r w:rsidRPr="00E848B3">
        <w:rPr>
          <w:rFonts w:ascii="Times New Roman" w:eastAsia="Calibri" w:hAnsi="Times New Roman" w:cs="Times New Roman"/>
          <w:b/>
          <w:bCs/>
          <w:sz w:val="24"/>
        </w:rPr>
        <w:lastRenderedPageBreak/>
        <w:t>Tabela 4 –</w:t>
      </w:r>
      <w:r w:rsidRPr="00E848B3">
        <w:rPr>
          <w:rFonts w:ascii="Times New Roman" w:eastAsia="Calibri" w:hAnsi="Times New Roman" w:cs="Times New Roman"/>
          <w:sz w:val="24"/>
        </w:rPr>
        <w:t xml:space="preserve"> Quociente Locacional (QL) por setores dos estados nordestinos, em 2015</w:t>
      </w:r>
    </w:p>
    <w:tbl>
      <w:tblPr>
        <w:tblStyle w:val="Tabelacomgrade"/>
        <w:tblW w:w="0" w:type="auto"/>
        <w:tblBorders>
          <w:left w:val="none" w:sz="0" w:space="0" w:color="auto"/>
          <w:right w:val="none" w:sz="0" w:space="0" w:color="auto"/>
          <w:insideH w:val="none" w:sz="0" w:space="0" w:color="auto"/>
        </w:tblBorders>
        <w:tblLook w:val="04A0" w:firstRow="1" w:lastRow="0" w:firstColumn="1" w:lastColumn="0" w:noHBand="0" w:noVBand="1"/>
      </w:tblPr>
      <w:tblGrid>
        <w:gridCol w:w="2835"/>
        <w:gridCol w:w="692"/>
        <w:gridCol w:w="693"/>
        <w:gridCol w:w="693"/>
        <w:gridCol w:w="693"/>
        <w:gridCol w:w="693"/>
        <w:gridCol w:w="693"/>
        <w:gridCol w:w="693"/>
        <w:gridCol w:w="693"/>
        <w:gridCol w:w="693"/>
      </w:tblGrid>
      <w:tr w:rsidR="00E848B3" w:rsidRPr="00E848B3" w14:paraId="26D0C1E6" w14:textId="77777777" w:rsidTr="00E848B3">
        <w:trPr>
          <w:trHeight w:val="300"/>
        </w:trPr>
        <w:tc>
          <w:tcPr>
            <w:tcW w:w="4305" w:type="dxa"/>
            <w:tcBorders>
              <w:bottom w:val="single" w:sz="4" w:space="0" w:color="auto"/>
            </w:tcBorders>
            <w:shd w:val="clear" w:color="auto" w:fill="D9D9D9"/>
            <w:noWrap/>
            <w:hideMark/>
          </w:tcPr>
          <w:p w14:paraId="37BA546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Setor</w:t>
            </w:r>
          </w:p>
        </w:tc>
        <w:tc>
          <w:tcPr>
            <w:tcW w:w="960" w:type="dxa"/>
            <w:tcBorders>
              <w:bottom w:val="single" w:sz="4" w:space="0" w:color="auto"/>
            </w:tcBorders>
            <w:shd w:val="clear" w:color="auto" w:fill="D9D9D9"/>
            <w:noWrap/>
            <w:hideMark/>
          </w:tcPr>
          <w:p w14:paraId="0243DE9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AL</w:t>
            </w:r>
          </w:p>
        </w:tc>
        <w:tc>
          <w:tcPr>
            <w:tcW w:w="960" w:type="dxa"/>
            <w:tcBorders>
              <w:bottom w:val="single" w:sz="4" w:space="0" w:color="auto"/>
            </w:tcBorders>
            <w:shd w:val="clear" w:color="auto" w:fill="D9D9D9"/>
            <w:noWrap/>
            <w:hideMark/>
          </w:tcPr>
          <w:p w14:paraId="00BFEA8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BA</w:t>
            </w:r>
          </w:p>
        </w:tc>
        <w:tc>
          <w:tcPr>
            <w:tcW w:w="960" w:type="dxa"/>
            <w:tcBorders>
              <w:bottom w:val="single" w:sz="4" w:space="0" w:color="auto"/>
            </w:tcBorders>
            <w:shd w:val="clear" w:color="auto" w:fill="D9D9D9"/>
            <w:noWrap/>
            <w:hideMark/>
          </w:tcPr>
          <w:p w14:paraId="5D9601E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CE</w:t>
            </w:r>
          </w:p>
        </w:tc>
        <w:tc>
          <w:tcPr>
            <w:tcW w:w="960" w:type="dxa"/>
            <w:tcBorders>
              <w:bottom w:val="single" w:sz="4" w:space="0" w:color="auto"/>
            </w:tcBorders>
            <w:shd w:val="clear" w:color="auto" w:fill="D9D9D9"/>
            <w:noWrap/>
            <w:hideMark/>
          </w:tcPr>
          <w:p w14:paraId="5ED50F1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MA</w:t>
            </w:r>
          </w:p>
        </w:tc>
        <w:tc>
          <w:tcPr>
            <w:tcW w:w="960" w:type="dxa"/>
            <w:tcBorders>
              <w:bottom w:val="single" w:sz="4" w:space="0" w:color="auto"/>
            </w:tcBorders>
            <w:shd w:val="clear" w:color="auto" w:fill="D9D9D9"/>
            <w:noWrap/>
            <w:hideMark/>
          </w:tcPr>
          <w:p w14:paraId="2EB0302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PB</w:t>
            </w:r>
          </w:p>
        </w:tc>
        <w:tc>
          <w:tcPr>
            <w:tcW w:w="960" w:type="dxa"/>
            <w:tcBorders>
              <w:bottom w:val="single" w:sz="4" w:space="0" w:color="auto"/>
            </w:tcBorders>
            <w:shd w:val="clear" w:color="auto" w:fill="D9D9D9"/>
            <w:noWrap/>
            <w:hideMark/>
          </w:tcPr>
          <w:p w14:paraId="383449B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PE</w:t>
            </w:r>
          </w:p>
        </w:tc>
        <w:tc>
          <w:tcPr>
            <w:tcW w:w="960" w:type="dxa"/>
            <w:tcBorders>
              <w:bottom w:val="single" w:sz="4" w:space="0" w:color="auto"/>
            </w:tcBorders>
            <w:shd w:val="clear" w:color="auto" w:fill="D9D9D9"/>
            <w:noWrap/>
            <w:hideMark/>
          </w:tcPr>
          <w:p w14:paraId="48FCF3D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PI</w:t>
            </w:r>
          </w:p>
        </w:tc>
        <w:tc>
          <w:tcPr>
            <w:tcW w:w="960" w:type="dxa"/>
            <w:tcBorders>
              <w:bottom w:val="single" w:sz="4" w:space="0" w:color="auto"/>
            </w:tcBorders>
            <w:shd w:val="clear" w:color="auto" w:fill="D9D9D9"/>
            <w:noWrap/>
            <w:hideMark/>
          </w:tcPr>
          <w:p w14:paraId="2B23F47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RN</w:t>
            </w:r>
          </w:p>
        </w:tc>
        <w:tc>
          <w:tcPr>
            <w:tcW w:w="960" w:type="dxa"/>
            <w:tcBorders>
              <w:bottom w:val="single" w:sz="4" w:space="0" w:color="auto"/>
            </w:tcBorders>
            <w:shd w:val="clear" w:color="auto" w:fill="D9D9D9"/>
            <w:noWrap/>
            <w:hideMark/>
          </w:tcPr>
          <w:p w14:paraId="1D67811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w:t>
            </w:r>
          </w:p>
        </w:tc>
      </w:tr>
      <w:tr w:rsidR="00E848B3" w:rsidRPr="00E848B3" w14:paraId="56F9A40F" w14:textId="77777777" w:rsidTr="001D0C0D">
        <w:trPr>
          <w:trHeight w:val="300"/>
        </w:trPr>
        <w:tc>
          <w:tcPr>
            <w:tcW w:w="4305" w:type="dxa"/>
            <w:tcBorders>
              <w:top w:val="single" w:sz="4" w:space="0" w:color="auto"/>
            </w:tcBorders>
            <w:noWrap/>
            <w:hideMark/>
          </w:tcPr>
          <w:p w14:paraId="31AB6D4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Extrativa mineral</w:t>
            </w:r>
          </w:p>
        </w:tc>
        <w:tc>
          <w:tcPr>
            <w:tcW w:w="960" w:type="dxa"/>
            <w:tcBorders>
              <w:top w:val="single" w:sz="4" w:space="0" w:color="auto"/>
            </w:tcBorders>
            <w:noWrap/>
            <w:hideMark/>
          </w:tcPr>
          <w:p w14:paraId="188BCC4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0,459</w:t>
            </w:r>
          </w:p>
        </w:tc>
        <w:tc>
          <w:tcPr>
            <w:tcW w:w="960" w:type="dxa"/>
            <w:tcBorders>
              <w:top w:val="single" w:sz="4" w:space="0" w:color="auto"/>
            </w:tcBorders>
            <w:noWrap/>
            <w:hideMark/>
          </w:tcPr>
          <w:p w14:paraId="462996D1"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1,511</w:t>
            </w:r>
          </w:p>
        </w:tc>
        <w:tc>
          <w:tcPr>
            <w:tcW w:w="960" w:type="dxa"/>
            <w:tcBorders>
              <w:top w:val="single" w:sz="4" w:space="0" w:color="auto"/>
            </w:tcBorders>
            <w:noWrap/>
            <w:hideMark/>
          </w:tcPr>
          <w:p w14:paraId="448B988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0,472</w:t>
            </w:r>
          </w:p>
        </w:tc>
        <w:tc>
          <w:tcPr>
            <w:tcW w:w="960" w:type="dxa"/>
            <w:tcBorders>
              <w:top w:val="single" w:sz="4" w:space="0" w:color="auto"/>
            </w:tcBorders>
            <w:noWrap/>
            <w:hideMark/>
          </w:tcPr>
          <w:p w14:paraId="3A67739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0,534</w:t>
            </w:r>
          </w:p>
        </w:tc>
        <w:tc>
          <w:tcPr>
            <w:tcW w:w="960" w:type="dxa"/>
            <w:tcBorders>
              <w:top w:val="single" w:sz="4" w:space="0" w:color="auto"/>
            </w:tcBorders>
            <w:noWrap/>
            <w:hideMark/>
          </w:tcPr>
          <w:p w14:paraId="2DCB68E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0,447</w:t>
            </w:r>
          </w:p>
        </w:tc>
        <w:tc>
          <w:tcPr>
            <w:tcW w:w="960" w:type="dxa"/>
            <w:tcBorders>
              <w:top w:val="single" w:sz="4" w:space="0" w:color="auto"/>
            </w:tcBorders>
            <w:noWrap/>
            <w:hideMark/>
          </w:tcPr>
          <w:p w14:paraId="6F849DC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0,324</w:t>
            </w:r>
          </w:p>
        </w:tc>
        <w:tc>
          <w:tcPr>
            <w:tcW w:w="960" w:type="dxa"/>
            <w:tcBorders>
              <w:top w:val="single" w:sz="4" w:space="0" w:color="auto"/>
            </w:tcBorders>
            <w:noWrap/>
            <w:hideMark/>
          </w:tcPr>
          <w:p w14:paraId="4DA644D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0,339</w:t>
            </w:r>
          </w:p>
        </w:tc>
        <w:tc>
          <w:tcPr>
            <w:tcW w:w="960" w:type="dxa"/>
            <w:tcBorders>
              <w:top w:val="single" w:sz="4" w:space="0" w:color="auto"/>
            </w:tcBorders>
            <w:noWrap/>
            <w:hideMark/>
          </w:tcPr>
          <w:p w14:paraId="7EABF30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3,495</w:t>
            </w:r>
          </w:p>
        </w:tc>
        <w:tc>
          <w:tcPr>
            <w:tcW w:w="960" w:type="dxa"/>
            <w:tcBorders>
              <w:top w:val="single" w:sz="4" w:space="0" w:color="auto"/>
            </w:tcBorders>
            <w:noWrap/>
            <w:hideMark/>
          </w:tcPr>
          <w:p w14:paraId="259818B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2,302</w:t>
            </w:r>
          </w:p>
        </w:tc>
      </w:tr>
      <w:tr w:rsidR="00E848B3" w:rsidRPr="00E848B3" w14:paraId="71DF5492" w14:textId="77777777" w:rsidTr="001D0C0D">
        <w:trPr>
          <w:trHeight w:val="300"/>
        </w:trPr>
        <w:tc>
          <w:tcPr>
            <w:tcW w:w="4305" w:type="dxa"/>
            <w:noWrap/>
            <w:hideMark/>
          </w:tcPr>
          <w:p w14:paraId="4217C36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Indústria de transformação</w:t>
            </w:r>
          </w:p>
        </w:tc>
        <w:tc>
          <w:tcPr>
            <w:tcW w:w="960" w:type="dxa"/>
            <w:noWrap/>
            <w:hideMark/>
          </w:tcPr>
          <w:p w14:paraId="24AFBB6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1,352</w:t>
            </w:r>
          </w:p>
        </w:tc>
        <w:tc>
          <w:tcPr>
            <w:tcW w:w="960" w:type="dxa"/>
            <w:noWrap/>
            <w:hideMark/>
          </w:tcPr>
          <w:p w14:paraId="04B543B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0,826</w:t>
            </w:r>
          </w:p>
        </w:tc>
        <w:tc>
          <w:tcPr>
            <w:tcW w:w="960" w:type="dxa"/>
            <w:noWrap/>
            <w:hideMark/>
          </w:tcPr>
          <w:p w14:paraId="38F3D9D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1,391</w:t>
            </w:r>
          </w:p>
        </w:tc>
        <w:tc>
          <w:tcPr>
            <w:tcW w:w="960" w:type="dxa"/>
            <w:noWrap/>
            <w:hideMark/>
          </w:tcPr>
          <w:p w14:paraId="7DF9BBF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0,491</w:t>
            </w:r>
          </w:p>
        </w:tc>
        <w:tc>
          <w:tcPr>
            <w:tcW w:w="960" w:type="dxa"/>
            <w:noWrap/>
            <w:hideMark/>
          </w:tcPr>
          <w:p w14:paraId="70ACD3E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1,012</w:t>
            </w:r>
          </w:p>
        </w:tc>
        <w:tc>
          <w:tcPr>
            <w:tcW w:w="960" w:type="dxa"/>
            <w:noWrap/>
            <w:hideMark/>
          </w:tcPr>
          <w:p w14:paraId="314A821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1,145</w:t>
            </w:r>
          </w:p>
        </w:tc>
        <w:tc>
          <w:tcPr>
            <w:tcW w:w="960" w:type="dxa"/>
            <w:noWrap/>
            <w:hideMark/>
          </w:tcPr>
          <w:p w14:paraId="126E5EB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0,545</w:t>
            </w:r>
          </w:p>
        </w:tc>
        <w:tc>
          <w:tcPr>
            <w:tcW w:w="960" w:type="dxa"/>
            <w:noWrap/>
            <w:hideMark/>
          </w:tcPr>
          <w:p w14:paraId="2F35481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0,893</w:t>
            </w:r>
          </w:p>
        </w:tc>
        <w:tc>
          <w:tcPr>
            <w:tcW w:w="960" w:type="dxa"/>
            <w:noWrap/>
            <w:hideMark/>
          </w:tcPr>
          <w:p w14:paraId="2A1B3C26"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1,030</w:t>
            </w:r>
          </w:p>
        </w:tc>
      </w:tr>
      <w:tr w:rsidR="00E848B3" w:rsidRPr="00E848B3" w14:paraId="00F7B3D3" w14:textId="77777777" w:rsidTr="001D0C0D">
        <w:trPr>
          <w:trHeight w:val="300"/>
        </w:trPr>
        <w:tc>
          <w:tcPr>
            <w:tcW w:w="4305" w:type="dxa"/>
            <w:noWrap/>
            <w:hideMark/>
          </w:tcPr>
          <w:p w14:paraId="1FBC4BEB" w14:textId="77777777" w:rsidR="00E848B3" w:rsidRPr="00E848B3" w:rsidRDefault="00E848B3" w:rsidP="00E848B3">
            <w:pPr>
              <w:spacing w:after="0" w:line="240" w:lineRule="auto"/>
              <w:rPr>
                <w:rFonts w:ascii="Times New Roman" w:eastAsia="Calibri" w:hAnsi="Times New Roman" w:cs="Times New Roman"/>
                <w:sz w:val="20"/>
                <w:szCs w:val="20"/>
              </w:rPr>
            </w:pPr>
            <w:proofErr w:type="spellStart"/>
            <w:r w:rsidRPr="00E848B3">
              <w:rPr>
                <w:rFonts w:ascii="Times New Roman" w:eastAsia="Calibri" w:hAnsi="Times New Roman" w:cs="Times New Roman"/>
                <w:sz w:val="20"/>
                <w:szCs w:val="20"/>
              </w:rPr>
              <w:t>Servicos</w:t>
            </w:r>
            <w:proofErr w:type="spellEnd"/>
            <w:r w:rsidRPr="00E848B3">
              <w:rPr>
                <w:rFonts w:ascii="Times New Roman" w:eastAsia="Calibri" w:hAnsi="Times New Roman" w:cs="Times New Roman"/>
                <w:sz w:val="20"/>
                <w:szCs w:val="20"/>
              </w:rPr>
              <w:t xml:space="preserve"> industriais de utilidade pública</w:t>
            </w:r>
          </w:p>
        </w:tc>
        <w:tc>
          <w:tcPr>
            <w:tcW w:w="960" w:type="dxa"/>
            <w:noWrap/>
            <w:hideMark/>
          </w:tcPr>
          <w:p w14:paraId="15B938F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1,083</w:t>
            </w:r>
          </w:p>
        </w:tc>
        <w:tc>
          <w:tcPr>
            <w:tcW w:w="960" w:type="dxa"/>
            <w:noWrap/>
            <w:hideMark/>
          </w:tcPr>
          <w:p w14:paraId="7DCBE16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0,919</w:t>
            </w:r>
          </w:p>
        </w:tc>
        <w:tc>
          <w:tcPr>
            <w:tcW w:w="960" w:type="dxa"/>
            <w:noWrap/>
            <w:hideMark/>
          </w:tcPr>
          <w:p w14:paraId="11922B2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0,624</w:t>
            </w:r>
          </w:p>
        </w:tc>
        <w:tc>
          <w:tcPr>
            <w:tcW w:w="960" w:type="dxa"/>
            <w:noWrap/>
            <w:hideMark/>
          </w:tcPr>
          <w:p w14:paraId="2F8EDDE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0,822</w:t>
            </w:r>
          </w:p>
        </w:tc>
        <w:tc>
          <w:tcPr>
            <w:tcW w:w="960" w:type="dxa"/>
            <w:noWrap/>
            <w:hideMark/>
          </w:tcPr>
          <w:p w14:paraId="16E2984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1,164</w:t>
            </w:r>
          </w:p>
        </w:tc>
        <w:tc>
          <w:tcPr>
            <w:tcW w:w="960" w:type="dxa"/>
            <w:noWrap/>
            <w:hideMark/>
          </w:tcPr>
          <w:p w14:paraId="0DF843E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1,147</w:t>
            </w:r>
          </w:p>
        </w:tc>
        <w:tc>
          <w:tcPr>
            <w:tcW w:w="960" w:type="dxa"/>
            <w:noWrap/>
            <w:hideMark/>
          </w:tcPr>
          <w:p w14:paraId="08515DD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1,533</w:t>
            </w:r>
          </w:p>
        </w:tc>
        <w:tc>
          <w:tcPr>
            <w:tcW w:w="960" w:type="dxa"/>
            <w:noWrap/>
            <w:hideMark/>
          </w:tcPr>
          <w:p w14:paraId="3489DD0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1,085</w:t>
            </w:r>
          </w:p>
        </w:tc>
        <w:tc>
          <w:tcPr>
            <w:tcW w:w="960" w:type="dxa"/>
            <w:noWrap/>
            <w:hideMark/>
          </w:tcPr>
          <w:p w14:paraId="27F1C3F7"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1,503</w:t>
            </w:r>
          </w:p>
        </w:tc>
      </w:tr>
      <w:tr w:rsidR="00E848B3" w:rsidRPr="00E848B3" w14:paraId="28F0CCA8" w14:textId="77777777" w:rsidTr="001D0C0D">
        <w:trPr>
          <w:trHeight w:val="300"/>
        </w:trPr>
        <w:tc>
          <w:tcPr>
            <w:tcW w:w="4305" w:type="dxa"/>
            <w:noWrap/>
            <w:hideMark/>
          </w:tcPr>
          <w:p w14:paraId="39BA580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Construção Civil</w:t>
            </w:r>
          </w:p>
        </w:tc>
        <w:tc>
          <w:tcPr>
            <w:tcW w:w="960" w:type="dxa"/>
            <w:noWrap/>
            <w:hideMark/>
          </w:tcPr>
          <w:p w14:paraId="3CCEFA9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0,956</w:t>
            </w:r>
          </w:p>
        </w:tc>
        <w:tc>
          <w:tcPr>
            <w:tcW w:w="960" w:type="dxa"/>
            <w:noWrap/>
            <w:hideMark/>
          </w:tcPr>
          <w:p w14:paraId="6B70BBE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1,026</w:t>
            </w:r>
          </w:p>
        </w:tc>
        <w:tc>
          <w:tcPr>
            <w:tcW w:w="960" w:type="dxa"/>
            <w:noWrap/>
            <w:hideMark/>
          </w:tcPr>
          <w:p w14:paraId="5EE4DA6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0,971</w:t>
            </w:r>
          </w:p>
        </w:tc>
        <w:tc>
          <w:tcPr>
            <w:tcW w:w="960" w:type="dxa"/>
            <w:noWrap/>
            <w:hideMark/>
          </w:tcPr>
          <w:p w14:paraId="0C9C0487"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1,233</w:t>
            </w:r>
          </w:p>
        </w:tc>
        <w:tc>
          <w:tcPr>
            <w:tcW w:w="960" w:type="dxa"/>
            <w:noWrap/>
            <w:hideMark/>
          </w:tcPr>
          <w:p w14:paraId="586677B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0,973</w:t>
            </w:r>
          </w:p>
        </w:tc>
        <w:tc>
          <w:tcPr>
            <w:tcW w:w="960" w:type="dxa"/>
            <w:noWrap/>
            <w:hideMark/>
          </w:tcPr>
          <w:p w14:paraId="6E0BD56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0,878</w:t>
            </w:r>
          </w:p>
        </w:tc>
        <w:tc>
          <w:tcPr>
            <w:tcW w:w="960" w:type="dxa"/>
            <w:noWrap/>
            <w:hideMark/>
          </w:tcPr>
          <w:p w14:paraId="5706275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1,044</w:t>
            </w:r>
          </w:p>
        </w:tc>
        <w:tc>
          <w:tcPr>
            <w:tcW w:w="960" w:type="dxa"/>
            <w:noWrap/>
            <w:hideMark/>
          </w:tcPr>
          <w:p w14:paraId="2220B99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1,008</w:t>
            </w:r>
          </w:p>
        </w:tc>
        <w:tc>
          <w:tcPr>
            <w:tcW w:w="960" w:type="dxa"/>
            <w:noWrap/>
            <w:hideMark/>
          </w:tcPr>
          <w:p w14:paraId="5C7C55B4"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1,085</w:t>
            </w:r>
          </w:p>
        </w:tc>
      </w:tr>
      <w:tr w:rsidR="00E848B3" w:rsidRPr="00E848B3" w14:paraId="4470E497" w14:textId="77777777" w:rsidTr="001D0C0D">
        <w:trPr>
          <w:trHeight w:val="300"/>
        </w:trPr>
        <w:tc>
          <w:tcPr>
            <w:tcW w:w="4305" w:type="dxa"/>
            <w:noWrap/>
            <w:hideMark/>
          </w:tcPr>
          <w:p w14:paraId="38E822F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Comércio</w:t>
            </w:r>
          </w:p>
        </w:tc>
        <w:tc>
          <w:tcPr>
            <w:tcW w:w="960" w:type="dxa"/>
            <w:noWrap/>
            <w:hideMark/>
          </w:tcPr>
          <w:p w14:paraId="3C91768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0,934</w:t>
            </w:r>
          </w:p>
        </w:tc>
        <w:tc>
          <w:tcPr>
            <w:tcW w:w="960" w:type="dxa"/>
            <w:noWrap/>
            <w:hideMark/>
          </w:tcPr>
          <w:p w14:paraId="337DFAD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1,052</w:t>
            </w:r>
          </w:p>
        </w:tc>
        <w:tc>
          <w:tcPr>
            <w:tcW w:w="960" w:type="dxa"/>
            <w:noWrap/>
            <w:hideMark/>
          </w:tcPr>
          <w:p w14:paraId="030D722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0,944</w:t>
            </w:r>
          </w:p>
        </w:tc>
        <w:tc>
          <w:tcPr>
            <w:tcW w:w="960" w:type="dxa"/>
            <w:noWrap/>
            <w:hideMark/>
          </w:tcPr>
          <w:p w14:paraId="35E15720"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1,119</w:t>
            </w:r>
          </w:p>
        </w:tc>
        <w:tc>
          <w:tcPr>
            <w:tcW w:w="960" w:type="dxa"/>
            <w:noWrap/>
            <w:hideMark/>
          </w:tcPr>
          <w:p w14:paraId="20D8445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0,852</w:t>
            </w:r>
          </w:p>
        </w:tc>
        <w:tc>
          <w:tcPr>
            <w:tcW w:w="960" w:type="dxa"/>
            <w:noWrap/>
            <w:hideMark/>
          </w:tcPr>
          <w:p w14:paraId="23C3772F"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1,004</w:t>
            </w:r>
          </w:p>
        </w:tc>
        <w:tc>
          <w:tcPr>
            <w:tcW w:w="960" w:type="dxa"/>
            <w:noWrap/>
            <w:hideMark/>
          </w:tcPr>
          <w:p w14:paraId="1CBFFFE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1,046</w:t>
            </w:r>
          </w:p>
        </w:tc>
        <w:tc>
          <w:tcPr>
            <w:tcW w:w="960" w:type="dxa"/>
            <w:noWrap/>
            <w:hideMark/>
          </w:tcPr>
          <w:p w14:paraId="0CC9BCE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1,045</w:t>
            </w:r>
          </w:p>
        </w:tc>
        <w:tc>
          <w:tcPr>
            <w:tcW w:w="960" w:type="dxa"/>
            <w:noWrap/>
            <w:hideMark/>
          </w:tcPr>
          <w:p w14:paraId="3260BE4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0,892</w:t>
            </w:r>
          </w:p>
        </w:tc>
      </w:tr>
      <w:tr w:rsidR="00E848B3" w:rsidRPr="00E848B3" w14:paraId="460661E6" w14:textId="77777777" w:rsidTr="001D0C0D">
        <w:trPr>
          <w:trHeight w:val="300"/>
        </w:trPr>
        <w:tc>
          <w:tcPr>
            <w:tcW w:w="4305" w:type="dxa"/>
            <w:noWrap/>
            <w:hideMark/>
          </w:tcPr>
          <w:p w14:paraId="39FE482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Serviços</w:t>
            </w:r>
          </w:p>
        </w:tc>
        <w:tc>
          <w:tcPr>
            <w:tcW w:w="960" w:type="dxa"/>
            <w:noWrap/>
            <w:hideMark/>
          </w:tcPr>
          <w:p w14:paraId="6B23BF9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0,859</w:t>
            </w:r>
          </w:p>
        </w:tc>
        <w:tc>
          <w:tcPr>
            <w:tcW w:w="960" w:type="dxa"/>
            <w:noWrap/>
            <w:hideMark/>
          </w:tcPr>
          <w:p w14:paraId="5579C42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1,062</w:t>
            </w:r>
          </w:p>
        </w:tc>
        <w:tc>
          <w:tcPr>
            <w:tcW w:w="960" w:type="dxa"/>
            <w:noWrap/>
            <w:hideMark/>
          </w:tcPr>
          <w:p w14:paraId="3B669396"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1,005</w:t>
            </w:r>
          </w:p>
        </w:tc>
        <w:tc>
          <w:tcPr>
            <w:tcW w:w="960" w:type="dxa"/>
            <w:noWrap/>
            <w:hideMark/>
          </w:tcPr>
          <w:p w14:paraId="6938BAA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0,805</w:t>
            </w:r>
          </w:p>
        </w:tc>
        <w:tc>
          <w:tcPr>
            <w:tcW w:w="960" w:type="dxa"/>
            <w:noWrap/>
            <w:hideMark/>
          </w:tcPr>
          <w:p w14:paraId="405D9EB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0,804</w:t>
            </w:r>
          </w:p>
        </w:tc>
        <w:tc>
          <w:tcPr>
            <w:tcW w:w="960" w:type="dxa"/>
            <w:noWrap/>
            <w:hideMark/>
          </w:tcPr>
          <w:p w14:paraId="629EAA9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1,113</w:t>
            </w:r>
          </w:p>
        </w:tc>
        <w:tc>
          <w:tcPr>
            <w:tcW w:w="960" w:type="dxa"/>
            <w:noWrap/>
            <w:hideMark/>
          </w:tcPr>
          <w:p w14:paraId="7C037A6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0,951</w:t>
            </w:r>
          </w:p>
        </w:tc>
        <w:tc>
          <w:tcPr>
            <w:tcW w:w="960" w:type="dxa"/>
            <w:noWrap/>
            <w:hideMark/>
          </w:tcPr>
          <w:p w14:paraId="2C7CDFC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0,991</w:t>
            </w:r>
          </w:p>
        </w:tc>
        <w:tc>
          <w:tcPr>
            <w:tcW w:w="960" w:type="dxa"/>
            <w:noWrap/>
            <w:hideMark/>
          </w:tcPr>
          <w:p w14:paraId="4DA174B0"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1,071</w:t>
            </w:r>
          </w:p>
        </w:tc>
      </w:tr>
      <w:tr w:rsidR="00E848B3" w:rsidRPr="00E848B3" w14:paraId="611D3F76" w14:textId="77777777" w:rsidTr="001D0C0D">
        <w:trPr>
          <w:trHeight w:val="300"/>
        </w:trPr>
        <w:tc>
          <w:tcPr>
            <w:tcW w:w="4305" w:type="dxa"/>
            <w:noWrap/>
            <w:hideMark/>
          </w:tcPr>
          <w:p w14:paraId="7DE685D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Administração Pública</w:t>
            </w:r>
          </w:p>
        </w:tc>
        <w:tc>
          <w:tcPr>
            <w:tcW w:w="960" w:type="dxa"/>
            <w:noWrap/>
            <w:hideMark/>
          </w:tcPr>
          <w:p w14:paraId="0FA9D91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1,096</w:t>
            </w:r>
          </w:p>
        </w:tc>
        <w:tc>
          <w:tcPr>
            <w:tcW w:w="960" w:type="dxa"/>
            <w:noWrap/>
            <w:hideMark/>
          </w:tcPr>
          <w:p w14:paraId="01FAC3A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0,915</w:t>
            </w:r>
          </w:p>
        </w:tc>
        <w:tc>
          <w:tcPr>
            <w:tcW w:w="960" w:type="dxa"/>
            <w:noWrap/>
            <w:hideMark/>
          </w:tcPr>
          <w:p w14:paraId="0C30347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0,932</w:t>
            </w:r>
          </w:p>
        </w:tc>
        <w:tc>
          <w:tcPr>
            <w:tcW w:w="960" w:type="dxa"/>
            <w:noWrap/>
            <w:hideMark/>
          </w:tcPr>
          <w:p w14:paraId="30594A1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1,326</w:t>
            </w:r>
          </w:p>
        </w:tc>
        <w:tc>
          <w:tcPr>
            <w:tcW w:w="960" w:type="dxa"/>
            <w:noWrap/>
            <w:hideMark/>
          </w:tcPr>
          <w:p w14:paraId="6C7C402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1,349</w:t>
            </w:r>
          </w:p>
        </w:tc>
        <w:tc>
          <w:tcPr>
            <w:tcW w:w="960" w:type="dxa"/>
            <w:noWrap/>
            <w:hideMark/>
          </w:tcPr>
          <w:p w14:paraId="75B68AD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0,837</w:t>
            </w:r>
          </w:p>
        </w:tc>
        <w:tc>
          <w:tcPr>
            <w:tcW w:w="960" w:type="dxa"/>
            <w:noWrap/>
            <w:hideMark/>
          </w:tcPr>
          <w:p w14:paraId="76F890BF"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1,222</w:t>
            </w:r>
          </w:p>
        </w:tc>
        <w:tc>
          <w:tcPr>
            <w:tcW w:w="960" w:type="dxa"/>
            <w:noWrap/>
            <w:hideMark/>
          </w:tcPr>
          <w:p w14:paraId="38D5F65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0,978</w:t>
            </w:r>
          </w:p>
        </w:tc>
        <w:tc>
          <w:tcPr>
            <w:tcW w:w="960" w:type="dxa"/>
            <w:noWrap/>
            <w:hideMark/>
          </w:tcPr>
          <w:p w14:paraId="0357F9F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0,924</w:t>
            </w:r>
          </w:p>
        </w:tc>
      </w:tr>
      <w:tr w:rsidR="00E848B3" w:rsidRPr="00E848B3" w14:paraId="757FB88C" w14:textId="77777777" w:rsidTr="001D0C0D">
        <w:trPr>
          <w:trHeight w:val="300"/>
        </w:trPr>
        <w:tc>
          <w:tcPr>
            <w:tcW w:w="4305" w:type="dxa"/>
            <w:noWrap/>
            <w:hideMark/>
          </w:tcPr>
          <w:p w14:paraId="3A187DB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Agropecuária, extração vegetal, caça e pesca</w:t>
            </w:r>
          </w:p>
        </w:tc>
        <w:tc>
          <w:tcPr>
            <w:tcW w:w="960" w:type="dxa"/>
            <w:noWrap/>
            <w:hideMark/>
          </w:tcPr>
          <w:p w14:paraId="589AB16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0,762</w:t>
            </w:r>
          </w:p>
        </w:tc>
        <w:tc>
          <w:tcPr>
            <w:tcW w:w="960" w:type="dxa"/>
            <w:noWrap/>
            <w:hideMark/>
          </w:tcPr>
          <w:p w14:paraId="419404BF"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1,426</w:t>
            </w:r>
          </w:p>
        </w:tc>
        <w:tc>
          <w:tcPr>
            <w:tcW w:w="960" w:type="dxa"/>
            <w:noWrap/>
            <w:hideMark/>
          </w:tcPr>
          <w:p w14:paraId="6686EEC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0,655</w:t>
            </w:r>
          </w:p>
        </w:tc>
        <w:tc>
          <w:tcPr>
            <w:tcW w:w="960" w:type="dxa"/>
            <w:noWrap/>
            <w:hideMark/>
          </w:tcPr>
          <w:p w14:paraId="6183F90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0,885</w:t>
            </w:r>
          </w:p>
        </w:tc>
        <w:tc>
          <w:tcPr>
            <w:tcW w:w="960" w:type="dxa"/>
            <w:noWrap/>
            <w:hideMark/>
          </w:tcPr>
          <w:p w14:paraId="1EF5511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0,718</w:t>
            </w:r>
          </w:p>
        </w:tc>
        <w:tc>
          <w:tcPr>
            <w:tcW w:w="960" w:type="dxa"/>
            <w:noWrap/>
            <w:hideMark/>
          </w:tcPr>
          <w:p w14:paraId="4435C1FE"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1,045</w:t>
            </w:r>
          </w:p>
        </w:tc>
        <w:tc>
          <w:tcPr>
            <w:tcW w:w="960" w:type="dxa"/>
            <w:noWrap/>
            <w:hideMark/>
          </w:tcPr>
          <w:p w14:paraId="5D5FFBC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0,702</w:t>
            </w:r>
          </w:p>
        </w:tc>
        <w:tc>
          <w:tcPr>
            <w:tcW w:w="960" w:type="dxa"/>
            <w:noWrap/>
            <w:hideMark/>
          </w:tcPr>
          <w:p w14:paraId="464BA8B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1,005</w:t>
            </w:r>
          </w:p>
        </w:tc>
        <w:tc>
          <w:tcPr>
            <w:tcW w:w="960" w:type="dxa"/>
            <w:noWrap/>
            <w:hideMark/>
          </w:tcPr>
          <w:p w14:paraId="5F95162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0,996</w:t>
            </w:r>
          </w:p>
        </w:tc>
      </w:tr>
    </w:tbl>
    <w:p w14:paraId="3FD7BFA8" w14:textId="77777777" w:rsidR="00E848B3" w:rsidRPr="00E848B3" w:rsidRDefault="00E848B3" w:rsidP="00E848B3">
      <w:pPr>
        <w:jc w:val="center"/>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52E05FFB" w14:textId="77777777" w:rsidR="00E848B3" w:rsidRPr="00E848B3" w:rsidRDefault="00E848B3" w:rsidP="00E848B3">
      <w:pPr>
        <w:spacing w:line="36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ab/>
        <w:t>Quando se verifica o grau de localização para o ano de 2020, RN permanece com a maior especialização na indústria extrativa mineral, apesar de ter</w:t>
      </w:r>
      <w:r w:rsidRPr="00E848B3">
        <w:rPr>
          <w:rFonts w:ascii="Times New Roman" w:eastAsia="Calibri" w:hAnsi="Times New Roman" w:cs="Times New Roman"/>
          <w:sz w:val="24"/>
          <w:szCs w:val="24"/>
        </w:rPr>
        <w:tab/>
        <w:t xml:space="preserve">sofrido uma queda de aproximadamente 9,15% e, no caso, apesar de SE apresentar QL superior a um, este deixa de ser o estado com a segunda maior localização, e então Bahia ocupa essa posição com QL de 1,745, sugerindo aumento no emprego no estado. Em referência às menores localizações, tem-se em Pernambuco com 0,241, Piauí com 0,328 e Alagoas com 0,486 na indústria extrativa mineral, </w:t>
      </w:r>
      <w:r w:rsidRPr="00E848B3">
        <w:rPr>
          <w:rFonts w:ascii="Times New Roman" w:eastAsia="Times New Roman" w:hAnsi="Times New Roman" w:cs="Times New Roman"/>
          <w:sz w:val="24"/>
        </w:rPr>
        <w:t>ou seja, estes estados possuem especialização inferior nesta atividade econômica, quando relacionada a importância relativa deste setor na região nordestina.</w:t>
      </w:r>
      <w:r w:rsidRPr="00E848B3">
        <w:rPr>
          <w:rFonts w:ascii="Times New Roman" w:eastAsia="Calibri" w:hAnsi="Times New Roman" w:cs="Times New Roman"/>
          <w:sz w:val="24"/>
        </w:rPr>
        <w:t xml:space="preserve"> </w:t>
      </w:r>
      <w:r w:rsidRPr="00E848B3">
        <w:rPr>
          <w:rFonts w:ascii="Times New Roman" w:eastAsia="Calibri" w:hAnsi="Times New Roman" w:cs="Times New Roman"/>
          <w:sz w:val="24"/>
          <w:szCs w:val="24"/>
        </w:rPr>
        <w:t>(Tabela 5).</w:t>
      </w:r>
    </w:p>
    <w:p w14:paraId="04CEF2C2" w14:textId="77777777" w:rsidR="00E848B3" w:rsidRPr="00E848B3" w:rsidRDefault="00E848B3" w:rsidP="00E848B3">
      <w:pPr>
        <w:jc w:val="center"/>
        <w:rPr>
          <w:rFonts w:ascii="Times New Roman" w:eastAsia="Calibri" w:hAnsi="Times New Roman" w:cs="Times New Roman"/>
          <w:sz w:val="24"/>
        </w:rPr>
      </w:pPr>
      <w:r w:rsidRPr="00E848B3">
        <w:rPr>
          <w:rFonts w:ascii="Times New Roman" w:eastAsia="Calibri" w:hAnsi="Times New Roman" w:cs="Times New Roman"/>
          <w:b/>
          <w:bCs/>
          <w:sz w:val="24"/>
        </w:rPr>
        <w:t>Tabela 5 –</w:t>
      </w:r>
      <w:r w:rsidRPr="00E848B3">
        <w:rPr>
          <w:rFonts w:ascii="Times New Roman" w:eastAsia="Calibri" w:hAnsi="Times New Roman" w:cs="Times New Roman"/>
          <w:sz w:val="24"/>
        </w:rPr>
        <w:t xml:space="preserve"> Quociente Locacional (QL) por setores dos estados nordestinos, em 2020</w:t>
      </w:r>
    </w:p>
    <w:tbl>
      <w:tblPr>
        <w:tblStyle w:val="Tabelacomgrade"/>
        <w:tblW w:w="0" w:type="auto"/>
        <w:tblBorders>
          <w:left w:val="none" w:sz="0" w:space="0" w:color="auto"/>
          <w:right w:val="none" w:sz="0" w:space="0" w:color="auto"/>
          <w:insideH w:val="none" w:sz="0" w:space="0" w:color="auto"/>
        </w:tblBorders>
        <w:tblLook w:val="04A0" w:firstRow="1" w:lastRow="0" w:firstColumn="1" w:lastColumn="0" w:noHBand="0" w:noVBand="1"/>
      </w:tblPr>
      <w:tblGrid>
        <w:gridCol w:w="2835"/>
        <w:gridCol w:w="692"/>
        <w:gridCol w:w="693"/>
        <w:gridCol w:w="693"/>
        <w:gridCol w:w="693"/>
        <w:gridCol w:w="693"/>
        <w:gridCol w:w="693"/>
        <w:gridCol w:w="693"/>
        <w:gridCol w:w="693"/>
        <w:gridCol w:w="693"/>
      </w:tblGrid>
      <w:tr w:rsidR="00E848B3" w:rsidRPr="00E848B3" w14:paraId="2A8B0F86" w14:textId="77777777" w:rsidTr="00E848B3">
        <w:trPr>
          <w:trHeight w:val="300"/>
        </w:trPr>
        <w:tc>
          <w:tcPr>
            <w:tcW w:w="4305" w:type="dxa"/>
            <w:tcBorders>
              <w:bottom w:val="single" w:sz="4" w:space="0" w:color="auto"/>
            </w:tcBorders>
            <w:shd w:val="clear" w:color="auto" w:fill="D9D9D9"/>
            <w:noWrap/>
            <w:hideMark/>
          </w:tcPr>
          <w:p w14:paraId="1243B66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Setor</w:t>
            </w:r>
          </w:p>
        </w:tc>
        <w:tc>
          <w:tcPr>
            <w:tcW w:w="960" w:type="dxa"/>
            <w:tcBorders>
              <w:bottom w:val="single" w:sz="4" w:space="0" w:color="auto"/>
            </w:tcBorders>
            <w:shd w:val="clear" w:color="auto" w:fill="D9D9D9"/>
            <w:noWrap/>
            <w:hideMark/>
          </w:tcPr>
          <w:p w14:paraId="4AB92A3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AL</w:t>
            </w:r>
          </w:p>
        </w:tc>
        <w:tc>
          <w:tcPr>
            <w:tcW w:w="960" w:type="dxa"/>
            <w:tcBorders>
              <w:bottom w:val="single" w:sz="4" w:space="0" w:color="auto"/>
            </w:tcBorders>
            <w:shd w:val="clear" w:color="auto" w:fill="D9D9D9"/>
            <w:noWrap/>
            <w:hideMark/>
          </w:tcPr>
          <w:p w14:paraId="3C946A0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BA</w:t>
            </w:r>
          </w:p>
        </w:tc>
        <w:tc>
          <w:tcPr>
            <w:tcW w:w="960" w:type="dxa"/>
            <w:tcBorders>
              <w:bottom w:val="single" w:sz="4" w:space="0" w:color="auto"/>
            </w:tcBorders>
            <w:shd w:val="clear" w:color="auto" w:fill="D9D9D9"/>
            <w:noWrap/>
            <w:hideMark/>
          </w:tcPr>
          <w:p w14:paraId="24B53CC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CE</w:t>
            </w:r>
          </w:p>
        </w:tc>
        <w:tc>
          <w:tcPr>
            <w:tcW w:w="960" w:type="dxa"/>
            <w:tcBorders>
              <w:bottom w:val="single" w:sz="4" w:space="0" w:color="auto"/>
            </w:tcBorders>
            <w:shd w:val="clear" w:color="auto" w:fill="D9D9D9"/>
            <w:noWrap/>
            <w:hideMark/>
          </w:tcPr>
          <w:p w14:paraId="57EA7AA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MA</w:t>
            </w:r>
          </w:p>
        </w:tc>
        <w:tc>
          <w:tcPr>
            <w:tcW w:w="960" w:type="dxa"/>
            <w:tcBorders>
              <w:bottom w:val="single" w:sz="4" w:space="0" w:color="auto"/>
            </w:tcBorders>
            <w:shd w:val="clear" w:color="auto" w:fill="D9D9D9"/>
            <w:noWrap/>
            <w:hideMark/>
          </w:tcPr>
          <w:p w14:paraId="596F83D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PB</w:t>
            </w:r>
          </w:p>
        </w:tc>
        <w:tc>
          <w:tcPr>
            <w:tcW w:w="960" w:type="dxa"/>
            <w:tcBorders>
              <w:bottom w:val="single" w:sz="4" w:space="0" w:color="auto"/>
            </w:tcBorders>
            <w:shd w:val="clear" w:color="auto" w:fill="D9D9D9"/>
            <w:noWrap/>
            <w:hideMark/>
          </w:tcPr>
          <w:p w14:paraId="2622045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PE</w:t>
            </w:r>
          </w:p>
        </w:tc>
        <w:tc>
          <w:tcPr>
            <w:tcW w:w="960" w:type="dxa"/>
            <w:tcBorders>
              <w:bottom w:val="single" w:sz="4" w:space="0" w:color="auto"/>
            </w:tcBorders>
            <w:shd w:val="clear" w:color="auto" w:fill="D9D9D9"/>
            <w:noWrap/>
            <w:hideMark/>
          </w:tcPr>
          <w:p w14:paraId="020DFFD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PI</w:t>
            </w:r>
          </w:p>
        </w:tc>
        <w:tc>
          <w:tcPr>
            <w:tcW w:w="960" w:type="dxa"/>
            <w:tcBorders>
              <w:bottom w:val="single" w:sz="4" w:space="0" w:color="auto"/>
            </w:tcBorders>
            <w:shd w:val="clear" w:color="auto" w:fill="D9D9D9"/>
            <w:noWrap/>
            <w:hideMark/>
          </w:tcPr>
          <w:p w14:paraId="6E1B7F7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RN</w:t>
            </w:r>
          </w:p>
        </w:tc>
        <w:tc>
          <w:tcPr>
            <w:tcW w:w="960" w:type="dxa"/>
            <w:tcBorders>
              <w:bottom w:val="single" w:sz="4" w:space="0" w:color="auto"/>
            </w:tcBorders>
            <w:shd w:val="clear" w:color="auto" w:fill="D9D9D9"/>
            <w:noWrap/>
            <w:hideMark/>
          </w:tcPr>
          <w:p w14:paraId="2FF6CFB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w:t>
            </w:r>
          </w:p>
        </w:tc>
      </w:tr>
      <w:tr w:rsidR="00E848B3" w:rsidRPr="00E848B3" w14:paraId="29CA541C" w14:textId="77777777" w:rsidTr="001D0C0D">
        <w:trPr>
          <w:trHeight w:val="300"/>
        </w:trPr>
        <w:tc>
          <w:tcPr>
            <w:tcW w:w="4305" w:type="dxa"/>
            <w:tcBorders>
              <w:top w:val="single" w:sz="4" w:space="0" w:color="auto"/>
            </w:tcBorders>
            <w:noWrap/>
            <w:hideMark/>
          </w:tcPr>
          <w:p w14:paraId="33DF471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Extrativa mineral</w:t>
            </w:r>
          </w:p>
        </w:tc>
        <w:tc>
          <w:tcPr>
            <w:tcW w:w="960" w:type="dxa"/>
            <w:tcBorders>
              <w:top w:val="single" w:sz="4" w:space="0" w:color="auto"/>
            </w:tcBorders>
            <w:noWrap/>
            <w:hideMark/>
          </w:tcPr>
          <w:p w14:paraId="17B64AA5"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0,486</w:t>
            </w:r>
          </w:p>
        </w:tc>
        <w:tc>
          <w:tcPr>
            <w:tcW w:w="960" w:type="dxa"/>
            <w:tcBorders>
              <w:top w:val="single" w:sz="4" w:space="0" w:color="auto"/>
            </w:tcBorders>
            <w:noWrap/>
            <w:hideMark/>
          </w:tcPr>
          <w:p w14:paraId="475A4BE5"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1,745</w:t>
            </w:r>
          </w:p>
        </w:tc>
        <w:tc>
          <w:tcPr>
            <w:tcW w:w="960" w:type="dxa"/>
            <w:tcBorders>
              <w:top w:val="single" w:sz="4" w:space="0" w:color="auto"/>
            </w:tcBorders>
            <w:noWrap/>
            <w:hideMark/>
          </w:tcPr>
          <w:p w14:paraId="6E1E739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0,540</w:t>
            </w:r>
          </w:p>
        </w:tc>
        <w:tc>
          <w:tcPr>
            <w:tcW w:w="960" w:type="dxa"/>
            <w:tcBorders>
              <w:top w:val="single" w:sz="4" w:space="0" w:color="auto"/>
            </w:tcBorders>
            <w:noWrap/>
            <w:hideMark/>
          </w:tcPr>
          <w:p w14:paraId="2146760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0,539</w:t>
            </w:r>
          </w:p>
        </w:tc>
        <w:tc>
          <w:tcPr>
            <w:tcW w:w="960" w:type="dxa"/>
            <w:tcBorders>
              <w:top w:val="single" w:sz="4" w:space="0" w:color="auto"/>
            </w:tcBorders>
            <w:noWrap/>
            <w:hideMark/>
          </w:tcPr>
          <w:p w14:paraId="272AA75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0,450</w:t>
            </w:r>
          </w:p>
        </w:tc>
        <w:tc>
          <w:tcPr>
            <w:tcW w:w="960" w:type="dxa"/>
            <w:tcBorders>
              <w:top w:val="single" w:sz="4" w:space="0" w:color="auto"/>
            </w:tcBorders>
            <w:noWrap/>
            <w:hideMark/>
          </w:tcPr>
          <w:p w14:paraId="2A61677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0,241</w:t>
            </w:r>
          </w:p>
        </w:tc>
        <w:tc>
          <w:tcPr>
            <w:tcW w:w="960" w:type="dxa"/>
            <w:tcBorders>
              <w:top w:val="single" w:sz="4" w:space="0" w:color="auto"/>
            </w:tcBorders>
            <w:noWrap/>
            <w:hideMark/>
          </w:tcPr>
          <w:p w14:paraId="75CA9A3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0,328</w:t>
            </w:r>
          </w:p>
        </w:tc>
        <w:tc>
          <w:tcPr>
            <w:tcW w:w="960" w:type="dxa"/>
            <w:tcBorders>
              <w:top w:val="single" w:sz="4" w:space="0" w:color="auto"/>
            </w:tcBorders>
            <w:noWrap/>
            <w:hideMark/>
          </w:tcPr>
          <w:p w14:paraId="788C12D6"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3,175</w:t>
            </w:r>
          </w:p>
        </w:tc>
        <w:tc>
          <w:tcPr>
            <w:tcW w:w="960" w:type="dxa"/>
            <w:tcBorders>
              <w:top w:val="single" w:sz="4" w:space="0" w:color="auto"/>
            </w:tcBorders>
            <w:noWrap/>
            <w:hideMark/>
          </w:tcPr>
          <w:p w14:paraId="30BBA589"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1,528</w:t>
            </w:r>
          </w:p>
        </w:tc>
      </w:tr>
      <w:tr w:rsidR="00E848B3" w:rsidRPr="00E848B3" w14:paraId="59DD1876" w14:textId="77777777" w:rsidTr="001D0C0D">
        <w:trPr>
          <w:trHeight w:val="300"/>
        </w:trPr>
        <w:tc>
          <w:tcPr>
            <w:tcW w:w="4305" w:type="dxa"/>
            <w:noWrap/>
            <w:hideMark/>
          </w:tcPr>
          <w:p w14:paraId="520979C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Indústria de transformação</w:t>
            </w:r>
          </w:p>
        </w:tc>
        <w:tc>
          <w:tcPr>
            <w:tcW w:w="960" w:type="dxa"/>
            <w:noWrap/>
            <w:hideMark/>
          </w:tcPr>
          <w:p w14:paraId="5090DB2C"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1,280</w:t>
            </w:r>
          </w:p>
        </w:tc>
        <w:tc>
          <w:tcPr>
            <w:tcW w:w="960" w:type="dxa"/>
            <w:noWrap/>
            <w:hideMark/>
          </w:tcPr>
          <w:p w14:paraId="6034FCB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0,875</w:t>
            </w:r>
          </w:p>
        </w:tc>
        <w:tc>
          <w:tcPr>
            <w:tcW w:w="960" w:type="dxa"/>
            <w:noWrap/>
            <w:hideMark/>
          </w:tcPr>
          <w:p w14:paraId="6BCF576F"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1,412</w:t>
            </w:r>
          </w:p>
        </w:tc>
        <w:tc>
          <w:tcPr>
            <w:tcW w:w="960" w:type="dxa"/>
            <w:noWrap/>
            <w:hideMark/>
          </w:tcPr>
          <w:p w14:paraId="0C5A398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0,441</w:t>
            </w:r>
          </w:p>
        </w:tc>
        <w:tc>
          <w:tcPr>
            <w:tcW w:w="960" w:type="dxa"/>
            <w:noWrap/>
            <w:hideMark/>
          </w:tcPr>
          <w:p w14:paraId="7C5EDCB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0,980</w:t>
            </w:r>
          </w:p>
        </w:tc>
        <w:tc>
          <w:tcPr>
            <w:tcW w:w="960" w:type="dxa"/>
            <w:noWrap/>
            <w:hideMark/>
          </w:tcPr>
          <w:p w14:paraId="5E465A6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1,168</w:t>
            </w:r>
          </w:p>
        </w:tc>
        <w:tc>
          <w:tcPr>
            <w:tcW w:w="960" w:type="dxa"/>
            <w:noWrap/>
            <w:hideMark/>
          </w:tcPr>
          <w:p w14:paraId="4C07206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0,538</w:t>
            </w:r>
          </w:p>
        </w:tc>
        <w:tc>
          <w:tcPr>
            <w:tcW w:w="960" w:type="dxa"/>
            <w:noWrap/>
            <w:hideMark/>
          </w:tcPr>
          <w:p w14:paraId="4873A48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0,856</w:t>
            </w:r>
          </w:p>
        </w:tc>
        <w:tc>
          <w:tcPr>
            <w:tcW w:w="960" w:type="dxa"/>
            <w:noWrap/>
            <w:hideMark/>
          </w:tcPr>
          <w:p w14:paraId="177AB77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0,998</w:t>
            </w:r>
          </w:p>
        </w:tc>
      </w:tr>
      <w:tr w:rsidR="00E848B3" w:rsidRPr="00E848B3" w14:paraId="41129844" w14:textId="77777777" w:rsidTr="001D0C0D">
        <w:trPr>
          <w:trHeight w:val="300"/>
        </w:trPr>
        <w:tc>
          <w:tcPr>
            <w:tcW w:w="4305" w:type="dxa"/>
            <w:noWrap/>
            <w:hideMark/>
          </w:tcPr>
          <w:p w14:paraId="1200449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Serviços industriais de utilidade pública</w:t>
            </w:r>
          </w:p>
        </w:tc>
        <w:tc>
          <w:tcPr>
            <w:tcW w:w="960" w:type="dxa"/>
            <w:noWrap/>
            <w:hideMark/>
          </w:tcPr>
          <w:p w14:paraId="2F54AAB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0,883</w:t>
            </w:r>
          </w:p>
        </w:tc>
        <w:tc>
          <w:tcPr>
            <w:tcW w:w="960" w:type="dxa"/>
            <w:noWrap/>
            <w:hideMark/>
          </w:tcPr>
          <w:p w14:paraId="5E257E4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1,142</w:t>
            </w:r>
          </w:p>
        </w:tc>
        <w:tc>
          <w:tcPr>
            <w:tcW w:w="960" w:type="dxa"/>
            <w:noWrap/>
            <w:hideMark/>
          </w:tcPr>
          <w:p w14:paraId="5F6B31A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0,634</w:t>
            </w:r>
          </w:p>
        </w:tc>
        <w:tc>
          <w:tcPr>
            <w:tcW w:w="960" w:type="dxa"/>
            <w:noWrap/>
            <w:hideMark/>
          </w:tcPr>
          <w:p w14:paraId="2E5DB4A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0,747</w:t>
            </w:r>
          </w:p>
        </w:tc>
        <w:tc>
          <w:tcPr>
            <w:tcW w:w="960" w:type="dxa"/>
            <w:noWrap/>
            <w:hideMark/>
          </w:tcPr>
          <w:p w14:paraId="5BE85FB4"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1,022</w:t>
            </w:r>
          </w:p>
        </w:tc>
        <w:tc>
          <w:tcPr>
            <w:tcW w:w="960" w:type="dxa"/>
            <w:noWrap/>
            <w:hideMark/>
          </w:tcPr>
          <w:p w14:paraId="7CAC71F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1,141</w:t>
            </w:r>
          </w:p>
        </w:tc>
        <w:tc>
          <w:tcPr>
            <w:tcW w:w="960" w:type="dxa"/>
            <w:noWrap/>
            <w:hideMark/>
          </w:tcPr>
          <w:p w14:paraId="7E9C774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0,898</w:t>
            </w:r>
          </w:p>
        </w:tc>
        <w:tc>
          <w:tcPr>
            <w:tcW w:w="960" w:type="dxa"/>
            <w:noWrap/>
            <w:hideMark/>
          </w:tcPr>
          <w:p w14:paraId="5397DBBE"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1,100</w:t>
            </w:r>
          </w:p>
        </w:tc>
        <w:tc>
          <w:tcPr>
            <w:tcW w:w="960" w:type="dxa"/>
            <w:noWrap/>
            <w:hideMark/>
          </w:tcPr>
          <w:p w14:paraId="03D5EDD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1,602</w:t>
            </w:r>
          </w:p>
        </w:tc>
      </w:tr>
      <w:tr w:rsidR="00E848B3" w:rsidRPr="00E848B3" w14:paraId="2CFEDFEB" w14:textId="77777777" w:rsidTr="001D0C0D">
        <w:trPr>
          <w:trHeight w:val="300"/>
        </w:trPr>
        <w:tc>
          <w:tcPr>
            <w:tcW w:w="4305" w:type="dxa"/>
            <w:noWrap/>
            <w:hideMark/>
          </w:tcPr>
          <w:p w14:paraId="01683AE7"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Construção Civil</w:t>
            </w:r>
          </w:p>
        </w:tc>
        <w:tc>
          <w:tcPr>
            <w:tcW w:w="960" w:type="dxa"/>
            <w:noWrap/>
            <w:hideMark/>
          </w:tcPr>
          <w:p w14:paraId="16A86D5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0,982</w:t>
            </w:r>
          </w:p>
        </w:tc>
        <w:tc>
          <w:tcPr>
            <w:tcW w:w="960" w:type="dxa"/>
            <w:noWrap/>
            <w:hideMark/>
          </w:tcPr>
          <w:p w14:paraId="56783A2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1,115</w:t>
            </w:r>
          </w:p>
        </w:tc>
        <w:tc>
          <w:tcPr>
            <w:tcW w:w="960" w:type="dxa"/>
            <w:noWrap/>
            <w:hideMark/>
          </w:tcPr>
          <w:p w14:paraId="5D5C372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0,927</w:t>
            </w:r>
          </w:p>
        </w:tc>
        <w:tc>
          <w:tcPr>
            <w:tcW w:w="960" w:type="dxa"/>
            <w:noWrap/>
            <w:hideMark/>
          </w:tcPr>
          <w:p w14:paraId="35BBFBA7"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1,123</w:t>
            </w:r>
          </w:p>
        </w:tc>
        <w:tc>
          <w:tcPr>
            <w:tcW w:w="960" w:type="dxa"/>
            <w:noWrap/>
            <w:hideMark/>
          </w:tcPr>
          <w:p w14:paraId="07B20984"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1,024</w:t>
            </w:r>
          </w:p>
        </w:tc>
        <w:tc>
          <w:tcPr>
            <w:tcW w:w="960" w:type="dxa"/>
            <w:noWrap/>
            <w:hideMark/>
          </w:tcPr>
          <w:p w14:paraId="5423CA3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0,828</w:t>
            </w:r>
          </w:p>
        </w:tc>
        <w:tc>
          <w:tcPr>
            <w:tcW w:w="960" w:type="dxa"/>
            <w:noWrap/>
            <w:hideMark/>
          </w:tcPr>
          <w:p w14:paraId="7C129CB0"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1,076</w:t>
            </w:r>
          </w:p>
        </w:tc>
        <w:tc>
          <w:tcPr>
            <w:tcW w:w="960" w:type="dxa"/>
            <w:noWrap/>
            <w:hideMark/>
          </w:tcPr>
          <w:p w14:paraId="711208EA"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1,014</w:t>
            </w:r>
          </w:p>
        </w:tc>
        <w:tc>
          <w:tcPr>
            <w:tcW w:w="960" w:type="dxa"/>
            <w:noWrap/>
            <w:hideMark/>
          </w:tcPr>
          <w:p w14:paraId="5BECF84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0,938</w:t>
            </w:r>
          </w:p>
        </w:tc>
      </w:tr>
      <w:tr w:rsidR="00E848B3" w:rsidRPr="00E848B3" w14:paraId="16A48849" w14:textId="77777777" w:rsidTr="001D0C0D">
        <w:trPr>
          <w:trHeight w:val="300"/>
        </w:trPr>
        <w:tc>
          <w:tcPr>
            <w:tcW w:w="4305" w:type="dxa"/>
            <w:noWrap/>
            <w:hideMark/>
          </w:tcPr>
          <w:p w14:paraId="48E0FF7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Comércio</w:t>
            </w:r>
          </w:p>
        </w:tc>
        <w:tc>
          <w:tcPr>
            <w:tcW w:w="960" w:type="dxa"/>
            <w:noWrap/>
            <w:hideMark/>
          </w:tcPr>
          <w:p w14:paraId="7AB4F11C"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0,950</w:t>
            </w:r>
          </w:p>
        </w:tc>
        <w:tc>
          <w:tcPr>
            <w:tcW w:w="960" w:type="dxa"/>
            <w:noWrap/>
            <w:hideMark/>
          </w:tcPr>
          <w:p w14:paraId="0A92B590"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1,035</w:t>
            </w:r>
          </w:p>
        </w:tc>
        <w:tc>
          <w:tcPr>
            <w:tcW w:w="960" w:type="dxa"/>
            <w:noWrap/>
            <w:hideMark/>
          </w:tcPr>
          <w:p w14:paraId="394C087D"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0,923</w:t>
            </w:r>
          </w:p>
        </w:tc>
        <w:tc>
          <w:tcPr>
            <w:tcW w:w="960" w:type="dxa"/>
            <w:noWrap/>
            <w:hideMark/>
          </w:tcPr>
          <w:p w14:paraId="34EE7F9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1,098</w:t>
            </w:r>
          </w:p>
        </w:tc>
        <w:tc>
          <w:tcPr>
            <w:tcW w:w="960" w:type="dxa"/>
            <w:noWrap/>
            <w:hideMark/>
          </w:tcPr>
          <w:p w14:paraId="3CA0EDE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0,891</w:t>
            </w:r>
          </w:p>
        </w:tc>
        <w:tc>
          <w:tcPr>
            <w:tcW w:w="960" w:type="dxa"/>
            <w:noWrap/>
            <w:hideMark/>
          </w:tcPr>
          <w:p w14:paraId="04D3F6B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1,003</w:t>
            </w:r>
          </w:p>
        </w:tc>
        <w:tc>
          <w:tcPr>
            <w:tcW w:w="960" w:type="dxa"/>
            <w:noWrap/>
            <w:hideMark/>
          </w:tcPr>
          <w:p w14:paraId="52AD642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1,110</w:t>
            </w:r>
          </w:p>
        </w:tc>
        <w:tc>
          <w:tcPr>
            <w:tcW w:w="960" w:type="dxa"/>
            <w:noWrap/>
            <w:hideMark/>
          </w:tcPr>
          <w:p w14:paraId="60E7646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1,044</w:t>
            </w:r>
          </w:p>
        </w:tc>
        <w:tc>
          <w:tcPr>
            <w:tcW w:w="960" w:type="dxa"/>
            <w:noWrap/>
            <w:hideMark/>
          </w:tcPr>
          <w:p w14:paraId="2803035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0,938</w:t>
            </w:r>
          </w:p>
        </w:tc>
      </w:tr>
      <w:tr w:rsidR="00E848B3" w:rsidRPr="00E848B3" w14:paraId="72C4E96A" w14:textId="77777777" w:rsidTr="001D0C0D">
        <w:trPr>
          <w:trHeight w:val="300"/>
        </w:trPr>
        <w:tc>
          <w:tcPr>
            <w:tcW w:w="4305" w:type="dxa"/>
            <w:noWrap/>
            <w:hideMark/>
          </w:tcPr>
          <w:p w14:paraId="410D244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Serviços</w:t>
            </w:r>
          </w:p>
        </w:tc>
        <w:tc>
          <w:tcPr>
            <w:tcW w:w="960" w:type="dxa"/>
            <w:noWrap/>
            <w:hideMark/>
          </w:tcPr>
          <w:p w14:paraId="30355D69"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0,870</w:t>
            </w:r>
          </w:p>
        </w:tc>
        <w:tc>
          <w:tcPr>
            <w:tcW w:w="960" w:type="dxa"/>
            <w:noWrap/>
            <w:hideMark/>
          </w:tcPr>
          <w:p w14:paraId="0A4D3FA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1,021</w:t>
            </w:r>
          </w:p>
        </w:tc>
        <w:tc>
          <w:tcPr>
            <w:tcW w:w="960" w:type="dxa"/>
            <w:noWrap/>
            <w:hideMark/>
          </w:tcPr>
          <w:p w14:paraId="50903147"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1,073</w:t>
            </w:r>
          </w:p>
        </w:tc>
        <w:tc>
          <w:tcPr>
            <w:tcW w:w="960" w:type="dxa"/>
            <w:noWrap/>
            <w:hideMark/>
          </w:tcPr>
          <w:p w14:paraId="46BF467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0,835</w:t>
            </w:r>
          </w:p>
        </w:tc>
        <w:tc>
          <w:tcPr>
            <w:tcW w:w="960" w:type="dxa"/>
            <w:noWrap/>
            <w:hideMark/>
          </w:tcPr>
          <w:p w14:paraId="32FE01C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0,856</w:t>
            </w:r>
          </w:p>
        </w:tc>
        <w:tc>
          <w:tcPr>
            <w:tcW w:w="960" w:type="dxa"/>
            <w:noWrap/>
            <w:hideMark/>
          </w:tcPr>
          <w:p w14:paraId="55969631"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1,092</w:t>
            </w:r>
          </w:p>
        </w:tc>
        <w:tc>
          <w:tcPr>
            <w:tcW w:w="960" w:type="dxa"/>
            <w:noWrap/>
            <w:hideMark/>
          </w:tcPr>
          <w:p w14:paraId="0D0CB56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0,935</w:t>
            </w:r>
          </w:p>
        </w:tc>
        <w:tc>
          <w:tcPr>
            <w:tcW w:w="960" w:type="dxa"/>
            <w:noWrap/>
            <w:hideMark/>
          </w:tcPr>
          <w:p w14:paraId="3B984E4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0,985</w:t>
            </w:r>
          </w:p>
        </w:tc>
        <w:tc>
          <w:tcPr>
            <w:tcW w:w="960" w:type="dxa"/>
            <w:noWrap/>
            <w:hideMark/>
          </w:tcPr>
          <w:p w14:paraId="5D00623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1,057</w:t>
            </w:r>
          </w:p>
        </w:tc>
      </w:tr>
      <w:tr w:rsidR="00E848B3" w:rsidRPr="00E848B3" w14:paraId="5E352E1D" w14:textId="77777777" w:rsidTr="001D0C0D">
        <w:trPr>
          <w:trHeight w:val="300"/>
        </w:trPr>
        <w:tc>
          <w:tcPr>
            <w:tcW w:w="4305" w:type="dxa"/>
            <w:noWrap/>
            <w:hideMark/>
          </w:tcPr>
          <w:p w14:paraId="073B7701"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Administração Pública</w:t>
            </w:r>
          </w:p>
        </w:tc>
        <w:tc>
          <w:tcPr>
            <w:tcW w:w="960" w:type="dxa"/>
            <w:noWrap/>
            <w:hideMark/>
          </w:tcPr>
          <w:p w14:paraId="0F511FA2"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1,127</w:t>
            </w:r>
          </w:p>
        </w:tc>
        <w:tc>
          <w:tcPr>
            <w:tcW w:w="960" w:type="dxa"/>
            <w:noWrap/>
            <w:hideMark/>
          </w:tcPr>
          <w:p w14:paraId="36373B28"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0,919</w:t>
            </w:r>
          </w:p>
        </w:tc>
        <w:tc>
          <w:tcPr>
            <w:tcW w:w="960" w:type="dxa"/>
            <w:noWrap/>
            <w:hideMark/>
          </w:tcPr>
          <w:p w14:paraId="7FE534EF"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0,876</w:t>
            </w:r>
          </w:p>
        </w:tc>
        <w:tc>
          <w:tcPr>
            <w:tcW w:w="960" w:type="dxa"/>
            <w:noWrap/>
            <w:hideMark/>
          </w:tcPr>
          <w:p w14:paraId="172CB900"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1,372</w:t>
            </w:r>
          </w:p>
        </w:tc>
        <w:tc>
          <w:tcPr>
            <w:tcW w:w="960" w:type="dxa"/>
            <w:noWrap/>
            <w:hideMark/>
          </w:tcPr>
          <w:p w14:paraId="29C1F85D"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1,281</w:t>
            </w:r>
          </w:p>
        </w:tc>
        <w:tc>
          <w:tcPr>
            <w:tcW w:w="960" w:type="dxa"/>
            <w:noWrap/>
            <w:hideMark/>
          </w:tcPr>
          <w:p w14:paraId="1161C694"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0,839</w:t>
            </w:r>
          </w:p>
        </w:tc>
        <w:tc>
          <w:tcPr>
            <w:tcW w:w="960" w:type="dxa"/>
            <w:noWrap/>
            <w:hideMark/>
          </w:tcPr>
          <w:p w14:paraId="6F0BD77B"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1,226</w:t>
            </w:r>
          </w:p>
        </w:tc>
        <w:tc>
          <w:tcPr>
            <w:tcW w:w="960" w:type="dxa"/>
            <w:noWrap/>
            <w:hideMark/>
          </w:tcPr>
          <w:p w14:paraId="345680F8"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1,000</w:t>
            </w:r>
          </w:p>
        </w:tc>
        <w:tc>
          <w:tcPr>
            <w:tcW w:w="960" w:type="dxa"/>
            <w:noWrap/>
            <w:hideMark/>
          </w:tcPr>
          <w:p w14:paraId="759E8A86"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0,961</w:t>
            </w:r>
          </w:p>
        </w:tc>
      </w:tr>
      <w:tr w:rsidR="00E848B3" w:rsidRPr="00E848B3" w14:paraId="177DF2E4" w14:textId="77777777" w:rsidTr="001D0C0D">
        <w:trPr>
          <w:trHeight w:val="300"/>
        </w:trPr>
        <w:tc>
          <w:tcPr>
            <w:tcW w:w="4305" w:type="dxa"/>
            <w:noWrap/>
            <w:hideMark/>
          </w:tcPr>
          <w:p w14:paraId="3936FD0E"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Agropecuária, extração vegetal, caça e pesca</w:t>
            </w:r>
          </w:p>
        </w:tc>
        <w:tc>
          <w:tcPr>
            <w:tcW w:w="960" w:type="dxa"/>
            <w:noWrap/>
            <w:hideMark/>
          </w:tcPr>
          <w:p w14:paraId="0D96D8DB"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0,691</w:t>
            </w:r>
          </w:p>
        </w:tc>
        <w:tc>
          <w:tcPr>
            <w:tcW w:w="960" w:type="dxa"/>
            <w:noWrap/>
            <w:hideMark/>
          </w:tcPr>
          <w:p w14:paraId="6F0A0A12"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1,444</w:t>
            </w:r>
          </w:p>
        </w:tc>
        <w:tc>
          <w:tcPr>
            <w:tcW w:w="960" w:type="dxa"/>
            <w:noWrap/>
            <w:hideMark/>
          </w:tcPr>
          <w:p w14:paraId="6F313D70"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0,529</w:t>
            </w:r>
          </w:p>
        </w:tc>
        <w:tc>
          <w:tcPr>
            <w:tcW w:w="960" w:type="dxa"/>
            <w:noWrap/>
            <w:hideMark/>
          </w:tcPr>
          <w:p w14:paraId="4F0ED6EA"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0,912</w:t>
            </w:r>
          </w:p>
        </w:tc>
        <w:tc>
          <w:tcPr>
            <w:tcW w:w="960" w:type="dxa"/>
            <w:noWrap/>
            <w:hideMark/>
          </w:tcPr>
          <w:p w14:paraId="0757B82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0,823</w:t>
            </w:r>
          </w:p>
        </w:tc>
        <w:tc>
          <w:tcPr>
            <w:tcW w:w="960" w:type="dxa"/>
            <w:noWrap/>
            <w:hideMark/>
          </w:tcPr>
          <w:p w14:paraId="4B3FC41F"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1,098</w:t>
            </w:r>
          </w:p>
        </w:tc>
        <w:tc>
          <w:tcPr>
            <w:tcW w:w="960" w:type="dxa"/>
            <w:noWrap/>
            <w:hideMark/>
          </w:tcPr>
          <w:p w14:paraId="6853B5F2"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0,732</w:t>
            </w:r>
          </w:p>
        </w:tc>
        <w:tc>
          <w:tcPr>
            <w:tcW w:w="960" w:type="dxa"/>
            <w:noWrap/>
            <w:hideMark/>
          </w:tcPr>
          <w:p w14:paraId="6E77F933" w14:textId="77777777" w:rsidR="00E848B3" w:rsidRPr="00E848B3" w:rsidRDefault="00E848B3" w:rsidP="00E848B3">
            <w:pPr>
              <w:spacing w:after="0" w:line="240" w:lineRule="auto"/>
              <w:rPr>
                <w:rFonts w:ascii="Times New Roman" w:eastAsia="Calibri" w:hAnsi="Times New Roman" w:cs="Times New Roman"/>
                <w:bCs/>
                <w:sz w:val="20"/>
                <w:szCs w:val="20"/>
              </w:rPr>
            </w:pPr>
            <w:r w:rsidRPr="00E848B3">
              <w:rPr>
                <w:rFonts w:ascii="Times New Roman" w:eastAsia="Calibri" w:hAnsi="Times New Roman" w:cs="Times New Roman"/>
                <w:bCs/>
                <w:sz w:val="20"/>
                <w:szCs w:val="20"/>
              </w:rPr>
              <w:t>1,069</w:t>
            </w:r>
          </w:p>
        </w:tc>
        <w:tc>
          <w:tcPr>
            <w:tcW w:w="960" w:type="dxa"/>
            <w:noWrap/>
            <w:hideMark/>
          </w:tcPr>
          <w:p w14:paraId="0BA01623" w14:textId="77777777" w:rsidR="00E848B3" w:rsidRPr="00E848B3" w:rsidRDefault="00E848B3" w:rsidP="00E848B3">
            <w:pPr>
              <w:spacing w:after="0" w:line="240" w:lineRule="auto"/>
              <w:rPr>
                <w:rFonts w:ascii="Times New Roman" w:eastAsia="Calibri" w:hAnsi="Times New Roman" w:cs="Times New Roman"/>
                <w:sz w:val="20"/>
                <w:szCs w:val="20"/>
              </w:rPr>
            </w:pPr>
            <w:r w:rsidRPr="00E848B3">
              <w:rPr>
                <w:rFonts w:ascii="Times New Roman" w:eastAsia="Calibri" w:hAnsi="Times New Roman" w:cs="Times New Roman"/>
                <w:sz w:val="20"/>
                <w:szCs w:val="20"/>
              </w:rPr>
              <w:t>0,909</w:t>
            </w:r>
          </w:p>
        </w:tc>
      </w:tr>
    </w:tbl>
    <w:p w14:paraId="55DBD4D1" w14:textId="77777777" w:rsidR="00E848B3" w:rsidRPr="00E848B3" w:rsidRDefault="00E848B3" w:rsidP="00E848B3">
      <w:pPr>
        <w:jc w:val="center"/>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6D803468" w14:textId="77777777" w:rsidR="00E848B3" w:rsidRPr="00E848B3" w:rsidRDefault="00E848B3" w:rsidP="00E848B3">
      <w:pPr>
        <w:spacing w:after="0"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 xml:space="preserve">Assim percebe-se que ao longo do período de 2010 a 2020 a localização do emprego foi sendo modificada. Apesar de que nos anos 2010 e 2015, identificam-se a mesma quantidade de </w:t>
      </w:r>
      <w:proofErr w:type="spellStart"/>
      <w:r w:rsidRPr="00E848B3">
        <w:rPr>
          <w:rFonts w:ascii="Times New Roman" w:eastAsia="Calibri" w:hAnsi="Times New Roman" w:cs="Times New Roman"/>
          <w:sz w:val="24"/>
        </w:rPr>
        <w:lastRenderedPageBreak/>
        <w:t>QLs</w:t>
      </w:r>
      <w:proofErr w:type="spellEnd"/>
      <w:r w:rsidRPr="00E848B3">
        <w:rPr>
          <w:rFonts w:ascii="Times New Roman" w:eastAsia="Calibri" w:hAnsi="Times New Roman" w:cs="Times New Roman"/>
          <w:sz w:val="24"/>
        </w:rPr>
        <w:t xml:space="preserve"> superiores a 1, ou seja, 35 índices de localização significativos. Porém o que se observa da Tabelas 3 para a Tabela 4 são mudanças, haja vista que de maneira geral, enquanto alguns indicadores se elevaram, outros reduziram, como é o caso dos indicadores da indústria extrativa mineral, que no caso do RN o indicador elevou-se e em SE, reduziu. </w:t>
      </w:r>
    </w:p>
    <w:p w14:paraId="6A677BDB" w14:textId="77777777" w:rsidR="00E848B3" w:rsidRPr="00E848B3" w:rsidRDefault="00E848B3" w:rsidP="00E848B3">
      <w:pPr>
        <w:spacing w:after="0" w:line="360" w:lineRule="auto"/>
        <w:ind w:firstLine="708"/>
        <w:jc w:val="both"/>
        <w:rPr>
          <w:rFonts w:ascii="Times New Roman" w:eastAsia="Calibri" w:hAnsi="Times New Roman" w:cs="Times New Roman"/>
          <w:sz w:val="24"/>
        </w:rPr>
      </w:pPr>
      <w:r w:rsidRPr="00E848B3">
        <w:rPr>
          <w:rFonts w:ascii="Times New Roman" w:eastAsia="Calibri" w:hAnsi="Times New Roman" w:cs="Times New Roman"/>
          <w:sz w:val="24"/>
        </w:rPr>
        <w:t>Quando se verifica o grau de localização de 2015 a 2020, constata-se uma maior diversificação do emprego nos setores produtivos, haja vista que o número de índices com localização significativa reduziu de 35 para 33. No que concerne as maiores especializações, verifica-se que em 2020, houve mudanças, haja vista que no RN o QL sofreu uma diminuição, porém continua o mais especializado no emprego da indústria extrativa mineral. Mas, quando se analisa a segunda maior localização, esta deixa de ser SE como nos anos de 2010 e 2015 e passa a ser Bahia, também na indústria extrativa.</w:t>
      </w:r>
    </w:p>
    <w:p w14:paraId="1F0766FD" w14:textId="77777777" w:rsidR="00E848B3" w:rsidRPr="00E848B3" w:rsidRDefault="00E848B3" w:rsidP="00E848B3">
      <w:pPr>
        <w:spacing w:after="0" w:line="360" w:lineRule="auto"/>
        <w:ind w:firstLine="708"/>
        <w:jc w:val="both"/>
        <w:rPr>
          <w:rFonts w:ascii="Times New Roman" w:eastAsia="Calibri" w:hAnsi="Times New Roman" w:cs="Times New Roman"/>
          <w:sz w:val="24"/>
        </w:rPr>
      </w:pPr>
      <w:r w:rsidRPr="00E848B3">
        <w:rPr>
          <w:rFonts w:ascii="Times New Roman" w:eastAsia="Calibri" w:hAnsi="Times New Roman" w:cs="Times New Roman"/>
          <w:sz w:val="24"/>
        </w:rPr>
        <w:t xml:space="preserve">Assim, conclui-se que apesar de muitos estados apresentarem grau de localização superior a unidade, a maior parte deles apresentou grau de especialização setorial abaixo de 1, sugerindo que estes possuem uma estrutura de emprego diversificada, enquanto que os com </w:t>
      </w:r>
      <w:proofErr w:type="spellStart"/>
      <w:r w:rsidRPr="00E848B3">
        <w:rPr>
          <w:rFonts w:ascii="Times New Roman" w:eastAsia="Calibri" w:hAnsi="Times New Roman" w:cs="Times New Roman"/>
          <w:sz w:val="24"/>
        </w:rPr>
        <w:t>QLs</w:t>
      </w:r>
      <w:proofErr w:type="spellEnd"/>
      <w:r w:rsidRPr="00E848B3">
        <w:rPr>
          <w:rFonts w:ascii="Times New Roman" w:eastAsia="Calibri" w:hAnsi="Times New Roman" w:cs="Times New Roman"/>
          <w:sz w:val="24"/>
        </w:rPr>
        <w:t xml:space="preserve"> superiores a um, dependem de um ou mais setores, o que pode estar associado a política da SUDENE de concentração de investimentos em alguns estados e que mesmo com as políticas de atração de investimentos estaduais, essa herança permanece.</w:t>
      </w:r>
    </w:p>
    <w:p w14:paraId="7A06B6FF" w14:textId="77777777" w:rsidR="00E848B3" w:rsidRPr="00E848B3" w:rsidRDefault="00E848B3" w:rsidP="00E848B3">
      <w:pPr>
        <w:rPr>
          <w:rFonts w:ascii="Times New Roman" w:eastAsia="Calibri" w:hAnsi="Times New Roman" w:cs="Times New Roman"/>
          <w:b/>
          <w:bCs/>
          <w:sz w:val="24"/>
        </w:rPr>
      </w:pPr>
      <w:r w:rsidRPr="00E848B3">
        <w:rPr>
          <w:rFonts w:ascii="Times New Roman" w:eastAsia="Calibri" w:hAnsi="Times New Roman" w:cs="Times New Roman"/>
          <w:b/>
          <w:bCs/>
          <w:sz w:val="24"/>
        </w:rPr>
        <w:t>4.3 Coeficiente de Especialização (CE)</w:t>
      </w:r>
    </w:p>
    <w:p w14:paraId="6EA75297" w14:textId="095FCBAD" w:rsidR="00E848B3" w:rsidRDefault="00E848B3" w:rsidP="00E848B3">
      <w:pPr>
        <w:spacing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t xml:space="preserve">De acordo com Lima </w:t>
      </w:r>
      <w:r w:rsidRPr="00E848B3">
        <w:rPr>
          <w:rFonts w:ascii="Times New Roman" w:eastAsia="Calibri" w:hAnsi="Times New Roman" w:cs="Times New Roman"/>
          <w:i/>
          <w:iCs/>
          <w:sz w:val="24"/>
        </w:rPr>
        <w:t>et al</w:t>
      </w:r>
      <w:r w:rsidRPr="00E848B3">
        <w:rPr>
          <w:rFonts w:ascii="Times New Roman" w:eastAsia="Calibri" w:hAnsi="Times New Roman" w:cs="Times New Roman"/>
          <w:sz w:val="24"/>
        </w:rPr>
        <w:t xml:space="preserve"> (2007), o coeficiente de especialização (CE) é um indicador regional, que foca na estrutura de produção de cada localidade, neste caso, os estados nordestinos com o objetivo de averiguar o grau de especialização destas economias em um período. Por meio desse indicador é possível comparar o emprego em um estado, como neste trabalho, em relação ao emprego do Nordeste. Quando mais próximo CE for de zero o estado tem composição do emprego semelhante à da região e, quanto mais próximo de 1, mais especializado é o estado em relação a região de referência. O Gráfico 1 apresenta os </w:t>
      </w:r>
      <w:proofErr w:type="spellStart"/>
      <w:r w:rsidRPr="00E848B3">
        <w:rPr>
          <w:rFonts w:ascii="Times New Roman" w:eastAsia="Calibri" w:hAnsi="Times New Roman" w:cs="Times New Roman"/>
          <w:sz w:val="24"/>
        </w:rPr>
        <w:t>CEs</w:t>
      </w:r>
      <w:proofErr w:type="spellEnd"/>
      <w:r w:rsidRPr="00E848B3">
        <w:rPr>
          <w:rFonts w:ascii="Times New Roman" w:eastAsia="Calibri" w:hAnsi="Times New Roman" w:cs="Times New Roman"/>
          <w:sz w:val="24"/>
        </w:rPr>
        <w:t xml:space="preserve"> dos estados nordestinos para os anos 2010, 2015 e 2020.</w:t>
      </w:r>
    </w:p>
    <w:p w14:paraId="3B156CA9" w14:textId="77777777" w:rsidR="00E04CCF" w:rsidRPr="00E848B3" w:rsidRDefault="00E04CCF" w:rsidP="00E848B3">
      <w:pPr>
        <w:spacing w:line="360" w:lineRule="auto"/>
        <w:jc w:val="both"/>
        <w:rPr>
          <w:rFonts w:ascii="Times New Roman" w:eastAsia="Calibri" w:hAnsi="Times New Roman" w:cs="Times New Roman"/>
          <w:sz w:val="24"/>
        </w:rPr>
      </w:pPr>
    </w:p>
    <w:p w14:paraId="241851BC" w14:textId="77777777" w:rsidR="00E848B3" w:rsidRPr="00E848B3" w:rsidRDefault="00E848B3" w:rsidP="00E848B3">
      <w:pPr>
        <w:spacing w:after="0" w:line="360" w:lineRule="auto"/>
        <w:jc w:val="center"/>
        <w:rPr>
          <w:rFonts w:ascii="Times New Roman" w:eastAsia="Calibri" w:hAnsi="Times New Roman" w:cs="Times New Roman"/>
          <w:sz w:val="24"/>
        </w:rPr>
      </w:pPr>
      <w:r w:rsidRPr="00E848B3">
        <w:rPr>
          <w:rFonts w:ascii="Times New Roman" w:eastAsia="Calibri" w:hAnsi="Times New Roman" w:cs="Times New Roman"/>
          <w:b/>
          <w:bCs/>
          <w:sz w:val="24"/>
        </w:rPr>
        <w:lastRenderedPageBreak/>
        <w:t>Gráfico 1 –</w:t>
      </w:r>
      <w:r w:rsidRPr="00E848B3">
        <w:rPr>
          <w:rFonts w:ascii="Times New Roman" w:eastAsia="Calibri" w:hAnsi="Times New Roman" w:cs="Times New Roman"/>
          <w:sz w:val="24"/>
        </w:rPr>
        <w:t xml:space="preserve"> Coeficiente de Especialização dos estados nordestinos nos anos de 2010, 2015 e 2020.</w:t>
      </w:r>
    </w:p>
    <w:p w14:paraId="54045BE8" w14:textId="77777777" w:rsidR="00E848B3" w:rsidRPr="00E848B3" w:rsidRDefault="00E848B3" w:rsidP="00E848B3">
      <w:pPr>
        <w:spacing w:after="0" w:line="240" w:lineRule="auto"/>
        <w:jc w:val="center"/>
        <w:rPr>
          <w:rFonts w:ascii="Times New Roman" w:eastAsia="Calibri" w:hAnsi="Times New Roman" w:cs="Times New Roman"/>
          <w:sz w:val="24"/>
        </w:rPr>
      </w:pPr>
      <w:r w:rsidRPr="00E848B3">
        <w:rPr>
          <w:rFonts w:ascii="Times New Roman" w:eastAsia="Calibri" w:hAnsi="Times New Roman" w:cs="Times New Roman"/>
          <w:noProof/>
          <w:sz w:val="24"/>
        </w:rPr>
        <w:drawing>
          <wp:inline distT="0" distB="0" distL="0" distR="0" wp14:anchorId="6B959CE5" wp14:editId="66B9D06A">
            <wp:extent cx="5524500" cy="1838325"/>
            <wp:effectExtent l="0" t="0" r="0" b="9525"/>
            <wp:docPr id="8" name="Gráfico 8">
              <a:extLst xmlns:a="http://schemas.openxmlformats.org/drawingml/2006/main">
                <a:ext uri="{FF2B5EF4-FFF2-40B4-BE49-F238E27FC236}">
                  <a16:creationId xmlns:a16="http://schemas.microsoft.com/office/drawing/2014/main" id="{517705D2-2AB3-331A-A46E-C235743A1B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46BF7A" w14:textId="77777777" w:rsidR="00E848B3" w:rsidRPr="00E848B3" w:rsidRDefault="00E848B3" w:rsidP="00E848B3">
      <w:pPr>
        <w:spacing w:after="0" w:line="240" w:lineRule="auto"/>
        <w:jc w:val="center"/>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232C9040" w14:textId="77777777" w:rsidR="00E848B3" w:rsidRPr="00E848B3" w:rsidRDefault="00E848B3" w:rsidP="00E848B3">
      <w:pPr>
        <w:spacing w:line="360" w:lineRule="auto"/>
        <w:jc w:val="both"/>
        <w:rPr>
          <w:rFonts w:ascii="Times New Roman" w:eastAsia="Calibri" w:hAnsi="Times New Roman" w:cs="Times New Roman"/>
          <w:sz w:val="24"/>
        </w:rPr>
      </w:pPr>
      <w:r w:rsidRPr="00E848B3">
        <w:rPr>
          <w:rFonts w:ascii="Times New Roman" w:eastAsia="Calibri" w:hAnsi="Times New Roman" w:cs="Times New Roman"/>
          <w:sz w:val="24"/>
        </w:rPr>
        <w:tab/>
      </w:r>
    </w:p>
    <w:p w14:paraId="7FA6B46C" w14:textId="77777777" w:rsidR="00E848B3" w:rsidRPr="00E848B3" w:rsidRDefault="00E848B3" w:rsidP="00E848B3">
      <w:pPr>
        <w:spacing w:line="360" w:lineRule="auto"/>
        <w:ind w:firstLine="708"/>
        <w:jc w:val="both"/>
        <w:rPr>
          <w:rFonts w:ascii="Times New Roman" w:eastAsia="Calibri" w:hAnsi="Times New Roman" w:cs="Times New Roman"/>
          <w:sz w:val="24"/>
        </w:rPr>
      </w:pPr>
      <w:r w:rsidRPr="00E848B3">
        <w:rPr>
          <w:rFonts w:ascii="Times New Roman" w:eastAsia="Calibri" w:hAnsi="Times New Roman" w:cs="Times New Roman"/>
          <w:sz w:val="24"/>
        </w:rPr>
        <w:t>Como se verifica no Gráfico 1, nenhum dos estados nordestinos apresentou grau de especialização da mão de obra próximo de 1, sugerindo que os estados tem uma estrutura produtiva próxima do Nordeste. Contudo, apesar de os indicadores serem baixos, tem-se que o estado do Maranhão se destacou por apresentar os maiores graus de especialização ao longo dos anos 2010 (0,26), 2015 (0,25) e 2020 (0,25). Enquanto que as menores especializações foram identificadas no Rio Grande do Norte, que apresentou os menores coeficientes de especialização (0,06; 0,05 e 0,04) nos anos estudados. Então sugere-se que o estado do Maranhão é especializado de em uma determinada atividade, enquanto que o Rio Grande do Norte possui uma estrutura de emprego mais semelhante à do Nordeste, quando comparado aos demais estados.</w:t>
      </w:r>
    </w:p>
    <w:p w14:paraId="396496E2" w14:textId="77777777" w:rsidR="00E848B3" w:rsidRPr="00E848B3" w:rsidRDefault="00E848B3" w:rsidP="00E848B3">
      <w:pPr>
        <w:rPr>
          <w:rFonts w:ascii="Times New Roman" w:eastAsia="Calibri" w:hAnsi="Times New Roman" w:cs="Times New Roman"/>
          <w:b/>
          <w:bCs/>
          <w:sz w:val="24"/>
        </w:rPr>
      </w:pPr>
      <w:r w:rsidRPr="00E848B3">
        <w:rPr>
          <w:rFonts w:ascii="Times New Roman" w:eastAsia="Calibri" w:hAnsi="Times New Roman" w:cs="Times New Roman"/>
          <w:b/>
          <w:bCs/>
          <w:sz w:val="24"/>
        </w:rPr>
        <w:t xml:space="preserve">4.4 </w:t>
      </w:r>
      <w:r w:rsidRPr="00E848B3">
        <w:rPr>
          <w:rFonts w:ascii="Times New Roman" w:eastAsia="Calibri" w:hAnsi="Times New Roman" w:cs="Times New Roman"/>
          <w:b/>
          <w:bCs/>
          <w:i/>
          <w:iCs/>
          <w:sz w:val="24"/>
        </w:rPr>
        <w:t>Shift-</w:t>
      </w:r>
      <w:proofErr w:type="spellStart"/>
      <w:r w:rsidRPr="00E848B3">
        <w:rPr>
          <w:rFonts w:ascii="Times New Roman" w:eastAsia="Calibri" w:hAnsi="Times New Roman" w:cs="Times New Roman"/>
          <w:b/>
          <w:bCs/>
          <w:i/>
          <w:iCs/>
          <w:sz w:val="24"/>
        </w:rPr>
        <w:t>Share</w:t>
      </w:r>
      <w:proofErr w:type="spellEnd"/>
      <w:r w:rsidRPr="00E848B3">
        <w:rPr>
          <w:rFonts w:ascii="Times New Roman" w:eastAsia="Calibri" w:hAnsi="Times New Roman" w:cs="Times New Roman"/>
          <w:b/>
          <w:bCs/>
          <w:sz w:val="24"/>
        </w:rPr>
        <w:t xml:space="preserve"> Clássico</w:t>
      </w:r>
    </w:p>
    <w:p w14:paraId="62FD3B7C" w14:textId="3FF66DCE" w:rsidR="00E848B3" w:rsidRDefault="00E848B3" w:rsidP="00E848B3">
      <w:pPr>
        <w:spacing w:line="360" w:lineRule="auto"/>
        <w:ind w:firstLine="708"/>
        <w:jc w:val="both"/>
        <w:rPr>
          <w:rFonts w:ascii="Times New Roman" w:eastAsia="Calibri" w:hAnsi="Times New Roman" w:cs="Times New Roman"/>
          <w:sz w:val="24"/>
        </w:rPr>
      </w:pPr>
      <w:r w:rsidRPr="00E848B3">
        <w:rPr>
          <w:rFonts w:ascii="Times New Roman" w:eastAsia="Calibri" w:hAnsi="Times New Roman" w:cs="Times New Roman"/>
          <w:sz w:val="24"/>
        </w:rPr>
        <w:t xml:space="preserve">Nesta seção apresentou-se os resultados referentes a metodologia </w:t>
      </w:r>
      <w:r w:rsidRPr="00E848B3">
        <w:rPr>
          <w:rFonts w:ascii="Times New Roman" w:eastAsia="Calibri" w:hAnsi="Times New Roman" w:cs="Times New Roman"/>
          <w:i/>
          <w:iCs/>
          <w:sz w:val="24"/>
        </w:rPr>
        <w:t xml:space="preserve">shift </w:t>
      </w:r>
      <w:proofErr w:type="spellStart"/>
      <w:r w:rsidRPr="00E848B3">
        <w:rPr>
          <w:rFonts w:ascii="Times New Roman" w:eastAsia="Calibri" w:hAnsi="Times New Roman" w:cs="Times New Roman"/>
          <w:i/>
          <w:iCs/>
          <w:sz w:val="24"/>
        </w:rPr>
        <w:t>share</w:t>
      </w:r>
      <w:proofErr w:type="spellEnd"/>
      <w:r w:rsidRPr="00E848B3">
        <w:rPr>
          <w:rFonts w:ascii="Times New Roman" w:eastAsia="Calibri" w:hAnsi="Times New Roman" w:cs="Times New Roman"/>
          <w:sz w:val="24"/>
        </w:rPr>
        <w:t xml:space="preserve"> clássica, primeiramente para o período de 2010 a 2015 (Gráfico 2) e em seguida para o período de 2015 a 2020 (Gráfico 3). Este método permite decompor o crescimento do emprego em três componentes, o Regional (N), Setorial (S) e o Estadual (R).</w:t>
      </w:r>
    </w:p>
    <w:p w14:paraId="6BDF4C94" w14:textId="6DF3FA6A" w:rsidR="00E04CCF" w:rsidRDefault="00E04CCF" w:rsidP="00E848B3">
      <w:pPr>
        <w:spacing w:line="360" w:lineRule="auto"/>
        <w:ind w:firstLine="708"/>
        <w:jc w:val="both"/>
        <w:rPr>
          <w:rFonts w:ascii="Times New Roman" w:eastAsia="Calibri" w:hAnsi="Times New Roman" w:cs="Times New Roman"/>
          <w:sz w:val="24"/>
        </w:rPr>
      </w:pPr>
    </w:p>
    <w:p w14:paraId="43DAAB45" w14:textId="77777777" w:rsidR="003B2E49" w:rsidRPr="00E848B3" w:rsidRDefault="003B2E49" w:rsidP="00E848B3">
      <w:pPr>
        <w:spacing w:line="360" w:lineRule="auto"/>
        <w:ind w:firstLine="708"/>
        <w:jc w:val="both"/>
        <w:rPr>
          <w:rFonts w:ascii="Times New Roman" w:eastAsia="Calibri" w:hAnsi="Times New Roman" w:cs="Times New Roman"/>
          <w:sz w:val="24"/>
        </w:rPr>
      </w:pPr>
    </w:p>
    <w:p w14:paraId="27DFE6A8" w14:textId="77777777" w:rsidR="00E848B3" w:rsidRPr="00E848B3" w:rsidRDefault="00E848B3" w:rsidP="00E848B3">
      <w:pPr>
        <w:rPr>
          <w:rFonts w:ascii="Times New Roman" w:eastAsia="Calibri" w:hAnsi="Times New Roman" w:cs="Times New Roman"/>
          <w:sz w:val="24"/>
        </w:rPr>
      </w:pPr>
      <w:r w:rsidRPr="00E848B3">
        <w:rPr>
          <w:rFonts w:ascii="Times New Roman" w:eastAsia="Calibri" w:hAnsi="Times New Roman" w:cs="Times New Roman"/>
          <w:b/>
          <w:bCs/>
          <w:sz w:val="24"/>
        </w:rPr>
        <w:lastRenderedPageBreak/>
        <w:t>Gráfico 2-</w:t>
      </w:r>
      <w:r w:rsidRPr="00E848B3">
        <w:rPr>
          <w:rFonts w:ascii="Times New Roman" w:eastAsia="Calibri" w:hAnsi="Times New Roman" w:cs="Times New Roman"/>
          <w:sz w:val="24"/>
        </w:rPr>
        <w:t xml:space="preserve"> </w:t>
      </w:r>
      <w:r w:rsidRPr="00E848B3">
        <w:rPr>
          <w:rFonts w:ascii="Times New Roman" w:eastAsia="Calibri" w:hAnsi="Times New Roman" w:cs="Times New Roman"/>
          <w:i/>
          <w:iCs/>
          <w:sz w:val="24"/>
        </w:rPr>
        <w:t xml:space="preserve">Shift – </w:t>
      </w:r>
      <w:proofErr w:type="spellStart"/>
      <w:r w:rsidRPr="00E848B3">
        <w:rPr>
          <w:rFonts w:ascii="Times New Roman" w:eastAsia="Calibri" w:hAnsi="Times New Roman" w:cs="Times New Roman"/>
          <w:i/>
          <w:iCs/>
          <w:sz w:val="24"/>
        </w:rPr>
        <w:t>Share</w:t>
      </w:r>
      <w:proofErr w:type="spellEnd"/>
      <w:r w:rsidRPr="00E848B3">
        <w:rPr>
          <w:rFonts w:ascii="Times New Roman" w:eastAsia="Calibri" w:hAnsi="Times New Roman" w:cs="Times New Roman"/>
          <w:sz w:val="24"/>
        </w:rPr>
        <w:t xml:space="preserve"> Clássico para os estados da Região Nordeste de 2010-2015</w:t>
      </w:r>
    </w:p>
    <w:p w14:paraId="53A07001" w14:textId="77777777" w:rsidR="00E848B3" w:rsidRPr="00E848B3" w:rsidRDefault="00E848B3" w:rsidP="00E848B3">
      <w:pPr>
        <w:spacing w:after="0"/>
        <w:rPr>
          <w:rFonts w:ascii="Times New Roman" w:eastAsia="Calibri" w:hAnsi="Times New Roman" w:cs="Times New Roman"/>
          <w:sz w:val="24"/>
        </w:rPr>
      </w:pPr>
      <w:r w:rsidRPr="00E848B3">
        <w:rPr>
          <w:rFonts w:ascii="Times New Roman" w:eastAsia="Calibri" w:hAnsi="Times New Roman" w:cs="Times New Roman"/>
          <w:noProof/>
          <w:sz w:val="24"/>
        </w:rPr>
        <w:drawing>
          <wp:inline distT="0" distB="0" distL="0" distR="0" wp14:anchorId="4D1E993D" wp14:editId="269CF1C6">
            <wp:extent cx="5686425" cy="2000250"/>
            <wp:effectExtent l="0" t="0" r="9525" b="0"/>
            <wp:docPr id="9" name="Gráfico 9">
              <a:extLst xmlns:a="http://schemas.openxmlformats.org/drawingml/2006/main">
                <a:ext uri="{FF2B5EF4-FFF2-40B4-BE49-F238E27FC236}">
                  <a16:creationId xmlns:a16="http://schemas.microsoft.com/office/drawing/2014/main" id="{45DE5A1C-BD33-F0A3-B05F-EB3D478795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F5C050" w14:textId="77777777" w:rsidR="00E848B3" w:rsidRPr="00E848B3" w:rsidRDefault="00E848B3" w:rsidP="00E848B3">
      <w:pPr>
        <w:spacing w:after="0"/>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0ADF90C3" w14:textId="77777777" w:rsidR="00E848B3" w:rsidRPr="00E848B3" w:rsidRDefault="00E848B3" w:rsidP="00E848B3">
      <w:pPr>
        <w:spacing w:after="0"/>
        <w:rPr>
          <w:rFonts w:ascii="Times New Roman" w:eastAsia="Calibri" w:hAnsi="Times New Roman" w:cs="Times New Roman"/>
          <w:sz w:val="24"/>
          <w:szCs w:val="24"/>
        </w:rPr>
      </w:pPr>
      <w:r w:rsidRPr="00E848B3">
        <w:rPr>
          <w:rFonts w:ascii="Times New Roman" w:eastAsia="Calibri" w:hAnsi="Times New Roman" w:cs="Times New Roman"/>
          <w:sz w:val="24"/>
          <w:szCs w:val="24"/>
        </w:rPr>
        <w:tab/>
      </w:r>
    </w:p>
    <w:p w14:paraId="3DC13832" w14:textId="77777777" w:rsidR="00E848B3" w:rsidRPr="00E848B3" w:rsidRDefault="00E848B3" w:rsidP="00E848B3">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Como se observa no Gráfico 2,</w:t>
      </w:r>
      <w:r w:rsidRPr="00E848B3">
        <w:rPr>
          <w:rFonts w:ascii="Times New Roman" w:eastAsia="Calibri" w:hAnsi="Times New Roman" w:cs="Times New Roman"/>
          <w:sz w:val="24"/>
        </w:rPr>
        <w:t xml:space="preserve"> </w:t>
      </w:r>
      <w:r w:rsidRPr="00E848B3">
        <w:rPr>
          <w:rFonts w:ascii="Times New Roman" w:eastAsia="Calibri" w:hAnsi="Times New Roman" w:cs="Times New Roman"/>
          <w:sz w:val="24"/>
          <w:szCs w:val="24"/>
        </w:rPr>
        <w:t>em todos os estados o componente regional (N) foi o que mais influenciou a variação de emprego formal nos estados. Os efeitos mais significativos foram observados nos estados da Bahia, Pernambuco e Ceará, que apresentaram, variações absolutas de 237.251, 170.419 e 147.037 postos de trabalhos formais de 2010 a 2015.</w:t>
      </w:r>
    </w:p>
    <w:p w14:paraId="3895A836" w14:textId="77777777" w:rsidR="00E848B3" w:rsidRPr="00E848B3" w:rsidRDefault="00E848B3" w:rsidP="00E848B3">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Os estados da Bahia e do Pernambuco foram influenciados positivamente, nesta ordem, pelos setores de administração pública, serviços e comércio. Com relação a influência do Ceará, os setores responsáveis por esta foram: administração pública, serviços e indústria de transformação.</w:t>
      </w:r>
    </w:p>
    <w:p w14:paraId="6062F57C" w14:textId="77777777" w:rsidR="00E848B3" w:rsidRPr="00E848B3" w:rsidRDefault="00E848B3" w:rsidP="00E848B3">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O componente setorial (S) destacou-se nos estados da Bahia com variação absoluta de empregos de 24.111 e Pernambuco com 10.994 postos de trabalhos formais. Os efeitos mais pronunciados para a Bahia foram na administração pública, serviços, comércio e extrativa mineral. Nos estados de Pernambuco, a influência foi dada pelo setor de serviços, comércio e serviços industriais de utilidade pública.</w:t>
      </w:r>
    </w:p>
    <w:p w14:paraId="4F707608" w14:textId="77777777" w:rsidR="00E848B3" w:rsidRPr="00E848B3" w:rsidRDefault="00E848B3" w:rsidP="00E848B3">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O efeito negativo setorial mais pronunciado foi verificado no estado da Paraíba com retração no período de 12.723 empregos formais, e foi influenciado pelos setores de administração pública, indústria de transformação e construção civil. Convém ressaltar que todos os estados do Nordeste foram influenciados de maneira negativa pelos setores de administração pública, agropecuária, extração vegetal, caça e pesca, construção civil e indústria de transformação.</w:t>
      </w:r>
    </w:p>
    <w:p w14:paraId="286CDE89" w14:textId="77777777" w:rsidR="00E848B3" w:rsidRPr="00E848B3" w:rsidRDefault="00E848B3" w:rsidP="00E848B3">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lastRenderedPageBreak/>
        <w:t>No tocante ao componente estadual (R), os estados que apresentaram efeitos mais pronunciados foram Ceará, Piauí e Paraíba, com variações estaduais de 72.868, 42.071 e 35.979 empregos formais. Com relação ao Piauí, o mesmo foi influenciado positivamente por administração pública, serviços e comércio. Os efeitos mais significativos para a Paraíba se deram pelos setores de serviços, construção civil e administração pública. Em contrapartida Bahia e Pernambuco apresentaram as maiores retrações na vantagem competitiva local, em especial pelo segmento serviços no primeiro estado e serviços, construção civil e comércio no segundo.</w:t>
      </w:r>
    </w:p>
    <w:p w14:paraId="73A1E823" w14:textId="77777777" w:rsidR="00E848B3" w:rsidRPr="00E848B3" w:rsidRDefault="00E848B3" w:rsidP="00E848B3">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Conclui-se que apesar de a economia apresentar dinamismo econômico até 2014, em 2015 se inicia uma crise política, o que pode ser observada pelas retrações nos postos de trabalho de 2010 a 2015, tanto em âmbito setorial como estadual. Isso leva a inferir que os estados e setores possuem particularidades e estas permitem reações diferentes a uma situação próspera ou de retraimento.</w:t>
      </w:r>
    </w:p>
    <w:p w14:paraId="1A845ACB" w14:textId="5C9BA06B" w:rsidR="00556E18" w:rsidRDefault="00E848B3" w:rsidP="00556E18">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Quando se verifica a decomposição do emprego nos estados nordestinos no período de 2015 a 2020, observa-se que os efeitos regionais indicaram retração em todos os estados da região, sendo as maiores retrações verificadas na Bahia, Pernambuco e Ceará, que apresentaram, respectivamente, -137.963, -99.656 e 92.044 postos de empregos formais (Gráfico 3). As retrações dos postos de trabalhos formais foram impactadas na Bahia e no Pernambuco, nesta ordem, pela administração pública, serviços e comércio. Com relação a diminuição dos empregos no Ceará, foram influenciadas pelos mesmos setores, porém o setor de serviços foi o que mais impactou na retração do mercado de trabalho, seguido pela administração pública e comércio.</w:t>
      </w:r>
    </w:p>
    <w:p w14:paraId="59661212" w14:textId="2F67B2B9" w:rsidR="00556E18" w:rsidRDefault="00556E18" w:rsidP="00556E18">
      <w:pPr>
        <w:spacing w:after="0" w:line="360" w:lineRule="auto"/>
        <w:ind w:firstLine="708"/>
        <w:jc w:val="both"/>
        <w:rPr>
          <w:rFonts w:ascii="Times New Roman" w:eastAsia="Calibri" w:hAnsi="Times New Roman" w:cs="Times New Roman"/>
          <w:sz w:val="24"/>
          <w:szCs w:val="24"/>
        </w:rPr>
      </w:pPr>
    </w:p>
    <w:p w14:paraId="384035EE" w14:textId="77777777" w:rsidR="00556E18" w:rsidRPr="00E848B3" w:rsidRDefault="00556E18" w:rsidP="00556E18">
      <w:pPr>
        <w:spacing w:after="0" w:line="360" w:lineRule="auto"/>
        <w:ind w:firstLine="708"/>
        <w:jc w:val="both"/>
        <w:rPr>
          <w:rFonts w:ascii="Times New Roman" w:eastAsia="Calibri" w:hAnsi="Times New Roman" w:cs="Times New Roman"/>
          <w:sz w:val="24"/>
          <w:szCs w:val="24"/>
        </w:rPr>
      </w:pPr>
    </w:p>
    <w:p w14:paraId="0D88F86F" w14:textId="33383AEC" w:rsidR="00E848B3" w:rsidRPr="00E848B3" w:rsidRDefault="00E848B3" w:rsidP="00E848B3">
      <w:pPr>
        <w:rPr>
          <w:rFonts w:ascii="Times New Roman" w:eastAsia="Calibri" w:hAnsi="Times New Roman" w:cs="Times New Roman"/>
          <w:sz w:val="24"/>
        </w:rPr>
      </w:pPr>
      <w:r w:rsidRPr="00E848B3">
        <w:rPr>
          <w:rFonts w:ascii="Times New Roman" w:eastAsia="Calibri" w:hAnsi="Times New Roman" w:cs="Times New Roman"/>
          <w:b/>
          <w:bCs/>
          <w:sz w:val="24"/>
        </w:rPr>
        <w:lastRenderedPageBreak/>
        <w:t>Gráfico 3-</w:t>
      </w:r>
      <w:r w:rsidRPr="00E848B3">
        <w:rPr>
          <w:rFonts w:ascii="Times New Roman" w:eastAsia="Calibri" w:hAnsi="Times New Roman" w:cs="Times New Roman"/>
          <w:sz w:val="24"/>
        </w:rPr>
        <w:t xml:space="preserve"> </w:t>
      </w:r>
      <w:r w:rsidRPr="00E848B3">
        <w:rPr>
          <w:rFonts w:ascii="Times New Roman" w:eastAsia="Calibri" w:hAnsi="Times New Roman" w:cs="Times New Roman"/>
          <w:i/>
          <w:iCs/>
          <w:sz w:val="24"/>
        </w:rPr>
        <w:t xml:space="preserve">Shift – </w:t>
      </w:r>
      <w:proofErr w:type="spellStart"/>
      <w:r w:rsidRPr="00E848B3">
        <w:rPr>
          <w:rFonts w:ascii="Times New Roman" w:eastAsia="Calibri" w:hAnsi="Times New Roman" w:cs="Times New Roman"/>
          <w:i/>
          <w:iCs/>
          <w:sz w:val="24"/>
        </w:rPr>
        <w:t>Share</w:t>
      </w:r>
      <w:proofErr w:type="spellEnd"/>
      <w:r w:rsidRPr="00E848B3">
        <w:rPr>
          <w:rFonts w:ascii="Times New Roman" w:eastAsia="Calibri" w:hAnsi="Times New Roman" w:cs="Times New Roman"/>
          <w:sz w:val="24"/>
        </w:rPr>
        <w:t xml:space="preserve"> Clássico para os estados da Região Nordeste (%) de 2015-2020</w:t>
      </w:r>
      <w:r w:rsidR="00556E18" w:rsidRPr="00E848B3">
        <w:rPr>
          <w:rFonts w:ascii="Times New Roman" w:eastAsia="Calibri" w:hAnsi="Times New Roman" w:cs="Times New Roman"/>
          <w:noProof/>
          <w:sz w:val="24"/>
        </w:rPr>
        <w:drawing>
          <wp:inline distT="0" distB="0" distL="0" distR="0" wp14:anchorId="0F394EF9" wp14:editId="17B8E574">
            <wp:extent cx="5600700" cy="2200275"/>
            <wp:effectExtent l="0" t="0" r="0" b="9525"/>
            <wp:docPr id="4" name="Gráfico 4">
              <a:extLst xmlns:a="http://schemas.openxmlformats.org/drawingml/2006/main">
                <a:ext uri="{FF2B5EF4-FFF2-40B4-BE49-F238E27FC236}">
                  <a16:creationId xmlns:a16="http://schemas.microsoft.com/office/drawing/2014/main" id="{A6883F27-547F-9F85-36E4-7607BDB1D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D7C5DD" w14:textId="77777777" w:rsidR="00E848B3" w:rsidRPr="00E848B3" w:rsidRDefault="00E848B3" w:rsidP="00E848B3">
      <w:pPr>
        <w:spacing w:after="0"/>
        <w:rPr>
          <w:rFonts w:ascii="Times New Roman" w:eastAsia="Calibri" w:hAnsi="Times New Roman" w:cs="Times New Roman"/>
          <w:sz w:val="20"/>
          <w:szCs w:val="20"/>
        </w:rPr>
      </w:pPr>
      <w:r w:rsidRPr="00E848B3">
        <w:rPr>
          <w:rFonts w:ascii="Times New Roman" w:eastAsia="Calibri" w:hAnsi="Times New Roman" w:cs="Times New Roman"/>
          <w:sz w:val="20"/>
          <w:szCs w:val="20"/>
        </w:rPr>
        <w:t>Fonte: RAIS/CAGED - Elaboração própria</w:t>
      </w:r>
    </w:p>
    <w:p w14:paraId="6ECE6C20" w14:textId="77777777" w:rsidR="00E848B3" w:rsidRPr="00E848B3" w:rsidRDefault="00E848B3" w:rsidP="00E848B3">
      <w:pPr>
        <w:spacing w:after="0"/>
        <w:rPr>
          <w:rFonts w:ascii="Times New Roman" w:eastAsia="Calibri" w:hAnsi="Times New Roman" w:cs="Times New Roman"/>
          <w:sz w:val="24"/>
          <w:szCs w:val="24"/>
        </w:rPr>
      </w:pPr>
    </w:p>
    <w:p w14:paraId="0016F45A" w14:textId="77777777" w:rsidR="00E848B3" w:rsidRPr="00E848B3" w:rsidRDefault="00E848B3" w:rsidP="00556E18">
      <w:pPr>
        <w:spacing w:after="0" w:line="36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ab/>
        <w:t>Como se verifica no Gráfico 3, o componente setorial (S) apresentou variações positivas no Pernambuco, Bahia e Sergipe. Nos estados do Pernambuco, Bahia e Sergipe a expansão dos postos de trabalhos se deu pelo setor de serviços, agropecuária, extração vegetal, caça e pesca e serviços industriais de utilidade pública. As maiores retrações ocorreram no Maranhão, com perda de 5.774 postos de trabalho, Alagoas com -2.007 e por fim, Ceará com retração de 1.008 empregos formais de 2015 a 2020.</w:t>
      </w:r>
    </w:p>
    <w:p w14:paraId="0BA8C364" w14:textId="77777777" w:rsidR="00E848B3" w:rsidRPr="00E848B3" w:rsidRDefault="00E848B3" w:rsidP="00556E18">
      <w:pPr>
        <w:spacing w:after="0" w:line="36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ab/>
        <w:t xml:space="preserve">No Maranhão os principais setores que influenciaram a diminuição do emprego, foram: construção civil, administração pública e comércio. Alagoas e Ceará foram influenciados negativamente em maior magnitude por construção civil, administração pública e indústria de transformação. É importante frisar que ao longo do período em todos os estados nordestinos os </w:t>
      </w:r>
      <w:proofErr w:type="gramStart"/>
      <w:r w:rsidRPr="00E848B3">
        <w:rPr>
          <w:rFonts w:ascii="Times New Roman" w:eastAsia="Calibri" w:hAnsi="Times New Roman" w:cs="Times New Roman"/>
          <w:sz w:val="24"/>
          <w:szCs w:val="24"/>
        </w:rPr>
        <w:t>setores extrativo mineral</w:t>
      </w:r>
      <w:proofErr w:type="gramEnd"/>
      <w:r w:rsidRPr="00E848B3">
        <w:rPr>
          <w:rFonts w:ascii="Times New Roman" w:eastAsia="Calibri" w:hAnsi="Times New Roman" w:cs="Times New Roman"/>
          <w:sz w:val="24"/>
          <w:szCs w:val="24"/>
        </w:rPr>
        <w:t>, indústria de transformação, construção civil, comércio e administração pública sofreram retração de postos de emprego.</w:t>
      </w:r>
    </w:p>
    <w:p w14:paraId="645C8AA0" w14:textId="77777777" w:rsidR="00E848B3" w:rsidRPr="00E848B3" w:rsidRDefault="00E848B3" w:rsidP="00556E18">
      <w:pPr>
        <w:spacing w:after="0" w:line="36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ab/>
        <w:t xml:space="preserve">Com relação ao efeito estadual (R), os estados que apresentaram efeitos mais significativos foram Maranhão, Paraíba, Alagoas e Piauí. No Maranhão e em Alagoas os setores propulsores foram administração pública, serviços e comércio. Na Paraíba serviços, comércio e construção civil foram os segmentos que mais se destacaram em gerações de postos de emprego. O Piauí foi influenciado pelo comércio, administração pública e construção civil. </w:t>
      </w:r>
    </w:p>
    <w:p w14:paraId="4D3F0591" w14:textId="77777777" w:rsidR="00E848B3" w:rsidRPr="00E848B3" w:rsidRDefault="00E848B3" w:rsidP="00556E18">
      <w:pPr>
        <w:spacing w:after="0" w:line="36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lastRenderedPageBreak/>
        <w:tab/>
        <w:t>A respeito das maiores retrações, foram identificadas no Pernambuco e Sergipe. No primeiro foi influenciado por serviços, administração pública e comércio. No segundo por serviços, construção civil e indústria de transformação. As retrações observadas nos componentes podem ser explicadas pela crise pandêmica que afetou as economias do Brasil e do mundo, fechando diversas empresas, reduzindo renda e elevando o desemprego.</w:t>
      </w:r>
    </w:p>
    <w:p w14:paraId="05C57375" w14:textId="77777777" w:rsidR="00E848B3" w:rsidRPr="00E848B3" w:rsidRDefault="00E848B3" w:rsidP="00556E18">
      <w:pPr>
        <w:spacing w:after="0" w:line="36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ab/>
        <w:t xml:space="preserve">De maneira geral, conclui-se que no período de 2010 a 2015 todos os estados apresentaram saldos positivos, em que se destacam, nesta ordem, Ceará com 216.967, Bahia com 173.172 e Pernambuco com 133.709. Em contrapartida, de 2015 a 2020, com exceção do Maranhão, todos os estados mostraram diminuição nos postos de emprego, sendo as maiores quedas registradas no Pernambuco com -145.056, Bahia com -136.216 e Ceará com -101.262. </w:t>
      </w:r>
    </w:p>
    <w:p w14:paraId="02EAF293" w14:textId="77777777" w:rsidR="00E848B3" w:rsidRPr="00E848B3" w:rsidRDefault="00E848B3" w:rsidP="00556E18">
      <w:pPr>
        <w:spacing w:after="0"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No Ceará 2010 a 2015, com exceção da indústria de transformação, todos os setores apresentaram variação positiva, sendo a de maior magnitude identificada no setor de serviços. Na Bahia, três setores apresentaram retração, a saber, construção civil, administração pública e indústria de transformação. Em Pernambuco as retrações foram na construção civil, agropecuária e administração pública e novamente o setor de serviços foi o setor a impactar em maior magnitude o saldo do estado.</w:t>
      </w:r>
    </w:p>
    <w:p w14:paraId="69685D7F" w14:textId="45D02B6E" w:rsidR="0053206E" w:rsidRPr="00E848B3" w:rsidRDefault="00E848B3" w:rsidP="00556E18">
      <w:pPr>
        <w:spacing w:line="360" w:lineRule="auto"/>
        <w:ind w:firstLine="708"/>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No Pernambuco de 2015 a 2020, todos os setores, com exceção da agropecuária, extração vegetal, caça e pesca, apresentaram diminuição, sendo a administração pública, o setor a apresentar a maior queda de postos de emprego. Na Bahia, todos os segmentos, salvo serviços industriais de utilidade pública, agropecuária, extração vegetal, caça e pesca e extrativa mineral, apresentaram encolhimento, sendo o maior retraimento causado pela administração pública e comércio. No Ceará, os setores de serviços e serviços industriais de utilidade pública, foram os únicos a apresentar elevação, enquanto os demais apresentaram contração, sendo a de maior magnitude a causada pela administração pública. O componente setorial (S) destacou-se nos estados da Bahia e Pernambuco. No tocante ao componente estadual (R), os estados que apresentaram efeitos mais pronunciados foram Ceará, Piauí e Paraíba.</w:t>
      </w:r>
    </w:p>
    <w:p w14:paraId="63D7AF2B" w14:textId="77777777" w:rsidR="0053206E"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6468033F" w14:textId="77777777" w:rsidR="0053206E" w:rsidRDefault="0053206E">
      <w:pPr>
        <w:spacing w:after="0" w:line="240" w:lineRule="auto"/>
        <w:jc w:val="both"/>
        <w:rPr>
          <w:rFonts w:ascii="Times New Roman" w:hAnsi="Times New Roman" w:cs="Times New Roman"/>
          <w:sz w:val="24"/>
          <w:szCs w:val="24"/>
        </w:rPr>
      </w:pPr>
    </w:p>
    <w:p w14:paraId="051F1329" w14:textId="77777777" w:rsidR="00E848B3" w:rsidRPr="00E848B3" w:rsidRDefault="00E848B3" w:rsidP="00E848B3">
      <w:pPr>
        <w:spacing w:after="0" w:line="240" w:lineRule="auto"/>
        <w:rPr>
          <w:rFonts w:ascii="Times New Roman" w:eastAsia="Calibri" w:hAnsi="Times New Roman" w:cs="Times New Roman"/>
          <w:sz w:val="24"/>
          <w:szCs w:val="24"/>
          <w:lang w:val="en-US"/>
        </w:rPr>
      </w:pPr>
      <w:r w:rsidRPr="00E848B3">
        <w:rPr>
          <w:rFonts w:ascii="Times New Roman" w:eastAsia="Calibri" w:hAnsi="Times New Roman" w:cs="Times New Roman"/>
          <w:sz w:val="24"/>
          <w:szCs w:val="24"/>
          <w:lang w:val="en-US"/>
        </w:rPr>
        <w:t xml:space="preserve">ACEMOGLU, D.; JOHNSON, S.; ROBINSON, J. Institutions as the fundamental cause of long-run growth. Working Paper n.10.481, </w:t>
      </w:r>
      <w:r w:rsidRPr="00E848B3">
        <w:rPr>
          <w:rFonts w:ascii="Times New Roman" w:eastAsia="Calibri" w:hAnsi="Times New Roman" w:cs="Times New Roman"/>
          <w:b/>
          <w:bCs/>
          <w:sz w:val="24"/>
          <w:szCs w:val="24"/>
          <w:lang w:val="en-US"/>
        </w:rPr>
        <w:t>National Bureau of Economic Research</w:t>
      </w:r>
      <w:r w:rsidRPr="00E848B3">
        <w:rPr>
          <w:rFonts w:ascii="Times New Roman" w:eastAsia="Calibri" w:hAnsi="Times New Roman" w:cs="Times New Roman"/>
          <w:sz w:val="24"/>
          <w:szCs w:val="24"/>
          <w:lang w:val="en-US"/>
        </w:rPr>
        <w:t>, 2004.</w:t>
      </w:r>
    </w:p>
    <w:p w14:paraId="142EC704" w14:textId="77777777" w:rsidR="00E848B3" w:rsidRPr="00E848B3" w:rsidRDefault="00E848B3" w:rsidP="00E848B3">
      <w:pPr>
        <w:spacing w:after="0" w:line="240" w:lineRule="auto"/>
        <w:rPr>
          <w:rFonts w:ascii="Times New Roman" w:eastAsia="Calibri" w:hAnsi="Times New Roman" w:cs="Times New Roman"/>
          <w:sz w:val="24"/>
          <w:szCs w:val="24"/>
          <w:lang w:val="en-US"/>
        </w:rPr>
      </w:pPr>
    </w:p>
    <w:p w14:paraId="6195A3FE"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color w:val="222222"/>
          <w:sz w:val="24"/>
          <w:szCs w:val="24"/>
          <w:shd w:val="clear" w:color="auto" w:fill="FFFFFF"/>
          <w:lang w:val="en-US"/>
        </w:rPr>
        <w:t xml:space="preserve">AMARAL FILHO, J; PENNA, C. M; VIEIRA, F. H. </w:t>
      </w:r>
      <w:r w:rsidRPr="00E848B3">
        <w:rPr>
          <w:rFonts w:ascii="Times New Roman" w:eastAsia="Calibri" w:hAnsi="Times New Roman" w:cs="Times New Roman"/>
          <w:b/>
          <w:bCs/>
          <w:color w:val="222222"/>
          <w:sz w:val="24"/>
          <w:szCs w:val="24"/>
          <w:shd w:val="clear" w:color="auto" w:fill="FFFFFF"/>
        </w:rPr>
        <w:t>Análise do desempenho econômico do Nordeste brasileiro, no período 1985-2014, à luz da história das políticas públicas.</w:t>
      </w:r>
      <w:r w:rsidRPr="00E848B3">
        <w:rPr>
          <w:rFonts w:ascii="Times New Roman" w:eastAsia="Calibri" w:hAnsi="Times New Roman" w:cs="Times New Roman"/>
          <w:color w:val="222222"/>
          <w:sz w:val="24"/>
          <w:szCs w:val="24"/>
          <w:shd w:val="clear" w:color="auto" w:fill="FFFFFF"/>
        </w:rPr>
        <w:t xml:space="preserve"> </w:t>
      </w:r>
      <w:r w:rsidRPr="00E848B3">
        <w:rPr>
          <w:rFonts w:ascii="Times New Roman" w:eastAsia="Calibri" w:hAnsi="Times New Roman" w:cs="Times New Roman"/>
          <w:sz w:val="24"/>
          <w:szCs w:val="24"/>
        </w:rPr>
        <w:t>Texto de Discussão – CAEN Universidade Federal do Ceará – UFC, Fortaleza, 2021.</w:t>
      </w:r>
    </w:p>
    <w:p w14:paraId="44C12250" w14:textId="77777777" w:rsidR="00E848B3" w:rsidRPr="00E848B3" w:rsidRDefault="00E848B3" w:rsidP="00E848B3">
      <w:pPr>
        <w:spacing w:after="0" w:line="240" w:lineRule="auto"/>
        <w:rPr>
          <w:rFonts w:ascii="Times New Roman" w:eastAsia="Calibri" w:hAnsi="Times New Roman" w:cs="Times New Roman"/>
          <w:sz w:val="24"/>
          <w:szCs w:val="24"/>
        </w:rPr>
      </w:pPr>
    </w:p>
    <w:p w14:paraId="404E2523"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ARAÚJO, T. B., Nordeste: Desenvolvimento recente e perspectivas. In: GUIMARÃES, Paulo Ferraz et al. (org.). </w:t>
      </w:r>
      <w:r w:rsidRPr="00E848B3">
        <w:rPr>
          <w:rFonts w:ascii="Times New Roman" w:eastAsia="Calibri" w:hAnsi="Times New Roman" w:cs="Times New Roman"/>
          <w:b/>
          <w:bCs/>
          <w:sz w:val="24"/>
          <w:szCs w:val="24"/>
        </w:rPr>
        <w:t>Um Olhar territorial para o desenvolvimento:</w:t>
      </w:r>
      <w:r w:rsidRPr="00E848B3">
        <w:rPr>
          <w:rFonts w:ascii="Times New Roman" w:eastAsia="Calibri" w:hAnsi="Times New Roman" w:cs="Times New Roman"/>
          <w:sz w:val="24"/>
          <w:szCs w:val="24"/>
        </w:rPr>
        <w:t xml:space="preserve"> Nordeste. Rio de Janeiro: BNDES, 2014. cap. 19, p. 337-358.</w:t>
      </w:r>
    </w:p>
    <w:p w14:paraId="10F393E6"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BARBOSA FILHO, F. H.; PESSOA, S. A. “Educação e desenvolvimento no Brasil”, In: Fernando Veloso; Pedro Ferreira; Fabio Giambiagi e Samuel </w:t>
      </w:r>
      <w:proofErr w:type="spellStart"/>
      <w:r w:rsidRPr="00E848B3">
        <w:rPr>
          <w:rFonts w:ascii="Times New Roman" w:eastAsia="Calibri" w:hAnsi="Times New Roman" w:cs="Times New Roman"/>
          <w:sz w:val="24"/>
          <w:szCs w:val="24"/>
        </w:rPr>
        <w:t>Pessôa</w:t>
      </w:r>
      <w:proofErr w:type="spellEnd"/>
      <w:r w:rsidRPr="00E848B3">
        <w:rPr>
          <w:rFonts w:ascii="Times New Roman" w:eastAsia="Calibri" w:hAnsi="Times New Roman" w:cs="Times New Roman"/>
          <w:sz w:val="24"/>
          <w:szCs w:val="24"/>
        </w:rPr>
        <w:t xml:space="preserve">. (Eds.). </w:t>
      </w:r>
      <w:r w:rsidRPr="00E848B3">
        <w:rPr>
          <w:rFonts w:ascii="Times New Roman" w:eastAsia="Calibri" w:hAnsi="Times New Roman" w:cs="Times New Roman"/>
          <w:b/>
          <w:bCs/>
          <w:sz w:val="24"/>
          <w:szCs w:val="24"/>
        </w:rPr>
        <w:t>Desenvolvimento econômico:</w:t>
      </w:r>
      <w:r w:rsidRPr="00E848B3">
        <w:rPr>
          <w:rFonts w:ascii="Times New Roman" w:eastAsia="Calibri" w:hAnsi="Times New Roman" w:cs="Times New Roman"/>
          <w:sz w:val="24"/>
          <w:szCs w:val="24"/>
        </w:rPr>
        <w:t xml:space="preserve"> uma perspectiva brasileira. 1ed.Rio de Janeiro: Elsevier Editora Ltda., v. 1, p. 211-235, 2013.</w:t>
      </w:r>
    </w:p>
    <w:p w14:paraId="6B7D8C69" w14:textId="77777777" w:rsidR="00E848B3" w:rsidRPr="00E848B3" w:rsidRDefault="00E848B3" w:rsidP="00E848B3">
      <w:pPr>
        <w:spacing w:after="0" w:line="240" w:lineRule="auto"/>
        <w:rPr>
          <w:rFonts w:ascii="Times New Roman" w:eastAsia="Calibri" w:hAnsi="Times New Roman" w:cs="Times New Roman"/>
          <w:sz w:val="24"/>
          <w:szCs w:val="24"/>
        </w:rPr>
      </w:pPr>
    </w:p>
    <w:p w14:paraId="4A807847"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CALIARI, T; SANTOS, U. P. Evolução estrutural e setorial de emprego nas Microrregiões Brasileiras: uma Análise Exploratória para o período 2003-2013 pelo método shift-</w:t>
      </w:r>
      <w:proofErr w:type="spellStart"/>
      <w:r w:rsidRPr="00E848B3">
        <w:rPr>
          <w:rFonts w:ascii="Times New Roman" w:eastAsia="Calibri" w:hAnsi="Times New Roman" w:cs="Times New Roman"/>
          <w:sz w:val="24"/>
          <w:szCs w:val="24"/>
        </w:rPr>
        <w:t>share</w:t>
      </w:r>
      <w:proofErr w:type="spellEnd"/>
      <w:r w:rsidRPr="00E848B3">
        <w:rPr>
          <w:rFonts w:ascii="Times New Roman" w:eastAsia="Calibri" w:hAnsi="Times New Roman" w:cs="Times New Roman"/>
          <w:sz w:val="24"/>
          <w:szCs w:val="24"/>
        </w:rPr>
        <w:t>. </w:t>
      </w:r>
      <w:r w:rsidRPr="00E848B3">
        <w:rPr>
          <w:rFonts w:ascii="Times New Roman" w:eastAsia="Calibri" w:hAnsi="Times New Roman" w:cs="Times New Roman"/>
          <w:b/>
          <w:bCs/>
          <w:sz w:val="24"/>
          <w:szCs w:val="24"/>
        </w:rPr>
        <w:t>Redes (St. Cruz do Sul Online)</w:t>
      </w:r>
      <w:r w:rsidRPr="00E848B3">
        <w:rPr>
          <w:rFonts w:ascii="Times New Roman" w:eastAsia="Calibri" w:hAnsi="Times New Roman" w:cs="Times New Roman"/>
          <w:sz w:val="24"/>
          <w:szCs w:val="24"/>
        </w:rPr>
        <w:t>, v. 25, p. 2361-2384, 2020.</w:t>
      </w:r>
    </w:p>
    <w:p w14:paraId="3D93176E" w14:textId="77777777" w:rsidR="00E848B3" w:rsidRPr="00E848B3" w:rsidRDefault="00E848B3" w:rsidP="00E848B3">
      <w:pPr>
        <w:spacing w:after="0" w:line="240" w:lineRule="auto"/>
        <w:rPr>
          <w:rFonts w:ascii="Times New Roman" w:eastAsia="Calibri" w:hAnsi="Times New Roman" w:cs="Times New Roman"/>
          <w:sz w:val="24"/>
          <w:szCs w:val="24"/>
        </w:rPr>
      </w:pPr>
    </w:p>
    <w:p w14:paraId="4EF6B66B"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CEREJEIRA, J. A análise de componentes de variação (shift-</w:t>
      </w:r>
      <w:proofErr w:type="spellStart"/>
      <w:r w:rsidRPr="00E848B3">
        <w:rPr>
          <w:rFonts w:ascii="Times New Roman" w:eastAsia="Calibri" w:hAnsi="Times New Roman" w:cs="Times New Roman"/>
          <w:sz w:val="24"/>
          <w:szCs w:val="24"/>
        </w:rPr>
        <w:t>share</w:t>
      </w:r>
      <w:proofErr w:type="spellEnd"/>
      <w:r w:rsidRPr="00E848B3">
        <w:rPr>
          <w:rFonts w:ascii="Times New Roman" w:eastAsia="Calibri" w:hAnsi="Times New Roman" w:cs="Times New Roman"/>
          <w:sz w:val="24"/>
          <w:szCs w:val="24"/>
        </w:rPr>
        <w:t xml:space="preserve">). In: COSTA, J.; DENTINHO, T.; NIJKAMP, P. (coord.). Métodos e técnicas de análise regional, </w:t>
      </w:r>
      <w:proofErr w:type="spellStart"/>
      <w:r w:rsidRPr="00E848B3">
        <w:rPr>
          <w:rFonts w:ascii="Times New Roman" w:eastAsia="Calibri" w:hAnsi="Times New Roman" w:cs="Times New Roman"/>
          <w:sz w:val="24"/>
          <w:szCs w:val="24"/>
        </w:rPr>
        <w:t>princípia</w:t>
      </w:r>
      <w:proofErr w:type="spellEnd"/>
      <w:r w:rsidRPr="00E848B3">
        <w:rPr>
          <w:rFonts w:ascii="Times New Roman" w:eastAsia="Calibri" w:hAnsi="Times New Roman" w:cs="Times New Roman"/>
          <w:sz w:val="24"/>
          <w:szCs w:val="24"/>
        </w:rPr>
        <w:t>, p.65-78, 2011. Compêndio de Economia Regional. v. II.</w:t>
      </w:r>
    </w:p>
    <w:p w14:paraId="69C11071" w14:textId="77777777" w:rsidR="00E848B3" w:rsidRPr="00E848B3" w:rsidRDefault="00E848B3" w:rsidP="00E848B3">
      <w:pPr>
        <w:spacing w:after="0" w:line="240" w:lineRule="auto"/>
        <w:rPr>
          <w:rFonts w:ascii="Times New Roman" w:eastAsia="Calibri" w:hAnsi="Times New Roman" w:cs="Times New Roman"/>
          <w:sz w:val="24"/>
          <w:szCs w:val="24"/>
        </w:rPr>
      </w:pPr>
    </w:p>
    <w:p w14:paraId="2EA0BCA2"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CREAMER, D. Shifts </w:t>
      </w:r>
      <w:proofErr w:type="spellStart"/>
      <w:r w:rsidRPr="00E848B3">
        <w:rPr>
          <w:rFonts w:ascii="Times New Roman" w:eastAsia="Calibri" w:hAnsi="Times New Roman" w:cs="Times New Roman"/>
          <w:sz w:val="24"/>
          <w:szCs w:val="24"/>
        </w:rPr>
        <w:t>of</w:t>
      </w:r>
      <w:proofErr w:type="spellEnd"/>
      <w:r w:rsidRPr="00E848B3">
        <w:rPr>
          <w:rFonts w:ascii="Times New Roman" w:eastAsia="Calibri" w:hAnsi="Times New Roman" w:cs="Times New Roman"/>
          <w:sz w:val="24"/>
          <w:szCs w:val="24"/>
        </w:rPr>
        <w:t xml:space="preserve"> </w:t>
      </w:r>
      <w:proofErr w:type="spellStart"/>
      <w:r w:rsidRPr="00E848B3">
        <w:rPr>
          <w:rFonts w:ascii="Times New Roman" w:eastAsia="Calibri" w:hAnsi="Times New Roman" w:cs="Times New Roman"/>
          <w:sz w:val="24"/>
          <w:szCs w:val="24"/>
        </w:rPr>
        <w:t>manufacturing</w:t>
      </w:r>
      <w:proofErr w:type="spellEnd"/>
      <w:r w:rsidRPr="00E848B3">
        <w:rPr>
          <w:rFonts w:ascii="Times New Roman" w:eastAsia="Calibri" w:hAnsi="Times New Roman" w:cs="Times New Roman"/>
          <w:sz w:val="24"/>
          <w:szCs w:val="24"/>
        </w:rPr>
        <w:t xml:space="preserve"> industries in industrial </w:t>
      </w:r>
      <w:proofErr w:type="spellStart"/>
      <w:r w:rsidRPr="00E848B3">
        <w:rPr>
          <w:rFonts w:ascii="Times New Roman" w:eastAsia="Calibri" w:hAnsi="Times New Roman" w:cs="Times New Roman"/>
          <w:sz w:val="24"/>
          <w:szCs w:val="24"/>
        </w:rPr>
        <w:t>location</w:t>
      </w:r>
      <w:proofErr w:type="spellEnd"/>
      <w:r w:rsidRPr="00E848B3">
        <w:rPr>
          <w:rFonts w:ascii="Times New Roman" w:eastAsia="Calibri" w:hAnsi="Times New Roman" w:cs="Times New Roman"/>
          <w:sz w:val="24"/>
          <w:szCs w:val="24"/>
        </w:rPr>
        <w:t xml:space="preserve"> </w:t>
      </w:r>
      <w:proofErr w:type="spellStart"/>
      <w:r w:rsidRPr="00E848B3">
        <w:rPr>
          <w:rFonts w:ascii="Times New Roman" w:eastAsia="Calibri" w:hAnsi="Times New Roman" w:cs="Times New Roman"/>
          <w:sz w:val="24"/>
          <w:szCs w:val="24"/>
        </w:rPr>
        <w:t>and</w:t>
      </w:r>
      <w:proofErr w:type="spellEnd"/>
      <w:r w:rsidRPr="00E848B3">
        <w:rPr>
          <w:rFonts w:ascii="Times New Roman" w:eastAsia="Calibri" w:hAnsi="Times New Roman" w:cs="Times New Roman"/>
          <w:sz w:val="24"/>
          <w:szCs w:val="24"/>
        </w:rPr>
        <w:t xml:space="preserve"> </w:t>
      </w:r>
      <w:proofErr w:type="spellStart"/>
      <w:r w:rsidRPr="00E848B3">
        <w:rPr>
          <w:rFonts w:ascii="Times New Roman" w:eastAsia="Calibri" w:hAnsi="Times New Roman" w:cs="Times New Roman"/>
          <w:sz w:val="24"/>
          <w:szCs w:val="24"/>
        </w:rPr>
        <w:t>national</w:t>
      </w:r>
      <w:proofErr w:type="spellEnd"/>
      <w:r w:rsidRPr="00E848B3">
        <w:rPr>
          <w:rFonts w:ascii="Times New Roman" w:eastAsia="Calibri" w:hAnsi="Times New Roman" w:cs="Times New Roman"/>
          <w:sz w:val="24"/>
          <w:szCs w:val="24"/>
        </w:rPr>
        <w:t xml:space="preserve"> </w:t>
      </w:r>
      <w:proofErr w:type="spellStart"/>
      <w:r w:rsidRPr="00E848B3">
        <w:rPr>
          <w:rFonts w:ascii="Times New Roman" w:eastAsia="Calibri" w:hAnsi="Times New Roman" w:cs="Times New Roman"/>
          <w:sz w:val="24"/>
          <w:szCs w:val="24"/>
        </w:rPr>
        <w:t>resources</w:t>
      </w:r>
      <w:proofErr w:type="spellEnd"/>
      <w:r w:rsidRPr="00E848B3">
        <w:rPr>
          <w:rFonts w:ascii="Times New Roman" w:eastAsia="Calibri" w:hAnsi="Times New Roman" w:cs="Times New Roman"/>
          <w:sz w:val="24"/>
          <w:szCs w:val="24"/>
        </w:rPr>
        <w:t xml:space="preserve">. Washington: </w:t>
      </w:r>
      <w:proofErr w:type="spellStart"/>
      <w:r w:rsidRPr="00E848B3">
        <w:rPr>
          <w:rFonts w:ascii="Times New Roman" w:eastAsia="Calibri" w:hAnsi="Times New Roman" w:cs="Times New Roman"/>
          <w:sz w:val="24"/>
          <w:szCs w:val="24"/>
        </w:rPr>
        <w:t>Government</w:t>
      </w:r>
      <w:proofErr w:type="spellEnd"/>
      <w:r w:rsidRPr="00E848B3">
        <w:rPr>
          <w:rFonts w:ascii="Times New Roman" w:eastAsia="Calibri" w:hAnsi="Times New Roman" w:cs="Times New Roman"/>
          <w:sz w:val="24"/>
          <w:szCs w:val="24"/>
        </w:rPr>
        <w:t xml:space="preserve"> </w:t>
      </w:r>
      <w:proofErr w:type="spellStart"/>
      <w:r w:rsidRPr="00E848B3">
        <w:rPr>
          <w:rFonts w:ascii="Times New Roman" w:eastAsia="Calibri" w:hAnsi="Times New Roman" w:cs="Times New Roman"/>
          <w:sz w:val="24"/>
          <w:szCs w:val="24"/>
        </w:rPr>
        <w:t>Printing</w:t>
      </w:r>
      <w:proofErr w:type="spellEnd"/>
      <w:r w:rsidRPr="00E848B3">
        <w:rPr>
          <w:rFonts w:ascii="Times New Roman" w:eastAsia="Calibri" w:hAnsi="Times New Roman" w:cs="Times New Roman"/>
          <w:sz w:val="24"/>
          <w:szCs w:val="24"/>
        </w:rPr>
        <w:t xml:space="preserve"> Office, 1943.</w:t>
      </w:r>
    </w:p>
    <w:p w14:paraId="677156CF" w14:textId="77777777" w:rsidR="00E848B3" w:rsidRPr="00E848B3" w:rsidRDefault="00E848B3" w:rsidP="00E848B3">
      <w:pPr>
        <w:spacing w:after="0" w:line="240" w:lineRule="auto"/>
        <w:rPr>
          <w:rFonts w:ascii="Times New Roman" w:eastAsia="Calibri" w:hAnsi="Times New Roman" w:cs="Times New Roman"/>
          <w:sz w:val="24"/>
          <w:szCs w:val="24"/>
        </w:rPr>
      </w:pPr>
    </w:p>
    <w:p w14:paraId="021C39BD"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CUNHA, A. A. P. </w:t>
      </w:r>
      <w:r w:rsidRPr="00E848B3">
        <w:rPr>
          <w:rFonts w:ascii="Times New Roman" w:eastAsia="Calibri" w:hAnsi="Times New Roman" w:cs="Times New Roman"/>
          <w:b/>
          <w:bCs/>
          <w:sz w:val="24"/>
          <w:szCs w:val="24"/>
        </w:rPr>
        <w:t>Vantagens competitivas nos estados do Nordeste:</w:t>
      </w:r>
      <w:r w:rsidRPr="00E848B3">
        <w:rPr>
          <w:rFonts w:ascii="Times New Roman" w:eastAsia="Calibri" w:hAnsi="Times New Roman" w:cs="Times New Roman"/>
          <w:sz w:val="24"/>
          <w:szCs w:val="24"/>
        </w:rPr>
        <w:t xml:space="preserve"> uma análise da dinâmica do emprego no período de 2006 a 2017. 2019. (Dissertação de mestrado).</w:t>
      </w:r>
    </w:p>
    <w:p w14:paraId="0FDFC8C7" w14:textId="77777777" w:rsidR="00E848B3" w:rsidRPr="00E848B3" w:rsidRDefault="00E848B3" w:rsidP="00E848B3">
      <w:pPr>
        <w:spacing w:after="0" w:line="240" w:lineRule="auto"/>
        <w:rPr>
          <w:rFonts w:ascii="Times New Roman" w:eastAsia="Calibri" w:hAnsi="Times New Roman" w:cs="Times New Roman"/>
          <w:sz w:val="24"/>
          <w:szCs w:val="24"/>
        </w:rPr>
      </w:pPr>
    </w:p>
    <w:p w14:paraId="172627DB"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HADDAD, P. R. Economia Regional: Teoria e Métodos de Análise. Fortaleza: BNB - ETENE, 1989.</w:t>
      </w:r>
    </w:p>
    <w:p w14:paraId="2DD3B176" w14:textId="77777777" w:rsidR="00E848B3" w:rsidRPr="00E848B3" w:rsidRDefault="00E848B3" w:rsidP="00E848B3">
      <w:pPr>
        <w:spacing w:after="0" w:line="240" w:lineRule="auto"/>
        <w:rPr>
          <w:rFonts w:ascii="Times New Roman" w:eastAsia="Calibri" w:hAnsi="Times New Roman" w:cs="Times New Roman"/>
          <w:sz w:val="24"/>
          <w:szCs w:val="24"/>
        </w:rPr>
      </w:pPr>
    </w:p>
    <w:p w14:paraId="2D4BB87C" w14:textId="77777777" w:rsidR="00E848B3" w:rsidRPr="00E848B3" w:rsidRDefault="00E848B3" w:rsidP="00E848B3">
      <w:pPr>
        <w:spacing w:after="0" w:line="24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HIRSCHMAN, Albert O. </w:t>
      </w:r>
      <w:r w:rsidRPr="00E848B3">
        <w:rPr>
          <w:rFonts w:ascii="Times New Roman" w:eastAsia="Calibri" w:hAnsi="Times New Roman" w:cs="Times New Roman"/>
          <w:b/>
          <w:bCs/>
          <w:sz w:val="24"/>
          <w:szCs w:val="24"/>
        </w:rPr>
        <w:t>Estratégia do desenvolvimento econômico.</w:t>
      </w:r>
      <w:r w:rsidRPr="00E848B3">
        <w:rPr>
          <w:rFonts w:ascii="Times New Roman" w:eastAsia="Calibri" w:hAnsi="Times New Roman" w:cs="Times New Roman"/>
          <w:sz w:val="24"/>
          <w:szCs w:val="24"/>
        </w:rPr>
        <w:t xml:space="preserve"> Rio de Janeiro: Fundo de Cultura, 1961. 322 p. </w:t>
      </w:r>
    </w:p>
    <w:p w14:paraId="4CF144DD" w14:textId="77777777" w:rsidR="00E848B3" w:rsidRPr="00E848B3" w:rsidRDefault="00E848B3" w:rsidP="00E848B3">
      <w:pPr>
        <w:spacing w:after="0" w:line="240" w:lineRule="auto"/>
        <w:jc w:val="both"/>
        <w:rPr>
          <w:rFonts w:ascii="Times New Roman" w:eastAsia="Calibri" w:hAnsi="Times New Roman" w:cs="Times New Roman"/>
          <w:sz w:val="24"/>
          <w:szCs w:val="24"/>
        </w:rPr>
      </w:pPr>
    </w:p>
    <w:p w14:paraId="5EEBA7A0"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KOMATSU </w:t>
      </w:r>
      <w:r w:rsidRPr="00E848B3">
        <w:rPr>
          <w:rFonts w:ascii="Times New Roman" w:eastAsia="Calibri" w:hAnsi="Times New Roman" w:cs="Times New Roman"/>
          <w:i/>
          <w:iCs/>
          <w:sz w:val="24"/>
          <w:szCs w:val="24"/>
        </w:rPr>
        <w:t>et al</w:t>
      </w:r>
      <w:r w:rsidRPr="00E848B3">
        <w:rPr>
          <w:rFonts w:ascii="Times New Roman" w:eastAsia="Calibri" w:hAnsi="Times New Roman" w:cs="Times New Roman"/>
          <w:sz w:val="24"/>
          <w:szCs w:val="24"/>
        </w:rPr>
        <w:t xml:space="preserve">. A história da educação e as origens da desigualdade regional no Brasil, </w:t>
      </w:r>
      <w:proofErr w:type="spellStart"/>
      <w:r w:rsidRPr="00E848B3">
        <w:rPr>
          <w:rFonts w:ascii="Times New Roman" w:eastAsia="Calibri" w:hAnsi="Times New Roman" w:cs="Times New Roman"/>
          <w:b/>
          <w:bCs/>
          <w:sz w:val="24"/>
          <w:szCs w:val="24"/>
        </w:rPr>
        <w:t>Policy</w:t>
      </w:r>
      <w:proofErr w:type="spellEnd"/>
      <w:r w:rsidRPr="00E848B3">
        <w:rPr>
          <w:rFonts w:ascii="Times New Roman" w:eastAsia="Calibri" w:hAnsi="Times New Roman" w:cs="Times New Roman"/>
          <w:b/>
          <w:bCs/>
          <w:sz w:val="24"/>
          <w:szCs w:val="24"/>
        </w:rPr>
        <w:t xml:space="preserve"> </w:t>
      </w:r>
      <w:proofErr w:type="spellStart"/>
      <w:r w:rsidRPr="00E848B3">
        <w:rPr>
          <w:rFonts w:ascii="Times New Roman" w:eastAsia="Calibri" w:hAnsi="Times New Roman" w:cs="Times New Roman"/>
          <w:b/>
          <w:bCs/>
          <w:sz w:val="24"/>
          <w:szCs w:val="24"/>
        </w:rPr>
        <w:t>Paper</w:t>
      </w:r>
      <w:proofErr w:type="spellEnd"/>
      <w:r w:rsidRPr="00E848B3">
        <w:rPr>
          <w:rFonts w:ascii="Times New Roman" w:eastAsia="Calibri" w:hAnsi="Times New Roman" w:cs="Times New Roman"/>
          <w:b/>
          <w:bCs/>
          <w:sz w:val="24"/>
          <w:szCs w:val="24"/>
        </w:rPr>
        <w:t xml:space="preserve"> n.27, Centro de Políticas Públicas, </w:t>
      </w:r>
      <w:proofErr w:type="spellStart"/>
      <w:r w:rsidRPr="00E848B3">
        <w:rPr>
          <w:rFonts w:ascii="Times New Roman" w:eastAsia="Calibri" w:hAnsi="Times New Roman" w:cs="Times New Roman"/>
          <w:b/>
          <w:bCs/>
          <w:sz w:val="24"/>
          <w:szCs w:val="24"/>
        </w:rPr>
        <w:t>Insper</w:t>
      </w:r>
      <w:proofErr w:type="spellEnd"/>
      <w:r w:rsidRPr="00E848B3">
        <w:rPr>
          <w:rFonts w:ascii="Times New Roman" w:eastAsia="Calibri" w:hAnsi="Times New Roman" w:cs="Times New Roman"/>
          <w:sz w:val="24"/>
          <w:szCs w:val="24"/>
        </w:rPr>
        <w:t>, 2017.</w:t>
      </w:r>
    </w:p>
    <w:p w14:paraId="118AA10F" w14:textId="77777777" w:rsidR="00E848B3" w:rsidRPr="00E848B3" w:rsidRDefault="00E848B3" w:rsidP="00E848B3">
      <w:pPr>
        <w:spacing w:after="0" w:line="240" w:lineRule="auto"/>
        <w:rPr>
          <w:rFonts w:ascii="Times New Roman" w:eastAsia="Calibri" w:hAnsi="Times New Roman" w:cs="Times New Roman"/>
          <w:sz w:val="24"/>
          <w:szCs w:val="24"/>
        </w:rPr>
      </w:pPr>
    </w:p>
    <w:p w14:paraId="0E518090" w14:textId="77777777" w:rsidR="00E848B3" w:rsidRPr="00E848B3" w:rsidRDefault="00E848B3" w:rsidP="00E848B3">
      <w:pPr>
        <w:spacing w:after="0" w:line="240" w:lineRule="auto"/>
        <w:rPr>
          <w:rFonts w:ascii="Times New Roman" w:eastAsia="Calibri" w:hAnsi="Times New Roman" w:cs="Times New Roman"/>
          <w:color w:val="222222"/>
          <w:sz w:val="24"/>
          <w:szCs w:val="24"/>
          <w:shd w:val="clear" w:color="auto" w:fill="FFFFFF"/>
        </w:rPr>
      </w:pPr>
      <w:r w:rsidRPr="00E848B3">
        <w:rPr>
          <w:rFonts w:ascii="Times New Roman" w:eastAsia="Calibri" w:hAnsi="Times New Roman" w:cs="Times New Roman"/>
          <w:color w:val="222222"/>
          <w:sz w:val="24"/>
          <w:szCs w:val="24"/>
          <w:shd w:val="clear" w:color="auto" w:fill="FFFFFF"/>
        </w:rPr>
        <w:t xml:space="preserve">LEÃO, H. C. R. S. </w:t>
      </w:r>
      <w:r w:rsidRPr="00E848B3">
        <w:rPr>
          <w:rFonts w:ascii="Times New Roman" w:eastAsia="Calibri" w:hAnsi="Times New Roman" w:cs="Times New Roman"/>
          <w:b/>
          <w:bCs/>
          <w:color w:val="222222"/>
          <w:sz w:val="24"/>
          <w:szCs w:val="24"/>
          <w:shd w:val="clear" w:color="auto" w:fill="FFFFFF"/>
        </w:rPr>
        <w:t>A Evolução do emprego formal no Nordeste no período de 2002 a 2018.</w:t>
      </w:r>
      <w:r w:rsidRPr="00E848B3">
        <w:rPr>
          <w:rFonts w:ascii="Times New Roman" w:eastAsia="Calibri" w:hAnsi="Times New Roman" w:cs="Times New Roman"/>
          <w:color w:val="222222"/>
          <w:sz w:val="24"/>
          <w:szCs w:val="24"/>
          <w:shd w:val="clear" w:color="auto" w:fill="FFFFFF"/>
        </w:rPr>
        <w:t xml:space="preserve"> 2019.</w:t>
      </w:r>
    </w:p>
    <w:p w14:paraId="67BDCC0F" w14:textId="77777777" w:rsidR="00E848B3" w:rsidRPr="00E848B3" w:rsidRDefault="00E848B3" w:rsidP="00E848B3">
      <w:pPr>
        <w:spacing w:after="0" w:line="240" w:lineRule="auto"/>
        <w:rPr>
          <w:rFonts w:ascii="Times New Roman" w:eastAsia="Calibri" w:hAnsi="Times New Roman" w:cs="Times New Roman"/>
          <w:color w:val="222222"/>
          <w:sz w:val="24"/>
          <w:szCs w:val="24"/>
          <w:shd w:val="clear" w:color="auto" w:fill="FFFFFF"/>
        </w:rPr>
      </w:pPr>
    </w:p>
    <w:p w14:paraId="774A3AAE"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LIMA, J. et al. O padrão de localização e de difusão da mão-de-obra na Região Sul do Brasil (1991-00). </w:t>
      </w:r>
      <w:r w:rsidRPr="00E848B3">
        <w:rPr>
          <w:rFonts w:ascii="Times New Roman" w:eastAsia="Calibri" w:hAnsi="Times New Roman" w:cs="Times New Roman"/>
          <w:b/>
          <w:bCs/>
          <w:sz w:val="24"/>
          <w:szCs w:val="24"/>
        </w:rPr>
        <w:t>Ensaios FEE</w:t>
      </w:r>
      <w:r w:rsidRPr="00E848B3">
        <w:rPr>
          <w:rFonts w:ascii="Times New Roman" w:eastAsia="Calibri" w:hAnsi="Times New Roman" w:cs="Times New Roman"/>
          <w:sz w:val="24"/>
          <w:szCs w:val="24"/>
        </w:rPr>
        <w:t>, v. 28, n. 1, 2007.</w:t>
      </w:r>
    </w:p>
    <w:p w14:paraId="75BA203E" w14:textId="77777777" w:rsidR="00E848B3" w:rsidRPr="00E848B3" w:rsidRDefault="00E848B3" w:rsidP="00E848B3">
      <w:pPr>
        <w:spacing w:after="0" w:line="240" w:lineRule="auto"/>
        <w:rPr>
          <w:rFonts w:ascii="Times New Roman" w:eastAsia="Calibri" w:hAnsi="Times New Roman" w:cs="Times New Roman"/>
          <w:sz w:val="24"/>
          <w:szCs w:val="24"/>
        </w:rPr>
      </w:pPr>
    </w:p>
    <w:p w14:paraId="0073CE42"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MAIA GOMES, G., </w:t>
      </w:r>
      <w:r w:rsidRPr="00E848B3">
        <w:rPr>
          <w:rFonts w:ascii="Times New Roman" w:eastAsia="Calibri" w:hAnsi="Times New Roman" w:cs="Times New Roman"/>
          <w:b/>
          <w:bCs/>
          <w:sz w:val="24"/>
          <w:szCs w:val="24"/>
        </w:rPr>
        <w:t>Macroeconomia do Nordeste:</w:t>
      </w:r>
      <w:r w:rsidRPr="00E848B3">
        <w:rPr>
          <w:rFonts w:ascii="Times New Roman" w:eastAsia="Calibri" w:hAnsi="Times New Roman" w:cs="Times New Roman"/>
          <w:sz w:val="24"/>
          <w:szCs w:val="24"/>
        </w:rPr>
        <w:t xml:space="preserve"> tendências, desafios e perspectivas da dinâmica da economia do Nordeste e seus determinantes das mudanças na estrutura produtiva </w:t>
      </w:r>
      <w:r w:rsidRPr="00E848B3">
        <w:rPr>
          <w:rFonts w:ascii="Times New Roman" w:eastAsia="Calibri" w:hAnsi="Times New Roman" w:cs="Times New Roman"/>
          <w:sz w:val="24"/>
          <w:szCs w:val="24"/>
        </w:rPr>
        <w:lastRenderedPageBreak/>
        <w:t>regional, Estudos Prospectivos sobre o Desenvolvimento do Nordeste – Nordeste 2022, IICA-BNB-</w:t>
      </w:r>
      <w:proofErr w:type="spellStart"/>
      <w:r w:rsidRPr="00E848B3">
        <w:rPr>
          <w:rFonts w:ascii="Times New Roman" w:eastAsia="Calibri" w:hAnsi="Times New Roman" w:cs="Times New Roman"/>
          <w:sz w:val="24"/>
          <w:szCs w:val="24"/>
        </w:rPr>
        <w:t>Ceplan</w:t>
      </w:r>
      <w:proofErr w:type="spellEnd"/>
      <w:r w:rsidRPr="00E848B3">
        <w:rPr>
          <w:rFonts w:ascii="Times New Roman" w:eastAsia="Calibri" w:hAnsi="Times New Roman" w:cs="Times New Roman"/>
          <w:sz w:val="24"/>
          <w:szCs w:val="24"/>
        </w:rPr>
        <w:t>, 2014.</w:t>
      </w:r>
    </w:p>
    <w:p w14:paraId="75BC6475" w14:textId="77777777" w:rsidR="00E848B3" w:rsidRPr="00E848B3" w:rsidRDefault="00E848B3" w:rsidP="00E848B3">
      <w:pPr>
        <w:spacing w:after="0" w:line="240" w:lineRule="auto"/>
        <w:rPr>
          <w:rFonts w:ascii="Times New Roman" w:eastAsia="Calibri" w:hAnsi="Times New Roman" w:cs="Times New Roman"/>
          <w:sz w:val="24"/>
          <w:szCs w:val="24"/>
        </w:rPr>
      </w:pPr>
    </w:p>
    <w:p w14:paraId="5766DC55" w14:textId="77777777" w:rsidR="00E848B3" w:rsidRPr="00E848B3" w:rsidRDefault="00E848B3" w:rsidP="00E848B3">
      <w:pPr>
        <w:spacing w:after="0" w:line="240" w:lineRule="auto"/>
        <w:rPr>
          <w:rFonts w:ascii="Times New Roman" w:eastAsia="Calibri" w:hAnsi="Times New Roman" w:cs="Times New Roman"/>
          <w:color w:val="0F0F0F"/>
          <w:sz w:val="24"/>
          <w:szCs w:val="24"/>
          <w:shd w:val="clear" w:color="auto" w:fill="F9F9F9"/>
        </w:rPr>
      </w:pPr>
      <w:r w:rsidRPr="00E848B3">
        <w:rPr>
          <w:rFonts w:ascii="Times New Roman" w:eastAsia="Calibri" w:hAnsi="Times New Roman" w:cs="Times New Roman"/>
          <w:color w:val="0F0F0F"/>
          <w:sz w:val="24"/>
          <w:szCs w:val="24"/>
          <w:shd w:val="clear" w:color="auto" w:fill="F9F9F9"/>
          <w:lang w:val="en-US"/>
        </w:rPr>
        <w:t xml:space="preserve">MARTINS, H. G.; MATOS, P. R.; NOGUEIRA, L. V. </w:t>
      </w:r>
      <w:r w:rsidRPr="00E848B3">
        <w:rPr>
          <w:rFonts w:ascii="Times New Roman" w:eastAsia="Calibri" w:hAnsi="Times New Roman" w:cs="Times New Roman"/>
          <w:i/>
          <w:iCs/>
          <w:color w:val="0F0F0F"/>
          <w:sz w:val="24"/>
          <w:szCs w:val="24"/>
          <w:shd w:val="clear" w:color="auto" w:fill="F9F9F9"/>
          <w:lang w:val="en-US"/>
        </w:rPr>
        <w:t>On the cross-city growth drivers of the most vulnerable region of Brazil.</w:t>
      </w:r>
      <w:r w:rsidRPr="00E848B3">
        <w:rPr>
          <w:rFonts w:ascii="Times New Roman" w:eastAsia="Calibri" w:hAnsi="Times New Roman" w:cs="Times New Roman"/>
          <w:color w:val="0F0F0F"/>
          <w:sz w:val="24"/>
          <w:szCs w:val="24"/>
          <w:shd w:val="clear" w:color="auto" w:fill="F9F9F9"/>
          <w:lang w:val="en-US"/>
        </w:rPr>
        <w:t xml:space="preserve"> </w:t>
      </w:r>
      <w:r w:rsidRPr="00E848B3">
        <w:rPr>
          <w:rFonts w:ascii="Times New Roman" w:eastAsia="Calibri" w:hAnsi="Times New Roman" w:cs="Times New Roman"/>
          <w:b/>
          <w:bCs/>
          <w:color w:val="0F0F0F"/>
          <w:sz w:val="24"/>
          <w:szCs w:val="24"/>
          <w:shd w:val="clear" w:color="auto" w:fill="F9F9F9"/>
        </w:rPr>
        <w:t xml:space="preserve">World </w:t>
      </w:r>
      <w:proofErr w:type="spellStart"/>
      <w:r w:rsidRPr="00E848B3">
        <w:rPr>
          <w:rFonts w:ascii="Times New Roman" w:eastAsia="Calibri" w:hAnsi="Times New Roman" w:cs="Times New Roman"/>
          <w:b/>
          <w:bCs/>
          <w:color w:val="0F0F0F"/>
          <w:sz w:val="24"/>
          <w:szCs w:val="24"/>
          <w:shd w:val="clear" w:color="auto" w:fill="F9F9F9"/>
        </w:rPr>
        <w:t>Finance</w:t>
      </w:r>
      <w:proofErr w:type="spellEnd"/>
      <w:r w:rsidRPr="00E848B3">
        <w:rPr>
          <w:rFonts w:ascii="Times New Roman" w:eastAsia="Calibri" w:hAnsi="Times New Roman" w:cs="Times New Roman"/>
          <w:b/>
          <w:bCs/>
          <w:color w:val="0F0F0F"/>
          <w:sz w:val="24"/>
          <w:szCs w:val="24"/>
          <w:shd w:val="clear" w:color="auto" w:fill="F9F9F9"/>
        </w:rPr>
        <w:t xml:space="preserve"> </w:t>
      </w:r>
      <w:proofErr w:type="spellStart"/>
      <w:r w:rsidRPr="00E848B3">
        <w:rPr>
          <w:rFonts w:ascii="Times New Roman" w:eastAsia="Calibri" w:hAnsi="Times New Roman" w:cs="Times New Roman"/>
          <w:b/>
          <w:bCs/>
          <w:color w:val="0F0F0F"/>
          <w:sz w:val="24"/>
          <w:szCs w:val="24"/>
          <w:shd w:val="clear" w:color="auto" w:fill="F9F9F9"/>
        </w:rPr>
        <w:t>Conference</w:t>
      </w:r>
      <w:proofErr w:type="spellEnd"/>
      <w:r w:rsidRPr="00E848B3">
        <w:rPr>
          <w:rFonts w:ascii="Times New Roman" w:eastAsia="Calibri" w:hAnsi="Times New Roman" w:cs="Times New Roman"/>
          <w:b/>
          <w:bCs/>
          <w:color w:val="0F0F0F"/>
          <w:sz w:val="24"/>
          <w:szCs w:val="24"/>
          <w:shd w:val="clear" w:color="auto" w:fill="F9F9F9"/>
        </w:rPr>
        <w:t>.</w:t>
      </w:r>
      <w:r w:rsidRPr="00E848B3">
        <w:rPr>
          <w:rFonts w:ascii="Times New Roman" w:eastAsia="Calibri" w:hAnsi="Times New Roman" w:cs="Times New Roman"/>
          <w:color w:val="0F0F0F"/>
          <w:sz w:val="24"/>
          <w:szCs w:val="24"/>
          <w:shd w:val="clear" w:color="auto" w:fill="F9F9F9"/>
        </w:rPr>
        <w:t xml:space="preserve"> Turim, Itália. 2021.</w:t>
      </w:r>
    </w:p>
    <w:p w14:paraId="201F899D" w14:textId="77777777" w:rsidR="00E848B3" w:rsidRPr="00E848B3" w:rsidRDefault="00E848B3" w:rsidP="00E848B3">
      <w:pPr>
        <w:spacing w:after="0" w:line="240" w:lineRule="auto"/>
        <w:rPr>
          <w:rFonts w:ascii="Times New Roman" w:eastAsia="Calibri" w:hAnsi="Times New Roman" w:cs="Times New Roman"/>
          <w:color w:val="0F0F0F"/>
          <w:sz w:val="24"/>
          <w:szCs w:val="24"/>
          <w:shd w:val="clear" w:color="auto" w:fill="F9F9F9"/>
        </w:rPr>
      </w:pPr>
    </w:p>
    <w:p w14:paraId="74EF129D"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MEIRELLES, D. S. Serviços e desenvolvimento econômico: características e condicionantes. </w:t>
      </w:r>
      <w:r w:rsidRPr="00E848B3">
        <w:rPr>
          <w:rFonts w:ascii="Times New Roman" w:eastAsia="Calibri" w:hAnsi="Times New Roman" w:cs="Times New Roman"/>
          <w:b/>
          <w:bCs/>
          <w:sz w:val="24"/>
          <w:szCs w:val="24"/>
        </w:rPr>
        <w:t>Revista de Desenvolvimento Econômico</w:t>
      </w:r>
      <w:r w:rsidRPr="00E848B3">
        <w:rPr>
          <w:rFonts w:ascii="Times New Roman" w:eastAsia="Calibri" w:hAnsi="Times New Roman" w:cs="Times New Roman"/>
          <w:sz w:val="24"/>
          <w:szCs w:val="24"/>
        </w:rPr>
        <w:t>, Salvador: UNIFACS, ano X, n. 17, jan. 2008.</w:t>
      </w:r>
    </w:p>
    <w:p w14:paraId="12AA1549" w14:textId="77777777" w:rsidR="00E848B3" w:rsidRPr="00E848B3" w:rsidRDefault="00E848B3" w:rsidP="00E848B3">
      <w:pPr>
        <w:spacing w:after="0" w:line="240" w:lineRule="auto"/>
        <w:rPr>
          <w:rFonts w:ascii="Times New Roman" w:eastAsia="Calibri" w:hAnsi="Times New Roman" w:cs="Times New Roman"/>
          <w:sz w:val="24"/>
          <w:szCs w:val="24"/>
        </w:rPr>
      </w:pPr>
    </w:p>
    <w:p w14:paraId="21FF5BED"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MELO, T. V; OLIVEIRA, N. Estudo locacional das atividades produtivas do Tocantins. </w:t>
      </w:r>
      <w:r w:rsidRPr="00E848B3">
        <w:rPr>
          <w:rFonts w:ascii="Times New Roman" w:eastAsia="Calibri" w:hAnsi="Times New Roman" w:cs="Times New Roman"/>
          <w:b/>
          <w:bCs/>
          <w:sz w:val="24"/>
          <w:szCs w:val="24"/>
        </w:rPr>
        <w:t>Humanidades &amp; Inovação</w:t>
      </w:r>
      <w:r w:rsidRPr="00E848B3">
        <w:rPr>
          <w:rFonts w:ascii="Times New Roman" w:eastAsia="Calibri" w:hAnsi="Times New Roman" w:cs="Times New Roman"/>
          <w:sz w:val="24"/>
          <w:szCs w:val="24"/>
        </w:rPr>
        <w:t>, v. 7, n. 14, p. 72-88, 2020.</w:t>
      </w:r>
    </w:p>
    <w:p w14:paraId="5C7654BC" w14:textId="77777777" w:rsidR="00E848B3" w:rsidRPr="00E848B3" w:rsidRDefault="00E848B3" w:rsidP="00E848B3">
      <w:pPr>
        <w:spacing w:after="0" w:line="240" w:lineRule="auto"/>
        <w:rPr>
          <w:rFonts w:ascii="Times New Roman" w:eastAsia="Calibri" w:hAnsi="Times New Roman" w:cs="Times New Roman"/>
          <w:sz w:val="24"/>
          <w:szCs w:val="24"/>
        </w:rPr>
      </w:pPr>
    </w:p>
    <w:p w14:paraId="429D8EA2" w14:textId="77777777" w:rsidR="00E848B3" w:rsidRPr="00E848B3" w:rsidRDefault="00E848B3" w:rsidP="00E848B3">
      <w:pPr>
        <w:spacing w:after="0" w:line="24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MYRDAL, G. </w:t>
      </w:r>
      <w:r w:rsidRPr="00E848B3">
        <w:rPr>
          <w:rFonts w:ascii="Times New Roman" w:eastAsia="Calibri" w:hAnsi="Times New Roman" w:cs="Times New Roman"/>
          <w:b/>
          <w:bCs/>
          <w:sz w:val="24"/>
          <w:szCs w:val="24"/>
        </w:rPr>
        <w:t>Teoria Econômica e Regiões Subdesenvolvidas</w:t>
      </w:r>
      <w:r w:rsidRPr="00E848B3">
        <w:rPr>
          <w:rFonts w:ascii="Times New Roman" w:eastAsia="Calibri" w:hAnsi="Times New Roman" w:cs="Times New Roman"/>
          <w:sz w:val="24"/>
          <w:szCs w:val="24"/>
        </w:rPr>
        <w:t>, Rio de Janeiro: Editora Saga, 2ª ed., ([1957] 1960).</w:t>
      </w:r>
    </w:p>
    <w:p w14:paraId="3175AAA1" w14:textId="77777777" w:rsidR="00E848B3" w:rsidRPr="00E848B3" w:rsidRDefault="00E848B3" w:rsidP="00E848B3">
      <w:pPr>
        <w:spacing w:after="0" w:line="240" w:lineRule="auto"/>
        <w:jc w:val="both"/>
        <w:rPr>
          <w:rFonts w:ascii="Times New Roman" w:eastAsia="Calibri" w:hAnsi="Times New Roman" w:cs="Times New Roman"/>
          <w:sz w:val="24"/>
          <w:szCs w:val="24"/>
        </w:rPr>
      </w:pPr>
    </w:p>
    <w:p w14:paraId="0A1FAACC" w14:textId="77777777" w:rsidR="00E848B3" w:rsidRPr="00E848B3" w:rsidRDefault="00E848B3" w:rsidP="00E848B3">
      <w:pPr>
        <w:spacing w:after="0" w:line="24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OLIVEIRA, B; DE SANTANA RIBEIRO, Luiz Carlos; VIEIRA, Olga </w:t>
      </w:r>
      <w:proofErr w:type="spellStart"/>
      <w:r w:rsidRPr="00E848B3">
        <w:rPr>
          <w:rFonts w:ascii="Times New Roman" w:eastAsia="Calibri" w:hAnsi="Times New Roman" w:cs="Times New Roman"/>
          <w:sz w:val="24"/>
          <w:szCs w:val="24"/>
        </w:rPr>
        <w:t>Hianni</w:t>
      </w:r>
      <w:proofErr w:type="spellEnd"/>
      <w:r w:rsidRPr="00E848B3">
        <w:rPr>
          <w:rFonts w:ascii="Times New Roman" w:eastAsia="Calibri" w:hAnsi="Times New Roman" w:cs="Times New Roman"/>
          <w:sz w:val="24"/>
          <w:szCs w:val="24"/>
        </w:rPr>
        <w:t xml:space="preserve"> Portugal. A questão de gênero no mercado de trabalho: uma análise regional para os anos de 2010 a 2017.</w:t>
      </w:r>
      <w:r w:rsidRPr="00E848B3">
        <w:rPr>
          <w:rFonts w:ascii="Times New Roman" w:eastAsia="Calibri" w:hAnsi="Times New Roman" w:cs="Times New Roman"/>
          <w:sz w:val="24"/>
        </w:rPr>
        <w:t xml:space="preserve"> </w:t>
      </w:r>
      <w:r w:rsidRPr="00E848B3">
        <w:rPr>
          <w:rFonts w:ascii="Times New Roman" w:eastAsia="Calibri" w:hAnsi="Times New Roman" w:cs="Times New Roman"/>
          <w:b/>
          <w:bCs/>
          <w:sz w:val="24"/>
          <w:szCs w:val="24"/>
        </w:rPr>
        <w:t>Reflexões Econômicas</w:t>
      </w:r>
      <w:r w:rsidRPr="00E848B3">
        <w:rPr>
          <w:rFonts w:ascii="Times New Roman" w:eastAsia="Calibri" w:hAnsi="Times New Roman" w:cs="Times New Roman"/>
          <w:sz w:val="24"/>
          <w:szCs w:val="24"/>
        </w:rPr>
        <w:t>, Ilhéus (BA). v.5. n.1. p.74-92. 2020.</w:t>
      </w:r>
    </w:p>
    <w:p w14:paraId="7BE81272" w14:textId="77777777" w:rsidR="00E848B3" w:rsidRPr="00E848B3" w:rsidRDefault="00E848B3" w:rsidP="00E848B3">
      <w:pPr>
        <w:spacing w:after="0" w:line="240" w:lineRule="auto"/>
        <w:jc w:val="both"/>
        <w:rPr>
          <w:rFonts w:ascii="Times New Roman" w:eastAsia="Calibri" w:hAnsi="Times New Roman" w:cs="Times New Roman"/>
          <w:sz w:val="24"/>
          <w:szCs w:val="24"/>
        </w:rPr>
      </w:pPr>
    </w:p>
    <w:p w14:paraId="1118A46A"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OLIVEIRA, P. R; JARDIM, S. C; TEIXEIRA, Evandro Camargos. Pandemia da COVID-19 e ocupação no mercado de trabalho: o caso da Região Nordeste do Brasil. </w:t>
      </w:r>
      <w:r w:rsidRPr="00E848B3">
        <w:rPr>
          <w:rFonts w:ascii="Times New Roman" w:eastAsia="Calibri" w:hAnsi="Times New Roman" w:cs="Times New Roman"/>
          <w:b/>
          <w:bCs/>
          <w:sz w:val="24"/>
          <w:szCs w:val="24"/>
        </w:rPr>
        <w:t>Econômica</w:t>
      </w:r>
      <w:r w:rsidRPr="00E848B3">
        <w:rPr>
          <w:rFonts w:ascii="Times New Roman" w:eastAsia="Calibri" w:hAnsi="Times New Roman" w:cs="Times New Roman"/>
          <w:sz w:val="24"/>
          <w:szCs w:val="24"/>
        </w:rPr>
        <w:t>, v. 22, n. 1, 2020.</w:t>
      </w:r>
    </w:p>
    <w:p w14:paraId="796839DD" w14:textId="77777777" w:rsidR="00E848B3" w:rsidRPr="00E848B3" w:rsidRDefault="00E848B3" w:rsidP="00E848B3">
      <w:pPr>
        <w:spacing w:after="0" w:line="240" w:lineRule="auto"/>
        <w:rPr>
          <w:rFonts w:ascii="Times New Roman" w:eastAsia="Calibri" w:hAnsi="Times New Roman" w:cs="Times New Roman"/>
          <w:sz w:val="24"/>
          <w:szCs w:val="24"/>
        </w:rPr>
      </w:pPr>
    </w:p>
    <w:p w14:paraId="2E80DECE"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POSPIESZ, R. C; SOUZA, M. R. P.; OLIVEIRA, G. B. Análise shift-</w:t>
      </w:r>
      <w:proofErr w:type="spellStart"/>
      <w:r w:rsidRPr="00E848B3">
        <w:rPr>
          <w:rFonts w:ascii="Times New Roman" w:eastAsia="Calibri" w:hAnsi="Times New Roman" w:cs="Times New Roman"/>
          <w:sz w:val="24"/>
          <w:szCs w:val="24"/>
        </w:rPr>
        <w:t>share</w:t>
      </w:r>
      <w:proofErr w:type="spellEnd"/>
      <w:r w:rsidRPr="00E848B3">
        <w:rPr>
          <w:rFonts w:ascii="Times New Roman" w:eastAsia="Calibri" w:hAnsi="Times New Roman" w:cs="Times New Roman"/>
          <w:sz w:val="24"/>
          <w:szCs w:val="24"/>
        </w:rPr>
        <w:t>: um estudo sobre os estados da região sul de 2005-2008. </w:t>
      </w:r>
      <w:r w:rsidRPr="00E848B3">
        <w:rPr>
          <w:rFonts w:ascii="Times New Roman" w:eastAsia="Calibri" w:hAnsi="Times New Roman" w:cs="Times New Roman"/>
          <w:b/>
          <w:bCs/>
          <w:sz w:val="24"/>
          <w:szCs w:val="24"/>
        </w:rPr>
        <w:t>Caderno de Iniciação Científica</w:t>
      </w:r>
      <w:r w:rsidRPr="00E848B3">
        <w:rPr>
          <w:rFonts w:ascii="Times New Roman" w:eastAsia="Calibri" w:hAnsi="Times New Roman" w:cs="Times New Roman"/>
          <w:sz w:val="24"/>
          <w:szCs w:val="24"/>
        </w:rPr>
        <w:t>, p. 327-338, 2010.</w:t>
      </w:r>
    </w:p>
    <w:p w14:paraId="20F040B5" w14:textId="77777777" w:rsidR="00E848B3" w:rsidRPr="00E848B3" w:rsidRDefault="00E848B3" w:rsidP="00E848B3">
      <w:pPr>
        <w:spacing w:after="0" w:line="240" w:lineRule="auto"/>
        <w:rPr>
          <w:rFonts w:ascii="Times New Roman" w:eastAsia="Calibri" w:hAnsi="Times New Roman" w:cs="Times New Roman"/>
          <w:sz w:val="24"/>
          <w:szCs w:val="24"/>
        </w:rPr>
      </w:pPr>
    </w:p>
    <w:p w14:paraId="3BEF1840"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RELAÇÃO ANUAL DE INFORMAÇÕES SOCIAIS - RAIS. Ministério do Trabalho e Emprego -MTE. Disponível em: https://bi.mte.gov.br/bgcaged/caged_rais_vinculo_id/login.php. Acesso em: 03 maio. 2022.</w:t>
      </w:r>
    </w:p>
    <w:p w14:paraId="5E822770" w14:textId="77777777" w:rsidR="00E848B3" w:rsidRPr="00E848B3" w:rsidRDefault="00E848B3" w:rsidP="00E848B3">
      <w:pPr>
        <w:spacing w:after="0" w:line="240" w:lineRule="auto"/>
        <w:rPr>
          <w:rFonts w:ascii="Times New Roman" w:eastAsia="Calibri" w:hAnsi="Times New Roman" w:cs="Times New Roman"/>
          <w:sz w:val="24"/>
          <w:szCs w:val="24"/>
        </w:rPr>
      </w:pPr>
    </w:p>
    <w:p w14:paraId="422FEBDF"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RESENDE, C. E; HASEGAWA, M. M. Caracterização da estrutura produtiva do estado do paraná: uma análise shift-</w:t>
      </w:r>
      <w:proofErr w:type="spellStart"/>
      <w:r w:rsidRPr="00E848B3">
        <w:rPr>
          <w:rFonts w:ascii="Times New Roman" w:eastAsia="Calibri" w:hAnsi="Times New Roman" w:cs="Times New Roman"/>
          <w:sz w:val="24"/>
          <w:szCs w:val="24"/>
        </w:rPr>
        <w:t>share</w:t>
      </w:r>
      <w:proofErr w:type="spellEnd"/>
      <w:r w:rsidRPr="00E848B3">
        <w:rPr>
          <w:rFonts w:ascii="Times New Roman" w:eastAsia="Calibri" w:hAnsi="Times New Roman" w:cs="Times New Roman"/>
          <w:sz w:val="24"/>
          <w:szCs w:val="24"/>
        </w:rPr>
        <w:t xml:space="preserve"> entre 2002 e 2018. </w:t>
      </w:r>
      <w:r w:rsidRPr="00E848B3">
        <w:rPr>
          <w:rFonts w:ascii="Times New Roman" w:eastAsia="Calibri" w:hAnsi="Times New Roman" w:cs="Times New Roman"/>
          <w:b/>
          <w:bCs/>
          <w:sz w:val="24"/>
          <w:szCs w:val="24"/>
        </w:rPr>
        <w:t>Revista Paranaense de Desenvolvimento-RPD</w:t>
      </w:r>
      <w:r w:rsidRPr="00E848B3">
        <w:rPr>
          <w:rFonts w:ascii="Times New Roman" w:eastAsia="Calibri" w:hAnsi="Times New Roman" w:cs="Times New Roman"/>
          <w:sz w:val="24"/>
          <w:szCs w:val="24"/>
        </w:rPr>
        <w:t>, v. 41, n. 139, 2020.</w:t>
      </w:r>
    </w:p>
    <w:p w14:paraId="4378B157" w14:textId="77777777" w:rsidR="00E848B3" w:rsidRPr="00E848B3" w:rsidRDefault="00E848B3" w:rsidP="00E848B3">
      <w:pPr>
        <w:spacing w:after="0" w:line="240" w:lineRule="auto"/>
        <w:rPr>
          <w:rFonts w:ascii="Times New Roman" w:eastAsia="Calibri" w:hAnsi="Times New Roman" w:cs="Times New Roman"/>
          <w:sz w:val="24"/>
          <w:szCs w:val="24"/>
        </w:rPr>
      </w:pPr>
    </w:p>
    <w:p w14:paraId="08381C98"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RIBEIRO, C. Q. e RIBEIRO, M. G., Metrópoles brasileiras, síntese da transformação na ordem urbana, 1980-2010, </w:t>
      </w:r>
      <w:r w:rsidRPr="00E848B3">
        <w:rPr>
          <w:rFonts w:ascii="Times New Roman" w:eastAsia="Calibri" w:hAnsi="Times New Roman" w:cs="Times New Roman"/>
          <w:b/>
          <w:bCs/>
          <w:sz w:val="24"/>
          <w:szCs w:val="24"/>
        </w:rPr>
        <w:t>Letra Capital</w:t>
      </w:r>
      <w:r w:rsidRPr="00E848B3">
        <w:rPr>
          <w:rFonts w:ascii="Times New Roman" w:eastAsia="Calibri" w:hAnsi="Times New Roman" w:cs="Times New Roman"/>
          <w:sz w:val="24"/>
          <w:szCs w:val="24"/>
        </w:rPr>
        <w:t>, 2018.</w:t>
      </w:r>
    </w:p>
    <w:p w14:paraId="6BAD995B" w14:textId="77777777" w:rsidR="00E848B3" w:rsidRPr="00E848B3" w:rsidRDefault="00E848B3" w:rsidP="00E848B3">
      <w:pPr>
        <w:spacing w:after="0" w:line="240" w:lineRule="auto"/>
        <w:rPr>
          <w:rFonts w:ascii="Times New Roman" w:eastAsia="Calibri" w:hAnsi="Times New Roman" w:cs="Times New Roman"/>
          <w:sz w:val="24"/>
          <w:szCs w:val="24"/>
        </w:rPr>
      </w:pPr>
    </w:p>
    <w:p w14:paraId="7DE1235A"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RICHARDSON, H.W. Elementos de economia regional. Rio de Janeiro. Zahar Editores. 150p. 1973.</w:t>
      </w:r>
    </w:p>
    <w:p w14:paraId="41163818" w14:textId="77777777" w:rsidR="00E848B3" w:rsidRPr="00E848B3" w:rsidRDefault="00E848B3" w:rsidP="00E848B3">
      <w:pPr>
        <w:spacing w:after="0" w:line="240" w:lineRule="auto"/>
        <w:rPr>
          <w:rFonts w:ascii="Times New Roman" w:eastAsia="Calibri" w:hAnsi="Times New Roman" w:cs="Times New Roman"/>
          <w:sz w:val="24"/>
          <w:szCs w:val="24"/>
        </w:rPr>
      </w:pPr>
    </w:p>
    <w:p w14:paraId="0C72C910"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SILVA, D. M; MENEZES, G. R. Análise shift-</w:t>
      </w:r>
      <w:proofErr w:type="spellStart"/>
      <w:r w:rsidRPr="00E848B3">
        <w:rPr>
          <w:rFonts w:ascii="Times New Roman" w:eastAsia="Calibri" w:hAnsi="Times New Roman" w:cs="Times New Roman"/>
          <w:sz w:val="24"/>
          <w:szCs w:val="24"/>
        </w:rPr>
        <w:t>share</w:t>
      </w:r>
      <w:proofErr w:type="spellEnd"/>
      <w:r w:rsidRPr="00E848B3">
        <w:rPr>
          <w:rFonts w:ascii="Times New Roman" w:eastAsia="Calibri" w:hAnsi="Times New Roman" w:cs="Times New Roman"/>
          <w:sz w:val="24"/>
          <w:szCs w:val="24"/>
        </w:rPr>
        <w:t>: um estudo para as mesorregiões mineiras no período 2005-2015. </w:t>
      </w:r>
      <w:r w:rsidRPr="00E848B3">
        <w:rPr>
          <w:rFonts w:ascii="Times New Roman" w:eastAsia="Calibri" w:hAnsi="Times New Roman" w:cs="Times New Roman"/>
          <w:b/>
          <w:bCs/>
          <w:sz w:val="24"/>
          <w:szCs w:val="24"/>
        </w:rPr>
        <w:t>Revista Estudo &amp; Debate</w:t>
      </w:r>
      <w:r w:rsidRPr="00E848B3">
        <w:rPr>
          <w:rFonts w:ascii="Times New Roman" w:eastAsia="Calibri" w:hAnsi="Times New Roman" w:cs="Times New Roman"/>
          <w:sz w:val="24"/>
          <w:szCs w:val="24"/>
        </w:rPr>
        <w:t>, v. 25, n. 1, 2018.</w:t>
      </w:r>
    </w:p>
    <w:p w14:paraId="2A982436" w14:textId="77777777" w:rsidR="00E848B3" w:rsidRPr="00E848B3" w:rsidRDefault="00E848B3" w:rsidP="00E848B3">
      <w:pPr>
        <w:spacing w:after="0" w:line="240" w:lineRule="auto"/>
        <w:rPr>
          <w:rFonts w:ascii="Times New Roman" w:eastAsia="Calibri" w:hAnsi="Times New Roman" w:cs="Times New Roman"/>
          <w:sz w:val="24"/>
          <w:szCs w:val="24"/>
        </w:rPr>
      </w:pPr>
    </w:p>
    <w:p w14:paraId="29B1E457"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lastRenderedPageBreak/>
        <w:t>SIMOES, R. F. Métodos de análise regional e urbana: diagnostico aplicado ao planejamento. In: DINIZ, C. C.; CROCCO, M. A. (Ed.). Economia regional e urbana – contribuições teóricas recentes. Belo Horizonte: Editora da UFMG, 2006.</w:t>
      </w:r>
    </w:p>
    <w:p w14:paraId="2891A457" w14:textId="77777777" w:rsidR="00E848B3" w:rsidRPr="00E848B3" w:rsidRDefault="00E848B3" w:rsidP="00E848B3">
      <w:pPr>
        <w:spacing w:after="0" w:line="240" w:lineRule="auto"/>
        <w:rPr>
          <w:rFonts w:ascii="Times New Roman" w:eastAsia="Calibri" w:hAnsi="Times New Roman" w:cs="Times New Roman"/>
          <w:sz w:val="24"/>
          <w:szCs w:val="24"/>
        </w:rPr>
      </w:pPr>
    </w:p>
    <w:p w14:paraId="765A6310" w14:textId="77777777" w:rsidR="00E848B3" w:rsidRPr="00E848B3" w:rsidRDefault="00E848B3" w:rsidP="00E848B3">
      <w:pPr>
        <w:spacing w:after="0" w:line="240" w:lineRule="auto"/>
        <w:jc w:val="both"/>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SOUZA, N, J. Economia Regional: Conceito e Fundamentos Teóricos. </w:t>
      </w:r>
      <w:r w:rsidRPr="00E848B3">
        <w:rPr>
          <w:rFonts w:ascii="Times New Roman" w:eastAsia="Calibri" w:hAnsi="Times New Roman" w:cs="Times New Roman"/>
          <w:b/>
          <w:bCs/>
          <w:sz w:val="24"/>
          <w:szCs w:val="24"/>
        </w:rPr>
        <w:t>Revista Perspectiva Econômica,</w:t>
      </w:r>
      <w:r w:rsidRPr="00E848B3">
        <w:rPr>
          <w:rFonts w:ascii="Times New Roman" w:eastAsia="Calibri" w:hAnsi="Times New Roman" w:cs="Times New Roman"/>
          <w:sz w:val="24"/>
          <w:szCs w:val="24"/>
        </w:rPr>
        <w:t xml:space="preserve"> Ano XVI, v. 11, n. 32, 1981, p. 67-102.</w:t>
      </w:r>
    </w:p>
    <w:p w14:paraId="04974544" w14:textId="77777777" w:rsidR="00E848B3" w:rsidRPr="00E848B3" w:rsidRDefault="00E848B3" w:rsidP="00E848B3">
      <w:pPr>
        <w:spacing w:after="0" w:line="240" w:lineRule="auto"/>
        <w:jc w:val="both"/>
        <w:rPr>
          <w:rFonts w:ascii="Times New Roman" w:eastAsia="Calibri" w:hAnsi="Times New Roman" w:cs="Times New Roman"/>
          <w:sz w:val="24"/>
          <w:szCs w:val="24"/>
        </w:rPr>
      </w:pPr>
    </w:p>
    <w:p w14:paraId="3A48FD46"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 xml:space="preserve">TELECHI, A V. </w:t>
      </w:r>
      <w:r w:rsidRPr="00E848B3">
        <w:rPr>
          <w:rFonts w:ascii="Times New Roman" w:eastAsia="Calibri" w:hAnsi="Times New Roman" w:cs="Times New Roman"/>
          <w:b/>
          <w:bCs/>
          <w:sz w:val="24"/>
          <w:szCs w:val="24"/>
        </w:rPr>
        <w:t xml:space="preserve">Produtividade e remuneração do trabalho: </w:t>
      </w:r>
      <w:r w:rsidRPr="00E848B3">
        <w:rPr>
          <w:rFonts w:ascii="Times New Roman" w:eastAsia="Calibri" w:hAnsi="Times New Roman" w:cs="Times New Roman"/>
          <w:sz w:val="24"/>
          <w:szCs w:val="24"/>
        </w:rPr>
        <w:t>aplicação de uma análise Shift-</w:t>
      </w:r>
      <w:proofErr w:type="spellStart"/>
      <w:r w:rsidRPr="00E848B3">
        <w:rPr>
          <w:rFonts w:ascii="Times New Roman" w:eastAsia="Calibri" w:hAnsi="Times New Roman" w:cs="Times New Roman"/>
          <w:sz w:val="24"/>
          <w:szCs w:val="24"/>
        </w:rPr>
        <w:t>share</w:t>
      </w:r>
      <w:proofErr w:type="spellEnd"/>
      <w:r w:rsidRPr="00E848B3">
        <w:rPr>
          <w:rFonts w:ascii="Times New Roman" w:eastAsia="Calibri" w:hAnsi="Times New Roman" w:cs="Times New Roman"/>
          <w:sz w:val="24"/>
          <w:szCs w:val="24"/>
        </w:rPr>
        <w:t xml:space="preserve"> ao Brasil e Portugal. 2017. (Tese de Doutorado).</w:t>
      </w:r>
    </w:p>
    <w:p w14:paraId="1D29296B" w14:textId="77777777" w:rsidR="00E848B3" w:rsidRPr="00E848B3" w:rsidRDefault="00E848B3" w:rsidP="00E848B3">
      <w:pPr>
        <w:spacing w:after="0" w:line="240" w:lineRule="auto"/>
        <w:rPr>
          <w:rFonts w:ascii="Times New Roman" w:eastAsia="Calibri" w:hAnsi="Times New Roman" w:cs="Times New Roman"/>
          <w:sz w:val="24"/>
          <w:szCs w:val="24"/>
        </w:rPr>
      </w:pPr>
    </w:p>
    <w:p w14:paraId="4F26B02F" w14:textId="77777777" w:rsidR="00E848B3" w:rsidRPr="00E848B3" w:rsidRDefault="00E848B3" w:rsidP="00E848B3">
      <w:pPr>
        <w:spacing w:after="0" w:line="240" w:lineRule="auto"/>
        <w:rPr>
          <w:rFonts w:ascii="Times New Roman" w:eastAsia="Calibri" w:hAnsi="Times New Roman" w:cs="Times New Roman"/>
          <w:sz w:val="24"/>
          <w:szCs w:val="24"/>
        </w:rPr>
      </w:pPr>
      <w:r w:rsidRPr="00E848B3">
        <w:rPr>
          <w:rFonts w:ascii="Times New Roman" w:eastAsia="Calibri" w:hAnsi="Times New Roman" w:cs="Times New Roman"/>
          <w:sz w:val="24"/>
          <w:szCs w:val="24"/>
        </w:rPr>
        <w:t>VIEIRA, R. M; MISSIO, F. J; DATHEIN, R. Análise estrutural-diferencial do mercado formal de trabalho em Mato Grosso do Sul. </w:t>
      </w:r>
      <w:r w:rsidRPr="00E848B3">
        <w:rPr>
          <w:rFonts w:ascii="Times New Roman" w:eastAsia="Calibri" w:hAnsi="Times New Roman" w:cs="Times New Roman"/>
          <w:b/>
          <w:bCs/>
          <w:sz w:val="24"/>
          <w:szCs w:val="24"/>
        </w:rPr>
        <w:t>Pesquisa &amp; Debate. Revista do Programa de Estudos Pós-Graduados em Economia Política</w:t>
      </w:r>
      <w:r w:rsidRPr="00E848B3">
        <w:rPr>
          <w:rFonts w:ascii="Times New Roman" w:eastAsia="Calibri" w:hAnsi="Times New Roman" w:cs="Times New Roman"/>
          <w:sz w:val="24"/>
          <w:szCs w:val="24"/>
        </w:rPr>
        <w:t>, v. 28, n. 2 (52), p. 124-146, 2017.</w:t>
      </w:r>
    </w:p>
    <w:p w14:paraId="23B66DD7" w14:textId="77777777" w:rsidR="0053206E" w:rsidRDefault="0053206E">
      <w:pPr>
        <w:spacing w:after="0" w:line="240" w:lineRule="auto"/>
        <w:jc w:val="both"/>
        <w:rPr>
          <w:rFonts w:ascii="Times New Roman" w:hAnsi="Times New Roman" w:cs="Times New Roman"/>
          <w:sz w:val="24"/>
          <w:szCs w:val="24"/>
        </w:rPr>
      </w:pPr>
    </w:p>
    <w:p w14:paraId="28A09777" w14:textId="77777777" w:rsidR="0053206E" w:rsidRDefault="0053206E">
      <w:pPr>
        <w:spacing w:after="0" w:line="240" w:lineRule="auto"/>
        <w:jc w:val="both"/>
        <w:rPr>
          <w:rFonts w:ascii="Times New Roman" w:hAnsi="Times New Roman" w:cs="Times New Roman"/>
          <w:sz w:val="24"/>
          <w:szCs w:val="24"/>
        </w:rPr>
      </w:pPr>
    </w:p>
    <w:p w14:paraId="33DF7936" w14:textId="77777777" w:rsidR="0053206E" w:rsidRDefault="0053206E">
      <w:pPr>
        <w:spacing w:after="0" w:line="360" w:lineRule="auto"/>
        <w:jc w:val="both"/>
        <w:rPr>
          <w:rFonts w:ascii="Times New Roman" w:hAnsi="Times New Roman" w:cs="Times New Roman"/>
          <w:sz w:val="24"/>
          <w:szCs w:val="24"/>
        </w:rPr>
      </w:pPr>
    </w:p>
    <w:p w14:paraId="1F39E350" w14:textId="77777777" w:rsidR="0053206E"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0AD22D9C" w14:textId="77777777" w:rsidR="0053206E" w:rsidRDefault="0053206E">
      <w:pPr>
        <w:spacing w:after="0" w:line="360" w:lineRule="auto"/>
        <w:jc w:val="both"/>
        <w:rPr>
          <w:rFonts w:ascii="Times New Roman" w:hAnsi="Times New Roman" w:cs="Times New Roman"/>
          <w:sz w:val="24"/>
          <w:szCs w:val="24"/>
        </w:rPr>
      </w:pPr>
    </w:p>
    <w:p w14:paraId="3C2C8054" w14:textId="77777777" w:rsidR="0053206E" w:rsidRDefault="0053206E">
      <w:pPr>
        <w:spacing w:after="0" w:line="360" w:lineRule="auto"/>
        <w:jc w:val="both"/>
        <w:rPr>
          <w:rFonts w:ascii="Times New Roman" w:hAnsi="Times New Roman" w:cs="Times New Roman"/>
          <w:sz w:val="24"/>
          <w:szCs w:val="24"/>
        </w:rPr>
      </w:pPr>
    </w:p>
    <w:p w14:paraId="1243FB5F" w14:textId="77777777" w:rsidR="0053206E" w:rsidRDefault="0053206E">
      <w:pPr>
        <w:spacing w:after="0" w:line="360" w:lineRule="auto"/>
        <w:jc w:val="both"/>
        <w:rPr>
          <w:rFonts w:ascii="Times New Roman" w:hAnsi="Times New Roman" w:cs="Times New Roman"/>
          <w:sz w:val="24"/>
          <w:szCs w:val="24"/>
        </w:rPr>
      </w:pPr>
    </w:p>
    <w:p w14:paraId="550F31B8" w14:textId="77777777" w:rsidR="0053206E" w:rsidRDefault="0053206E">
      <w:pPr>
        <w:spacing w:after="0" w:line="360" w:lineRule="auto"/>
        <w:jc w:val="both"/>
        <w:rPr>
          <w:rFonts w:ascii="Times New Roman" w:hAnsi="Times New Roman" w:cs="Times New Roman"/>
          <w:sz w:val="24"/>
          <w:szCs w:val="24"/>
        </w:rPr>
      </w:pPr>
    </w:p>
    <w:p w14:paraId="42F34140" w14:textId="77777777" w:rsidR="0053206E" w:rsidRDefault="0053206E">
      <w:pPr>
        <w:spacing w:after="0" w:line="360" w:lineRule="auto"/>
        <w:jc w:val="both"/>
        <w:rPr>
          <w:rFonts w:ascii="Times New Roman" w:hAnsi="Times New Roman" w:cs="Times New Roman"/>
          <w:sz w:val="24"/>
          <w:szCs w:val="24"/>
        </w:rPr>
      </w:pPr>
    </w:p>
    <w:p w14:paraId="091B1330" w14:textId="77777777" w:rsidR="0053206E" w:rsidRDefault="0053206E">
      <w:pPr>
        <w:spacing w:after="0" w:line="360" w:lineRule="auto"/>
        <w:jc w:val="both"/>
        <w:rPr>
          <w:rFonts w:ascii="Times New Roman" w:hAnsi="Times New Roman" w:cs="Times New Roman"/>
          <w:sz w:val="24"/>
          <w:szCs w:val="24"/>
        </w:rPr>
      </w:pPr>
    </w:p>
    <w:p w14:paraId="6EBBD13B" w14:textId="77777777" w:rsidR="0053206E" w:rsidRDefault="0053206E">
      <w:pPr>
        <w:spacing w:after="0" w:line="360" w:lineRule="auto"/>
        <w:jc w:val="both"/>
        <w:rPr>
          <w:rFonts w:ascii="Times New Roman" w:hAnsi="Times New Roman" w:cs="Times New Roman"/>
          <w:sz w:val="24"/>
          <w:szCs w:val="24"/>
        </w:rPr>
      </w:pPr>
    </w:p>
    <w:p w14:paraId="3656B880" w14:textId="77777777" w:rsidR="0053206E" w:rsidRDefault="0053206E">
      <w:pPr>
        <w:tabs>
          <w:tab w:val="left" w:pos="4820"/>
        </w:tabs>
        <w:spacing w:after="0" w:line="360" w:lineRule="auto"/>
        <w:jc w:val="both"/>
        <w:rPr>
          <w:rFonts w:ascii="Times New Roman" w:hAnsi="Times New Roman" w:cs="Times New Roman"/>
          <w:sz w:val="24"/>
          <w:szCs w:val="24"/>
        </w:rPr>
      </w:pPr>
    </w:p>
    <w:p w14:paraId="37F0C7EA" w14:textId="77777777" w:rsidR="0053206E" w:rsidRDefault="0053206E">
      <w:pPr>
        <w:spacing w:after="0" w:line="360" w:lineRule="auto"/>
        <w:jc w:val="both"/>
        <w:rPr>
          <w:rFonts w:ascii="Times New Roman" w:hAnsi="Times New Roman" w:cs="Times New Roman"/>
          <w:sz w:val="24"/>
          <w:szCs w:val="24"/>
        </w:rPr>
      </w:pPr>
    </w:p>
    <w:sectPr w:rsidR="0053206E">
      <w:headerReference w:type="default" r:id="rId11"/>
      <w:footerReference w:type="default" r:id="rId1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8F2E9" w14:textId="77777777" w:rsidR="000523D7" w:rsidRDefault="000523D7">
      <w:pPr>
        <w:spacing w:line="240" w:lineRule="auto"/>
      </w:pPr>
      <w:r>
        <w:separator/>
      </w:r>
    </w:p>
  </w:endnote>
  <w:endnote w:type="continuationSeparator" w:id="0">
    <w:p w14:paraId="0DF3C60D" w14:textId="77777777" w:rsidR="000523D7" w:rsidRDefault="000523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68330" w14:textId="77777777" w:rsidR="0053206E"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36E56A83" wp14:editId="1A33F809">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7DE3D214" w14:textId="77777777" w:rsidR="0053206E" w:rsidRDefault="0053206E">
    <w:pPr>
      <w:pStyle w:val="Rodap"/>
      <w:jc w:val="both"/>
      <w:rPr>
        <w:rFonts w:ascii="Times New Roman" w:hAnsi="Times New Roman" w:cs="Times New Roman"/>
        <w:sz w:val="20"/>
        <w:szCs w:val="20"/>
      </w:rPr>
    </w:pPr>
  </w:p>
  <w:p w14:paraId="27FF3D08" w14:textId="77777777" w:rsidR="0053206E"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05D527D0" w14:textId="77777777" w:rsidR="0053206E" w:rsidRDefault="0053206E">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90AC3" w14:textId="77777777" w:rsidR="000523D7" w:rsidRDefault="000523D7">
      <w:pPr>
        <w:spacing w:after="0"/>
      </w:pPr>
      <w:r>
        <w:separator/>
      </w:r>
    </w:p>
  </w:footnote>
  <w:footnote w:type="continuationSeparator" w:id="0">
    <w:p w14:paraId="2196DBF8" w14:textId="77777777" w:rsidR="000523D7" w:rsidRDefault="000523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F6DF0" w14:textId="77777777" w:rsidR="0053206E"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604F3A9D" wp14:editId="5A888DFF">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43BC5E3B" wp14:editId="2C77DB2C">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0D1FE361" wp14:editId="1B62C327">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5E39459C" w14:textId="77777777" w:rsidR="0053206E" w:rsidRDefault="0053206E">
    <w:pPr>
      <w:pStyle w:val="Cabealho"/>
      <w:jc w:val="center"/>
    </w:pPr>
  </w:p>
  <w:p w14:paraId="56305F11" w14:textId="77777777" w:rsidR="0053206E" w:rsidRDefault="0053206E">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523D7"/>
    <w:rsid w:val="00067705"/>
    <w:rsid w:val="00092E04"/>
    <w:rsid w:val="000C6FEB"/>
    <w:rsid w:val="000F2C33"/>
    <w:rsid w:val="00152860"/>
    <w:rsid w:val="0017619A"/>
    <w:rsid w:val="00206A92"/>
    <w:rsid w:val="0020783E"/>
    <w:rsid w:val="00241841"/>
    <w:rsid w:val="00255C43"/>
    <w:rsid w:val="002868E9"/>
    <w:rsid w:val="00374B09"/>
    <w:rsid w:val="003B2E49"/>
    <w:rsid w:val="004D292A"/>
    <w:rsid w:val="00507F7E"/>
    <w:rsid w:val="00510F45"/>
    <w:rsid w:val="0053206E"/>
    <w:rsid w:val="00556E18"/>
    <w:rsid w:val="005E74FC"/>
    <w:rsid w:val="006F2600"/>
    <w:rsid w:val="00704E86"/>
    <w:rsid w:val="00721069"/>
    <w:rsid w:val="00787223"/>
    <w:rsid w:val="007909FB"/>
    <w:rsid w:val="007A3A8D"/>
    <w:rsid w:val="007C3EAC"/>
    <w:rsid w:val="0085799B"/>
    <w:rsid w:val="00922AE3"/>
    <w:rsid w:val="009F167A"/>
    <w:rsid w:val="00A10292"/>
    <w:rsid w:val="00A12BDF"/>
    <w:rsid w:val="00B32524"/>
    <w:rsid w:val="00BC6D50"/>
    <w:rsid w:val="00C87F92"/>
    <w:rsid w:val="00CA0769"/>
    <w:rsid w:val="00E04CCF"/>
    <w:rsid w:val="00E50039"/>
    <w:rsid w:val="00E848B3"/>
    <w:rsid w:val="00F278C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4F61E"/>
  <w15:docId w15:val="{D86DAB65-625F-4F51-B22A-BAB439AC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39"/>
    <w:rsid w:val="00E848B3"/>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tacac\Downloads\Artigo%20Econ%20Regional\Coeficiente%20de%20Especializacao%20C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tacac\Downloads\Artigo%20Econ%20Regional\SHIFT%20SHARE%20ESTADOS%20NORDESTINO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tacac\Downloads\Artigo%20Econ%20Regional\SHIFT%20SHARE%20ESTADOS%20NORDESTIN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Planilha1!$Z$43</c:f>
              <c:strCache>
                <c:ptCount val="1"/>
                <c:pt idx="0">
                  <c:v>2010</c:v>
                </c:pt>
              </c:strCache>
            </c:strRef>
          </c:tx>
          <c:spPr>
            <a:solidFill>
              <a:schemeClr val="accent5">
                <a:shade val="65000"/>
              </a:schemeClr>
            </a:solidFill>
            <a:ln>
              <a:noFill/>
            </a:ln>
            <a:effectLst/>
          </c:spPr>
          <c:invertIfNegative val="0"/>
          <c:cat>
            <c:strRef>
              <c:f>Planilha1!$Y$44:$Y$52</c:f>
              <c:strCache>
                <c:ptCount val="9"/>
                <c:pt idx="0">
                  <c:v>AL</c:v>
                </c:pt>
                <c:pt idx="1">
                  <c:v>BA</c:v>
                </c:pt>
                <c:pt idx="2">
                  <c:v> CE</c:v>
                </c:pt>
                <c:pt idx="3">
                  <c:v>MA</c:v>
                </c:pt>
                <c:pt idx="4">
                  <c:v>PB</c:v>
                </c:pt>
                <c:pt idx="5">
                  <c:v>PE</c:v>
                </c:pt>
                <c:pt idx="6">
                  <c:v>PI</c:v>
                </c:pt>
                <c:pt idx="7">
                  <c:v> RN</c:v>
                </c:pt>
                <c:pt idx="8">
                  <c:v> SE</c:v>
                </c:pt>
              </c:strCache>
            </c:strRef>
          </c:cat>
          <c:val>
            <c:numRef>
              <c:f>Planilha1!$Z$44:$Z$52</c:f>
              <c:numCache>
                <c:formatCode>0.00</c:formatCode>
                <c:ptCount val="9"/>
                <c:pt idx="0">
                  <c:v>0.19051645184581403</c:v>
                </c:pt>
                <c:pt idx="1">
                  <c:v>0.10441138004816845</c:v>
                </c:pt>
                <c:pt idx="2">
                  <c:v>0.12862621981825312</c:v>
                </c:pt>
                <c:pt idx="3">
                  <c:v>0.25593191248176678</c:v>
                </c:pt>
                <c:pt idx="4">
                  <c:v>0.23671491419162125</c:v>
                </c:pt>
                <c:pt idx="5">
                  <c:v>0.11170238137596714</c:v>
                </c:pt>
                <c:pt idx="6">
                  <c:v>0.1921899003693078</c:v>
                </c:pt>
                <c:pt idx="7">
                  <c:v>5.5170503757069556E-2</c:v>
                </c:pt>
                <c:pt idx="8">
                  <c:v>7.8120805413284422E-2</c:v>
                </c:pt>
              </c:numCache>
            </c:numRef>
          </c:val>
          <c:extLst>
            <c:ext xmlns:c16="http://schemas.microsoft.com/office/drawing/2014/chart" uri="{C3380CC4-5D6E-409C-BE32-E72D297353CC}">
              <c16:uniqueId val="{00000000-183A-48EE-B035-8FC869924842}"/>
            </c:ext>
          </c:extLst>
        </c:ser>
        <c:ser>
          <c:idx val="1"/>
          <c:order val="1"/>
          <c:tx>
            <c:strRef>
              <c:f>Planilha1!$AA$43</c:f>
              <c:strCache>
                <c:ptCount val="1"/>
                <c:pt idx="0">
                  <c:v>2015</c:v>
                </c:pt>
              </c:strCache>
            </c:strRef>
          </c:tx>
          <c:spPr>
            <a:solidFill>
              <a:schemeClr val="accent5"/>
            </a:solidFill>
            <a:ln>
              <a:noFill/>
            </a:ln>
            <a:effectLst/>
          </c:spPr>
          <c:invertIfNegative val="0"/>
          <c:cat>
            <c:strRef>
              <c:f>Planilha1!$Y$44:$Y$52</c:f>
              <c:strCache>
                <c:ptCount val="9"/>
                <c:pt idx="0">
                  <c:v>AL</c:v>
                </c:pt>
                <c:pt idx="1">
                  <c:v>BA</c:v>
                </c:pt>
                <c:pt idx="2">
                  <c:v> CE</c:v>
                </c:pt>
                <c:pt idx="3">
                  <c:v>MA</c:v>
                </c:pt>
                <c:pt idx="4">
                  <c:v>PB</c:v>
                </c:pt>
                <c:pt idx="5">
                  <c:v>PE</c:v>
                </c:pt>
                <c:pt idx="6">
                  <c:v>PI</c:v>
                </c:pt>
                <c:pt idx="7">
                  <c:v> RN</c:v>
                </c:pt>
                <c:pt idx="8">
                  <c:v> SE</c:v>
                </c:pt>
              </c:strCache>
            </c:strRef>
          </c:cat>
          <c:val>
            <c:numRef>
              <c:f>Planilha1!$AA$44:$AA$52</c:f>
              <c:numCache>
                <c:formatCode>0.00</c:formatCode>
                <c:ptCount val="9"/>
                <c:pt idx="0">
                  <c:v>0.1367894775186578</c:v>
                </c:pt>
                <c:pt idx="1">
                  <c:v>9.0088210250123077E-2</c:v>
                </c:pt>
                <c:pt idx="2">
                  <c:v>9.3674305907370276E-2</c:v>
                </c:pt>
                <c:pt idx="3">
                  <c:v>0.25469501181995108</c:v>
                </c:pt>
                <c:pt idx="4">
                  <c:v>0.20293686101724207</c:v>
                </c:pt>
                <c:pt idx="5">
                  <c:v>0.11223052045641012</c:v>
                </c:pt>
                <c:pt idx="6">
                  <c:v>0.15805074508768979</c:v>
                </c:pt>
                <c:pt idx="7">
                  <c:v>4.2742021435902902E-2</c:v>
                </c:pt>
                <c:pt idx="8">
                  <c:v>8.3690160913404407E-2</c:v>
                </c:pt>
              </c:numCache>
            </c:numRef>
          </c:val>
          <c:extLst>
            <c:ext xmlns:c16="http://schemas.microsoft.com/office/drawing/2014/chart" uri="{C3380CC4-5D6E-409C-BE32-E72D297353CC}">
              <c16:uniqueId val="{00000001-183A-48EE-B035-8FC869924842}"/>
            </c:ext>
          </c:extLst>
        </c:ser>
        <c:ser>
          <c:idx val="2"/>
          <c:order val="2"/>
          <c:tx>
            <c:strRef>
              <c:f>Planilha1!$AB$43</c:f>
              <c:strCache>
                <c:ptCount val="1"/>
                <c:pt idx="0">
                  <c:v>2020</c:v>
                </c:pt>
              </c:strCache>
            </c:strRef>
          </c:tx>
          <c:spPr>
            <a:solidFill>
              <a:schemeClr val="accent5">
                <a:tint val="65000"/>
              </a:schemeClr>
            </a:solidFill>
            <a:ln>
              <a:noFill/>
            </a:ln>
            <a:effectLst/>
          </c:spPr>
          <c:invertIfNegative val="0"/>
          <c:cat>
            <c:strRef>
              <c:f>Planilha1!$Y$44:$Y$52</c:f>
              <c:strCache>
                <c:ptCount val="9"/>
                <c:pt idx="0">
                  <c:v>AL</c:v>
                </c:pt>
                <c:pt idx="1">
                  <c:v>BA</c:v>
                </c:pt>
                <c:pt idx="2">
                  <c:v> CE</c:v>
                </c:pt>
                <c:pt idx="3">
                  <c:v>MA</c:v>
                </c:pt>
                <c:pt idx="4">
                  <c:v>PB</c:v>
                </c:pt>
                <c:pt idx="5">
                  <c:v>PE</c:v>
                </c:pt>
                <c:pt idx="6">
                  <c:v>PI</c:v>
                </c:pt>
                <c:pt idx="7">
                  <c:v> RN</c:v>
                </c:pt>
                <c:pt idx="8">
                  <c:v> SE</c:v>
                </c:pt>
              </c:strCache>
            </c:strRef>
          </c:cat>
          <c:val>
            <c:numRef>
              <c:f>Planilha1!$AB$44:$AB$52</c:f>
              <c:numCache>
                <c:formatCode>0.00</c:formatCode>
                <c:ptCount val="9"/>
                <c:pt idx="0">
                  <c:v>0.13306981432395387</c:v>
                </c:pt>
                <c:pt idx="1">
                  <c:v>7.2801648590772469E-2</c:v>
                </c:pt>
                <c:pt idx="2">
                  <c:v>0.14238717491175248</c:v>
                </c:pt>
                <c:pt idx="3">
                  <c:v>0.25195046846899788</c:v>
                </c:pt>
                <c:pt idx="4">
                  <c:v>0.15716116429702184</c:v>
                </c:pt>
                <c:pt idx="5">
                  <c:v>0.10984586310288774</c:v>
                </c:pt>
                <c:pt idx="6">
                  <c:v>0.17214946402558839</c:v>
                </c:pt>
                <c:pt idx="7">
                  <c:v>4.2593127718799091E-2</c:v>
                </c:pt>
                <c:pt idx="8">
                  <c:v>5.5774035526773555E-2</c:v>
                </c:pt>
              </c:numCache>
            </c:numRef>
          </c:val>
          <c:extLst>
            <c:ext xmlns:c16="http://schemas.microsoft.com/office/drawing/2014/chart" uri="{C3380CC4-5D6E-409C-BE32-E72D297353CC}">
              <c16:uniqueId val="{00000002-183A-48EE-B035-8FC869924842}"/>
            </c:ext>
          </c:extLst>
        </c:ser>
        <c:dLbls>
          <c:showLegendKey val="0"/>
          <c:showVal val="0"/>
          <c:showCatName val="0"/>
          <c:showSerName val="0"/>
          <c:showPercent val="0"/>
          <c:showBubbleSize val="0"/>
        </c:dLbls>
        <c:gapWidth val="219"/>
        <c:overlap val="-27"/>
        <c:axId val="1684905024"/>
        <c:axId val="1684913760"/>
      </c:barChart>
      <c:catAx>
        <c:axId val="168490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684913760"/>
        <c:crosses val="autoZero"/>
        <c:auto val="1"/>
        <c:lblAlgn val="ctr"/>
        <c:lblOffset val="100"/>
        <c:noMultiLvlLbl val="0"/>
      </c:catAx>
      <c:valAx>
        <c:axId val="1684913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6849050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t-B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Planilha1!$AD$12</c:f>
              <c:strCache>
                <c:ptCount val="1"/>
                <c:pt idx="0">
                  <c:v>N</c:v>
                </c:pt>
              </c:strCache>
            </c:strRef>
          </c:tx>
          <c:spPr>
            <a:solidFill>
              <a:schemeClr val="accent1"/>
            </a:solidFill>
            <a:ln>
              <a:noFill/>
            </a:ln>
            <a:effectLst/>
          </c:spPr>
          <c:invertIfNegative val="0"/>
          <c:cat>
            <c:strRef>
              <c:f>Planilha1!$AE$11:$AM$11</c:f>
              <c:strCache>
                <c:ptCount val="9"/>
                <c:pt idx="0">
                  <c:v>AL</c:v>
                </c:pt>
                <c:pt idx="1">
                  <c:v>BA</c:v>
                </c:pt>
                <c:pt idx="2">
                  <c:v>CE</c:v>
                </c:pt>
                <c:pt idx="3">
                  <c:v>MA</c:v>
                </c:pt>
                <c:pt idx="4">
                  <c:v>PB</c:v>
                </c:pt>
                <c:pt idx="5">
                  <c:v>PE</c:v>
                </c:pt>
                <c:pt idx="6">
                  <c:v>PI</c:v>
                </c:pt>
                <c:pt idx="7">
                  <c:v>RN</c:v>
                </c:pt>
                <c:pt idx="8">
                  <c:v>SE</c:v>
                </c:pt>
              </c:strCache>
            </c:strRef>
          </c:cat>
          <c:val>
            <c:numRef>
              <c:f>Planilha1!$AE$12:$AM$12</c:f>
              <c:numCache>
                <c:formatCode>0</c:formatCode>
                <c:ptCount val="9"/>
                <c:pt idx="0">
                  <c:v>52235.244333333874</c:v>
                </c:pt>
                <c:pt idx="1">
                  <c:v>237250.96435966319</c:v>
                </c:pt>
                <c:pt idx="2">
                  <c:v>147036.61432716346</c:v>
                </c:pt>
                <c:pt idx="3">
                  <c:v>70604.728793076487</c:v>
                </c:pt>
                <c:pt idx="4">
                  <c:v>64269.739257024143</c:v>
                </c:pt>
                <c:pt idx="5">
                  <c:v>170419.10384667575</c:v>
                </c:pt>
                <c:pt idx="6">
                  <c:v>41862.435098246264</c:v>
                </c:pt>
                <c:pt idx="7">
                  <c:v>63773.107840514582</c:v>
                </c:pt>
                <c:pt idx="8">
                  <c:v>40988.062144302232</c:v>
                </c:pt>
              </c:numCache>
            </c:numRef>
          </c:val>
          <c:extLst>
            <c:ext xmlns:c16="http://schemas.microsoft.com/office/drawing/2014/chart" uri="{C3380CC4-5D6E-409C-BE32-E72D297353CC}">
              <c16:uniqueId val="{00000000-AD7F-40F0-9DD3-2B38AE121DDD}"/>
            </c:ext>
          </c:extLst>
        </c:ser>
        <c:ser>
          <c:idx val="1"/>
          <c:order val="1"/>
          <c:tx>
            <c:strRef>
              <c:f>Planilha1!$AD$13</c:f>
              <c:strCache>
                <c:ptCount val="1"/>
                <c:pt idx="0">
                  <c:v>S</c:v>
                </c:pt>
              </c:strCache>
            </c:strRef>
          </c:tx>
          <c:spPr>
            <a:solidFill>
              <a:schemeClr val="accent3"/>
            </a:solidFill>
            <a:ln>
              <a:noFill/>
            </a:ln>
            <a:effectLst/>
          </c:spPr>
          <c:invertIfNegative val="0"/>
          <c:cat>
            <c:strRef>
              <c:f>Planilha1!$AE$11:$AM$11</c:f>
              <c:strCache>
                <c:ptCount val="9"/>
                <c:pt idx="0">
                  <c:v>AL</c:v>
                </c:pt>
                <c:pt idx="1">
                  <c:v>BA</c:v>
                </c:pt>
                <c:pt idx="2">
                  <c:v>CE</c:v>
                </c:pt>
                <c:pt idx="3">
                  <c:v>MA</c:v>
                </c:pt>
                <c:pt idx="4">
                  <c:v>PB</c:v>
                </c:pt>
                <c:pt idx="5">
                  <c:v>PE</c:v>
                </c:pt>
                <c:pt idx="6">
                  <c:v>PI</c:v>
                </c:pt>
                <c:pt idx="7">
                  <c:v>RN</c:v>
                </c:pt>
                <c:pt idx="8">
                  <c:v>SE</c:v>
                </c:pt>
              </c:strCache>
            </c:strRef>
          </c:cat>
          <c:val>
            <c:numRef>
              <c:f>Planilha1!$AE$13:$AM$13</c:f>
              <c:numCache>
                <c:formatCode>0</c:formatCode>
                <c:ptCount val="9"/>
                <c:pt idx="0">
                  <c:v>-9991.5547811937831</c:v>
                </c:pt>
                <c:pt idx="1">
                  <c:v>24119.036150308209</c:v>
                </c:pt>
                <c:pt idx="2">
                  <c:v>-2937.7084457865299</c:v>
                </c:pt>
                <c:pt idx="3">
                  <c:v>-7270.7569380444565</c:v>
                </c:pt>
                <c:pt idx="4">
                  <c:v>-12722.820747673353</c:v>
                </c:pt>
                <c:pt idx="5">
                  <c:v>10993.856293564584</c:v>
                </c:pt>
                <c:pt idx="6">
                  <c:v>-620.26962903511821</c:v>
                </c:pt>
                <c:pt idx="7">
                  <c:v>-665.23413659561174</c:v>
                </c:pt>
                <c:pt idx="8">
                  <c:v>-904.5477655438749</c:v>
                </c:pt>
              </c:numCache>
            </c:numRef>
          </c:val>
          <c:extLst>
            <c:ext xmlns:c16="http://schemas.microsoft.com/office/drawing/2014/chart" uri="{C3380CC4-5D6E-409C-BE32-E72D297353CC}">
              <c16:uniqueId val="{00000001-AD7F-40F0-9DD3-2B38AE121DDD}"/>
            </c:ext>
          </c:extLst>
        </c:ser>
        <c:ser>
          <c:idx val="2"/>
          <c:order val="2"/>
          <c:tx>
            <c:strRef>
              <c:f>Planilha1!$AD$14</c:f>
              <c:strCache>
                <c:ptCount val="1"/>
                <c:pt idx="0">
                  <c:v>R</c:v>
                </c:pt>
              </c:strCache>
            </c:strRef>
          </c:tx>
          <c:spPr>
            <a:solidFill>
              <a:schemeClr val="accent5"/>
            </a:solidFill>
            <a:ln>
              <a:noFill/>
            </a:ln>
            <a:effectLst/>
          </c:spPr>
          <c:invertIfNegative val="0"/>
          <c:cat>
            <c:strRef>
              <c:f>Planilha1!$AE$11:$AM$11</c:f>
              <c:strCache>
                <c:ptCount val="9"/>
                <c:pt idx="0">
                  <c:v>AL</c:v>
                </c:pt>
                <c:pt idx="1">
                  <c:v>BA</c:v>
                </c:pt>
                <c:pt idx="2">
                  <c:v>CE</c:v>
                </c:pt>
                <c:pt idx="3">
                  <c:v>MA</c:v>
                </c:pt>
                <c:pt idx="4">
                  <c:v>PB</c:v>
                </c:pt>
                <c:pt idx="5">
                  <c:v>PE</c:v>
                </c:pt>
                <c:pt idx="6">
                  <c:v>PI</c:v>
                </c:pt>
                <c:pt idx="7">
                  <c:v>RN</c:v>
                </c:pt>
                <c:pt idx="8">
                  <c:v>SE</c:v>
                </c:pt>
              </c:strCache>
            </c:strRef>
          </c:cat>
          <c:val>
            <c:numRef>
              <c:f>Planilha1!$AE$14:$AM$14</c:f>
              <c:numCache>
                <c:formatCode>0</c:formatCode>
                <c:ptCount val="9"/>
                <c:pt idx="0">
                  <c:v>-3960.6895521400884</c:v>
                </c:pt>
                <c:pt idx="1">
                  <c:v>-88198.000509971374</c:v>
                </c:pt>
                <c:pt idx="2">
                  <c:v>72868.094118623034</c:v>
                </c:pt>
                <c:pt idx="3">
                  <c:v>22907.028144967979</c:v>
                </c:pt>
                <c:pt idx="4">
                  <c:v>35979.081490649216</c:v>
                </c:pt>
                <c:pt idx="5">
                  <c:v>-47703.96014024032</c:v>
                </c:pt>
                <c:pt idx="6">
                  <c:v>42070.834530788859</c:v>
                </c:pt>
                <c:pt idx="7">
                  <c:v>-29267.873703918962</c:v>
                </c:pt>
                <c:pt idx="8">
                  <c:v>-4694.5143787583647</c:v>
                </c:pt>
              </c:numCache>
            </c:numRef>
          </c:val>
          <c:extLst>
            <c:ext xmlns:c16="http://schemas.microsoft.com/office/drawing/2014/chart" uri="{C3380CC4-5D6E-409C-BE32-E72D297353CC}">
              <c16:uniqueId val="{00000002-AD7F-40F0-9DD3-2B38AE121DDD}"/>
            </c:ext>
          </c:extLst>
        </c:ser>
        <c:ser>
          <c:idx val="3"/>
          <c:order val="3"/>
          <c:tx>
            <c:strRef>
              <c:f>Planilha1!$AD$15</c:f>
              <c:strCache>
                <c:ptCount val="1"/>
                <c:pt idx="0">
                  <c:v>Saldo</c:v>
                </c:pt>
              </c:strCache>
            </c:strRef>
          </c:tx>
          <c:spPr>
            <a:solidFill>
              <a:schemeClr val="accent1">
                <a:lumMod val="60000"/>
              </a:schemeClr>
            </a:solidFill>
            <a:ln>
              <a:noFill/>
            </a:ln>
            <a:effectLst/>
          </c:spPr>
          <c:invertIfNegative val="0"/>
          <c:cat>
            <c:strRef>
              <c:f>Planilha1!$AE$11:$AM$11</c:f>
              <c:strCache>
                <c:ptCount val="9"/>
                <c:pt idx="0">
                  <c:v>AL</c:v>
                </c:pt>
                <c:pt idx="1">
                  <c:v>BA</c:v>
                </c:pt>
                <c:pt idx="2">
                  <c:v>CE</c:v>
                </c:pt>
                <c:pt idx="3">
                  <c:v>MA</c:v>
                </c:pt>
                <c:pt idx="4">
                  <c:v>PB</c:v>
                </c:pt>
                <c:pt idx="5">
                  <c:v>PE</c:v>
                </c:pt>
                <c:pt idx="6">
                  <c:v>PI</c:v>
                </c:pt>
                <c:pt idx="7">
                  <c:v>RN</c:v>
                </c:pt>
                <c:pt idx="8">
                  <c:v>SE</c:v>
                </c:pt>
              </c:strCache>
            </c:strRef>
          </c:cat>
          <c:val>
            <c:numRef>
              <c:f>Planilha1!$AE$15:$AM$15</c:f>
              <c:numCache>
                <c:formatCode>0</c:formatCode>
                <c:ptCount val="9"/>
                <c:pt idx="0">
                  <c:v>38283</c:v>
                </c:pt>
                <c:pt idx="1">
                  <c:v>173172</c:v>
                </c:pt>
                <c:pt idx="2">
                  <c:v>216967</c:v>
                </c:pt>
                <c:pt idx="3">
                  <c:v>86241</c:v>
                </c:pt>
                <c:pt idx="4">
                  <c:v>87526</c:v>
                </c:pt>
                <c:pt idx="5">
                  <c:v>133709</c:v>
                </c:pt>
                <c:pt idx="6">
                  <c:v>83313</c:v>
                </c:pt>
                <c:pt idx="7">
                  <c:v>33840</c:v>
                </c:pt>
                <c:pt idx="8">
                  <c:v>35389</c:v>
                </c:pt>
              </c:numCache>
            </c:numRef>
          </c:val>
          <c:extLst>
            <c:ext xmlns:c16="http://schemas.microsoft.com/office/drawing/2014/chart" uri="{C3380CC4-5D6E-409C-BE32-E72D297353CC}">
              <c16:uniqueId val="{00000003-AD7F-40F0-9DD3-2B38AE121DDD}"/>
            </c:ext>
          </c:extLst>
        </c:ser>
        <c:dLbls>
          <c:showLegendKey val="0"/>
          <c:showVal val="0"/>
          <c:showCatName val="0"/>
          <c:showSerName val="0"/>
          <c:showPercent val="0"/>
          <c:showBubbleSize val="0"/>
        </c:dLbls>
        <c:gapWidth val="219"/>
        <c:overlap val="-27"/>
        <c:axId val="263056591"/>
        <c:axId val="172885535"/>
      </c:barChart>
      <c:catAx>
        <c:axId val="263056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2885535"/>
        <c:crosses val="autoZero"/>
        <c:auto val="1"/>
        <c:lblAlgn val="ctr"/>
        <c:lblOffset val="100"/>
        <c:noMultiLvlLbl val="0"/>
      </c:catAx>
      <c:valAx>
        <c:axId val="172885535"/>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6305659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t-B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Planilha1!$AD$33</c:f>
              <c:strCache>
                <c:ptCount val="1"/>
                <c:pt idx="0">
                  <c:v>N</c:v>
                </c:pt>
              </c:strCache>
            </c:strRef>
          </c:tx>
          <c:spPr>
            <a:solidFill>
              <a:schemeClr val="accent1"/>
            </a:solidFill>
            <a:ln>
              <a:noFill/>
            </a:ln>
            <a:effectLst/>
          </c:spPr>
          <c:invertIfNegative val="0"/>
          <c:cat>
            <c:strRef>
              <c:f>Planilha1!$AE$32:$AM$32</c:f>
              <c:strCache>
                <c:ptCount val="9"/>
                <c:pt idx="0">
                  <c:v>AL</c:v>
                </c:pt>
                <c:pt idx="1">
                  <c:v>BA</c:v>
                </c:pt>
                <c:pt idx="2">
                  <c:v>CE</c:v>
                </c:pt>
                <c:pt idx="3">
                  <c:v>MA</c:v>
                </c:pt>
                <c:pt idx="4">
                  <c:v>PB</c:v>
                </c:pt>
                <c:pt idx="5">
                  <c:v>PE</c:v>
                </c:pt>
                <c:pt idx="6">
                  <c:v>PI</c:v>
                </c:pt>
                <c:pt idx="7">
                  <c:v>RN</c:v>
                </c:pt>
                <c:pt idx="8">
                  <c:v>SE</c:v>
                </c:pt>
              </c:strCache>
            </c:strRef>
          </c:cat>
          <c:val>
            <c:numRef>
              <c:f>Planilha1!$AE$33:$AM$33</c:f>
              <c:numCache>
                <c:formatCode>0</c:formatCode>
                <c:ptCount val="9"/>
                <c:pt idx="0">
                  <c:v>-30384.434654762485</c:v>
                </c:pt>
                <c:pt idx="1">
                  <c:v>-137962.96349400887</c:v>
                </c:pt>
                <c:pt idx="2">
                  <c:v>-92044.298313380204</c:v>
                </c:pt>
                <c:pt idx="3">
                  <c:v>-43127.730089145422</c:v>
                </c:pt>
                <c:pt idx="4">
                  <c:v>-39796.435025803774</c:v>
                </c:pt>
                <c:pt idx="5">
                  <c:v>-99655.755061730277</c:v>
                </c:pt>
                <c:pt idx="6">
                  <c:v>-27490.880688199573</c:v>
                </c:pt>
                <c:pt idx="7">
                  <c:v>-36326.246508284545</c:v>
                </c:pt>
                <c:pt idx="8">
                  <c:v>-24161.256164684801</c:v>
                </c:pt>
              </c:numCache>
            </c:numRef>
          </c:val>
          <c:extLst>
            <c:ext xmlns:c16="http://schemas.microsoft.com/office/drawing/2014/chart" uri="{C3380CC4-5D6E-409C-BE32-E72D297353CC}">
              <c16:uniqueId val="{00000000-191F-46F3-BFD3-893921650C7C}"/>
            </c:ext>
          </c:extLst>
        </c:ser>
        <c:ser>
          <c:idx val="1"/>
          <c:order val="1"/>
          <c:tx>
            <c:strRef>
              <c:f>Planilha1!$AD$34</c:f>
              <c:strCache>
                <c:ptCount val="1"/>
                <c:pt idx="0">
                  <c:v>S</c:v>
                </c:pt>
              </c:strCache>
            </c:strRef>
          </c:tx>
          <c:spPr>
            <a:solidFill>
              <a:schemeClr val="accent3"/>
            </a:solidFill>
            <a:ln>
              <a:noFill/>
            </a:ln>
            <a:effectLst/>
          </c:spPr>
          <c:invertIfNegative val="0"/>
          <c:cat>
            <c:strRef>
              <c:f>Planilha1!$AE$32:$AM$32</c:f>
              <c:strCache>
                <c:ptCount val="9"/>
                <c:pt idx="0">
                  <c:v>AL</c:v>
                </c:pt>
                <c:pt idx="1">
                  <c:v>BA</c:v>
                </c:pt>
                <c:pt idx="2">
                  <c:v>CE</c:v>
                </c:pt>
                <c:pt idx="3">
                  <c:v>MA</c:v>
                </c:pt>
                <c:pt idx="4">
                  <c:v>PB</c:v>
                </c:pt>
                <c:pt idx="5">
                  <c:v>PE</c:v>
                </c:pt>
                <c:pt idx="6">
                  <c:v>PI</c:v>
                </c:pt>
                <c:pt idx="7">
                  <c:v>RN</c:v>
                </c:pt>
                <c:pt idx="8">
                  <c:v>SE</c:v>
                </c:pt>
              </c:strCache>
            </c:strRef>
          </c:cat>
          <c:val>
            <c:numRef>
              <c:f>Planilha1!$AE$34:$AM$34</c:f>
              <c:numCache>
                <c:formatCode>0</c:formatCode>
                <c:ptCount val="9"/>
                <c:pt idx="0">
                  <c:v>-2006.578894494869</c:v>
                </c:pt>
                <c:pt idx="1">
                  <c:v>5620.8638067531165</c:v>
                </c:pt>
                <c:pt idx="2">
                  <c:v>-1008.4250321838176</c:v>
                </c:pt>
                <c:pt idx="3">
                  <c:v>-5773.5912757751394</c:v>
                </c:pt>
                <c:pt idx="4">
                  <c:v>-4045.8505986684104</c:v>
                </c:pt>
                <c:pt idx="5">
                  <c:v>8088.4359797696916</c:v>
                </c:pt>
                <c:pt idx="6">
                  <c:v>-904.96195998031271</c:v>
                </c:pt>
                <c:pt idx="7">
                  <c:v>-355.84253402547915</c:v>
                </c:pt>
                <c:pt idx="8">
                  <c:v>385.95050860520416</c:v>
                </c:pt>
              </c:numCache>
            </c:numRef>
          </c:val>
          <c:extLst>
            <c:ext xmlns:c16="http://schemas.microsoft.com/office/drawing/2014/chart" uri="{C3380CC4-5D6E-409C-BE32-E72D297353CC}">
              <c16:uniqueId val="{00000001-191F-46F3-BFD3-893921650C7C}"/>
            </c:ext>
          </c:extLst>
        </c:ser>
        <c:ser>
          <c:idx val="2"/>
          <c:order val="2"/>
          <c:tx>
            <c:strRef>
              <c:f>Planilha1!$AD$35</c:f>
              <c:strCache>
                <c:ptCount val="1"/>
                <c:pt idx="0">
                  <c:v>R</c:v>
                </c:pt>
              </c:strCache>
            </c:strRef>
          </c:tx>
          <c:spPr>
            <a:solidFill>
              <a:schemeClr val="accent5"/>
            </a:solidFill>
            <a:ln>
              <a:noFill/>
            </a:ln>
            <a:effectLst/>
          </c:spPr>
          <c:invertIfNegative val="0"/>
          <c:cat>
            <c:strRef>
              <c:f>Planilha1!$AE$32:$AM$32</c:f>
              <c:strCache>
                <c:ptCount val="9"/>
                <c:pt idx="0">
                  <c:v>AL</c:v>
                </c:pt>
                <c:pt idx="1">
                  <c:v>BA</c:v>
                </c:pt>
                <c:pt idx="2">
                  <c:v>CE</c:v>
                </c:pt>
                <c:pt idx="3">
                  <c:v>MA</c:v>
                </c:pt>
                <c:pt idx="4">
                  <c:v>PB</c:v>
                </c:pt>
                <c:pt idx="5">
                  <c:v>PE</c:v>
                </c:pt>
                <c:pt idx="6">
                  <c:v>PI</c:v>
                </c:pt>
                <c:pt idx="7">
                  <c:v>RN</c:v>
                </c:pt>
                <c:pt idx="8">
                  <c:v>SE</c:v>
                </c:pt>
              </c:strCache>
            </c:strRef>
          </c:cat>
          <c:val>
            <c:numRef>
              <c:f>Planilha1!$AE$35:$AM$35</c:f>
              <c:numCache>
                <c:formatCode>0</c:formatCode>
                <c:ptCount val="9"/>
                <c:pt idx="0">
                  <c:v>4659.013549257349</c:v>
                </c:pt>
                <c:pt idx="1">
                  <c:v>-3873.9003127442256</c:v>
                </c:pt>
                <c:pt idx="2">
                  <c:v>-8209.2766544359656</c:v>
                </c:pt>
                <c:pt idx="3">
                  <c:v>70068.321364920572</c:v>
                </c:pt>
                <c:pt idx="4">
                  <c:v>5948.2856244721834</c:v>
                </c:pt>
                <c:pt idx="5">
                  <c:v>-53488.680918039427</c:v>
                </c:pt>
                <c:pt idx="6">
                  <c:v>3994.8426481798838</c:v>
                </c:pt>
                <c:pt idx="7">
                  <c:v>-3959.9109576899732</c:v>
                </c:pt>
                <c:pt idx="8">
                  <c:v>-15138.694343920404</c:v>
                </c:pt>
              </c:numCache>
            </c:numRef>
          </c:val>
          <c:extLst>
            <c:ext xmlns:c16="http://schemas.microsoft.com/office/drawing/2014/chart" uri="{C3380CC4-5D6E-409C-BE32-E72D297353CC}">
              <c16:uniqueId val="{00000002-191F-46F3-BFD3-893921650C7C}"/>
            </c:ext>
          </c:extLst>
        </c:ser>
        <c:ser>
          <c:idx val="3"/>
          <c:order val="3"/>
          <c:tx>
            <c:strRef>
              <c:f>Planilha1!$AD$36</c:f>
              <c:strCache>
                <c:ptCount val="1"/>
                <c:pt idx="0">
                  <c:v>Saldo</c:v>
                </c:pt>
              </c:strCache>
            </c:strRef>
          </c:tx>
          <c:spPr>
            <a:solidFill>
              <a:schemeClr val="accent1">
                <a:lumMod val="60000"/>
              </a:schemeClr>
            </a:solidFill>
            <a:ln>
              <a:noFill/>
            </a:ln>
            <a:effectLst/>
          </c:spPr>
          <c:invertIfNegative val="0"/>
          <c:cat>
            <c:strRef>
              <c:f>Planilha1!$AE$32:$AM$32</c:f>
              <c:strCache>
                <c:ptCount val="9"/>
                <c:pt idx="0">
                  <c:v>AL</c:v>
                </c:pt>
                <c:pt idx="1">
                  <c:v>BA</c:v>
                </c:pt>
                <c:pt idx="2">
                  <c:v>CE</c:v>
                </c:pt>
                <c:pt idx="3">
                  <c:v>MA</c:v>
                </c:pt>
                <c:pt idx="4">
                  <c:v>PB</c:v>
                </c:pt>
                <c:pt idx="5">
                  <c:v>PE</c:v>
                </c:pt>
                <c:pt idx="6">
                  <c:v>PI</c:v>
                </c:pt>
                <c:pt idx="7">
                  <c:v>RN</c:v>
                </c:pt>
                <c:pt idx="8">
                  <c:v>SE</c:v>
                </c:pt>
              </c:strCache>
            </c:strRef>
          </c:cat>
          <c:val>
            <c:numRef>
              <c:f>Planilha1!$AE$36:$AM$36</c:f>
              <c:numCache>
                <c:formatCode>0</c:formatCode>
                <c:ptCount val="9"/>
                <c:pt idx="0">
                  <c:v>-27732</c:v>
                </c:pt>
                <c:pt idx="1">
                  <c:v>-136216</c:v>
                </c:pt>
                <c:pt idx="2">
                  <c:v>-101262</c:v>
                </c:pt>
                <c:pt idx="3">
                  <c:v>21167</c:v>
                </c:pt>
                <c:pt idx="4">
                  <c:v>-37894</c:v>
                </c:pt>
                <c:pt idx="5">
                  <c:v>-145056</c:v>
                </c:pt>
                <c:pt idx="6">
                  <c:v>-24401</c:v>
                </c:pt>
                <c:pt idx="7">
                  <c:v>-40642</c:v>
                </c:pt>
                <c:pt idx="8">
                  <c:v>-38914</c:v>
                </c:pt>
              </c:numCache>
            </c:numRef>
          </c:val>
          <c:extLst>
            <c:ext xmlns:c16="http://schemas.microsoft.com/office/drawing/2014/chart" uri="{C3380CC4-5D6E-409C-BE32-E72D297353CC}">
              <c16:uniqueId val="{00000003-191F-46F3-BFD3-893921650C7C}"/>
            </c:ext>
          </c:extLst>
        </c:ser>
        <c:dLbls>
          <c:showLegendKey val="0"/>
          <c:showVal val="0"/>
          <c:showCatName val="0"/>
          <c:showSerName val="0"/>
          <c:showPercent val="0"/>
          <c:showBubbleSize val="0"/>
        </c:dLbls>
        <c:gapWidth val="219"/>
        <c:overlap val="-27"/>
        <c:axId val="264876191"/>
        <c:axId val="264873279"/>
      </c:barChart>
      <c:catAx>
        <c:axId val="264876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64873279"/>
        <c:crosses val="autoZero"/>
        <c:auto val="1"/>
        <c:lblAlgn val="ctr"/>
        <c:lblOffset val="100"/>
        <c:noMultiLvlLbl val="0"/>
      </c:catAx>
      <c:valAx>
        <c:axId val="264873279"/>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6487619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t-B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7756</Words>
  <Characters>41884</Characters>
  <DocSecurity>0</DocSecurity>
  <Lines>349</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2022-08-16T00:22:00Z</dcterms:created>
  <dcterms:modified xsi:type="dcterms:W3CDTF">2022-08-16T00:22:00Z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