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5703D" w14:textId="77777777" w:rsidR="002617CD" w:rsidRDefault="002617CD">
      <w:pPr>
        <w:spacing w:after="0" w:line="360" w:lineRule="auto"/>
        <w:jc w:val="center"/>
        <w:rPr>
          <w:rFonts w:ascii="Times New Roman" w:hAnsi="Times New Roman" w:cs="Times New Roman"/>
          <w:sz w:val="28"/>
          <w:szCs w:val="28"/>
        </w:rPr>
      </w:pPr>
    </w:p>
    <w:p w14:paraId="3FF4BAD5" w14:textId="77777777" w:rsidR="00151619" w:rsidRDefault="00151619">
      <w:pPr>
        <w:pStyle w:val="Corpodetexto3"/>
        <w:rPr>
          <w:szCs w:val="28"/>
        </w:rPr>
      </w:pPr>
    </w:p>
    <w:p w14:paraId="2AB0459D" w14:textId="77777777" w:rsidR="00151619" w:rsidRDefault="00151619" w:rsidP="00151619">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DESVENDANDO O ATACAREJO: </w:t>
      </w:r>
    </w:p>
    <w:p w14:paraId="476B4F68" w14:textId="6CDD48C7" w:rsidR="00151619" w:rsidRPr="005008AD" w:rsidRDefault="00151619" w:rsidP="00151619">
      <w:pPr>
        <w:spacing w:after="0" w:line="360" w:lineRule="auto"/>
        <w:jc w:val="center"/>
        <w:rPr>
          <w:rFonts w:ascii="Times New Roman" w:eastAsia="Times New Roman" w:hAnsi="Times New Roman" w:cs="Times New Roman"/>
          <w:bCs/>
          <w:sz w:val="28"/>
          <w:szCs w:val="28"/>
        </w:rPr>
      </w:pPr>
      <w:r w:rsidRPr="005008AD">
        <w:rPr>
          <w:rFonts w:ascii="Times New Roman" w:eastAsia="Times New Roman" w:hAnsi="Times New Roman" w:cs="Times New Roman"/>
          <w:bCs/>
          <w:sz w:val="28"/>
          <w:szCs w:val="28"/>
        </w:rPr>
        <w:t>caracterização socioeconômica e espacial de um modelo comercial “tipicamente brasileiro”</w:t>
      </w:r>
    </w:p>
    <w:p w14:paraId="100D6F31" w14:textId="77777777" w:rsidR="002617CD" w:rsidRDefault="002617CD">
      <w:pPr>
        <w:spacing w:after="0" w:line="360" w:lineRule="auto"/>
        <w:jc w:val="center"/>
        <w:rPr>
          <w:rFonts w:ascii="Times New Roman" w:hAnsi="Times New Roman" w:cs="Times New Roman"/>
          <w:sz w:val="28"/>
          <w:szCs w:val="28"/>
        </w:rPr>
      </w:pPr>
    </w:p>
    <w:p w14:paraId="6E6F6D56" w14:textId="22A160DB" w:rsidR="002617CD" w:rsidRDefault="00FA66FE">
      <w:pPr>
        <w:pStyle w:val="Ttulo"/>
        <w:jc w:val="both"/>
        <w:rPr>
          <w:rFonts w:ascii="Times New Roman" w:hAnsi="Times New Roman"/>
          <w:sz w:val="24"/>
          <w:lang w:val="pt-BR"/>
        </w:rPr>
      </w:pPr>
      <w:r w:rsidRPr="00F05BF5">
        <w:rPr>
          <w:rFonts w:ascii="Times New Roman" w:hAnsi="Times New Roman"/>
          <w:sz w:val="24"/>
          <w:lang w:val="pt-BR"/>
        </w:rPr>
        <w:t>RESUMO</w:t>
      </w:r>
    </w:p>
    <w:p w14:paraId="7E046D05" w14:textId="77777777" w:rsidR="00151619" w:rsidRDefault="00151619" w:rsidP="0015161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artigo analisa e caracteriza o modelo comercial de </w:t>
      </w:r>
      <w:proofErr w:type="spellStart"/>
      <w:r>
        <w:rPr>
          <w:rFonts w:ascii="Times New Roman" w:eastAsia="Times New Roman" w:hAnsi="Times New Roman" w:cs="Times New Roman"/>
          <w:sz w:val="24"/>
          <w:szCs w:val="24"/>
        </w:rPr>
        <w:t>atacarejo</w:t>
      </w:r>
      <w:proofErr w:type="spellEnd"/>
      <w:r>
        <w:rPr>
          <w:rFonts w:ascii="Times New Roman" w:eastAsia="Times New Roman" w:hAnsi="Times New Roman" w:cs="Times New Roman"/>
          <w:sz w:val="24"/>
          <w:szCs w:val="24"/>
        </w:rPr>
        <w:t xml:space="preserve"> dos pontos de vista socioeconômico e espacial. Localiza suas redes comerciais no circuito de produção de alimentos, e busca compreender suas implicações para as dinâmicas urbanas nas cidades brasileiras. A pesquisa parte de revisão bibliográfica sobre o tema, análise de conteúdo dos treze números da Revista publicada pela associação do segmento, e estudo de caso sobre a inserção urbano-regional da Rede Fort Atacadista. Conclui-se que estes grandes objetos espaciais são a ponta comercial mais dinâmica do agronegócio atuando na formação nacional brasileira, que a lucratividade do modelo se baseia centralmente na redução dos postos de trabalho, e que sua inserção resulta no aprofundamento dos processos de fragmentação territorial.</w:t>
      </w:r>
    </w:p>
    <w:p w14:paraId="1F74639E" w14:textId="31E70384" w:rsidR="002617CD" w:rsidRDefault="00FA66FE" w:rsidP="00151619">
      <w:pPr>
        <w:spacing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proofErr w:type="spellStart"/>
      <w:r w:rsidR="00151619">
        <w:rPr>
          <w:rFonts w:ascii="Times New Roman" w:eastAsia="Times New Roman" w:hAnsi="Times New Roman" w:cs="Times New Roman"/>
          <w:sz w:val="24"/>
          <w:szCs w:val="24"/>
        </w:rPr>
        <w:t>atacarejo</w:t>
      </w:r>
      <w:proofErr w:type="spellEnd"/>
      <w:r w:rsidR="00151619">
        <w:rPr>
          <w:rFonts w:ascii="Times New Roman" w:eastAsia="Times New Roman" w:hAnsi="Times New Roman" w:cs="Times New Roman"/>
          <w:sz w:val="24"/>
          <w:szCs w:val="24"/>
        </w:rPr>
        <w:t>; agronegócio; geografia do comércio.</w:t>
      </w:r>
    </w:p>
    <w:p w14:paraId="4F1E5AB9" w14:textId="2801E58E" w:rsidR="002617CD" w:rsidRDefault="00FA66F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D17B2B">
        <w:rPr>
          <w:rFonts w:ascii="Times New Roman" w:hAnsi="Times New Roman" w:cs="Times New Roman"/>
          <w:b/>
          <w:bCs/>
          <w:sz w:val="24"/>
          <w:szCs w:val="24"/>
        </w:rPr>
        <w:t>3</w:t>
      </w:r>
      <w:r>
        <w:rPr>
          <w:rFonts w:ascii="Times New Roman" w:hAnsi="Times New Roman" w:cs="Times New Roman"/>
          <w:sz w:val="24"/>
          <w:szCs w:val="24"/>
        </w:rPr>
        <w:t xml:space="preserve">: </w:t>
      </w:r>
      <w:r w:rsidR="00D17B2B">
        <w:rPr>
          <w:rFonts w:ascii="Times New Roman" w:hAnsi="Times New Roman" w:cs="Times New Roman"/>
          <w:sz w:val="24"/>
          <w:szCs w:val="24"/>
        </w:rPr>
        <w:t xml:space="preserve">Dinâmicas socioeconômicas do Território. </w:t>
      </w:r>
    </w:p>
    <w:p w14:paraId="5A8B3922" w14:textId="77777777" w:rsidR="002617CD" w:rsidRDefault="002617CD">
      <w:pPr>
        <w:spacing w:after="0" w:line="360" w:lineRule="auto"/>
        <w:jc w:val="both"/>
        <w:rPr>
          <w:rFonts w:ascii="Times New Roman" w:hAnsi="Times New Roman" w:cs="Times New Roman"/>
          <w:sz w:val="24"/>
          <w:szCs w:val="24"/>
        </w:rPr>
      </w:pPr>
    </w:p>
    <w:p w14:paraId="5312BBC1" w14:textId="77777777" w:rsidR="00D17B2B" w:rsidRPr="007B610E" w:rsidRDefault="00D17B2B" w:rsidP="00D17B2B">
      <w:pPr>
        <w:jc w:val="both"/>
        <w:rPr>
          <w:rFonts w:ascii="Times New Roman" w:hAnsi="Times New Roman" w:cs="Times New Roman"/>
          <w:b/>
          <w:color w:val="202124"/>
          <w:sz w:val="24"/>
          <w:szCs w:val="24"/>
        </w:rPr>
      </w:pPr>
      <w:r w:rsidRPr="007B610E">
        <w:rPr>
          <w:rFonts w:ascii="Times New Roman" w:hAnsi="Times New Roman" w:cs="Times New Roman"/>
          <w:b/>
          <w:color w:val="202124"/>
          <w:sz w:val="24"/>
          <w:szCs w:val="24"/>
        </w:rPr>
        <w:t>1 INTRODUÇÃO</w:t>
      </w:r>
    </w:p>
    <w:p w14:paraId="10B9BB79" w14:textId="77777777" w:rsidR="00D17B2B" w:rsidRPr="003775DF" w:rsidRDefault="00D17B2B" w:rsidP="00D17B2B">
      <w:pPr>
        <w:spacing w:after="0" w:line="360" w:lineRule="auto"/>
        <w:jc w:val="both"/>
        <w:rPr>
          <w:rFonts w:ascii="Times New Roman" w:eastAsia="Times New Roman" w:hAnsi="Times New Roman" w:cs="Times New Roman"/>
          <w:sz w:val="24"/>
          <w:szCs w:val="24"/>
        </w:rPr>
      </w:pPr>
      <w:r w:rsidRPr="007B610E">
        <w:rPr>
          <w:rFonts w:ascii="Times New Roman" w:hAnsi="Times New Roman" w:cs="Times New Roman"/>
          <w:b/>
          <w:sz w:val="24"/>
          <w:szCs w:val="24"/>
        </w:rPr>
        <w:tab/>
      </w:r>
      <w:r w:rsidRPr="007B610E">
        <w:rPr>
          <w:rFonts w:ascii="Times New Roman" w:eastAsia="Times New Roman" w:hAnsi="Times New Roman" w:cs="Times New Roman"/>
          <w:sz w:val="24"/>
          <w:szCs w:val="24"/>
        </w:rPr>
        <w:t xml:space="preserve">Pontos cada vez mais presentes em nossos percursos motorizados pelas vias das cidades, os </w:t>
      </w:r>
      <w:proofErr w:type="spellStart"/>
      <w:r w:rsidRPr="007B610E">
        <w:rPr>
          <w:rFonts w:ascii="Times New Roman" w:eastAsia="Times New Roman" w:hAnsi="Times New Roman" w:cs="Times New Roman"/>
          <w:sz w:val="24"/>
          <w:szCs w:val="24"/>
        </w:rPr>
        <w:t>atacarejos</w:t>
      </w:r>
      <w:proofErr w:type="spellEnd"/>
      <w:r w:rsidRPr="007B610E">
        <w:rPr>
          <w:rFonts w:ascii="Times New Roman" w:eastAsia="Times New Roman" w:hAnsi="Times New Roman" w:cs="Times New Roman"/>
          <w:sz w:val="24"/>
          <w:szCs w:val="24"/>
        </w:rPr>
        <w:t xml:space="preserve"> são grandes</w:t>
      </w:r>
      <w:r w:rsidRPr="003775DF">
        <w:rPr>
          <w:rFonts w:ascii="Times New Roman" w:eastAsia="Times New Roman" w:hAnsi="Times New Roman" w:cs="Times New Roman"/>
          <w:sz w:val="24"/>
          <w:szCs w:val="24"/>
        </w:rPr>
        <w:t xml:space="preserve"> objetos espaciais que atraem destinos e adquirem progressiva importância para as compras familiares brasileiras. Localizados no limiar entre o </w:t>
      </w:r>
      <w:proofErr w:type="spellStart"/>
      <w:r w:rsidRPr="003775DF">
        <w:rPr>
          <w:rFonts w:ascii="Times New Roman" w:eastAsia="Times New Roman" w:hAnsi="Times New Roman" w:cs="Times New Roman"/>
          <w:sz w:val="24"/>
          <w:szCs w:val="24"/>
        </w:rPr>
        <w:t>supermercadismo</w:t>
      </w:r>
      <w:proofErr w:type="spellEnd"/>
      <w:r w:rsidRPr="003775DF">
        <w:rPr>
          <w:rFonts w:ascii="Times New Roman" w:eastAsia="Times New Roman" w:hAnsi="Times New Roman" w:cs="Times New Roman"/>
          <w:sz w:val="24"/>
          <w:szCs w:val="24"/>
        </w:rPr>
        <w:t xml:space="preserve"> varejista e o comércio de atacado, constituem hoje um modelo comercial específico, fato evidenciado pela criação, em 2014, de sua associação de representação, a ABAAS - Associação Brasileira dos Atacadistas de Autosserviço. Segundo esta associação, atualmente 1.492 lojas signatárias do modelo estão em funcionamento no Brasil, sendo que suas 14 redes associadas representam 1.165 destas. São elas: </w:t>
      </w:r>
      <w:r w:rsidRPr="003775DF">
        <w:rPr>
          <w:rFonts w:ascii="Times New Roman" w:eastAsia="Times New Roman" w:hAnsi="Times New Roman" w:cs="Times New Roman"/>
          <w:sz w:val="24"/>
          <w:szCs w:val="24"/>
          <w:highlight w:val="white"/>
        </w:rPr>
        <w:t xml:space="preserve">Assaí Atacadista, Atacadão, </w:t>
      </w:r>
      <w:proofErr w:type="gramStart"/>
      <w:r w:rsidRPr="003775DF">
        <w:rPr>
          <w:rFonts w:ascii="Times New Roman" w:eastAsia="Times New Roman" w:hAnsi="Times New Roman" w:cs="Times New Roman"/>
          <w:sz w:val="24"/>
          <w:szCs w:val="24"/>
          <w:highlight w:val="white"/>
        </w:rPr>
        <w:t>Atacadão</w:t>
      </w:r>
      <w:proofErr w:type="gramEnd"/>
      <w:r w:rsidRPr="003775DF">
        <w:rPr>
          <w:rFonts w:ascii="Times New Roman" w:eastAsia="Times New Roman" w:hAnsi="Times New Roman" w:cs="Times New Roman"/>
          <w:sz w:val="24"/>
          <w:szCs w:val="24"/>
          <w:highlight w:val="white"/>
        </w:rPr>
        <w:t xml:space="preserve"> dia a dia, Comercial Esperança, Fort Atacadista, Giga Atacado, Makro, Mart Minas – Atacado </w:t>
      </w:r>
      <w:r w:rsidRPr="003775DF">
        <w:rPr>
          <w:rFonts w:ascii="Times New Roman" w:eastAsia="Times New Roman" w:hAnsi="Times New Roman" w:cs="Times New Roman"/>
          <w:sz w:val="24"/>
          <w:szCs w:val="24"/>
          <w:highlight w:val="white"/>
        </w:rPr>
        <w:lastRenderedPageBreak/>
        <w:t xml:space="preserve">&amp; Varejo, Max Atacadista, </w:t>
      </w:r>
      <w:proofErr w:type="spellStart"/>
      <w:r w:rsidRPr="003775DF">
        <w:rPr>
          <w:rFonts w:ascii="Times New Roman" w:eastAsia="Times New Roman" w:hAnsi="Times New Roman" w:cs="Times New Roman"/>
          <w:sz w:val="24"/>
          <w:szCs w:val="24"/>
          <w:highlight w:val="white"/>
        </w:rPr>
        <w:t>Maxxi</w:t>
      </w:r>
      <w:proofErr w:type="spellEnd"/>
      <w:r w:rsidRPr="003775DF">
        <w:rPr>
          <w:rFonts w:ascii="Times New Roman" w:eastAsia="Times New Roman" w:hAnsi="Times New Roman" w:cs="Times New Roman"/>
          <w:sz w:val="24"/>
          <w:szCs w:val="24"/>
          <w:highlight w:val="white"/>
        </w:rPr>
        <w:t xml:space="preserve"> Atacado, Roldão Atacadista, </w:t>
      </w:r>
      <w:proofErr w:type="spellStart"/>
      <w:r w:rsidRPr="003775DF">
        <w:rPr>
          <w:rFonts w:ascii="Times New Roman" w:eastAsia="Times New Roman" w:hAnsi="Times New Roman" w:cs="Times New Roman"/>
          <w:sz w:val="24"/>
          <w:szCs w:val="24"/>
          <w:highlight w:val="white"/>
        </w:rPr>
        <w:t>Spani</w:t>
      </w:r>
      <w:proofErr w:type="spellEnd"/>
      <w:r w:rsidRPr="003775DF">
        <w:rPr>
          <w:rFonts w:ascii="Times New Roman" w:eastAsia="Times New Roman" w:hAnsi="Times New Roman" w:cs="Times New Roman"/>
          <w:sz w:val="24"/>
          <w:szCs w:val="24"/>
          <w:highlight w:val="white"/>
        </w:rPr>
        <w:t xml:space="preserve"> Atacadista, Tenda Atacado e Villefort Atacadista</w:t>
      </w:r>
      <w:r w:rsidRPr="003775DF">
        <w:rPr>
          <w:rFonts w:ascii="Times New Roman" w:eastAsia="Times New Roman" w:hAnsi="Times New Roman" w:cs="Times New Roman"/>
          <w:sz w:val="24"/>
          <w:szCs w:val="24"/>
          <w:highlight w:val="white"/>
          <w:vertAlign w:val="superscript"/>
        </w:rPr>
        <w:footnoteReference w:id="1"/>
      </w:r>
      <w:r w:rsidRPr="003775DF">
        <w:rPr>
          <w:rFonts w:ascii="Times New Roman" w:eastAsia="Times New Roman" w:hAnsi="Times New Roman" w:cs="Times New Roman"/>
          <w:sz w:val="24"/>
          <w:szCs w:val="24"/>
          <w:highlight w:val="white"/>
        </w:rPr>
        <w:t xml:space="preserve">. </w:t>
      </w:r>
    </w:p>
    <w:p w14:paraId="4059DB10" w14:textId="77777777" w:rsidR="00D17B2B" w:rsidRPr="003775DF" w:rsidRDefault="00D17B2B" w:rsidP="00D17B2B">
      <w:pPr>
        <w:spacing w:after="0" w:line="360" w:lineRule="auto"/>
        <w:ind w:firstLine="720"/>
        <w:jc w:val="both"/>
        <w:rPr>
          <w:rFonts w:ascii="Times New Roman" w:hAnsi="Times New Roman" w:cs="Times New Roman"/>
          <w:color w:val="FF0000"/>
          <w:sz w:val="24"/>
          <w:szCs w:val="24"/>
          <w:highlight w:val="magenta"/>
        </w:rPr>
      </w:pPr>
      <w:r w:rsidRPr="003775DF">
        <w:rPr>
          <w:rFonts w:ascii="Times New Roman" w:eastAsia="Times New Roman" w:hAnsi="Times New Roman" w:cs="Times New Roman"/>
          <w:sz w:val="24"/>
          <w:szCs w:val="24"/>
        </w:rPr>
        <w:t xml:space="preserve">O atacado de autosserviço brasileiro é considerado uma adaptação de dois modelos estadunidenses: o cash </w:t>
      </w:r>
      <w:proofErr w:type="spellStart"/>
      <w:r w:rsidRPr="003775DF">
        <w:rPr>
          <w:rFonts w:ascii="Times New Roman" w:eastAsia="Times New Roman" w:hAnsi="Times New Roman" w:cs="Times New Roman"/>
          <w:sz w:val="24"/>
          <w:szCs w:val="24"/>
        </w:rPr>
        <w:t>and</w:t>
      </w:r>
      <w:proofErr w:type="spellEnd"/>
      <w:r w:rsidRPr="003775DF">
        <w:rPr>
          <w:rFonts w:ascii="Times New Roman" w:eastAsia="Times New Roman" w:hAnsi="Times New Roman" w:cs="Times New Roman"/>
          <w:sz w:val="24"/>
          <w:szCs w:val="24"/>
        </w:rPr>
        <w:t xml:space="preserve"> </w:t>
      </w:r>
      <w:proofErr w:type="spellStart"/>
      <w:r w:rsidRPr="003775DF">
        <w:rPr>
          <w:rFonts w:ascii="Times New Roman" w:eastAsia="Times New Roman" w:hAnsi="Times New Roman" w:cs="Times New Roman"/>
          <w:sz w:val="24"/>
          <w:szCs w:val="24"/>
        </w:rPr>
        <w:t>carry</w:t>
      </w:r>
      <w:proofErr w:type="spellEnd"/>
      <w:r w:rsidRPr="003775DF">
        <w:rPr>
          <w:rFonts w:ascii="Times New Roman" w:eastAsia="Times New Roman" w:hAnsi="Times New Roman" w:cs="Times New Roman"/>
          <w:sz w:val="24"/>
          <w:szCs w:val="24"/>
        </w:rPr>
        <w:t xml:space="preserve"> (pegue e leve) e o self-service (</w:t>
      </w:r>
      <w:proofErr w:type="spellStart"/>
      <w:proofErr w:type="gramStart"/>
      <w:r w:rsidRPr="003775DF">
        <w:rPr>
          <w:rFonts w:ascii="Times New Roman" w:eastAsia="Times New Roman" w:hAnsi="Times New Roman" w:cs="Times New Roman"/>
          <w:sz w:val="24"/>
          <w:szCs w:val="24"/>
        </w:rPr>
        <w:t>auto-serviço</w:t>
      </w:r>
      <w:proofErr w:type="spellEnd"/>
      <w:proofErr w:type="gramEnd"/>
      <w:r w:rsidRPr="003775DF">
        <w:rPr>
          <w:rFonts w:ascii="Times New Roman" w:eastAsia="Times New Roman" w:hAnsi="Times New Roman" w:cs="Times New Roman"/>
          <w:sz w:val="24"/>
          <w:szCs w:val="24"/>
        </w:rPr>
        <w:t xml:space="preserve">). Entretanto, a novidade do formato tem sido o atendimento cada vez maior a consumidores finais, ou seja, a atividade varejista. Neste âmbito, os </w:t>
      </w:r>
      <w:proofErr w:type="spellStart"/>
      <w:r w:rsidRPr="003775DF">
        <w:rPr>
          <w:rFonts w:ascii="Times New Roman" w:eastAsia="Times New Roman" w:hAnsi="Times New Roman" w:cs="Times New Roman"/>
          <w:sz w:val="24"/>
          <w:szCs w:val="24"/>
        </w:rPr>
        <w:t>atacarejos</w:t>
      </w:r>
      <w:proofErr w:type="spellEnd"/>
      <w:r w:rsidRPr="003775DF">
        <w:rPr>
          <w:rFonts w:ascii="Times New Roman" w:eastAsia="Times New Roman" w:hAnsi="Times New Roman" w:cs="Times New Roman"/>
          <w:sz w:val="24"/>
          <w:szCs w:val="24"/>
        </w:rPr>
        <w:t xml:space="preserve"> são reconhecidos pela oferta de produtos pouco sortidos a preços menores em espaços comerciais amplos e simplificados </w:t>
      </w:r>
      <w:r w:rsidRPr="001A0B9F">
        <w:rPr>
          <w:rFonts w:ascii="Times New Roman" w:eastAsia="Times New Roman" w:hAnsi="Times New Roman" w:cs="Times New Roman"/>
          <w:color w:val="000000" w:themeColor="text1"/>
          <w:sz w:val="24"/>
          <w:szCs w:val="24"/>
        </w:rPr>
        <w:t>(</w:t>
      </w:r>
      <w:r w:rsidRPr="001A0B9F">
        <w:rPr>
          <w:rFonts w:ascii="Times New Roman" w:hAnsi="Times New Roman" w:cs="Times New Roman"/>
          <w:color w:val="000000" w:themeColor="text1"/>
          <w:sz w:val="24"/>
          <w:szCs w:val="24"/>
        </w:rPr>
        <w:t>TUON; MOISES; MINADEO, 2011</w:t>
      </w:r>
      <w:r w:rsidRPr="001A0B9F">
        <w:rPr>
          <w:rFonts w:ascii="Times New Roman" w:eastAsia="Times New Roman" w:hAnsi="Times New Roman" w:cs="Times New Roman"/>
          <w:color w:val="000000" w:themeColor="text1"/>
          <w:sz w:val="24"/>
          <w:szCs w:val="24"/>
        </w:rPr>
        <w:t xml:space="preserve">; BAPTISTA et al., 2012; NAPOLEÃO, 2017).   </w:t>
      </w:r>
      <w:r w:rsidRPr="001A0B9F">
        <w:rPr>
          <w:rFonts w:ascii="Times New Roman" w:eastAsia="Times New Roman" w:hAnsi="Times New Roman" w:cs="Times New Roman"/>
          <w:color w:val="000000" w:themeColor="text1"/>
          <w:sz w:val="24"/>
          <w:szCs w:val="24"/>
        </w:rPr>
        <w:tab/>
      </w:r>
    </w:p>
    <w:p w14:paraId="5235C0F0" w14:textId="77777777" w:rsidR="00D17B2B" w:rsidRDefault="00D17B2B" w:rsidP="00D17B2B">
      <w:pPr>
        <w:spacing w:after="0" w:line="360" w:lineRule="auto"/>
        <w:ind w:firstLine="720"/>
        <w:jc w:val="both"/>
        <w:rPr>
          <w:rFonts w:ascii="Times New Roman" w:eastAsia="Times New Roman" w:hAnsi="Times New Roman" w:cs="Times New Roman"/>
          <w:sz w:val="24"/>
          <w:szCs w:val="24"/>
        </w:rPr>
      </w:pPr>
      <w:r w:rsidRPr="003775DF">
        <w:rPr>
          <w:rFonts w:ascii="Times New Roman" w:eastAsia="Times New Roman" w:hAnsi="Times New Roman" w:cs="Times New Roman"/>
          <w:sz w:val="24"/>
          <w:szCs w:val="24"/>
        </w:rPr>
        <w:t xml:space="preserve">Assim, de acordo com a ABAAS e com autores como </w:t>
      </w:r>
      <w:proofErr w:type="spellStart"/>
      <w:r>
        <w:rPr>
          <w:rFonts w:ascii="Times New Roman" w:eastAsia="Times New Roman" w:hAnsi="Times New Roman" w:cs="Times New Roman"/>
          <w:sz w:val="24"/>
          <w:szCs w:val="24"/>
        </w:rPr>
        <w:t>Tuon</w:t>
      </w:r>
      <w:proofErr w:type="spellEnd"/>
      <w:r>
        <w:rPr>
          <w:rFonts w:ascii="Times New Roman" w:eastAsia="Times New Roman" w:hAnsi="Times New Roman" w:cs="Times New Roman"/>
          <w:sz w:val="24"/>
          <w:szCs w:val="24"/>
        </w:rPr>
        <w:t xml:space="preserve">, Moises e </w:t>
      </w:r>
      <w:proofErr w:type="spellStart"/>
      <w:r>
        <w:rPr>
          <w:rFonts w:ascii="Times New Roman" w:eastAsia="Times New Roman" w:hAnsi="Times New Roman" w:cs="Times New Roman"/>
          <w:sz w:val="24"/>
          <w:szCs w:val="24"/>
        </w:rPr>
        <w:t>Minadeo</w:t>
      </w:r>
      <w:proofErr w:type="spellEnd"/>
      <w:r w:rsidRPr="003775DF">
        <w:rPr>
          <w:rFonts w:ascii="Times New Roman" w:eastAsia="Times New Roman" w:hAnsi="Times New Roman" w:cs="Times New Roman"/>
          <w:sz w:val="24"/>
          <w:szCs w:val="24"/>
        </w:rPr>
        <w:t xml:space="preserve"> (2011), o modelo de </w:t>
      </w:r>
      <w:proofErr w:type="spellStart"/>
      <w:r w:rsidRPr="003775DF">
        <w:rPr>
          <w:rFonts w:ascii="Times New Roman" w:eastAsia="Times New Roman" w:hAnsi="Times New Roman" w:cs="Times New Roman"/>
          <w:sz w:val="24"/>
          <w:szCs w:val="24"/>
        </w:rPr>
        <w:t>atacarejo</w:t>
      </w:r>
      <w:proofErr w:type="spellEnd"/>
      <w:r w:rsidRPr="003775DF">
        <w:rPr>
          <w:rFonts w:ascii="Times New Roman" w:eastAsia="Times New Roman" w:hAnsi="Times New Roman" w:cs="Times New Roman"/>
          <w:sz w:val="24"/>
          <w:szCs w:val="24"/>
        </w:rPr>
        <w:t xml:space="preserve"> é exclusivamente brasileiro, e compõe o setor de comércio que mais cresce no </w:t>
      </w:r>
      <w:r w:rsidRPr="00446595">
        <w:rPr>
          <w:rFonts w:ascii="Times New Roman" w:eastAsia="Times New Roman" w:hAnsi="Times New Roman" w:cs="Times New Roman"/>
          <w:color w:val="000000" w:themeColor="text1"/>
          <w:sz w:val="24"/>
          <w:szCs w:val="24"/>
        </w:rPr>
        <w:t xml:space="preserve">país (REVISTA ABAAS, 2016). A pandemia e o cenário de aumento da inflação vêm impulsionando </w:t>
      </w:r>
      <w:r>
        <w:rPr>
          <w:rFonts w:ascii="Times New Roman" w:eastAsia="Times New Roman" w:hAnsi="Times New Roman" w:cs="Times New Roman"/>
          <w:color w:val="000000" w:themeColor="text1"/>
          <w:sz w:val="24"/>
          <w:szCs w:val="24"/>
        </w:rPr>
        <w:t>a expansão</w:t>
      </w:r>
      <w:r w:rsidRPr="00446595">
        <w:rPr>
          <w:rFonts w:ascii="Times New Roman" w:eastAsia="Times New Roman" w:hAnsi="Times New Roman" w:cs="Times New Roman"/>
          <w:color w:val="000000" w:themeColor="text1"/>
          <w:sz w:val="24"/>
          <w:szCs w:val="24"/>
        </w:rPr>
        <w:t xml:space="preserve"> do setor, pois estimulam o chamado “comportamento estoquista” do consumidor (REVISTA ABAAS, 2020B). </w:t>
      </w:r>
      <w:r w:rsidRPr="003775DF">
        <w:rPr>
          <w:rFonts w:ascii="Times New Roman" w:eastAsia="Times New Roman" w:hAnsi="Times New Roman" w:cs="Times New Roman"/>
          <w:sz w:val="24"/>
          <w:szCs w:val="24"/>
        </w:rPr>
        <w:t xml:space="preserve">Sua localização, normalmente fora dos tecidos contíguos urbanos, também induz a organização dos consumidores para a realização de compras maiores. </w:t>
      </w:r>
    </w:p>
    <w:p w14:paraId="7337A601" w14:textId="77777777" w:rsidR="00D17B2B" w:rsidRPr="00432811" w:rsidRDefault="00D17B2B" w:rsidP="00D17B2B">
      <w:pPr>
        <w:spacing w:after="0" w:line="360" w:lineRule="auto"/>
        <w:ind w:firstLine="720"/>
        <w:jc w:val="both"/>
        <w:rPr>
          <w:rFonts w:ascii="Times New Roman" w:eastAsia="Times New Roman" w:hAnsi="Times New Roman" w:cs="Times New Roman"/>
          <w:sz w:val="20"/>
          <w:szCs w:val="20"/>
        </w:rPr>
      </w:pPr>
      <w:r w:rsidRPr="003775DF">
        <w:rPr>
          <w:rFonts w:ascii="Times New Roman" w:eastAsia="Times New Roman" w:hAnsi="Times New Roman" w:cs="Times New Roman"/>
          <w:sz w:val="24"/>
          <w:szCs w:val="24"/>
        </w:rPr>
        <w:t xml:space="preserve">O escrito ora apresentado é parte de uma pesquisa acerca da inserção dos </w:t>
      </w:r>
      <w:proofErr w:type="spellStart"/>
      <w:r w:rsidRPr="003775DF">
        <w:rPr>
          <w:rFonts w:ascii="Times New Roman" w:eastAsia="Times New Roman" w:hAnsi="Times New Roman" w:cs="Times New Roman"/>
          <w:sz w:val="24"/>
          <w:szCs w:val="24"/>
        </w:rPr>
        <w:t>atacarejos</w:t>
      </w:r>
      <w:proofErr w:type="spellEnd"/>
      <w:r w:rsidRPr="003775DF">
        <w:rPr>
          <w:rFonts w:ascii="Times New Roman" w:eastAsia="Times New Roman" w:hAnsi="Times New Roman" w:cs="Times New Roman"/>
          <w:sz w:val="24"/>
          <w:szCs w:val="24"/>
        </w:rPr>
        <w:t xml:space="preserve"> nas dinâmicas urbanas contemporâneas do Arranjo Populacional de Florianópolis, bem como seu papel reorganizador destas mesmas dinâmicas. Parte-se da hipótese de que estes grandes objetos espaciais, ao mesmo tempo que surgem em função de um processo de fragmentação do espaço típico da inserção dos territórios metropolitanos na globalização, dialeticamente, também acentua este processo</w:t>
      </w:r>
      <w:r>
        <w:rPr>
          <w:rFonts w:ascii="Times New Roman" w:eastAsia="Times New Roman" w:hAnsi="Times New Roman" w:cs="Times New Roman"/>
          <w:sz w:val="24"/>
          <w:szCs w:val="24"/>
        </w:rPr>
        <w:t>.</w:t>
      </w:r>
    </w:p>
    <w:p w14:paraId="38E86701" w14:textId="77777777" w:rsidR="00D17B2B" w:rsidRDefault="00D17B2B" w:rsidP="00D17B2B">
      <w:pPr>
        <w:widowControl w:val="0"/>
        <w:spacing w:after="0" w:line="360" w:lineRule="auto"/>
        <w:ind w:firstLine="720"/>
        <w:jc w:val="both"/>
        <w:rPr>
          <w:rFonts w:ascii="Times New Roman" w:eastAsia="Times New Roman" w:hAnsi="Times New Roman" w:cs="Times New Roman"/>
          <w:sz w:val="24"/>
          <w:szCs w:val="24"/>
        </w:rPr>
      </w:pPr>
      <w:r w:rsidRPr="003775DF">
        <w:rPr>
          <w:rFonts w:ascii="Times New Roman" w:eastAsia="Times New Roman" w:hAnsi="Times New Roman" w:cs="Times New Roman"/>
          <w:sz w:val="24"/>
          <w:szCs w:val="24"/>
        </w:rPr>
        <w:t xml:space="preserve">No processo de pesquisa, nos deparamos com a complexidade disso que chamamos popularmente de </w:t>
      </w:r>
      <w:proofErr w:type="spellStart"/>
      <w:r w:rsidRPr="003775DF">
        <w:rPr>
          <w:rFonts w:ascii="Times New Roman" w:eastAsia="Times New Roman" w:hAnsi="Times New Roman" w:cs="Times New Roman"/>
          <w:sz w:val="24"/>
          <w:szCs w:val="24"/>
        </w:rPr>
        <w:t>atacarejo</w:t>
      </w:r>
      <w:proofErr w:type="spellEnd"/>
      <w:r w:rsidRPr="003775DF">
        <w:rPr>
          <w:rFonts w:ascii="Times New Roman" w:eastAsia="Times New Roman" w:hAnsi="Times New Roman" w:cs="Times New Roman"/>
          <w:sz w:val="24"/>
          <w:szCs w:val="24"/>
        </w:rPr>
        <w:t xml:space="preserve">, e, por conseguinte, da necessidade de compreensão deste modelo. Assim, o presente artigo expressa esta aproximação com tema, buscando analisar e caracterizar o modelo </w:t>
      </w:r>
      <w:proofErr w:type="spellStart"/>
      <w:r w:rsidRPr="003775DF">
        <w:rPr>
          <w:rFonts w:ascii="Times New Roman" w:eastAsia="Times New Roman" w:hAnsi="Times New Roman" w:cs="Times New Roman"/>
          <w:sz w:val="24"/>
          <w:szCs w:val="24"/>
        </w:rPr>
        <w:t>atacarejo</w:t>
      </w:r>
      <w:proofErr w:type="spellEnd"/>
      <w:r w:rsidRPr="003775DF">
        <w:rPr>
          <w:rFonts w:ascii="Times New Roman" w:eastAsia="Times New Roman" w:hAnsi="Times New Roman" w:cs="Times New Roman"/>
          <w:sz w:val="24"/>
          <w:szCs w:val="24"/>
        </w:rPr>
        <w:t xml:space="preserve"> dos pontos de vista socioeconômico e espacial. Buscamos localizar estas redes no circuito de produção de alimentos, tendo como pano de fundo teórico o que escreve Milton Santos sobre as relações entre as horizontalidade</w:t>
      </w:r>
      <w:r>
        <w:rPr>
          <w:rFonts w:ascii="Times New Roman" w:eastAsia="Times New Roman" w:hAnsi="Times New Roman" w:cs="Times New Roman"/>
          <w:sz w:val="24"/>
          <w:szCs w:val="24"/>
        </w:rPr>
        <w:t>s</w:t>
      </w:r>
      <w:r w:rsidRPr="003775DF">
        <w:rPr>
          <w:rFonts w:ascii="Times New Roman" w:eastAsia="Times New Roman" w:hAnsi="Times New Roman" w:cs="Times New Roman"/>
          <w:sz w:val="24"/>
          <w:szCs w:val="24"/>
        </w:rPr>
        <w:t xml:space="preserve"> e as verticalidades no processo de </w:t>
      </w:r>
      <w:r w:rsidRPr="003775DF">
        <w:rPr>
          <w:rFonts w:ascii="Times New Roman" w:eastAsia="Times New Roman" w:hAnsi="Times New Roman" w:cs="Times New Roman"/>
          <w:sz w:val="24"/>
          <w:szCs w:val="24"/>
        </w:rPr>
        <w:lastRenderedPageBreak/>
        <w:t>produção do espaço urbano, e suas implicações para o uso do território</w:t>
      </w:r>
      <w:r>
        <w:rPr>
          <w:rFonts w:ascii="Times New Roman" w:eastAsia="Times New Roman" w:hAnsi="Times New Roman" w:cs="Times New Roman"/>
          <w:sz w:val="24"/>
          <w:szCs w:val="24"/>
        </w:rPr>
        <w:t>:</w:t>
      </w:r>
      <w:r w:rsidRPr="003775DF">
        <w:rPr>
          <w:rFonts w:ascii="Times New Roman" w:eastAsia="Times New Roman" w:hAnsi="Times New Roman" w:cs="Times New Roman"/>
          <w:sz w:val="24"/>
          <w:szCs w:val="24"/>
        </w:rPr>
        <w:t xml:space="preserve"> </w:t>
      </w:r>
    </w:p>
    <w:p w14:paraId="46C467E8" w14:textId="77777777" w:rsidR="00D17B2B" w:rsidRPr="00432811" w:rsidRDefault="00D17B2B" w:rsidP="00D17B2B">
      <w:pPr>
        <w:ind w:left="2268"/>
        <w:jc w:val="both"/>
        <w:rPr>
          <w:rFonts w:ascii="Times New Roman" w:eastAsia="Times New Roman" w:hAnsi="Times New Roman" w:cs="Times New Roman"/>
          <w:sz w:val="20"/>
          <w:szCs w:val="20"/>
        </w:rPr>
      </w:pPr>
      <w:r w:rsidRPr="001C7B68">
        <w:rPr>
          <w:rFonts w:ascii="Times New Roman" w:eastAsia="Times New Roman" w:hAnsi="Times New Roman" w:cs="Times New Roman"/>
          <w:sz w:val="20"/>
          <w:szCs w:val="20"/>
        </w:rPr>
        <w:t xml:space="preserve">Cada técnica impõe uma maneira particular de comportamento, envolve suas próprias regulamentações e, por conseguinte, traz para os lugares novas formas de relacionamento. </w:t>
      </w:r>
      <w:proofErr w:type="gramStart"/>
      <w:r w:rsidRPr="001C7B68">
        <w:rPr>
          <w:rFonts w:ascii="Times New Roman" w:eastAsia="Times New Roman" w:hAnsi="Times New Roman" w:cs="Times New Roman"/>
          <w:sz w:val="20"/>
          <w:szCs w:val="20"/>
        </w:rPr>
        <w:t>O mesmo</w:t>
      </w:r>
      <w:proofErr w:type="gramEnd"/>
      <w:r w:rsidRPr="001C7B68">
        <w:rPr>
          <w:rFonts w:ascii="Times New Roman" w:eastAsia="Times New Roman" w:hAnsi="Times New Roman" w:cs="Times New Roman"/>
          <w:sz w:val="20"/>
          <w:szCs w:val="20"/>
        </w:rPr>
        <w:t xml:space="preserve"> se dá com as empresas. É assim que também se alteram as relações sociais dentro de cada comunidade. Muda a estrutura do emprego, assim como as outras relações econômicas, sociais, culturais e morais dentro de cada lugar, afetando igualmente o orçamento público, tanto na rubrica da receita como no capítulo de despesa. Um pequeno número de grandes empresas que se instala acarreta para a sociedade como um todo um pesado processo de desequilíbrio.</w:t>
      </w:r>
      <w:r>
        <w:rPr>
          <w:rFonts w:ascii="Times New Roman" w:eastAsia="Times New Roman" w:hAnsi="Times New Roman" w:cs="Times New Roman"/>
          <w:sz w:val="20"/>
          <w:szCs w:val="20"/>
        </w:rPr>
        <w:t xml:space="preserve"> (SANTOS, 2010, p. 68)</w:t>
      </w:r>
    </w:p>
    <w:p w14:paraId="77D30140" w14:textId="77777777" w:rsidR="00D17B2B" w:rsidRPr="003775DF" w:rsidRDefault="00D17B2B" w:rsidP="00D17B2B">
      <w:pPr>
        <w:widowControl w:val="0"/>
        <w:spacing w:after="0" w:line="360" w:lineRule="auto"/>
        <w:ind w:firstLine="720"/>
        <w:jc w:val="both"/>
        <w:rPr>
          <w:rFonts w:ascii="Times New Roman" w:eastAsia="Times New Roman" w:hAnsi="Times New Roman" w:cs="Times New Roman"/>
          <w:sz w:val="24"/>
          <w:szCs w:val="24"/>
        </w:rPr>
      </w:pPr>
      <w:r w:rsidRPr="003775DF">
        <w:rPr>
          <w:rFonts w:ascii="Times New Roman" w:eastAsia="Times New Roman" w:hAnsi="Times New Roman" w:cs="Times New Roman"/>
          <w:sz w:val="24"/>
          <w:szCs w:val="24"/>
        </w:rPr>
        <w:t>A análise e caracterização do modelo ocorreu mediante revisão de literatura sobre o tema, a partir de busca sistemática realizada em fevereiro de 2022, que resultou na formação de um corpus de 17 publicações (1 delas publicada entre os anos 2000 e 2010 e as demais entre os anos de 2010 e 2022). Além disso, fundamental para esta etapa foi a leitura das 13 edições da Revista da ABAAS, publicadas entre 2016 e 2022, que compuseram nosso corpus documental</w:t>
      </w:r>
      <w:r w:rsidRPr="003775DF">
        <w:rPr>
          <w:rFonts w:ascii="Times New Roman" w:eastAsia="Times New Roman" w:hAnsi="Times New Roman" w:cs="Times New Roman"/>
          <w:sz w:val="24"/>
          <w:szCs w:val="24"/>
          <w:vertAlign w:val="superscript"/>
        </w:rPr>
        <w:footnoteReference w:id="2"/>
      </w:r>
      <w:r w:rsidRPr="003775DF">
        <w:rPr>
          <w:rFonts w:ascii="Times New Roman" w:eastAsia="Times New Roman" w:hAnsi="Times New Roman" w:cs="Times New Roman"/>
          <w:sz w:val="24"/>
          <w:szCs w:val="24"/>
        </w:rPr>
        <w:t>. Para aproximar as discussões</w:t>
      </w:r>
      <w:r>
        <w:rPr>
          <w:rFonts w:ascii="Times New Roman" w:eastAsia="Times New Roman" w:hAnsi="Times New Roman" w:cs="Times New Roman"/>
          <w:sz w:val="24"/>
          <w:szCs w:val="24"/>
        </w:rPr>
        <w:t xml:space="preserve"> teóricas e conceituais</w:t>
      </w:r>
      <w:r w:rsidRPr="003775DF">
        <w:rPr>
          <w:rFonts w:ascii="Times New Roman" w:eastAsia="Times New Roman" w:hAnsi="Times New Roman" w:cs="Times New Roman"/>
          <w:sz w:val="24"/>
          <w:szCs w:val="24"/>
        </w:rPr>
        <w:t xml:space="preserve"> mais amplas da realidade socioespacial, realizamos estudo de caso da rede Fort Atacadista, para compreender especialmente aspectos de sua inserção urbano-regional, com atenção àqueles localizados no Arranjo Populacional de Florianópolis.</w:t>
      </w:r>
    </w:p>
    <w:p w14:paraId="74E3E983" w14:textId="77777777" w:rsidR="00D17B2B" w:rsidRPr="001C7B68" w:rsidRDefault="00D17B2B" w:rsidP="00D17B2B">
      <w:pPr>
        <w:spacing w:after="0" w:line="240" w:lineRule="auto"/>
        <w:jc w:val="both"/>
        <w:rPr>
          <w:rFonts w:ascii="Times New Roman" w:hAnsi="Times New Roman" w:cs="Times New Roman"/>
          <w:b/>
        </w:rPr>
      </w:pPr>
    </w:p>
    <w:p w14:paraId="66822AC4" w14:textId="77777777" w:rsidR="00D17B2B" w:rsidRPr="001C7B68" w:rsidRDefault="00D17B2B" w:rsidP="00D17B2B">
      <w:pPr>
        <w:pStyle w:val="Ttulo3"/>
        <w:spacing w:before="0" w:after="0" w:line="240" w:lineRule="auto"/>
        <w:jc w:val="both"/>
        <w:rPr>
          <w:rFonts w:ascii="Times New Roman" w:eastAsia="Times New Roman" w:hAnsi="Times New Roman" w:cs="Times New Roman"/>
          <w:color w:val="202124"/>
          <w:sz w:val="24"/>
          <w:szCs w:val="24"/>
        </w:rPr>
      </w:pPr>
      <w:bookmarkStart w:id="0" w:name="_heading=h.9pv2kqcpqm48" w:colFirst="0" w:colLast="0"/>
      <w:bookmarkEnd w:id="0"/>
      <w:r w:rsidRPr="001C7B68">
        <w:rPr>
          <w:rFonts w:ascii="Times New Roman" w:eastAsia="Times New Roman" w:hAnsi="Times New Roman" w:cs="Times New Roman"/>
          <w:color w:val="202124"/>
          <w:sz w:val="24"/>
          <w:szCs w:val="24"/>
        </w:rPr>
        <w:t xml:space="preserve">2 SITUANDO O ATACAREJO NO CIRCUITO SUPERIOR DO ALIMENTO </w:t>
      </w:r>
    </w:p>
    <w:p w14:paraId="2AAF9BDD" w14:textId="77777777" w:rsidR="00D17B2B" w:rsidRDefault="00D17B2B" w:rsidP="00D17B2B">
      <w:pPr>
        <w:pStyle w:val="Ttulo3"/>
        <w:spacing w:before="0" w:after="0" w:line="240" w:lineRule="auto"/>
        <w:ind w:left="4535"/>
        <w:jc w:val="both"/>
        <w:rPr>
          <w:rFonts w:ascii="Times New Roman" w:eastAsia="Times New Roman" w:hAnsi="Times New Roman" w:cs="Times New Roman"/>
          <w:b w:val="0"/>
          <w:i/>
          <w:sz w:val="20"/>
          <w:szCs w:val="20"/>
        </w:rPr>
      </w:pPr>
      <w:bookmarkStart w:id="1" w:name="_heading=h.zbg2br5n1uqq" w:colFirst="0" w:colLast="0"/>
      <w:bookmarkEnd w:id="1"/>
    </w:p>
    <w:p w14:paraId="2DFB2E06" w14:textId="77777777" w:rsidR="00D17B2B" w:rsidRPr="00CA0D53" w:rsidRDefault="00D17B2B" w:rsidP="00D17B2B">
      <w:pPr>
        <w:pStyle w:val="Ttulo3"/>
        <w:spacing w:before="0" w:after="0" w:line="240" w:lineRule="auto"/>
        <w:ind w:left="4535"/>
        <w:jc w:val="both"/>
        <w:rPr>
          <w:rFonts w:ascii="Times New Roman" w:eastAsia="Times New Roman" w:hAnsi="Times New Roman" w:cs="Times New Roman"/>
          <w:b w:val="0"/>
          <w:iCs/>
          <w:color w:val="000000" w:themeColor="text1"/>
          <w:sz w:val="20"/>
          <w:szCs w:val="20"/>
        </w:rPr>
      </w:pPr>
      <w:r w:rsidRPr="00CA0D53">
        <w:rPr>
          <w:rFonts w:ascii="Times New Roman" w:eastAsia="Times New Roman" w:hAnsi="Times New Roman" w:cs="Times New Roman"/>
          <w:b w:val="0"/>
          <w:iCs/>
          <w:color w:val="000000" w:themeColor="text1"/>
          <w:sz w:val="20"/>
          <w:szCs w:val="20"/>
        </w:rPr>
        <w:t>"Para comer uma comida de verdade, conheça a verdade sobre a comida!" (CONSEA, 2015)</w:t>
      </w:r>
      <w:r>
        <w:rPr>
          <w:rFonts w:ascii="Times New Roman" w:eastAsia="Times New Roman" w:hAnsi="Times New Roman" w:cs="Times New Roman"/>
          <w:b w:val="0"/>
          <w:iCs/>
          <w:color w:val="000000" w:themeColor="text1"/>
          <w:sz w:val="20"/>
          <w:szCs w:val="20"/>
        </w:rPr>
        <w:t>.</w:t>
      </w:r>
    </w:p>
    <w:p w14:paraId="182173A0" w14:textId="77777777" w:rsidR="00D17B2B" w:rsidRPr="001C7B68" w:rsidRDefault="00D17B2B" w:rsidP="00D17B2B">
      <w:pPr>
        <w:spacing w:after="0" w:line="240" w:lineRule="auto"/>
        <w:rPr>
          <w:rFonts w:ascii="Times New Roman" w:eastAsia="Times New Roman" w:hAnsi="Times New Roman" w:cs="Times New Roman"/>
        </w:rPr>
      </w:pPr>
    </w:p>
    <w:p w14:paraId="565D73A0" w14:textId="77777777" w:rsidR="00D17B2B" w:rsidRPr="007D6F8B" w:rsidRDefault="00D17B2B" w:rsidP="00D17B2B">
      <w:pPr>
        <w:spacing w:after="0" w:line="360" w:lineRule="auto"/>
        <w:ind w:firstLine="720"/>
        <w:jc w:val="both"/>
        <w:rPr>
          <w:rFonts w:ascii="Times New Roman" w:eastAsia="Times New Roman" w:hAnsi="Times New Roman" w:cs="Times New Roman"/>
          <w:color w:val="FF0000"/>
          <w:sz w:val="24"/>
          <w:szCs w:val="24"/>
        </w:rPr>
      </w:pPr>
      <w:r w:rsidRPr="007D6F8B">
        <w:rPr>
          <w:rFonts w:ascii="Times New Roman" w:eastAsia="Times New Roman" w:hAnsi="Times New Roman" w:cs="Times New Roman"/>
          <w:sz w:val="24"/>
          <w:szCs w:val="24"/>
        </w:rPr>
        <w:t xml:space="preserve">Quando da saída do Brasil do mapa mundial da fome da FAO-ONU, em 2014, outras questões nutricionais passaram a ser discutidas em âmbito nacional, evidenciando um processo que ficou denominado de transição nutricional. Este é caracterizado pela presença crescente em nossa sociedade de problemas de saúde (doenças crônicas como obesidade, diabetes, hipertensão, doenças cardiovasculares, alergias etc.) relacionados à alimentação inadequada representada pela ingestão de </w:t>
      </w:r>
      <w:proofErr w:type="spellStart"/>
      <w:r w:rsidRPr="000B4588">
        <w:rPr>
          <w:rFonts w:ascii="Times New Roman" w:eastAsia="Times New Roman" w:hAnsi="Times New Roman" w:cs="Times New Roman"/>
          <w:color w:val="000000" w:themeColor="text1"/>
          <w:sz w:val="24"/>
          <w:szCs w:val="24"/>
        </w:rPr>
        <w:t>ultraprocessados</w:t>
      </w:r>
      <w:proofErr w:type="spellEnd"/>
      <w:r w:rsidRPr="000B4588">
        <w:rPr>
          <w:rFonts w:ascii="Times New Roman" w:eastAsia="Times New Roman" w:hAnsi="Times New Roman" w:cs="Times New Roman"/>
          <w:color w:val="000000" w:themeColor="text1"/>
          <w:sz w:val="24"/>
          <w:szCs w:val="24"/>
        </w:rPr>
        <w:t xml:space="preserve">. (BORTOLINI et </w:t>
      </w:r>
      <w:proofErr w:type="gramStart"/>
      <w:r w:rsidRPr="000B4588">
        <w:rPr>
          <w:rFonts w:ascii="Times New Roman" w:eastAsia="Times New Roman" w:hAnsi="Times New Roman" w:cs="Times New Roman"/>
          <w:color w:val="000000" w:themeColor="text1"/>
          <w:sz w:val="24"/>
          <w:szCs w:val="24"/>
        </w:rPr>
        <w:t>al. ,</w:t>
      </w:r>
      <w:proofErr w:type="gramEnd"/>
      <w:r w:rsidRPr="000B4588">
        <w:rPr>
          <w:rFonts w:ascii="Times New Roman" w:eastAsia="Times New Roman" w:hAnsi="Times New Roman" w:cs="Times New Roman"/>
          <w:color w:val="000000" w:themeColor="text1"/>
          <w:sz w:val="24"/>
          <w:szCs w:val="24"/>
        </w:rPr>
        <w:t xml:space="preserve"> 2020). </w:t>
      </w:r>
    </w:p>
    <w:p w14:paraId="5A29AB4C" w14:textId="77777777" w:rsidR="00D17B2B" w:rsidRPr="00B45DCE" w:rsidRDefault="00D17B2B" w:rsidP="00D17B2B">
      <w:pPr>
        <w:spacing w:after="0" w:line="360" w:lineRule="auto"/>
        <w:ind w:firstLine="720"/>
        <w:jc w:val="both"/>
        <w:rPr>
          <w:rFonts w:ascii="Times New Roman" w:eastAsia="Times New Roman" w:hAnsi="Times New Roman" w:cs="Times New Roman"/>
          <w:color w:val="FF0000"/>
          <w:sz w:val="24"/>
          <w:szCs w:val="24"/>
        </w:rPr>
      </w:pPr>
      <w:r w:rsidRPr="007D6F8B">
        <w:rPr>
          <w:rFonts w:ascii="Times New Roman" w:eastAsia="Times New Roman" w:hAnsi="Times New Roman" w:cs="Times New Roman"/>
          <w:sz w:val="24"/>
          <w:szCs w:val="24"/>
        </w:rPr>
        <w:t>Essa transição foi motivada pelo sistema de produção alimentar</w:t>
      </w:r>
      <w:r>
        <w:rPr>
          <w:rFonts w:ascii="Times New Roman" w:eastAsia="Times New Roman" w:hAnsi="Times New Roman" w:cs="Times New Roman"/>
          <w:sz w:val="24"/>
          <w:szCs w:val="24"/>
        </w:rPr>
        <w:t xml:space="preserve"> do agronegócio,</w:t>
      </w:r>
      <w:r w:rsidRPr="007D6F8B">
        <w:rPr>
          <w:rFonts w:ascii="Times New Roman" w:eastAsia="Times New Roman" w:hAnsi="Times New Roman" w:cs="Times New Roman"/>
          <w:sz w:val="24"/>
          <w:szCs w:val="24"/>
        </w:rPr>
        <w:t xml:space="preserve"> que apresenta em uma ponta a produção de monoculturas baseadas em aditivos químicos (alguns </w:t>
      </w:r>
      <w:r w:rsidRPr="007D6F8B">
        <w:rPr>
          <w:rFonts w:ascii="Times New Roman" w:eastAsia="Times New Roman" w:hAnsi="Times New Roman" w:cs="Times New Roman"/>
          <w:sz w:val="24"/>
          <w:szCs w:val="24"/>
        </w:rPr>
        <w:lastRenderedPageBreak/>
        <w:t xml:space="preserve">extraídos através da </w:t>
      </w:r>
      <w:proofErr w:type="spellStart"/>
      <w:r w:rsidRPr="007D6F8B">
        <w:rPr>
          <w:rFonts w:ascii="Times New Roman" w:eastAsia="Times New Roman" w:hAnsi="Times New Roman" w:cs="Times New Roman"/>
          <w:sz w:val="24"/>
          <w:szCs w:val="24"/>
        </w:rPr>
        <w:t>mega-mineração</w:t>
      </w:r>
      <w:proofErr w:type="spellEnd"/>
      <w:r w:rsidRPr="007D6F8B">
        <w:rPr>
          <w:rFonts w:ascii="Times New Roman" w:eastAsia="Times New Roman" w:hAnsi="Times New Roman" w:cs="Times New Roman"/>
          <w:sz w:val="24"/>
          <w:szCs w:val="24"/>
        </w:rPr>
        <w:t xml:space="preserve">), sementes modificadas e alto uso de pesticidas que fazem adoecer a terra e a gente; em seu meio grandes corporações alimentícias que exigem </w:t>
      </w:r>
      <w:r>
        <w:rPr>
          <w:rFonts w:ascii="Times New Roman" w:eastAsia="Times New Roman" w:hAnsi="Times New Roman" w:cs="Times New Roman"/>
          <w:sz w:val="24"/>
          <w:szCs w:val="24"/>
        </w:rPr>
        <w:t>massivos</w:t>
      </w:r>
      <w:r w:rsidRPr="007D6F8B">
        <w:rPr>
          <w:rFonts w:ascii="Times New Roman" w:eastAsia="Times New Roman" w:hAnsi="Times New Roman" w:cs="Times New Roman"/>
          <w:sz w:val="24"/>
          <w:szCs w:val="24"/>
        </w:rPr>
        <w:t xml:space="preserve"> esforços de transporte (infraestruturas, conservantes) e são comercializados, na outra ponta, em grandes supermercados. </w:t>
      </w:r>
      <w:r>
        <w:rPr>
          <w:rFonts w:ascii="Times New Roman" w:eastAsia="Times New Roman" w:hAnsi="Times New Roman" w:cs="Times New Roman"/>
          <w:sz w:val="24"/>
          <w:szCs w:val="24"/>
        </w:rPr>
        <w:t>Neste sentido, a</w:t>
      </w:r>
      <w:r w:rsidRPr="007D6F8B">
        <w:rPr>
          <w:rFonts w:ascii="Times New Roman" w:eastAsia="Times New Roman" w:hAnsi="Times New Roman" w:cs="Times New Roman"/>
          <w:sz w:val="24"/>
          <w:szCs w:val="24"/>
        </w:rPr>
        <w:t xml:space="preserve"> pesquisadora </w:t>
      </w:r>
      <w:r w:rsidRPr="00B45DCE">
        <w:rPr>
          <w:rFonts w:ascii="Times New Roman" w:eastAsia="Times New Roman" w:hAnsi="Times New Roman" w:cs="Times New Roman"/>
          <w:color w:val="000000" w:themeColor="text1"/>
          <w:sz w:val="24"/>
          <w:szCs w:val="24"/>
        </w:rPr>
        <w:t xml:space="preserve">Denise Elias (2021) inclui </w:t>
      </w:r>
      <w:r w:rsidRPr="007D6F8B">
        <w:rPr>
          <w:rFonts w:ascii="Times New Roman" w:eastAsia="Times New Roman" w:hAnsi="Times New Roman" w:cs="Times New Roman"/>
          <w:sz w:val="24"/>
          <w:szCs w:val="24"/>
        </w:rPr>
        <w:t xml:space="preserve">as redes de varejo alimentício em um conjunto de atividades interligadas e </w:t>
      </w:r>
      <w:proofErr w:type="spellStart"/>
      <w:r w:rsidRPr="007D6F8B">
        <w:rPr>
          <w:rFonts w:ascii="Times New Roman" w:eastAsia="Times New Roman" w:hAnsi="Times New Roman" w:cs="Times New Roman"/>
          <w:sz w:val="24"/>
          <w:szCs w:val="24"/>
        </w:rPr>
        <w:t>multiescalares</w:t>
      </w:r>
      <w:proofErr w:type="spellEnd"/>
      <w:r w:rsidRPr="007D6F8B">
        <w:rPr>
          <w:rFonts w:ascii="Times New Roman" w:eastAsia="Times New Roman" w:hAnsi="Times New Roman" w:cs="Times New Roman"/>
          <w:sz w:val="24"/>
          <w:szCs w:val="24"/>
        </w:rPr>
        <w:t xml:space="preserve"> definido como agronegócio, vigente no país desde a década de 1970, que envolve também a produção agropecuária; indústria de transformação (agroindústrias); indústria e comércio de maquinário e insumos (fertilizantes, sementes); serviços do terciário avançado ligados a pesquisa, finanças, marketing; fundos de investimento e redes de poder local (como a bancada ruralista). Os </w:t>
      </w:r>
      <w:proofErr w:type="spellStart"/>
      <w:r w:rsidRPr="007D6F8B">
        <w:rPr>
          <w:rFonts w:ascii="Times New Roman" w:eastAsia="Times New Roman" w:hAnsi="Times New Roman" w:cs="Times New Roman"/>
          <w:sz w:val="24"/>
          <w:szCs w:val="24"/>
        </w:rPr>
        <w:t>atacarejos</w:t>
      </w:r>
      <w:proofErr w:type="spellEnd"/>
      <w:r w:rsidRPr="007D6F8B">
        <w:rPr>
          <w:rFonts w:ascii="Times New Roman" w:eastAsia="Times New Roman" w:hAnsi="Times New Roman" w:cs="Times New Roman"/>
          <w:sz w:val="24"/>
          <w:szCs w:val="24"/>
        </w:rPr>
        <w:t xml:space="preserve"> são uma ramificação de comércio des</w:t>
      </w:r>
      <w:r>
        <w:rPr>
          <w:rFonts w:ascii="Times New Roman" w:eastAsia="Times New Roman" w:hAnsi="Times New Roman" w:cs="Times New Roman"/>
          <w:sz w:val="24"/>
          <w:szCs w:val="24"/>
        </w:rPr>
        <w:t>s</w:t>
      </w:r>
      <w:r w:rsidRPr="007D6F8B">
        <w:rPr>
          <w:rFonts w:ascii="Times New Roman" w:eastAsia="Times New Roman" w:hAnsi="Times New Roman" w:cs="Times New Roman"/>
          <w:sz w:val="24"/>
          <w:szCs w:val="24"/>
        </w:rPr>
        <w:t>e sistema.</w:t>
      </w:r>
    </w:p>
    <w:p w14:paraId="0B9D6B36" w14:textId="77777777" w:rsidR="00D17B2B" w:rsidRDefault="00D17B2B" w:rsidP="00D17B2B">
      <w:pPr>
        <w:spacing w:after="0" w:line="360" w:lineRule="auto"/>
        <w:ind w:firstLine="720"/>
        <w:jc w:val="both"/>
        <w:rPr>
          <w:rFonts w:ascii="Times New Roman" w:eastAsia="Times New Roman" w:hAnsi="Times New Roman" w:cs="Times New Roman"/>
          <w:sz w:val="24"/>
          <w:szCs w:val="24"/>
        </w:rPr>
      </w:pPr>
      <w:r w:rsidRPr="007D6F8B">
        <w:rPr>
          <w:rFonts w:ascii="Times New Roman" w:eastAsia="Times New Roman" w:hAnsi="Times New Roman" w:cs="Times New Roman"/>
          <w:sz w:val="24"/>
          <w:szCs w:val="24"/>
        </w:rPr>
        <w:t xml:space="preserve">O agronegócio, segundo a autora, vem promovendo o alimento enquanto mercadoria, e é estruturado por poderosas corporações transnacionais que lideram também as transformações nos hábitos alimentares dos brasileiros, especialmente após a reestruturação produtiva promovida pelo neoliberalismo sob comando do capital financeiro a partir dos anos 1980/90 (ELIAS, 2021). O Atlas do Agronegócio de 2016 apontava que as 10 principais corporações fabricantes de alimentos em termos de faturamento no mundo eram a Nestlé, JBS, Tyson </w:t>
      </w:r>
      <w:proofErr w:type="spellStart"/>
      <w:r w:rsidRPr="007D6F8B">
        <w:rPr>
          <w:rFonts w:ascii="Times New Roman" w:eastAsia="Times New Roman" w:hAnsi="Times New Roman" w:cs="Times New Roman"/>
          <w:sz w:val="24"/>
          <w:szCs w:val="24"/>
        </w:rPr>
        <w:t>Foods</w:t>
      </w:r>
      <w:proofErr w:type="spellEnd"/>
      <w:r w:rsidRPr="007D6F8B">
        <w:rPr>
          <w:rFonts w:ascii="Times New Roman" w:eastAsia="Times New Roman" w:hAnsi="Times New Roman" w:cs="Times New Roman"/>
          <w:sz w:val="24"/>
          <w:szCs w:val="24"/>
        </w:rPr>
        <w:t xml:space="preserve">, Mars, Kraft Heinz, </w:t>
      </w:r>
      <w:proofErr w:type="spellStart"/>
      <w:r w:rsidRPr="007D6F8B">
        <w:rPr>
          <w:rFonts w:ascii="Times New Roman" w:eastAsia="Times New Roman" w:hAnsi="Times New Roman" w:cs="Times New Roman"/>
          <w:sz w:val="24"/>
          <w:szCs w:val="24"/>
        </w:rPr>
        <w:t>Mondelez</w:t>
      </w:r>
      <w:proofErr w:type="spellEnd"/>
      <w:r w:rsidRPr="007D6F8B">
        <w:rPr>
          <w:rFonts w:ascii="Times New Roman" w:eastAsia="Times New Roman" w:hAnsi="Times New Roman" w:cs="Times New Roman"/>
          <w:sz w:val="24"/>
          <w:szCs w:val="24"/>
        </w:rPr>
        <w:t xml:space="preserve">, Danone, Unilever, General Mills e </w:t>
      </w:r>
      <w:proofErr w:type="spellStart"/>
      <w:r w:rsidRPr="007D6F8B">
        <w:rPr>
          <w:rFonts w:ascii="Times New Roman" w:eastAsia="Times New Roman" w:hAnsi="Times New Roman" w:cs="Times New Roman"/>
          <w:sz w:val="24"/>
          <w:szCs w:val="24"/>
        </w:rPr>
        <w:t>Smithfild</w:t>
      </w:r>
      <w:proofErr w:type="spellEnd"/>
      <w:r w:rsidRPr="007D6F8B">
        <w:rPr>
          <w:rFonts w:ascii="Times New Roman" w:eastAsia="Times New Roman" w:hAnsi="Times New Roman" w:cs="Times New Roman"/>
          <w:sz w:val="24"/>
          <w:szCs w:val="24"/>
        </w:rPr>
        <w:t xml:space="preserve">, que, por sua vez, são proprietárias de diversas empresas e marcas (ELIAS, 2021). A Nestlé, por exemplo, produz as marcas Farinha Láctea, Nescau, Neston, Nescafé, Maggi, Garoto, </w:t>
      </w:r>
      <w:proofErr w:type="spellStart"/>
      <w:r w:rsidRPr="007D6F8B">
        <w:rPr>
          <w:rFonts w:ascii="Times New Roman" w:eastAsia="Times New Roman" w:hAnsi="Times New Roman" w:cs="Times New Roman"/>
          <w:sz w:val="24"/>
          <w:szCs w:val="24"/>
        </w:rPr>
        <w:t>Molico</w:t>
      </w:r>
      <w:proofErr w:type="spellEnd"/>
      <w:r w:rsidRPr="007D6F8B">
        <w:rPr>
          <w:rFonts w:ascii="Times New Roman" w:eastAsia="Times New Roman" w:hAnsi="Times New Roman" w:cs="Times New Roman"/>
          <w:sz w:val="24"/>
          <w:szCs w:val="24"/>
        </w:rPr>
        <w:t>, Ninho e o Leite Moça</w:t>
      </w:r>
      <w:r>
        <w:rPr>
          <w:rFonts w:ascii="Times New Roman" w:eastAsia="Times New Roman" w:hAnsi="Times New Roman" w:cs="Times New Roman"/>
          <w:sz w:val="24"/>
          <w:szCs w:val="24"/>
        </w:rPr>
        <w:t xml:space="preserve"> -</w:t>
      </w:r>
      <w:r w:rsidRPr="007D6F8B">
        <w:rPr>
          <w:rFonts w:ascii="Times New Roman" w:eastAsia="Times New Roman" w:hAnsi="Times New Roman" w:cs="Times New Roman"/>
          <w:sz w:val="24"/>
          <w:szCs w:val="24"/>
        </w:rPr>
        <w:t xml:space="preserve"> incluído em muitas das receitas de nossos doces “tradicionais” (ELIAS, 2021). No Brasil, entre 60 e 70% das compras de uma família provém de apenas 10 corporações (ELIAS, 2021). </w:t>
      </w:r>
    </w:p>
    <w:p w14:paraId="3126BFF9" w14:textId="77777777" w:rsidR="00D17B2B" w:rsidRDefault="00D17B2B" w:rsidP="00D17B2B">
      <w:pPr>
        <w:spacing w:after="0"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sz w:val="24"/>
          <w:szCs w:val="24"/>
        </w:rPr>
        <w:t xml:space="preserve">A ABAAS situa o </w:t>
      </w:r>
      <w:proofErr w:type="spellStart"/>
      <w:r>
        <w:rPr>
          <w:rFonts w:ascii="Times New Roman" w:eastAsia="Times New Roman" w:hAnsi="Times New Roman" w:cs="Times New Roman"/>
          <w:sz w:val="24"/>
          <w:szCs w:val="24"/>
        </w:rPr>
        <w:t>atacarejo</w:t>
      </w:r>
      <w:proofErr w:type="spellEnd"/>
      <w:r>
        <w:rPr>
          <w:rFonts w:ascii="Times New Roman" w:eastAsia="Times New Roman" w:hAnsi="Times New Roman" w:cs="Times New Roman"/>
          <w:sz w:val="24"/>
          <w:szCs w:val="24"/>
        </w:rPr>
        <w:t xml:space="preserve"> como a maior ferramenta de venda da indústri</w:t>
      </w:r>
      <w:r w:rsidRPr="00446595">
        <w:rPr>
          <w:rFonts w:ascii="Times New Roman" w:eastAsia="Times New Roman" w:hAnsi="Times New Roman" w:cs="Times New Roman"/>
          <w:color w:val="000000" w:themeColor="text1"/>
          <w:sz w:val="24"/>
          <w:szCs w:val="24"/>
        </w:rPr>
        <w:t xml:space="preserve">a (REVISTA ABAAS, 2022). Os </w:t>
      </w:r>
      <w:proofErr w:type="spellStart"/>
      <w:r w:rsidRPr="00446595">
        <w:rPr>
          <w:rFonts w:ascii="Times New Roman" w:eastAsia="Times New Roman" w:hAnsi="Times New Roman" w:cs="Times New Roman"/>
          <w:color w:val="000000" w:themeColor="text1"/>
          <w:sz w:val="24"/>
          <w:szCs w:val="24"/>
        </w:rPr>
        <w:t>atacarejos</w:t>
      </w:r>
      <w:proofErr w:type="spellEnd"/>
      <w:r w:rsidRPr="00446595">
        <w:rPr>
          <w:rFonts w:ascii="Times New Roman" w:eastAsia="Times New Roman" w:hAnsi="Times New Roman" w:cs="Times New Roman"/>
          <w:color w:val="000000" w:themeColor="text1"/>
          <w:sz w:val="24"/>
          <w:szCs w:val="24"/>
        </w:rPr>
        <w:t xml:space="preserve"> têm como principais parceiros grandes corporações alimentícias que passaram a criar linhas de produtos exclusivos para este formato, além de fornecer </w:t>
      </w:r>
      <w:r w:rsidRPr="007D6F8B">
        <w:rPr>
          <w:rFonts w:ascii="Times New Roman" w:eastAsia="Times New Roman" w:hAnsi="Times New Roman" w:cs="Times New Roman"/>
          <w:sz w:val="24"/>
          <w:szCs w:val="24"/>
        </w:rPr>
        <w:t xml:space="preserve">material de divulgação, displays </w:t>
      </w:r>
      <w:r>
        <w:rPr>
          <w:rFonts w:ascii="Times New Roman" w:eastAsia="Times New Roman" w:hAnsi="Times New Roman" w:cs="Times New Roman"/>
          <w:sz w:val="24"/>
          <w:szCs w:val="24"/>
        </w:rPr>
        <w:t xml:space="preserve">especiais </w:t>
      </w:r>
      <w:r w:rsidRPr="007D6F8B">
        <w:rPr>
          <w:rFonts w:ascii="Times New Roman" w:eastAsia="Times New Roman" w:hAnsi="Times New Roman" w:cs="Times New Roman"/>
          <w:sz w:val="24"/>
          <w:szCs w:val="24"/>
        </w:rPr>
        <w:t>e packs promocionais</w:t>
      </w:r>
      <w:r>
        <w:rPr>
          <w:rFonts w:ascii="Times New Roman" w:eastAsia="Times New Roman" w:hAnsi="Times New Roman" w:cs="Times New Roman"/>
          <w:sz w:val="24"/>
          <w:szCs w:val="24"/>
        </w:rPr>
        <w:t xml:space="preserve"> (Figura 1, na página seguinte)</w:t>
      </w:r>
      <w:r w:rsidRPr="007D6F8B">
        <w:rPr>
          <w:rFonts w:ascii="Times New Roman" w:eastAsia="Times New Roman" w:hAnsi="Times New Roman" w:cs="Times New Roman"/>
          <w:sz w:val="24"/>
          <w:szCs w:val="24"/>
        </w:rPr>
        <w:t xml:space="preserve">. São apontados pela ABAAS como principais fornecedores dos </w:t>
      </w:r>
      <w:proofErr w:type="spellStart"/>
      <w:r w:rsidRPr="007D6F8B">
        <w:rPr>
          <w:rFonts w:ascii="Times New Roman" w:eastAsia="Times New Roman" w:hAnsi="Times New Roman" w:cs="Times New Roman"/>
          <w:sz w:val="24"/>
          <w:szCs w:val="24"/>
        </w:rPr>
        <w:t>atacarejos</w:t>
      </w:r>
      <w:proofErr w:type="spellEnd"/>
      <w:r w:rsidRPr="007D6F8B">
        <w:rPr>
          <w:rFonts w:ascii="Times New Roman" w:eastAsia="Times New Roman" w:hAnsi="Times New Roman" w:cs="Times New Roman"/>
          <w:color w:val="202124"/>
          <w:sz w:val="24"/>
          <w:szCs w:val="24"/>
        </w:rPr>
        <w:t xml:space="preserve"> a Aurora, GTEX Brasil, </w:t>
      </w:r>
      <w:proofErr w:type="spellStart"/>
      <w:r w:rsidRPr="007D6F8B">
        <w:rPr>
          <w:rFonts w:ascii="Times New Roman" w:eastAsia="Times New Roman" w:hAnsi="Times New Roman" w:cs="Times New Roman"/>
          <w:color w:val="202124"/>
          <w:sz w:val="24"/>
          <w:szCs w:val="24"/>
        </w:rPr>
        <w:t>Coca-cola</w:t>
      </w:r>
      <w:proofErr w:type="spellEnd"/>
      <w:r w:rsidRPr="007D6F8B">
        <w:rPr>
          <w:rFonts w:ascii="Times New Roman" w:eastAsia="Times New Roman" w:hAnsi="Times New Roman" w:cs="Times New Roman"/>
          <w:color w:val="202124"/>
          <w:sz w:val="24"/>
          <w:szCs w:val="24"/>
        </w:rPr>
        <w:t xml:space="preserve"> Brasil, Flora, Heineken, Condor, </w:t>
      </w:r>
      <w:proofErr w:type="spellStart"/>
      <w:r w:rsidRPr="007D6F8B">
        <w:rPr>
          <w:rFonts w:ascii="Times New Roman" w:eastAsia="Times New Roman" w:hAnsi="Times New Roman" w:cs="Times New Roman"/>
          <w:color w:val="202124"/>
          <w:sz w:val="24"/>
          <w:szCs w:val="24"/>
        </w:rPr>
        <w:t>Mondelez</w:t>
      </w:r>
      <w:proofErr w:type="spellEnd"/>
      <w:r w:rsidRPr="007D6F8B">
        <w:rPr>
          <w:rFonts w:ascii="Times New Roman" w:eastAsia="Times New Roman" w:hAnsi="Times New Roman" w:cs="Times New Roman"/>
          <w:color w:val="202124"/>
          <w:sz w:val="24"/>
          <w:szCs w:val="24"/>
        </w:rPr>
        <w:t xml:space="preserve">, P&amp;G, </w:t>
      </w:r>
      <w:proofErr w:type="spellStart"/>
      <w:r w:rsidRPr="007D6F8B">
        <w:rPr>
          <w:rFonts w:ascii="Times New Roman" w:eastAsia="Times New Roman" w:hAnsi="Times New Roman" w:cs="Times New Roman"/>
          <w:color w:val="202124"/>
          <w:sz w:val="24"/>
          <w:szCs w:val="24"/>
        </w:rPr>
        <w:t>Ypê</w:t>
      </w:r>
      <w:proofErr w:type="spellEnd"/>
      <w:r w:rsidRPr="007D6F8B">
        <w:rPr>
          <w:rFonts w:ascii="Times New Roman" w:eastAsia="Times New Roman" w:hAnsi="Times New Roman" w:cs="Times New Roman"/>
          <w:color w:val="202124"/>
          <w:sz w:val="24"/>
          <w:szCs w:val="24"/>
        </w:rPr>
        <w:t xml:space="preserve">, </w:t>
      </w:r>
      <w:proofErr w:type="spellStart"/>
      <w:r w:rsidRPr="007D6F8B">
        <w:rPr>
          <w:rFonts w:ascii="Times New Roman" w:eastAsia="Times New Roman" w:hAnsi="Times New Roman" w:cs="Times New Roman"/>
          <w:color w:val="202124"/>
          <w:sz w:val="24"/>
          <w:szCs w:val="24"/>
        </w:rPr>
        <w:t>Limppano</w:t>
      </w:r>
      <w:proofErr w:type="spellEnd"/>
      <w:r w:rsidRPr="007D6F8B">
        <w:rPr>
          <w:rFonts w:ascii="Times New Roman" w:eastAsia="Times New Roman" w:hAnsi="Times New Roman" w:cs="Times New Roman"/>
          <w:color w:val="202124"/>
          <w:sz w:val="24"/>
          <w:szCs w:val="24"/>
        </w:rPr>
        <w:t xml:space="preserve">, </w:t>
      </w:r>
      <w:proofErr w:type="spellStart"/>
      <w:r w:rsidRPr="007D6F8B">
        <w:rPr>
          <w:rFonts w:ascii="Times New Roman" w:eastAsia="Times New Roman" w:hAnsi="Times New Roman" w:cs="Times New Roman"/>
          <w:color w:val="202124"/>
          <w:sz w:val="24"/>
          <w:szCs w:val="24"/>
        </w:rPr>
        <w:t>SCJohnson</w:t>
      </w:r>
      <w:proofErr w:type="spellEnd"/>
      <w:r>
        <w:rPr>
          <w:rStyle w:val="Refdenotaderodap"/>
          <w:rFonts w:ascii="Times New Roman" w:eastAsia="Times New Roman" w:hAnsi="Times New Roman" w:cs="Times New Roman"/>
          <w:color w:val="202124"/>
          <w:sz w:val="24"/>
          <w:szCs w:val="24"/>
        </w:rPr>
        <w:footnoteReference w:id="3"/>
      </w:r>
      <w:r w:rsidRPr="007D6F8B">
        <w:rPr>
          <w:rFonts w:ascii="Times New Roman" w:eastAsia="Times New Roman" w:hAnsi="Times New Roman" w:cs="Times New Roman"/>
          <w:color w:val="202124"/>
          <w:sz w:val="24"/>
          <w:szCs w:val="24"/>
        </w:rPr>
        <w:t xml:space="preserve">. </w:t>
      </w:r>
    </w:p>
    <w:p w14:paraId="369F86A1" w14:textId="77777777" w:rsidR="00D17B2B" w:rsidRDefault="00D17B2B" w:rsidP="00D17B2B">
      <w:pPr>
        <w:spacing w:after="0" w:line="360" w:lineRule="auto"/>
        <w:ind w:firstLine="720"/>
        <w:jc w:val="both"/>
        <w:rPr>
          <w:rFonts w:ascii="Times New Roman" w:eastAsia="Times New Roman" w:hAnsi="Times New Roman" w:cs="Times New Roman"/>
          <w:color w:val="000000" w:themeColor="text1"/>
          <w:sz w:val="24"/>
          <w:szCs w:val="24"/>
        </w:rPr>
      </w:pPr>
      <w:r w:rsidRPr="00EE6F60">
        <w:rPr>
          <w:rFonts w:ascii="Times New Roman" w:eastAsia="Times New Roman" w:hAnsi="Times New Roman" w:cs="Times New Roman"/>
          <w:color w:val="000000" w:themeColor="text1"/>
          <w:sz w:val="24"/>
          <w:szCs w:val="24"/>
        </w:rPr>
        <w:lastRenderedPageBreak/>
        <w:t xml:space="preserve">Pesquisas divulgadas através da Revista da ABAAS </w:t>
      </w:r>
      <w:r w:rsidRPr="009A24D8">
        <w:rPr>
          <w:rFonts w:ascii="Times New Roman" w:eastAsia="Times New Roman" w:hAnsi="Times New Roman" w:cs="Times New Roman"/>
          <w:color w:val="000000" w:themeColor="text1"/>
          <w:sz w:val="24"/>
          <w:szCs w:val="24"/>
        </w:rPr>
        <w:t xml:space="preserve">(2018A), </w:t>
      </w:r>
      <w:r w:rsidRPr="00EE6F60">
        <w:rPr>
          <w:rFonts w:ascii="Times New Roman" w:eastAsia="Times New Roman" w:hAnsi="Times New Roman" w:cs="Times New Roman"/>
          <w:color w:val="000000" w:themeColor="text1"/>
          <w:sz w:val="24"/>
          <w:szCs w:val="24"/>
        </w:rPr>
        <w:t xml:space="preserve">apontam que os consumidores têm mostrado preferência por marcas globais em detrimento de produtos locais, com exceção feita aos alimentos frescos, como leite, manteiga, queijos e iogurte. A preferência em consumir margas globais é majoritária especialmente nos alimentos de fórmula para bebês.   </w:t>
      </w:r>
    </w:p>
    <w:p w14:paraId="20FC99CB" w14:textId="77777777" w:rsidR="00D17B2B" w:rsidRPr="0054528D" w:rsidRDefault="00D17B2B" w:rsidP="00D17B2B">
      <w:pPr>
        <w:spacing w:after="0" w:line="360" w:lineRule="auto"/>
        <w:ind w:firstLine="720"/>
        <w:jc w:val="both"/>
        <w:rPr>
          <w:rFonts w:ascii="Times New Roman" w:eastAsia="Times New Roman" w:hAnsi="Times New Roman" w:cs="Times New Roman"/>
          <w:sz w:val="24"/>
          <w:szCs w:val="24"/>
        </w:rPr>
      </w:pPr>
      <w:r w:rsidRPr="007D6F8B">
        <w:rPr>
          <w:rFonts w:ascii="Times New Roman" w:eastAsia="Times New Roman" w:hAnsi="Times New Roman" w:cs="Times New Roman"/>
          <w:sz w:val="24"/>
          <w:szCs w:val="24"/>
        </w:rPr>
        <w:t xml:space="preserve">Os alimentos </w:t>
      </w:r>
      <w:proofErr w:type="spellStart"/>
      <w:r w:rsidRPr="007D6F8B">
        <w:rPr>
          <w:rFonts w:ascii="Times New Roman" w:eastAsia="Times New Roman" w:hAnsi="Times New Roman" w:cs="Times New Roman"/>
          <w:sz w:val="24"/>
          <w:szCs w:val="24"/>
        </w:rPr>
        <w:t>ultraprocessados</w:t>
      </w:r>
      <w:proofErr w:type="spellEnd"/>
      <w:r w:rsidRPr="007D6F8B">
        <w:rPr>
          <w:rFonts w:ascii="Times New Roman" w:eastAsia="Times New Roman" w:hAnsi="Times New Roman" w:cs="Times New Roman"/>
          <w:sz w:val="24"/>
          <w:szCs w:val="24"/>
        </w:rPr>
        <w:t xml:space="preserve">, apesar da diversidade de rótulos, são em grande medida produzidos a partir de apenas dois insumos: soja ou de milho, duas culturas líderes no uso de sementes transgênicas e agrotóxicos no Brasil (ELIAS, 2021). Estes alimentos tendem a ser pobres em fibras e ricos em sódio, utilizado como conservante ou </w:t>
      </w:r>
      <w:proofErr w:type="spellStart"/>
      <w:r w:rsidRPr="007D6F8B">
        <w:rPr>
          <w:rFonts w:ascii="Times New Roman" w:eastAsia="Times New Roman" w:hAnsi="Times New Roman" w:cs="Times New Roman"/>
          <w:sz w:val="24"/>
          <w:szCs w:val="24"/>
        </w:rPr>
        <w:t>saborizante</w:t>
      </w:r>
      <w:proofErr w:type="spellEnd"/>
      <w:r w:rsidRPr="007D6F8B">
        <w:rPr>
          <w:rFonts w:ascii="Times New Roman" w:eastAsia="Times New Roman" w:hAnsi="Times New Roman" w:cs="Times New Roman"/>
          <w:sz w:val="24"/>
          <w:szCs w:val="24"/>
        </w:rPr>
        <w:t xml:space="preserve">. Na sua composição, costumam aparecer aditivos desconhecidos dos consumidores em geral: gordura hidrogenada, xaropes, espessantes, emulsificantes etc. </w:t>
      </w:r>
    </w:p>
    <w:p w14:paraId="15A4C948" w14:textId="77777777" w:rsidR="00D17B2B" w:rsidRPr="009A24D8" w:rsidRDefault="00D17B2B" w:rsidP="00D17B2B">
      <w:pPr>
        <w:spacing w:after="0" w:line="360" w:lineRule="auto"/>
        <w:jc w:val="center"/>
        <w:rPr>
          <w:rFonts w:ascii="Times New Roman" w:eastAsia="Times New Roman" w:hAnsi="Times New Roman" w:cs="Times New Roman"/>
          <w:sz w:val="24"/>
          <w:szCs w:val="24"/>
        </w:rPr>
      </w:pPr>
      <w:r w:rsidRPr="009A24D8">
        <w:rPr>
          <w:rFonts w:ascii="Times New Roman" w:eastAsia="Times New Roman" w:hAnsi="Times New Roman" w:cs="Times New Roman"/>
          <w:noProof/>
          <w:sz w:val="24"/>
          <w:szCs w:val="24"/>
        </w:rPr>
        <w:drawing>
          <wp:inline distT="0" distB="0" distL="0" distR="0" wp14:anchorId="6639359C" wp14:editId="3BCA9EBA">
            <wp:extent cx="3097539" cy="4083725"/>
            <wp:effectExtent l="0" t="0" r="1270" b="5715"/>
            <wp:docPr id="7" name="Imagem 7" descr="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Interface gráfica do usuário&#10;&#10;Descrição gerada automaticamente"/>
                    <pic:cNvPicPr/>
                  </pic:nvPicPr>
                  <pic:blipFill>
                    <a:blip r:embed="rId9" cstate="screen">
                      <a:extLst>
                        <a:ext uri="{28A0092B-C50C-407E-A947-70E740481C1C}">
                          <a14:useLocalDpi xmlns:a14="http://schemas.microsoft.com/office/drawing/2010/main"/>
                        </a:ext>
                      </a:extLst>
                    </a:blip>
                    <a:stretch>
                      <a:fillRect/>
                    </a:stretch>
                  </pic:blipFill>
                  <pic:spPr>
                    <a:xfrm>
                      <a:off x="0" y="0"/>
                      <a:ext cx="3116513" cy="4108739"/>
                    </a:xfrm>
                    <a:prstGeom prst="rect">
                      <a:avLst/>
                    </a:prstGeom>
                  </pic:spPr>
                </pic:pic>
              </a:graphicData>
            </a:graphic>
          </wp:inline>
        </w:drawing>
      </w:r>
    </w:p>
    <w:p w14:paraId="6DCA7C09" w14:textId="77777777" w:rsidR="00D17B2B" w:rsidRDefault="00D17B2B" w:rsidP="00D17B2B">
      <w:pPr>
        <w:spacing w:after="0" w:line="240" w:lineRule="auto"/>
        <w:ind w:left="2127"/>
        <w:rPr>
          <w:rFonts w:ascii="Times New Roman" w:eastAsia="Times New Roman" w:hAnsi="Times New Roman" w:cs="Times New Roman"/>
          <w:sz w:val="20"/>
          <w:szCs w:val="20"/>
        </w:rPr>
      </w:pPr>
      <w:r w:rsidRPr="009A24D8">
        <w:rPr>
          <w:rFonts w:ascii="Times New Roman" w:eastAsia="Times New Roman" w:hAnsi="Times New Roman" w:cs="Times New Roman"/>
          <w:sz w:val="20"/>
          <w:szCs w:val="20"/>
        </w:rPr>
        <w:t xml:space="preserve">Figura 1 – Display e pack promocional elaborados pela Nestlé </w:t>
      </w:r>
    </w:p>
    <w:p w14:paraId="0C055DE8" w14:textId="77777777" w:rsidR="00D17B2B" w:rsidRPr="009A24D8" w:rsidRDefault="00D17B2B" w:rsidP="00D17B2B">
      <w:pPr>
        <w:spacing w:after="0" w:line="240" w:lineRule="auto"/>
        <w:ind w:left="2127"/>
        <w:rPr>
          <w:rFonts w:ascii="Times New Roman" w:eastAsia="Times New Roman" w:hAnsi="Times New Roman" w:cs="Times New Roman"/>
          <w:sz w:val="20"/>
          <w:szCs w:val="20"/>
        </w:rPr>
      </w:pPr>
      <w:r w:rsidRPr="009A24D8">
        <w:rPr>
          <w:rFonts w:ascii="Times New Roman" w:eastAsia="Times New Roman" w:hAnsi="Times New Roman" w:cs="Times New Roman"/>
          <w:sz w:val="20"/>
          <w:szCs w:val="20"/>
        </w:rPr>
        <w:t xml:space="preserve">especialmente para os </w:t>
      </w:r>
      <w:proofErr w:type="spellStart"/>
      <w:r w:rsidRPr="009A24D8">
        <w:rPr>
          <w:rFonts w:ascii="Times New Roman" w:eastAsia="Times New Roman" w:hAnsi="Times New Roman" w:cs="Times New Roman"/>
          <w:sz w:val="20"/>
          <w:szCs w:val="20"/>
        </w:rPr>
        <w:t>atacarejos</w:t>
      </w:r>
      <w:proofErr w:type="spellEnd"/>
      <w:r w:rsidRPr="009A24D8">
        <w:rPr>
          <w:rFonts w:ascii="Times New Roman" w:eastAsia="Times New Roman" w:hAnsi="Times New Roman" w:cs="Times New Roman"/>
          <w:sz w:val="20"/>
          <w:szCs w:val="20"/>
        </w:rPr>
        <w:t>.</w:t>
      </w:r>
    </w:p>
    <w:p w14:paraId="44F051D7" w14:textId="77777777" w:rsidR="00D17B2B" w:rsidRDefault="00D17B2B" w:rsidP="00D17B2B">
      <w:pPr>
        <w:spacing w:after="0" w:line="240" w:lineRule="auto"/>
        <w:ind w:left="2127"/>
        <w:rPr>
          <w:rFonts w:ascii="Times New Roman" w:eastAsia="Times New Roman" w:hAnsi="Times New Roman" w:cs="Times New Roman"/>
        </w:rPr>
      </w:pPr>
      <w:r w:rsidRPr="009A24D8">
        <w:rPr>
          <w:rFonts w:ascii="Times New Roman" w:eastAsia="Times New Roman" w:hAnsi="Times New Roman" w:cs="Times New Roman"/>
          <w:sz w:val="20"/>
          <w:szCs w:val="20"/>
        </w:rPr>
        <w:t>FONTE: REVISTA ABBAS, 2017A</w:t>
      </w:r>
      <w:r>
        <w:rPr>
          <w:rFonts w:ascii="Times New Roman" w:eastAsia="Times New Roman" w:hAnsi="Times New Roman" w:cs="Times New Roman"/>
          <w:sz w:val="20"/>
          <w:szCs w:val="20"/>
        </w:rPr>
        <w:t>.</w:t>
      </w:r>
    </w:p>
    <w:p w14:paraId="528086A9" w14:textId="77777777" w:rsidR="00D17B2B" w:rsidRPr="0054528D" w:rsidRDefault="00D17B2B" w:rsidP="00D17B2B">
      <w:pPr>
        <w:spacing w:after="0" w:line="240" w:lineRule="auto"/>
        <w:jc w:val="center"/>
        <w:rPr>
          <w:rFonts w:ascii="Times New Roman" w:eastAsia="Times New Roman" w:hAnsi="Times New Roman" w:cs="Times New Roman"/>
        </w:rPr>
      </w:pPr>
    </w:p>
    <w:p w14:paraId="27BAEE44" w14:textId="77777777" w:rsidR="00D17B2B" w:rsidRPr="007D6F8B" w:rsidRDefault="00D17B2B" w:rsidP="00D17B2B">
      <w:pPr>
        <w:spacing w:after="0" w:line="360" w:lineRule="auto"/>
        <w:ind w:firstLine="720"/>
        <w:jc w:val="both"/>
        <w:rPr>
          <w:rFonts w:ascii="Times New Roman" w:eastAsia="Times New Roman" w:hAnsi="Times New Roman" w:cs="Times New Roman"/>
          <w:sz w:val="24"/>
          <w:szCs w:val="24"/>
        </w:rPr>
      </w:pPr>
      <w:r w:rsidRPr="007D6F8B">
        <w:rPr>
          <w:rFonts w:ascii="Times New Roman" w:eastAsia="Times New Roman" w:hAnsi="Times New Roman" w:cs="Times New Roman"/>
          <w:sz w:val="24"/>
          <w:szCs w:val="24"/>
        </w:rPr>
        <w:lastRenderedPageBreak/>
        <w:t xml:space="preserve">Os </w:t>
      </w:r>
      <w:proofErr w:type="spellStart"/>
      <w:r w:rsidRPr="007D6F8B">
        <w:rPr>
          <w:rFonts w:ascii="Times New Roman" w:eastAsia="Times New Roman" w:hAnsi="Times New Roman" w:cs="Times New Roman"/>
          <w:sz w:val="24"/>
          <w:szCs w:val="24"/>
        </w:rPr>
        <w:t>ultraprocessados</w:t>
      </w:r>
      <w:proofErr w:type="spellEnd"/>
      <w:r w:rsidRPr="007D6F8B">
        <w:rPr>
          <w:rFonts w:ascii="Times New Roman" w:eastAsia="Times New Roman" w:hAnsi="Times New Roman" w:cs="Times New Roman"/>
          <w:sz w:val="24"/>
          <w:szCs w:val="24"/>
        </w:rPr>
        <w:t xml:space="preserve"> são produtos que não consumimos apenas no </w:t>
      </w:r>
      <w:proofErr w:type="spellStart"/>
      <w:r w:rsidRPr="007D6F8B">
        <w:rPr>
          <w:rFonts w:ascii="Times New Roman" w:eastAsia="Times New Roman" w:hAnsi="Times New Roman" w:cs="Times New Roman"/>
          <w:sz w:val="24"/>
          <w:szCs w:val="24"/>
        </w:rPr>
        <w:t>McDonalds</w:t>
      </w:r>
      <w:proofErr w:type="spellEnd"/>
      <w:r w:rsidRPr="007D6F8B">
        <w:rPr>
          <w:rFonts w:ascii="Times New Roman" w:eastAsia="Times New Roman" w:hAnsi="Times New Roman" w:cs="Times New Roman"/>
          <w:sz w:val="24"/>
          <w:szCs w:val="24"/>
        </w:rPr>
        <w:t xml:space="preserve">, Subway, Pizza Hut ou Burguer King. Estão cada vez mais presentes nas compras domiciliares brasileiras em substituição aos alimentos </w:t>
      </w:r>
      <w:proofErr w:type="spellStart"/>
      <w:r w:rsidRPr="007D6F8B">
        <w:rPr>
          <w:rFonts w:ascii="Times New Roman" w:eastAsia="Times New Roman" w:hAnsi="Times New Roman" w:cs="Times New Roman"/>
          <w:sz w:val="24"/>
          <w:szCs w:val="24"/>
        </w:rPr>
        <w:t>in-natura</w:t>
      </w:r>
      <w:proofErr w:type="spellEnd"/>
      <w:r w:rsidRPr="007D6F8B">
        <w:rPr>
          <w:rFonts w:ascii="Times New Roman" w:eastAsia="Times New Roman" w:hAnsi="Times New Roman" w:cs="Times New Roman"/>
          <w:sz w:val="24"/>
          <w:szCs w:val="24"/>
        </w:rPr>
        <w:t xml:space="preserve">, segundo o que conclui Elias (2021) com base na pesquisa </w:t>
      </w:r>
      <w:r w:rsidRPr="00287B45">
        <w:rPr>
          <w:rFonts w:ascii="Times New Roman" w:eastAsia="Times New Roman" w:hAnsi="Times New Roman" w:cs="Times New Roman"/>
          <w:color w:val="000000" w:themeColor="text1"/>
          <w:sz w:val="24"/>
          <w:szCs w:val="24"/>
        </w:rPr>
        <w:t xml:space="preserve">POF </w:t>
      </w:r>
      <w:r w:rsidRPr="007D6F8B">
        <w:rPr>
          <w:rFonts w:ascii="Times New Roman" w:eastAsia="Times New Roman" w:hAnsi="Times New Roman" w:cs="Times New Roman"/>
          <w:sz w:val="24"/>
          <w:szCs w:val="24"/>
        </w:rPr>
        <w:t xml:space="preserve">do IBGE </w:t>
      </w:r>
      <w:r>
        <w:rPr>
          <w:rFonts w:ascii="Times New Roman" w:eastAsia="Times New Roman" w:hAnsi="Times New Roman" w:cs="Times New Roman"/>
          <w:sz w:val="24"/>
          <w:szCs w:val="24"/>
        </w:rPr>
        <w:t xml:space="preserve">de </w:t>
      </w:r>
      <w:r w:rsidRPr="007D6F8B">
        <w:rPr>
          <w:rFonts w:ascii="Times New Roman" w:eastAsia="Times New Roman" w:hAnsi="Times New Roman" w:cs="Times New Roman"/>
          <w:sz w:val="24"/>
          <w:szCs w:val="24"/>
        </w:rPr>
        <w:t>2019</w:t>
      </w:r>
      <w:r>
        <w:rPr>
          <w:rFonts w:ascii="Times New Roman" w:eastAsia="Times New Roman" w:hAnsi="Times New Roman" w:cs="Times New Roman"/>
          <w:sz w:val="24"/>
          <w:szCs w:val="24"/>
        </w:rPr>
        <w:t>,</w:t>
      </w:r>
      <w:r w:rsidRPr="007D6F8B">
        <w:rPr>
          <w:rFonts w:ascii="Times New Roman" w:eastAsia="Times New Roman" w:hAnsi="Times New Roman" w:cs="Times New Roman"/>
          <w:sz w:val="24"/>
          <w:szCs w:val="24"/>
        </w:rPr>
        <w:t xml:space="preserve"> que demonstrou que a compra do grupo de cereais, leguminosas e oleaginosas caiu de 10% para 5% do peso total consumido pelas famílias brasileiras entre 2002 e 2018. </w:t>
      </w:r>
    </w:p>
    <w:p w14:paraId="49537D9F" w14:textId="77777777" w:rsidR="00D17B2B" w:rsidRDefault="00D17B2B" w:rsidP="00D17B2B">
      <w:pPr>
        <w:spacing w:after="0" w:line="360" w:lineRule="auto"/>
        <w:ind w:firstLine="720"/>
        <w:jc w:val="both"/>
        <w:rPr>
          <w:rFonts w:ascii="Times New Roman" w:hAnsi="Times New Roman" w:cs="Times New Roman"/>
          <w:sz w:val="24"/>
          <w:szCs w:val="24"/>
        </w:rPr>
      </w:pPr>
      <w:r w:rsidRPr="007D6F8B">
        <w:rPr>
          <w:rFonts w:ascii="Times New Roman" w:eastAsia="Times New Roman" w:hAnsi="Times New Roman" w:cs="Times New Roman"/>
          <w:sz w:val="24"/>
          <w:szCs w:val="24"/>
        </w:rPr>
        <w:t xml:space="preserve">Ou seja, a autora argumenta que os supermercados são um pilar fundamental da difusão do alimento-mercadoria no Brasil, e se tornaram os “mais importantes centros de comercialização dos alimentos processados e </w:t>
      </w:r>
      <w:proofErr w:type="spellStart"/>
      <w:r w:rsidRPr="007D6F8B">
        <w:rPr>
          <w:rFonts w:ascii="Times New Roman" w:eastAsia="Times New Roman" w:hAnsi="Times New Roman" w:cs="Times New Roman"/>
          <w:sz w:val="24"/>
          <w:szCs w:val="24"/>
        </w:rPr>
        <w:t>ultraprocessados</w:t>
      </w:r>
      <w:proofErr w:type="spellEnd"/>
      <w:r w:rsidRPr="007D6F8B">
        <w:rPr>
          <w:rFonts w:ascii="Times New Roman" w:eastAsia="Times New Roman" w:hAnsi="Times New Roman" w:cs="Times New Roman"/>
          <w:sz w:val="24"/>
          <w:szCs w:val="24"/>
        </w:rPr>
        <w:t xml:space="preserve">”. (ELIAS, 2021, p. 20). A autora acrescenta que “Faz-se importante citar que a entrada da empresa francesa Carrefour no país, em 1975, foi um marco para muitas mudanças no segmento, quando introduziu novos métodos de trabalho, novo layout e mix de mercadorias nas lojas”. (ELIAS, 2021, p. 21). Hoje o Carrefour, maior rede supermercadista no Brasil, possui cerca de 880 lojas e investe fortemente em </w:t>
      </w:r>
      <w:proofErr w:type="spellStart"/>
      <w:r w:rsidRPr="007D6F8B">
        <w:rPr>
          <w:rFonts w:ascii="Times New Roman" w:eastAsia="Times New Roman" w:hAnsi="Times New Roman" w:cs="Times New Roman"/>
          <w:sz w:val="24"/>
          <w:szCs w:val="24"/>
        </w:rPr>
        <w:t>atacarejos</w:t>
      </w:r>
      <w:proofErr w:type="spellEnd"/>
      <w:r>
        <w:rPr>
          <w:rFonts w:ascii="Times New Roman" w:eastAsia="Times New Roman" w:hAnsi="Times New Roman" w:cs="Times New Roman"/>
          <w:sz w:val="24"/>
          <w:szCs w:val="24"/>
        </w:rPr>
        <w:t>, através da bandeira Atacadão.</w:t>
      </w:r>
    </w:p>
    <w:p w14:paraId="23070B37" w14:textId="77777777" w:rsidR="00D17B2B" w:rsidRPr="0054528D" w:rsidRDefault="00D17B2B" w:rsidP="00D17B2B">
      <w:pPr>
        <w:spacing w:after="0" w:line="360" w:lineRule="auto"/>
        <w:ind w:firstLine="720"/>
        <w:jc w:val="both"/>
        <w:rPr>
          <w:rFonts w:ascii="Times New Roman" w:hAnsi="Times New Roman" w:cs="Times New Roman"/>
          <w:sz w:val="24"/>
          <w:szCs w:val="24"/>
        </w:rPr>
      </w:pPr>
    </w:p>
    <w:p w14:paraId="6045F746" w14:textId="77777777" w:rsidR="00D17B2B" w:rsidRPr="00DB64B6" w:rsidRDefault="00D17B2B" w:rsidP="00D17B2B">
      <w:pPr>
        <w:spacing w:after="0" w:line="360" w:lineRule="auto"/>
        <w:rPr>
          <w:rFonts w:ascii="Times New Roman" w:eastAsia="Times New Roman" w:hAnsi="Times New Roman" w:cs="Times New Roman"/>
          <w:b/>
          <w:i/>
        </w:rPr>
      </w:pPr>
      <w:r w:rsidRPr="001C7B68">
        <w:rPr>
          <w:rFonts w:ascii="Times New Roman" w:eastAsia="Times New Roman" w:hAnsi="Times New Roman" w:cs="Times New Roman"/>
          <w:b/>
        </w:rPr>
        <w:t>3 REDES DE MÚLTIPLAS FILIAIS DO RAMO ALIMENTÍCIO E O MODELO ATACAREJO</w:t>
      </w:r>
    </w:p>
    <w:p w14:paraId="772C1E67" w14:textId="77777777" w:rsidR="00D17B2B" w:rsidRPr="00DB64B6" w:rsidRDefault="00D17B2B" w:rsidP="00D17B2B">
      <w:pPr>
        <w:spacing w:after="0" w:line="360" w:lineRule="auto"/>
        <w:ind w:firstLine="720"/>
        <w:jc w:val="both"/>
        <w:rPr>
          <w:rFonts w:ascii="Times New Roman" w:eastAsia="Times New Roman" w:hAnsi="Times New Roman" w:cs="Times New Roman"/>
          <w:sz w:val="24"/>
          <w:szCs w:val="24"/>
        </w:rPr>
      </w:pPr>
      <w:r w:rsidRPr="00DB64B6">
        <w:rPr>
          <w:rFonts w:ascii="Times New Roman" w:eastAsia="Times New Roman" w:hAnsi="Times New Roman" w:cs="Times New Roman"/>
          <w:sz w:val="24"/>
          <w:szCs w:val="24"/>
        </w:rPr>
        <w:t xml:space="preserve">O varejo alimentar no Brasil viveu uma grande transição a partir da década de 1950, acompanhando transformações socioeconômicas e espaciais, como o avanço da industrialização e as migrações campo-cidade, além do crescimento urbano decorrente. O formato antigo, de venda de balcão, foi perdendo espaço para um varejo moderno. </w:t>
      </w:r>
    </w:p>
    <w:p w14:paraId="72975DC9" w14:textId="77777777" w:rsidR="00D17B2B" w:rsidRPr="00DB64B6" w:rsidRDefault="00D17B2B" w:rsidP="00D17B2B">
      <w:pPr>
        <w:spacing w:after="0" w:line="360" w:lineRule="auto"/>
        <w:ind w:firstLine="720"/>
        <w:jc w:val="both"/>
        <w:rPr>
          <w:rFonts w:ascii="Times New Roman" w:eastAsia="Times New Roman" w:hAnsi="Times New Roman" w:cs="Times New Roman"/>
          <w:sz w:val="24"/>
          <w:szCs w:val="24"/>
        </w:rPr>
      </w:pPr>
      <w:r w:rsidRPr="00DB64B6">
        <w:rPr>
          <w:rFonts w:ascii="Times New Roman" w:eastAsia="Times New Roman" w:hAnsi="Times New Roman" w:cs="Times New Roman"/>
          <w:sz w:val="24"/>
          <w:szCs w:val="24"/>
        </w:rPr>
        <w:t xml:space="preserve">Segundo </w:t>
      </w:r>
      <w:r w:rsidRPr="00431157">
        <w:rPr>
          <w:rFonts w:ascii="Times New Roman" w:eastAsia="Times New Roman" w:hAnsi="Times New Roman" w:cs="Times New Roman"/>
          <w:color w:val="000000" w:themeColor="text1"/>
          <w:sz w:val="24"/>
          <w:szCs w:val="24"/>
        </w:rPr>
        <w:t xml:space="preserve">Peres e </w:t>
      </w:r>
      <w:proofErr w:type="spellStart"/>
      <w:r w:rsidRPr="00431157">
        <w:rPr>
          <w:rFonts w:ascii="Times New Roman" w:eastAsia="Times New Roman" w:hAnsi="Times New Roman" w:cs="Times New Roman"/>
          <w:color w:val="000000" w:themeColor="text1"/>
          <w:sz w:val="24"/>
          <w:szCs w:val="24"/>
        </w:rPr>
        <w:t>Matioli</w:t>
      </w:r>
      <w:proofErr w:type="spellEnd"/>
      <w:r w:rsidRPr="00431157">
        <w:rPr>
          <w:rFonts w:ascii="Times New Roman" w:eastAsia="Times New Roman" w:hAnsi="Times New Roman" w:cs="Times New Roman"/>
          <w:color w:val="000000" w:themeColor="text1"/>
          <w:sz w:val="24"/>
          <w:szCs w:val="24"/>
        </w:rPr>
        <w:t xml:space="preserve"> (2020) o </w:t>
      </w:r>
      <w:r w:rsidRPr="00DB64B6">
        <w:rPr>
          <w:rFonts w:ascii="Times New Roman" w:eastAsia="Times New Roman" w:hAnsi="Times New Roman" w:cs="Times New Roman"/>
          <w:sz w:val="24"/>
          <w:szCs w:val="24"/>
        </w:rPr>
        <w:t>varejo brasileiro se organiza na contemporaneidade em varejo tradicional e varejo estruturado</w:t>
      </w:r>
      <w:r>
        <w:rPr>
          <w:rFonts w:ascii="Times New Roman" w:eastAsia="Times New Roman" w:hAnsi="Times New Roman" w:cs="Times New Roman"/>
          <w:sz w:val="24"/>
          <w:szCs w:val="24"/>
        </w:rPr>
        <w:t>, ou moderno</w:t>
      </w:r>
      <w:r w:rsidRPr="00DB64B6">
        <w:rPr>
          <w:rFonts w:ascii="Times New Roman" w:eastAsia="Times New Roman" w:hAnsi="Times New Roman" w:cs="Times New Roman"/>
          <w:sz w:val="24"/>
          <w:szCs w:val="24"/>
        </w:rPr>
        <w:t xml:space="preserve">. O varejo tradicional é representado por pequenas empresas não organizadas em redes que possuem geralmente um caixa (PERES, MATIOLI, 2020) e têm vínculo com um território mais próximo (o bairro, por exemplo). São os mercados de vizinhança. </w:t>
      </w:r>
    </w:p>
    <w:p w14:paraId="33F5D857" w14:textId="77777777" w:rsidR="00D17B2B" w:rsidRPr="00DB64B6" w:rsidRDefault="00D17B2B" w:rsidP="00D17B2B">
      <w:pPr>
        <w:spacing w:after="0" w:line="360" w:lineRule="auto"/>
        <w:ind w:firstLine="720"/>
        <w:jc w:val="both"/>
        <w:rPr>
          <w:rFonts w:ascii="Times New Roman" w:eastAsia="Times New Roman" w:hAnsi="Times New Roman" w:cs="Times New Roman"/>
          <w:sz w:val="24"/>
          <w:szCs w:val="24"/>
        </w:rPr>
      </w:pPr>
      <w:r w:rsidRPr="00DB64B6">
        <w:rPr>
          <w:rFonts w:ascii="Times New Roman" w:eastAsia="Times New Roman" w:hAnsi="Times New Roman" w:cs="Times New Roman"/>
          <w:sz w:val="24"/>
          <w:szCs w:val="24"/>
        </w:rPr>
        <w:t>O varejo estruturado é representado por grandes empresas, por vezes corporações, comumente organizadas em rede (PERES, MATIOLI, 2020). Fazem parte desse grupo os supermercados, hipermercados e</w:t>
      </w:r>
      <w:r>
        <w:rPr>
          <w:rFonts w:ascii="Times New Roman" w:eastAsia="Times New Roman" w:hAnsi="Times New Roman" w:cs="Times New Roman"/>
          <w:sz w:val="24"/>
          <w:szCs w:val="24"/>
        </w:rPr>
        <w:t xml:space="preserve"> </w:t>
      </w:r>
      <w:r w:rsidRPr="00DB64B6">
        <w:rPr>
          <w:rFonts w:ascii="Times New Roman" w:eastAsia="Times New Roman" w:hAnsi="Times New Roman" w:cs="Times New Roman"/>
          <w:sz w:val="24"/>
          <w:szCs w:val="24"/>
        </w:rPr>
        <w:t xml:space="preserve">os </w:t>
      </w:r>
      <w:proofErr w:type="spellStart"/>
      <w:r w:rsidRPr="00DB64B6">
        <w:rPr>
          <w:rFonts w:ascii="Times New Roman" w:eastAsia="Times New Roman" w:hAnsi="Times New Roman" w:cs="Times New Roman"/>
          <w:sz w:val="24"/>
          <w:szCs w:val="24"/>
        </w:rPr>
        <w:t>atacarejos</w:t>
      </w:r>
      <w:proofErr w:type="spellEnd"/>
      <w:r w:rsidRPr="00DB64B6">
        <w:rPr>
          <w:rFonts w:ascii="Times New Roman" w:eastAsia="Times New Roman" w:hAnsi="Times New Roman" w:cs="Times New Roman"/>
          <w:sz w:val="24"/>
          <w:szCs w:val="24"/>
        </w:rPr>
        <w:t xml:space="preserve">. Como diferencial, esses estabelecimentos </w:t>
      </w:r>
      <w:r w:rsidRPr="00DB64B6">
        <w:rPr>
          <w:rFonts w:ascii="Times New Roman" w:eastAsia="Times New Roman" w:hAnsi="Times New Roman" w:cs="Times New Roman"/>
          <w:sz w:val="24"/>
          <w:szCs w:val="24"/>
        </w:rPr>
        <w:lastRenderedPageBreak/>
        <w:t>passam a reunir diversas seções (padaria, açougue, hortifruti, não perecíveis, laticínios etc.) e inclusive podem apresentar departamentos (cama, mesa e banho ou eletrodomésticos, por exemplo). Dentre os maiores modelos do varejo estruturado, tem-se percebido o aumento de estabelecimentos que aplicam os sistemas conhecidos como self-service</w:t>
      </w:r>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auto-serviço</w:t>
      </w:r>
      <w:proofErr w:type="spellEnd"/>
      <w:proofErr w:type="gramEnd"/>
      <w:r>
        <w:rPr>
          <w:rFonts w:ascii="Times New Roman" w:eastAsia="Times New Roman" w:hAnsi="Times New Roman" w:cs="Times New Roman"/>
          <w:sz w:val="24"/>
          <w:szCs w:val="24"/>
        </w:rPr>
        <w:t>)</w:t>
      </w:r>
      <w:r w:rsidRPr="00DB64B6">
        <w:rPr>
          <w:rFonts w:ascii="Times New Roman" w:eastAsia="Times New Roman" w:hAnsi="Times New Roman" w:cs="Times New Roman"/>
          <w:sz w:val="24"/>
          <w:szCs w:val="24"/>
        </w:rPr>
        <w:t xml:space="preserve"> e cash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sidRPr="00DB64B6">
        <w:rPr>
          <w:rFonts w:ascii="Times New Roman" w:eastAsia="Times New Roman" w:hAnsi="Times New Roman" w:cs="Times New Roman"/>
          <w:sz w:val="24"/>
          <w:szCs w:val="24"/>
        </w:rPr>
        <w:t>carry</w:t>
      </w:r>
      <w:proofErr w:type="spellEnd"/>
      <w:r w:rsidRPr="00DB64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(pegue e leve) </w:t>
      </w:r>
      <w:r w:rsidRPr="00DB64B6">
        <w:rPr>
          <w:rFonts w:ascii="Times New Roman" w:eastAsia="Times New Roman" w:hAnsi="Times New Roman" w:cs="Times New Roman"/>
          <w:sz w:val="24"/>
          <w:szCs w:val="24"/>
        </w:rPr>
        <w:t>em suas lojas.</w:t>
      </w:r>
    </w:p>
    <w:p w14:paraId="79793FDE" w14:textId="77777777" w:rsidR="00D17B2B" w:rsidRPr="00C34B3F" w:rsidRDefault="00D17B2B" w:rsidP="00D17B2B">
      <w:pPr>
        <w:spacing w:after="0" w:line="360" w:lineRule="auto"/>
        <w:ind w:firstLine="720"/>
        <w:jc w:val="both"/>
        <w:rPr>
          <w:rFonts w:ascii="Times New Roman" w:eastAsia="Times New Roman" w:hAnsi="Times New Roman" w:cs="Times New Roman"/>
          <w:sz w:val="24"/>
          <w:szCs w:val="24"/>
        </w:rPr>
      </w:pPr>
      <w:r w:rsidRPr="00DB64B6">
        <w:rPr>
          <w:rFonts w:ascii="Times New Roman" w:eastAsia="Times New Roman" w:hAnsi="Times New Roman" w:cs="Times New Roman"/>
          <w:sz w:val="24"/>
          <w:szCs w:val="24"/>
        </w:rPr>
        <w:t>O modo de venda self-service</w:t>
      </w:r>
      <w:r>
        <w:rPr>
          <w:rFonts w:ascii="Times New Roman" w:eastAsia="Times New Roman" w:hAnsi="Times New Roman" w:cs="Times New Roman"/>
          <w:sz w:val="24"/>
          <w:szCs w:val="24"/>
        </w:rPr>
        <w:t xml:space="preserve"> adota</w:t>
      </w:r>
      <w:r w:rsidRPr="00DB64B6">
        <w:rPr>
          <w:rFonts w:ascii="Times New Roman" w:eastAsia="Times New Roman" w:hAnsi="Times New Roman" w:cs="Times New Roman"/>
          <w:sz w:val="24"/>
          <w:szCs w:val="24"/>
        </w:rPr>
        <w:t xml:space="preserve"> no Brasil o nome de </w:t>
      </w:r>
      <w:proofErr w:type="spellStart"/>
      <w:proofErr w:type="gramStart"/>
      <w:r w:rsidRPr="00DB64B6">
        <w:rPr>
          <w:rFonts w:ascii="Times New Roman" w:eastAsia="Times New Roman" w:hAnsi="Times New Roman" w:cs="Times New Roman"/>
          <w:sz w:val="24"/>
          <w:szCs w:val="24"/>
        </w:rPr>
        <w:t>auto-serviço</w:t>
      </w:r>
      <w:proofErr w:type="spellEnd"/>
      <w:proofErr w:type="gramEnd"/>
      <w:r w:rsidRPr="00DB64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sendo</w:t>
      </w:r>
      <w:r w:rsidRPr="00DB64B6">
        <w:rPr>
          <w:rFonts w:ascii="Times New Roman" w:eastAsia="Times New Roman" w:hAnsi="Times New Roman" w:cs="Times New Roman"/>
          <w:sz w:val="24"/>
          <w:szCs w:val="24"/>
        </w:rPr>
        <w:t xml:space="preserve"> aquele em que o consumidor realiza todo o processo de compra até a chegada nos caixas de pagamento sem auxílio de funcionários da </w:t>
      </w:r>
      <w:r w:rsidRPr="007B110A">
        <w:rPr>
          <w:rFonts w:ascii="Times New Roman" w:eastAsia="Times New Roman" w:hAnsi="Times New Roman" w:cs="Times New Roman"/>
          <w:color w:val="000000" w:themeColor="text1"/>
          <w:sz w:val="24"/>
          <w:szCs w:val="24"/>
        </w:rPr>
        <w:t>loja (</w:t>
      </w:r>
      <w:r w:rsidRPr="007B110A">
        <w:rPr>
          <w:rFonts w:ascii="Times New Roman" w:hAnsi="Times New Roman" w:cs="Times New Roman"/>
          <w:color w:val="000000" w:themeColor="text1"/>
          <w:sz w:val="24"/>
          <w:szCs w:val="24"/>
        </w:rPr>
        <w:t>TUON; MOISES; MINADEO, 2011</w:t>
      </w:r>
      <w:r w:rsidRPr="007B110A">
        <w:rPr>
          <w:rFonts w:ascii="Times New Roman" w:eastAsia="Times New Roman" w:hAnsi="Times New Roman" w:cs="Times New Roman"/>
          <w:color w:val="000000" w:themeColor="text1"/>
          <w:sz w:val="24"/>
          <w:szCs w:val="24"/>
        </w:rPr>
        <w:t xml:space="preserve">). </w:t>
      </w:r>
      <w:r w:rsidRPr="00DB64B6">
        <w:rPr>
          <w:rFonts w:ascii="Times New Roman" w:eastAsia="Times New Roman" w:hAnsi="Times New Roman" w:cs="Times New Roman"/>
          <w:sz w:val="24"/>
          <w:szCs w:val="24"/>
        </w:rPr>
        <w:t xml:space="preserve">Philip Kotler, economista </w:t>
      </w:r>
      <w:r>
        <w:rPr>
          <w:rFonts w:ascii="Times New Roman" w:eastAsia="Times New Roman" w:hAnsi="Times New Roman" w:cs="Times New Roman"/>
          <w:sz w:val="24"/>
          <w:szCs w:val="24"/>
        </w:rPr>
        <w:t>estadunidense</w:t>
      </w:r>
      <w:r w:rsidRPr="00DB64B6">
        <w:rPr>
          <w:rFonts w:ascii="Times New Roman" w:eastAsia="Times New Roman" w:hAnsi="Times New Roman" w:cs="Times New Roman"/>
          <w:sz w:val="24"/>
          <w:szCs w:val="24"/>
        </w:rPr>
        <w:t xml:space="preserve">, afirma que </w:t>
      </w:r>
      <w:r w:rsidRPr="00DB64B6">
        <w:rPr>
          <w:rFonts w:ascii="Times New Roman" w:eastAsia="Times New Roman" w:hAnsi="Times New Roman" w:cs="Times New Roman"/>
          <w:color w:val="202124"/>
          <w:sz w:val="24"/>
          <w:szCs w:val="24"/>
          <w:highlight w:val="white"/>
        </w:rPr>
        <w:t>“</w:t>
      </w:r>
      <w:r w:rsidRPr="00DB64B6">
        <w:rPr>
          <w:rFonts w:ascii="Times New Roman" w:eastAsia="Times New Roman" w:hAnsi="Times New Roman" w:cs="Times New Roman"/>
          <w:sz w:val="24"/>
          <w:szCs w:val="24"/>
        </w:rPr>
        <w:t>o autosserviço é a base de todas as operações de desconto. Em nome da economia, muitos clientes se dispõem a conduzir sozinhos seu processo de procura, comparação e seleção de produtos</w:t>
      </w:r>
      <w:r w:rsidRPr="00DB64B6">
        <w:rPr>
          <w:rFonts w:ascii="Times New Roman" w:eastAsia="Times New Roman" w:hAnsi="Times New Roman" w:cs="Times New Roman"/>
          <w:color w:val="202124"/>
          <w:sz w:val="24"/>
          <w:szCs w:val="24"/>
          <w:highlight w:val="white"/>
        </w:rPr>
        <w:t>”</w:t>
      </w:r>
      <w:r w:rsidRPr="00DB64B6">
        <w:rPr>
          <w:rFonts w:ascii="Times New Roman" w:eastAsia="Times New Roman" w:hAnsi="Times New Roman" w:cs="Times New Roman"/>
          <w:sz w:val="24"/>
          <w:szCs w:val="24"/>
        </w:rPr>
        <w:t xml:space="preserve"> </w:t>
      </w:r>
      <w:r w:rsidRPr="007B110A">
        <w:rPr>
          <w:rFonts w:ascii="Times New Roman" w:eastAsia="Times New Roman" w:hAnsi="Times New Roman" w:cs="Times New Roman"/>
          <w:color w:val="000000" w:themeColor="text1"/>
          <w:sz w:val="24"/>
          <w:szCs w:val="24"/>
        </w:rPr>
        <w:t>(KOTLER, 1998, p. 483)</w:t>
      </w:r>
      <w:r>
        <w:rPr>
          <w:rFonts w:ascii="Times New Roman" w:eastAsia="Times New Roman" w:hAnsi="Times New Roman" w:cs="Times New Roman"/>
          <w:color w:val="000000" w:themeColor="text1"/>
          <w:sz w:val="24"/>
          <w:szCs w:val="24"/>
        </w:rPr>
        <w:t>,</w:t>
      </w:r>
      <w:r w:rsidRPr="00DB64B6">
        <w:rPr>
          <w:rFonts w:ascii="Times New Roman" w:eastAsia="Times New Roman" w:hAnsi="Times New Roman" w:cs="Times New Roman"/>
          <w:sz w:val="24"/>
          <w:szCs w:val="24"/>
        </w:rPr>
        <w:t xml:space="preserve"> o diferencia</w:t>
      </w:r>
      <w:r>
        <w:rPr>
          <w:rFonts w:ascii="Times New Roman" w:eastAsia="Times New Roman" w:hAnsi="Times New Roman" w:cs="Times New Roman"/>
          <w:sz w:val="24"/>
          <w:szCs w:val="24"/>
        </w:rPr>
        <w:t>ndo ainda</w:t>
      </w:r>
      <w:r w:rsidRPr="00DB64B6">
        <w:rPr>
          <w:rFonts w:ascii="Times New Roman" w:eastAsia="Times New Roman" w:hAnsi="Times New Roman" w:cs="Times New Roman"/>
          <w:sz w:val="24"/>
          <w:szCs w:val="24"/>
        </w:rPr>
        <w:t xml:space="preserve"> do autoatendimento, em que o consumidor compra sozinho, mas </w:t>
      </w:r>
      <w:r>
        <w:rPr>
          <w:rFonts w:ascii="Times New Roman" w:eastAsia="Times New Roman" w:hAnsi="Times New Roman" w:cs="Times New Roman"/>
          <w:sz w:val="24"/>
          <w:szCs w:val="24"/>
        </w:rPr>
        <w:t>pode ter</w:t>
      </w:r>
      <w:r w:rsidRPr="00DB64B6">
        <w:rPr>
          <w:rFonts w:ascii="Times New Roman" w:eastAsia="Times New Roman" w:hAnsi="Times New Roman" w:cs="Times New Roman"/>
          <w:sz w:val="24"/>
          <w:szCs w:val="24"/>
        </w:rPr>
        <w:t xml:space="preserve"> assistência de funcionário se preferir. Nota-se que a vantagem em termos de custo se estabelece a partir da diminuição dos postos de trabalho</w:t>
      </w:r>
      <w:r>
        <w:rPr>
          <w:rFonts w:ascii="Times New Roman" w:eastAsia="Times New Roman" w:hAnsi="Times New Roman" w:cs="Times New Roman"/>
          <w:sz w:val="24"/>
          <w:szCs w:val="24"/>
        </w:rPr>
        <w:t xml:space="preserve">, o que veremos adiante que o modelo de </w:t>
      </w:r>
      <w:proofErr w:type="spellStart"/>
      <w:r>
        <w:rPr>
          <w:rFonts w:ascii="Times New Roman" w:eastAsia="Times New Roman" w:hAnsi="Times New Roman" w:cs="Times New Roman"/>
          <w:sz w:val="24"/>
          <w:szCs w:val="24"/>
        </w:rPr>
        <w:t>atacarejo</w:t>
      </w:r>
      <w:proofErr w:type="spellEnd"/>
      <w:r>
        <w:rPr>
          <w:rFonts w:ascii="Times New Roman" w:eastAsia="Times New Roman" w:hAnsi="Times New Roman" w:cs="Times New Roman"/>
          <w:sz w:val="24"/>
          <w:szCs w:val="24"/>
        </w:rPr>
        <w:t xml:space="preserve"> procura aprofundar. </w:t>
      </w:r>
      <w:r w:rsidRPr="00DB64B6">
        <w:rPr>
          <w:rFonts w:ascii="Times New Roman" w:eastAsia="Times New Roman" w:hAnsi="Times New Roman" w:cs="Times New Roman"/>
          <w:sz w:val="24"/>
          <w:szCs w:val="24"/>
        </w:rPr>
        <w:t xml:space="preserve"> No contexto brasileiro, os primeiros supermercados</w:t>
      </w:r>
      <w:r>
        <w:rPr>
          <w:rFonts w:ascii="Times New Roman" w:eastAsia="Times New Roman" w:hAnsi="Times New Roman" w:cs="Times New Roman"/>
          <w:sz w:val="24"/>
          <w:szCs w:val="24"/>
        </w:rPr>
        <w:t xml:space="preserve"> surgem</w:t>
      </w:r>
      <w:r w:rsidRPr="00DB64B6">
        <w:rPr>
          <w:rFonts w:ascii="Times New Roman" w:eastAsia="Times New Roman" w:hAnsi="Times New Roman" w:cs="Times New Roman"/>
          <w:sz w:val="24"/>
          <w:szCs w:val="24"/>
        </w:rPr>
        <w:t xml:space="preserve"> em 1950 </w:t>
      </w:r>
      <w:r>
        <w:rPr>
          <w:rFonts w:ascii="Times New Roman" w:eastAsia="Times New Roman" w:hAnsi="Times New Roman" w:cs="Times New Roman"/>
          <w:sz w:val="24"/>
          <w:szCs w:val="24"/>
        </w:rPr>
        <w:t>e</w:t>
      </w:r>
      <w:r w:rsidRPr="00DB64B6">
        <w:rPr>
          <w:rFonts w:ascii="Times New Roman" w:eastAsia="Times New Roman" w:hAnsi="Times New Roman" w:cs="Times New Roman"/>
          <w:sz w:val="24"/>
          <w:szCs w:val="24"/>
        </w:rPr>
        <w:t xml:space="preserve"> o modelo de </w:t>
      </w:r>
      <w:proofErr w:type="spellStart"/>
      <w:proofErr w:type="gramStart"/>
      <w:r w:rsidRPr="00DB64B6">
        <w:rPr>
          <w:rFonts w:ascii="Times New Roman" w:eastAsia="Times New Roman" w:hAnsi="Times New Roman" w:cs="Times New Roman"/>
          <w:sz w:val="24"/>
          <w:szCs w:val="24"/>
        </w:rPr>
        <w:t>auto-serviço</w:t>
      </w:r>
      <w:proofErr w:type="spellEnd"/>
      <w:proofErr w:type="gramEnd"/>
      <w:r w:rsidRPr="00DB64B6">
        <w:rPr>
          <w:rFonts w:ascii="Times New Roman" w:eastAsia="Times New Roman" w:hAnsi="Times New Roman" w:cs="Times New Roman"/>
          <w:sz w:val="24"/>
          <w:szCs w:val="24"/>
        </w:rPr>
        <w:t xml:space="preserve"> é inserido </w:t>
      </w:r>
      <w:r>
        <w:rPr>
          <w:rFonts w:ascii="Times New Roman" w:eastAsia="Times New Roman" w:hAnsi="Times New Roman" w:cs="Times New Roman"/>
          <w:sz w:val="24"/>
          <w:szCs w:val="24"/>
        </w:rPr>
        <w:t xml:space="preserve">logo </w:t>
      </w:r>
      <w:r w:rsidRPr="00DB64B6">
        <w:rPr>
          <w:rFonts w:ascii="Times New Roman" w:eastAsia="Times New Roman" w:hAnsi="Times New Roman" w:cs="Times New Roman"/>
          <w:sz w:val="24"/>
          <w:szCs w:val="24"/>
        </w:rPr>
        <w:t xml:space="preserve">em 1952, a partir das Lojas Americanas </w:t>
      </w:r>
      <w:r w:rsidRPr="007B110A">
        <w:rPr>
          <w:rFonts w:ascii="Times New Roman" w:eastAsia="Times New Roman" w:hAnsi="Times New Roman" w:cs="Times New Roman"/>
          <w:color w:val="000000" w:themeColor="text1"/>
          <w:sz w:val="24"/>
          <w:szCs w:val="24"/>
        </w:rPr>
        <w:t>(</w:t>
      </w:r>
      <w:r w:rsidRPr="007B110A">
        <w:rPr>
          <w:rFonts w:ascii="Times New Roman" w:hAnsi="Times New Roman" w:cs="Times New Roman"/>
          <w:color w:val="000000" w:themeColor="text1"/>
          <w:sz w:val="24"/>
          <w:szCs w:val="24"/>
        </w:rPr>
        <w:t>TUON; MOISES; MINADEO, 2011</w:t>
      </w:r>
      <w:r w:rsidRPr="007B110A">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Já o cash </w:t>
      </w:r>
      <w:proofErr w:type="spellStart"/>
      <w:r>
        <w:rPr>
          <w:rFonts w:ascii="Times New Roman" w:eastAsia="Times New Roman" w:hAnsi="Times New Roman" w:cs="Times New Roman"/>
          <w:color w:val="000000" w:themeColor="text1"/>
          <w:sz w:val="24"/>
          <w:szCs w:val="24"/>
        </w:rPr>
        <w:t>and</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carry</w:t>
      </w:r>
      <w:proofErr w:type="spellEnd"/>
      <w:r>
        <w:rPr>
          <w:rFonts w:ascii="Times New Roman" w:eastAsia="Times New Roman" w:hAnsi="Times New Roman" w:cs="Times New Roman"/>
          <w:color w:val="000000" w:themeColor="text1"/>
          <w:sz w:val="24"/>
          <w:szCs w:val="24"/>
        </w:rPr>
        <w:t xml:space="preserve"> representa a possibilidade de escolha do produto diretamente na gôndola, também sem contar com vendedores, podendo este ser prontamente adquirido e entregue. </w:t>
      </w:r>
    </w:p>
    <w:p w14:paraId="3B9425AE" w14:textId="77777777" w:rsidR="00D17B2B" w:rsidRPr="0054528D" w:rsidRDefault="00D17B2B" w:rsidP="00D17B2B">
      <w:pPr>
        <w:spacing w:after="0" w:line="360" w:lineRule="auto"/>
        <w:ind w:firstLine="720"/>
        <w:jc w:val="both"/>
        <w:rPr>
          <w:rFonts w:ascii="Times New Roman" w:eastAsia="Times New Roman" w:hAnsi="Times New Roman" w:cs="Times New Roman"/>
          <w:sz w:val="24"/>
          <w:szCs w:val="24"/>
        </w:rPr>
      </w:pPr>
      <w:r w:rsidRPr="00DB64B6">
        <w:rPr>
          <w:rFonts w:ascii="Times New Roman" w:eastAsia="Times New Roman" w:hAnsi="Times New Roman" w:cs="Times New Roman"/>
          <w:sz w:val="24"/>
          <w:szCs w:val="24"/>
        </w:rPr>
        <w:t xml:space="preserve">No momento em que o comércio de alimentos se estrutura em um grande objeto espacial, passa a atender escalas mais amplas da cidade ou mesmo da região, apoiado por infraestruturas rodoviaristas. Tornam-se, em alguns casos, verdadeiros pontos de atração, especialmente quando reúnem outros serviços (como caixas eletrônicos, lotéricas etc.). Assim, atualmente, essas redes têm um grande poder de alterar ou gerar dinâmicas urbanas, conforme </w:t>
      </w:r>
      <w:r w:rsidRPr="0047318E">
        <w:rPr>
          <w:rFonts w:ascii="Times New Roman" w:eastAsia="Times New Roman" w:hAnsi="Times New Roman" w:cs="Times New Roman"/>
          <w:color w:val="000000" w:themeColor="text1"/>
          <w:sz w:val="24"/>
          <w:szCs w:val="24"/>
        </w:rPr>
        <w:t>fundamenta Santos (1994)</w:t>
      </w:r>
      <w:r>
        <w:rPr>
          <w:rFonts w:ascii="Times New Roman" w:eastAsia="Times New Roman" w:hAnsi="Times New Roman" w:cs="Times New Roman"/>
          <w:sz w:val="24"/>
          <w:szCs w:val="24"/>
        </w:rPr>
        <w:t>:</w:t>
      </w:r>
    </w:p>
    <w:p w14:paraId="3D764BC5" w14:textId="77777777" w:rsidR="00D17B2B" w:rsidRDefault="00D17B2B" w:rsidP="00D17B2B">
      <w:pPr>
        <w:spacing w:after="0" w:line="240" w:lineRule="auto"/>
        <w:ind w:left="2267"/>
        <w:jc w:val="both"/>
        <w:rPr>
          <w:rFonts w:ascii="Times New Roman" w:eastAsia="Times New Roman" w:hAnsi="Times New Roman" w:cs="Times New Roman"/>
          <w:color w:val="FF0000"/>
          <w:sz w:val="20"/>
          <w:szCs w:val="20"/>
        </w:rPr>
      </w:pPr>
      <w:r w:rsidRPr="001C7B68">
        <w:rPr>
          <w:rFonts w:ascii="Times New Roman" w:eastAsia="Times New Roman" w:hAnsi="Times New Roman" w:cs="Times New Roman"/>
          <w:sz w:val="20"/>
          <w:szCs w:val="20"/>
        </w:rPr>
        <w:t xml:space="preserve">Em áreas cada vez menos extensas, o conteúdo técnico-científico do espaço permite a produção de um mesmo produto em quantidades maiores e em tempo menor, rompendo os equilíbrios preexistentes e impondo outros, do ponto de vista da quantidade e da qualidade da população, dos capitais empregados, das formas de organização, das relações sociais etc. Ao mesmo tempo que aumenta a importância dos capitais fixos (estradas, portos, silos, terra arada etc.) e dos capitais constantes (maquinário, veículos, sementes especializadas, adubos, fungicidas etc.) aumenta </w:t>
      </w:r>
      <w:r w:rsidRPr="001C7B68">
        <w:rPr>
          <w:rFonts w:ascii="Times New Roman" w:eastAsia="Times New Roman" w:hAnsi="Times New Roman" w:cs="Times New Roman"/>
          <w:sz w:val="20"/>
          <w:szCs w:val="20"/>
        </w:rPr>
        <w:lastRenderedPageBreak/>
        <w:t xml:space="preserve">também a necessidade de movimento, crescendo o número e importância dos fluxos, incluindo o do dinheiro, e dando um relevo especial à vida de relações. </w:t>
      </w:r>
      <w:r w:rsidRPr="0047318E">
        <w:rPr>
          <w:rFonts w:ascii="Times New Roman" w:eastAsia="Times New Roman" w:hAnsi="Times New Roman" w:cs="Times New Roman"/>
          <w:color w:val="000000" w:themeColor="text1"/>
          <w:sz w:val="20"/>
          <w:szCs w:val="20"/>
        </w:rPr>
        <w:t xml:space="preserve">(SANTOS, 1994, p. 120-121). </w:t>
      </w:r>
    </w:p>
    <w:p w14:paraId="7E4589F2" w14:textId="77777777" w:rsidR="00D17B2B" w:rsidRPr="0054528D" w:rsidRDefault="00D17B2B" w:rsidP="00D17B2B">
      <w:pPr>
        <w:spacing w:after="0" w:line="240" w:lineRule="auto"/>
        <w:ind w:left="2267"/>
        <w:jc w:val="both"/>
        <w:rPr>
          <w:rFonts w:ascii="Times New Roman" w:eastAsia="Times New Roman" w:hAnsi="Times New Roman" w:cs="Times New Roman"/>
          <w:color w:val="FF0000"/>
          <w:sz w:val="20"/>
          <w:szCs w:val="20"/>
        </w:rPr>
      </w:pPr>
    </w:p>
    <w:p w14:paraId="4CCA10C2" w14:textId="77777777" w:rsidR="00D17B2B" w:rsidRPr="004D0BE2" w:rsidRDefault="00D17B2B" w:rsidP="00D17B2B">
      <w:pPr>
        <w:spacing w:after="0" w:line="360" w:lineRule="auto"/>
        <w:ind w:firstLine="720"/>
        <w:jc w:val="both"/>
        <w:rPr>
          <w:rFonts w:ascii="Times New Roman" w:eastAsia="Times New Roman" w:hAnsi="Times New Roman" w:cs="Times New Roman"/>
          <w:color w:val="FF0000"/>
          <w:sz w:val="24"/>
          <w:szCs w:val="24"/>
        </w:rPr>
      </w:pPr>
      <w:r w:rsidRPr="00DB64B6">
        <w:rPr>
          <w:rFonts w:ascii="Times New Roman" w:eastAsia="Times New Roman" w:hAnsi="Times New Roman" w:cs="Times New Roman"/>
          <w:sz w:val="24"/>
          <w:szCs w:val="24"/>
          <w:highlight w:val="white"/>
        </w:rPr>
        <w:t xml:space="preserve">Segundo Peres e </w:t>
      </w:r>
      <w:proofErr w:type="spellStart"/>
      <w:r w:rsidRPr="00DB64B6">
        <w:rPr>
          <w:rFonts w:ascii="Times New Roman" w:eastAsia="Times New Roman" w:hAnsi="Times New Roman" w:cs="Times New Roman"/>
          <w:sz w:val="24"/>
          <w:szCs w:val="24"/>
          <w:highlight w:val="white"/>
        </w:rPr>
        <w:t>Matioli</w:t>
      </w:r>
      <w:proofErr w:type="spellEnd"/>
      <w:r w:rsidRPr="00DB64B6">
        <w:rPr>
          <w:rFonts w:ascii="Times New Roman" w:eastAsia="Times New Roman" w:hAnsi="Times New Roman" w:cs="Times New Roman"/>
          <w:sz w:val="24"/>
          <w:szCs w:val="24"/>
          <w:highlight w:val="white"/>
        </w:rPr>
        <w:t xml:space="preserve"> (2020) um protótipo do que hoje conhecemos como </w:t>
      </w:r>
      <w:proofErr w:type="spellStart"/>
      <w:r w:rsidRPr="00DB64B6">
        <w:rPr>
          <w:rFonts w:ascii="Times New Roman" w:eastAsia="Times New Roman" w:hAnsi="Times New Roman" w:cs="Times New Roman"/>
          <w:sz w:val="24"/>
          <w:szCs w:val="24"/>
          <w:highlight w:val="white"/>
        </w:rPr>
        <w:t>atacarejo</w:t>
      </w:r>
      <w:proofErr w:type="spellEnd"/>
      <w:r w:rsidRPr="00DB64B6">
        <w:rPr>
          <w:rFonts w:ascii="Times New Roman" w:eastAsia="Times New Roman" w:hAnsi="Times New Roman" w:cs="Times New Roman"/>
          <w:sz w:val="24"/>
          <w:szCs w:val="24"/>
          <w:highlight w:val="white"/>
        </w:rPr>
        <w:t xml:space="preserve"> surge no Brasil em 1978, quando a rede de supermercados Riachuelo inaugurou uma filial com estrutura enxuta e proposta de oferecer menor variedade com preços baixos, em Joinville</w:t>
      </w:r>
      <w:r>
        <w:rPr>
          <w:rFonts w:ascii="Times New Roman" w:eastAsia="Times New Roman" w:hAnsi="Times New Roman" w:cs="Times New Roman"/>
          <w:sz w:val="24"/>
          <w:szCs w:val="24"/>
          <w:highlight w:val="white"/>
        </w:rPr>
        <w:t xml:space="preserve">, </w:t>
      </w:r>
      <w:r w:rsidRPr="00DB64B6">
        <w:rPr>
          <w:rFonts w:ascii="Times New Roman" w:eastAsia="Times New Roman" w:hAnsi="Times New Roman" w:cs="Times New Roman"/>
          <w:sz w:val="24"/>
          <w:szCs w:val="24"/>
          <w:highlight w:val="white"/>
        </w:rPr>
        <w:t>S</w:t>
      </w:r>
      <w:r>
        <w:rPr>
          <w:rFonts w:ascii="Times New Roman" w:eastAsia="Times New Roman" w:hAnsi="Times New Roman" w:cs="Times New Roman"/>
          <w:sz w:val="24"/>
          <w:szCs w:val="24"/>
          <w:highlight w:val="white"/>
        </w:rPr>
        <w:t>anta Catarina</w:t>
      </w:r>
      <w:r w:rsidRPr="00DB64B6">
        <w:rPr>
          <w:rFonts w:ascii="Times New Roman" w:eastAsia="Times New Roman" w:hAnsi="Times New Roman" w:cs="Times New Roman"/>
          <w:sz w:val="24"/>
          <w:szCs w:val="24"/>
          <w:highlight w:val="white"/>
        </w:rPr>
        <w:t>. Mas, naquele momento, o formato, adaptado do modelo de fortes descontos existente nos EUA e na Europa, não vingou. Já Parente (</w:t>
      </w:r>
      <w:r>
        <w:rPr>
          <w:rFonts w:ascii="Times New Roman" w:eastAsia="Times New Roman" w:hAnsi="Times New Roman" w:cs="Times New Roman"/>
          <w:sz w:val="24"/>
          <w:szCs w:val="24"/>
          <w:highlight w:val="white"/>
        </w:rPr>
        <w:t>2000</w:t>
      </w:r>
      <w:r w:rsidRPr="00DB64B6">
        <w:rPr>
          <w:rFonts w:ascii="Times New Roman" w:eastAsia="Times New Roman" w:hAnsi="Times New Roman" w:cs="Times New Roman"/>
          <w:sz w:val="24"/>
          <w:szCs w:val="24"/>
          <w:highlight w:val="white"/>
        </w:rPr>
        <w:t xml:space="preserve">), coloca que o modelo de supermercado de sortimento limitado, onde temos grande variedade de </w:t>
      </w:r>
      <w:proofErr w:type="gramStart"/>
      <w:r w:rsidRPr="00DB64B6">
        <w:rPr>
          <w:rFonts w:ascii="Times New Roman" w:eastAsia="Times New Roman" w:hAnsi="Times New Roman" w:cs="Times New Roman"/>
          <w:sz w:val="24"/>
          <w:szCs w:val="24"/>
          <w:highlight w:val="white"/>
        </w:rPr>
        <w:t>produtos</w:t>
      </w:r>
      <w:proofErr w:type="gramEnd"/>
      <w:r w:rsidRPr="00DB64B6">
        <w:rPr>
          <w:rFonts w:ascii="Times New Roman" w:eastAsia="Times New Roman" w:hAnsi="Times New Roman" w:cs="Times New Roman"/>
          <w:sz w:val="24"/>
          <w:szCs w:val="24"/>
          <w:highlight w:val="white"/>
        </w:rPr>
        <w:t xml:space="preserve"> mas com poucas opções de marcas, iniciou-se no Brasil pelo Grupo Pão de Açúcar a partir da bandeira </w:t>
      </w:r>
      <w:proofErr w:type="spellStart"/>
      <w:r w:rsidRPr="00DB64B6">
        <w:rPr>
          <w:rFonts w:ascii="Times New Roman" w:eastAsia="Times New Roman" w:hAnsi="Times New Roman" w:cs="Times New Roman"/>
          <w:sz w:val="24"/>
          <w:szCs w:val="24"/>
          <w:highlight w:val="white"/>
        </w:rPr>
        <w:t>Minibox</w:t>
      </w:r>
      <w:proofErr w:type="spellEnd"/>
      <w:r w:rsidRPr="00DB64B6">
        <w:rPr>
          <w:rFonts w:ascii="Times New Roman" w:eastAsia="Times New Roman" w:hAnsi="Times New Roman" w:cs="Times New Roman"/>
          <w:sz w:val="24"/>
          <w:szCs w:val="24"/>
          <w:highlight w:val="white"/>
        </w:rPr>
        <w:t xml:space="preserve">, inspirado pelos formatos já encontrados nos Estados Unidos e na Europa.  </w:t>
      </w:r>
      <w:r w:rsidRPr="004D0BE2">
        <w:rPr>
          <w:rFonts w:ascii="Times New Roman" w:eastAsia="Times New Roman" w:hAnsi="Times New Roman" w:cs="Times New Roman"/>
          <w:sz w:val="24"/>
          <w:szCs w:val="24"/>
        </w:rPr>
        <w:t xml:space="preserve">Dentro de uma revisão histórica do modelo, Napoleão (2017) discorre sobre a dificuldade da precisão do surgimento dos </w:t>
      </w:r>
      <w:proofErr w:type="spellStart"/>
      <w:r w:rsidRPr="004D0BE2">
        <w:rPr>
          <w:rFonts w:ascii="Times New Roman" w:eastAsia="Times New Roman" w:hAnsi="Times New Roman" w:cs="Times New Roman"/>
          <w:sz w:val="24"/>
          <w:szCs w:val="24"/>
        </w:rPr>
        <w:t>atacarejos</w:t>
      </w:r>
      <w:proofErr w:type="spellEnd"/>
      <w:r w:rsidRPr="004D0BE2">
        <w:rPr>
          <w:rFonts w:ascii="Times New Roman" w:eastAsia="Times New Roman" w:hAnsi="Times New Roman" w:cs="Times New Roman"/>
          <w:sz w:val="24"/>
          <w:szCs w:val="24"/>
        </w:rPr>
        <w:t xml:space="preserve">, “justamente por existir certa dúvida se o que era praticado no Brasil de fato condizia, por exemplo, com o cash </w:t>
      </w:r>
      <w:proofErr w:type="spellStart"/>
      <w:r w:rsidRPr="004D0BE2">
        <w:rPr>
          <w:rFonts w:ascii="Times New Roman" w:eastAsia="Times New Roman" w:hAnsi="Times New Roman" w:cs="Times New Roman"/>
          <w:sz w:val="24"/>
          <w:szCs w:val="24"/>
        </w:rPr>
        <w:t>and</w:t>
      </w:r>
      <w:proofErr w:type="spellEnd"/>
      <w:r w:rsidRPr="004D0BE2">
        <w:rPr>
          <w:rFonts w:ascii="Times New Roman" w:eastAsia="Times New Roman" w:hAnsi="Times New Roman" w:cs="Times New Roman"/>
          <w:sz w:val="24"/>
          <w:szCs w:val="24"/>
        </w:rPr>
        <w:t xml:space="preserve"> </w:t>
      </w:r>
      <w:proofErr w:type="spellStart"/>
      <w:r w:rsidRPr="004D0BE2">
        <w:rPr>
          <w:rFonts w:ascii="Times New Roman" w:eastAsia="Times New Roman" w:hAnsi="Times New Roman" w:cs="Times New Roman"/>
          <w:sz w:val="24"/>
          <w:szCs w:val="24"/>
        </w:rPr>
        <w:t>carry</w:t>
      </w:r>
      <w:proofErr w:type="spellEnd"/>
      <w:r w:rsidRPr="004D0BE2">
        <w:rPr>
          <w:rFonts w:ascii="Times New Roman" w:eastAsia="Times New Roman" w:hAnsi="Times New Roman" w:cs="Times New Roman"/>
          <w:sz w:val="24"/>
          <w:szCs w:val="24"/>
        </w:rPr>
        <w:t xml:space="preserve"> americano”. Apesar disso, ele e outros autores </w:t>
      </w:r>
      <w:r w:rsidRPr="004D0BE2">
        <w:rPr>
          <w:rFonts w:ascii="Times New Roman" w:eastAsia="Times New Roman" w:hAnsi="Times New Roman" w:cs="Times New Roman"/>
          <w:color w:val="000000" w:themeColor="text1"/>
          <w:sz w:val="24"/>
          <w:szCs w:val="24"/>
        </w:rPr>
        <w:t xml:space="preserve">como </w:t>
      </w:r>
      <w:proofErr w:type="spellStart"/>
      <w:r w:rsidRPr="004D0BE2">
        <w:rPr>
          <w:rFonts w:ascii="Times New Roman" w:hAnsi="Times New Roman" w:cs="Times New Roman"/>
          <w:color w:val="000000" w:themeColor="text1"/>
          <w:sz w:val="24"/>
          <w:szCs w:val="24"/>
        </w:rPr>
        <w:t>Tuon</w:t>
      </w:r>
      <w:proofErr w:type="spellEnd"/>
      <w:r w:rsidRPr="004D0BE2">
        <w:rPr>
          <w:rFonts w:ascii="Times New Roman" w:hAnsi="Times New Roman" w:cs="Times New Roman"/>
          <w:color w:val="000000" w:themeColor="text1"/>
          <w:sz w:val="24"/>
          <w:szCs w:val="24"/>
        </w:rPr>
        <w:t xml:space="preserve">, Moises e </w:t>
      </w:r>
      <w:proofErr w:type="spellStart"/>
      <w:r w:rsidRPr="004D0BE2">
        <w:rPr>
          <w:rFonts w:ascii="Times New Roman" w:hAnsi="Times New Roman" w:cs="Times New Roman"/>
          <w:color w:val="000000" w:themeColor="text1"/>
          <w:sz w:val="24"/>
          <w:szCs w:val="24"/>
        </w:rPr>
        <w:t>Minadeo</w:t>
      </w:r>
      <w:proofErr w:type="spellEnd"/>
      <w:r w:rsidRPr="004D0BE2">
        <w:rPr>
          <w:rFonts w:ascii="Times New Roman" w:hAnsi="Times New Roman" w:cs="Times New Roman"/>
          <w:color w:val="000000" w:themeColor="text1"/>
          <w:sz w:val="24"/>
          <w:szCs w:val="24"/>
        </w:rPr>
        <w:t xml:space="preserve"> (2011) </w:t>
      </w:r>
      <w:r w:rsidRPr="004D0BE2">
        <w:rPr>
          <w:rFonts w:ascii="Times New Roman" w:eastAsia="Times New Roman" w:hAnsi="Times New Roman" w:cs="Times New Roman"/>
          <w:sz w:val="24"/>
          <w:szCs w:val="24"/>
        </w:rPr>
        <w:t xml:space="preserve">consideram a multinacional Makro como propulsora da ideia no país, no ano de 1972, mesmo nesta época tendo sua atuação dentro do modelo atacadista. </w:t>
      </w:r>
    </w:p>
    <w:p w14:paraId="7EF1C873" w14:textId="77777777" w:rsidR="00D17B2B" w:rsidRPr="00DB64B6" w:rsidRDefault="00D17B2B" w:rsidP="00D17B2B">
      <w:pPr>
        <w:spacing w:after="0" w:line="360" w:lineRule="auto"/>
        <w:ind w:firstLine="720"/>
        <w:jc w:val="both"/>
        <w:rPr>
          <w:rFonts w:ascii="Times New Roman" w:eastAsia="Times New Roman" w:hAnsi="Times New Roman" w:cs="Times New Roman"/>
          <w:sz w:val="24"/>
          <w:szCs w:val="24"/>
          <w:highlight w:val="white"/>
        </w:rPr>
      </w:pPr>
      <w:r w:rsidRPr="00DB64B6">
        <w:rPr>
          <w:rFonts w:ascii="Times New Roman" w:eastAsia="Times New Roman" w:hAnsi="Times New Roman" w:cs="Times New Roman"/>
          <w:sz w:val="24"/>
          <w:szCs w:val="24"/>
          <w:highlight w:val="white"/>
        </w:rPr>
        <w:t xml:space="preserve">Os </w:t>
      </w:r>
      <w:proofErr w:type="spellStart"/>
      <w:r w:rsidRPr="00DB64B6">
        <w:rPr>
          <w:rFonts w:ascii="Times New Roman" w:eastAsia="Times New Roman" w:hAnsi="Times New Roman" w:cs="Times New Roman"/>
          <w:sz w:val="24"/>
          <w:szCs w:val="24"/>
          <w:highlight w:val="white"/>
        </w:rPr>
        <w:t>atacarejos</w:t>
      </w:r>
      <w:proofErr w:type="spellEnd"/>
      <w:r w:rsidRPr="00DB64B6">
        <w:rPr>
          <w:rFonts w:ascii="Times New Roman" w:eastAsia="Times New Roman" w:hAnsi="Times New Roman" w:cs="Times New Roman"/>
          <w:sz w:val="24"/>
          <w:szCs w:val="24"/>
          <w:highlight w:val="white"/>
        </w:rPr>
        <w:t xml:space="preserve"> mais populares no território nacional pertencem a grandes empresas do ramo de supermercados e atacados, monopólios do setor alimentício que dividem seus investimentos em bandeiras de supermercados dentro do perímetro </w:t>
      </w:r>
      <w:r>
        <w:rPr>
          <w:rFonts w:ascii="Times New Roman" w:eastAsia="Times New Roman" w:hAnsi="Times New Roman" w:cs="Times New Roman"/>
          <w:sz w:val="24"/>
          <w:szCs w:val="24"/>
          <w:highlight w:val="white"/>
        </w:rPr>
        <w:t>central</w:t>
      </w:r>
      <w:r w:rsidRPr="00DB64B6">
        <w:rPr>
          <w:rFonts w:ascii="Times New Roman" w:eastAsia="Times New Roman" w:hAnsi="Times New Roman" w:cs="Times New Roman"/>
          <w:sz w:val="24"/>
          <w:szCs w:val="24"/>
          <w:highlight w:val="white"/>
        </w:rPr>
        <w:t xml:space="preserve"> com atacados geralmente localizados distante dos centros e próximos às rodovias. Partem, portanto</w:t>
      </w:r>
      <w:r>
        <w:rPr>
          <w:rFonts w:ascii="Times New Roman" w:eastAsia="Times New Roman" w:hAnsi="Times New Roman" w:cs="Times New Roman"/>
          <w:sz w:val="24"/>
          <w:szCs w:val="24"/>
          <w:highlight w:val="white"/>
        </w:rPr>
        <w:t>,</w:t>
      </w:r>
      <w:r w:rsidRPr="00DB64B6">
        <w:rPr>
          <w:rFonts w:ascii="Times New Roman" w:eastAsia="Times New Roman" w:hAnsi="Times New Roman" w:cs="Times New Roman"/>
          <w:sz w:val="24"/>
          <w:szCs w:val="24"/>
          <w:highlight w:val="white"/>
        </w:rPr>
        <w:t xml:space="preserve"> do investimento de grandes redes varejistas em busca de consumidores de baixa renda, criando modelos voltados para atender às necessidades des</w:t>
      </w:r>
      <w:r>
        <w:rPr>
          <w:rFonts w:ascii="Times New Roman" w:eastAsia="Times New Roman" w:hAnsi="Times New Roman" w:cs="Times New Roman"/>
          <w:sz w:val="24"/>
          <w:szCs w:val="24"/>
          <w:highlight w:val="white"/>
        </w:rPr>
        <w:t>s</w:t>
      </w:r>
      <w:r w:rsidRPr="00DB64B6">
        <w:rPr>
          <w:rFonts w:ascii="Times New Roman" w:eastAsia="Times New Roman" w:hAnsi="Times New Roman" w:cs="Times New Roman"/>
          <w:sz w:val="24"/>
          <w:szCs w:val="24"/>
          <w:highlight w:val="white"/>
        </w:rPr>
        <w:t>a população, tais como Walmart (Todo Dia), Carrefour (Dia%) e Grupo Pão de Açúcar (Mini Extra)</w:t>
      </w:r>
      <w:r>
        <w:rPr>
          <w:rFonts w:ascii="Times New Roman" w:eastAsia="Times New Roman" w:hAnsi="Times New Roman" w:cs="Times New Roman"/>
          <w:sz w:val="24"/>
          <w:szCs w:val="24"/>
          <w:highlight w:val="white"/>
        </w:rPr>
        <w:t>. (PARENTE, BARKI, KATO, 2005).</w:t>
      </w:r>
    </w:p>
    <w:p w14:paraId="1CA3EC26" w14:textId="77777777" w:rsidR="00D17B2B" w:rsidRPr="00361FBF" w:rsidRDefault="00D17B2B" w:rsidP="00D17B2B">
      <w:pPr>
        <w:spacing w:after="0" w:line="360" w:lineRule="auto"/>
        <w:jc w:val="both"/>
        <w:rPr>
          <w:rFonts w:ascii="Times New Roman" w:eastAsia="Times New Roman" w:hAnsi="Times New Roman" w:cs="Times New Roman"/>
          <w:sz w:val="24"/>
          <w:szCs w:val="24"/>
        </w:rPr>
      </w:pPr>
      <w:r w:rsidRPr="00DB64B6">
        <w:rPr>
          <w:rFonts w:ascii="Times New Roman" w:eastAsia="Times New Roman" w:hAnsi="Times New Roman" w:cs="Times New Roman"/>
          <w:sz w:val="24"/>
          <w:szCs w:val="24"/>
        </w:rPr>
        <w:tab/>
      </w:r>
      <w:r w:rsidRPr="00DB64B6">
        <w:rPr>
          <w:rFonts w:ascii="Times New Roman" w:eastAsia="Times New Roman" w:hAnsi="Times New Roman" w:cs="Times New Roman"/>
          <w:sz w:val="24"/>
          <w:szCs w:val="24"/>
          <w:highlight w:val="white"/>
        </w:rPr>
        <w:t xml:space="preserve">Peres e </w:t>
      </w:r>
      <w:proofErr w:type="spellStart"/>
      <w:r w:rsidRPr="00DB64B6">
        <w:rPr>
          <w:rFonts w:ascii="Times New Roman" w:eastAsia="Times New Roman" w:hAnsi="Times New Roman" w:cs="Times New Roman"/>
          <w:sz w:val="24"/>
          <w:szCs w:val="24"/>
          <w:highlight w:val="white"/>
        </w:rPr>
        <w:t>Matioli</w:t>
      </w:r>
      <w:proofErr w:type="spellEnd"/>
      <w:r w:rsidRPr="00DB64B6">
        <w:rPr>
          <w:rFonts w:ascii="Times New Roman" w:eastAsia="Times New Roman" w:hAnsi="Times New Roman" w:cs="Times New Roman"/>
          <w:sz w:val="24"/>
          <w:szCs w:val="24"/>
          <w:highlight w:val="white"/>
        </w:rPr>
        <w:t xml:space="preserve"> (2020) </w:t>
      </w:r>
      <w:r w:rsidRPr="00DB64B6">
        <w:rPr>
          <w:rFonts w:ascii="Times New Roman" w:eastAsia="Times New Roman" w:hAnsi="Times New Roman" w:cs="Times New Roman"/>
          <w:sz w:val="24"/>
          <w:szCs w:val="24"/>
        </w:rPr>
        <w:t xml:space="preserve">relacionam a expansão do modelo de </w:t>
      </w:r>
      <w:proofErr w:type="spellStart"/>
      <w:r w:rsidRPr="00DB64B6">
        <w:rPr>
          <w:rFonts w:ascii="Times New Roman" w:eastAsia="Times New Roman" w:hAnsi="Times New Roman" w:cs="Times New Roman"/>
          <w:sz w:val="24"/>
          <w:szCs w:val="24"/>
        </w:rPr>
        <w:t>atacarejo</w:t>
      </w:r>
      <w:proofErr w:type="spellEnd"/>
      <w:r w:rsidRPr="00DB64B6">
        <w:rPr>
          <w:rFonts w:ascii="Times New Roman" w:eastAsia="Times New Roman" w:hAnsi="Times New Roman" w:cs="Times New Roman"/>
          <w:sz w:val="24"/>
          <w:szCs w:val="24"/>
        </w:rPr>
        <w:t xml:space="preserve"> a partir dos anos 2000 à “euforia de consumo” dos anos Lula, com destaque para o consumidor de baixa renda. Além disso, apontam que a expansão de redes como o Carrefour e o Pão de Açúcar, nesse momento, fo</w:t>
      </w:r>
      <w:r>
        <w:rPr>
          <w:rFonts w:ascii="Times New Roman" w:eastAsia="Times New Roman" w:hAnsi="Times New Roman" w:cs="Times New Roman"/>
          <w:sz w:val="24"/>
          <w:szCs w:val="24"/>
        </w:rPr>
        <w:t>i</w:t>
      </w:r>
      <w:r w:rsidRPr="00DB64B6">
        <w:rPr>
          <w:rFonts w:ascii="Times New Roman" w:eastAsia="Times New Roman" w:hAnsi="Times New Roman" w:cs="Times New Roman"/>
          <w:sz w:val="24"/>
          <w:szCs w:val="24"/>
        </w:rPr>
        <w:t xml:space="preserve"> apoiada financeiramente pelo BNDES. Entre 2002 e 2019 o banco investiu 8,5 bilhões no setor supermercadista, destes, 8,4 bilhões foram para os dois grupos. Em 2007, o Carrefour adquire a rede Atacadão por 2,3 bilhões. Seis meses depois, o Pão de Açúcar anunciava a compra da rede de </w:t>
      </w:r>
      <w:proofErr w:type="spellStart"/>
      <w:r w:rsidRPr="00DB64B6">
        <w:rPr>
          <w:rFonts w:ascii="Times New Roman" w:eastAsia="Times New Roman" w:hAnsi="Times New Roman" w:cs="Times New Roman"/>
          <w:sz w:val="24"/>
          <w:szCs w:val="24"/>
        </w:rPr>
        <w:t>atacarejos</w:t>
      </w:r>
      <w:proofErr w:type="spellEnd"/>
      <w:r w:rsidRPr="00DB64B6">
        <w:rPr>
          <w:rFonts w:ascii="Times New Roman" w:eastAsia="Times New Roman" w:hAnsi="Times New Roman" w:cs="Times New Roman"/>
          <w:sz w:val="24"/>
          <w:szCs w:val="24"/>
        </w:rPr>
        <w:t xml:space="preserve"> Assaí. Assim, a partir de 2008, as duas maiores redes </w:t>
      </w:r>
      <w:r w:rsidRPr="00DB64B6">
        <w:rPr>
          <w:rFonts w:ascii="Times New Roman" w:eastAsia="Times New Roman" w:hAnsi="Times New Roman" w:cs="Times New Roman"/>
          <w:sz w:val="24"/>
          <w:szCs w:val="24"/>
        </w:rPr>
        <w:lastRenderedPageBreak/>
        <w:t xml:space="preserve">varejistas do Brasil passam a atuar com bandeiras de </w:t>
      </w:r>
      <w:proofErr w:type="spellStart"/>
      <w:r w:rsidRPr="00DB64B6">
        <w:rPr>
          <w:rFonts w:ascii="Times New Roman" w:eastAsia="Times New Roman" w:hAnsi="Times New Roman" w:cs="Times New Roman"/>
          <w:sz w:val="24"/>
          <w:szCs w:val="24"/>
        </w:rPr>
        <w:t>atacarejos</w:t>
      </w:r>
      <w:proofErr w:type="spellEnd"/>
      <w:r w:rsidRPr="00DB64B6">
        <w:rPr>
          <w:rFonts w:ascii="Times New Roman" w:eastAsia="Times New Roman" w:hAnsi="Times New Roman" w:cs="Times New Roman"/>
          <w:sz w:val="24"/>
          <w:szCs w:val="24"/>
        </w:rPr>
        <w:t xml:space="preserve"> (PERES, MATIOLI, 2020). Por fim, os mesmos autores também definem o </w:t>
      </w:r>
      <w:proofErr w:type="spellStart"/>
      <w:r w:rsidRPr="00DB64B6">
        <w:rPr>
          <w:rFonts w:ascii="Times New Roman" w:eastAsia="Times New Roman" w:hAnsi="Times New Roman" w:cs="Times New Roman"/>
          <w:sz w:val="24"/>
          <w:szCs w:val="24"/>
        </w:rPr>
        <w:t>atacarejo</w:t>
      </w:r>
      <w:proofErr w:type="spellEnd"/>
      <w:r w:rsidRPr="00DB64B6">
        <w:rPr>
          <w:rFonts w:ascii="Times New Roman" w:eastAsia="Times New Roman" w:hAnsi="Times New Roman" w:cs="Times New Roman"/>
          <w:sz w:val="24"/>
          <w:szCs w:val="24"/>
        </w:rPr>
        <w:t xml:space="preserve"> como um modelo brasileiro: </w:t>
      </w:r>
    </w:p>
    <w:p w14:paraId="57A737C2" w14:textId="77777777" w:rsidR="00D17B2B" w:rsidRDefault="00D17B2B" w:rsidP="00D17B2B">
      <w:pPr>
        <w:spacing w:after="0" w:line="240" w:lineRule="auto"/>
        <w:ind w:left="2267"/>
        <w:jc w:val="both"/>
        <w:rPr>
          <w:rFonts w:ascii="Times New Roman" w:eastAsia="Times New Roman" w:hAnsi="Times New Roman" w:cs="Times New Roman"/>
          <w:color w:val="FF0000"/>
          <w:sz w:val="20"/>
          <w:szCs w:val="20"/>
        </w:rPr>
      </w:pPr>
      <w:r w:rsidRPr="001C7B68">
        <w:rPr>
          <w:rFonts w:ascii="Times New Roman" w:eastAsia="Times New Roman" w:hAnsi="Times New Roman" w:cs="Times New Roman"/>
          <w:sz w:val="20"/>
          <w:szCs w:val="20"/>
        </w:rPr>
        <w:t xml:space="preserve">É nosso </w:t>
      </w:r>
      <w:proofErr w:type="gramStart"/>
      <w:r w:rsidRPr="001C7B68">
        <w:rPr>
          <w:rFonts w:ascii="Times New Roman" w:eastAsia="Times New Roman" w:hAnsi="Times New Roman" w:cs="Times New Roman"/>
          <w:sz w:val="20"/>
          <w:szCs w:val="20"/>
        </w:rPr>
        <w:t>porque</w:t>
      </w:r>
      <w:proofErr w:type="gramEnd"/>
      <w:r w:rsidRPr="001C7B68">
        <w:rPr>
          <w:rFonts w:ascii="Times New Roman" w:eastAsia="Times New Roman" w:hAnsi="Times New Roman" w:cs="Times New Roman"/>
          <w:sz w:val="20"/>
          <w:szCs w:val="20"/>
        </w:rPr>
        <w:t xml:space="preserve"> foi desenhado para se nutrir das maiores fragilidades brasileiras: a pobreza, a insegurança alimentar e o isolamento das periferias nas grandes capitais</w:t>
      </w:r>
      <w:r>
        <w:rPr>
          <w:rFonts w:ascii="Times New Roman" w:eastAsia="Times New Roman" w:hAnsi="Times New Roman" w:cs="Times New Roman"/>
          <w:sz w:val="20"/>
          <w:szCs w:val="20"/>
        </w:rPr>
        <w:t>.</w:t>
      </w:r>
      <w:r w:rsidRPr="001C7B68">
        <w:rPr>
          <w:rFonts w:ascii="Times New Roman" w:eastAsia="Times New Roman" w:hAnsi="Times New Roman" w:cs="Times New Roman"/>
          <w:sz w:val="20"/>
          <w:szCs w:val="20"/>
        </w:rPr>
        <w:t xml:space="preserve"> Onde há um Assaí, mercadinho pena, varejão definha, feirante passa aperto. Onde há um atacadão, supermercados menores são forçados a demitir funcionários, apertar fornecedores ou fechar as portas.</w:t>
      </w:r>
      <w:r>
        <w:rPr>
          <w:rFonts w:ascii="Times New Roman" w:eastAsia="Times New Roman" w:hAnsi="Times New Roman" w:cs="Times New Roman"/>
          <w:sz w:val="20"/>
          <w:szCs w:val="20"/>
        </w:rPr>
        <w:t xml:space="preserve"> (PERES, MATIOLI, 2020, p. 197). </w:t>
      </w:r>
    </w:p>
    <w:p w14:paraId="4512F208" w14:textId="77777777" w:rsidR="00D17B2B" w:rsidRPr="00361FBF" w:rsidRDefault="00D17B2B" w:rsidP="00D17B2B">
      <w:pPr>
        <w:spacing w:after="0" w:line="240" w:lineRule="auto"/>
        <w:ind w:left="2267"/>
        <w:jc w:val="both"/>
        <w:rPr>
          <w:rFonts w:ascii="Times New Roman" w:eastAsia="Times New Roman" w:hAnsi="Times New Roman" w:cs="Times New Roman"/>
          <w:color w:val="FF0000"/>
          <w:sz w:val="20"/>
          <w:szCs w:val="20"/>
        </w:rPr>
      </w:pPr>
    </w:p>
    <w:p w14:paraId="02DBED9C" w14:textId="77777777" w:rsidR="00D17B2B" w:rsidRPr="005413B8" w:rsidRDefault="00D17B2B" w:rsidP="00D17B2B">
      <w:pPr>
        <w:spacing w:after="0" w:line="240" w:lineRule="auto"/>
        <w:jc w:val="both"/>
        <w:rPr>
          <w:rFonts w:ascii="Times New Roman" w:eastAsia="Times New Roman" w:hAnsi="Times New Roman" w:cs="Times New Roman"/>
          <w:b/>
          <w:sz w:val="24"/>
          <w:szCs w:val="24"/>
        </w:rPr>
      </w:pPr>
      <w:r w:rsidRPr="005413B8">
        <w:rPr>
          <w:rFonts w:ascii="Times New Roman" w:eastAsia="Times New Roman" w:hAnsi="Times New Roman" w:cs="Times New Roman"/>
          <w:b/>
          <w:sz w:val="24"/>
          <w:szCs w:val="24"/>
        </w:rPr>
        <w:t>4 ATACAREJO: EM BUSCA DE UMA CARACTERIZAÇÃO</w:t>
      </w:r>
    </w:p>
    <w:p w14:paraId="4A371ED6" w14:textId="77777777" w:rsidR="00D17B2B" w:rsidRDefault="00D17B2B" w:rsidP="00D17B2B">
      <w:pPr>
        <w:spacing w:after="0" w:line="240" w:lineRule="auto"/>
        <w:jc w:val="both"/>
        <w:rPr>
          <w:rFonts w:ascii="Times New Roman" w:eastAsia="Times New Roman" w:hAnsi="Times New Roman" w:cs="Times New Roman"/>
        </w:rPr>
      </w:pPr>
      <w:r w:rsidRPr="001C7B68">
        <w:rPr>
          <w:rFonts w:ascii="Times New Roman" w:eastAsia="Times New Roman" w:hAnsi="Times New Roman" w:cs="Times New Roman"/>
        </w:rPr>
        <w:tab/>
      </w:r>
    </w:p>
    <w:p w14:paraId="3FA6D52E" w14:textId="77777777" w:rsidR="00D17B2B" w:rsidRPr="00DB64B6" w:rsidRDefault="00D17B2B" w:rsidP="00D17B2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Durante a pesquisa, a</w:t>
      </w:r>
      <w:r w:rsidRPr="00DB64B6">
        <w:rPr>
          <w:rFonts w:ascii="Times New Roman" w:eastAsia="Times New Roman" w:hAnsi="Times New Roman" w:cs="Times New Roman"/>
          <w:sz w:val="24"/>
          <w:szCs w:val="24"/>
        </w:rPr>
        <w:t xml:space="preserve"> primeira questão elencada para caracterização do modelo foi entender qual classificação CNAE (Cadastro Nacional de Atividade Econômica) principal é atribuída a estas empresas</w:t>
      </w:r>
      <w:r>
        <w:rPr>
          <w:rFonts w:ascii="Times New Roman" w:eastAsia="Times New Roman" w:hAnsi="Times New Roman" w:cs="Times New Roman"/>
          <w:sz w:val="24"/>
          <w:szCs w:val="24"/>
        </w:rPr>
        <w:t>:</w:t>
      </w:r>
      <w:r w:rsidRPr="00DB64B6">
        <w:rPr>
          <w:rFonts w:ascii="Times New Roman" w:eastAsia="Times New Roman" w:hAnsi="Times New Roman" w:cs="Times New Roman"/>
          <w:sz w:val="24"/>
          <w:szCs w:val="24"/>
        </w:rPr>
        <w:t xml:space="preserve"> atacadista ou comércio varejista de alimentos. Deste questionamento surgiram descobertas interessantes, principalmente relacionad</w:t>
      </w:r>
      <w:r>
        <w:rPr>
          <w:rFonts w:ascii="Times New Roman" w:eastAsia="Times New Roman" w:hAnsi="Times New Roman" w:cs="Times New Roman"/>
          <w:sz w:val="24"/>
          <w:szCs w:val="24"/>
        </w:rPr>
        <w:t>as</w:t>
      </w:r>
      <w:r w:rsidRPr="00DB64B6">
        <w:rPr>
          <w:rFonts w:ascii="Times New Roman" w:eastAsia="Times New Roman" w:hAnsi="Times New Roman" w:cs="Times New Roman"/>
          <w:sz w:val="24"/>
          <w:szCs w:val="24"/>
        </w:rPr>
        <w:t xml:space="preserve"> ao fato de que as redes usam </w:t>
      </w:r>
      <w:proofErr w:type="gramStart"/>
      <w:r w:rsidRPr="00DB64B6">
        <w:rPr>
          <w:rFonts w:ascii="Times New Roman" w:eastAsia="Times New Roman" w:hAnsi="Times New Roman" w:cs="Times New Roman"/>
          <w:sz w:val="24"/>
          <w:szCs w:val="24"/>
        </w:rPr>
        <w:t>ambas classificações</w:t>
      </w:r>
      <w:proofErr w:type="gramEnd"/>
      <w:r w:rsidRPr="00DB64B6">
        <w:rPr>
          <w:rFonts w:ascii="Times New Roman" w:eastAsia="Times New Roman" w:hAnsi="Times New Roman" w:cs="Times New Roman"/>
          <w:sz w:val="24"/>
          <w:szCs w:val="24"/>
        </w:rPr>
        <w:t xml:space="preserve"> em seu CNAE, seja como atividade principal, seja como secundária, e, independente desta hierarquia, podem usufruir das vantagens tributárias oferecidas aos atacadistas pelos estados brasileiros. </w:t>
      </w:r>
    </w:p>
    <w:p w14:paraId="7E4D2398" w14:textId="77777777" w:rsidR="00D17B2B" w:rsidRPr="00F11394" w:rsidRDefault="00D17B2B" w:rsidP="00D17B2B">
      <w:pPr>
        <w:spacing w:after="0" w:line="360" w:lineRule="auto"/>
        <w:jc w:val="both"/>
        <w:rPr>
          <w:rFonts w:ascii="Times New Roman" w:eastAsia="Times New Roman" w:hAnsi="Times New Roman" w:cs="Times New Roman"/>
          <w:sz w:val="24"/>
          <w:szCs w:val="24"/>
        </w:rPr>
      </w:pPr>
      <w:r w:rsidRPr="00DB64B6">
        <w:rPr>
          <w:rFonts w:ascii="Times New Roman" w:eastAsia="Times New Roman" w:hAnsi="Times New Roman" w:cs="Times New Roman"/>
          <w:sz w:val="24"/>
          <w:szCs w:val="24"/>
        </w:rPr>
        <w:tab/>
        <w:t>Mesmo estas redes fazendo parte de corporações que também investem no ramo supermercadista, segundo a ABRAS, Associação Brasileira de Supermercados</w:t>
      </w:r>
      <w:r w:rsidRPr="00DB64B6">
        <w:rPr>
          <w:rFonts w:ascii="Times New Roman" w:eastAsia="Times New Roman" w:hAnsi="Times New Roman" w:cs="Times New Roman"/>
          <w:sz w:val="24"/>
          <w:szCs w:val="24"/>
          <w:vertAlign w:val="superscript"/>
        </w:rPr>
        <w:footnoteReference w:id="4"/>
      </w:r>
      <w:r w:rsidRPr="00DB64B6">
        <w:rPr>
          <w:rFonts w:ascii="Times New Roman" w:eastAsia="Times New Roman" w:hAnsi="Times New Roman" w:cs="Times New Roman"/>
          <w:sz w:val="24"/>
          <w:szCs w:val="24"/>
        </w:rPr>
        <w:t xml:space="preserve">, o setor varejista já sente o impacto em suas vendas causado pelo </w:t>
      </w:r>
      <w:proofErr w:type="spellStart"/>
      <w:r w:rsidRPr="00DB64B6">
        <w:rPr>
          <w:rFonts w:ascii="Times New Roman" w:eastAsia="Times New Roman" w:hAnsi="Times New Roman" w:cs="Times New Roman"/>
          <w:sz w:val="24"/>
          <w:szCs w:val="24"/>
        </w:rPr>
        <w:t>atacarejo</w:t>
      </w:r>
      <w:proofErr w:type="spellEnd"/>
      <w:r w:rsidRPr="00DB64B6">
        <w:rPr>
          <w:rFonts w:ascii="Times New Roman" w:eastAsia="Times New Roman" w:hAnsi="Times New Roman" w:cs="Times New Roman"/>
          <w:sz w:val="24"/>
          <w:szCs w:val="24"/>
        </w:rPr>
        <w:t xml:space="preserve">. Como prova disso, a Associação Paulista de Supermercadistas consultou a Secretaria da Fazenda daquele estado, ainda no ano de 2016, sobre o enquadramento tributário dos </w:t>
      </w:r>
      <w:proofErr w:type="spellStart"/>
      <w:r w:rsidRPr="00DB64B6">
        <w:rPr>
          <w:rFonts w:ascii="Times New Roman" w:eastAsia="Times New Roman" w:hAnsi="Times New Roman" w:cs="Times New Roman"/>
          <w:sz w:val="24"/>
          <w:szCs w:val="24"/>
        </w:rPr>
        <w:t>atacarejos</w:t>
      </w:r>
      <w:proofErr w:type="spellEnd"/>
      <w:r w:rsidRPr="00DB64B6">
        <w:rPr>
          <w:rFonts w:ascii="Times New Roman" w:eastAsia="Times New Roman" w:hAnsi="Times New Roman" w:cs="Times New Roman"/>
          <w:sz w:val="24"/>
          <w:szCs w:val="24"/>
        </w:rPr>
        <w:t>. A associação alegou que o formato:</w:t>
      </w:r>
    </w:p>
    <w:p w14:paraId="705B6EE9" w14:textId="77777777" w:rsidR="00D17B2B" w:rsidRPr="00F11394" w:rsidRDefault="00D17B2B" w:rsidP="00D17B2B">
      <w:pPr>
        <w:spacing w:after="0" w:line="240" w:lineRule="auto"/>
        <w:ind w:left="2267"/>
        <w:jc w:val="both"/>
        <w:rPr>
          <w:rFonts w:ascii="Times New Roman" w:eastAsia="Times New Roman" w:hAnsi="Times New Roman" w:cs="Times New Roman"/>
          <w:color w:val="000000" w:themeColor="text1"/>
          <w:sz w:val="20"/>
          <w:szCs w:val="20"/>
          <w:highlight w:val="white"/>
        </w:rPr>
      </w:pPr>
      <w:r w:rsidRPr="00DB64B6">
        <w:rPr>
          <w:rFonts w:ascii="Times New Roman" w:eastAsia="Times New Roman" w:hAnsi="Times New Roman" w:cs="Times New Roman"/>
          <w:color w:val="000000" w:themeColor="text1"/>
          <w:sz w:val="20"/>
          <w:szCs w:val="20"/>
          <w:highlight w:val="white"/>
        </w:rPr>
        <w:t xml:space="preserve">possibilita a fruição indiscriminada de benefícios comerciais e fiscais de ICMS destinados exclusivamente aos fabricantes e atacadistas (previstos no Regulamento do ICMS/SP em seu Anexo II, artigos 34, 39, dentre outros), mesmo para as lojas que preponderantemente fazem venda ao varejo, bastando que em seu enquadramento fiscal (CNAE) e em seu contrato social, a pessoa indique a atividade de comércio atacadista como a atividade de comércio varejista. </w:t>
      </w:r>
    </w:p>
    <w:p w14:paraId="7EBAC1AC" w14:textId="77777777" w:rsidR="00D17B2B" w:rsidRPr="00F11394" w:rsidRDefault="00D17B2B" w:rsidP="00D17B2B">
      <w:pPr>
        <w:spacing w:after="0" w:line="240" w:lineRule="auto"/>
        <w:ind w:left="2268"/>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szCs w:val="24"/>
          <w:highlight w:val="white"/>
        </w:rPr>
        <w:t>[...]</w:t>
      </w:r>
    </w:p>
    <w:p w14:paraId="5DA4EC60" w14:textId="77777777" w:rsidR="00D17B2B" w:rsidRPr="00DB64B6" w:rsidRDefault="00D17B2B" w:rsidP="00D17B2B">
      <w:pPr>
        <w:spacing w:after="0" w:line="240" w:lineRule="auto"/>
        <w:ind w:left="2267"/>
        <w:jc w:val="both"/>
        <w:rPr>
          <w:rFonts w:ascii="Times New Roman" w:eastAsia="Times New Roman" w:hAnsi="Times New Roman" w:cs="Times New Roman"/>
          <w:color w:val="000000" w:themeColor="text1"/>
          <w:sz w:val="20"/>
          <w:szCs w:val="20"/>
          <w:highlight w:val="white"/>
        </w:rPr>
      </w:pPr>
      <w:r w:rsidRPr="00DB64B6">
        <w:rPr>
          <w:rFonts w:ascii="Times New Roman" w:eastAsia="Times New Roman" w:hAnsi="Times New Roman" w:cs="Times New Roman"/>
          <w:color w:val="000000" w:themeColor="text1"/>
          <w:sz w:val="20"/>
          <w:szCs w:val="20"/>
          <w:highlight w:val="white"/>
        </w:rPr>
        <w:t>esse formato de negócios [...] está dando margem à informalidade e a sonegação fiscal, pois muitos varejistas, restaurantes, comerciantes e demais contribuintes do ICMS têm adquirido mercadorias diretamente nos ‘</w:t>
      </w:r>
      <w:proofErr w:type="spellStart"/>
      <w:r w:rsidRPr="00DB64B6">
        <w:rPr>
          <w:rFonts w:ascii="Times New Roman" w:eastAsia="Times New Roman" w:hAnsi="Times New Roman" w:cs="Times New Roman"/>
          <w:color w:val="000000" w:themeColor="text1"/>
          <w:sz w:val="20"/>
          <w:szCs w:val="20"/>
          <w:highlight w:val="white"/>
        </w:rPr>
        <w:t>atacarejos</w:t>
      </w:r>
      <w:proofErr w:type="spellEnd"/>
      <w:r w:rsidRPr="00DB64B6">
        <w:rPr>
          <w:rFonts w:ascii="Times New Roman" w:eastAsia="Times New Roman" w:hAnsi="Times New Roman" w:cs="Times New Roman"/>
          <w:color w:val="000000" w:themeColor="text1"/>
          <w:sz w:val="20"/>
          <w:szCs w:val="20"/>
          <w:highlight w:val="white"/>
        </w:rPr>
        <w:t xml:space="preserve">’, na condição de consumidor final, sem emissão de nota fiscal [...] não registram a aquisição das mercadorias no </w:t>
      </w:r>
      <w:r w:rsidRPr="00DB64B6">
        <w:rPr>
          <w:rFonts w:ascii="Times New Roman" w:eastAsia="Times New Roman" w:hAnsi="Times New Roman" w:cs="Times New Roman"/>
          <w:color w:val="000000" w:themeColor="text1"/>
          <w:sz w:val="20"/>
          <w:szCs w:val="20"/>
          <w:highlight w:val="white"/>
        </w:rPr>
        <w:lastRenderedPageBreak/>
        <w:t>Registro de Entradas e se deparam na oportunidade de fazer a venda das mercadorias sem a emissão de nota fiscal.</w:t>
      </w:r>
      <w:r w:rsidRPr="00DB64B6">
        <w:rPr>
          <w:rFonts w:ascii="Times New Roman" w:eastAsia="Times New Roman" w:hAnsi="Times New Roman" w:cs="Times New Roman"/>
          <w:color w:val="000000" w:themeColor="text1"/>
          <w:sz w:val="20"/>
          <w:szCs w:val="20"/>
          <w:vertAlign w:val="superscript"/>
        </w:rPr>
        <w:footnoteReference w:id="5"/>
      </w:r>
      <w:r w:rsidRPr="00DB64B6">
        <w:rPr>
          <w:rFonts w:ascii="Times New Roman" w:eastAsia="Times New Roman" w:hAnsi="Times New Roman" w:cs="Times New Roman"/>
          <w:color w:val="000000" w:themeColor="text1"/>
          <w:sz w:val="20"/>
          <w:szCs w:val="20"/>
          <w:highlight w:val="white"/>
        </w:rPr>
        <w:t xml:space="preserve"> </w:t>
      </w:r>
    </w:p>
    <w:p w14:paraId="1B0D19AF" w14:textId="77777777" w:rsidR="00D17B2B" w:rsidRPr="001C7B68" w:rsidRDefault="00D17B2B" w:rsidP="00D17B2B">
      <w:pPr>
        <w:spacing w:after="0" w:line="240" w:lineRule="auto"/>
        <w:ind w:left="2267"/>
        <w:jc w:val="both"/>
        <w:rPr>
          <w:rFonts w:ascii="Times New Roman" w:eastAsia="Times New Roman" w:hAnsi="Times New Roman" w:cs="Times New Roman"/>
          <w:color w:val="212529"/>
          <w:sz w:val="20"/>
          <w:szCs w:val="20"/>
          <w:highlight w:val="white"/>
        </w:rPr>
      </w:pPr>
    </w:p>
    <w:p w14:paraId="609F1D3F" w14:textId="77777777" w:rsidR="00D17B2B" w:rsidRDefault="00D17B2B" w:rsidP="00D17B2B">
      <w:pPr>
        <w:spacing w:after="0" w:line="360" w:lineRule="auto"/>
        <w:jc w:val="both"/>
        <w:rPr>
          <w:rFonts w:ascii="Times New Roman" w:eastAsia="Times New Roman" w:hAnsi="Times New Roman" w:cs="Times New Roman"/>
          <w:color w:val="000000" w:themeColor="text1"/>
          <w:sz w:val="24"/>
          <w:szCs w:val="24"/>
          <w:highlight w:val="white"/>
        </w:rPr>
      </w:pPr>
      <w:r w:rsidRPr="001C7B68">
        <w:rPr>
          <w:rFonts w:ascii="Times New Roman" w:eastAsia="Times New Roman" w:hAnsi="Times New Roman" w:cs="Times New Roman"/>
          <w:color w:val="212529"/>
          <w:highlight w:val="white"/>
        </w:rPr>
        <w:tab/>
      </w:r>
      <w:r w:rsidRPr="00DB64B6">
        <w:rPr>
          <w:rFonts w:ascii="Times New Roman" w:eastAsia="Times New Roman" w:hAnsi="Times New Roman" w:cs="Times New Roman"/>
          <w:color w:val="000000" w:themeColor="text1"/>
          <w:sz w:val="24"/>
          <w:szCs w:val="24"/>
          <w:highlight w:val="white"/>
        </w:rPr>
        <w:t xml:space="preserve">Desconsiderando elementos contraditórios da concorrência, estados como o de Alagoas recentemente ampliaram ainda mais os incentivos fiscais aos atacadistas. Na ocasião do lançamento do programa, em 2021, o superintendente especial da Receita Estadual, Francisco </w:t>
      </w:r>
      <w:proofErr w:type="spellStart"/>
      <w:r w:rsidRPr="00DB64B6">
        <w:rPr>
          <w:rFonts w:ascii="Times New Roman" w:eastAsia="Times New Roman" w:hAnsi="Times New Roman" w:cs="Times New Roman"/>
          <w:color w:val="000000" w:themeColor="text1"/>
          <w:sz w:val="24"/>
          <w:szCs w:val="24"/>
          <w:highlight w:val="white"/>
        </w:rPr>
        <w:t>Suruagy</w:t>
      </w:r>
      <w:proofErr w:type="spellEnd"/>
      <w:r w:rsidRPr="00DB64B6">
        <w:rPr>
          <w:rFonts w:ascii="Times New Roman" w:eastAsia="Times New Roman" w:hAnsi="Times New Roman" w:cs="Times New Roman"/>
          <w:color w:val="000000" w:themeColor="text1"/>
          <w:sz w:val="24"/>
          <w:szCs w:val="24"/>
          <w:highlight w:val="white"/>
        </w:rPr>
        <w:t xml:space="preserve">, declarou que a principal mudança do regime tributário diz respeito à figura do </w:t>
      </w:r>
      <w:proofErr w:type="spellStart"/>
      <w:r w:rsidRPr="00DB64B6">
        <w:rPr>
          <w:rFonts w:ascii="Times New Roman" w:eastAsia="Times New Roman" w:hAnsi="Times New Roman" w:cs="Times New Roman"/>
          <w:color w:val="000000" w:themeColor="text1"/>
          <w:sz w:val="24"/>
          <w:szCs w:val="24"/>
          <w:highlight w:val="white"/>
        </w:rPr>
        <w:t>atacarejo</w:t>
      </w:r>
      <w:proofErr w:type="spellEnd"/>
      <w:r w:rsidRPr="00DB64B6">
        <w:rPr>
          <w:rFonts w:ascii="Times New Roman" w:eastAsia="Times New Roman" w:hAnsi="Times New Roman" w:cs="Times New Roman"/>
          <w:color w:val="000000" w:themeColor="text1"/>
          <w:sz w:val="24"/>
          <w:szCs w:val="24"/>
          <w:highlight w:val="white"/>
        </w:rPr>
        <w:t xml:space="preserve">: </w:t>
      </w:r>
    </w:p>
    <w:p w14:paraId="5331EF73" w14:textId="77777777" w:rsidR="00D17B2B" w:rsidRDefault="00D17B2B" w:rsidP="00D17B2B">
      <w:pPr>
        <w:spacing w:after="0" w:line="240" w:lineRule="auto"/>
        <w:ind w:left="2268"/>
        <w:jc w:val="both"/>
        <w:rPr>
          <w:rFonts w:ascii="Times New Roman" w:eastAsia="Times New Roman" w:hAnsi="Times New Roman" w:cs="Times New Roman"/>
          <w:color w:val="000000" w:themeColor="text1"/>
          <w:sz w:val="24"/>
          <w:szCs w:val="24"/>
          <w:highlight w:val="white"/>
        </w:rPr>
      </w:pPr>
      <w:r w:rsidRPr="00DB64B6">
        <w:rPr>
          <w:rFonts w:ascii="Times New Roman" w:eastAsia="Times New Roman" w:hAnsi="Times New Roman" w:cs="Times New Roman"/>
          <w:color w:val="000000" w:themeColor="text1"/>
          <w:sz w:val="20"/>
          <w:szCs w:val="20"/>
          <w:highlight w:val="white"/>
        </w:rPr>
        <w:t xml:space="preserve">Os atacadistas alagoanos passam a ter a possibilidade de vender para o CPF, ou seja, eles passam a ser </w:t>
      </w:r>
      <w:proofErr w:type="spellStart"/>
      <w:r w:rsidRPr="00DB64B6">
        <w:rPr>
          <w:rFonts w:ascii="Times New Roman" w:eastAsia="Times New Roman" w:hAnsi="Times New Roman" w:cs="Times New Roman"/>
          <w:color w:val="000000" w:themeColor="text1"/>
          <w:sz w:val="20"/>
          <w:szCs w:val="20"/>
          <w:highlight w:val="white"/>
        </w:rPr>
        <w:t>atacarejo</w:t>
      </w:r>
      <w:proofErr w:type="spellEnd"/>
      <w:r w:rsidRPr="00DB64B6">
        <w:rPr>
          <w:rFonts w:ascii="Times New Roman" w:eastAsia="Times New Roman" w:hAnsi="Times New Roman" w:cs="Times New Roman"/>
          <w:color w:val="000000" w:themeColor="text1"/>
          <w:sz w:val="20"/>
          <w:szCs w:val="20"/>
          <w:highlight w:val="white"/>
        </w:rPr>
        <w:t>: vão vender no atacado, mantendo sua figura clássica, mas também terão a possibilidade de vender no varejo, diretamente ao consumidor, coisa que essas grandes multinacionais instaladas aqui e em outros estados já o faziam</w:t>
      </w:r>
      <w:r w:rsidRPr="00DB64B6">
        <w:rPr>
          <w:rFonts w:ascii="Times New Roman" w:eastAsia="Times New Roman" w:hAnsi="Times New Roman" w:cs="Times New Roman"/>
          <w:color w:val="000000" w:themeColor="text1"/>
          <w:sz w:val="20"/>
          <w:szCs w:val="20"/>
          <w:highlight w:val="white"/>
          <w:vertAlign w:val="superscript"/>
        </w:rPr>
        <w:footnoteReference w:id="6"/>
      </w:r>
      <w:r w:rsidRPr="00DB64B6">
        <w:rPr>
          <w:rFonts w:ascii="Times New Roman" w:eastAsia="Times New Roman" w:hAnsi="Times New Roman" w:cs="Times New Roman"/>
          <w:color w:val="000000" w:themeColor="text1"/>
          <w:sz w:val="20"/>
          <w:szCs w:val="20"/>
          <w:highlight w:val="white"/>
        </w:rPr>
        <w:t xml:space="preserve">. </w:t>
      </w:r>
    </w:p>
    <w:p w14:paraId="3DBBE864" w14:textId="77777777" w:rsidR="00D17B2B" w:rsidRPr="00FC12F4" w:rsidRDefault="00D17B2B" w:rsidP="00D17B2B">
      <w:pPr>
        <w:spacing w:after="0" w:line="240" w:lineRule="auto"/>
        <w:ind w:left="2268"/>
        <w:jc w:val="both"/>
        <w:rPr>
          <w:rFonts w:ascii="Times New Roman" w:eastAsia="Times New Roman" w:hAnsi="Times New Roman" w:cs="Times New Roman"/>
          <w:color w:val="000000" w:themeColor="text1"/>
          <w:sz w:val="24"/>
          <w:szCs w:val="24"/>
          <w:highlight w:val="white"/>
        </w:rPr>
      </w:pPr>
    </w:p>
    <w:p w14:paraId="6CCF2775" w14:textId="77777777" w:rsidR="00D17B2B" w:rsidRPr="00DB64B6" w:rsidRDefault="00D17B2B" w:rsidP="00D17B2B">
      <w:pPr>
        <w:spacing w:after="0" w:line="360" w:lineRule="auto"/>
        <w:jc w:val="both"/>
        <w:rPr>
          <w:rFonts w:ascii="Times New Roman" w:eastAsia="Times New Roman" w:hAnsi="Times New Roman" w:cs="Times New Roman"/>
          <w:color w:val="202124"/>
          <w:sz w:val="24"/>
          <w:szCs w:val="24"/>
          <w:highlight w:val="white"/>
        </w:rPr>
      </w:pPr>
      <w:r w:rsidRPr="001C7B68">
        <w:rPr>
          <w:rFonts w:ascii="Times New Roman" w:eastAsia="Times New Roman" w:hAnsi="Times New Roman" w:cs="Times New Roman"/>
          <w:color w:val="202124"/>
          <w:highlight w:val="white"/>
        </w:rPr>
        <w:tab/>
      </w:r>
      <w:r w:rsidRPr="00DB64B6">
        <w:rPr>
          <w:rFonts w:ascii="Times New Roman" w:eastAsia="Times New Roman" w:hAnsi="Times New Roman" w:cs="Times New Roman"/>
          <w:color w:val="202124"/>
          <w:sz w:val="24"/>
          <w:szCs w:val="24"/>
          <w:highlight w:val="white"/>
        </w:rPr>
        <w:t>Não é à toa que a ABAAS</w:t>
      </w:r>
      <w:r>
        <w:rPr>
          <w:rFonts w:ascii="Times New Roman" w:eastAsia="Times New Roman" w:hAnsi="Times New Roman" w:cs="Times New Roman"/>
          <w:color w:val="202124"/>
          <w:sz w:val="24"/>
          <w:szCs w:val="24"/>
          <w:highlight w:val="white"/>
        </w:rPr>
        <w:t>, desde o princípio de sua organização, conta com um</w:t>
      </w:r>
      <w:r w:rsidRPr="00DB64B6">
        <w:rPr>
          <w:rFonts w:ascii="Times New Roman" w:eastAsia="Times New Roman" w:hAnsi="Times New Roman" w:cs="Times New Roman"/>
          <w:color w:val="202124"/>
          <w:sz w:val="24"/>
          <w:szCs w:val="24"/>
          <w:highlight w:val="white"/>
        </w:rPr>
        <w:t xml:space="preserve"> Comitê Tributário</w:t>
      </w:r>
      <w:r w:rsidRPr="00DB64B6">
        <w:rPr>
          <w:rFonts w:ascii="Times New Roman" w:eastAsia="Times New Roman" w:hAnsi="Times New Roman" w:cs="Times New Roman"/>
          <w:i/>
          <w:color w:val="202124"/>
          <w:sz w:val="24"/>
          <w:szCs w:val="24"/>
          <w:highlight w:val="white"/>
        </w:rPr>
        <w:t xml:space="preserve"> </w:t>
      </w:r>
      <w:r w:rsidRPr="009A24D8">
        <w:rPr>
          <w:rFonts w:ascii="Times New Roman" w:eastAsia="Times New Roman" w:hAnsi="Times New Roman" w:cs="Times New Roman"/>
          <w:iCs/>
          <w:color w:val="000000" w:themeColor="text1"/>
          <w:sz w:val="24"/>
          <w:szCs w:val="24"/>
          <w:highlight w:val="white"/>
        </w:rPr>
        <w:t>(REVISTA ABAAS, 2018C),</w:t>
      </w:r>
      <w:r w:rsidRPr="009A24D8">
        <w:rPr>
          <w:rFonts w:ascii="Times New Roman" w:eastAsia="Times New Roman" w:hAnsi="Times New Roman" w:cs="Times New Roman"/>
          <w:color w:val="000000" w:themeColor="text1"/>
          <w:sz w:val="24"/>
          <w:szCs w:val="24"/>
          <w:highlight w:val="white"/>
        </w:rPr>
        <w:t xml:space="preserve"> </w:t>
      </w:r>
      <w:r w:rsidRPr="00DB64B6">
        <w:rPr>
          <w:rFonts w:ascii="Times New Roman" w:eastAsia="Times New Roman" w:hAnsi="Times New Roman" w:cs="Times New Roman"/>
          <w:color w:val="202124"/>
          <w:sz w:val="24"/>
          <w:szCs w:val="24"/>
          <w:highlight w:val="white"/>
        </w:rPr>
        <w:t xml:space="preserve">e evita declarar que a maior parte do faturamento das redes venha do varejo. </w:t>
      </w:r>
    </w:p>
    <w:p w14:paraId="62299941" w14:textId="77777777" w:rsidR="00D17B2B" w:rsidRPr="00DB64B6" w:rsidRDefault="00D17B2B" w:rsidP="00D17B2B">
      <w:pPr>
        <w:spacing w:after="0" w:line="360" w:lineRule="auto"/>
        <w:jc w:val="both"/>
        <w:rPr>
          <w:rFonts w:ascii="Times New Roman" w:eastAsia="Times New Roman" w:hAnsi="Times New Roman" w:cs="Times New Roman"/>
          <w:sz w:val="24"/>
          <w:szCs w:val="24"/>
        </w:rPr>
      </w:pPr>
      <w:r w:rsidRPr="00DB64B6">
        <w:rPr>
          <w:rFonts w:ascii="Times New Roman" w:hAnsi="Times New Roman" w:cs="Times New Roman"/>
          <w:color w:val="202124"/>
          <w:sz w:val="24"/>
          <w:szCs w:val="24"/>
          <w:highlight w:val="white"/>
        </w:rPr>
        <w:tab/>
        <w:t xml:space="preserve">Avançando na questão da caracterização, partimos do pressuposto de que o </w:t>
      </w:r>
      <w:r w:rsidRPr="00DB64B6">
        <w:rPr>
          <w:rFonts w:ascii="Times New Roman" w:eastAsia="Times New Roman" w:hAnsi="Times New Roman" w:cs="Times New Roman"/>
          <w:sz w:val="24"/>
          <w:szCs w:val="24"/>
        </w:rPr>
        <w:t xml:space="preserve">argumento fundamental do </w:t>
      </w:r>
      <w:proofErr w:type="spellStart"/>
      <w:r>
        <w:rPr>
          <w:rFonts w:ascii="Times New Roman" w:eastAsia="Times New Roman" w:hAnsi="Times New Roman" w:cs="Times New Roman"/>
          <w:sz w:val="24"/>
          <w:szCs w:val="24"/>
        </w:rPr>
        <w:t>a</w:t>
      </w:r>
      <w:r w:rsidRPr="00DB64B6">
        <w:rPr>
          <w:rFonts w:ascii="Times New Roman" w:eastAsia="Times New Roman" w:hAnsi="Times New Roman" w:cs="Times New Roman"/>
          <w:sz w:val="24"/>
          <w:szCs w:val="24"/>
        </w:rPr>
        <w:t>tacarejo</w:t>
      </w:r>
      <w:proofErr w:type="spellEnd"/>
      <w:r w:rsidRPr="00DB64B6">
        <w:rPr>
          <w:rFonts w:ascii="Times New Roman" w:eastAsia="Times New Roman" w:hAnsi="Times New Roman" w:cs="Times New Roman"/>
          <w:sz w:val="24"/>
          <w:szCs w:val="24"/>
        </w:rPr>
        <w:t xml:space="preserve"> é o preço baixo, e este é conquistado através de uma reorganização estrutural do modelo de varejo supermercadista moderno. Dizemos que o argumento é o preço baixo porque, evidentemente, o objetivo é o aumento das taxas de lucro. Assim, descrevemos abaixo todos os aspectos que nos pareceram essenciais para a compreensão do modelo, e que foram identificados durante a análise do corpus teórico e documental elencado para a pesquisa. </w:t>
      </w:r>
    </w:p>
    <w:p w14:paraId="70E9463A" w14:textId="77777777" w:rsidR="00D17B2B" w:rsidRDefault="00D17B2B" w:rsidP="00D17B2B">
      <w:pPr>
        <w:spacing w:after="0" w:line="240" w:lineRule="auto"/>
        <w:jc w:val="both"/>
        <w:rPr>
          <w:rFonts w:ascii="Times New Roman" w:eastAsia="Times New Roman" w:hAnsi="Times New Roman" w:cs="Times New Roman"/>
          <w:i/>
          <w:color w:val="202124"/>
          <w:sz w:val="24"/>
          <w:szCs w:val="24"/>
        </w:rPr>
      </w:pPr>
    </w:p>
    <w:p w14:paraId="40380353" w14:textId="77777777" w:rsidR="00D17B2B" w:rsidRPr="00DB64B6" w:rsidRDefault="00D17B2B" w:rsidP="00D17B2B">
      <w:pPr>
        <w:spacing w:after="0" w:line="240" w:lineRule="auto"/>
        <w:jc w:val="both"/>
        <w:rPr>
          <w:rFonts w:ascii="Times New Roman" w:eastAsia="Times New Roman" w:hAnsi="Times New Roman" w:cs="Times New Roman"/>
          <w:i/>
          <w:color w:val="202124"/>
          <w:sz w:val="24"/>
          <w:szCs w:val="24"/>
        </w:rPr>
      </w:pPr>
      <w:r w:rsidRPr="00DB64B6">
        <w:rPr>
          <w:rFonts w:ascii="Times New Roman" w:eastAsia="Times New Roman" w:hAnsi="Times New Roman" w:cs="Times New Roman"/>
          <w:i/>
          <w:color w:val="202124"/>
          <w:sz w:val="24"/>
          <w:szCs w:val="24"/>
        </w:rPr>
        <w:t>I - Relações de Trabalho</w:t>
      </w:r>
    </w:p>
    <w:p w14:paraId="3FE4627E" w14:textId="77777777" w:rsidR="00D17B2B" w:rsidRPr="00DB64B6" w:rsidRDefault="00D17B2B" w:rsidP="00D17B2B">
      <w:pPr>
        <w:numPr>
          <w:ilvl w:val="0"/>
          <w:numId w:val="5"/>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 xml:space="preserve">Baixo custo operacional conquistado com menos trabalhadores. Elencamos como primeira característica esta que despontou como central na análise: o baixo custo operacional baseia-se na diminuição máxima de postos de trabalho, a denominada "operação enxuta" </w:t>
      </w:r>
      <w:r w:rsidRPr="009A24D8">
        <w:rPr>
          <w:rFonts w:ascii="Times New Roman" w:eastAsia="Times New Roman" w:hAnsi="Times New Roman" w:cs="Times New Roman"/>
          <w:color w:val="000000" w:themeColor="text1"/>
          <w:sz w:val="24"/>
          <w:szCs w:val="24"/>
        </w:rPr>
        <w:t>(REVISTA ABAAS, 2016; REVISTA ABAAS, 2017B).</w:t>
      </w:r>
    </w:p>
    <w:p w14:paraId="37A33F5C" w14:textId="77777777" w:rsidR="00D17B2B" w:rsidRPr="00DB64B6" w:rsidRDefault="00D17B2B" w:rsidP="00D17B2B">
      <w:pPr>
        <w:numPr>
          <w:ilvl w:val="0"/>
          <w:numId w:val="5"/>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 xml:space="preserve">Método de produtividade: defesa da meritocracia. Percebe-se que os ocupantes dos reduzidos postos de trabalho das lojas são </w:t>
      </w:r>
      <w:proofErr w:type="spellStart"/>
      <w:r w:rsidRPr="00DB64B6">
        <w:rPr>
          <w:rFonts w:ascii="Times New Roman" w:eastAsia="Times New Roman" w:hAnsi="Times New Roman" w:cs="Times New Roman"/>
          <w:color w:val="202124"/>
          <w:sz w:val="24"/>
          <w:szCs w:val="24"/>
        </w:rPr>
        <w:t>super</w:t>
      </w:r>
      <w:r>
        <w:rPr>
          <w:rFonts w:ascii="Times New Roman" w:eastAsia="Times New Roman" w:hAnsi="Times New Roman" w:cs="Times New Roman"/>
          <w:color w:val="202124"/>
          <w:sz w:val="24"/>
          <w:szCs w:val="24"/>
        </w:rPr>
        <w:t>-</w:t>
      </w:r>
      <w:r w:rsidRPr="00DB64B6">
        <w:rPr>
          <w:rFonts w:ascii="Times New Roman" w:eastAsia="Times New Roman" w:hAnsi="Times New Roman" w:cs="Times New Roman"/>
          <w:color w:val="202124"/>
          <w:sz w:val="24"/>
          <w:szCs w:val="24"/>
        </w:rPr>
        <w:t>explorados</w:t>
      </w:r>
      <w:proofErr w:type="spellEnd"/>
      <w:r w:rsidRPr="00DB64B6">
        <w:rPr>
          <w:rFonts w:ascii="Times New Roman" w:eastAsia="Times New Roman" w:hAnsi="Times New Roman" w:cs="Times New Roman"/>
          <w:color w:val="202124"/>
          <w:sz w:val="24"/>
          <w:szCs w:val="24"/>
        </w:rPr>
        <w:t xml:space="preserve"> através da implantação de sistemas de promoção baseados na meritocracia</w:t>
      </w:r>
      <w:r>
        <w:rPr>
          <w:rFonts w:ascii="Times New Roman" w:eastAsia="Times New Roman" w:hAnsi="Times New Roman" w:cs="Times New Roman"/>
          <w:color w:val="202124"/>
          <w:sz w:val="24"/>
          <w:szCs w:val="24"/>
        </w:rPr>
        <w:t>.</w:t>
      </w:r>
      <w:r w:rsidRPr="00DB64B6">
        <w:rPr>
          <w:rFonts w:ascii="Times New Roman" w:eastAsia="Times New Roman" w:hAnsi="Times New Roman" w:cs="Times New Roman"/>
          <w:color w:val="202124"/>
          <w:sz w:val="24"/>
          <w:szCs w:val="24"/>
        </w:rPr>
        <w:t xml:space="preserve"> </w:t>
      </w:r>
      <w:r w:rsidRPr="009A24D8">
        <w:rPr>
          <w:rFonts w:ascii="Times New Roman" w:eastAsia="Times New Roman" w:hAnsi="Times New Roman" w:cs="Times New Roman"/>
          <w:color w:val="000000" w:themeColor="text1"/>
          <w:sz w:val="24"/>
          <w:szCs w:val="24"/>
        </w:rPr>
        <w:t>(REVISTA ABAAS, 2018A)</w:t>
      </w:r>
      <w:r>
        <w:rPr>
          <w:rFonts w:ascii="Times New Roman" w:eastAsia="Times New Roman" w:hAnsi="Times New Roman" w:cs="Times New Roman"/>
          <w:color w:val="000000" w:themeColor="text1"/>
          <w:sz w:val="24"/>
          <w:szCs w:val="24"/>
        </w:rPr>
        <w:t>.</w:t>
      </w:r>
    </w:p>
    <w:p w14:paraId="0CC2801F" w14:textId="77777777" w:rsidR="00D17B2B" w:rsidRPr="00DB64B6" w:rsidRDefault="00D17B2B" w:rsidP="00D17B2B">
      <w:pPr>
        <w:spacing w:after="0" w:line="240" w:lineRule="auto"/>
        <w:ind w:left="720"/>
        <w:jc w:val="both"/>
        <w:rPr>
          <w:rFonts w:ascii="Times New Roman" w:eastAsia="Times New Roman" w:hAnsi="Times New Roman" w:cs="Times New Roman"/>
          <w:color w:val="202124"/>
          <w:sz w:val="24"/>
          <w:szCs w:val="24"/>
        </w:rPr>
      </w:pPr>
    </w:p>
    <w:p w14:paraId="1CB9D49E" w14:textId="77777777" w:rsidR="00D17B2B" w:rsidRPr="00DB64B6" w:rsidRDefault="00D17B2B" w:rsidP="00D17B2B">
      <w:pPr>
        <w:spacing w:after="0" w:line="240" w:lineRule="auto"/>
        <w:jc w:val="both"/>
        <w:rPr>
          <w:rFonts w:ascii="Times New Roman" w:eastAsia="Times New Roman" w:hAnsi="Times New Roman" w:cs="Times New Roman"/>
          <w:i/>
          <w:color w:val="202124"/>
          <w:sz w:val="24"/>
          <w:szCs w:val="24"/>
        </w:rPr>
      </w:pPr>
      <w:r w:rsidRPr="00DB64B6">
        <w:rPr>
          <w:rFonts w:ascii="Times New Roman" w:eastAsia="Times New Roman" w:hAnsi="Times New Roman" w:cs="Times New Roman"/>
          <w:i/>
          <w:color w:val="202124"/>
          <w:sz w:val="24"/>
          <w:szCs w:val="24"/>
        </w:rPr>
        <w:t>II - Tecnologia</w:t>
      </w:r>
    </w:p>
    <w:p w14:paraId="201E8372" w14:textId="77777777" w:rsidR="00D17B2B" w:rsidRPr="00DB64B6" w:rsidRDefault="00D17B2B" w:rsidP="00D17B2B">
      <w:pPr>
        <w:numPr>
          <w:ilvl w:val="0"/>
          <w:numId w:val="2"/>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lastRenderedPageBreak/>
        <w:t xml:space="preserve">Uso de Tecnologias da Informação. Típico das redes, </w:t>
      </w:r>
      <w:r>
        <w:rPr>
          <w:rFonts w:ascii="Times New Roman" w:eastAsia="Times New Roman" w:hAnsi="Times New Roman" w:cs="Times New Roman"/>
          <w:color w:val="202124"/>
          <w:sz w:val="24"/>
          <w:szCs w:val="24"/>
        </w:rPr>
        <w:t xml:space="preserve">o </w:t>
      </w:r>
      <w:r w:rsidRPr="00DB64B6">
        <w:rPr>
          <w:rFonts w:ascii="Times New Roman" w:eastAsia="Times New Roman" w:hAnsi="Times New Roman" w:cs="Times New Roman"/>
          <w:color w:val="202124"/>
          <w:sz w:val="24"/>
          <w:szCs w:val="24"/>
        </w:rPr>
        <w:t xml:space="preserve">modelo de </w:t>
      </w:r>
      <w:proofErr w:type="spellStart"/>
      <w:r w:rsidRPr="00DB64B6">
        <w:rPr>
          <w:rFonts w:ascii="Times New Roman" w:eastAsia="Times New Roman" w:hAnsi="Times New Roman" w:cs="Times New Roman"/>
          <w:color w:val="202124"/>
          <w:sz w:val="24"/>
          <w:szCs w:val="24"/>
        </w:rPr>
        <w:t>atacarejo</w:t>
      </w:r>
      <w:proofErr w:type="spellEnd"/>
      <w:r w:rsidRPr="00DB64B6">
        <w:rPr>
          <w:rFonts w:ascii="Times New Roman" w:eastAsia="Times New Roman" w:hAnsi="Times New Roman" w:cs="Times New Roman"/>
          <w:color w:val="202124"/>
          <w:sz w:val="24"/>
          <w:szCs w:val="24"/>
        </w:rPr>
        <w:t xml:space="preserve"> faz uso intensivo das Tecnologias da Informação para dar conta da complexidade de sua operação. A tecnologia é aplicada para redução de custos e aumento da produtividade, sendo utilizada para aprimorar a logística de reposição, identificação de perfis de consumidores e acompanhamento do comportamento dos funcionários.</w:t>
      </w:r>
      <w:r>
        <w:rPr>
          <w:rFonts w:ascii="Times New Roman" w:eastAsia="Times New Roman" w:hAnsi="Times New Roman" w:cs="Times New Roman"/>
          <w:color w:val="202124"/>
          <w:sz w:val="24"/>
          <w:szCs w:val="24"/>
        </w:rPr>
        <w:t xml:space="preserve"> </w:t>
      </w:r>
      <w:r w:rsidRPr="009A24D8">
        <w:rPr>
          <w:rFonts w:ascii="Times New Roman" w:eastAsia="Times New Roman" w:hAnsi="Times New Roman" w:cs="Times New Roman"/>
          <w:color w:val="000000" w:themeColor="text1"/>
          <w:sz w:val="24"/>
          <w:szCs w:val="24"/>
        </w:rPr>
        <w:t>(REVISTA ABAAS, 201</w:t>
      </w:r>
      <w:r>
        <w:rPr>
          <w:rFonts w:ascii="Times New Roman" w:eastAsia="Times New Roman" w:hAnsi="Times New Roman" w:cs="Times New Roman"/>
          <w:color w:val="000000" w:themeColor="text1"/>
          <w:sz w:val="24"/>
          <w:szCs w:val="24"/>
        </w:rPr>
        <w:t>9</w:t>
      </w:r>
      <w:r w:rsidRPr="009A24D8">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FF0000"/>
          <w:sz w:val="24"/>
          <w:szCs w:val="24"/>
        </w:rPr>
        <w:t>.</w:t>
      </w:r>
    </w:p>
    <w:p w14:paraId="4DA58248" w14:textId="77777777" w:rsidR="00D17B2B" w:rsidRPr="00DB64B6" w:rsidRDefault="00D17B2B" w:rsidP="00D17B2B">
      <w:pPr>
        <w:spacing w:after="0" w:line="240" w:lineRule="auto"/>
        <w:ind w:left="720"/>
        <w:jc w:val="both"/>
        <w:rPr>
          <w:rFonts w:ascii="Times New Roman" w:eastAsia="Times New Roman" w:hAnsi="Times New Roman" w:cs="Times New Roman"/>
          <w:color w:val="202124"/>
          <w:sz w:val="24"/>
          <w:szCs w:val="24"/>
        </w:rPr>
      </w:pPr>
    </w:p>
    <w:p w14:paraId="6183E423" w14:textId="77777777" w:rsidR="00D17B2B" w:rsidRPr="008311EF" w:rsidRDefault="00D17B2B" w:rsidP="00D17B2B">
      <w:pPr>
        <w:spacing w:after="0" w:line="240" w:lineRule="auto"/>
        <w:jc w:val="both"/>
        <w:rPr>
          <w:rFonts w:ascii="Times New Roman" w:eastAsia="Times New Roman" w:hAnsi="Times New Roman" w:cs="Times New Roman"/>
          <w:i/>
          <w:color w:val="202124"/>
          <w:sz w:val="24"/>
          <w:szCs w:val="24"/>
        </w:rPr>
      </w:pPr>
      <w:r w:rsidRPr="008311EF">
        <w:rPr>
          <w:rFonts w:ascii="Times New Roman" w:eastAsia="Times New Roman" w:hAnsi="Times New Roman" w:cs="Times New Roman"/>
          <w:i/>
          <w:color w:val="202124"/>
          <w:sz w:val="24"/>
          <w:szCs w:val="24"/>
        </w:rPr>
        <w:t>III - Aspectos arquitetônicos</w:t>
      </w:r>
    </w:p>
    <w:p w14:paraId="1BD406B5" w14:textId="77777777" w:rsidR="00D17B2B" w:rsidRPr="008311EF" w:rsidRDefault="00D17B2B" w:rsidP="00D17B2B">
      <w:pPr>
        <w:numPr>
          <w:ilvl w:val="0"/>
          <w:numId w:val="3"/>
        </w:numPr>
        <w:spacing w:after="0" w:line="240" w:lineRule="auto"/>
        <w:jc w:val="both"/>
        <w:rPr>
          <w:rFonts w:ascii="Times New Roman" w:eastAsia="Times New Roman" w:hAnsi="Times New Roman" w:cs="Times New Roman"/>
          <w:color w:val="202124"/>
          <w:sz w:val="24"/>
          <w:szCs w:val="24"/>
        </w:rPr>
      </w:pPr>
      <w:r w:rsidRPr="008311EF">
        <w:rPr>
          <w:rFonts w:ascii="Times New Roman" w:eastAsia="Times New Roman" w:hAnsi="Times New Roman" w:cs="Times New Roman"/>
          <w:color w:val="202124"/>
          <w:sz w:val="24"/>
          <w:szCs w:val="24"/>
        </w:rPr>
        <w:t xml:space="preserve">Disponibilização dos produtos em corredores formados por gôndolas sobre as quais localiza-se a estocagem dos produtos. </w:t>
      </w:r>
      <w:r w:rsidRPr="008311EF">
        <w:rPr>
          <w:rFonts w:ascii="Times New Roman" w:eastAsia="Times New Roman" w:hAnsi="Times New Roman" w:cs="Times New Roman"/>
          <w:color w:val="000000" w:themeColor="text1"/>
          <w:sz w:val="24"/>
          <w:szCs w:val="24"/>
        </w:rPr>
        <w:t>(NAPOLEÃO, 2017).</w:t>
      </w:r>
    </w:p>
    <w:p w14:paraId="30120820" w14:textId="77777777" w:rsidR="00D17B2B" w:rsidRPr="00DB64B6" w:rsidRDefault="00D17B2B" w:rsidP="00D17B2B">
      <w:pPr>
        <w:numPr>
          <w:ilvl w:val="0"/>
          <w:numId w:val="3"/>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Tamanho amplo. Busca-se constantemente ampliar o número de produtos e, consequentemente, de vendas por metro</w:t>
      </w:r>
      <w:r w:rsidRPr="00DB64B6">
        <w:rPr>
          <w:rFonts w:ascii="Times New Roman" w:eastAsia="Times New Roman" w:hAnsi="Times New Roman" w:cs="Times New Roman"/>
          <w:color w:val="202124"/>
          <w:sz w:val="24"/>
          <w:szCs w:val="24"/>
          <w:vertAlign w:val="superscript"/>
        </w:rPr>
        <w:t>2</w:t>
      </w:r>
      <w:r w:rsidRPr="00DB64B6">
        <w:rPr>
          <w:rFonts w:ascii="Times New Roman" w:eastAsia="Times New Roman" w:hAnsi="Times New Roman" w:cs="Times New Roman"/>
          <w:color w:val="202124"/>
          <w:sz w:val="24"/>
          <w:szCs w:val="24"/>
        </w:rPr>
        <w:t xml:space="preserve">. </w:t>
      </w:r>
      <w:r w:rsidRPr="009A24D8">
        <w:rPr>
          <w:rFonts w:ascii="Times New Roman" w:eastAsia="Times New Roman" w:hAnsi="Times New Roman" w:cs="Times New Roman"/>
          <w:color w:val="000000" w:themeColor="text1"/>
          <w:sz w:val="24"/>
          <w:szCs w:val="24"/>
        </w:rPr>
        <w:t>(REVISTA ABAAS, 201</w:t>
      </w:r>
      <w:r>
        <w:rPr>
          <w:rFonts w:ascii="Times New Roman" w:eastAsia="Times New Roman" w:hAnsi="Times New Roman" w:cs="Times New Roman"/>
          <w:color w:val="000000" w:themeColor="text1"/>
          <w:sz w:val="24"/>
          <w:szCs w:val="24"/>
        </w:rPr>
        <w:t>6</w:t>
      </w:r>
      <w:r w:rsidRPr="009A24D8">
        <w:rPr>
          <w:rFonts w:ascii="Times New Roman" w:eastAsia="Times New Roman" w:hAnsi="Times New Roman" w:cs="Times New Roman"/>
          <w:color w:val="000000" w:themeColor="text1"/>
          <w:sz w:val="24"/>
          <w:szCs w:val="24"/>
        </w:rPr>
        <w:t>)</w:t>
      </w:r>
    </w:p>
    <w:p w14:paraId="3ECE7A35" w14:textId="77777777" w:rsidR="00D17B2B" w:rsidRPr="00DB64B6" w:rsidRDefault="00D17B2B" w:rsidP="00D17B2B">
      <w:pPr>
        <w:numPr>
          <w:ilvl w:val="0"/>
          <w:numId w:val="3"/>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 xml:space="preserve">Fator logístico. A estrutura ampla também visa permitir a estocagem no mesmo espaço das vendas. A maioria das lojas não precisa de um centro de distribuição. </w:t>
      </w:r>
      <w:r w:rsidRPr="009A24D8">
        <w:rPr>
          <w:rFonts w:ascii="Times New Roman" w:eastAsia="Times New Roman" w:hAnsi="Times New Roman" w:cs="Times New Roman"/>
          <w:color w:val="000000" w:themeColor="text1"/>
          <w:sz w:val="24"/>
          <w:szCs w:val="24"/>
        </w:rPr>
        <w:t>(REVISTA ABAAS, 201</w:t>
      </w:r>
      <w:r>
        <w:rPr>
          <w:rFonts w:ascii="Times New Roman" w:eastAsia="Times New Roman" w:hAnsi="Times New Roman" w:cs="Times New Roman"/>
          <w:color w:val="000000" w:themeColor="text1"/>
          <w:sz w:val="24"/>
          <w:szCs w:val="24"/>
        </w:rPr>
        <w:t>6</w:t>
      </w:r>
      <w:r w:rsidRPr="009A24D8">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12332124" w14:textId="77777777" w:rsidR="00D17B2B" w:rsidRPr="00DB64B6" w:rsidRDefault="00D17B2B" w:rsidP="00D17B2B">
      <w:pPr>
        <w:numPr>
          <w:ilvl w:val="0"/>
          <w:numId w:val="3"/>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 xml:space="preserve">Grande quantidade de </w:t>
      </w:r>
      <w:proofErr w:type="spellStart"/>
      <w:r w:rsidRPr="00DB64B6">
        <w:rPr>
          <w:rFonts w:ascii="Times New Roman" w:eastAsia="Times New Roman" w:hAnsi="Times New Roman" w:cs="Times New Roman"/>
          <w:color w:val="202124"/>
          <w:sz w:val="24"/>
          <w:szCs w:val="24"/>
        </w:rPr>
        <w:t>check-outs</w:t>
      </w:r>
      <w:proofErr w:type="spellEnd"/>
      <w:r w:rsidRPr="00DB64B6">
        <w:rPr>
          <w:rFonts w:ascii="Times New Roman" w:eastAsia="Times New Roman" w:hAnsi="Times New Roman" w:cs="Times New Roman"/>
          <w:color w:val="202124"/>
          <w:sz w:val="24"/>
          <w:szCs w:val="24"/>
        </w:rPr>
        <w:t xml:space="preserve">. Entre 20 e 30.  </w:t>
      </w:r>
      <w:r w:rsidRPr="009A24D8">
        <w:rPr>
          <w:rFonts w:ascii="Times New Roman" w:eastAsia="Times New Roman" w:hAnsi="Times New Roman" w:cs="Times New Roman"/>
          <w:color w:val="000000" w:themeColor="text1"/>
          <w:sz w:val="24"/>
          <w:szCs w:val="24"/>
        </w:rPr>
        <w:t>(REVISTA ABAAS, 201</w:t>
      </w:r>
      <w:r>
        <w:rPr>
          <w:rFonts w:ascii="Times New Roman" w:eastAsia="Times New Roman" w:hAnsi="Times New Roman" w:cs="Times New Roman"/>
          <w:color w:val="000000" w:themeColor="text1"/>
          <w:sz w:val="24"/>
          <w:szCs w:val="24"/>
        </w:rPr>
        <w:t>6</w:t>
      </w:r>
      <w:r w:rsidRPr="009A24D8">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4E8B2C68" w14:textId="77777777" w:rsidR="00D17B2B" w:rsidRPr="00DB64B6" w:rsidRDefault="00D17B2B" w:rsidP="00D17B2B">
      <w:pPr>
        <w:numPr>
          <w:ilvl w:val="0"/>
          <w:numId w:val="3"/>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 xml:space="preserve">Grande quantidade de vagas de estacionamento. Entre 300 e 500. </w:t>
      </w:r>
      <w:r w:rsidRPr="009A24D8">
        <w:rPr>
          <w:rFonts w:ascii="Times New Roman" w:eastAsia="Times New Roman" w:hAnsi="Times New Roman" w:cs="Times New Roman"/>
          <w:color w:val="000000" w:themeColor="text1"/>
          <w:sz w:val="24"/>
          <w:szCs w:val="24"/>
        </w:rPr>
        <w:t>(REVISTA ABAAS, 201</w:t>
      </w:r>
      <w:r>
        <w:rPr>
          <w:rFonts w:ascii="Times New Roman" w:eastAsia="Times New Roman" w:hAnsi="Times New Roman" w:cs="Times New Roman"/>
          <w:color w:val="000000" w:themeColor="text1"/>
          <w:sz w:val="24"/>
          <w:szCs w:val="24"/>
        </w:rPr>
        <w:t>6</w:t>
      </w:r>
      <w:r w:rsidRPr="009A24D8">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4C3372D0" w14:textId="77777777" w:rsidR="00D17B2B" w:rsidRPr="00DB64B6" w:rsidRDefault="00D17B2B" w:rsidP="00D17B2B">
      <w:pPr>
        <w:numPr>
          <w:ilvl w:val="0"/>
          <w:numId w:val="3"/>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 xml:space="preserve">Padronização. A ABAAS desenvolveu um manual intitulado </w:t>
      </w:r>
      <w:r>
        <w:rPr>
          <w:rFonts w:ascii="Times New Roman" w:eastAsia="Times New Roman" w:hAnsi="Times New Roman" w:cs="Times New Roman"/>
          <w:color w:val="202124"/>
          <w:sz w:val="24"/>
          <w:szCs w:val="24"/>
        </w:rPr>
        <w:t>“</w:t>
      </w:r>
      <w:r w:rsidRPr="00DB64B6">
        <w:rPr>
          <w:rFonts w:ascii="Times New Roman" w:eastAsia="Times New Roman" w:hAnsi="Times New Roman" w:cs="Times New Roman"/>
          <w:color w:val="202124"/>
          <w:sz w:val="24"/>
          <w:szCs w:val="24"/>
        </w:rPr>
        <w:t>Mandamentos do Bem</w:t>
      </w:r>
      <w:r>
        <w:rPr>
          <w:rFonts w:ascii="Times New Roman" w:eastAsia="Times New Roman" w:hAnsi="Times New Roman" w:cs="Times New Roman"/>
          <w:color w:val="202124"/>
          <w:sz w:val="24"/>
          <w:szCs w:val="24"/>
        </w:rPr>
        <w:t>”</w:t>
      </w:r>
      <w:r w:rsidRPr="00DB64B6">
        <w:rPr>
          <w:rFonts w:ascii="Times New Roman" w:eastAsia="Times New Roman" w:hAnsi="Times New Roman" w:cs="Times New Roman"/>
          <w:color w:val="202124"/>
          <w:sz w:val="24"/>
          <w:szCs w:val="24"/>
        </w:rPr>
        <w:t xml:space="preserve"> sobre a instalação, operação, inspeção e manutenção de porta-paletes e uso correto das empilhadeiras. “O objetivo é conceber um modelo de loja e determinar a altura do último nível de carga entre os associados da ABAAS com ênfase na segurança e na confiança do ambiente </w:t>
      </w:r>
      <w:proofErr w:type="spellStart"/>
      <w:r w:rsidRPr="00DB64B6">
        <w:rPr>
          <w:rFonts w:ascii="Times New Roman" w:eastAsia="Times New Roman" w:hAnsi="Times New Roman" w:cs="Times New Roman"/>
          <w:color w:val="202124"/>
          <w:sz w:val="24"/>
          <w:szCs w:val="24"/>
        </w:rPr>
        <w:t>Atacarejo</w:t>
      </w:r>
      <w:proofErr w:type="spellEnd"/>
      <w:r>
        <w:rPr>
          <w:rFonts w:ascii="Times New Roman" w:eastAsia="Times New Roman" w:hAnsi="Times New Roman" w:cs="Times New Roman"/>
          <w:color w:val="202124"/>
          <w:sz w:val="24"/>
          <w:szCs w:val="24"/>
        </w:rPr>
        <w:t>.</w:t>
      </w:r>
      <w:r w:rsidRPr="00DB64B6">
        <w:rPr>
          <w:rFonts w:ascii="Times New Roman" w:eastAsia="Times New Roman" w:hAnsi="Times New Roman" w:cs="Times New Roman"/>
          <w:color w:val="202124"/>
          <w:sz w:val="24"/>
          <w:szCs w:val="24"/>
        </w:rPr>
        <w:t>”</w:t>
      </w:r>
      <w:r>
        <w:rPr>
          <w:rFonts w:ascii="Times New Roman" w:eastAsia="Times New Roman" w:hAnsi="Times New Roman" w:cs="Times New Roman"/>
          <w:color w:val="202124"/>
          <w:sz w:val="24"/>
          <w:szCs w:val="24"/>
        </w:rPr>
        <w:t xml:space="preserve"> </w:t>
      </w:r>
      <w:r w:rsidRPr="009A24D8">
        <w:rPr>
          <w:rFonts w:ascii="Times New Roman" w:eastAsia="Times New Roman" w:hAnsi="Times New Roman" w:cs="Times New Roman"/>
          <w:color w:val="000000" w:themeColor="text1"/>
          <w:sz w:val="24"/>
          <w:szCs w:val="24"/>
        </w:rPr>
        <w:t>(REVISTA ABAAS, 20</w:t>
      </w:r>
      <w:r>
        <w:rPr>
          <w:rFonts w:ascii="Times New Roman" w:eastAsia="Times New Roman" w:hAnsi="Times New Roman" w:cs="Times New Roman"/>
          <w:color w:val="000000" w:themeColor="text1"/>
          <w:sz w:val="24"/>
          <w:szCs w:val="24"/>
        </w:rPr>
        <w:t>20B</w:t>
      </w:r>
      <w:r w:rsidRPr="009A24D8">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DB64B6">
        <w:rPr>
          <w:rFonts w:ascii="Times New Roman" w:eastAsia="Times New Roman" w:hAnsi="Times New Roman" w:cs="Times New Roman"/>
          <w:color w:val="202124"/>
          <w:sz w:val="24"/>
          <w:szCs w:val="24"/>
        </w:rPr>
        <w:t>Além disso, a ABAAS encomendou um projeto de porta-paletes universal em aço carbono para todas as lojas.</w:t>
      </w:r>
      <w:r w:rsidRPr="00DB64B6">
        <w:rPr>
          <w:rFonts w:ascii="Times New Roman" w:eastAsia="Times New Roman" w:hAnsi="Times New Roman" w:cs="Times New Roman"/>
          <w:color w:val="FF0000"/>
          <w:sz w:val="24"/>
          <w:szCs w:val="24"/>
        </w:rPr>
        <w:t xml:space="preserve"> </w:t>
      </w:r>
      <w:r w:rsidRPr="009A24D8">
        <w:rPr>
          <w:rFonts w:ascii="Times New Roman" w:eastAsia="Times New Roman" w:hAnsi="Times New Roman" w:cs="Times New Roman"/>
          <w:color w:val="000000" w:themeColor="text1"/>
          <w:sz w:val="24"/>
          <w:szCs w:val="24"/>
        </w:rPr>
        <w:t>(REVISTA ABAAS, 20</w:t>
      </w:r>
      <w:r>
        <w:rPr>
          <w:rFonts w:ascii="Times New Roman" w:eastAsia="Times New Roman" w:hAnsi="Times New Roman" w:cs="Times New Roman"/>
          <w:color w:val="000000" w:themeColor="text1"/>
          <w:sz w:val="24"/>
          <w:szCs w:val="24"/>
        </w:rPr>
        <w:t>20B</w:t>
      </w:r>
      <w:r w:rsidRPr="009A24D8">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6CC87804" w14:textId="77777777" w:rsidR="00D17B2B" w:rsidRPr="00DB64B6" w:rsidRDefault="00D17B2B" w:rsidP="00D17B2B">
      <w:pPr>
        <w:spacing w:after="0" w:line="240" w:lineRule="auto"/>
        <w:ind w:left="720"/>
        <w:jc w:val="both"/>
        <w:rPr>
          <w:rFonts w:ascii="Times New Roman" w:eastAsia="Times New Roman" w:hAnsi="Times New Roman" w:cs="Times New Roman"/>
          <w:color w:val="202124"/>
          <w:sz w:val="24"/>
          <w:szCs w:val="24"/>
        </w:rPr>
      </w:pPr>
    </w:p>
    <w:p w14:paraId="61B12537" w14:textId="77777777" w:rsidR="00D17B2B" w:rsidRPr="00DB64B6" w:rsidRDefault="00D17B2B" w:rsidP="00D17B2B">
      <w:pPr>
        <w:spacing w:after="0" w:line="240" w:lineRule="auto"/>
        <w:jc w:val="both"/>
        <w:rPr>
          <w:rFonts w:ascii="Times New Roman" w:eastAsia="Times New Roman" w:hAnsi="Times New Roman" w:cs="Times New Roman"/>
          <w:i/>
          <w:color w:val="202124"/>
          <w:sz w:val="24"/>
          <w:szCs w:val="24"/>
        </w:rPr>
      </w:pPr>
      <w:r w:rsidRPr="00DB64B6">
        <w:rPr>
          <w:rFonts w:ascii="Times New Roman" w:eastAsia="Times New Roman" w:hAnsi="Times New Roman" w:cs="Times New Roman"/>
          <w:i/>
          <w:color w:val="202124"/>
          <w:sz w:val="24"/>
          <w:szCs w:val="24"/>
        </w:rPr>
        <w:t>IV - Inserção urbano-regional</w:t>
      </w:r>
    </w:p>
    <w:p w14:paraId="63EDA13F" w14:textId="77777777" w:rsidR="00D17B2B" w:rsidRPr="00DB64B6" w:rsidRDefault="00D17B2B" w:rsidP="00D17B2B">
      <w:pPr>
        <w:numPr>
          <w:ilvl w:val="0"/>
          <w:numId w:val="8"/>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 xml:space="preserve">Localização nas margens de grandes estruturas viárias. Por se classificarem como um varejo de destino, precisam priorizar acessos motorizados e locais com glebas maiores disponíveis para viabilizar grandes áreas de estacionamentos. A própria presença dos estacionamentos precedendo a loja atesta que são pensadas para o acesso de automóveis, não de pedestres. </w:t>
      </w:r>
    </w:p>
    <w:p w14:paraId="2E4FC7CD" w14:textId="77777777" w:rsidR="00D17B2B" w:rsidRPr="00DB64B6" w:rsidRDefault="00D17B2B" w:rsidP="00D17B2B">
      <w:pPr>
        <w:numPr>
          <w:ilvl w:val="0"/>
          <w:numId w:val="8"/>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 xml:space="preserve">Até o ano de 2017, em escala nacional, os </w:t>
      </w:r>
      <w:proofErr w:type="spellStart"/>
      <w:r w:rsidRPr="00DB64B6">
        <w:rPr>
          <w:rFonts w:ascii="Times New Roman" w:eastAsia="Times New Roman" w:hAnsi="Times New Roman" w:cs="Times New Roman"/>
          <w:color w:val="202124"/>
          <w:sz w:val="24"/>
          <w:szCs w:val="24"/>
        </w:rPr>
        <w:t>atacarejos</w:t>
      </w:r>
      <w:proofErr w:type="spellEnd"/>
      <w:r w:rsidRPr="00DB64B6">
        <w:rPr>
          <w:rFonts w:ascii="Times New Roman" w:eastAsia="Times New Roman" w:hAnsi="Times New Roman" w:cs="Times New Roman"/>
          <w:color w:val="202124"/>
          <w:sz w:val="24"/>
          <w:szCs w:val="24"/>
        </w:rPr>
        <w:t xml:space="preserve"> miram aglomerações urbanas significativas, entretanto, também consideram a presença de famílias numerosas das classes populares para decidir sua inserção. Desta forma, as principais áreas de expansão do modelo eram as regiões Sudeste e Nordeste. </w:t>
      </w:r>
      <w:r w:rsidRPr="009A24D8">
        <w:rPr>
          <w:rFonts w:ascii="Times New Roman" w:eastAsia="Times New Roman" w:hAnsi="Times New Roman" w:cs="Times New Roman"/>
          <w:color w:val="000000" w:themeColor="text1"/>
          <w:sz w:val="24"/>
          <w:szCs w:val="24"/>
        </w:rPr>
        <w:t>(REVISTA ABAAS, 20</w:t>
      </w:r>
      <w:r>
        <w:rPr>
          <w:rFonts w:ascii="Times New Roman" w:eastAsia="Times New Roman" w:hAnsi="Times New Roman" w:cs="Times New Roman"/>
          <w:color w:val="000000" w:themeColor="text1"/>
          <w:sz w:val="24"/>
          <w:szCs w:val="24"/>
        </w:rPr>
        <w:t>17B</w:t>
      </w:r>
      <w:r w:rsidRPr="009A24D8">
        <w:rPr>
          <w:rFonts w:ascii="Times New Roman" w:eastAsia="Times New Roman" w:hAnsi="Times New Roman" w:cs="Times New Roman"/>
          <w:color w:val="000000" w:themeColor="text1"/>
          <w:sz w:val="24"/>
          <w:szCs w:val="24"/>
        </w:rPr>
        <w:t>)</w:t>
      </w:r>
      <w:r w:rsidRPr="00DB64B6">
        <w:rPr>
          <w:rFonts w:ascii="Times New Roman" w:eastAsia="Times New Roman" w:hAnsi="Times New Roman" w:cs="Times New Roman"/>
          <w:color w:val="202124"/>
          <w:sz w:val="24"/>
          <w:szCs w:val="24"/>
        </w:rPr>
        <w:t xml:space="preserve">. Entretanto, a partir de 2018 começou a se considerar uma migração da periferia para o centro, após percepção da aceitação do modelo pelas classes de alta renda. Neste movimento, surgem formatos mais compactos de lojas, pois os centros das cidades são mais densamente ocupados. Da mesma forma, o modelo vem gradativamente se expandindo para as cidades do interior. </w:t>
      </w:r>
      <w:r w:rsidRPr="00DB64B6">
        <w:rPr>
          <w:rFonts w:ascii="Times New Roman" w:eastAsia="Times New Roman" w:hAnsi="Times New Roman" w:cs="Times New Roman"/>
          <w:color w:val="FF0000"/>
          <w:sz w:val="24"/>
          <w:szCs w:val="24"/>
        </w:rPr>
        <w:t xml:space="preserve"> </w:t>
      </w:r>
      <w:r w:rsidRPr="009A24D8">
        <w:rPr>
          <w:rFonts w:ascii="Times New Roman" w:eastAsia="Times New Roman" w:hAnsi="Times New Roman" w:cs="Times New Roman"/>
          <w:color w:val="000000" w:themeColor="text1"/>
          <w:sz w:val="24"/>
          <w:szCs w:val="24"/>
        </w:rPr>
        <w:t>(REVISTA ABAAS, 20</w:t>
      </w:r>
      <w:r>
        <w:rPr>
          <w:rFonts w:ascii="Times New Roman" w:eastAsia="Times New Roman" w:hAnsi="Times New Roman" w:cs="Times New Roman"/>
          <w:color w:val="000000" w:themeColor="text1"/>
          <w:sz w:val="24"/>
          <w:szCs w:val="24"/>
        </w:rPr>
        <w:t>17B</w:t>
      </w:r>
      <w:r w:rsidRPr="009A24D8">
        <w:rPr>
          <w:rFonts w:ascii="Times New Roman" w:eastAsia="Times New Roman" w:hAnsi="Times New Roman" w:cs="Times New Roman"/>
          <w:color w:val="000000" w:themeColor="text1"/>
          <w:sz w:val="24"/>
          <w:szCs w:val="24"/>
        </w:rPr>
        <w:t>)</w:t>
      </w:r>
      <w:r w:rsidRPr="00DB64B6">
        <w:rPr>
          <w:rFonts w:ascii="Times New Roman" w:eastAsia="Times New Roman" w:hAnsi="Times New Roman" w:cs="Times New Roman"/>
          <w:color w:val="202124"/>
          <w:sz w:val="24"/>
          <w:szCs w:val="24"/>
        </w:rPr>
        <w:t>.</w:t>
      </w:r>
    </w:p>
    <w:p w14:paraId="45B0DC1D" w14:textId="77777777" w:rsidR="00D17B2B" w:rsidRPr="00DB64B6" w:rsidRDefault="00D17B2B" w:rsidP="00D17B2B">
      <w:pPr>
        <w:spacing w:after="0" w:line="240" w:lineRule="auto"/>
        <w:ind w:left="720"/>
        <w:jc w:val="both"/>
        <w:rPr>
          <w:rFonts w:ascii="Times New Roman" w:eastAsia="Times New Roman" w:hAnsi="Times New Roman" w:cs="Times New Roman"/>
          <w:color w:val="202124"/>
          <w:sz w:val="24"/>
          <w:szCs w:val="24"/>
        </w:rPr>
      </w:pPr>
    </w:p>
    <w:p w14:paraId="2CF919CE" w14:textId="77777777" w:rsidR="00D17B2B" w:rsidRPr="00DB64B6" w:rsidRDefault="00D17B2B" w:rsidP="00D17B2B">
      <w:pPr>
        <w:spacing w:after="0" w:line="240" w:lineRule="auto"/>
        <w:jc w:val="both"/>
        <w:rPr>
          <w:rFonts w:ascii="Times New Roman" w:eastAsia="Times New Roman" w:hAnsi="Times New Roman" w:cs="Times New Roman"/>
          <w:i/>
          <w:color w:val="202124"/>
          <w:sz w:val="24"/>
          <w:szCs w:val="24"/>
        </w:rPr>
      </w:pPr>
      <w:r w:rsidRPr="00DB64B6">
        <w:rPr>
          <w:rFonts w:ascii="Times New Roman" w:eastAsia="Times New Roman" w:hAnsi="Times New Roman" w:cs="Times New Roman"/>
          <w:i/>
          <w:color w:val="202124"/>
          <w:sz w:val="24"/>
          <w:szCs w:val="24"/>
        </w:rPr>
        <w:t>V - Clientela</w:t>
      </w:r>
    </w:p>
    <w:p w14:paraId="6B5FC26F" w14:textId="77777777" w:rsidR="00D17B2B" w:rsidRPr="00DB64B6" w:rsidRDefault="00D17B2B" w:rsidP="00D17B2B">
      <w:pPr>
        <w:numPr>
          <w:ilvl w:val="0"/>
          <w:numId w:val="6"/>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lastRenderedPageBreak/>
        <w:t>Sua clientela está além da vizinhança; buscam consumidores na escala do arranjo populacional.</w:t>
      </w:r>
    </w:p>
    <w:p w14:paraId="53B30AEB" w14:textId="77777777" w:rsidR="00D17B2B" w:rsidRPr="00DB64B6" w:rsidRDefault="00D17B2B" w:rsidP="00D17B2B">
      <w:pPr>
        <w:numPr>
          <w:ilvl w:val="0"/>
          <w:numId w:val="6"/>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 xml:space="preserve">O modelo surge a partir de uma transição de perfil da clientela, que passa dos pequenos comerciantes (atacado) e para o consumidor final (varejo), que hoje representam mais da metade das vendas de muitas redes. </w:t>
      </w:r>
      <w:r w:rsidRPr="009A24D8">
        <w:rPr>
          <w:rFonts w:ascii="Times New Roman" w:eastAsia="Times New Roman" w:hAnsi="Times New Roman" w:cs="Times New Roman"/>
          <w:color w:val="000000" w:themeColor="text1"/>
          <w:sz w:val="24"/>
          <w:szCs w:val="24"/>
        </w:rPr>
        <w:t>(REVISTA ABAAS, 20</w:t>
      </w:r>
      <w:r>
        <w:rPr>
          <w:rFonts w:ascii="Times New Roman" w:eastAsia="Times New Roman" w:hAnsi="Times New Roman" w:cs="Times New Roman"/>
          <w:color w:val="000000" w:themeColor="text1"/>
          <w:sz w:val="24"/>
          <w:szCs w:val="24"/>
        </w:rPr>
        <w:t xml:space="preserve">17A; </w:t>
      </w:r>
      <w:r w:rsidRPr="009A24D8">
        <w:rPr>
          <w:rFonts w:ascii="Times New Roman" w:eastAsia="Times New Roman" w:hAnsi="Times New Roman" w:cs="Times New Roman"/>
          <w:color w:val="000000" w:themeColor="text1"/>
          <w:sz w:val="24"/>
          <w:szCs w:val="24"/>
        </w:rPr>
        <w:t>REVISTA ABAAS, 20</w:t>
      </w:r>
      <w:r>
        <w:rPr>
          <w:rFonts w:ascii="Times New Roman" w:eastAsia="Times New Roman" w:hAnsi="Times New Roman" w:cs="Times New Roman"/>
          <w:color w:val="000000" w:themeColor="text1"/>
          <w:sz w:val="24"/>
          <w:szCs w:val="24"/>
        </w:rPr>
        <w:t>18B</w:t>
      </w:r>
      <w:r w:rsidRPr="009A24D8">
        <w:rPr>
          <w:rFonts w:ascii="Times New Roman" w:eastAsia="Times New Roman" w:hAnsi="Times New Roman" w:cs="Times New Roman"/>
          <w:color w:val="000000" w:themeColor="text1"/>
          <w:sz w:val="24"/>
          <w:szCs w:val="24"/>
        </w:rPr>
        <w:t>)</w:t>
      </w:r>
      <w:r w:rsidRPr="00DB64B6">
        <w:rPr>
          <w:rFonts w:ascii="Times New Roman" w:eastAsia="Times New Roman" w:hAnsi="Times New Roman" w:cs="Times New Roman"/>
          <w:color w:val="202124"/>
          <w:sz w:val="24"/>
          <w:szCs w:val="24"/>
        </w:rPr>
        <w:t>.</w:t>
      </w:r>
    </w:p>
    <w:p w14:paraId="16B6B71C" w14:textId="77777777" w:rsidR="00D17B2B" w:rsidRPr="00DB64B6" w:rsidRDefault="00D17B2B" w:rsidP="00D17B2B">
      <w:pPr>
        <w:numPr>
          <w:ilvl w:val="0"/>
          <w:numId w:val="6"/>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 xml:space="preserve">O modelo inicialmente foca em consumidores das "periferias", das classes D e </w:t>
      </w:r>
      <w:proofErr w:type="spellStart"/>
      <w:r w:rsidRPr="00DB64B6">
        <w:rPr>
          <w:rFonts w:ascii="Times New Roman" w:eastAsia="Times New Roman" w:hAnsi="Times New Roman" w:cs="Times New Roman"/>
          <w:color w:val="202124"/>
          <w:sz w:val="24"/>
          <w:szCs w:val="24"/>
        </w:rPr>
        <w:t>E</w:t>
      </w:r>
      <w:proofErr w:type="spellEnd"/>
      <w:r w:rsidRPr="00DB64B6">
        <w:rPr>
          <w:rFonts w:ascii="Times New Roman" w:eastAsia="Times New Roman" w:hAnsi="Times New Roman" w:cs="Times New Roman"/>
          <w:color w:val="202124"/>
          <w:sz w:val="24"/>
          <w:szCs w:val="24"/>
        </w:rPr>
        <w:t xml:space="preserve">, mas hoje tem clientela considerável das classes A, B e C. </w:t>
      </w:r>
      <w:r>
        <w:rPr>
          <w:rFonts w:ascii="Times New Roman" w:eastAsia="Times New Roman" w:hAnsi="Times New Roman" w:cs="Times New Roman"/>
          <w:color w:val="202124"/>
          <w:sz w:val="24"/>
          <w:szCs w:val="24"/>
        </w:rPr>
        <w:t>(</w:t>
      </w:r>
      <w:r w:rsidRPr="009A24D8">
        <w:rPr>
          <w:rFonts w:ascii="Times New Roman" w:eastAsia="Times New Roman" w:hAnsi="Times New Roman" w:cs="Times New Roman"/>
          <w:color w:val="000000" w:themeColor="text1"/>
          <w:sz w:val="24"/>
          <w:szCs w:val="24"/>
        </w:rPr>
        <w:t>REVISTA ABAAS, 20</w:t>
      </w:r>
      <w:r>
        <w:rPr>
          <w:rFonts w:ascii="Times New Roman" w:eastAsia="Times New Roman" w:hAnsi="Times New Roman" w:cs="Times New Roman"/>
          <w:color w:val="000000" w:themeColor="text1"/>
          <w:sz w:val="24"/>
          <w:szCs w:val="24"/>
        </w:rPr>
        <w:t xml:space="preserve">17A; </w:t>
      </w:r>
      <w:r w:rsidRPr="009A24D8">
        <w:rPr>
          <w:rFonts w:ascii="Times New Roman" w:eastAsia="Times New Roman" w:hAnsi="Times New Roman" w:cs="Times New Roman"/>
          <w:color w:val="000000" w:themeColor="text1"/>
          <w:sz w:val="24"/>
          <w:szCs w:val="24"/>
        </w:rPr>
        <w:t>REVISTA ABAAS, 20</w:t>
      </w:r>
      <w:r>
        <w:rPr>
          <w:rFonts w:ascii="Times New Roman" w:eastAsia="Times New Roman" w:hAnsi="Times New Roman" w:cs="Times New Roman"/>
          <w:color w:val="000000" w:themeColor="text1"/>
          <w:sz w:val="24"/>
          <w:szCs w:val="24"/>
        </w:rPr>
        <w:t>17C</w:t>
      </w:r>
      <w:r w:rsidRPr="00C0137A">
        <w:rPr>
          <w:rFonts w:ascii="Times New Roman" w:eastAsia="Times New Roman" w:hAnsi="Times New Roman" w:cs="Times New Roman"/>
          <w:color w:val="000000" w:themeColor="text1"/>
          <w:sz w:val="24"/>
          <w:szCs w:val="24"/>
        </w:rPr>
        <w:t>)</w:t>
      </w:r>
    </w:p>
    <w:p w14:paraId="7A9B6990" w14:textId="77777777" w:rsidR="00D17B2B" w:rsidRPr="00DB64B6" w:rsidRDefault="00D17B2B" w:rsidP="00D17B2B">
      <w:pPr>
        <w:spacing w:after="0" w:line="240" w:lineRule="auto"/>
        <w:ind w:left="720"/>
        <w:jc w:val="both"/>
        <w:rPr>
          <w:rFonts w:ascii="Times New Roman" w:eastAsia="Times New Roman" w:hAnsi="Times New Roman" w:cs="Times New Roman"/>
          <w:color w:val="202124"/>
          <w:sz w:val="24"/>
          <w:szCs w:val="24"/>
        </w:rPr>
      </w:pPr>
    </w:p>
    <w:p w14:paraId="372DA296" w14:textId="77777777" w:rsidR="00D17B2B" w:rsidRPr="00DB64B6" w:rsidRDefault="00D17B2B" w:rsidP="00D17B2B">
      <w:pPr>
        <w:spacing w:after="0" w:line="240" w:lineRule="auto"/>
        <w:jc w:val="both"/>
        <w:rPr>
          <w:rFonts w:ascii="Times New Roman" w:eastAsia="Times New Roman" w:hAnsi="Times New Roman" w:cs="Times New Roman"/>
          <w:i/>
          <w:color w:val="202124"/>
          <w:sz w:val="24"/>
          <w:szCs w:val="24"/>
        </w:rPr>
      </w:pPr>
      <w:r w:rsidRPr="00DB64B6">
        <w:rPr>
          <w:rFonts w:ascii="Times New Roman" w:eastAsia="Times New Roman" w:hAnsi="Times New Roman" w:cs="Times New Roman"/>
          <w:i/>
          <w:color w:val="202124"/>
          <w:sz w:val="24"/>
          <w:szCs w:val="24"/>
        </w:rPr>
        <w:t>VI - Conhecimento do mercado e do cliente</w:t>
      </w:r>
    </w:p>
    <w:p w14:paraId="6CC33645" w14:textId="77777777" w:rsidR="00D17B2B" w:rsidRPr="00DB64B6" w:rsidRDefault="00D17B2B" w:rsidP="00D17B2B">
      <w:pPr>
        <w:numPr>
          <w:ilvl w:val="0"/>
          <w:numId w:val="7"/>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Investimento em softwares para traçar perfil dos clientes</w:t>
      </w:r>
      <w:r>
        <w:rPr>
          <w:rFonts w:ascii="Times New Roman" w:eastAsia="Times New Roman" w:hAnsi="Times New Roman" w:cs="Times New Roman"/>
          <w:color w:val="202124"/>
          <w:sz w:val="24"/>
          <w:szCs w:val="24"/>
        </w:rPr>
        <w:t>. (</w:t>
      </w:r>
      <w:r w:rsidRPr="009A24D8">
        <w:rPr>
          <w:rFonts w:ascii="Times New Roman" w:eastAsia="Times New Roman" w:hAnsi="Times New Roman" w:cs="Times New Roman"/>
          <w:color w:val="000000" w:themeColor="text1"/>
          <w:sz w:val="24"/>
          <w:szCs w:val="24"/>
        </w:rPr>
        <w:t>REVISTA ABAAS, 20</w:t>
      </w:r>
      <w:r>
        <w:rPr>
          <w:rFonts w:ascii="Times New Roman" w:eastAsia="Times New Roman" w:hAnsi="Times New Roman" w:cs="Times New Roman"/>
          <w:color w:val="000000" w:themeColor="text1"/>
          <w:sz w:val="24"/>
          <w:szCs w:val="24"/>
        </w:rPr>
        <w:t>20A</w:t>
      </w:r>
      <w:r>
        <w:rPr>
          <w:rFonts w:ascii="Times New Roman" w:eastAsia="Times New Roman" w:hAnsi="Times New Roman" w:cs="Times New Roman"/>
          <w:color w:val="202124"/>
          <w:sz w:val="24"/>
          <w:szCs w:val="24"/>
        </w:rPr>
        <w:t xml:space="preserve">; </w:t>
      </w:r>
      <w:r w:rsidRPr="00C0137A">
        <w:rPr>
          <w:rFonts w:ascii="Times New Roman" w:eastAsia="Times New Roman" w:hAnsi="Times New Roman" w:cs="Times New Roman"/>
          <w:color w:val="000000" w:themeColor="text1"/>
          <w:sz w:val="24"/>
          <w:szCs w:val="24"/>
        </w:rPr>
        <w:t>KYOHARA, 2001)</w:t>
      </w:r>
    </w:p>
    <w:p w14:paraId="1805F6D8" w14:textId="77777777" w:rsidR="00D17B2B" w:rsidRPr="00DB64B6" w:rsidRDefault="00D17B2B" w:rsidP="00D17B2B">
      <w:pPr>
        <w:numPr>
          <w:ilvl w:val="0"/>
          <w:numId w:val="7"/>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 xml:space="preserve">Lançamento de um ranking exclusivo do canal de </w:t>
      </w:r>
      <w:proofErr w:type="spellStart"/>
      <w:r>
        <w:rPr>
          <w:rFonts w:ascii="Times New Roman" w:eastAsia="Times New Roman" w:hAnsi="Times New Roman" w:cs="Times New Roman"/>
          <w:color w:val="202124"/>
          <w:sz w:val="24"/>
          <w:szCs w:val="24"/>
        </w:rPr>
        <w:t>a</w:t>
      </w:r>
      <w:r w:rsidRPr="00DB64B6">
        <w:rPr>
          <w:rFonts w:ascii="Times New Roman" w:eastAsia="Times New Roman" w:hAnsi="Times New Roman" w:cs="Times New Roman"/>
          <w:color w:val="202124"/>
          <w:sz w:val="24"/>
          <w:szCs w:val="24"/>
        </w:rPr>
        <w:t>tacarejo</w:t>
      </w:r>
      <w:proofErr w:type="spellEnd"/>
      <w:r w:rsidRPr="00DB64B6">
        <w:rPr>
          <w:rFonts w:ascii="Times New Roman" w:eastAsia="Times New Roman" w:hAnsi="Times New Roman" w:cs="Times New Roman"/>
          <w:color w:val="202124"/>
          <w:sz w:val="24"/>
          <w:szCs w:val="24"/>
        </w:rPr>
        <w:t xml:space="preserve">, pela ABAAS, em 2020, onde constam 1. O peso do setor na economia (faturamento/PIB); 2. O peso do setor no emprego; 3. Ranking das empresas do setor por faturamento; 4. Eficiência da operação do </w:t>
      </w:r>
      <w:proofErr w:type="spellStart"/>
      <w:r w:rsidRPr="00DB64B6">
        <w:rPr>
          <w:rFonts w:ascii="Times New Roman" w:eastAsia="Times New Roman" w:hAnsi="Times New Roman" w:cs="Times New Roman"/>
          <w:color w:val="202124"/>
          <w:sz w:val="24"/>
          <w:szCs w:val="24"/>
        </w:rPr>
        <w:t>Atacarejo</w:t>
      </w:r>
      <w:proofErr w:type="spellEnd"/>
      <w:r w:rsidRPr="00DB64B6">
        <w:rPr>
          <w:rFonts w:ascii="Times New Roman" w:eastAsia="Times New Roman" w:hAnsi="Times New Roman" w:cs="Times New Roman"/>
          <w:color w:val="202124"/>
          <w:sz w:val="24"/>
          <w:szCs w:val="24"/>
        </w:rPr>
        <w:t xml:space="preserve"> e comparação com segmentos congêneres; 5. Comparação da operação do </w:t>
      </w:r>
      <w:proofErr w:type="spellStart"/>
      <w:r w:rsidRPr="00DB64B6">
        <w:rPr>
          <w:rFonts w:ascii="Times New Roman" w:eastAsia="Times New Roman" w:hAnsi="Times New Roman" w:cs="Times New Roman"/>
          <w:color w:val="202124"/>
          <w:sz w:val="24"/>
          <w:szCs w:val="24"/>
        </w:rPr>
        <w:t>Atacarejo</w:t>
      </w:r>
      <w:proofErr w:type="spellEnd"/>
      <w:r w:rsidRPr="00DB64B6">
        <w:rPr>
          <w:rFonts w:ascii="Times New Roman" w:eastAsia="Times New Roman" w:hAnsi="Times New Roman" w:cs="Times New Roman"/>
          <w:color w:val="202124"/>
          <w:sz w:val="24"/>
          <w:szCs w:val="24"/>
        </w:rPr>
        <w:t xml:space="preserve"> com outros segmentos; 6. Importância econômica da operação do </w:t>
      </w:r>
      <w:proofErr w:type="spellStart"/>
      <w:r w:rsidRPr="00DB64B6">
        <w:rPr>
          <w:rFonts w:ascii="Times New Roman" w:eastAsia="Times New Roman" w:hAnsi="Times New Roman" w:cs="Times New Roman"/>
          <w:color w:val="202124"/>
          <w:sz w:val="24"/>
          <w:szCs w:val="24"/>
        </w:rPr>
        <w:t>Atacarejo</w:t>
      </w:r>
      <w:proofErr w:type="spellEnd"/>
      <w:r w:rsidRPr="00DB64B6">
        <w:rPr>
          <w:rFonts w:ascii="Times New Roman" w:eastAsia="Times New Roman" w:hAnsi="Times New Roman" w:cs="Times New Roman"/>
          <w:color w:val="202124"/>
          <w:sz w:val="24"/>
          <w:szCs w:val="24"/>
        </w:rPr>
        <w:t xml:space="preserve"> para os pequenos e médios empreendedores. </w:t>
      </w:r>
      <w:r>
        <w:rPr>
          <w:rFonts w:ascii="Times New Roman" w:eastAsia="Times New Roman" w:hAnsi="Times New Roman" w:cs="Times New Roman"/>
          <w:color w:val="202124"/>
          <w:sz w:val="24"/>
          <w:szCs w:val="24"/>
        </w:rPr>
        <w:t>(</w:t>
      </w:r>
      <w:r w:rsidRPr="009A24D8">
        <w:rPr>
          <w:rFonts w:ascii="Times New Roman" w:eastAsia="Times New Roman" w:hAnsi="Times New Roman" w:cs="Times New Roman"/>
          <w:color w:val="000000" w:themeColor="text1"/>
          <w:sz w:val="24"/>
          <w:szCs w:val="24"/>
        </w:rPr>
        <w:t>REVISTA ABAAS, 20</w:t>
      </w:r>
      <w:r>
        <w:rPr>
          <w:rFonts w:ascii="Times New Roman" w:eastAsia="Times New Roman" w:hAnsi="Times New Roman" w:cs="Times New Roman"/>
          <w:color w:val="000000" w:themeColor="text1"/>
          <w:sz w:val="24"/>
          <w:szCs w:val="24"/>
        </w:rPr>
        <w:t>20B)</w:t>
      </w:r>
    </w:p>
    <w:p w14:paraId="37DB8706" w14:textId="77777777" w:rsidR="00D17B2B" w:rsidRPr="00DB64B6" w:rsidRDefault="00D17B2B" w:rsidP="00D17B2B">
      <w:pPr>
        <w:spacing w:after="0" w:line="240" w:lineRule="auto"/>
        <w:ind w:left="720"/>
        <w:jc w:val="both"/>
        <w:rPr>
          <w:rFonts w:ascii="Times New Roman" w:eastAsia="Times New Roman" w:hAnsi="Times New Roman" w:cs="Times New Roman"/>
          <w:color w:val="202124"/>
          <w:sz w:val="24"/>
          <w:szCs w:val="24"/>
        </w:rPr>
      </w:pPr>
    </w:p>
    <w:p w14:paraId="7BD7C0C0" w14:textId="77777777" w:rsidR="00D17B2B" w:rsidRPr="00DB64B6" w:rsidRDefault="00D17B2B" w:rsidP="00D17B2B">
      <w:pPr>
        <w:spacing w:after="0" w:line="240" w:lineRule="auto"/>
        <w:jc w:val="both"/>
        <w:rPr>
          <w:rFonts w:ascii="Times New Roman" w:eastAsia="Times New Roman" w:hAnsi="Times New Roman" w:cs="Times New Roman"/>
          <w:i/>
          <w:color w:val="202124"/>
          <w:sz w:val="24"/>
          <w:szCs w:val="24"/>
        </w:rPr>
      </w:pPr>
      <w:r w:rsidRPr="00DB64B6">
        <w:rPr>
          <w:rFonts w:ascii="Times New Roman" w:eastAsia="Times New Roman" w:hAnsi="Times New Roman" w:cs="Times New Roman"/>
          <w:i/>
          <w:color w:val="202124"/>
          <w:sz w:val="24"/>
          <w:szCs w:val="24"/>
        </w:rPr>
        <w:t>V</w:t>
      </w:r>
      <w:r>
        <w:rPr>
          <w:rFonts w:ascii="Times New Roman" w:eastAsia="Times New Roman" w:hAnsi="Times New Roman" w:cs="Times New Roman"/>
          <w:i/>
          <w:color w:val="202124"/>
          <w:sz w:val="24"/>
          <w:szCs w:val="24"/>
        </w:rPr>
        <w:t>I</w:t>
      </w:r>
      <w:r w:rsidRPr="00DB64B6">
        <w:rPr>
          <w:rFonts w:ascii="Times New Roman" w:eastAsia="Times New Roman" w:hAnsi="Times New Roman" w:cs="Times New Roman"/>
          <w:i/>
          <w:color w:val="202124"/>
          <w:sz w:val="24"/>
          <w:szCs w:val="24"/>
        </w:rPr>
        <w:t>I - Produtos</w:t>
      </w:r>
    </w:p>
    <w:p w14:paraId="1F0A8235" w14:textId="77777777" w:rsidR="00D17B2B" w:rsidRPr="00DB64B6" w:rsidRDefault="00D17B2B" w:rsidP="00D17B2B">
      <w:pPr>
        <w:widowControl w:val="0"/>
        <w:numPr>
          <w:ilvl w:val="0"/>
          <w:numId w:val="4"/>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Política de dois preços, com a compra em quantidades (packs) gerando desconto. Revista</w:t>
      </w:r>
      <w:r>
        <w:rPr>
          <w:rFonts w:ascii="Times New Roman" w:eastAsia="Times New Roman" w:hAnsi="Times New Roman" w:cs="Times New Roman"/>
          <w:color w:val="202124"/>
          <w:sz w:val="24"/>
          <w:szCs w:val="24"/>
        </w:rPr>
        <w:t>. (</w:t>
      </w:r>
      <w:r w:rsidRPr="009A24D8">
        <w:rPr>
          <w:rFonts w:ascii="Times New Roman" w:eastAsia="Times New Roman" w:hAnsi="Times New Roman" w:cs="Times New Roman"/>
          <w:color w:val="000000" w:themeColor="text1"/>
          <w:sz w:val="24"/>
          <w:szCs w:val="24"/>
        </w:rPr>
        <w:t>REVISTA ABAAS, 20</w:t>
      </w:r>
      <w:r>
        <w:rPr>
          <w:rFonts w:ascii="Times New Roman" w:eastAsia="Times New Roman" w:hAnsi="Times New Roman" w:cs="Times New Roman"/>
          <w:color w:val="000000" w:themeColor="text1"/>
          <w:sz w:val="24"/>
          <w:szCs w:val="24"/>
        </w:rPr>
        <w:t>16)</w:t>
      </w:r>
    </w:p>
    <w:p w14:paraId="7131F9DA" w14:textId="77777777" w:rsidR="00D17B2B" w:rsidRPr="00DB64B6" w:rsidRDefault="00D17B2B" w:rsidP="00D17B2B">
      <w:pPr>
        <w:widowControl w:val="0"/>
        <w:numPr>
          <w:ilvl w:val="0"/>
          <w:numId w:val="4"/>
        </w:numPr>
        <w:spacing w:after="0" w:line="240" w:lineRule="auto"/>
        <w:jc w:val="both"/>
        <w:rPr>
          <w:rFonts w:ascii="Times New Roman" w:eastAsia="Times New Roman" w:hAnsi="Times New Roman" w:cs="Times New Roman"/>
          <w:color w:val="202124"/>
          <w:sz w:val="24"/>
          <w:szCs w:val="24"/>
        </w:rPr>
      </w:pPr>
      <w:r w:rsidRPr="00DB64B6">
        <w:rPr>
          <w:rFonts w:ascii="Times New Roman" w:eastAsia="Times New Roman" w:hAnsi="Times New Roman" w:cs="Times New Roman"/>
          <w:color w:val="202124"/>
          <w:sz w:val="24"/>
          <w:szCs w:val="24"/>
        </w:rPr>
        <w:t>Sortimento reduzido</w:t>
      </w:r>
    </w:p>
    <w:p w14:paraId="254B0ECB" w14:textId="77777777" w:rsidR="00D17B2B" w:rsidRPr="004D0BE2" w:rsidRDefault="00D17B2B" w:rsidP="00D17B2B">
      <w:pPr>
        <w:widowControl w:val="0"/>
        <w:numPr>
          <w:ilvl w:val="0"/>
          <w:numId w:val="4"/>
        </w:numPr>
        <w:spacing w:after="0" w:line="240" w:lineRule="auto"/>
        <w:jc w:val="both"/>
        <w:rPr>
          <w:rFonts w:ascii="Times New Roman" w:hAnsi="Times New Roman" w:cs="Times New Roman"/>
          <w:color w:val="202124"/>
          <w:sz w:val="24"/>
          <w:szCs w:val="24"/>
        </w:rPr>
      </w:pPr>
      <w:r w:rsidRPr="004D0BE2">
        <w:rPr>
          <w:rFonts w:ascii="Times New Roman" w:eastAsia="Times New Roman" w:hAnsi="Times New Roman" w:cs="Times New Roman"/>
          <w:color w:val="202124"/>
          <w:sz w:val="24"/>
          <w:szCs w:val="24"/>
        </w:rPr>
        <w:t xml:space="preserve">Estratégias de localização para estimular compras </w:t>
      </w:r>
      <w:r w:rsidRPr="004D0BE2">
        <w:rPr>
          <w:rFonts w:ascii="Times New Roman" w:eastAsia="Times New Roman" w:hAnsi="Times New Roman" w:cs="Times New Roman"/>
          <w:color w:val="000000" w:themeColor="text1"/>
          <w:sz w:val="24"/>
          <w:szCs w:val="24"/>
        </w:rPr>
        <w:t>(PARENTE, 2000; NAPOLEÃO, 2017)</w:t>
      </w:r>
    </w:p>
    <w:p w14:paraId="4B83391E" w14:textId="77777777" w:rsidR="00D17B2B" w:rsidRPr="00DB64B6" w:rsidRDefault="00D17B2B" w:rsidP="00D17B2B">
      <w:pPr>
        <w:widowControl w:val="0"/>
        <w:spacing w:after="0" w:line="240" w:lineRule="auto"/>
        <w:ind w:left="720"/>
        <w:jc w:val="both"/>
        <w:rPr>
          <w:rFonts w:ascii="Times New Roman" w:eastAsia="Times New Roman" w:hAnsi="Times New Roman" w:cs="Times New Roman"/>
          <w:color w:val="202124"/>
          <w:sz w:val="24"/>
          <w:szCs w:val="24"/>
        </w:rPr>
      </w:pPr>
    </w:p>
    <w:p w14:paraId="043316A8" w14:textId="77777777" w:rsidR="00D17B2B" w:rsidRPr="00DB64B6" w:rsidRDefault="00D17B2B" w:rsidP="00D17B2B">
      <w:pPr>
        <w:widowControl w:val="0"/>
        <w:spacing w:after="0" w:line="240" w:lineRule="auto"/>
        <w:jc w:val="both"/>
        <w:rPr>
          <w:rFonts w:ascii="Times New Roman" w:eastAsia="Times New Roman" w:hAnsi="Times New Roman" w:cs="Times New Roman"/>
          <w:i/>
          <w:color w:val="202124"/>
          <w:sz w:val="24"/>
          <w:szCs w:val="24"/>
        </w:rPr>
      </w:pPr>
      <w:r w:rsidRPr="00DB64B6">
        <w:rPr>
          <w:rFonts w:ascii="Times New Roman" w:eastAsia="Times New Roman" w:hAnsi="Times New Roman" w:cs="Times New Roman"/>
          <w:i/>
          <w:color w:val="202124"/>
          <w:sz w:val="24"/>
          <w:szCs w:val="24"/>
        </w:rPr>
        <w:t>VII</w:t>
      </w:r>
      <w:r>
        <w:rPr>
          <w:rFonts w:ascii="Times New Roman" w:eastAsia="Times New Roman" w:hAnsi="Times New Roman" w:cs="Times New Roman"/>
          <w:i/>
          <w:color w:val="202124"/>
          <w:sz w:val="24"/>
          <w:szCs w:val="24"/>
        </w:rPr>
        <w:t>I</w:t>
      </w:r>
      <w:r w:rsidRPr="00DB64B6">
        <w:rPr>
          <w:rFonts w:ascii="Times New Roman" w:eastAsia="Times New Roman" w:hAnsi="Times New Roman" w:cs="Times New Roman"/>
          <w:i/>
          <w:color w:val="202124"/>
          <w:sz w:val="24"/>
          <w:szCs w:val="24"/>
        </w:rPr>
        <w:t xml:space="preserve"> - Vendas</w:t>
      </w:r>
    </w:p>
    <w:p w14:paraId="36F8EDF1" w14:textId="77777777" w:rsidR="00D17B2B" w:rsidRPr="004C1845" w:rsidRDefault="00D17B2B" w:rsidP="00D17B2B">
      <w:pPr>
        <w:numPr>
          <w:ilvl w:val="0"/>
          <w:numId w:val="4"/>
        </w:numPr>
        <w:spacing w:after="0" w:line="240" w:lineRule="auto"/>
        <w:jc w:val="both"/>
        <w:rPr>
          <w:rFonts w:ascii="Times New Roman" w:eastAsia="Times New Roman" w:hAnsi="Times New Roman" w:cs="Times New Roman"/>
          <w:color w:val="000000" w:themeColor="text1"/>
          <w:sz w:val="24"/>
          <w:szCs w:val="24"/>
        </w:rPr>
      </w:pPr>
      <w:r w:rsidRPr="004C1845">
        <w:rPr>
          <w:rFonts w:ascii="Times New Roman" w:eastAsia="Times New Roman" w:hAnsi="Times New Roman" w:cs="Times New Roman"/>
          <w:color w:val="000000" w:themeColor="text1"/>
          <w:sz w:val="24"/>
          <w:szCs w:val="24"/>
        </w:rPr>
        <w:t>Promoções (KYOHARA, 2001)</w:t>
      </w:r>
    </w:p>
    <w:p w14:paraId="06CD1843" w14:textId="77777777" w:rsidR="00D17B2B" w:rsidRPr="004C1845" w:rsidRDefault="00D17B2B" w:rsidP="00D17B2B">
      <w:pPr>
        <w:numPr>
          <w:ilvl w:val="0"/>
          <w:numId w:val="4"/>
        </w:numPr>
        <w:spacing w:after="0" w:line="240" w:lineRule="auto"/>
        <w:jc w:val="both"/>
        <w:rPr>
          <w:rFonts w:ascii="Times New Roman" w:eastAsia="Times New Roman" w:hAnsi="Times New Roman" w:cs="Times New Roman"/>
          <w:color w:val="000000" w:themeColor="text1"/>
          <w:sz w:val="24"/>
          <w:szCs w:val="24"/>
        </w:rPr>
      </w:pPr>
      <w:r w:rsidRPr="004C1845">
        <w:rPr>
          <w:rFonts w:ascii="Times New Roman" w:eastAsia="Times New Roman" w:hAnsi="Times New Roman" w:cs="Times New Roman"/>
          <w:color w:val="000000" w:themeColor="text1"/>
          <w:sz w:val="24"/>
          <w:szCs w:val="24"/>
        </w:rPr>
        <w:t>Clube de compras. Realizar cadastro, ou cartão da loja, para acessar descontos (KYOHARA, 2001)</w:t>
      </w:r>
    </w:p>
    <w:p w14:paraId="0528706D" w14:textId="77777777" w:rsidR="00D17B2B" w:rsidRPr="00DB64B6" w:rsidRDefault="00D17B2B" w:rsidP="00D17B2B">
      <w:pPr>
        <w:numPr>
          <w:ilvl w:val="0"/>
          <w:numId w:val="4"/>
        </w:numPr>
        <w:spacing w:after="0" w:line="240" w:lineRule="auto"/>
        <w:jc w:val="both"/>
        <w:rPr>
          <w:rFonts w:ascii="Times New Roman" w:eastAsia="Times New Roman" w:hAnsi="Times New Roman" w:cs="Times New Roman"/>
          <w:sz w:val="24"/>
          <w:szCs w:val="24"/>
        </w:rPr>
      </w:pPr>
      <w:r w:rsidRPr="00DB64B6">
        <w:rPr>
          <w:rFonts w:ascii="Times New Roman" w:eastAsia="Times New Roman" w:hAnsi="Times New Roman" w:cs="Times New Roman"/>
          <w:sz w:val="24"/>
          <w:szCs w:val="24"/>
        </w:rPr>
        <w:t>Financeirização. Cartões próprios para compra no crédito e mesmo outras operações financeiras.</w:t>
      </w:r>
    </w:p>
    <w:p w14:paraId="7B6DADE8" w14:textId="77777777" w:rsidR="00D17B2B" w:rsidRPr="001C7B68" w:rsidRDefault="00D17B2B" w:rsidP="00D17B2B">
      <w:pPr>
        <w:spacing w:line="360" w:lineRule="auto"/>
        <w:ind w:left="720"/>
        <w:jc w:val="both"/>
        <w:rPr>
          <w:rFonts w:ascii="Times New Roman" w:eastAsia="Times New Roman" w:hAnsi="Times New Roman" w:cs="Times New Roman"/>
        </w:rPr>
      </w:pPr>
    </w:p>
    <w:p w14:paraId="39B592D8" w14:textId="77777777" w:rsidR="00D17B2B" w:rsidRPr="009F08E5" w:rsidRDefault="00D17B2B" w:rsidP="00D17B2B">
      <w:pPr>
        <w:rPr>
          <w:rFonts w:ascii="Times New Roman" w:hAnsi="Times New Roman" w:cs="Times New Roman"/>
          <w:b/>
          <w:bCs/>
          <w:color w:val="000000" w:themeColor="text1"/>
          <w:sz w:val="24"/>
          <w:szCs w:val="24"/>
        </w:rPr>
      </w:pPr>
      <w:r w:rsidRPr="001F736F">
        <w:rPr>
          <w:rFonts w:ascii="Times New Roman" w:hAnsi="Times New Roman" w:cs="Times New Roman"/>
          <w:b/>
          <w:bCs/>
          <w:color w:val="000000" w:themeColor="text1"/>
          <w:sz w:val="24"/>
          <w:szCs w:val="24"/>
        </w:rPr>
        <w:t>5 ESTUDO DE CASO: FORT ATACADISTA</w:t>
      </w:r>
    </w:p>
    <w:p w14:paraId="05CF4229" w14:textId="77777777" w:rsidR="00D17B2B" w:rsidRPr="009F08E5" w:rsidRDefault="00D17B2B" w:rsidP="00D17B2B">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9F08E5">
        <w:rPr>
          <w:rFonts w:ascii="Times New Roman" w:eastAsia="Times New Roman" w:hAnsi="Times New Roman" w:cs="Times New Roman"/>
          <w:sz w:val="24"/>
          <w:szCs w:val="24"/>
        </w:rPr>
        <w:t xml:space="preserve">Visto seu predomínio no estado de Santa Catarina em relação aos outros grandes </w:t>
      </w:r>
      <w:proofErr w:type="spellStart"/>
      <w:r w:rsidRPr="009F08E5">
        <w:rPr>
          <w:rFonts w:ascii="Times New Roman" w:eastAsia="Times New Roman" w:hAnsi="Times New Roman" w:cs="Times New Roman"/>
          <w:sz w:val="24"/>
          <w:szCs w:val="24"/>
        </w:rPr>
        <w:t>atacarejos</w:t>
      </w:r>
      <w:proofErr w:type="spellEnd"/>
      <w:r w:rsidRPr="009F08E5">
        <w:rPr>
          <w:rFonts w:ascii="Times New Roman" w:eastAsia="Times New Roman" w:hAnsi="Times New Roman" w:cs="Times New Roman"/>
          <w:sz w:val="24"/>
          <w:szCs w:val="24"/>
        </w:rPr>
        <w:t xml:space="preserve"> brasileiros e sua forte presença no Arranjo Populacional de Florianópolis, o Fort Atacadista foi selecionado para estudo de caso principa</w:t>
      </w:r>
      <w:r>
        <w:rPr>
          <w:rFonts w:ascii="Times New Roman" w:eastAsia="Times New Roman" w:hAnsi="Times New Roman" w:cs="Times New Roman"/>
          <w:sz w:val="24"/>
          <w:szCs w:val="24"/>
        </w:rPr>
        <w:t>l na</w:t>
      </w:r>
      <w:r w:rsidRPr="009F08E5">
        <w:rPr>
          <w:rFonts w:ascii="Times New Roman" w:eastAsia="Times New Roman" w:hAnsi="Times New Roman" w:cs="Times New Roman"/>
          <w:sz w:val="24"/>
          <w:szCs w:val="24"/>
        </w:rPr>
        <w:t xml:space="preserve"> pesquisa. Segundo o Ranking da ABAAS publicado em março de 2022, o Fort Atacadista está como quarto colocado entre </w:t>
      </w:r>
      <w:proofErr w:type="spellStart"/>
      <w:r w:rsidRPr="009F08E5">
        <w:rPr>
          <w:rFonts w:ascii="Times New Roman" w:eastAsia="Times New Roman" w:hAnsi="Times New Roman" w:cs="Times New Roman"/>
          <w:sz w:val="24"/>
          <w:szCs w:val="24"/>
        </w:rPr>
        <w:t>atacarejos</w:t>
      </w:r>
      <w:proofErr w:type="spellEnd"/>
      <w:r w:rsidRPr="009F08E5">
        <w:rPr>
          <w:rFonts w:ascii="Times New Roman" w:eastAsia="Times New Roman" w:hAnsi="Times New Roman" w:cs="Times New Roman"/>
          <w:sz w:val="24"/>
          <w:szCs w:val="24"/>
        </w:rPr>
        <w:t xml:space="preserve"> brasileiros levando em consideração: faturamento/2021 (9.702.545.000), número de </w:t>
      </w:r>
      <w:r w:rsidRPr="009F08E5">
        <w:rPr>
          <w:rFonts w:ascii="Times New Roman" w:eastAsia="Times New Roman" w:hAnsi="Times New Roman" w:cs="Times New Roman"/>
          <w:sz w:val="24"/>
          <w:szCs w:val="24"/>
        </w:rPr>
        <w:lastRenderedPageBreak/>
        <w:t>lojas (75) e quantidade de funcionários (11840). A empresa fica atrás somente do Atacadão, Assa</w:t>
      </w:r>
      <w:r>
        <w:rPr>
          <w:rFonts w:ascii="Times New Roman" w:eastAsia="Times New Roman" w:hAnsi="Times New Roman" w:cs="Times New Roman"/>
          <w:sz w:val="24"/>
          <w:szCs w:val="24"/>
        </w:rPr>
        <w:t>í</w:t>
      </w:r>
      <w:r w:rsidRPr="009F08E5">
        <w:rPr>
          <w:rFonts w:ascii="Times New Roman" w:eastAsia="Times New Roman" w:hAnsi="Times New Roman" w:cs="Times New Roman"/>
          <w:sz w:val="24"/>
          <w:szCs w:val="24"/>
        </w:rPr>
        <w:t xml:space="preserve"> e </w:t>
      </w:r>
      <w:proofErr w:type="spellStart"/>
      <w:r w:rsidRPr="009F08E5">
        <w:rPr>
          <w:rFonts w:ascii="Times New Roman" w:eastAsia="Times New Roman" w:hAnsi="Times New Roman" w:cs="Times New Roman"/>
          <w:sz w:val="24"/>
          <w:szCs w:val="24"/>
        </w:rPr>
        <w:t>Maxx</w:t>
      </w:r>
      <w:proofErr w:type="spellEnd"/>
      <w:r w:rsidRPr="009F08E5">
        <w:rPr>
          <w:rFonts w:ascii="Times New Roman" w:eastAsia="Times New Roman" w:hAnsi="Times New Roman" w:cs="Times New Roman"/>
          <w:sz w:val="24"/>
          <w:szCs w:val="24"/>
        </w:rPr>
        <w:t xml:space="preserve"> Atacadista.</w:t>
      </w:r>
    </w:p>
    <w:p w14:paraId="7B29E2A0" w14:textId="77777777" w:rsidR="00D17B2B" w:rsidRPr="009F08E5" w:rsidRDefault="00D17B2B" w:rsidP="00D17B2B">
      <w:pPr>
        <w:pBdr>
          <w:top w:val="nil"/>
          <w:left w:val="nil"/>
          <w:bottom w:val="nil"/>
          <w:right w:val="nil"/>
          <w:between w:val="nil"/>
        </w:pBdr>
        <w:spacing w:after="0" w:line="360" w:lineRule="auto"/>
        <w:ind w:firstLine="720"/>
        <w:jc w:val="both"/>
        <w:rPr>
          <w:rFonts w:ascii="Times New Roman" w:hAnsi="Times New Roman" w:cs="Times New Roman"/>
          <w:sz w:val="24"/>
          <w:szCs w:val="24"/>
        </w:rPr>
      </w:pPr>
      <w:r w:rsidRPr="009F08E5">
        <w:rPr>
          <w:rFonts w:ascii="Times New Roman" w:eastAsia="Times New Roman" w:hAnsi="Times New Roman" w:cs="Times New Roman"/>
          <w:sz w:val="24"/>
          <w:szCs w:val="24"/>
        </w:rPr>
        <w:t>O Fort Atacadista é uma das empresas do Grupo Pereira, um dos oito maiores varejistas do país. Com atua</w:t>
      </w:r>
      <w:r>
        <w:rPr>
          <w:rFonts w:ascii="Times New Roman" w:eastAsia="Times New Roman" w:hAnsi="Times New Roman" w:cs="Times New Roman"/>
          <w:sz w:val="24"/>
          <w:szCs w:val="24"/>
        </w:rPr>
        <w:t>ção</w:t>
      </w:r>
      <w:r w:rsidRPr="009F08E5">
        <w:rPr>
          <w:rFonts w:ascii="Times New Roman" w:eastAsia="Times New Roman" w:hAnsi="Times New Roman" w:cs="Times New Roman"/>
          <w:sz w:val="24"/>
          <w:szCs w:val="24"/>
        </w:rPr>
        <w:t xml:space="preserve"> em multicanais, o Grupo trabalha com</w:t>
      </w:r>
      <w:r>
        <w:rPr>
          <w:rFonts w:ascii="Times New Roman" w:eastAsia="Times New Roman" w:hAnsi="Times New Roman" w:cs="Times New Roman"/>
          <w:sz w:val="24"/>
          <w:szCs w:val="24"/>
        </w:rPr>
        <w:t>o</w:t>
      </w:r>
      <w:r w:rsidRPr="009F08E5">
        <w:rPr>
          <w:rFonts w:ascii="Times New Roman" w:eastAsia="Times New Roman" w:hAnsi="Times New Roman" w:cs="Times New Roman"/>
          <w:sz w:val="24"/>
          <w:szCs w:val="24"/>
        </w:rPr>
        <w:t xml:space="preserve"> supermercados </w:t>
      </w:r>
      <w:proofErr w:type="spellStart"/>
      <w:r w:rsidRPr="009F08E5">
        <w:rPr>
          <w:rFonts w:ascii="Times New Roman" w:eastAsia="Times New Roman" w:hAnsi="Times New Roman" w:cs="Times New Roman"/>
          <w:sz w:val="24"/>
          <w:szCs w:val="24"/>
        </w:rPr>
        <w:t>Comper</w:t>
      </w:r>
      <w:proofErr w:type="spellEnd"/>
      <w:r w:rsidRPr="009F08E5">
        <w:rPr>
          <w:rFonts w:ascii="Times New Roman" w:eastAsia="Times New Roman" w:hAnsi="Times New Roman" w:cs="Times New Roman"/>
          <w:sz w:val="24"/>
          <w:szCs w:val="24"/>
        </w:rPr>
        <w:t xml:space="preserve"> desde 1972, atacado distribuidor Bate Forte (1984) e </w:t>
      </w:r>
      <w:proofErr w:type="spellStart"/>
      <w:r w:rsidRPr="009F08E5">
        <w:rPr>
          <w:rFonts w:ascii="Times New Roman" w:eastAsia="Times New Roman" w:hAnsi="Times New Roman" w:cs="Times New Roman"/>
          <w:sz w:val="24"/>
          <w:szCs w:val="24"/>
        </w:rPr>
        <w:t>atacarejo</w:t>
      </w:r>
      <w:proofErr w:type="spellEnd"/>
      <w:r w:rsidRPr="009F08E5">
        <w:rPr>
          <w:rFonts w:ascii="Times New Roman" w:eastAsia="Times New Roman" w:hAnsi="Times New Roman" w:cs="Times New Roman"/>
          <w:sz w:val="24"/>
          <w:szCs w:val="24"/>
        </w:rPr>
        <w:t xml:space="preserve"> (inicialmente com nome de Compre Fort, em 1999, tornando-se Fort Atacadista em 2009). Para além da venda em atacado e varejo, o Grupo, seguindo o padrão típico dos conglomerados de negócios, também trabalha com serviços financeiros (</w:t>
      </w:r>
      <w:proofErr w:type="spellStart"/>
      <w:r w:rsidRPr="009F08E5">
        <w:rPr>
          <w:rFonts w:ascii="Times New Roman" w:eastAsia="Times New Roman" w:hAnsi="Times New Roman" w:cs="Times New Roman"/>
          <w:sz w:val="24"/>
          <w:szCs w:val="24"/>
        </w:rPr>
        <w:t>Vuon</w:t>
      </w:r>
      <w:proofErr w:type="spellEnd"/>
      <w:r w:rsidRPr="009F08E5">
        <w:rPr>
          <w:rFonts w:ascii="Times New Roman" w:eastAsia="Times New Roman" w:hAnsi="Times New Roman" w:cs="Times New Roman"/>
          <w:sz w:val="24"/>
          <w:szCs w:val="24"/>
        </w:rPr>
        <w:t xml:space="preserve"> Card desde 2019), soluções logísticas (</w:t>
      </w:r>
      <w:proofErr w:type="spellStart"/>
      <w:r w:rsidRPr="009F08E5">
        <w:rPr>
          <w:rFonts w:ascii="Times New Roman" w:eastAsia="Times New Roman" w:hAnsi="Times New Roman" w:cs="Times New Roman"/>
          <w:sz w:val="24"/>
          <w:szCs w:val="24"/>
        </w:rPr>
        <w:t>Perlog</w:t>
      </w:r>
      <w:proofErr w:type="spellEnd"/>
      <w:r w:rsidRPr="009F08E5">
        <w:rPr>
          <w:rFonts w:ascii="Times New Roman" w:eastAsia="Times New Roman" w:hAnsi="Times New Roman" w:cs="Times New Roman"/>
          <w:sz w:val="24"/>
          <w:szCs w:val="24"/>
        </w:rPr>
        <w:t xml:space="preserve"> desde 2020), Farmácias (</w:t>
      </w:r>
      <w:proofErr w:type="spellStart"/>
      <w:r w:rsidRPr="009F08E5">
        <w:rPr>
          <w:rFonts w:ascii="Times New Roman" w:eastAsia="Times New Roman" w:hAnsi="Times New Roman" w:cs="Times New Roman"/>
          <w:sz w:val="24"/>
          <w:szCs w:val="24"/>
        </w:rPr>
        <w:t>SempreFort</w:t>
      </w:r>
      <w:proofErr w:type="spellEnd"/>
      <w:r w:rsidRPr="009F08E5">
        <w:rPr>
          <w:rFonts w:ascii="Times New Roman" w:eastAsia="Times New Roman" w:hAnsi="Times New Roman" w:cs="Times New Roman"/>
          <w:sz w:val="24"/>
          <w:szCs w:val="24"/>
        </w:rPr>
        <w:t xml:space="preserve"> desde 2019) e Posto de gasolina (Fort Atacadista Posto desde 2021).</w:t>
      </w:r>
    </w:p>
    <w:p w14:paraId="10E81C20" w14:textId="77777777" w:rsidR="00D17B2B" w:rsidRPr="009F08E5" w:rsidRDefault="00D17B2B" w:rsidP="00D17B2B">
      <w:pPr>
        <w:spacing w:after="0" w:line="360" w:lineRule="auto"/>
        <w:ind w:firstLine="720"/>
        <w:jc w:val="both"/>
        <w:rPr>
          <w:rFonts w:ascii="Times New Roman" w:hAnsi="Times New Roman" w:cs="Times New Roman"/>
          <w:sz w:val="24"/>
          <w:szCs w:val="24"/>
        </w:rPr>
      </w:pPr>
      <w:r w:rsidRPr="009F08E5">
        <w:rPr>
          <w:rFonts w:ascii="Times New Roman" w:eastAsia="Times New Roman" w:hAnsi="Times New Roman" w:cs="Times New Roman"/>
          <w:sz w:val="24"/>
          <w:szCs w:val="24"/>
        </w:rPr>
        <w:t>O Fort Atacadista iniciou-se em Joinville (SC) em 1999</w:t>
      </w:r>
      <w:r>
        <w:rPr>
          <w:rFonts w:ascii="Times New Roman" w:eastAsia="Times New Roman" w:hAnsi="Times New Roman" w:cs="Times New Roman"/>
          <w:sz w:val="24"/>
          <w:szCs w:val="24"/>
        </w:rPr>
        <w:t xml:space="preserve">. Posteriormente, </w:t>
      </w:r>
      <w:r w:rsidRPr="009F08E5">
        <w:rPr>
          <w:rFonts w:ascii="Times New Roman" w:eastAsia="Times New Roman" w:hAnsi="Times New Roman" w:cs="Times New Roman"/>
          <w:sz w:val="24"/>
          <w:szCs w:val="24"/>
        </w:rPr>
        <w:t xml:space="preserve">lojas foram inauguradas em outras regiões do estado e, paralelamente, </w:t>
      </w:r>
      <w:r w:rsidRPr="00A23E51">
        <w:rPr>
          <w:rFonts w:ascii="Times New Roman" w:eastAsia="Times New Roman" w:hAnsi="Times New Roman" w:cs="Times New Roman"/>
          <w:color w:val="000000" w:themeColor="text1"/>
          <w:sz w:val="24"/>
          <w:szCs w:val="24"/>
        </w:rPr>
        <w:t xml:space="preserve">no Mato Grosso, Mato Grosso do Sul e Distrito Federal. </w:t>
      </w:r>
      <w:r w:rsidRPr="009F08E5">
        <w:rPr>
          <w:rFonts w:ascii="Times New Roman" w:eastAsia="Times New Roman" w:hAnsi="Times New Roman" w:cs="Times New Roman"/>
          <w:sz w:val="24"/>
          <w:szCs w:val="24"/>
        </w:rPr>
        <w:t>A partir d</w:t>
      </w:r>
      <w:r>
        <w:rPr>
          <w:rFonts w:ascii="Times New Roman" w:eastAsia="Times New Roman" w:hAnsi="Times New Roman" w:cs="Times New Roman"/>
          <w:sz w:val="24"/>
          <w:szCs w:val="24"/>
        </w:rPr>
        <w:t>e</w:t>
      </w:r>
      <w:r w:rsidRPr="009F08E5">
        <w:rPr>
          <w:rFonts w:ascii="Times New Roman" w:eastAsia="Times New Roman" w:hAnsi="Times New Roman" w:cs="Times New Roman"/>
          <w:sz w:val="24"/>
          <w:szCs w:val="24"/>
        </w:rPr>
        <w:t xml:space="preserve"> análise</w:t>
      </w:r>
      <w:r>
        <w:rPr>
          <w:rFonts w:ascii="Times New Roman" w:eastAsia="Times New Roman" w:hAnsi="Times New Roman" w:cs="Times New Roman"/>
          <w:sz w:val="24"/>
          <w:szCs w:val="24"/>
        </w:rPr>
        <w:t xml:space="preserve">s através do </w:t>
      </w:r>
      <w:r w:rsidRPr="009F08E5">
        <w:rPr>
          <w:rFonts w:ascii="Times New Roman" w:eastAsia="Times New Roman" w:hAnsi="Times New Roman" w:cs="Times New Roman"/>
          <w:sz w:val="24"/>
          <w:szCs w:val="24"/>
        </w:rPr>
        <w:t xml:space="preserve">Google Maps, </w:t>
      </w:r>
      <w:r>
        <w:rPr>
          <w:rFonts w:ascii="Times New Roman" w:eastAsia="Times New Roman" w:hAnsi="Times New Roman" w:cs="Times New Roman"/>
          <w:sz w:val="24"/>
          <w:szCs w:val="24"/>
        </w:rPr>
        <w:t>percebeu-se</w:t>
      </w:r>
      <w:r w:rsidRPr="009F08E5">
        <w:rPr>
          <w:rFonts w:ascii="Times New Roman" w:eastAsia="Times New Roman" w:hAnsi="Times New Roman" w:cs="Times New Roman"/>
          <w:sz w:val="24"/>
          <w:szCs w:val="24"/>
        </w:rPr>
        <w:t xml:space="preserve"> que grande parte das lojas surgiram após 2017. Tal análise foi realizada em outubro de 2021, em conjunto com levantamento de todas as</w:t>
      </w:r>
      <w:r>
        <w:rPr>
          <w:rFonts w:ascii="Times New Roman" w:eastAsia="Times New Roman" w:hAnsi="Times New Roman" w:cs="Times New Roman"/>
          <w:sz w:val="24"/>
          <w:szCs w:val="24"/>
        </w:rPr>
        <w:t xml:space="preserve"> 44</w:t>
      </w:r>
      <w:r w:rsidRPr="009F08E5">
        <w:rPr>
          <w:rFonts w:ascii="Times New Roman" w:eastAsia="Times New Roman" w:hAnsi="Times New Roman" w:cs="Times New Roman"/>
          <w:sz w:val="24"/>
          <w:szCs w:val="24"/>
        </w:rPr>
        <w:t xml:space="preserve"> lojas citadas no site da empresa.</w:t>
      </w:r>
      <w:r>
        <w:rPr>
          <w:rFonts w:ascii="Times New Roman" w:eastAsia="Times New Roman" w:hAnsi="Times New Roman" w:cs="Times New Roman"/>
          <w:sz w:val="24"/>
          <w:szCs w:val="24"/>
        </w:rPr>
        <w:t xml:space="preserve"> Nota-se que a expansão do Fort Atacadista “pega carona” na ampliação do meio técnico-científico informacional da região concentrada (sul e sudeste) para o centro </w:t>
      </w:r>
      <w:r w:rsidRPr="00993E35">
        <w:rPr>
          <w:rFonts w:ascii="Times New Roman" w:eastAsia="Times New Roman" w:hAnsi="Times New Roman" w:cs="Times New Roman"/>
          <w:color w:val="000000" w:themeColor="text1"/>
          <w:sz w:val="24"/>
          <w:szCs w:val="24"/>
        </w:rPr>
        <w:t>oeste</w:t>
      </w:r>
      <w:r w:rsidRPr="00993E35">
        <w:rPr>
          <w:rFonts w:ascii="Times New Roman" w:hAnsi="Times New Roman" w:cs="Times New Roman"/>
          <w:color w:val="000000" w:themeColor="text1"/>
          <w:sz w:val="24"/>
          <w:szCs w:val="24"/>
        </w:rPr>
        <w:t xml:space="preserve"> (SANTOS, SILVEIRA, 2001). </w:t>
      </w:r>
      <w:r w:rsidRPr="009F08E5">
        <w:rPr>
          <w:rFonts w:ascii="Times New Roman" w:hAnsi="Times New Roman" w:cs="Times New Roman"/>
          <w:sz w:val="24"/>
          <w:szCs w:val="24"/>
        </w:rPr>
        <w:t>A partir disso, pode-se explicar a expansão do mercado atacadista na região nos últimos anos, impulsionada pelo agronegócio e, possivelmente relacionado também à existência de incentivo fiscal para mercados mistos (atacado e varejo) nos estados que a compõem.</w:t>
      </w:r>
    </w:p>
    <w:p w14:paraId="338B9ED0" w14:textId="77777777" w:rsidR="00D17B2B" w:rsidRPr="009F08E5" w:rsidRDefault="00D17B2B" w:rsidP="00D17B2B">
      <w:pPr>
        <w:spacing w:after="0" w:line="360" w:lineRule="auto"/>
        <w:ind w:firstLine="720"/>
        <w:jc w:val="both"/>
        <w:rPr>
          <w:rFonts w:ascii="Times New Roman" w:eastAsia="Times New Roman" w:hAnsi="Times New Roman" w:cs="Times New Roman"/>
          <w:sz w:val="24"/>
          <w:szCs w:val="24"/>
        </w:rPr>
      </w:pPr>
      <w:r w:rsidRPr="009F08E5">
        <w:rPr>
          <w:rFonts w:ascii="Times New Roman" w:eastAsia="Times New Roman" w:hAnsi="Times New Roman" w:cs="Times New Roman"/>
          <w:sz w:val="24"/>
          <w:szCs w:val="24"/>
        </w:rPr>
        <w:t>O levantamento das lojas do Fort Atacadista foi realizado a fim de compreender se haveria padrões e/ou relação específica de características das cidades e bairros onde foram inseridas</w:t>
      </w:r>
      <w:r>
        <w:rPr>
          <w:rFonts w:ascii="Times New Roman" w:eastAsia="Times New Roman" w:hAnsi="Times New Roman" w:cs="Times New Roman"/>
          <w:sz w:val="24"/>
          <w:szCs w:val="24"/>
        </w:rPr>
        <w:t>,</w:t>
      </w:r>
      <w:r w:rsidRPr="009F08E5">
        <w:rPr>
          <w:rFonts w:ascii="Times New Roman" w:eastAsia="Times New Roman" w:hAnsi="Times New Roman" w:cs="Times New Roman"/>
          <w:sz w:val="24"/>
          <w:szCs w:val="24"/>
        </w:rPr>
        <w:t xml:space="preserve"> além de verificar as hipóteses de estratégias do modelo e iniciar debates sobre as consequências dessas grandes existências comerciais no meio urbano e vida cotidiana da população brasileira. Os pontos elencados </w:t>
      </w:r>
      <w:r>
        <w:rPr>
          <w:rFonts w:ascii="Times New Roman" w:eastAsia="Times New Roman" w:hAnsi="Times New Roman" w:cs="Times New Roman"/>
          <w:sz w:val="24"/>
          <w:szCs w:val="24"/>
        </w:rPr>
        <w:t>relacionaram</w:t>
      </w:r>
      <w:r w:rsidRPr="009F08E5">
        <w:rPr>
          <w:rFonts w:ascii="Times New Roman" w:eastAsia="Times New Roman" w:hAnsi="Times New Roman" w:cs="Times New Roman"/>
          <w:sz w:val="24"/>
          <w:szCs w:val="24"/>
        </w:rPr>
        <w:t xml:space="preserve"> </w:t>
      </w:r>
      <w:r w:rsidRPr="009F08E5">
        <w:rPr>
          <w:rFonts w:ascii="Times New Roman" w:eastAsia="Times New Roman" w:hAnsi="Times New Roman" w:cs="Times New Roman"/>
          <w:i/>
          <w:sz w:val="24"/>
          <w:szCs w:val="24"/>
        </w:rPr>
        <w:t>inserção regional, inserção urbana</w:t>
      </w:r>
      <w:r w:rsidRPr="009F08E5">
        <w:rPr>
          <w:rFonts w:ascii="Times New Roman" w:eastAsia="Times New Roman" w:hAnsi="Times New Roman" w:cs="Times New Roman"/>
          <w:sz w:val="24"/>
          <w:szCs w:val="24"/>
        </w:rPr>
        <w:t xml:space="preserve"> e </w:t>
      </w:r>
      <w:r w:rsidRPr="009F08E5">
        <w:rPr>
          <w:rFonts w:ascii="Times New Roman" w:eastAsia="Times New Roman" w:hAnsi="Times New Roman" w:cs="Times New Roman"/>
          <w:i/>
          <w:sz w:val="24"/>
          <w:szCs w:val="24"/>
        </w:rPr>
        <w:t>aspectos arquitetônicos e de funcionamento do Fort Atacadista</w:t>
      </w:r>
      <w:r>
        <w:rPr>
          <w:rFonts w:ascii="Times New Roman" w:eastAsia="Times New Roman" w:hAnsi="Times New Roman" w:cs="Times New Roman"/>
          <w:sz w:val="24"/>
          <w:szCs w:val="24"/>
        </w:rPr>
        <w:t>.</w:t>
      </w:r>
    </w:p>
    <w:p w14:paraId="0E586B54" w14:textId="77777777" w:rsidR="00D17B2B" w:rsidRPr="009F08E5" w:rsidRDefault="00D17B2B" w:rsidP="00D17B2B">
      <w:pPr>
        <w:spacing w:after="0" w:line="360" w:lineRule="auto"/>
        <w:rPr>
          <w:rFonts w:ascii="Times New Roman" w:hAnsi="Times New Roman" w:cs="Times New Roman"/>
          <w:sz w:val="24"/>
          <w:szCs w:val="24"/>
        </w:rPr>
      </w:pPr>
    </w:p>
    <w:p w14:paraId="711A4037" w14:textId="77777777" w:rsidR="00D17B2B" w:rsidRPr="006D438B" w:rsidRDefault="00D17B2B" w:rsidP="00D17B2B">
      <w:pPr>
        <w:spacing w:after="0" w:line="360" w:lineRule="auto"/>
        <w:rPr>
          <w:rFonts w:ascii="Times New Roman" w:hAnsi="Times New Roman" w:cs="Times New Roman"/>
          <w:color w:val="0000FF"/>
          <w:sz w:val="24"/>
          <w:szCs w:val="24"/>
        </w:rPr>
      </w:pPr>
      <w:r w:rsidRPr="009F08E5">
        <w:rPr>
          <w:rFonts w:ascii="Times New Roman" w:hAnsi="Times New Roman" w:cs="Times New Roman"/>
          <w:sz w:val="24"/>
          <w:szCs w:val="24"/>
        </w:rPr>
        <w:t>5.</w:t>
      </w:r>
      <w:r>
        <w:rPr>
          <w:rFonts w:ascii="Times New Roman" w:hAnsi="Times New Roman" w:cs="Times New Roman"/>
          <w:sz w:val="24"/>
          <w:szCs w:val="24"/>
        </w:rPr>
        <w:t>1</w:t>
      </w:r>
      <w:r w:rsidRPr="009F08E5">
        <w:rPr>
          <w:rFonts w:ascii="Times New Roman" w:hAnsi="Times New Roman" w:cs="Times New Roman"/>
          <w:sz w:val="24"/>
          <w:szCs w:val="24"/>
        </w:rPr>
        <w:t xml:space="preserve"> INSERÇÃO REGIONAL E URBA</w:t>
      </w:r>
      <w:r>
        <w:rPr>
          <w:rFonts w:ascii="Times New Roman" w:hAnsi="Times New Roman" w:cs="Times New Roman"/>
          <w:sz w:val="24"/>
          <w:szCs w:val="24"/>
        </w:rPr>
        <w:t>NA</w:t>
      </w:r>
    </w:p>
    <w:p w14:paraId="171E81DB" w14:textId="77777777" w:rsidR="00D17B2B" w:rsidRDefault="00D17B2B" w:rsidP="00D17B2B">
      <w:pPr>
        <w:shd w:val="clear" w:color="auto" w:fill="FFFFFF"/>
        <w:spacing w:after="0" w:line="360" w:lineRule="auto"/>
        <w:ind w:firstLine="720"/>
        <w:jc w:val="both"/>
        <w:rPr>
          <w:rFonts w:ascii="Times New Roman" w:eastAsia="Times New Roman" w:hAnsi="Times New Roman" w:cs="Times New Roman"/>
          <w:sz w:val="24"/>
          <w:szCs w:val="24"/>
        </w:rPr>
      </w:pPr>
      <w:r w:rsidRPr="009F08E5">
        <w:rPr>
          <w:rFonts w:ascii="Times New Roman" w:eastAsia="Times New Roman" w:hAnsi="Times New Roman" w:cs="Times New Roman"/>
          <w:sz w:val="24"/>
          <w:szCs w:val="24"/>
        </w:rPr>
        <w:t>Iniciando os estudos da estrutura da rede a partir da</w:t>
      </w:r>
      <w:r w:rsidRPr="009F08E5">
        <w:rPr>
          <w:rFonts w:ascii="Times New Roman" w:eastAsia="Times New Roman" w:hAnsi="Times New Roman" w:cs="Times New Roman"/>
          <w:b/>
          <w:sz w:val="24"/>
          <w:szCs w:val="24"/>
        </w:rPr>
        <w:t xml:space="preserve"> </w:t>
      </w:r>
      <w:r w:rsidRPr="00662FE0">
        <w:rPr>
          <w:rFonts w:ascii="Times New Roman" w:eastAsia="Times New Roman" w:hAnsi="Times New Roman" w:cs="Times New Roman"/>
          <w:bCs/>
          <w:sz w:val="24"/>
          <w:szCs w:val="24"/>
        </w:rPr>
        <w:t>inserção regional,</w:t>
      </w:r>
      <w:r w:rsidRPr="009F08E5">
        <w:rPr>
          <w:rFonts w:ascii="Times New Roman" w:eastAsia="Times New Roman" w:hAnsi="Times New Roman" w:cs="Times New Roman"/>
          <w:sz w:val="24"/>
          <w:szCs w:val="24"/>
        </w:rPr>
        <w:t xml:space="preserve"> observa-se padrões de escolha das localidades para novas filiais do Fort Atacadista. Baseada na </w:t>
      </w:r>
      <w:r w:rsidRPr="009F08E5">
        <w:rPr>
          <w:rFonts w:ascii="Times New Roman" w:eastAsia="Times New Roman" w:hAnsi="Times New Roman" w:cs="Times New Roman"/>
          <w:sz w:val="24"/>
          <w:szCs w:val="24"/>
        </w:rPr>
        <w:lastRenderedPageBreak/>
        <w:t>categorização das cidades pela última publicação da Regiões de Influência das Cidades (REGIC</w:t>
      </w:r>
      <w:r>
        <w:rPr>
          <w:rFonts w:ascii="Times New Roman" w:eastAsia="Times New Roman" w:hAnsi="Times New Roman" w:cs="Times New Roman"/>
          <w:sz w:val="24"/>
          <w:szCs w:val="24"/>
        </w:rPr>
        <w:t>-IBGE,</w:t>
      </w:r>
      <w:r w:rsidRPr="009F08E5">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rPr>
        <w:t>20), das 44 lojas catalogadas,</w:t>
      </w:r>
      <w:r w:rsidRPr="009F08E5">
        <w:rPr>
          <w:rFonts w:ascii="Times New Roman" w:eastAsia="Times New Roman" w:hAnsi="Times New Roman" w:cs="Times New Roman"/>
          <w:sz w:val="24"/>
          <w:szCs w:val="24"/>
        </w:rPr>
        <w:t xml:space="preserve"> tem-se: </w:t>
      </w:r>
    </w:p>
    <w:p w14:paraId="08687C6A" w14:textId="77777777" w:rsidR="00D17B2B" w:rsidRDefault="00D17B2B" w:rsidP="00D17B2B">
      <w:pPr>
        <w:pStyle w:val="PargrafodaLista"/>
        <w:numPr>
          <w:ilvl w:val="0"/>
          <w:numId w:val="9"/>
        </w:numPr>
        <w:shd w:val="clear" w:color="auto" w:fill="FFFFFF"/>
        <w:spacing w:after="0" w:line="360" w:lineRule="auto"/>
        <w:jc w:val="both"/>
        <w:rPr>
          <w:rFonts w:ascii="Times New Roman" w:eastAsia="Times New Roman" w:hAnsi="Times New Roman" w:cs="Times New Roman"/>
          <w:sz w:val="24"/>
          <w:szCs w:val="24"/>
        </w:rPr>
      </w:pPr>
      <w:r w:rsidRPr="004200EA">
        <w:rPr>
          <w:rFonts w:ascii="Times New Roman" w:eastAsia="Times New Roman" w:hAnsi="Times New Roman" w:cs="Times New Roman"/>
          <w:sz w:val="24"/>
          <w:szCs w:val="24"/>
        </w:rPr>
        <w:t xml:space="preserve">10 lojas </w:t>
      </w:r>
      <w:r>
        <w:rPr>
          <w:rFonts w:ascii="Times New Roman" w:eastAsia="Times New Roman" w:hAnsi="Times New Roman" w:cs="Times New Roman"/>
          <w:sz w:val="24"/>
          <w:szCs w:val="24"/>
        </w:rPr>
        <w:t>no</w:t>
      </w:r>
      <w:r w:rsidRPr="004200EA">
        <w:rPr>
          <w:rFonts w:ascii="Times New Roman" w:eastAsia="Times New Roman" w:hAnsi="Times New Roman" w:cs="Times New Roman"/>
          <w:sz w:val="24"/>
          <w:szCs w:val="24"/>
        </w:rPr>
        <w:t xml:space="preserve"> Arranjo Populacional </w:t>
      </w:r>
      <w:r>
        <w:rPr>
          <w:rFonts w:ascii="Times New Roman" w:eastAsia="Times New Roman" w:hAnsi="Times New Roman" w:cs="Times New Roman"/>
          <w:sz w:val="24"/>
          <w:szCs w:val="24"/>
        </w:rPr>
        <w:t xml:space="preserve">Metropolitano </w:t>
      </w:r>
      <w:r w:rsidRPr="004200EA">
        <w:rPr>
          <w:rFonts w:ascii="Times New Roman" w:eastAsia="Times New Roman" w:hAnsi="Times New Roman" w:cs="Times New Roman"/>
          <w:sz w:val="24"/>
          <w:szCs w:val="24"/>
        </w:rPr>
        <w:t xml:space="preserve">de Florianópolis (SC), </w:t>
      </w:r>
    </w:p>
    <w:p w14:paraId="2B79976C" w14:textId="77777777" w:rsidR="00D17B2B" w:rsidRDefault="00D17B2B" w:rsidP="00D17B2B">
      <w:pPr>
        <w:pStyle w:val="PargrafodaLista"/>
        <w:numPr>
          <w:ilvl w:val="0"/>
          <w:numId w:val="9"/>
        </w:numPr>
        <w:shd w:val="clear" w:color="auto" w:fill="FFFFFF"/>
        <w:spacing w:after="0" w:line="360" w:lineRule="auto"/>
        <w:jc w:val="both"/>
        <w:rPr>
          <w:rFonts w:ascii="Times New Roman" w:eastAsia="Times New Roman" w:hAnsi="Times New Roman" w:cs="Times New Roman"/>
          <w:sz w:val="24"/>
          <w:szCs w:val="24"/>
        </w:rPr>
      </w:pPr>
      <w:r w:rsidRPr="004200EA">
        <w:rPr>
          <w:rFonts w:ascii="Times New Roman" w:eastAsia="Times New Roman" w:hAnsi="Times New Roman" w:cs="Times New Roman"/>
          <w:sz w:val="24"/>
          <w:szCs w:val="24"/>
        </w:rPr>
        <w:t xml:space="preserve">10 lojas em capitais regionais A, </w:t>
      </w:r>
    </w:p>
    <w:p w14:paraId="72B2C473" w14:textId="77777777" w:rsidR="00D17B2B" w:rsidRDefault="00D17B2B" w:rsidP="00D17B2B">
      <w:pPr>
        <w:pStyle w:val="PargrafodaLista"/>
        <w:numPr>
          <w:ilvl w:val="0"/>
          <w:numId w:val="9"/>
        </w:numPr>
        <w:shd w:val="clear" w:color="auto" w:fill="FFFFFF"/>
        <w:spacing w:after="0" w:line="360" w:lineRule="auto"/>
        <w:jc w:val="both"/>
        <w:rPr>
          <w:rFonts w:ascii="Times New Roman" w:eastAsia="Times New Roman" w:hAnsi="Times New Roman" w:cs="Times New Roman"/>
          <w:sz w:val="24"/>
          <w:szCs w:val="24"/>
        </w:rPr>
      </w:pPr>
      <w:r w:rsidRPr="004200EA">
        <w:rPr>
          <w:rFonts w:ascii="Times New Roman" w:eastAsia="Times New Roman" w:hAnsi="Times New Roman" w:cs="Times New Roman"/>
          <w:sz w:val="24"/>
          <w:szCs w:val="24"/>
        </w:rPr>
        <w:t xml:space="preserve">14 lojas em capitais regionais B, </w:t>
      </w:r>
    </w:p>
    <w:p w14:paraId="4F277526" w14:textId="77777777" w:rsidR="00D17B2B" w:rsidRDefault="00D17B2B" w:rsidP="00D17B2B">
      <w:pPr>
        <w:pStyle w:val="PargrafodaLista"/>
        <w:numPr>
          <w:ilvl w:val="0"/>
          <w:numId w:val="9"/>
        </w:numPr>
        <w:shd w:val="clear" w:color="auto" w:fill="FFFFFF"/>
        <w:spacing w:after="0" w:line="360" w:lineRule="auto"/>
        <w:jc w:val="both"/>
        <w:rPr>
          <w:rFonts w:ascii="Times New Roman" w:eastAsia="Times New Roman" w:hAnsi="Times New Roman" w:cs="Times New Roman"/>
          <w:sz w:val="24"/>
          <w:szCs w:val="24"/>
        </w:rPr>
      </w:pPr>
      <w:r w:rsidRPr="004200EA">
        <w:rPr>
          <w:rFonts w:ascii="Times New Roman" w:eastAsia="Times New Roman" w:hAnsi="Times New Roman" w:cs="Times New Roman"/>
          <w:sz w:val="24"/>
          <w:szCs w:val="24"/>
        </w:rPr>
        <w:t xml:space="preserve">3 lojas na Metrópole Nacional </w:t>
      </w:r>
      <w:r>
        <w:rPr>
          <w:rFonts w:ascii="Times New Roman" w:eastAsia="Times New Roman" w:hAnsi="Times New Roman" w:cs="Times New Roman"/>
          <w:sz w:val="24"/>
          <w:szCs w:val="24"/>
        </w:rPr>
        <w:t>de Brasília</w:t>
      </w:r>
    </w:p>
    <w:p w14:paraId="37C618EF" w14:textId="77777777" w:rsidR="00D17B2B" w:rsidRDefault="00D17B2B" w:rsidP="00D17B2B">
      <w:pPr>
        <w:pStyle w:val="PargrafodaLista"/>
        <w:numPr>
          <w:ilvl w:val="0"/>
          <w:numId w:val="9"/>
        </w:numPr>
        <w:shd w:val="clear" w:color="auto" w:fill="FFFFFF"/>
        <w:spacing w:after="0" w:line="360" w:lineRule="auto"/>
        <w:jc w:val="both"/>
        <w:rPr>
          <w:rFonts w:ascii="Times New Roman" w:eastAsia="Times New Roman" w:hAnsi="Times New Roman" w:cs="Times New Roman"/>
          <w:sz w:val="24"/>
          <w:szCs w:val="24"/>
        </w:rPr>
      </w:pPr>
      <w:r w:rsidRPr="004200EA">
        <w:rPr>
          <w:rFonts w:ascii="Times New Roman" w:eastAsia="Times New Roman" w:hAnsi="Times New Roman" w:cs="Times New Roman"/>
          <w:sz w:val="24"/>
          <w:szCs w:val="24"/>
        </w:rPr>
        <w:t xml:space="preserve">3 em cidades com outras classificações. </w:t>
      </w:r>
    </w:p>
    <w:p w14:paraId="45B75267" w14:textId="77777777" w:rsidR="00D17B2B" w:rsidRPr="009F08E5" w:rsidRDefault="00D17B2B" w:rsidP="00D17B2B">
      <w:pPr>
        <w:shd w:val="clear" w:color="auto" w:fill="FFFFFF"/>
        <w:spacing w:after="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4200EA">
        <w:rPr>
          <w:rFonts w:ascii="Times New Roman" w:eastAsia="Times New Roman" w:hAnsi="Times New Roman" w:cs="Times New Roman"/>
          <w:sz w:val="24"/>
          <w:szCs w:val="24"/>
        </w:rPr>
        <w:t xml:space="preserve"> grande maioria dos locais de implantação fazem parte arranjos populacionais (A.P</w:t>
      </w:r>
      <w:r>
        <w:rPr>
          <w:rFonts w:ascii="Times New Roman" w:eastAsia="Times New Roman" w:hAnsi="Times New Roman" w:cs="Times New Roman"/>
          <w:sz w:val="24"/>
          <w:szCs w:val="24"/>
        </w:rPr>
        <w:t>.</w:t>
      </w:r>
      <w:r w:rsidRPr="004200EA">
        <w:rPr>
          <w:rFonts w:ascii="Times New Roman" w:eastAsia="Times New Roman" w:hAnsi="Times New Roman" w:cs="Times New Roman"/>
          <w:sz w:val="24"/>
          <w:szCs w:val="24"/>
        </w:rPr>
        <w:t>), agrupamento de municípios com forte integração populacional devido a movimentos pendulares e/ou proximidade entre as principais manchas urbanizadas.</w:t>
      </w:r>
      <w:r>
        <w:rPr>
          <w:rFonts w:ascii="Times New Roman" w:eastAsia="Times New Roman" w:hAnsi="Times New Roman" w:cs="Times New Roman"/>
          <w:sz w:val="24"/>
          <w:szCs w:val="24"/>
        </w:rPr>
        <w:t xml:space="preserve"> </w:t>
      </w:r>
      <w:r w:rsidRPr="004200EA">
        <w:rPr>
          <w:rFonts w:ascii="Times New Roman" w:eastAsia="Times New Roman" w:hAnsi="Times New Roman" w:cs="Times New Roman"/>
          <w:sz w:val="24"/>
          <w:szCs w:val="24"/>
        </w:rPr>
        <w:t>Confirmando</w:t>
      </w:r>
      <w:r>
        <w:rPr>
          <w:rFonts w:ascii="Times New Roman" w:eastAsia="Times New Roman" w:hAnsi="Times New Roman" w:cs="Times New Roman"/>
          <w:sz w:val="24"/>
          <w:szCs w:val="24"/>
        </w:rPr>
        <w:t>,</w:t>
      </w:r>
      <w:r w:rsidRPr="004200EA">
        <w:rPr>
          <w:rFonts w:ascii="Times New Roman" w:eastAsia="Times New Roman" w:hAnsi="Times New Roman" w:cs="Times New Roman"/>
          <w:sz w:val="24"/>
          <w:szCs w:val="24"/>
        </w:rPr>
        <w:t xml:space="preserve"> portanto,</w:t>
      </w:r>
      <w:r w:rsidRPr="004200EA">
        <w:rPr>
          <w:rFonts w:ascii="Times New Roman" w:eastAsia="Times New Roman" w:hAnsi="Times New Roman" w:cs="Times New Roman"/>
          <w:color w:val="6D9EEB"/>
          <w:sz w:val="24"/>
          <w:szCs w:val="24"/>
        </w:rPr>
        <w:t xml:space="preserve"> </w:t>
      </w:r>
      <w:r w:rsidRPr="008439DF">
        <w:rPr>
          <w:rFonts w:ascii="Times New Roman" w:eastAsia="Times New Roman" w:hAnsi="Times New Roman" w:cs="Times New Roman"/>
          <w:color w:val="000000" w:themeColor="text1"/>
          <w:sz w:val="24"/>
          <w:szCs w:val="24"/>
        </w:rPr>
        <w:t xml:space="preserve">a fala do presidente da ABAAS, sobre a estratégia de expansão do </w:t>
      </w:r>
      <w:proofErr w:type="spellStart"/>
      <w:r w:rsidRPr="008439DF">
        <w:rPr>
          <w:rFonts w:ascii="Times New Roman" w:eastAsia="Times New Roman" w:hAnsi="Times New Roman" w:cs="Times New Roman"/>
          <w:color w:val="000000" w:themeColor="text1"/>
          <w:sz w:val="24"/>
          <w:szCs w:val="24"/>
        </w:rPr>
        <w:t>atacarejo</w:t>
      </w:r>
      <w:proofErr w:type="spellEnd"/>
      <w:r w:rsidRPr="008439DF">
        <w:rPr>
          <w:rFonts w:ascii="Times New Roman" w:eastAsia="Times New Roman" w:hAnsi="Times New Roman" w:cs="Times New Roman"/>
          <w:color w:val="000000" w:themeColor="text1"/>
          <w:sz w:val="24"/>
          <w:szCs w:val="24"/>
        </w:rPr>
        <w:t xml:space="preserve"> focar </w:t>
      </w:r>
      <w:r>
        <w:rPr>
          <w:rFonts w:ascii="Times New Roman" w:eastAsia="Times New Roman" w:hAnsi="Times New Roman" w:cs="Times New Roman"/>
          <w:color w:val="000000" w:themeColor="text1"/>
          <w:sz w:val="24"/>
          <w:szCs w:val="24"/>
        </w:rPr>
        <w:t xml:space="preserve">em </w:t>
      </w:r>
      <w:r w:rsidRPr="008439DF">
        <w:rPr>
          <w:rFonts w:ascii="Times New Roman" w:eastAsia="Times New Roman" w:hAnsi="Times New Roman" w:cs="Times New Roman"/>
          <w:color w:val="000000" w:themeColor="text1"/>
          <w:sz w:val="24"/>
          <w:szCs w:val="24"/>
        </w:rPr>
        <w:t>cidades com mais de 200 mil hab</w:t>
      </w:r>
      <w:r>
        <w:rPr>
          <w:rFonts w:ascii="Times New Roman" w:eastAsia="Times New Roman" w:hAnsi="Times New Roman" w:cs="Times New Roman"/>
          <w:color w:val="000000" w:themeColor="text1"/>
          <w:sz w:val="24"/>
          <w:szCs w:val="24"/>
        </w:rPr>
        <w:t>itantes</w:t>
      </w:r>
      <w:r w:rsidRPr="008439DF">
        <w:rPr>
          <w:rFonts w:ascii="Times New Roman" w:eastAsia="Times New Roman" w:hAnsi="Times New Roman" w:cs="Times New Roman"/>
          <w:color w:val="000000" w:themeColor="text1"/>
          <w:sz w:val="24"/>
          <w:szCs w:val="24"/>
        </w:rPr>
        <w:t xml:space="preserve"> (REVISTA DA ABAAS, 2016).</w:t>
      </w:r>
    </w:p>
    <w:p w14:paraId="24E1217F" w14:textId="77777777" w:rsidR="00D17B2B" w:rsidRDefault="00D17B2B" w:rsidP="00D17B2B">
      <w:pPr>
        <w:spacing w:after="0" w:line="360" w:lineRule="auto"/>
        <w:ind w:firstLine="720"/>
        <w:jc w:val="both"/>
        <w:rPr>
          <w:rFonts w:ascii="Times New Roman" w:eastAsia="Times New Roman" w:hAnsi="Times New Roman" w:cs="Times New Roman"/>
          <w:color w:val="999999"/>
          <w:sz w:val="24"/>
          <w:szCs w:val="24"/>
        </w:rPr>
      </w:pPr>
      <w:r w:rsidRPr="009F08E5">
        <w:rPr>
          <w:rFonts w:ascii="Times New Roman" w:eastAsia="Times New Roman" w:hAnsi="Times New Roman" w:cs="Times New Roman"/>
          <w:sz w:val="24"/>
          <w:szCs w:val="24"/>
        </w:rPr>
        <w:t>Adentrando em escala urbana, a partir da verificação da distância e relação entre lojas do Fort Atacadista,</w:t>
      </w:r>
      <w:r w:rsidRPr="009F08E5">
        <w:rPr>
          <w:rFonts w:ascii="Times New Roman" w:eastAsia="Times New Roman" w:hAnsi="Times New Roman" w:cs="Times New Roman"/>
          <w:color w:val="202124"/>
          <w:sz w:val="24"/>
          <w:szCs w:val="24"/>
        </w:rPr>
        <w:t xml:space="preserve"> foi possível notar a proeminência de inserção direta em estradas com grande tráfego </w:t>
      </w:r>
      <w:proofErr w:type="gramStart"/>
      <w:r w:rsidRPr="009F08E5">
        <w:rPr>
          <w:rFonts w:ascii="Times New Roman" w:eastAsia="Times New Roman" w:hAnsi="Times New Roman" w:cs="Times New Roman"/>
          <w:color w:val="202124"/>
          <w:sz w:val="24"/>
          <w:szCs w:val="24"/>
        </w:rPr>
        <w:t>e também</w:t>
      </w:r>
      <w:proofErr w:type="gramEnd"/>
      <w:r w:rsidRPr="009F08E5">
        <w:rPr>
          <w:rFonts w:ascii="Times New Roman" w:eastAsia="Times New Roman" w:hAnsi="Times New Roman" w:cs="Times New Roman"/>
          <w:color w:val="202124"/>
          <w:sz w:val="24"/>
          <w:szCs w:val="24"/>
        </w:rPr>
        <w:t xml:space="preserve"> em cidades que são cortadas por </w:t>
      </w:r>
      <w:proofErr w:type="spellStart"/>
      <w:r w:rsidRPr="009F08E5">
        <w:rPr>
          <w:rFonts w:ascii="Times New Roman" w:eastAsia="Times New Roman" w:hAnsi="Times New Roman" w:cs="Times New Roman"/>
          <w:color w:val="202124"/>
          <w:sz w:val="24"/>
          <w:szCs w:val="24"/>
        </w:rPr>
        <w:t>BR's</w:t>
      </w:r>
      <w:proofErr w:type="spellEnd"/>
      <w:r w:rsidRPr="009F08E5">
        <w:rPr>
          <w:rFonts w:ascii="Times New Roman" w:eastAsia="Times New Roman" w:hAnsi="Times New Roman" w:cs="Times New Roman"/>
          <w:color w:val="202124"/>
          <w:sz w:val="24"/>
          <w:szCs w:val="24"/>
        </w:rPr>
        <w:t xml:space="preserve"> e rodovias estaduais. Desta primeira, tem-se c</w:t>
      </w:r>
      <w:r w:rsidRPr="009F08E5">
        <w:rPr>
          <w:rFonts w:ascii="Times New Roman" w:eastAsia="Times New Roman" w:hAnsi="Times New Roman" w:cs="Times New Roman"/>
          <w:sz w:val="24"/>
          <w:szCs w:val="24"/>
        </w:rPr>
        <w:t>omo exemplo mais notável a filial d</w:t>
      </w:r>
      <w:r>
        <w:rPr>
          <w:rFonts w:ascii="Times New Roman" w:eastAsia="Times New Roman" w:hAnsi="Times New Roman" w:cs="Times New Roman"/>
          <w:sz w:val="24"/>
          <w:szCs w:val="24"/>
        </w:rPr>
        <w:t>a cidade de</w:t>
      </w:r>
      <w:r w:rsidRPr="009F08E5">
        <w:rPr>
          <w:rFonts w:ascii="Times New Roman" w:eastAsia="Times New Roman" w:hAnsi="Times New Roman" w:cs="Times New Roman"/>
          <w:sz w:val="24"/>
          <w:szCs w:val="24"/>
        </w:rPr>
        <w:t xml:space="preserve"> São José</w:t>
      </w:r>
      <w:r>
        <w:rPr>
          <w:rFonts w:ascii="Times New Roman" w:eastAsia="Times New Roman" w:hAnsi="Times New Roman" w:cs="Times New Roman"/>
          <w:sz w:val="24"/>
          <w:szCs w:val="24"/>
        </w:rPr>
        <w:t>, Santa Catarina</w:t>
      </w:r>
      <w:r w:rsidRPr="009F08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(bairro </w:t>
      </w:r>
      <w:r w:rsidRPr="009F08E5">
        <w:rPr>
          <w:rFonts w:ascii="Times New Roman" w:eastAsia="Times New Roman" w:hAnsi="Times New Roman" w:cs="Times New Roman"/>
          <w:sz w:val="24"/>
          <w:szCs w:val="24"/>
        </w:rPr>
        <w:t>Barreiros</w:t>
      </w:r>
      <w:r>
        <w:rPr>
          <w:rFonts w:ascii="Times New Roman" w:eastAsia="Times New Roman" w:hAnsi="Times New Roman" w:cs="Times New Roman"/>
          <w:sz w:val="24"/>
          <w:szCs w:val="24"/>
        </w:rPr>
        <w:t>)</w:t>
      </w:r>
      <w:r w:rsidRPr="009F08E5">
        <w:rPr>
          <w:rFonts w:ascii="Times New Roman" w:eastAsia="Times New Roman" w:hAnsi="Times New Roman" w:cs="Times New Roman"/>
          <w:sz w:val="24"/>
          <w:szCs w:val="24"/>
        </w:rPr>
        <w:t>, presente diretamente nas margens da BR-101</w:t>
      </w:r>
      <w:r>
        <w:rPr>
          <w:rFonts w:ascii="Times New Roman" w:eastAsia="Times New Roman" w:hAnsi="Times New Roman" w:cs="Times New Roman"/>
          <w:sz w:val="24"/>
          <w:szCs w:val="24"/>
        </w:rPr>
        <w:t xml:space="preserve">(Figura 2, na página seguinte). </w:t>
      </w:r>
      <w:r w:rsidRPr="009F08E5">
        <w:rPr>
          <w:rFonts w:ascii="Times New Roman" w:eastAsia="Times New Roman" w:hAnsi="Times New Roman" w:cs="Times New Roman"/>
          <w:sz w:val="24"/>
          <w:szCs w:val="24"/>
        </w:rPr>
        <w:t xml:space="preserve">Mesmo ao considerarmos as filiais mais integradas no tecido urbano propriamente dito, ainda existe relação próxima entre a localização dos </w:t>
      </w:r>
      <w:proofErr w:type="spellStart"/>
      <w:r w:rsidRPr="009F08E5">
        <w:rPr>
          <w:rFonts w:ascii="Times New Roman" w:eastAsia="Times New Roman" w:hAnsi="Times New Roman" w:cs="Times New Roman"/>
          <w:sz w:val="24"/>
          <w:szCs w:val="24"/>
        </w:rPr>
        <w:t>atacarejos</w:t>
      </w:r>
      <w:proofErr w:type="spellEnd"/>
      <w:r w:rsidRPr="009F08E5">
        <w:rPr>
          <w:rFonts w:ascii="Times New Roman" w:eastAsia="Times New Roman" w:hAnsi="Times New Roman" w:cs="Times New Roman"/>
          <w:sz w:val="24"/>
          <w:szCs w:val="24"/>
        </w:rPr>
        <w:t xml:space="preserve"> com o acesso rodoviário. </w:t>
      </w:r>
      <w:r>
        <w:rPr>
          <w:rFonts w:ascii="Times New Roman" w:eastAsia="Times New Roman" w:hAnsi="Times New Roman" w:cs="Times New Roman"/>
          <w:sz w:val="24"/>
          <w:szCs w:val="24"/>
        </w:rPr>
        <w:t>Este v</w:t>
      </w:r>
      <w:r w:rsidRPr="009F08E5">
        <w:rPr>
          <w:rFonts w:ascii="Times New Roman" w:eastAsia="Times New Roman" w:hAnsi="Times New Roman" w:cs="Times New Roman"/>
          <w:sz w:val="24"/>
          <w:szCs w:val="24"/>
        </w:rPr>
        <w:t xml:space="preserve">ínculo pode ser observado, por exemplo, pela filial de Jaraguá do Sul (SC), cuja localização se dá em uma rodovia estadual (SC-280) </w:t>
      </w:r>
      <w:r>
        <w:rPr>
          <w:rFonts w:ascii="Times New Roman" w:eastAsia="Times New Roman" w:hAnsi="Times New Roman" w:cs="Times New Roman"/>
          <w:sz w:val="24"/>
          <w:szCs w:val="24"/>
        </w:rPr>
        <w:t>(Figura 3, na página seguinte)</w:t>
      </w:r>
      <w:r>
        <w:rPr>
          <w:rFonts w:ascii="Times New Roman" w:eastAsia="Times New Roman" w:hAnsi="Times New Roman" w:cs="Times New Roman"/>
          <w:color w:val="999999"/>
          <w:sz w:val="24"/>
          <w:szCs w:val="24"/>
        </w:rPr>
        <w:t>.</w:t>
      </w:r>
    </w:p>
    <w:p w14:paraId="6BCEC413" w14:textId="77777777" w:rsidR="00D17B2B" w:rsidRPr="009F08E5" w:rsidRDefault="00D17B2B" w:rsidP="00D17B2B">
      <w:pPr>
        <w:spacing w:after="0" w:line="360" w:lineRule="auto"/>
        <w:ind w:firstLine="720"/>
        <w:jc w:val="both"/>
        <w:rPr>
          <w:rFonts w:ascii="Times New Roman" w:eastAsia="Times New Roman" w:hAnsi="Times New Roman" w:cs="Times New Roman"/>
          <w:color w:val="999999"/>
          <w:sz w:val="24"/>
          <w:szCs w:val="24"/>
        </w:rPr>
      </w:pPr>
      <w:r w:rsidRPr="009F08E5">
        <w:rPr>
          <w:rFonts w:ascii="Times New Roman" w:eastAsia="Times New Roman" w:hAnsi="Times New Roman" w:cs="Times New Roman"/>
          <w:sz w:val="24"/>
          <w:szCs w:val="24"/>
        </w:rPr>
        <w:t xml:space="preserve">Sob uma ótica contrastando uma suposta dicotomia entre o </w:t>
      </w:r>
      <w:r>
        <w:rPr>
          <w:rFonts w:ascii="Times New Roman" w:eastAsia="Times New Roman" w:hAnsi="Times New Roman" w:cs="Times New Roman"/>
          <w:sz w:val="24"/>
          <w:szCs w:val="24"/>
        </w:rPr>
        <w:t>“</w:t>
      </w:r>
      <w:r w:rsidRPr="009F08E5">
        <w:rPr>
          <w:rFonts w:ascii="Times New Roman" w:eastAsia="Times New Roman" w:hAnsi="Times New Roman" w:cs="Times New Roman"/>
          <w:sz w:val="24"/>
          <w:szCs w:val="24"/>
        </w:rPr>
        <w:t>Tecido da cidade</w:t>
      </w:r>
      <w:r>
        <w:rPr>
          <w:rFonts w:ascii="Times New Roman" w:eastAsia="Times New Roman" w:hAnsi="Times New Roman" w:cs="Times New Roman"/>
          <w:sz w:val="24"/>
          <w:szCs w:val="24"/>
        </w:rPr>
        <w:t>”</w:t>
      </w:r>
      <w:r w:rsidRPr="009F08E5">
        <w:rPr>
          <w:rFonts w:ascii="Times New Roman" w:eastAsia="Times New Roman" w:hAnsi="Times New Roman" w:cs="Times New Roman"/>
          <w:sz w:val="24"/>
          <w:szCs w:val="24"/>
        </w:rPr>
        <w:t xml:space="preserve"> e </w:t>
      </w:r>
      <w:r>
        <w:rPr>
          <w:rFonts w:ascii="Times New Roman" w:eastAsia="Times New Roman" w:hAnsi="Times New Roman" w:cs="Times New Roman"/>
          <w:sz w:val="24"/>
          <w:szCs w:val="24"/>
        </w:rPr>
        <w:t>as</w:t>
      </w:r>
      <w:r w:rsidRPr="009F08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“redes rodoviárias”</w:t>
      </w:r>
      <w:r w:rsidRPr="009F08E5">
        <w:rPr>
          <w:rFonts w:ascii="Times New Roman" w:eastAsia="Times New Roman" w:hAnsi="Times New Roman" w:cs="Times New Roman"/>
          <w:sz w:val="24"/>
          <w:szCs w:val="24"/>
        </w:rPr>
        <w:t xml:space="preserve">, os </w:t>
      </w:r>
      <w:proofErr w:type="spellStart"/>
      <w:r w:rsidRPr="009F08E5">
        <w:rPr>
          <w:rFonts w:ascii="Times New Roman" w:eastAsia="Times New Roman" w:hAnsi="Times New Roman" w:cs="Times New Roman"/>
          <w:sz w:val="24"/>
          <w:szCs w:val="24"/>
        </w:rPr>
        <w:t>atacarejos</w:t>
      </w:r>
      <w:proofErr w:type="spellEnd"/>
      <w:r w:rsidRPr="009F08E5">
        <w:rPr>
          <w:rFonts w:ascii="Times New Roman" w:eastAsia="Times New Roman" w:hAnsi="Times New Roman" w:cs="Times New Roman"/>
          <w:sz w:val="24"/>
          <w:szCs w:val="24"/>
        </w:rPr>
        <w:t xml:space="preserve"> podem ser vistos como um setor que se aproveita da constante mistura destes dois elementos</w:t>
      </w:r>
      <w:r>
        <w:rPr>
          <w:rFonts w:ascii="Times New Roman" w:eastAsia="Times New Roman" w:hAnsi="Times New Roman" w:cs="Times New Roman"/>
          <w:sz w:val="24"/>
          <w:szCs w:val="24"/>
        </w:rPr>
        <w:t>, fruto dos processos contemporâneos de fragmentação socioespacial</w:t>
      </w:r>
      <w:r w:rsidRPr="009F08E5">
        <w:rPr>
          <w:rFonts w:ascii="Times New Roman" w:eastAsia="Times New Roman" w:hAnsi="Times New Roman" w:cs="Times New Roman"/>
          <w:sz w:val="24"/>
          <w:szCs w:val="24"/>
        </w:rPr>
        <w:t xml:space="preserve">. Neste sentido, em uma análise espacial do </w:t>
      </w:r>
      <w:proofErr w:type="spellStart"/>
      <w:r w:rsidRPr="009F08E5">
        <w:rPr>
          <w:rFonts w:ascii="Times New Roman" w:eastAsia="Times New Roman" w:hAnsi="Times New Roman" w:cs="Times New Roman"/>
          <w:sz w:val="24"/>
          <w:szCs w:val="24"/>
        </w:rPr>
        <w:t>atacarejo</w:t>
      </w:r>
      <w:proofErr w:type="spellEnd"/>
      <w:r w:rsidRPr="009F08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demonstra sua forte relação com o rodoviarismo. </w:t>
      </w:r>
    </w:p>
    <w:p w14:paraId="7644FCEB" w14:textId="77777777" w:rsidR="00D17B2B" w:rsidRPr="009F08E5" w:rsidRDefault="00D17B2B" w:rsidP="00D17B2B">
      <w:pPr>
        <w:spacing w:after="0" w:line="360" w:lineRule="auto"/>
        <w:ind w:firstLine="720"/>
        <w:jc w:val="both"/>
        <w:rPr>
          <w:rFonts w:ascii="Times New Roman" w:eastAsia="Times New Roman" w:hAnsi="Times New Roman" w:cs="Times New Roman"/>
          <w:color w:val="999999"/>
          <w:sz w:val="24"/>
          <w:szCs w:val="24"/>
        </w:rPr>
      </w:pPr>
    </w:p>
    <w:p w14:paraId="4FA7B27D" w14:textId="77777777" w:rsidR="00D17B2B" w:rsidRDefault="00D17B2B" w:rsidP="00D17B2B">
      <w:pPr>
        <w:spacing w:after="0" w:line="360" w:lineRule="auto"/>
        <w:ind w:firstLine="720"/>
        <w:jc w:val="both"/>
        <w:rPr>
          <w:rFonts w:ascii="Times New Roman" w:eastAsia="Times New Roman" w:hAnsi="Times New Roman" w:cs="Times New Roman"/>
          <w:color w:val="999999"/>
          <w:sz w:val="24"/>
          <w:szCs w:val="24"/>
        </w:rPr>
      </w:pPr>
      <w:r w:rsidRPr="009F08E5">
        <w:rPr>
          <w:rFonts w:ascii="Times New Roman" w:eastAsia="Times New Roman" w:hAnsi="Times New Roman" w:cs="Times New Roman"/>
          <w:noProof/>
          <w:color w:val="999999"/>
          <w:sz w:val="24"/>
          <w:szCs w:val="24"/>
        </w:rPr>
        <w:lastRenderedPageBreak/>
        <w:drawing>
          <wp:inline distT="114300" distB="114300" distL="114300" distR="114300" wp14:anchorId="6738257A" wp14:editId="75A65723">
            <wp:extent cx="4839970" cy="3339465"/>
            <wp:effectExtent l="0" t="0" r="0" b="635"/>
            <wp:docPr id="6" name="image4.png" descr="Vista aérea de uma rua&#10;&#10;Descrição gerada automaticamente com confiança média"/>
            <wp:cNvGraphicFramePr/>
            <a:graphic xmlns:a="http://schemas.openxmlformats.org/drawingml/2006/main">
              <a:graphicData uri="http://schemas.openxmlformats.org/drawingml/2006/picture">
                <pic:pic xmlns:pic="http://schemas.openxmlformats.org/drawingml/2006/picture">
                  <pic:nvPicPr>
                    <pic:cNvPr id="6" name="image4.png" descr="Vista aérea de uma rua&#10;&#10;Descrição gerada automaticamente com confiança média"/>
                    <pic:cNvPicPr preferRelativeResize="0"/>
                  </pic:nvPicPr>
                  <pic:blipFill>
                    <a:blip r:embed="rId10" cstate="screen">
                      <a:extLst>
                        <a:ext uri="{28A0092B-C50C-407E-A947-70E740481C1C}">
                          <a14:useLocalDpi xmlns:a14="http://schemas.microsoft.com/office/drawing/2010/main"/>
                        </a:ext>
                      </a:extLst>
                    </a:blip>
                    <a:srcRect/>
                    <a:stretch>
                      <a:fillRect/>
                    </a:stretch>
                  </pic:blipFill>
                  <pic:spPr>
                    <a:xfrm>
                      <a:off x="0" y="0"/>
                      <a:ext cx="4842822" cy="3341433"/>
                    </a:xfrm>
                    <a:prstGeom prst="rect">
                      <a:avLst/>
                    </a:prstGeom>
                    <a:ln/>
                  </pic:spPr>
                </pic:pic>
              </a:graphicData>
            </a:graphic>
          </wp:inline>
        </w:drawing>
      </w:r>
    </w:p>
    <w:p w14:paraId="6F774DA2" w14:textId="77777777" w:rsidR="00D17B2B" w:rsidRPr="00DA5B59"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r w:rsidRPr="00DA5B59">
        <w:rPr>
          <w:rFonts w:ascii="Times New Roman" w:eastAsia="Times New Roman" w:hAnsi="Times New Roman" w:cs="Times New Roman"/>
          <w:color w:val="000000" w:themeColor="text1"/>
          <w:sz w:val="20"/>
          <w:szCs w:val="20"/>
        </w:rPr>
        <w:t>Figura 2 – Inserção urbana do Fort Atacadista de Barreiros, São José (SC)</w:t>
      </w:r>
    </w:p>
    <w:p w14:paraId="09B6E149" w14:textId="6BD04DB4" w:rsidR="00D17B2B"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r w:rsidRPr="00DA5B59">
        <w:rPr>
          <w:rFonts w:ascii="Times New Roman" w:eastAsia="Times New Roman" w:hAnsi="Times New Roman" w:cs="Times New Roman"/>
          <w:color w:val="000000" w:themeColor="text1"/>
          <w:sz w:val="20"/>
          <w:szCs w:val="20"/>
        </w:rPr>
        <w:t>Fonte: elaborada pelas autoras</w:t>
      </w:r>
    </w:p>
    <w:p w14:paraId="47ED5E86" w14:textId="77777777" w:rsidR="00D17B2B" w:rsidRPr="00DA5B59"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p>
    <w:p w14:paraId="78500C93" w14:textId="77777777" w:rsidR="00D17B2B" w:rsidRPr="009F08E5" w:rsidRDefault="00D17B2B" w:rsidP="00D17B2B">
      <w:pPr>
        <w:spacing w:after="0" w:line="360" w:lineRule="auto"/>
        <w:ind w:firstLine="720"/>
        <w:jc w:val="both"/>
        <w:rPr>
          <w:rFonts w:ascii="Times New Roman" w:eastAsia="Times New Roman" w:hAnsi="Times New Roman" w:cs="Times New Roman"/>
          <w:color w:val="999999"/>
          <w:sz w:val="24"/>
          <w:szCs w:val="24"/>
        </w:rPr>
      </w:pPr>
      <w:r w:rsidRPr="009F08E5">
        <w:rPr>
          <w:rFonts w:ascii="Times New Roman" w:eastAsia="Times New Roman" w:hAnsi="Times New Roman" w:cs="Times New Roman"/>
          <w:noProof/>
          <w:color w:val="999999"/>
          <w:sz w:val="24"/>
          <w:szCs w:val="24"/>
        </w:rPr>
        <w:drawing>
          <wp:inline distT="114300" distB="114300" distL="114300" distR="114300" wp14:anchorId="30B43C76" wp14:editId="2C13B6CD">
            <wp:extent cx="4840357" cy="3379939"/>
            <wp:effectExtent l="0" t="0" r="0" b="0"/>
            <wp:docPr id="8" name="image3.png" descr="Diagrama&#10;&#10;Descrição gerada automaticamente"/>
            <wp:cNvGraphicFramePr/>
            <a:graphic xmlns:a="http://schemas.openxmlformats.org/drawingml/2006/main">
              <a:graphicData uri="http://schemas.openxmlformats.org/drawingml/2006/picture">
                <pic:pic xmlns:pic="http://schemas.openxmlformats.org/drawingml/2006/picture">
                  <pic:nvPicPr>
                    <pic:cNvPr id="3" name="image3.png" descr="Diagrama&#10;&#10;Descrição gerada automaticamente"/>
                    <pic:cNvPicPr preferRelativeResize="0"/>
                  </pic:nvPicPr>
                  <pic:blipFill>
                    <a:blip r:embed="rId11" cstate="screen">
                      <a:extLst>
                        <a:ext uri="{28A0092B-C50C-407E-A947-70E740481C1C}">
                          <a14:useLocalDpi xmlns:a14="http://schemas.microsoft.com/office/drawing/2010/main"/>
                        </a:ext>
                      </a:extLst>
                    </a:blip>
                    <a:srcRect/>
                    <a:stretch>
                      <a:fillRect/>
                    </a:stretch>
                  </pic:blipFill>
                  <pic:spPr>
                    <a:xfrm>
                      <a:off x="0" y="0"/>
                      <a:ext cx="4841736" cy="3380902"/>
                    </a:xfrm>
                    <a:prstGeom prst="rect">
                      <a:avLst/>
                    </a:prstGeom>
                    <a:ln/>
                  </pic:spPr>
                </pic:pic>
              </a:graphicData>
            </a:graphic>
          </wp:inline>
        </w:drawing>
      </w:r>
    </w:p>
    <w:p w14:paraId="31FF51B3" w14:textId="77777777" w:rsidR="00D17B2B" w:rsidRPr="00DA5B59"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r w:rsidRPr="00DA5B59">
        <w:rPr>
          <w:rFonts w:ascii="Times New Roman" w:eastAsia="Times New Roman" w:hAnsi="Times New Roman" w:cs="Times New Roman"/>
          <w:color w:val="000000" w:themeColor="text1"/>
          <w:sz w:val="20"/>
          <w:szCs w:val="20"/>
        </w:rPr>
        <w:t>Figura 3 – Inserção urbana do Fort Atacadista de Jaraguá do Sul (SC)</w:t>
      </w:r>
    </w:p>
    <w:p w14:paraId="2AEE01E4" w14:textId="77777777" w:rsidR="00D17B2B"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r w:rsidRPr="00DA5B59">
        <w:rPr>
          <w:rFonts w:ascii="Times New Roman" w:eastAsia="Times New Roman" w:hAnsi="Times New Roman" w:cs="Times New Roman"/>
          <w:color w:val="000000" w:themeColor="text1"/>
          <w:sz w:val="20"/>
          <w:szCs w:val="20"/>
        </w:rPr>
        <w:t>Fonte: elaborada pelas autoras</w:t>
      </w:r>
    </w:p>
    <w:p w14:paraId="07CB54B5" w14:textId="77777777" w:rsidR="00D17B2B" w:rsidRPr="00DA5B59"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p>
    <w:p w14:paraId="1E7D652B" w14:textId="77777777" w:rsidR="00D17B2B" w:rsidRPr="00D638B0" w:rsidRDefault="00D17B2B" w:rsidP="00D17B2B">
      <w:pPr>
        <w:spacing w:after="0" w:line="360" w:lineRule="auto"/>
        <w:jc w:val="both"/>
        <w:rPr>
          <w:rFonts w:ascii="Times New Roman" w:hAnsi="Times New Roman" w:cs="Times New Roman"/>
          <w:color w:val="333333"/>
          <w:sz w:val="24"/>
          <w:szCs w:val="24"/>
          <w:highlight w:val="white"/>
        </w:rPr>
      </w:pPr>
    </w:p>
    <w:p w14:paraId="4B9EEC0D" w14:textId="77777777" w:rsidR="00D17B2B" w:rsidRPr="00EB60C2" w:rsidRDefault="00D17B2B" w:rsidP="00D17B2B">
      <w:pPr>
        <w:spacing w:after="0" w:line="360" w:lineRule="auto"/>
        <w:rPr>
          <w:rFonts w:ascii="Times New Roman" w:hAnsi="Times New Roman" w:cs="Times New Roman"/>
          <w:color w:val="000000" w:themeColor="text1"/>
          <w:sz w:val="24"/>
          <w:szCs w:val="24"/>
        </w:rPr>
      </w:pPr>
      <w:r w:rsidRPr="00D638B0">
        <w:rPr>
          <w:rFonts w:ascii="Times New Roman" w:hAnsi="Times New Roman" w:cs="Times New Roman"/>
          <w:color w:val="000000" w:themeColor="text1"/>
          <w:sz w:val="24"/>
          <w:szCs w:val="24"/>
        </w:rPr>
        <w:t>5.3 INSERÇÃO NO LOTE E ASPECTOS ARQUITETÔNICOS</w:t>
      </w:r>
    </w:p>
    <w:p w14:paraId="2AD288DD" w14:textId="77777777" w:rsidR="00D17B2B" w:rsidRPr="009F08E5" w:rsidRDefault="00D17B2B" w:rsidP="00D17B2B">
      <w:pPr>
        <w:spacing w:after="0" w:line="360" w:lineRule="auto"/>
        <w:ind w:firstLine="720"/>
        <w:jc w:val="both"/>
        <w:rPr>
          <w:rFonts w:ascii="Times New Roman" w:hAnsi="Times New Roman" w:cs="Times New Roman"/>
          <w:sz w:val="24"/>
          <w:szCs w:val="24"/>
        </w:rPr>
      </w:pPr>
      <w:r w:rsidRPr="009F08E5">
        <w:rPr>
          <w:rFonts w:ascii="Times New Roman" w:eastAsia="Times New Roman" w:hAnsi="Times New Roman" w:cs="Times New Roman"/>
          <w:sz w:val="24"/>
          <w:szCs w:val="24"/>
        </w:rPr>
        <w:t xml:space="preserve">No decorrer de estudo formal </w:t>
      </w:r>
      <w:r>
        <w:rPr>
          <w:rFonts w:ascii="Times New Roman" w:eastAsia="Times New Roman" w:hAnsi="Times New Roman" w:cs="Times New Roman"/>
          <w:sz w:val="24"/>
          <w:szCs w:val="24"/>
        </w:rPr>
        <w:t xml:space="preserve">dos </w:t>
      </w:r>
      <w:proofErr w:type="spellStart"/>
      <w:r>
        <w:rPr>
          <w:rFonts w:ascii="Times New Roman" w:eastAsia="Times New Roman" w:hAnsi="Times New Roman" w:cs="Times New Roman"/>
          <w:sz w:val="24"/>
          <w:szCs w:val="24"/>
        </w:rPr>
        <w:t>atacarejos</w:t>
      </w:r>
      <w:proofErr w:type="spellEnd"/>
      <w:r>
        <w:rPr>
          <w:rFonts w:ascii="Times New Roman" w:eastAsia="Times New Roman" w:hAnsi="Times New Roman" w:cs="Times New Roman"/>
          <w:sz w:val="24"/>
          <w:szCs w:val="24"/>
        </w:rPr>
        <w:t xml:space="preserve"> emerge</w:t>
      </w:r>
      <w:r w:rsidRPr="009F08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 </w:t>
      </w:r>
      <w:r w:rsidRPr="009F08E5">
        <w:rPr>
          <w:rFonts w:ascii="Times New Roman" w:eastAsia="Times New Roman" w:hAnsi="Times New Roman" w:cs="Times New Roman"/>
          <w:sz w:val="24"/>
          <w:szCs w:val="24"/>
        </w:rPr>
        <w:t>dúvida sobre considerá-l</w:t>
      </w:r>
      <w:r>
        <w:rPr>
          <w:rFonts w:ascii="Times New Roman" w:eastAsia="Times New Roman" w:hAnsi="Times New Roman" w:cs="Times New Roman"/>
          <w:sz w:val="24"/>
          <w:szCs w:val="24"/>
        </w:rPr>
        <w:t>o</w:t>
      </w:r>
      <w:r w:rsidRPr="009F08E5">
        <w:rPr>
          <w:rFonts w:ascii="Times New Roman" w:eastAsia="Times New Roman" w:hAnsi="Times New Roman" w:cs="Times New Roman"/>
          <w:sz w:val="24"/>
          <w:szCs w:val="24"/>
        </w:rPr>
        <w:t xml:space="preserve">s obras arquitetônicas, visto que o fazer arquitetônico se dá pela consideração da função na criação da forma, sempre em </w:t>
      </w:r>
      <w:r>
        <w:rPr>
          <w:rFonts w:ascii="Times New Roman" w:eastAsia="Times New Roman" w:hAnsi="Times New Roman" w:cs="Times New Roman"/>
          <w:sz w:val="24"/>
          <w:szCs w:val="24"/>
        </w:rPr>
        <w:t>comunicação</w:t>
      </w:r>
      <w:r w:rsidRPr="009F08E5">
        <w:rPr>
          <w:rFonts w:ascii="Times New Roman" w:eastAsia="Times New Roman" w:hAnsi="Times New Roman" w:cs="Times New Roman"/>
          <w:sz w:val="24"/>
          <w:szCs w:val="24"/>
        </w:rPr>
        <w:t xml:space="preserve"> com a localidade (lote, rua e bairro) de inserção. Lojas de Fort Atacadista, assim como as grandes lojas de departamento que </w:t>
      </w:r>
      <w:r>
        <w:rPr>
          <w:rFonts w:ascii="Times New Roman" w:eastAsia="Times New Roman" w:hAnsi="Times New Roman" w:cs="Times New Roman"/>
          <w:sz w:val="24"/>
          <w:szCs w:val="24"/>
        </w:rPr>
        <w:t>aparecem acopladas a sua estrutura</w:t>
      </w:r>
      <w:r w:rsidRPr="009F08E5">
        <w:rPr>
          <w:rFonts w:ascii="Times New Roman" w:eastAsia="Times New Roman" w:hAnsi="Times New Roman" w:cs="Times New Roman"/>
          <w:sz w:val="24"/>
          <w:szCs w:val="24"/>
        </w:rPr>
        <w:t xml:space="preserve"> </w:t>
      </w:r>
      <w:r w:rsidRPr="008439DF">
        <w:rPr>
          <w:rFonts w:ascii="Times New Roman" w:eastAsia="Times New Roman" w:hAnsi="Times New Roman" w:cs="Times New Roman"/>
          <w:color w:val="000000" w:themeColor="text1"/>
          <w:sz w:val="24"/>
          <w:szCs w:val="24"/>
        </w:rPr>
        <w:t xml:space="preserve">(Redes </w:t>
      </w:r>
      <w:proofErr w:type="spellStart"/>
      <w:r w:rsidRPr="008439DF">
        <w:rPr>
          <w:rFonts w:ascii="Times New Roman" w:eastAsia="Times New Roman" w:hAnsi="Times New Roman" w:cs="Times New Roman"/>
          <w:color w:val="000000" w:themeColor="text1"/>
          <w:sz w:val="24"/>
          <w:szCs w:val="24"/>
        </w:rPr>
        <w:t>Havan</w:t>
      </w:r>
      <w:proofErr w:type="spellEnd"/>
      <w:r w:rsidRPr="008439DF">
        <w:rPr>
          <w:rFonts w:ascii="Times New Roman" w:eastAsia="Times New Roman" w:hAnsi="Times New Roman" w:cs="Times New Roman"/>
          <w:color w:val="000000" w:themeColor="text1"/>
          <w:sz w:val="24"/>
          <w:szCs w:val="24"/>
        </w:rPr>
        <w:t xml:space="preserve">, </w:t>
      </w:r>
      <w:proofErr w:type="spellStart"/>
      <w:r w:rsidRPr="008439DF">
        <w:rPr>
          <w:rFonts w:ascii="Times New Roman" w:eastAsia="Times New Roman" w:hAnsi="Times New Roman" w:cs="Times New Roman"/>
          <w:color w:val="000000" w:themeColor="text1"/>
          <w:sz w:val="24"/>
          <w:szCs w:val="24"/>
        </w:rPr>
        <w:t>Milium</w:t>
      </w:r>
      <w:proofErr w:type="spellEnd"/>
      <w:r w:rsidRPr="008439DF">
        <w:rPr>
          <w:rFonts w:ascii="Times New Roman" w:eastAsia="Times New Roman" w:hAnsi="Times New Roman" w:cs="Times New Roman"/>
          <w:color w:val="000000" w:themeColor="text1"/>
          <w:sz w:val="24"/>
          <w:szCs w:val="24"/>
        </w:rPr>
        <w:t xml:space="preserve"> e </w:t>
      </w:r>
      <w:proofErr w:type="spellStart"/>
      <w:r w:rsidRPr="008439DF">
        <w:rPr>
          <w:rFonts w:ascii="Times New Roman" w:eastAsia="Times New Roman" w:hAnsi="Times New Roman" w:cs="Times New Roman"/>
          <w:color w:val="000000" w:themeColor="text1"/>
          <w:sz w:val="24"/>
          <w:szCs w:val="24"/>
        </w:rPr>
        <w:t>Koerich</w:t>
      </w:r>
      <w:proofErr w:type="spellEnd"/>
      <w:r w:rsidRPr="008439DF">
        <w:rPr>
          <w:rFonts w:ascii="Times New Roman" w:eastAsia="Times New Roman" w:hAnsi="Times New Roman" w:cs="Times New Roman"/>
          <w:color w:val="000000" w:themeColor="text1"/>
          <w:sz w:val="24"/>
          <w:szCs w:val="24"/>
        </w:rPr>
        <w:t xml:space="preserve">), </w:t>
      </w:r>
      <w:r w:rsidRPr="009F08E5">
        <w:rPr>
          <w:rFonts w:ascii="Times New Roman" w:eastAsia="Times New Roman" w:hAnsi="Times New Roman" w:cs="Times New Roman"/>
          <w:sz w:val="24"/>
          <w:szCs w:val="24"/>
        </w:rPr>
        <w:t xml:space="preserve">possuem como característica formal básica um modelo </w:t>
      </w:r>
      <w:proofErr w:type="spellStart"/>
      <w:proofErr w:type="gramStart"/>
      <w:r w:rsidRPr="009F08E5">
        <w:rPr>
          <w:rFonts w:ascii="Times New Roman" w:eastAsia="Times New Roman" w:hAnsi="Times New Roman" w:cs="Times New Roman"/>
          <w:sz w:val="24"/>
          <w:szCs w:val="24"/>
        </w:rPr>
        <w:t>pré</w:t>
      </w:r>
      <w:proofErr w:type="spellEnd"/>
      <w:r w:rsidRPr="009F08E5">
        <w:rPr>
          <w:rFonts w:ascii="Times New Roman" w:eastAsia="Times New Roman" w:hAnsi="Times New Roman" w:cs="Times New Roman"/>
          <w:sz w:val="24"/>
          <w:szCs w:val="24"/>
        </w:rPr>
        <w:t xml:space="preserve"> definido</w:t>
      </w:r>
      <w:proofErr w:type="gramEnd"/>
      <w:r w:rsidRPr="009F08E5">
        <w:rPr>
          <w:rFonts w:ascii="Times New Roman" w:eastAsia="Times New Roman" w:hAnsi="Times New Roman" w:cs="Times New Roman"/>
          <w:sz w:val="24"/>
          <w:szCs w:val="24"/>
        </w:rPr>
        <w:t xml:space="preserve"> a ser implantado, quase que somente se adaptando a área liberada de construção do lote. No caso do Fort, </w:t>
      </w:r>
      <w:r>
        <w:rPr>
          <w:rFonts w:ascii="Times New Roman" w:eastAsia="Times New Roman" w:hAnsi="Times New Roman" w:cs="Times New Roman"/>
          <w:sz w:val="24"/>
          <w:szCs w:val="24"/>
        </w:rPr>
        <w:t>são</w:t>
      </w:r>
      <w:r w:rsidRPr="009F08E5">
        <w:rPr>
          <w:rFonts w:ascii="Times New Roman" w:eastAsia="Times New Roman" w:hAnsi="Times New Roman" w:cs="Times New Roman"/>
          <w:sz w:val="24"/>
          <w:szCs w:val="24"/>
        </w:rPr>
        <w:t xml:space="preserve"> perceptíve</w:t>
      </w:r>
      <w:r>
        <w:rPr>
          <w:rFonts w:ascii="Times New Roman" w:eastAsia="Times New Roman" w:hAnsi="Times New Roman" w:cs="Times New Roman"/>
          <w:sz w:val="24"/>
          <w:szCs w:val="24"/>
        </w:rPr>
        <w:t>is</w:t>
      </w:r>
      <w:r w:rsidRPr="009F08E5">
        <w:rPr>
          <w:rFonts w:ascii="Times New Roman" w:eastAsia="Times New Roman" w:hAnsi="Times New Roman" w:cs="Times New Roman"/>
          <w:sz w:val="24"/>
          <w:szCs w:val="24"/>
        </w:rPr>
        <w:t xml:space="preserve"> algumas marcas construtivas: materiais pré-fabricados de rápida montagem/construção, pé direito alto, estacionamentos cobertos, além de grande área do lote reservada para centenas de vagas de automóvel - </w:t>
      </w:r>
      <w:proofErr w:type="gramStart"/>
      <w:r w:rsidRPr="009F08E5">
        <w:rPr>
          <w:rFonts w:ascii="Times New Roman" w:eastAsia="Times New Roman" w:hAnsi="Times New Roman" w:cs="Times New Roman"/>
          <w:sz w:val="24"/>
          <w:szCs w:val="24"/>
        </w:rPr>
        <w:t>utilizando  entre</w:t>
      </w:r>
      <w:proofErr w:type="gramEnd"/>
      <w:r w:rsidRPr="009F08E5">
        <w:rPr>
          <w:rFonts w:ascii="Times New Roman" w:eastAsia="Times New Roman" w:hAnsi="Times New Roman" w:cs="Times New Roman"/>
          <w:sz w:val="24"/>
          <w:szCs w:val="24"/>
        </w:rPr>
        <w:t xml:space="preserve"> 35% a 50%  do terreno para a função em todos os casos</w:t>
      </w:r>
      <w:r>
        <w:rPr>
          <w:rFonts w:ascii="Times New Roman" w:eastAsia="Times New Roman" w:hAnsi="Times New Roman" w:cs="Times New Roman"/>
          <w:sz w:val="24"/>
          <w:szCs w:val="24"/>
        </w:rPr>
        <w:t xml:space="preserve"> </w:t>
      </w:r>
      <w:r w:rsidRPr="009F08E5">
        <w:rPr>
          <w:rFonts w:ascii="Times New Roman" w:eastAsia="Times New Roman" w:hAnsi="Times New Roman" w:cs="Times New Roman"/>
          <w:sz w:val="24"/>
          <w:szCs w:val="24"/>
        </w:rPr>
        <w:t xml:space="preserve">-, assim como poucas são as lojas com acessos minimamente pensados para segurança e  trajeto de qualidade dos pedestres. </w:t>
      </w:r>
    </w:p>
    <w:p w14:paraId="69D94D77" w14:textId="77777777" w:rsidR="00D17B2B" w:rsidRDefault="00D17B2B" w:rsidP="00D17B2B">
      <w:pPr>
        <w:spacing w:after="0" w:line="360" w:lineRule="auto"/>
        <w:ind w:firstLine="720"/>
        <w:jc w:val="both"/>
        <w:rPr>
          <w:rFonts w:ascii="Times New Roman" w:eastAsia="Times New Roman" w:hAnsi="Times New Roman" w:cs="Times New Roman"/>
          <w:sz w:val="24"/>
          <w:szCs w:val="24"/>
        </w:rPr>
      </w:pPr>
      <w:r w:rsidRPr="009F08E5">
        <w:rPr>
          <w:rFonts w:ascii="Times New Roman" w:eastAsia="Times New Roman" w:hAnsi="Times New Roman" w:cs="Times New Roman"/>
          <w:sz w:val="24"/>
          <w:szCs w:val="24"/>
        </w:rPr>
        <w:t xml:space="preserve">A arquitetura dos </w:t>
      </w:r>
      <w:proofErr w:type="spellStart"/>
      <w:r>
        <w:rPr>
          <w:rFonts w:ascii="Times New Roman" w:eastAsia="Times New Roman" w:hAnsi="Times New Roman" w:cs="Times New Roman"/>
          <w:sz w:val="24"/>
          <w:szCs w:val="24"/>
        </w:rPr>
        <w:t>a</w:t>
      </w:r>
      <w:r w:rsidRPr="009F08E5">
        <w:rPr>
          <w:rFonts w:ascii="Times New Roman" w:eastAsia="Times New Roman" w:hAnsi="Times New Roman" w:cs="Times New Roman"/>
          <w:sz w:val="24"/>
          <w:szCs w:val="24"/>
        </w:rPr>
        <w:t>tacarejos</w:t>
      </w:r>
      <w:proofErr w:type="spellEnd"/>
      <w:r w:rsidRPr="009F08E5">
        <w:rPr>
          <w:rFonts w:ascii="Times New Roman" w:eastAsia="Times New Roman" w:hAnsi="Times New Roman" w:cs="Times New Roman"/>
          <w:sz w:val="24"/>
          <w:szCs w:val="24"/>
        </w:rPr>
        <w:t xml:space="preserve"> também revela aspectos sobre seu modelo de negócio. A partir de uma análise visual comparativa utilizando imagens do Google Street </w:t>
      </w:r>
      <w:proofErr w:type="spellStart"/>
      <w:r w:rsidRPr="009F08E5">
        <w:rPr>
          <w:rFonts w:ascii="Times New Roman" w:eastAsia="Times New Roman" w:hAnsi="Times New Roman" w:cs="Times New Roman"/>
          <w:sz w:val="24"/>
          <w:szCs w:val="24"/>
        </w:rPr>
        <w:t>View</w:t>
      </w:r>
      <w:proofErr w:type="spellEnd"/>
      <w:r w:rsidRPr="009F08E5">
        <w:rPr>
          <w:rFonts w:ascii="Times New Roman" w:eastAsia="Times New Roman" w:hAnsi="Times New Roman" w:cs="Times New Roman"/>
          <w:sz w:val="24"/>
          <w:szCs w:val="24"/>
        </w:rPr>
        <w:t xml:space="preserve"> de diferentes anos, podemos perceber que as estruturas surgem de forma muito rápida na paisagem, assim, somado aos aspectos visuais da materialidade, a construção aparenta ser estruturada por perfis metálicos pré-fabricados. Essa estrutura de rápida construção e forte resistência apresenta os requisitos necessários para suportar os grandes vãos exigidos nesse tipo de empreendimento - e é facilmente replicada. A similaridade formal, quase que como em um carimbo, também chama a atenção entre as lojas do Fort Atacadista. É como se a mesma loja fosse implantada em Brasília e em Florianópolis, independente de, por exemplo, aspectos climáticos distintos das duas metrópoles. </w:t>
      </w:r>
    </w:p>
    <w:p w14:paraId="507DBD80" w14:textId="77777777" w:rsidR="00D17B2B" w:rsidRPr="009F08E5" w:rsidRDefault="00D17B2B" w:rsidP="00D17B2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9F08E5">
        <w:rPr>
          <w:rFonts w:ascii="Times New Roman" w:eastAsia="Times New Roman" w:hAnsi="Times New Roman" w:cs="Times New Roman"/>
          <w:sz w:val="24"/>
          <w:szCs w:val="24"/>
        </w:rPr>
        <w:t xml:space="preserve">o exemplo do Fort </w:t>
      </w:r>
      <w:proofErr w:type="spellStart"/>
      <w:r w:rsidRPr="009F08E5">
        <w:rPr>
          <w:rFonts w:ascii="Times New Roman" w:eastAsia="Times New Roman" w:hAnsi="Times New Roman" w:cs="Times New Roman"/>
          <w:sz w:val="24"/>
          <w:szCs w:val="24"/>
        </w:rPr>
        <w:t>Kobrasol</w:t>
      </w:r>
      <w:proofErr w:type="spellEnd"/>
      <w:r w:rsidRPr="009F08E5">
        <w:rPr>
          <w:rFonts w:ascii="Times New Roman" w:eastAsia="Times New Roman" w:hAnsi="Times New Roman" w:cs="Times New Roman"/>
          <w:sz w:val="24"/>
          <w:szCs w:val="24"/>
        </w:rPr>
        <w:t xml:space="preserve"> em São José (SC)</w:t>
      </w:r>
      <w:r>
        <w:rPr>
          <w:rFonts w:ascii="Times New Roman" w:eastAsia="Times New Roman" w:hAnsi="Times New Roman" w:cs="Times New Roman"/>
          <w:sz w:val="24"/>
          <w:szCs w:val="24"/>
        </w:rPr>
        <w:t xml:space="preserve"> demonstrado abaixo (Figura 4, na página seguinte), pode-se notar</w:t>
      </w:r>
      <w:r w:rsidRPr="009F08E5">
        <w:rPr>
          <w:rFonts w:ascii="Times New Roman" w:eastAsia="Times New Roman" w:hAnsi="Times New Roman" w:cs="Times New Roman"/>
          <w:sz w:val="24"/>
          <w:szCs w:val="24"/>
        </w:rPr>
        <w:t xml:space="preserve"> a paisagem rodoviária impactada tanto pela escala da loja quanto pela extensão de sua lateral (BR), a relevante área destinada a estacionamento e o acesso privilegiando o automóvel. O mesmo pode ser percebido na filial de Barreiros, com adicional de característica comum em alguns casos analisados: lojas geminadas com outros comércios, nesse exemplo com filial de loja </w:t>
      </w:r>
      <w:proofErr w:type="spellStart"/>
      <w:r w:rsidRPr="009F08E5">
        <w:rPr>
          <w:rFonts w:ascii="Times New Roman" w:eastAsia="Times New Roman" w:hAnsi="Times New Roman" w:cs="Times New Roman"/>
          <w:sz w:val="24"/>
          <w:szCs w:val="24"/>
        </w:rPr>
        <w:t>Koerich</w:t>
      </w:r>
      <w:proofErr w:type="spellEnd"/>
      <w:r>
        <w:rPr>
          <w:rFonts w:ascii="Times New Roman" w:eastAsia="Times New Roman" w:hAnsi="Times New Roman" w:cs="Times New Roman"/>
          <w:sz w:val="24"/>
          <w:szCs w:val="24"/>
        </w:rPr>
        <w:t xml:space="preserve">. </w:t>
      </w:r>
    </w:p>
    <w:p w14:paraId="02DBA73A" w14:textId="77777777" w:rsidR="00D17B2B" w:rsidRPr="009F08E5" w:rsidRDefault="00D17B2B" w:rsidP="00D17B2B">
      <w:pPr>
        <w:spacing w:after="0" w:line="360" w:lineRule="auto"/>
        <w:ind w:firstLine="720"/>
        <w:jc w:val="both"/>
        <w:rPr>
          <w:rFonts w:ascii="Times New Roman" w:eastAsia="Times New Roman" w:hAnsi="Times New Roman" w:cs="Times New Roman"/>
          <w:sz w:val="24"/>
          <w:szCs w:val="24"/>
        </w:rPr>
      </w:pPr>
      <w:r w:rsidRPr="009F08E5">
        <w:rPr>
          <w:rFonts w:ascii="Times New Roman" w:eastAsia="Times New Roman" w:hAnsi="Times New Roman" w:cs="Times New Roman"/>
          <w:sz w:val="24"/>
          <w:szCs w:val="24"/>
        </w:rPr>
        <w:lastRenderedPageBreak/>
        <w:t>Finaliza-se a exemplificação de casos com as duas lojas localizadas na Ceilândia, em Brasília: tanto o Fort Sol Nascente, quanto o Fort Ceilândia, estão localizadas em áreas residenciais de baixa renda com alguns comércios de bairro próximos (</w:t>
      </w:r>
      <w:r>
        <w:rPr>
          <w:rFonts w:ascii="Times New Roman" w:eastAsia="Times New Roman" w:hAnsi="Times New Roman" w:cs="Times New Roman"/>
          <w:sz w:val="24"/>
          <w:szCs w:val="24"/>
        </w:rPr>
        <w:t>Figuras 5 e 6, na página que segue</w:t>
      </w:r>
      <w:r w:rsidRPr="009F08E5">
        <w:rPr>
          <w:rFonts w:ascii="Times New Roman" w:eastAsia="Times New Roman" w:hAnsi="Times New Roman" w:cs="Times New Roman"/>
          <w:sz w:val="24"/>
          <w:szCs w:val="24"/>
        </w:rPr>
        <w:t xml:space="preserve">). As duas filiais foram implantadas em ruas principais do bairro e têm como característica específica uma possível tentativa da empresa de se aproximar do </w:t>
      </w:r>
      <w:proofErr w:type="gramStart"/>
      <w:r w:rsidRPr="009F08E5">
        <w:rPr>
          <w:rFonts w:ascii="Times New Roman" w:eastAsia="Times New Roman" w:hAnsi="Times New Roman" w:cs="Times New Roman"/>
          <w:sz w:val="24"/>
          <w:szCs w:val="24"/>
        </w:rPr>
        <w:t>público alvo</w:t>
      </w:r>
      <w:proofErr w:type="gramEnd"/>
      <w:r w:rsidRPr="009F08E5">
        <w:rPr>
          <w:rFonts w:ascii="Times New Roman" w:eastAsia="Times New Roman" w:hAnsi="Times New Roman" w:cs="Times New Roman"/>
          <w:sz w:val="24"/>
          <w:szCs w:val="24"/>
        </w:rPr>
        <w:t xml:space="preserve"> atra</w:t>
      </w:r>
      <w:r>
        <w:rPr>
          <w:rFonts w:ascii="Times New Roman" w:eastAsia="Times New Roman" w:hAnsi="Times New Roman" w:cs="Times New Roman"/>
          <w:sz w:val="24"/>
          <w:szCs w:val="24"/>
        </w:rPr>
        <w:t>vés de certa apropriação da</w:t>
      </w:r>
      <w:r w:rsidRPr="009F08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9F08E5">
        <w:rPr>
          <w:rFonts w:ascii="Times New Roman" w:eastAsia="Times New Roman" w:hAnsi="Times New Roman" w:cs="Times New Roman"/>
          <w:sz w:val="24"/>
          <w:szCs w:val="24"/>
        </w:rPr>
        <w:t>cultura popular</w:t>
      </w:r>
      <w:r>
        <w:rPr>
          <w:rFonts w:ascii="Times New Roman" w:eastAsia="Times New Roman" w:hAnsi="Times New Roman" w:cs="Times New Roman"/>
          <w:sz w:val="24"/>
          <w:szCs w:val="24"/>
        </w:rPr>
        <w:t>”</w:t>
      </w:r>
      <w:r w:rsidRPr="009F08E5">
        <w:rPr>
          <w:rFonts w:ascii="Times New Roman" w:eastAsia="Times New Roman" w:hAnsi="Times New Roman" w:cs="Times New Roman"/>
          <w:sz w:val="24"/>
          <w:szCs w:val="24"/>
        </w:rPr>
        <w:t>:  muros ou fachadas com propagandas grafitadas.</w:t>
      </w:r>
    </w:p>
    <w:p w14:paraId="3FAB19BD" w14:textId="77777777" w:rsidR="00D17B2B" w:rsidRDefault="00D17B2B" w:rsidP="00D17B2B">
      <w:pPr>
        <w:spacing w:after="0" w:line="360" w:lineRule="auto"/>
        <w:ind w:firstLine="720"/>
        <w:jc w:val="both"/>
        <w:rPr>
          <w:rFonts w:ascii="Times New Roman" w:eastAsia="Times New Roman" w:hAnsi="Times New Roman" w:cs="Times New Roman"/>
          <w:color w:val="999999"/>
          <w:sz w:val="24"/>
          <w:szCs w:val="24"/>
        </w:rPr>
      </w:pPr>
      <w:r w:rsidRPr="009F08E5">
        <w:rPr>
          <w:rFonts w:ascii="Times New Roman" w:eastAsia="Times New Roman" w:hAnsi="Times New Roman" w:cs="Times New Roman"/>
          <w:noProof/>
          <w:color w:val="999999"/>
          <w:sz w:val="24"/>
          <w:szCs w:val="24"/>
        </w:rPr>
        <w:drawing>
          <wp:inline distT="114300" distB="114300" distL="114300" distR="114300" wp14:anchorId="0C53170E" wp14:editId="6AA8246A">
            <wp:extent cx="5275988" cy="3060485"/>
            <wp:effectExtent l="0" t="0" r="0" b="0"/>
            <wp:docPr id="9" name="image2.png" descr="Interface gráfica do usuário, Site&#10;&#10;Descrição gerada automaticamente"/>
            <wp:cNvGraphicFramePr/>
            <a:graphic xmlns:a="http://schemas.openxmlformats.org/drawingml/2006/main">
              <a:graphicData uri="http://schemas.openxmlformats.org/drawingml/2006/picture">
                <pic:pic xmlns:pic="http://schemas.openxmlformats.org/drawingml/2006/picture">
                  <pic:nvPicPr>
                    <pic:cNvPr id="5" name="image2.png" descr="Interface gráfica do usuário, Site&#10;&#10;Descrição gerada automaticamente"/>
                    <pic:cNvPicPr preferRelativeResize="0"/>
                  </pic:nvPicPr>
                  <pic:blipFill>
                    <a:blip r:embed="rId12" cstate="screen">
                      <a:extLst>
                        <a:ext uri="{28A0092B-C50C-407E-A947-70E740481C1C}">
                          <a14:useLocalDpi xmlns:a14="http://schemas.microsoft.com/office/drawing/2010/main"/>
                        </a:ext>
                      </a:extLst>
                    </a:blip>
                    <a:srcRect/>
                    <a:stretch>
                      <a:fillRect/>
                    </a:stretch>
                  </pic:blipFill>
                  <pic:spPr>
                    <a:xfrm>
                      <a:off x="0" y="0"/>
                      <a:ext cx="5275988" cy="3060485"/>
                    </a:xfrm>
                    <a:prstGeom prst="rect">
                      <a:avLst/>
                    </a:prstGeom>
                    <a:ln/>
                  </pic:spPr>
                </pic:pic>
              </a:graphicData>
            </a:graphic>
          </wp:inline>
        </w:drawing>
      </w:r>
    </w:p>
    <w:p w14:paraId="22072DF3" w14:textId="77777777" w:rsidR="00D17B2B" w:rsidRPr="00DA5B59"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r w:rsidRPr="00DA5B59">
        <w:rPr>
          <w:rFonts w:ascii="Times New Roman" w:eastAsia="Times New Roman" w:hAnsi="Times New Roman" w:cs="Times New Roman"/>
          <w:color w:val="000000" w:themeColor="text1"/>
          <w:sz w:val="20"/>
          <w:szCs w:val="20"/>
        </w:rPr>
        <w:t xml:space="preserve">Figura 4 – Inserção urbana do Fort Atacadista de </w:t>
      </w:r>
      <w:proofErr w:type="spellStart"/>
      <w:r w:rsidRPr="00DA5B59">
        <w:rPr>
          <w:rFonts w:ascii="Times New Roman" w:eastAsia="Times New Roman" w:hAnsi="Times New Roman" w:cs="Times New Roman"/>
          <w:color w:val="000000" w:themeColor="text1"/>
          <w:sz w:val="20"/>
          <w:szCs w:val="20"/>
        </w:rPr>
        <w:t>Kobrasol</w:t>
      </w:r>
      <w:proofErr w:type="spellEnd"/>
      <w:r w:rsidRPr="00DA5B59">
        <w:rPr>
          <w:rFonts w:ascii="Times New Roman" w:eastAsia="Times New Roman" w:hAnsi="Times New Roman" w:cs="Times New Roman"/>
          <w:color w:val="000000" w:themeColor="text1"/>
          <w:sz w:val="20"/>
          <w:szCs w:val="20"/>
        </w:rPr>
        <w:t>, São José (SC)</w:t>
      </w:r>
    </w:p>
    <w:p w14:paraId="087A75EF" w14:textId="77777777" w:rsidR="00D17B2B" w:rsidRPr="00DA5B59"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r w:rsidRPr="00DA5B59">
        <w:rPr>
          <w:rFonts w:ascii="Times New Roman" w:eastAsia="Times New Roman" w:hAnsi="Times New Roman" w:cs="Times New Roman"/>
          <w:color w:val="000000" w:themeColor="text1"/>
          <w:sz w:val="20"/>
          <w:szCs w:val="20"/>
        </w:rPr>
        <w:t>Fonte: elaborada pelas autoras</w:t>
      </w:r>
    </w:p>
    <w:p w14:paraId="5D0AFD35" w14:textId="77777777" w:rsidR="00D17B2B" w:rsidRPr="009F08E5" w:rsidRDefault="00D17B2B" w:rsidP="00D17B2B">
      <w:pPr>
        <w:spacing w:after="0" w:line="360" w:lineRule="auto"/>
        <w:ind w:firstLine="720"/>
        <w:jc w:val="both"/>
        <w:rPr>
          <w:rFonts w:ascii="Times New Roman" w:eastAsia="Times New Roman" w:hAnsi="Times New Roman" w:cs="Times New Roman"/>
          <w:color w:val="999999"/>
          <w:sz w:val="24"/>
          <w:szCs w:val="24"/>
        </w:rPr>
      </w:pPr>
    </w:p>
    <w:p w14:paraId="09A0BA9E" w14:textId="77777777" w:rsidR="00D17B2B" w:rsidRDefault="00D17B2B" w:rsidP="00D17B2B">
      <w:pPr>
        <w:spacing w:after="0" w:line="360" w:lineRule="auto"/>
        <w:ind w:firstLine="720"/>
        <w:jc w:val="both"/>
        <w:rPr>
          <w:rFonts w:ascii="Times New Roman" w:eastAsia="Times New Roman" w:hAnsi="Times New Roman" w:cs="Times New Roman"/>
          <w:color w:val="999999"/>
          <w:sz w:val="24"/>
          <w:szCs w:val="24"/>
        </w:rPr>
      </w:pPr>
      <w:r w:rsidRPr="009F08E5">
        <w:rPr>
          <w:rFonts w:ascii="Times New Roman" w:eastAsia="Times New Roman" w:hAnsi="Times New Roman" w:cs="Times New Roman"/>
          <w:noProof/>
          <w:color w:val="999999"/>
          <w:sz w:val="24"/>
          <w:szCs w:val="24"/>
        </w:rPr>
        <w:lastRenderedPageBreak/>
        <w:drawing>
          <wp:inline distT="114300" distB="114300" distL="114300" distR="114300" wp14:anchorId="4F89D66A" wp14:editId="75F38D87">
            <wp:extent cx="5275988" cy="3057675"/>
            <wp:effectExtent l="0" t="0" r="0" b="0"/>
            <wp:docPr id="10" name="image5.png" descr="Uma imagem contendo Site&#10;&#10;Descrição gerada automaticamente"/>
            <wp:cNvGraphicFramePr/>
            <a:graphic xmlns:a="http://schemas.openxmlformats.org/drawingml/2006/main">
              <a:graphicData uri="http://schemas.openxmlformats.org/drawingml/2006/picture">
                <pic:pic xmlns:pic="http://schemas.openxmlformats.org/drawingml/2006/picture">
                  <pic:nvPicPr>
                    <pic:cNvPr id="2" name="image5.png" descr="Uma imagem contendo Site&#10;&#10;Descrição gerada automaticamente"/>
                    <pic:cNvPicPr preferRelativeResize="0"/>
                  </pic:nvPicPr>
                  <pic:blipFill>
                    <a:blip r:embed="rId13" cstate="screen">
                      <a:extLst>
                        <a:ext uri="{28A0092B-C50C-407E-A947-70E740481C1C}">
                          <a14:useLocalDpi xmlns:a14="http://schemas.microsoft.com/office/drawing/2010/main"/>
                        </a:ext>
                      </a:extLst>
                    </a:blip>
                    <a:srcRect/>
                    <a:stretch>
                      <a:fillRect/>
                    </a:stretch>
                  </pic:blipFill>
                  <pic:spPr>
                    <a:xfrm>
                      <a:off x="0" y="0"/>
                      <a:ext cx="5275988" cy="3057675"/>
                    </a:xfrm>
                    <a:prstGeom prst="rect">
                      <a:avLst/>
                    </a:prstGeom>
                    <a:ln/>
                  </pic:spPr>
                </pic:pic>
              </a:graphicData>
            </a:graphic>
          </wp:inline>
        </w:drawing>
      </w:r>
    </w:p>
    <w:p w14:paraId="7623E323" w14:textId="77777777" w:rsidR="00D17B2B" w:rsidRPr="00DA5B59"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r w:rsidRPr="00DA5B59">
        <w:rPr>
          <w:rFonts w:ascii="Times New Roman" w:eastAsia="Times New Roman" w:hAnsi="Times New Roman" w:cs="Times New Roman"/>
          <w:color w:val="000000" w:themeColor="text1"/>
          <w:sz w:val="20"/>
          <w:szCs w:val="20"/>
        </w:rPr>
        <w:t>Figura 5 – Inserção urbana do Fort Atacadista Sol Nascente, Ceilândia (DF)</w:t>
      </w:r>
    </w:p>
    <w:p w14:paraId="59CDA834" w14:textId="77777777" w:rsidR="00D17B2B" w:rsidRPr="00DA5B59"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r w:rsidRPr="00DA5B59">
        <w:rPr>
          <w:rFonts w:ascii="Times New Roman" w:eastAsia="Times New Roman" w:hAnsi="Times New Roman" w:cs="Times New Roman"/>
          <w:color w:val="000000" w:themeColor="text1"/>
          <w:sz w:val="20"/>
          <w:szCs w:val="20"/>
        </w:rPr>
        <w:t>Fonte: elaborada pelas autoras</w:t>
      </w:r>
    </w:p>
    <w:p w14:paraId="41BAC1B6" w14:textId="77777777" w:rsidR="00D17B2B" w:rsidRPr="009F08E5" w:rsidRDefault="00D17B2B" w:rsidP="00D17B2B">
      <w:pPr>
        <w:spacing w:after="0" w:line="360" w:lineRule="auto"/>
        <w:ind w:firstLine="720"/>
        <w:jc w:val="both"/>
        <w:rPr>
          <w:rFonts w:ascii="Times New Roman" w:eastAsia="Times New Roman" w:hAnsi="Times New Roman" w:cs="Times New Roman"/>
          <w:color w:val="999999"/>
          <w:sz w:val="24"/>
          <w:szCs w:val="24"/>
        </w:rPr>
      </w:pPr>
    </w:p>
    <w:p w14:paraId="34A62F65" w14:textId="77777777" w:rsidR="00D17B2B" w:rsidRDefault="00D17B2B" w:rsidP="00D17B2B">
      <w:pPr>
        <w:ind w:firstLine="720"/>
        <w:jc w:val="both"/>
        <w:rPr>
          <w:rFonts w:ascii="Times New Roman" w:eastAsia="Times New Roman" w:hAnsi="Times New Roman" w:cs="Times New Roman"/>
          <w:color w:val="999999"/>
        </w:rPr>
      </w:pPr>
      <w:r w:rsidRPr="001C7B68">
        <w:rPr>
          <w:rFonts w:ascii="Times New Roman" w:eastAsia="Times New Roman" w:hAnsi="Times New Roman" w:cs="Times New Roman"/>
          <w:noProof/>
          <w:color w:val="999999"/>
        </w:rPr>
        <w:drawing>
          <wp:inline distT="114300" distB="114300" distL="114300" distR="114300" wp14:anchorId="1B8958E6" wp14:editId="7F2435E9">
            <wp:extent cx="5209606" cy="3018562"/>
            <wp:effectExtent l="0" t="0" r="0" b="0"/>
            <wp:docPr id="4" name="image8.png" descr="Interface gráfica do usuário, Site&#10;&#10;Descrição gerada automaticamente"/>
            <wp:cNvGraphicFramePr/>
            <a:graphic xmlns:a="http://schemas.openxmlformats.org/drawingml/2006/main">
              <a:graphicData uri="http://schemas.openxmlformats.org/drawingml/2006/picture">
                <pic:pic xmlns:pic="http://schemas.openxmlformats.org/drawingml/2006/picture">
                  <pic:nvPicPr>
                    <pic:cNvPr id="4" name="image8.png" descr="Interface gráfica do usuário, Site&#10;&#10;Descrição gerada automaticamente"/>
                    <pic:cNvPicPr preferRelativeResize="0"/>
                  </pic:nvPicPr>
                  <pic:blipFill>
                    <a:blip r:embed="rId14" cstate="screen">
                      <a:extLst>
                        <a:ext uri="{28A0092B-C50C-407E-A947-70E740481C1C}">
                          <a14:useLocalDpi xmlns:a14="http://schemas.microsoft.com/office/drawing/2010/main"/>
                        </a:ext>
                      </a:extLst>
                    </a:blip>
                    <a:srcRect/>
                    <a:stretch>
                      <a:fillRect/>
                    </a:stretch>
                  </pic:blipFill>
                  <pic:spPr>
                    <a:xfrm>
                      <a:off x="0" y="0"/>
                      <a:ext cx="5209606" cy="3018562"/>
                    </a:xfrm>
                    <a:prstGeom prst="rect">
                      <a:avLst/>
                    </a:prstGeom>
                    <a:ln/>
                  </pic:spPr>
                </pic:pic>
              </a:graphicData>
            </a:graphic>
          </wp:inline>
        </w:drawing>
      </w:r>
    </w:p>
    <w:p w14:paraId="66750C15" w14:textId="77777777" w:rsidR="00D17B2B" w:rsidRPr="00DA5B59"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r w:rsidRPr="00DA5B59">
        <w:rPr>
          <w:rFonts w:ascii="Times New Roman" w:eastAsia="Times New Roman" w:hAnsi="Times New Roman" w:cs="Times New Roman"/>
          <w:color w:val="000000" w:themeColor="text1"/>
          <w:sz w:val="20"/>
          <w:szCs w:val="20"/>
        </w:rPr>
        <w:t>Figura 6 – Inserção urbana do Fort Atacadista de Ceilândia (DF)</w:t>
      </w:r>
    </w:p>
    <w:p w14:paraId="335D6C07" w14:textId="77777777" w:rsidR="00D17B2B" w:rsidRPr="00DA5B59" w:rsidRDefault="00D17B2B" w:rsidP="00D17B2B">
      <w:pPr>
        <w:spacing w:after="0" w:line="240" w:lineRule="auto"/>
        <w:ind w:firstLine="720"/>
        <w:jc w:val="both"/>
        <w:rPr>
          <w:rFonts w:ascii="Times New Roman" w:eastAsia="Times New Roman" w:hAnsi="Times New Roman" w:cs="Times New Roman"/>
          <w:color w:val="000000" w:themeColor="text1"/>
          <w:sz w:val="20"/>
          <w:szCs w:val="20"/>
        </w:rPr>
      </w:pPr>
      <w:r w:rsidRPr="00DA5B59">
        <w:rPr>
          <w:rFonts w:ascii="Times New Roman" w:eastAsia="Times New Roman" w:hAnsi="Times New Roman" w:cs="Times New Roman"/>
          <w:color w:val="000000" w:themeColor="text1"/>
          <w:sz w:val="20"/>
          <w:szCs w:val="20"/>
        </w:rPr>
        <w:t>Fonte: elaborada pelas autoras</w:t>
      </w:r>
    </w:p>
    <w:p w14:paraId="22061FB0" w14:textId="77777777" w:rsidR="00D17B2B" w:rsidRPr="00224819" w:rsidRDefault="00D17B2B" w:rsidP="00D17B2B">
      <w:pPr>
        <w:rPr>
          <w:rFonts w:ascii="Times New Roman" w:hAnsi="Times New Roman" w:cs="Times New Roman"/>
          <w:b/>
          <w:color w:val="000000" w:themeColor="text1"/>
          <w:sz w:val="24"/>
          <w:szCs w:val="24"/>
        </w:rPr>
      </w:pPr>
    </w:p>
    <w:p w14:paraId="3D60F81D" w14:textId="77777777" w:rsidR="00D17B2B" w:rsidRDefault="00D17B2B" w:rsidP="00D17B2B">
      <w:pPr>
        <w:rPr>
          <w:rFonts w:ascii="Times New Roman" w:hAnsi="Times New Roman" w:cs="Times New Roman"/>
          <w:b/>
          <w:color w:val="000000" w:themeColor="text1"/>
          <w:sz w:val="24"/>
          <w:szCs w:val="24"/>
        </w:rPr>
      </w:pPr>
    </w:p>
    <w:p w14:paraId="5FFA5FED" w14:textId="0969DD71" w:rsidR="00D17B2B" w:rsidRPr="00224819" w:rsidRDefault="00D17B2B" w:rsidP="00D17B2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6</w:t>
      </w:r>
      <w:r w:rsidRPr="00224819">
        <w:rPr>
          <w:rFonts w:ascii="Times New Roman" w:hAnsi="Times New Roman" w:cs="Times New Roman"/>
          <w:b/>
          <w:color w:val="000000" w:themeColor="text1"/>
          <w:sz w:val="24"/>
          <w:szCs w:val="24"/>
        </w:rPr>
        <w:t xml:space="preserve"> CONSIDERAÇÕES FINAIS - ATACAREJOS: PREÇO BAIXO, ALTO CUSTO</w:t>
      </w:r>
    </w:p>
    <w:p w14:paraId="233F01C2" w14:textId="77777777" w:rsidR="00D17B2B" w:rsidRPr="00CC309F" w:rsidRDefault="00D17B2B" w:rsidP="00D17B2B">
      <w:pPr>
        <w:spacing w:after="0" w:line="360" w:lineRule="auto"/>
        <w:ind w:firstLine="720"/>
        <w:jc w:val="both"/>
        <w:rPr>
          <w:rFonts w:ascii="Times New Roman" w:hAnsi="Times New Roman" w:cs="Times New Roman"/>
          <w:sz w:val="24"/>
          <w:szCs w:val="24"/>
        </w:rPr>
      </w:pPr>
      <w:r w:rsidRPr="00CC309F">
        <w:rPr>
          <w:rFonts w:ascii="Times New Roman" w:hAnsi="Times New Roman" w:cs="Times New Roman"/>
          <w:sz w:val="24"/>
          <w:szCs w:val="24"/>
        </w:rPr>
        <w:t xml:space="preserve">A partir da pesquisa desenvolvida, pode-se perceber que os </w:t>
      </w:r>
      <w:proofErr w:type="spellStart"/>
      <w:r w:rsidRPr="00CC309F">
        <w:rPr>
          <w:rFonts w:ascii="Times New Roman" w:hAnsi="Times New Roman" w:cs="Times New Roman"/>
          <w:sz w:val="24"/>
          <w:szCs w:val="24"/>
        </w:rPr>
        <w:t>atacarejos</w:t>
      </w:r>
      <w:proofErr w:type="spellEnd"/>
      <w:r w:rsidRPr="00CC309F">
        <w:rPr>
          <w:rFonts w:ascii="Times New Roman" w:hAnsi="Times New Roman" w:cs="Times New Roman"/>
          <w:sz w:val="24"/>
          <w:szCs w:val="24"/>
        </w:rPr>
        <w:t xml:space="preserve"> rompem com o tecido urbano dos bairros, impactando os pequenos </w:t>
      </w:r>
      <w:proofErr w:type="spellStart"/>
      <w:r w:rsidRPr="00CC309F">
        <w:rPr>
          <w:rFonts w:ascii="Times New Roman" w:hAnsi="Times New Roman" w:cs="Times New Roman"/>
          <w:sz w:val="24"/>
          <w:szCs w:val="24"/>
        </w:rPr>
        <w:t>comércios</w:t>
      </w:r>
      <w:proofErr w:type="spellEnd"/>
      <w:r w:rsidRPr="00CC309F">
        <w:rPr>
          <w:rFonts w:ascii="Times New Roman" w:hAnsi="Times New Roman" w:cs="Times New Roman"/>
          <w:sz w:val="24"/>
          <w:szCs w:val="24"/>
        </w:rPr>
        <w:t xml:space="preserve"> </w:t>
      </w:r>
      <w:proofErr w:type="spellStart"/>
      <w:r w:rsidRPr="00CC309F">
        <w:rPr>
          <w:rFonts w:ascii="Times New Roman" w:hAnsi="Times New Roman" w:cs="Times New Roman"/>
          <w:sz w:val="24"/>
          <w:szCs w:val="24"/>
        </w:rPr>
        <w:t>pre</w:t>
      </w:r>
      <w:proofErr w:type="spellEnd"/>
      <w:r w:rsidRPr="00CC309F">
        <w:rPr>
          <w:rFonts w:ascii="Times New Roman" w:hAnsi="Times New Roman" w:cs="Times New Roman"/>
          <w:sz w:val="24"/>
          <w:szCs w:val="24"/>
        </w:rPr>
        <w:t xml:space="preserve">́-existentes, e intensificam a necessidade de uso do </w:t>
      </w:r>
      <w:proofErr w:type="spellStart"/>
      <w:r w:rsidRPr="00CC309F">
        <w:rPr>
          <w:rFonts w:ascii="Times New Roman" w:hAnsi="Times New Roman" w:cs="Times New Roman"/>
          <w:sz w:val="24"/>
          <w:szCs w:val="24"/>
        </w:rPr>
        <w:t>automóvel</w:t>
      </w:r>
      <w:proofErr w:type="spellEnd"/>
      <w:r w:rsidRPr="00CC309F">
        <w:rPr>
          <w:rFonts w:ascii="Times New Roman" w:hAnsi="Times New Roman" w:cs="Times New Roman"/>
          <w:sz w:val="24"/>
          <w:szCs w:val="24"/>
        </w:rPr>
        <w:t xml:space="preserve"> na vida cotidiana dos moradores. Os </w:t>
      </w:r>
      <w:proofErr w:type="spellStart"/>
      <w:r w:rsidRPr="00CC309F">
        <w:rPr>
          <w:rFonts w:ascii="Times New Roman" w:hAnsi="Times New Roman" w:cs="Times New Roman"/>
          <w:sz w:val="24"/>
          <w:szCs w:val="24"/>
        </w:rPr>
        <w:t>atacarejos</w:t>
      </w:r>
      <w:proofErr w:type="spellEnd"/>
      <w:r w:rsidRPr="00CC309F">
        <w:rPr>
          <w:rFonts w:ascii="Times New Roman" w:hAnsi="Times New Roman" w:cs="Times New Roman"/>
          <w:sz w:val="24"/>
          <w:szCs w:val="24"/>
        </w:rPr>
        <w:t xml:space="preserve"> expressam </w:t>
      </w:r>
      <w:proofErr w:type="spellStart"/>
      <w:r w:rsidRPr="00CC309F">
        <w:rPr>
          <w:rFonts w:ascii="Times New Roman" w:hAnsi="Times New Roman" w:cs="Times New Roman"/>
          <w:sz w:val="24"/>
          <w:szCs w:val="24"/>
        </w:rPr>
        <w:t>também</w:t>
      </w:r>
      <w:proofErr w:type="spellEnd"/>
      <w:r w:rsidRPr="00CC309F">
        <w:rPr>
          <w:rFonts w:ascii="Times New Roman" w:hAnsi="Times New Roman" w:cs="Times New Roman"/>
          <w:sz w:val="24"/>
          <w:szCs w:val="24"/>
        </w:rPr>
        <w:t xml:space="preserve"> novos </w:t>
      </w:r>
      <w:proofErr w:type="spellStart"/>
      <w:r w:rsidRPr="00CC309F">
        <w:rPr>
          <w:rFonts w:ascii="Times New Roman" w:hAnsi="Times New Roman" w:cs="Times New Roman"/>
          <w:sz w:val="24"/>
          <w:szCs w:val="24"/>
        </w:rPr>
        <w:t>padrões</w:t>
      </w:r>
      <w:proofErr w:type="spellEnd"/>
      <w:r w:rsidRPr="00CC309F">
        <w:rPr>
          <w:rFonts w:ascii="Times New Roman" w:hAnsi="Times New Roman" w:cs="Times New Roman"/>
          <w:sz w:val="24"/>
          <w:szCs w:val="24"/>
        </w:rPr>
        <w:t xml:space="preserve"> de consumo e apresentam-se como uma resposta da cidade frente a </w:t>
      </w:r>
      <w:proofErr w:type="spellStart"/>
      <w:r w:rsidRPr="00CC309F">
        <w:rPr>
          <w:rFonts w:ascii="Times New Roman" w:hAnsi="Times New Roman" w:cs="Times New Roman"/>
          <w:sz w:val="24"/>
          <w:szCs w:val="24"/>
        </w:rPr>
        <w:t>reestruturações</w:t>
      </w:r>
      <w:proofErr w:type="spellEnd"/>
      <w:r w:rsidRPr="00CC309F">
        <w:rPr>
          <w:rFonts w:ascii="Times New Roman" w:hAnsi="Times New Roman" w:cs="Times New Roman"/>
          <w:sz w:val="24"/>
          <w:szCs w:val="24"/>
        </w:rPr>
        <w:t xml:space="preserve"> </w:t>
      </w:r>
      <w:proofErr w:type="spellStart"/>
      <w:r w:rsidRPr="00CC309F">
        <w:rPr>
          <w:rFonts w:ascii="Times New Roman" w:hAnsi="Times New Roman" w:cs="Times New Roman"/>
          <w:sz w:val="24"/>
          <w:szCs w:val="24"/>
        </w:rPr>
        <w:t>econômicas</w:t>
      </w:r>
      <w:proofErr w:type="spellEnd"/>
      <w:r w:rsidRPr="00CC309F">
        <w:rPr>
          <w:rFonts w:ascii="Times New Roman" w:hAnsi="Times New Roman" w:cs="Times New Roman"/>
          <w:sz w:val="24"/>
          <w:szCs w:val="24"/>
        </w:rPr>
        <w:t xml:space="preserve"> </w:t>
      </w:r>
      <w:proofErr w:type="spellStart"/>
      <w:r w:rsidRPr="00CC309F">
        <w:rPr>
          <w:rFonts w:ascii="Times New Roman" w:hAnsi="Times New Roman" w:cs="Times New Roman"/>
          <w:sz w:val="24"/>
          <w:szCs w:val="24"/>
        </w:rPr>
        <w:t>contemporâneas</w:t>
      </w:r>
      <w:proofErr w:type="spellEnd"/>
      <w:r w:rsidRPr="00CC309F">
        <w:rPr>
          <w:rFonts w:ascii="Times New Roman" w:hAnsi="Times New Roman" w:cs="Times New Roman"/>
          <w:sz w:val="24"/>
          <w:szCs w:val="24"/>
        </w:rPr>
        <w:t xml:space="preserve">. Esta constatação coaduna com a perspectiva de Melara e Silva (2018), que afirmam que dentre as </w:t>
      </w:r>
      <w:proofErr w:type="spellStart"/>
      <w:r w:rsidRPr="00CC309F">
        <w:rPr>
          <w:rFonts w:ascii="Times New Roman" w:hAnsi="Times New Roman" w:cs="Times New Roman"/>
          <w:sz w:val="24"/>
          <w:szCs w:val="24"/>
        </w:rPr>
        <w:t>modificações</w:t>
      </w:r>
      <w:proofErr w:type="spellEnd"/>
      <w:r w:rsidRPr="00CC309F">
        <w:rPr>
          <w:rFonts w:ascii="Times New Roman" w:hAnsi="Times New Roman" w:cs="Times New Roman"/>
          <w:sz w:val="24"/>
          <w:szCs w:val="24"/>
        </w:rPr>
        <w:t xml:space="preserve"> </w:t>
      </w:r>
      <w:proofErr w:type="spellStart"/>
      <w:proofErr w:type="gramStart"/>
      <w:r w:rsidRPr="00CC309F">
        <w:rPr>
          <w:rFonts w:ascii="Times New Roman" w:hAnsi="Times New Roman" w:cs="Times New Roman"/>
          <w:sz w:val="24"/>
          <w:szCs w:val="24"/>
        </w:rPr>
        <w:t>intra-urbanas</w:t>
      </w:r>
      <w:proofErr w:type="spellEnd"/>
      <w:proofErr w:type="gramEnd"/>
      <w:r w:rsidRPr="00CC309F">
        <w:rPr>
          <w:rFonts w:ascii="Times New Roman" w:hAnsi="Times New Roman" w:cs="Times New Roman"/>
          <w:sz w:val="24"/>
          <w:szCs w:val="24"/>
        </w:rPr>
        <w:t xml:space="preserve"> marcadas por novas morfologias e novas paisagens fragmentadas engendradas pelo processo de </w:t>
      </w:r>
      <w:proofErr w:type="spellStart"/>
      <w:r w:rsidRPr="00CC309F">
        <w:rPr>
          <w:rFonts w:ascii="Times New Roman" w:hAnsi="Times New Roman" w:cs="Times New Roman"/>
          <w:sz w:val="24"/>
          <w:szCs w:val="24"/>
        </w:rPr>
        <w:t>reestruturação</w:t>
      </w:r>
      <w:proofErr w:type="spellEnd"/>
      <w:r w:rsidRPr="00CC309F">
        <w:rPr>
          <w:rFonts w:ascii="Times New Roman" w:hAnsi="Times New Roman" w:cs="Times New Roman"/>
          <w:sz w:val="24"/>
          <w:szCs w:val="24"/>
        </w:rPr>
        <w:t xml:space="preserve"> produtiva de </w:t>
      </w:r>
      <w:proofErr w:type="spellStart"/>
      <w:r w:rsidRPr="00CC309F">
        <w:rPr>
          <w:rFonts w:ascii="Times New Roman" w:hAnsi="Times New Roman" w:cs="Times New Roman"/>
          <w:sz w:val="24"/>
          <w:szCs w:val="24"/>
        </w:rPr>
        <w:t>acumulação</w:t>
      </w:r>
      <w:proofErr w:type="spellEnd"/>
      <w:r w:rsidRPr="00CC309F">
        <w:rPr>
          <w:rFonts w:ascii="Times New Roman" w:hAnsi="Times New Roman" w:cs="Times New Roman"/>
          <w:sz w:val="24"/>
          <w:szCs w:val="24"/>
        </w:rPr>
        <w:t xml:space="preserve"> </w:t>
      </w:r>
      <w:proofErr w:type="spellStart"/>
      <w:r w:rsidRPr="00CC309F">
        <w:rPr>
          <w:rFonts w:ascii="Times New Roman" w:hAnsi="Times New Roman" w:cs="Times New Roman"/>
          <w:sz w:val="24"/>
          <w:szCs w:val="24"/>
        </w:rPr>
        <w:t>flexível</w:t>
      </w:r>
      <w:proofErr w:type="spellEnd"/>
      <w:r w:rsidRPr="00CC309F">
        <w:rPr>
          <w:rFonts w:ascii="Times New Roman" w:hAnsi="Times New Roman" w:cs="Times New Roman"/>
          <w:sz w:val="24"/>
          <w:szCs w:val="24"/>
        </w:rPr>
        <w:t xml:space="preserve"> está a </w:t>
      </w:r>
      <w:proofErr w:type="spellStart"/>
      <w:r w:rsidRPr="00CC309F">
        <w:rPr>
          <w:rFonts w:ascii="Times New Roman" w:hAnsi="Times New Roman" w:cs="Times New Roman"/>
          <w:sz w:val="24"/>
          <w:szCs w:val="24"/>
        </w:rPr>
        <w:t>instalação</w:t>
      </w:r>
      <w:proofErr w:type="spellEnd"/>
      <w:r w:rsidRPr="00CC309F">
        <w:rPr>
          <w:rFonts w:ascii="Times New Roman" w:hAnsi="Times New Roman" w:cs="Times New Roman"/>
          <w:sz w:val="24"/>
          <w:szCs w:val="24"/>
        </w:rPr>
        <w:t xml:space="preserve"> de redes de </w:t>
      </w:r>
      <w:proofErr w:type="spellStart"/>
      <w:r w:rsidRPr="00CC309F">
        <w:rPr>
          <w:rFonts w:ascii="Times New Roman" w:hAnsi="Times New Roman" w:cs="Times New Roman"/>
          <w:sz w:val="24"/>
          <w:szCs w:val="24"/>
        </w:rPr>
        <w:t>múltiplas</w:t>
      </w:r>
      <w:proofErr w:type="spellEnd"/>
      <w:r w:rsidRPr="00CC309F">
        <w:rPr>
          <w:rFonts w:ascii="Times New Roman" w:hAnsi="Times New Roman" w:cs="Times New Roman"/>
          <w:sz w:val="24"/>
          <w:szCs w:val="24"/>
        </w:rPr>
        <w:t xml:space="preserve"> filiais, supermercados e hipermercados e shopping centers. Processos de </w:t>
      </w:r>
      <w:proofErr w:type="spellStart"/>
      <w:r w:rsidRPr="00CC309F">
        <w:rPr>
          <w:rFonts w:ascii="Times New Roman" w:hAnsi="Times New Roman" w:cs="Times New Roman"/>
          <w:sz w:val="24"/>
          <w:szCs w:val="24"/>
        </w:rPr>
        <w:t>fragmentação</w:t>
      </w:r>
      <w:proofErr w:type="spellEnd"/>
      <w:r w:rsidRPr="00CC309F">
        <w:rPr>
          <w:rFonts w:ascii="Times New Roman" w:hAnsi="Times New Roman" w:cs="Times New Roman"/>
          <w:sz w:val="24"/>
          <w:szCs w:val="24"/>
        </w:rPr>
        <w:t xml:space="preserve"> </w:t>
      </w:r>
      <w:proofErr w:type="spellStart"/>
      <w:r w:rsidRPr="00CC309F">
        <w:rPr>
          <w:rFonts w:ascii="Times New Roman" w:hAnsi="Times New Roman" w:cs="Times New Roman"/>
          <w:sz w:val="24"/>
          <w:szCs w:val="24"/>
        </w:rPr>
        <w:t>também</w:t>
      </w:r>
      <w:proofErr w:type="spellEnd"/>
      <w:r w:rsidRPr="00CC309F">
        <w:rPr>
          <w:rFonts w:ascii="Times New Roman" w:hAnsi="Times New Roman" w:cs="Times New Roman"/>
          <w:sz w:val="24"/>
          <w:szCs w:val="24"/>
        </w:rPr>
        <w:t xml:space="preserve"> envolvem, por outro lado, </w:t>
      </w:r>
      <w:proofErr w:type="spellStart"/>
      <w:r w:rsidRPr="00CC309F">
        <w:rPr>
          <w:rFonts w:ascii="Times New Roman" w:hAnsi="Times New Roman" w:cs="Times New Roman"/>
          <w:sz w:val="24"/>
          <w:szCs w:val="24"/>
        </w:rPr>
        <w:t>aglutinação</w:t>
      </w:r>
      <w:proofErr w:type="spellEnd"/>
      <w:r w:rsidRPr="00CC309F">
        <w:rPr>
          <w:rFonts w:ascii="Times New Roman" w:hAnsi="Times New Roman" w:cs="Times New Roman"/>
          <w:sz w:val="24"/>
          <w:szCs w:val="24"/>
        </w:rPr>
        <w:t xml:space="preserve"> e </w:t>
      </w:r>
      <w:proofErr w:type="spellStart"/>
      <w:r w:rsidRPr="00CC309F">
        <w:rPr>
          <w:rFonts w:ascii="Times New Roman" w:hAnsi="Times New Roman" w:cs="Times New Roman"/>
          <w:sz w:val="24"/>
          <w:szCs w:val="24"/>
        </w:rPr>
        <w:t>formação</w:t>
      </w:r>
      <w:proofErr w:type="spellEnd"/>
      <w:r w:rsidRPr="00CC309F">
        <w:rPr>
          <w:rFonts w:ascii="Times New Roman" w:hAnsi="Times New Roman" w:cs="Times New Roman"/>
          <w:sz w:val="24"/>
          <w:szCs w:val="24"/>
        </w:rPr>
        <w:t xml:space="preserve"> de novas centralidades, como expõe Lopes Júnior e Santos (2010, p. 120): “Esses aspectos </w:t>
      </w:r>
      <w:proofErr w:type="spellStart"/>
      <w:r w:rsidRPr="00CC309F">
        <w:rPr>
          <w:rFonts w:ascii="Times New Roman" w:hAnsi="Times New Roman" w:cs="Times New Roman"/>
          <w:sz w:val="24"/>
          <w:szCs w:val="24"/>
        </w:rPr>
        <w:t>são</w:t>
      </w:r>
      <w:proofErr w:type="spellEnd"/>
      <w:r w:rsidRPr="00CC309F">
        <w:rPr>
          <w:rFonts w:ascii="Times New Roman" w:hAnsi="Times New Roman" w:cs="Times New Roman"/>
          <w:sz w:val="24"/>
          <w:szCs w:val="24"/>
        </w:rPr>
        <w:t xml:space="preserve"> notados, por exemplo, na </w:t>
      </w:r>
      <w:proofErr w:type="spellStart"/>
      <w:r w:rsidRPr="00CC309F">
        <w:rPr>
          <w:rFonts w:ascii="Times New Roman" w:hAnsi="Times New Roman" w:cs="Times New Roman"/>
          <w:sz w:val="24"/>
          <w:szCs w:val="24"/>
        </w:rPr>
        <w:t>concentração</w:t>
      </w:r>
      <w:proofErr w:type="spellEnd"/>
      <w:r w:rsidRPr="00CC309F">
        <w:rPr>
          <w:rFonts w:ascii="Times New Roman" w:hAnsi="Times New Roman" w:cs="Times New Roman"/>
          <w:sz w:val="24"/>
          <w:szCs w:val="24"/>
        </w:rPr>
        <w:t xml:space="preserve"> dos equipamentos para o consumo, como </w:t>
      </w:r>
      <w:proofErr w:type="spellStart"/>
      <w:r w:rsidRPr="00CC309F">
        <w:rPr>
          <w:rFonts w:ascii="Times New Roman" w:hAnsi="Times New Roman" w:cs="Times New Roman"/>
          <w:sz w:val="24"/>
          <w:szCs w:val="24"/>
        </w:rPr>
        <w:t>também</w:t>
      </w:r>
      <w:proofErr w:type="spellEnd"/>
      <w:r w:rsidRPr="00CC309F">
        <w:rPr>
          <w:rFonts w:ascii="Times New Roman" w:hAnsi="Times New Roman" w:cs="Times New Roman"/>
          <w:sz w:val="24"/>
          <w:szCs w:val="24"/>
        </w:rPr>
        <w:t xml:space="preserve"> na </w:t>
      </w:r>
      <w:proofErr w:type="spellStart"/>
      <w:r w:rsidRPr="00CC309F">
        <w:rPr>
          <w:rFonts w:ascii="Times New Roman" w:hAnsi="Times New Roman" w:cs="Times New Roman"/>
          <w:sz w:val="24"/>
          <w:szCs w:val="24"/>
        </w:rPr>
        <w:t>localização</w:t>
      </w:r>
      <w:proofErr w:type="spellEnd"/>
      <w:r w:rsidRPr="00CC309F">
        <w:rPr>
          <w:rFonts w:ascii="Times New Roman" w:hAnsi="Times New Roman" w:cs="Times New Roman"/>
          <w:sz w:val="24"/>
          <w:szCs w:val="24"/>
        </w:rPr>
        <w:t xml:space="preserve"> das empresas, do </w:t>
      </w:r>
      <w:proofErr w:type="spellStart"/>
      <w:r w:rsidRPr="00CC309F">
        <w:rPr>
          <w:rFonts w:ascii="Times New Roman" w:hAnsi="Times New Roman" w:cs="Times New Roman"/>
          <w:sz w:val="24"/>
          <w:szCs w:val="24"/>
        </w:rPr>
        <w:t>comércio</w:t>
      </w:r>
      <w:proofErr w:type="spellEnd"/>
      <w:r w:rsidRPr="00CC309F">
        <w:rPr>
          <w:rFonts w:ascii="Times New Roman" w:hAnsi="Times New Roman" w:cs="Times New Roman"/>
          <w:sz w:val="24"/>
          <w:szCs w:val="24"/>
        </w:rPr>
        <w:t xml:space="preserve">, dos </w:t>
      </w:r>
      <w:proofErr w:type="spellStart"/>
      <w:r w:rsidRPr="00CC309F">
        <w:rPr>
          <w:rFonts w:ascii="Times New Roman" w:hAnsi="Times New Roman" w:cs="Times New Roman"/>
          <w:sz w:val="24"/>
          <w:szCs w:val="24"/>
        </w:rPr>
        <w:t>serviços</w:t>
      </w:r>
      <w:proofErr w:type="spellEnd"/>
      <w:r w:rsidRPr="00CC309F">
        <w:rPr>
          <w:rFonts w:ascii="Times New Roman" w:hAnsi="Times New Roman" w:cs="Times New Roman"/>
          <w:sz w:val="24"/>
          <w:szCs w:val="24"/>
        </w:rPr>
        <w:t xml:space="preserve"> em setores </w:t>
      </w:r>
      <w:proofErr w:type="spellStart"/>
      <w:r w:rsidRPr="00CC309F">
        <w:rPr>
          <w:rFonts w:ascii="Times New Roman" w:hAnsi="Times New Roman" w:cs="Times New Roman"/>
          <w:sz w:val="24"/>
          <w:szCs w:val="24"/>
        </w:rPr>
        <w:t>específicos</w:t>
      </w:r>
      <w:proofErr w:type="spellEnd"/>
      <w:r w:rsidRPr="00CC309F">
        <w:rPr>
          <w:rFonts w:ascii="Times New Roman" w:hAnsi="Times New Roman" w:cs="Times New Roman"/>
          <w:sz w:val="24"/>
          <w:szCs w:val="24"/>
        </w:rPr>
        <w:t xml:space="preserve"> da cidade”.</w:t>
      </w:r>
    </w:p>
    <w:p w14:paraId="43333037" w14:textId="77777777" w:rsidR="00D17B2B" w:rsidRPr="00224819" w:rsidRDefault="00D17B2B" w:rsidP="00D17B2B">
      <w:pPr>
        <w:shd w:val="clear" w:color="auto" w:fill="FFFFFF"/>
        <w:spacing w:after="0" w:line="360" w:lineRule="auto"/>
        <w:ind w:firstLine="720"/>
        <w:jc w:val="both"/>
        <w:rPr>
          <w:rFonts w:ascii="Times New Roman" w:eastAsia="Times New Roman" w:hAnsi="Times New Roman" w:cs="Times New Roman"/>
          <w:sz w:val="24"/>
          <w:szCs w:val="24"/>
        </w:rPr>
      </w:pPr>
      <w:r w:rsidRPr="00CC309F">
        <w:rPr>
          <w:rFonts w:ascii="Times New Roman" w:eastAsia="Times New Roman" w:hAnsi="Times New Roman" w:cs="Times New Roman"/>
          <w:sz w:val="24"/>
          <w:szCs w:val="24"/>
        </w:rPr>
        <w:t xml:space="preserve">Operando na lógica das verticalidades, mas capturando força de trabalho e consumidores das horizontalidades, os </w:t>
      </w:r>
      <w:proofErr w:type="spellStart"/>
      <w:r w:rsidRPr="00CC309F">
        <w:rPr>
          <w:rFonts w:ascii="Times New Roman" w:eastAsia="Times New Roman" w:hAnsi="Times New Roman" w:cs="Times New Roman"/>
          <w:sz w:val="24"/>
          <w:szCs w:val="24"/>
        </w:rPr>
        <w:t>atacarejos</w:t>
      </w:r>
      <w:proofErr w:type="spellEnd"/>
      <w:r w:rsidRPr="00CC309F">
        <w:rPr>
          <w:rFonts w:ascii="Times New Roman" w:eastAsia="Times New Roman" w:hAnsi="Times New Roman" w:cs="Times New Roman"/>
          <w:sz w:val="24"/>
          <w:szCs w:val="24"/>
        </w:rPr>
        <w:t xml:space="preserve"> são um modelo comercial que se assentou perfeitamente nos territórios fragmentados dos grandes arranjos populacionais brasileiros. Adquiriram tamanha força no cenário nacional, </w:t>
      </w:r>
      <w:r>
        <w:rPr>
          <w:rFonts w:ascii="Times New Roman" w:eastAsia="Times New Roman" w:hAnsi="Times New Roman" w:cs="Times New Roman"/>
          <w:sz w:val="24"/>
          <w:szCs w:val="24"/>
        </w:rPr>
        <w:t xml:space="preserve">posto </w:t>
      </w:r>
      <w:r w:rsidRPr="00CC309F">
        <w:rPr>
          <w:rFonts w:ascii="Times New Roman" w:eastAsia="Times New Roman" w:hAnsi="Times New Roman" w:cs="Times New Roman"/>
          <w:sz w:val="24"/>
          <w:szCs w:val="24"/>
        </w:rPr>
        <w:t xml:space="preserve">que mobilizam grandes corporações alimentícias a fabricação de produtos especializados. Tornam-se progressivamente a ponta de lança de grandes redes varejistas, e provocam o esvaziamento comercial de pequenas empresas pelos territórios próximos. Seu baixo custo baseia-se na diminuição da necessidade de trabalhadores, bem como na vigilância e </w:t>
      </w:r>
      <w:proofErr w:type="spellStart"/>
      <w:proofErr w:type="gramStart"/>
      <w:r w:rsidRPr="00CC309F">
        <w:rPr>
          <w:rFonts w:ascii="Times New Roman" w:eastAsia="Times New Roman" w:hAnsi="Times New Roman" w:cs="Times New Roman"/>
          <w:sz w:val="24"/>
          <w:szCs w:val="24"/>
        </w:rPr>
        <w:t>super-exploração</w:t>
      </w:r>
      <w:proofErr w:type="spellEnd"/>
      <w:proofErr w:type="gramEnd"/>
      <w:r w:rsidRPr="00CC309F">
        <w:rPr>
          <w:rFonts w:ascii="Times New Roman" w:eastAsia="Times New Roman" w:hAnsi="Times New Roman" w:cs="Times New Roman"/>
          <w:sz w:val="24"/>
          <w:szCs w:val="24"/>
        </w:rPr>
        <w:t xml:space="preserve"> das equipes:</w:t>
      </w:r>
    </w:p>
    <w:p w14:paraId="1DCD856D" w14:textId="77777777" w:rsidR="00D17B2B" w:rsidRPr="001C7B68" w:rsidRDefault="00D17B2B" w:rsidP="00D17B2B">
      <w:pPr>
        <w:spacing w:line="276" w:lineRule="auto"/>
        <w:ind w:left="2268"/>
        <w:jc w:val="both"/>
        <w:rPr>
          <w:rFonts w:ascii="Times New Roman" w:hAnsi="Times New Roman" w:cs="Times New Roman"/>
          <w:sz w:val="20"/>
          <w:szCs w:val="20"/>
        </w:rPr>
      </w:pPr>
      <w:r w:rsidRPr="001C7B68">
        <w:rPr>
          <w:rFonts w:ascii="Times New Roman" w:hAnsi="Times New Roman" w:cs="Times New Roman"/>
          <w:sz w:val="20"/>
          <w:szCs w:val="20"/>
        </w:rPr>
        <w:t xml:space="preserve"> os funcionários são protagonistas da redução de custos e, para isso, o empresário precisa conscientizá-los, e sensibilizá-los. É preciso mostrar exemplos e fazer com que cada um enxergue como pode contribuir, além de metas e premiar a equipe. Ele também aponta a tecnologia como uma aliança para aplicação de ações inovadoras que promovem a redução de custos. Há programas, por exemplo, que otimizam o tempo dos funcionários com a utilização de ponto eletrônico, ou mesmo, sistemas que ajudam na economia de </w:t>
      </w:r>
      <w:r w:rsidRPr="008439DF">
        <w:rPr>
          <w:rFonts w:ascii="Times New Roman" w:hAnsi="Times New Roman" w:cs="Times New Roman"/>
          <w:color w:val="000000" w:themeColor="text1"/>
          <w:sz w:val="20"/>
          <w:szCs w:val="20"/>
        </w:rPr>
        <w:t>energia. (REVISTA ABAAS, 2016)</w:t>
      </w:r>
    </w:p>
    <w:p w14:paraId="70845919" w14:textId="77777777" w:rsidR="00D17B2B" w:rsidRPr="00A93D3B" w:rsidRDefault="00D17B2B" w:rsidP="00D17B2B">
      <w:pPr>
        <w:spacing w:line="360" w:lineRule="auto"/>
        <w:ind w:firstLine="720"/>
        <w:jc w:val="both"/>
        <w:rPr>
          <w:rFonts w:ascii="Times New Roman" w:hAnsi="Times New Roman" w:cs="Times New Roman"/>
          <w:sz w:val="24"/>
          <w:szCs w:val="24"/>
        </w:rPr>
      </w:pPr>
      <w:r w:rsidRPr="00A93D3B">
        <w:rPr>
          <w:rFonts w:ascii="Times New Roman" w:hAnsi="Times New Roman" w:cs="Times New Roman"/>
          <w:sz w:val="24"/>
          <w:szCs w:val="24"/>
        </w:rPr>
        <w:t xml:space="preserve">Os baixos custos finais dos produtos para além de carregarem dinâmicas perversas do capitalismo exploratório em seu máximo, muitas vezes são ilusórios, pois incentivam compras </w:t>
      </w:r>
      <w:r w:rsidRPr="00A93D3B">
        <w:rPr>
          <w:rFonts w:ascii="Times New Roman" w:hAnsi="Times New Roman" w:cs="Times New Roman"/>
          <w:sz w:val="24"/>
          <w:szCs w:val="24"/>
        </w:rPr>
        <w:lastRenderedPageBreak/>
        <w:t xml:space="preserve">em grande quantidade por visita a loja. Assim, as famílias podem vir a gastar mais que seus orçamentos mensais, provocando o endividamento financeiro, além de impactar na qualidade e cultura alimentar da população brasileira, incentivando o consumo de alimentos com longa validade, como </w:t>
      </w:r>
      <w:proofErr w:type="spellStart"/>
      <w:r w:rsidRPr="00A93D3B">
        <w:rPr>
          <w:rFonts w:ascii="Times New Roman" w:hAnsi="Times New Roman" w:cs="Times New Roman"/>
          <w:sz w:val="24"/>
          <w:szCs w:val="24"/>
        </w:rPr>
        <w:t>ultraprocessados</w:t>
      </w:r>
      <w:proofErr w:type="spellEnd"/>
      <w:r w:rsidRPr="00A93D3B">
        <w:rPr>
          <w:rFonts w:ascii="Times New Roman" w:hAnsi="Times New Roman" w:cs="Times New Roman"/>
          <w:sz w:val="24"/>
          <w:szCs w:val="24"/>
        </w:rPr>
        <w:t xml:space="preserve">, podendo gerar também o desperdício. Há, ainda, altos custos logísticos para o consumidor e para o Estado, pois demandam de pesadas infraestruturas. </w:t>
      </w:r>
      <w:bookmarkStart w:id="2" w:name="_heading=h.hyg4zse2tkhf" w:colFirst="0" w:colLast="0"/>
      <w:bookmarkEnd w:id="2"/>
    </w:p>
    <w:p w14:paraId="205AFE42" w14:textId="77777777" w:rsidR="00D17B2B" w:rsidRDefault="00D17B2B" w:rsidP="00D17B2B">
      <w:pPr>
        <w:pStyle w:val="Ttulo3"/>
        <w:jc w:val="both"/>
        <w:rPr>
          <w:rFonts w:ascii="Times New Roman" w:hAnsi="Times New Roman" w:cs="Times New Roman"/>
          <w:color w:val="000000" w:themeColor="text1"/>
          <w:sz w:val="24"/>
          <w:szCs w:val="24"/>
        </w:rPr>
      </w:pPr>
      <w:bookmarkStart w:id="3" w:name="_heading=h.pg6pwvrkx4cm" w:colFirst="0" w:colLast="0"/>
      <w:bookmarkEnd w:id="3"/>
      <w:r>
        <w:rPr>
          <w:rFonts w:ascii="Times New Roman" w:hAnsi="Times New Roman" w:cs="Times New Roman"/>
          <w:color w:val="000000" w:themeColor="text1"/>
          <w:sz w:val="24"/>
          <w:szCs w:val="24"/>
        </w:rPr>
        <w:t>7</w:t>
      </w:r>
      <w:r w:rsidRPr="00224819">
        <w:rPr>
          <w:rFonts w:ascii="Times New Roman" w:hAnsi="Times New Roman" w:cs="Times New Roman"/>
          <w:color w:val="000000" w:themeColor="text1"/>
          <w:sz w:val="24"/>
          <w:szCs w:val="24"/>
        </w:rPr>
        <w:t xml:space="preserve"> REFERÊNCIAS BIBLIOGRÁFICAS</w:t>
      </w:r>
    </w:p>
    <w:p w14:paraId="5DD8EC49"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65EDA334"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BAPTISTA, J.A et al. </w:t>
      </w:r>
      <w:r w:rsidRPr="008439DF">
        <w:rPr>
          <w:rFonts w:ascii="Times New Roman" w:hAnsi="Times New Roman" w:cs="Times New Roman"/>
          <w:b/>
          <w:bCs/>
          <w:sz w:val="24"/>
          <w:szCs w:val="24"/>
        </w:rPr>
        <w:t xml:space="preserve">Canais de Distribuição Logístico </w:t>
      </w:r>
      <w:proofErr w:type="spellStart"/>
      <w:r w:rsidRPr="008439DF">
        <w:rPr>
          <w:rFonts w:ascii="Times New Roman" w:hAnsi="Times New Roman" w:cs="Times New Roman"/>
          <w:b/>
          <w:bCs/>
          <w:sz w:val="24"/>
          <w:szCs w:val="24"/>
        </w:rPr>
        <w:t>Atacarejo</w:t>
      </w:r>
      <w:proofErr w:type="spellEnd"/>
      <w:r w:rsidRPr="008439DF">
        <w:rPr>
          <w:rFonts w:ascii="Times New Roman" w:hAnsi="Times New Roman" w:cs="Times New Roman"/>
          <w:sz w:val="24"/>
          <w:szCs w:val="24"/>
        </w:rPr>
        <w:t xml:space="preserve">: Um estudo de caso na empresa XYZ </w:t>
      </w:r>
      <w:proofErr w:type="spellStart"/>
      <w:r w:rsidRPr="008439DF">
        <w:rPr>
          <w:rFonts w:ascii="Times New Roman" w:hAnsi="Times New Roman" w:cs="Times New Roman"/>
          <w:sz w:val="24"/>
          <w:szCs w:val="24"/>
        </w:rPr>
        <w:t>Dist</w:t>
      </w:r>
      <w:proofErr w:type="spellEnd"/>
      <w:r w:rsidRPr="008439DF">
        <w:rPr>
          <w:rFonts w:ascii="Times New Roman" w:hAnsi="Times New Roman" w:cs="Times New Roman"/>
          <w:sz w:val="24"/>
          <w:szCs w:val="24"/>
        </w:rPr>
        <w:t xml:space="preserve">. Com. Ind. Ltda. </w:t>
      </w:r>
      <w:proofErr w:type="spellStart"/>
      <w:r w:rsidRPr="008439DF">
        <w:rPr>
          <w:rFonts w:ascii="Times New Roman" w:hAnsi="Times New Roman" w:cs="Times New Roman"/>
          <w:sz w:val="24"/>
          <w:szCs w:val="24"/>
        </w:rPr>
        <w:t>Seget</w:t>
      </w:r>
      <w:proofErr w:type="spellEnd"/>
      <w:r w:rsidRPr="008439DF">
        <w:rPr>
          <w:rFonts w:ascii="Times New Roman" w:hAnsi="Times New Roman" w:cs="Times New Roman"/>
          <w:sz w:val="24"/>
          <w:szCs w:val="24"/>
        </w:rPr>
        <w:t xml:space="preserve"> 2012. Disponível em: https://www.aedb.br/seget/arquivos/artigos12/49616592.pdf</w:t>
      </w:r>
    </w:p>
    <w:p w14:paraId="689AF74D" w14:textId="77777777" w:rsidR="00D17B2B" w:rsidRDefault="00D17B2B" w:rsidP="00D17B2B">
      <w:pPr>
        <w:rPr>
          <w:rFonts w:ascii="Times New Roman" w:hAnsi="Times New Roman" w:cs="Times New Roman"/>
          <w:sz w:val="24"/>
          <w:szCs w:val="24"/>
        </w:rPr>
      </w:pPr>
      <w:r w:rsidRPr="008439DF">
        <w:rPr>
          <w:rFonts w:ascii="Times New Roman" w:hAnsi="Times New Roman" w:cs="Times New Roman"/>
          <w:sz w:val="24"/>
          <w:szCs w:val="24"/>
        </w:rPr>
        <w:t>Acesso em: 20/05/2022.</w:t>
      </w:r>
    </w:p>
    <w:p w14:paraId="1C0E3704"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68615976"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BORTOLINI, G. A.; OLIVEIRA, T. F. V. de; SILVA, S. A. da; SANTIN, R. da C.; MEDEIROS, O. L. de; SPANIOL, A. M.; PIRES, A. C. L.; ALVES, M. F. M.; FALLER, L. de A. </w:t>
      </w:r>
      <w:r w:rsidRPr="00A42E5B">
        <w:rPr>
          <w:rFonts w:ascii="Times New Roman" w:hAnsi="Times New Roman" w:cs="Times New Roman"/>
          <w:b/>
          <w:bCs/>
          <w:sz w:val="24"/>
          <w:szCs w:val="24"/>
        </w:rPr>
        <w:t>Ações de alimentação e nutrição na atenção primária à saúde no Brasil.</w:t>
      </w:r>
      <w:r w:rsidRPr="008439DF">
        <w:rPr>
          <w:rFonts w:ascii="Times New Roman" w:hAnsi="Times New Roman" w:cs="Times New Roman"/>
          <w:sz w:val="24"/>
          <w:szCs w:val="24"/>
        </w:rPr>
        <w:t xml:space="preserve"> Revista Panamericana de </w:t>
      </w:r>
      <w:proofErr w:type="spellStart"/>
      <w:r w:rsidRPr="008439DF">
        <w:rPr>
          <w:rFonts w:ascii="Times New Roman" w:hAnsi="Times New Roman" w:cs="Times New Roman"/>
          <w:sz w:val="24"/>
          <w:szCs w:val="24"/>
        </w:rPr>
        <w:t>Salud</w:t>
      </w:r>
      <w:proofErr w:type="spellEnd"/>
      <w:r w:rsidRPr="008439DF">
        <w:rPr>
          <w:rFonts w:ascii="Times New Roman" w:hAnsi="Times New Roman" w:cs="Times New Roman"/>
          <w:sz w:val="24"/>
          <w:szCs w:val="24"/>
        </w:rPr>
        <w:t xml:space="preserve"> Pública, v. 44, e39, 2020.</w:t>
      </w:r>
    </w:p>
    <w:p w14:paraId="79B1E8DE"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393F8728"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r w:rsidRPr="00A42E5B">
        <w:rPr>
          <w:rFonts w:ascii="Times New Roman" w:hAnsi="Times New Roman" w:cs="Times New Roman"/>
          <w:sz w:val="24"/>
          <w:szCs w:val="24"/>
        </w:rPr>
        <w:t xml:space="preserve">CONSEA. </w:t>
      </w:r>
      <w:r w:rsidRPr="00A42E5B">
        <w:rPr>
          <w:rFonts w:ascii="Times New Roman" w:hAnsi="Times New Roman" w:cs="Times New Roman"/>
          <w:b/>
          <w:bCs/>
          <w:sz w:val="24"/>
          <w:szCs w:val="24"/>
        </w:rPr>
        <w:t>Manifesto</w:t>
      </w:r>
      <w:r>
        <w:rPr>
          <w:rFonts w:ascii="Times New Roman" w:hAnsi="Times New Roman" w:cs="Times New Roman"/>
          <w:sz w:val="24"/>
          <w:szCs w:val="24"/>
        </w:rPr>
        <w:t>.</w:t>
      </w:r>
      <w:r w:rsidRPr="00A42E5B">
        <w:rPr>
          <w:rFonts w:ascii="Times New Roman" w:hAnsi="Times New Roman" w:cs="Times New Roman"/>
          <w:sz w:val="24"/>
          <w:szCs w:val="24"/>
        </w:rPr>
        <w:t xml:space="preserve"> 5ª Conferência Nacional de Segurança Alimentar e Nutricional à Sociedade Brasileira sobre Comida de Verdade no Campo e na Cidade, por Direitos e Soberania Alimentar. Brasília, 2015.</w:t>
      </w:r>
    </w:p>
    <w:p w14:paraId="5530E2C5"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4F788638"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ELIAS, D. </w:t>
      </w:r>
      <w:r w:rsidRPr="00A42E5B">
        <w:rPr>
          <w:rFonts w:ascii="Times New Roman" w:hAnsi="Times New Roman" w:cs="Times New Roman"/>
          <w:b/>
          <w:bCs/>
          <w:sz w:val="24"/>
          <w:szCs w:val="24"/>
        </w:rPr>
        <w:t>O alimento-mercadoria e a fome no Brasil.</w:t>
      </w:r>
      <w:r w:rsidRPr="008439DF">
        <w:rPr>
          <w:rFonts w:ascii="Times New Roman" w:hAnsi="Times New Roman" w:cs="Times New Roman"/>
          <w:sz w:val="24"/>
          <w:szCs w:val="24"/>
        </w:rPr>
        <w:t xml:space="preserve"> Boletim Goiano de Geografia, Goiânia, v. 41, n. 1, 2021. DOI: 10.5216/</w:t>
      </w:r>
      <w:proofErr w:type="gramStart"/>
      <w:r w:rsidRPr="008439DF">
        <w:rPr>
          <w:rFonts w:ascii="Times New Roman" w:hAnsi="Times New Roman" w:cs="Times New Roman"/>
          <w:sz w:val="24"/>
          <w:szCs w:val="24"/>
        </w:rPr>
        <w:t>bgg.v</w:t>
      </w:r>
      <w:proofErr w:type="gramEnd"/>
      <w:r w:rsidRPr="008439DF">
        <w:rPr>
          <w:rFonts w:ascii="Times New Roman" w:hAnsi="Times New Roman" w:cs="Times New Roman"/>
          <w:sz w:val="24"/>
          <w:szCs w:val="24"/>
        </w:rPr>
        <w:t>41.69103. Disponível em: https://revistas.ufg.br/bgg/article/view/69103. Acesso em: 15 mai. 2022.</w:t>
      </w:r>
    </w:p>
    <w:p w14:paraId="5DC1E656"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72AE62D5"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IBGE - INSTITUTO BRASILEIRO DE GEOGRAFIA E ESTATÍSTICA. </w:t>
      </w:r>
      <w:r w:rsidRPr="00A42E5B">
        <w:rPr>
          <w:rFonts w:ascii="Times New Roman" w:hAnsi="Times New Roman" w:cs="Times New Roman"/>
          <w:b/>
          <w:bCs/>
          <w:sz w:val="24"/>
          <w:szCs w:val="24"/>
        </w:rPr>
        <w:t>Regiões de Influência das Cidades - 2018</w:t>
      </w:r>
      <w:r w:rsidRPr="008439DF">
        <w:rPr>
          <w:rFonts w:ascii="Times New Roman" w:hAnsi="Times New Roman" w:cs="Times New Roman"/>
          <w:sz w:val="24"/>
          <w:szCs w:val="24"/>
        </w:rPr>
        <w:t>.</w:t>
      </w:r>
      <w:r>
        <w:rPr>
          <w:rFonts w:ascii="Times New Roman" w:hAnsi="Times New Roman" w:cs="Times New Roman"/>
          <w:sz w:val="24"/>
          <w:szCs w:val="24"/>
        </w:rPr>
        <w:t xml:space="preserve"> 2020.</w:t>
      </w:r>
      <w:r w:rsidRPr="008439DF">
        <w:rPr>
          <w:rFonts w:ascii="Times New Roman" w:hAnsi="Times New Roman" w:cs="Times New Roman"/>
          <w:sz w:val="24"/>
          <w:szCs w:val="24"/>
        </w:rPr>
        <w:t xml:space="preserve"> Disponível em:  </w:t>
      </w:r>
      <w:proofErr w:type="gramStart"/>
      <w:r w:rsidRPr="008439DF">
        <w:rPr>
          <w:rFonts w:ascii="Times New Roman" w:hAnsi="Times New Roman" w:cs="Times New Roman"/>
          <w:sz w:val="24"/>
          <w:szCs w:val="24"/>
        </w:rPr>
        <w:t>https://biblioteca.ibge.gov.br/index.php/biblioteca-catalogo?view=detalhes&amp;id=2101728 .</w:t>
      </w:r>
      <w:proofErr w:type="gramEnd"/>
      <w:r w:rsidRPr="008439DF">
        <w:rPr>
          <w:rFonts w:ascii="Times New Roman" w:hAnsi="Times New Roman" w:cs="Times New Roman"/>
          <w:sz w:val="24"/>
          <w:szCs w:val="24"/>
        </w:rPr>
        <w:t xml:space="preserve"> Acesso em 30/05/2022.</w:t>
      </w:r>
    </w:p>
    <w:p w14:paraId="27126D4E"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08F820C8"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IBGE - INSTITUTO BRASILEIRO DE GEOGRAFIA E ESTATÍSTICA. </w:t>
      </w:r>
      <w:r w:rsidRPr="00A42E5B">
        <w:rPr>
          <w:rFonts w:ascii="Times New Roman" w:hAnsi="Times New Roman" w:cs="Times New Roman"/>
          <w:b/>
          <w:bCs/>
          <w:sz w:val="24"/>
          <w:szCs w:val="24"/>
        </w:rPr>
        <w:t>Arranjos Populacionais e Concentrações Urbanas do Brasil - 2015</w:t>
      </w:r>
      <w:r w:rsidRPr="008439DF">
        <w:rPr>
          <w:rFonts w:ascii="Times New Roman" w:hAnsi="Times New Roman" w:cs="Times New Roman"/>
          <w:sz w:val="24"/>
          <w:szCs w:val="24"/>
        </w:rPr>
        <w:t xml:space="preserve">. 2016. Disponível em: </w:t>
      </w:r>
      <w:proofErr w:type="gramStart"/>
      <w:r w:rsidRPr="008439DF">
        <w:rPr>
          <w:rFonts w:ascii="Times New Roman" w:hAnsi="Times New Roman" w:cs="Times New Roman"/>
          <w:sz w:val="24"/>
          <w:szCs w:val="24"/>
        </w:rPr>
        <w:t>https://biblioteca.ibge.gov.br/index.php/biblioteca-catalogo?view=detalhes&amp;id=299700#:~:text=Como%20resultado%2C%20foram%20identificados%20294,m%C3%A9dias%20e%20grandes%20concentra%C3%A7%C3%B5es%20urbanas .</w:t>
      </w:r>
      <w:proofErr w:type="gramEnd"/>
      <w:r w:rsidRPr="008439DF">
        <w:rPr>
          <w:rFonts w:ascii="Times New Roman" w:hAnsi="Times New Roman" w:cs="Times New Roman"/>
          <w:sz w:val="24"/>
          <w:szCs w:val="24"/>
        </w:rPr>
        <w:t xml:space="preserve"> Acesso em 30/05/2022.</w:t>
      </w:r>
    </w:p>
    <w:p w14:paraId="320E4B29"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696627B4" w14:textId="77777777" w:rsidR="00D17B2B" w:rsidRPr="008439DF" w:rsidRDefault="00D17B2B" w:rsidP="00D17B2B">
      <w:pPr>
        <w:spacing w:after="0" w:line="240" w:lineRule="auto"/>
        <w:jc w:val="both"/>
        <w:rPr>
          <w:rFonts w:ascii="Times New Roman" w:hAnsi="Times New Roman" w:cs="Times New Roman"/>
          <w:sz w:val="24"/>
          <w:szCs w:val="24"/>
        </w:rPr>
      </w:pPr>
      <w:r w:rsidRPr="008439DF">
        <w:rPr>
          <w:rFonts w:ascii="Times New Roman" w:hAnsi="Times New Roman" w:cs="Times New Roman"/>
          <w:sz w:val="24"/>
          <w:szCs w:val="24"/>
        </w:rPr>
        <w:t xml:space="preserve">KIYOHARA, J. H. (2001). </w:t>
      </w:r>
      <w:r w:rsidRPr="007C4595">
        <w:rPr>
          <w:rFonts w:ascii="Times New Roman" w:hAnsi="Times New Roman" w:cs="Times New Roman"/>
          <w:b/>
          <w:bCs/>
          <w:sz w:val="24"/>
          <w:szCs w:val="24"/>
        </w:rPr>
        <w:t xml:space="preserve">Entendendo o cash </w:t>
      </w:r>
      <w:proofErr w:type="spellStart"/>
      <w:r w:rsidRPr="007C4595">
        <w:rPr>
          <w:rFonts w:ascii="Times New Roman" w:hAnsi="Times New Roman" w:cs="Times New Roman"/>
          <w:b/>
          <w:bCs/>
          <w:sz w:val="24"/>
          <w:szCs w:val="24"/>
        </w:rPr>
        <w:t>and</w:t>
      </w:r>
      <w:proofErr w:type="spellEnd"/>
      <w:r w:rsidRPr="007C4595">
        <w:rPr>
          <w:rFonts w:ascii="Times New Roman" w:hAnsi="Times New Roman" w:cs="Times New Roman"/>
          <w:b/>
          <w:bCs/>
          <w:sz w:val="24"/>
          <w:szCs w:val="24"/>
        </w:rPr>
        <w:t xml:space="preserve"> </w:t>
      </w:r>
      <w:proofErr w:type="spellStart"/>
      <w:r w:rsidRPr="007C4595">
        <w:rPr>
          <w:rFonts w:ascii="Times New Roman" w:hAnsi="Times New Roman" w:cs="Times New Roman"/>
          <w:b/>
          <w:bCs/>
          <w:sz w:val="24"/>
          <w:szCs w:val="24"/>
        </w:rPr>
        <w:t>carry</w:t>
      </w:r>
      <w:proofErr w:type="spellEnd"/>
      <w:r w:rsidRPr="007C4595">
        <w:rPr>
          <w:rFonts w:ascii="Times New Roman" w:hAnsi="Times New Roman" w:cs="Times New Roman"/>
          <w:b/>
          <w:bCs/>
          <w:sz w:val="24"/>
          <w:szCs w:val="24"/>
        </w:rPr>
        <w:t xml:space="preserve"> e clube de compras:</w:t>
      </w:r>
      <w:r w:rsidRPr="008439DF">
        <w:rPr>
          <w:rFonts w:ascii="Times New Roman" w:hAnsi="Times New Roman" w:cs="Times New Roman"/>
          <w:sz w:val="24"/>
          <w:szCs w:val="24"/>
        </w:rPr>
        <w:t xml:space="preserve"> retrato brasileiro. Seminários em Administração. São Paulo, 2001. Disponível em: </w:t>
      </w:r>
      <w:r w:rsidRPr="008439DF">
        <w:rPr>
          <w:rFonts w:ascii="Times New Roman" w:hAnsi="Times New Roman" w:cs="Times New Roman"/>
          <w:sz w:val="24"/>
          <w:szCs w:val="24"/>
        </w:rPr>
        <w:lastRenderedPageBreak/>
        <w:t>http://sistema.semead.com.br/5semead/MKT/Entendendo%20o%20Cash%20an%20Carry%20e%20o%20Clube%20de%20Campras.pdf Acesso em: 28/05/2022</w:t>
      </w:r>
    </w:p>
    <w:p w14:paraId="0F0E0CFE"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291535A1"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KOTLER, P. </w:t>
      </w:r>
      <w:r w:rsidRPr="00A42E5B">
        <w:rPr>
          <w:rFonts w:ascii="Times New Roman" w:hAnsi="Times New Roman" w:cs="Times New Roman"/>
          <w:b/>
          <w:bCs/>
          <w:sz w:val="24"/>
          <w:szCs w:val="24"/>
        </w:rPr>
        <w:t>Administração de marketing:</w:t>
      </w:r>
      <w:r w:rsidRPr="008439DF">
        <w:rPr>
          <w:rFonts w:ascii="Times New Roman" w:hAnsi="Times New Roman" w:cs="Times New Roman"/>
          <w:sz w:val="24"/>
          <w:szCs w:val="24"/>
        </w:rPr>
        <w:t xml:space="preserve"> análise, planejamento, implementação e controle. 5ª </w:t>
      </w:r>
      <w:proofErr w:type="spellStart"/>
      <w:r w:rsidRPr="008439DF">
        <w:rPr>
          <w:rFonts w:ascii="Times New Roman" w:hAnsi="Times New Roman" w:cs="Times New Roman"/>
          <w:sz w:val="24"/>
          <w:szCs w:val="24"/>
        </w:rPr>
        <w:t>ed</w:t>
      </w:r>
      <w:proofErr w:type="spellEnd"/>
      <w:r w:rsidRPr="008439DF">
        <w:rPr>
          <w:rFonts w:ascii="Times New Roman" w:hAnsi="Times New Roman" w:cs="Times New Roman"/>
          <w:sz w:val="24"/>
          <w:szCs w:val="24"/>
        </w:rPr>
        <w:t xml:space="preserve">, São Paulo: Atlas, 1998. </w:t>
      </w:r>
    </w:p>
    <w:p w14:paraId="2DB734A9"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686C02B2"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LOPES JÚNIOR, W. M.</w:t>
      </w:r>
      <w:r w:rsidRPr="008439DF">
        <w:rPr>
          <w:rFonts w:ascii="Times New Roman" w:hAnsi="Times New Roman" w:cs="Times New Roman"/>
          <w:sz w:val="24"/>
          <w:szCs w:val="24"/>
        </w:rPr>
        <w:t xml:space="preserve">; SANTOS, Regina Célia Bega. </w:t>
      </w:r>
      <w:r w:rsidRPr="007C4595">
        <w:rPr>
          <w:rFonts w:ascii="Times New Roman" w:hAnsi="Times New Roman" w:cs="Times New Roman"/>
          <w:b/>
          <w:bCs/>
          <w:sz w:val="24"/>
          <w:szCs w:val="24"/>
        </w:rPr>
        <w:t xml:space="preserve">Reprodução do espaço urbano e a discussão de novas centralidades. </w:t>
      </w:r>
      <w:r w:rsidRPr="008439DF">
        <w:rPr>
          <w:rFonts w:ascii="Times New Roman" w:hAnsi="Times New Roman" w:cs="Times New Roman"/>
          <w:sz w:val="24"/>
          <w:szCs w:val="24"/>
        </w:rPr>
        <w:t>R. RA E GA, Curitiba, n. 19, p. 107-123, 2010. Disponível em: &lt;https://revistas.ufpr.br/</w:t>
      </w:r>
      <w:proofErr w:type="spellStart"/>
      <w:r w:rsidRPr="008439DF">
        <w:rPr>
          <w:rFonts w:ascii="Times New Roman" w:hAnsi="Times New Roman" w:cs="Times New Roman"/>
          <w:sz w:val="24"/>
          <w:szCs w:val="24"/>
        </w:rPr>
        <w:t>raega</w:t>
      </w:r>
      <w:proofErr w:type="spellEnd"/>
      <w:r w:rsidRPr="008439DF">
        <w:rPr>
          <w:rFonts w:ascii="Times New Roman" w:hAnsi="Times New Roman" w:cs="Times New Roman"/>
          <w:sz w:val="24"/>
          <w:szCs w:val="24"/>
        </w:rPr>
        <w:t>/</w:t>
      </w:r>
      <w:proofErr w:type="spellStart"/>
      <w:r w:rsidRPr="008439DF">
        <w:rPr>
          <w:rFonts w:ascii="Times New Roman" w:hAnsi="Times New Roman" w:cs="Times New Roman"/>
          <w:sz w:val="24"/>
          <w:szCs w:val="24"/>
        </w:rPr>
        <w:t>article</w:t>
      </w:r>
      <w:proofErr w:type="spellEnd"/>
      <w:r w:rsidRPr="008439DF">
        <w:rPr>
          <w:rFonts w:ascii="Times New Roman" w:hAnsi="Times New Roman" w:cs="Times New Roman"/>
          <w:sz w:val="24"/>
          <w:szCs w:val="24"/>
        </w:rPr>
        <w:t>/</w:t>
      </w:r>
      <w:proofErr w:type="spellStart"/>
      <w:r w:rsidRPr="008439DF">
        <w:rPr>
          <w:rFonts w:ascii="Times New Roman" w:hAnsi="Times New Roman" w:cs="Times New Roman"/>
          <w:sz w:val="24"/>
          <w:szCs w:val="24"/>
        </w:rPr>
        <w:t>viewFile</w:t>
      </w:r>
      <w:proofErr w:type="spellEnd"/>
      <w:r w:rsidRPr="008439DF">
        <w:rPr>
          <w:rFonts w:ascii="Times New Roman" w:hAnsi="Times New Roman" w:cs="Times New Roman"/>
          <w:sz w:val="24"/>
          <w:szCs w:val="24"/>
        </w:rPr>
        <w:t xml:space="preserve">/14827/11418&gt; Acesso em 02/04/2020. </w:t>
      </w:r>
    </w:p>
    <w:p w14:paraId="12B05590"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11CF2233"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MELARA, </w:t>
      </w:r>
      <w:proofErr w:type="gramStart"/>
      <w:r>
        <w:rPr>
          <w:rFonts w:ascii="Times New Roman" w:hAnsi="Times New Roman" w:cs="Times New Roman"/>
          <w:sz w:val="24"/>
          <w:szCs w:val="24"/>
        </w:rPr>
        <w:t>E;SILVA</w:t>
      </w:r>
      <w:proofErr w:type="gramEnd"/>
      <w:r>
        <w:rPr>
          <w:rFonts w:ascii="Times New Roman" w:hAnsi="Times New Roman" w:cs="Times New Roman"/>
          <w:sz w:val="24"/>
          <w:szCs w:val="24"/>
        </w:rPr>
        <w:t>, W. R.</w:t>
      </w:r>
      <w:r w:rsidRPr="008439DF">
        <w:rPr>
          <w:rFonts w:ascii="Times New Roman" w:hAnsi="Times New Roman" w:cs="Times New Roman"/>
          <w:sz w:val="24"/>
          <w:szCs w:val="24"/>
        </w:rPr>
        <w:t xml:space="preserve"> da.</w:t>
      </w:r>
      <w:r>
        <w:rPr>
          <w:rFonts w:ascii="Times New Roman" w:hAnsi="Times New Roman" w:cs="Times New Roman"/>
          <w:sz w:val="24"/>
          <w:szCs w:val="24"/>
        </w:rPr>
        <w:t xml:space="preserve"> </w:t>
      </w:r>
      <w:r w:rsidRPr="007C4595">
        <w:rPr>
          <w:rFonts w:ascii="Times New Roman" w:hAnsi="Times New Roman" w:cs="Times New Roman"/>
          <w:b/>
          <w:bCs/>
          <w:sz w:val="24"/>
          <w:szCs w:val="24"/>
        </w:rPr>
        <w:t xml:space="preserve">Elementos para refletir sobre a </w:t>
      </w:r>
      <w:proofErr w:type="spellStart"/>
      <w:r w:rsidRPr="007C4595">
        <w:rPr>
          <w:rFonts w:ascii="Times New Roman" w:hAnsi="Times New Roman" w:cs="Times New Roman"/>
          <w:b/>
          <w:bCs/>
          <w:sz w:val="24"/>
          <w:szCs w:val="24"/>
        </w:rPr>
        <w:t>policentralidade</w:t>
      </w:r>
      <w:proofErr w:type="spellEnd"/>
      <w:r w:rsidRPr="007C4595">
        <w:rPr>
          <w:rFonts w:ascii="Times New Roman" w:hAnsi="Times New Roman" w:cs="Times New Roman"/>
          <w:b/>
          <w:bCs/>
          <w:sz w:val="24"/>
          <w:szCs w:val="24"/>
        </w:rPr>
        <w:t xml:space="preserve"> e a fragmentação urbana em cidades médias – Resende e Volta Redonda</w:t>
      </w:r>
      <w:r w:rsidRPr="008439DF">
        <w:rPr>
          <w:rFonts w:ascii="Times New Roman" w:hAnsi="Times New Roman" w:cs="Times New Roman"/>
          <w:sz w:val="24"/>
          <w:szCs w:val="24"/>
        </w:rPr>
        <w:t xml:space="preserve"> (RJ). Confins </w:t>
      </w:r>
      <w:proofErr w:type="gramStart"/>
      <w:r w:rsidRPr="008439DF">
        <w:rPr>
          <w:rFonts w:ascii="Times New Roman" w:hAnsi="Times New Roman" w:cs="Times New Roman"/>
          <w:sz w:val="24"/>
          <w:szCs w:val="24"/>
        </w:rPr>
        <w:t>[</w:t>
      </w:r>
      <w:proofErr w:type="spellStart"/>
      <w:r w:rsidRPr="008439DF">
        <w:rPr>
          <w:rFonts w:ascii="Times New Roman" w:hAnsi="Times New Roman" w:cs="Times New Roman"/>
          <w:sz w:val="24"/>
          <w:szCs w:val="24"/>
        </w:rPr>
        <w:t>On</w:t>
      </w:r>
      <w:proofErr w:type="spellEnd"/>
      <w:r w:rsidRPr="008439DF">
        <w:rPr>
          <w:rFonts w:ascii="Times New Roman" w:hAnsi="Times New Roman" w:cs="Times New Roman"/>
          <w:sz w:val="24"/>
          <w:szCs w:val="24"/>
        </w:rPr>
        <w:t xml:space="preserve"> </w:t>
      </w:r>
      <w:proofErr w:type="spellStart"/>
      <w:r w:rsidRPr="008439DF">
        <w:rPr>
          <w:rFonts w:ascii="Times New Roman" w:hAnsi="Times New Roman" w:cs="Times New Roman"/>
          <w:sz w:val="24"/>
          <w:szCs w:val="24"/>
        </w:rPr>
        <w:t>Line</w:t>
      </w:r>
      <w:proofErr w:type="spellEnd"/>
      <w:proofErr w:type="gramEnd"/>
      <w:r w:rsidRPr="008439DF">
        <w:rPr>
          <w:rFonts w:ascii="Times New Roman" w:hAnsi="Times New Roman" w:cs="Times New Roman"/>
          <w:sz w:val="24"/>
          <w:szCs w:val="24"/>
        </w:rPr>
        <w:t xml:space="preserve">], </w:t>
      </w:r>
    </w:p>
    <w:p w14:paraId="525FAA6F"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3B1A4F19"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NAPOLEÃO, </w:t>
      </w:r>
      <w:proofErr w:type="gramStart"/>
      <w:r>
        <w:rPr>
          <w:rFonts w:ascii="Times New Roman" w:hAnsi="Times New Roman" w:cs="Times New Roman"/>
          <w:sz w:val="24"/>
          <w:szCs w:val="24"/>
        </w:rPr>
        <w:t>T.</w:t>
      </w:r>
      <w:r w:rsidRPr="008439DF">
        <w:rPr>
          <w:rFonts w:ascii="Times New Roman" w:hAnsi="Times New Roman" w:cs="Times New Roman"/>
          <w:sz w:val="24"/>
          <w:szCs w:val="24"/>
        </w:rPr>
        <w:t>.</w:t>
      </w:r>
      <w:proofErr w:type="gramEnd"/>
      <w:r w:rsidRPr="008439DF">
        <w:rPr>
          <w:rFonts w:ascii="Times New Roman" w:hAnsi="Times New Roman" w:cs="Times New Roman"/>
          <w:sz w:val="24"/>
          <w:szCs w:val="24"/>
        </w:rPr>
        <w:t xml:space="preserve"> </w:t>
      </w:r>
      <w:r w:rsidRPr="008439DF">
        <w:rPr>
          <w:rFonts w:ascii="Times New Roman" w:hAnsi="Times New Roman" w:cs="Times New Roman"/>
          <w:b/>
          <w:bCs/>
          <w:sz w:val="24"/>
          <w:szCs w:val="24"/>
        </w:rPr>
        <w:t>A Influência do Layout de um "</w:t>
      </w:r>
      <w:proofErr w:type="spellStart"/>
      <w:r w:rsidRPr="008439DF">
        <w:rPr>
          <w:rFonts w:ascii="Times New Roman" w:hAnsi="Times New Roman" w:cs="Times New Roman"/>
          <w:b/>
          <w:bCs/>
          <w:sz w:val="24"/>
          <w:szCs w:val="24"/>
        </w:rPr>
        <w:t>Atacarejo</w:t>
      </w:r>
      <w:proofErr w:type="spellEnd"/>
      <w:r w:rsidRPr="008439DF">
        <w:rPr>
          <w:rFonts w:ascii="Times New Roman" w:hAnsi="Times New Roman" w:cs="Times New Roman"/>
          <w:b/>
          <w:bCs/>
          <w:sz w:val="24"/>
          <w:szCs w:val="24"/>
        </w:rPr>
        <w:t>" na Decisão de Compra do Consumidor</w:t>
      </w:r>
      <w:r w:rsidRPr="008439DF">
        <w:rPr>
          <w:rFonts w:ascii="Times New Roman" w:hAnsi="Times New Roman" w:cs="Times New Roman"/>
          <w:sz w:val="24"/>
          <w:szCs w:val="24"/>
        </w:rPr>
        <w:t>: Estudo realizado em uma loja da grande Florianópolis. UFSC, Florianópolis, 2017. Disponível em: https://repositorio.ufsc.br/handle/123456789/177013 Acesso em: 28/05/2022.</w:t>
      </w:r>
    </w:p>
    <w:p w14:paraId="7B5945B3"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2AD3D924"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PARENTE, </w:t>
      </w:r>
      <w:proofErr w:type="gramStart"/>
      <w:r>
        <w:rPr>
          <w:rFonts w:ascii="Times New Roman" w:hAnsi="Times New Roman" w:cs="Times New Roman"/>
          <w:sz w:val="24"/>
          <w:szCs w:val="24"/>
        </w:rPr>
        <w:t>J.</w:t>
      </w:r>
      <w:r w:rsidRPr="008439DF">
        <w:rPr>
          <w:rFonts w:ascii="Times New Roman" w:hAnsi="Times New Roman" w:cs="Times New Roman"/>
          <w:sz w:val="24"/>
          <w:szCs w:val="24"/>
        </w:rPr>
        <w:t>.</w:t>
      </w:r>
      <w:proofErr w:type="gramEnd"/>
      <w:r w:rsidRPr="008439DF">
        <w:rPr>
          <w:rFonts w:ascii="Times New Roman" w:hAnsi="Times New Roman" w:cs="Times New Roman"/>
          <w:sz w:val="24"/>
          <w:szCs w:val="24"/>
        </w:rPr>
        <w:t xml:space="preserve"> Varejo no Brasil: gestão e estratégia. São Paulo: Atlas, 2000.</w:t>
      </w:r>
    </w:p>
    <w:p w14:paraId="1C3E1053"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1404F641"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Parente, J., </w:t>
      </w:r>
      <w:proofErr w:type="spellStart"/>
      <w:r w:rsidRPr="008439DF">
        <w:rPr>
          <w:rFonts w:ascii="Times New Roman" w:hAnsi="Times New Roman" w:cs="Times New Roman"/>
          <w:sz w:val="24"/>
          <w:szCs w:val="24"/>
        </w:rPr>
        <w:t>Barki</w:t>
      </w:r>
      <w:proofErr w:type="spellEnd"/>
      <w:r w:rsidRPr="008439DF">
        <w:rPr>
          <w:rFonts w:ascii="Times New Roman" w:hAnsi="Times New Roman" w:cs="Times New Roman"/>
          <w:sz w:val="24"/>
          <w:szCs w:val="24"/>
        </w:rPr>
        <w:t xml:space="preserve"> R., &amp; Kato T. </w:t>
      </w:r>
      <w:r w:rsidRPr="007C4595">
        <w:rPr>
          <w:rFonts w:ascii="Times New Roman" w:hAnsi="Times New Roman" w:cs="Times New Roman"/>
          <w:b/>
          <w:bCs/>
          <w:sz w:val="24"/>
          <w:szCs w:val="24"/>
        </w:rPr>
        <w:t>Varejo para a baixa renda.</w:t>
      </w:r>
      <w:r w:rsidRPr="008439DF">
        <w:rPr>
          <w:rFonts w:ascii="Times New Roman" w:hAnsi="Times New Roman" w:cs="Times New Roman"/>
          <w:sz w:val="24"/>
          <w:szCs w:val="24"/>
        </w:rPr>
        <w:t xml:space="preserve"> Porto Alegre, RS:</w:t>
      </w:r>
    </w:p>
    <w:p w14:paraId="1D67D4A3"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Bookman, 2005.</w:t>
      </w:r>
    </w:p>
    <w:p w14:paraId="33552D75"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65BDBCD7"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PERES. J; MARTIOLI.V. </w:t>
      </w:r>
      <w:r w:rsidRPr="00A42E5B">
        <w:rPr>
          <w:rFonts w:ascii="Times New Roman" w:hAnsi="Times New Roman" w:cs="Times New Roman"/>
          <w:b/>
          <w:bCs/>
          <w:sz w:val="24"/>
          <w:szCs w:val="24"/>
        </w:rPr>
        <w:t>Donos do mercado:</w:t>
      </w:r>
      <w:r w:rsidRPr="008439DF">
        <w:rPr>
          <w:rFonts w:ascii="Times New Roman" w:hAnsi="Times New Roman" w:cs="Times New Roman"/>
          <w:sz w:val="24"/>
          <w:szCs w:val="24"/>
        </w:rPr>
        <w:t xml:space="preserve"> como os grandes supermercados exploram trabalhadores, fornecedores e a sociedade. São Paulo: Editora Elefante, 2020.</w:t>
      </w:r>
    </w:p>
    <w:p w14:paraId="3B026E0E"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6744E2C7"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SANT</w:t>
      </w:r>
      <w:r>
        <w:rPr>
          <w:rFonts w:ascii="Times New Roman" w:hAnsi="Times New Roman" w:cs="Times New Roman"/>
          <w:sz w:val="24"/>
          <w:szCs w:val="24"/>
        </w:rPr>
        <w:t>OS, M</w:t>
      </w:r>
      <w:r w:rsidRPr="008439DF">
        <w:rPr>
          <w:rFonts w:ascii="Times New Roman" w:hAnsi="Times New Roman" w:cs="Times New Roman"/>
          <w:sz w:val="24"/>
          <w:szCs w:val="24"/>
        </w:rPr>
        <w:t xml:space="preserve">. </w:t>
      </w:r>
      <w:r w:rsidRPr="00A42E5B">
        <w:rPr>
          <w:rFonts w:ascii="Times New Roman" w:hAnsi="Times New Roman" w:cs="Times New Roman"/>
          <w:b/>
          <w:bCs/>
          <w:sz w:val="24"/>
          <w:szCs w:val="24"/>
        </w:rPr>
        <w:t>Por uma outra globalização:</w:t>
      </w:r>
      <w:r w:rsidRPr="008439DF">
        <w:rPr>
          <w:rFonts w:ascii="Times New Roman" w:hAnsi="Times New Roman" w:cs="Times New Roman"/>
          <w:sz w:val="24"/>
          <w:szCs w:val="24"/>
        </w:rPr>
        <w:t xml:space="preserve"> do pensamento único a consciência universal. 19ª Ed; Rio de Janeiro: Record, 2010.</w:t>
      </w:r>
    </w:p>
    <w:p w14:paraId="58BCE85F"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622B7CEB"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roofErr w:type="gramStart"/>
      <w:r w:rsidRPr="008439DF">
        <w:rPr>
          <w:rFonts w:ascii="Times New Roman" w:hAnsi="Times New Roman" w:cs="Times New Roman"/>
          <w:sz w:val="24"/>
          <w:szCs w:val="24"/>
        </w:rPr>
        <w:t>SANTOS,M.</w:t>
      </w:r>
      <w:proofErr w:type="gramEnd"/>
      <w:r w:rsidRPr="008439DF">
        <w:rPr>
          <w:rFonts w:ascii="Times New Roman" w:hAnsi="Times New Roman" w:cs="Times New Roman"/>
          <w:sz w:val="24"/>
          <w:szCs w:val="24"/>
        </w:rPr>
        <w:t xml:space="preserve"> </w:t>
      </w:r>
      <w:r w:rsidRPr="00A42E5B">
        <w:rPr>
          <w:rFonts w:ascii="Times New Roman" w:hAnsi="Times New Roman" w:cs="Times New Roman"/>
          <w:b/>
          <w:bCs/>
          <w:sz w:val="24"/>
          <w:szCs w:val="24"/>
        </w:rPr>
        <w:t>Técnica, espaço, tempo:</w:t>
      </w:r>
      <w:r w:rsidRPr="008439DF">
        <w:rPr>
          <w:rFonts w:ascii="Times New Roman" w:hAnsi="Times New Roman" w:cs="Times New Roman"/>
          <w:sz w:val="24"/>
          <w:szCs w:val="24"/>
        </w:rPr>
        <w:t xml:space="preserve"> globalização e meio técnico-cientifico informacional. SP: </w:t>
      </w:r>
      <w:proofErr w:type="spellStart"/>
      <w:r w:rsidRPr="008439DF">
        <w:rPr>
          <w:rFonts w:ascii="Times New Roman" w:hAnsi="Times New Roman" w:cs="Times New Roman"/>
          <w:sz w:val="24"/>
          <w:szCs w:val="24"/>
        </w:rPr>
        <w:t>Hucitec</w:t>
      </w:r>
      <w:proofErr w:type="spellEnd"/>
      <w:r w:rsidRPr="008439DF">
        <w:rPr>
          <w:rFonts w:ascii="Times New Roman" w:hAnsi="Times New Roman" w:cs="Times New Roman"/>
          <w:sz w:val="24"/>
          <w:szCs w:val="24"/>
        </w:rPr>
        <w:t>, 1994.</w:t>
      </w:r>
    </w:p>
    <w:p w14:paraId="39643F9A"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55E8D6ED"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SANTOS, M.; SILVEIRA, M. L</w:t>
      </w:r>
      <w:r w:rsidRPr="008439DF">
        <w:rPr>
          <w:rFonts w:ascii="Times New Roman" w:hAnsi="Times New Roman" w:cs="Times New Roman"/>
          <w:sz w:val="24"/>
          <w:szCs w:val="24"/>
        </w:rPr>
        <w:t xml:space="preserve">. </w:t>
      </w:r>
      <w:r w:rsidRPr="007C4595">
        <w:rPr>
          <w:rFonts w:ascii="Times New Roman" w:hAnsi="Times New Roman" w:cs="Times New Roman"/>
          <w:b/>
          <w:bCs/>
          <w:sz w:val="24"/>
          <w:szCs w:val="24"/>
        </w:rPr>
        <w:t>O Brasil.</w:t>
      </w:r>
      <w:r w:rsidRPr="008439DF">
        <w:rPr>
          <w:rFonts w:ascii="Times New Roman" w:hAnsi="Times New Roman" w:cs="Times New Roman"/>
          <w:sz w:val="24"/>
          <w:szCs w:val="24"/>
        </w:rPr>
        <w:t xml:space="preserve"> Território e Sociedade no início do século 21. Rio de Janeiro: Record, 2001 </w:t>
      </w:r>
    </w:p>
    <w:p w14:paraId="608A3616"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p>
    <w:p w14:paraId="3149CABA" w14:textId="77777777" w:rsidR="00D17B2B"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TUON, F</w:t>
      </w:r>
      <w:r>
        <w:rPr>
          <w:rFonts w:ascii="Times New Roman" w:hAnsi="Times New Roman" w:cs="Times New Roman"/>
          <w:sz w:val="24"/>
          <w:szCs w:val="24"/>
        </w:rPr>
        <w:t>.</w:t>
      </w:r>
      <w:r w:rsidRPr="008439DF">
        <w:rPr>
          <w:rFonts w:ascii="Times New Roman" w:hAnsi="Times New Roman" w:cs="Times New Roman"/>
          <w:sz w:val="24"/>
          <w:szCs w:val="24"/>
        </w:rPr>
        <w:t xml:space="preserve">; MOISES, M.; MINADEO, R. </w:t>
      </w:r>
      <w:r w:rsidRPr="008439DF">
        <w:rPr>
          <w:rFonts w:ascii="Times New Roman" w:hAnsi="Times New Roman" w:cs="Times New Roman"/>
          <w:b/>
          <w:bCs/>
          <w:sz w:val="24"/>
          <w:szCs w:val="24"/>
        </w:rPr>
        <w:t>ATACAREJO</w:t>
      </w:r>
      <w:r w:rsidRPr="008439DF">
        <w:rPr>
          <w:rFonts w:ascii="Times New Roman" w:hAnsi="Times New Roman" w:cs="Times New Roman"/>
          <w:sz w:val="24"/>
          <w:szCs w:val="24"/>
        </w:rPr>
        <w:t xml:space="preserve">: tendência que veio para ficar ou mero modismo? In: 8º </w:t>
      </w:r>
      <w:proofErr w:type="spellStart"/>
      <w:r w:rsidRPr="008439DF">
        <w:rPr>
          <w:rFonts w:ascii="Times New Roman" w:hAnsi="Times New Roman" w:cs="Times New Roman"/>
          <w:sz w:val="24"/>
          <w:szCs w:val="24"/>
        </w:rPr>
        <w:t>Convibra</w:t>
      </w:r>
      <w:proofErr w:type="spellEnd"/>
      <w:r w:rsidRPr="008439DF">
        <w:rPr>
          <w:rFonts w:ascii="Times New Roman" w:hAnsi="Times New Roman" w:cs="Times New Roman"/>
          <w:sz w:val="24"/>
          <w:szCs w:val="24"/>
        </w:rPr>
        <w:t xml:space="preserve"> Administração, 2011. Disponível em: https://www.researchgate.net/publication/260350655_ATACAREJO_tendencia_que_veio_para_ficar_ou_mero_modismo Acesso em: 28/05/2022.</w:t>
      </w:r>
    </w:p>
    <w:p w14:paraId="76F30826"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648C9E0D"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REVISTA ABAAS. São Paulo: </w:t>
      </w:r>
      <w:proofErr w:type="spellStart"/>
      <w:r w:rsidRPr="008439DF">
        <w:rPr>
          <w:rFonts w:ascii="Times New Roman" w:hAnsi="Times New Roman" w:cs="Times New Roman"/>
          <w:sz w:val="24"/>
          <w:szCs w:val="24"/>
        </w:rPr>
        <w:t>Abaas</w:t>
      </w:r>
      <w:proofErr w:type="spellEnd"/>
      <w:r w:rsidRPr="008439DF">
        <w:rPr>
          <w:rFonts w:ascii="Times New Roman" w:hAnsi="Times New Roman" w:cs="Times New Roman"/>
          <w:sz w:val="24"/>
          <w:szCs w:val="24"/>
        </w:rPr>
        <w:t>, n. 1, dez. 2016. Disponível em: https://abaas.com.br/revista-n1/. Acesso em: 30/05/2022.</w:t>
      </w:r>
    </w:p>
    <w:p w14:paraId="0198497E"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4A482869"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REVISTA</w:t>
      </w:r>
      <w:r>
        <w:rPr>
          <w:rFonts w:ascii="Times New Roman" w:hAnsi="Times New Roman" w:cs="Times New Roman"/>
          <w:sz w:val="24"/>
          <w:szCs w:val="24"/>
        </w:rPr>
        <w:t xml:space="preserve"> </w:t>
      </w:r>
      <w:r w:rsidRPr="008439DF">
        <w:rPr>
          <w:rFonts w:ascii="Times New Roman" w:hAnsi="Times New Roman" w:cs="Times New Roman"/>
          <w:sz w:val="24"/>
          <w:szCs w:val="24"/>
        </w:rPr>
        <w:t xml:space="preserve">ABAAS. São Paulo: </w:t>
      </w:r>
      <w:proofErr w:type="spellStart"/>
      <w:r w:rsidRPr="008439DF">
        <w:rPr>
          <w:rFonts w:ascii="Times New Roman" w:hAnsi="Times New Roman" w:cs="Times New Roman"/>
          <w:sz w:val="24"/>
          <w:szCs w:val="24"/>
        </w:rPr>
        <w:t>Abaas</w:t>
      </w:r>
      <w:proofErr w:type="spellEnd"/>
      <w:r w:rsidRPr="008439DF">
        <w:rPr>
          <w:rFonts w:ascii="Times New Roman" w:hAnsi="Times New Roman" w:cs="Times New Roman"/>
          <w:sz w:val="24"/>
          <w:szCs w:val="24"/>
        </w:rPr>
        <w:t>, n.</w:t>
      </w:r>
      <w:r>
        <w:rPr>
          <w:rFonts w:ascii="Times New Roman" w:hAnsi="Times New Roman" w:cs="Times New Roman"/>
          <w:sz w:val="24"/>
          <w:szCs w:val="24"/>
        </w:rPr>
        <w:t xml:space="preserve"> </w:t>
      </w:r>
      <w:r w:rsidRPr="008439DF">
        <w:rPr>
          <w:rFonts w:ascii="Times New Roman" w:hAnsi="Times New Roman" w:cs="Times New Roman"/>
          <w:sz w:val="24"/>
          <w:szCs w:val="24"/>
        </w:rPr>
        <w:t>2, mai. 2017A. Disponível em: https://abaas.com.br/revista-n2/. Acesso em: 30/05/2022.</w:t>
      </w:r>
    </w:p>
    <w:p w14:paraId="4D43227B"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238EA1ED"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REVISTA ABAAS. São Paulo: </w:t>
      </w:r>
      <w:proofErr w:type="spellStart"/>
      <w:r w:rsidRPr="008439DF">
        <w:rPr>
          <w:rFonts w:ascii="Times New Roman" w:hAnsi="Times New Roman" w:cs="Times New Roman"/>
          <w:sz w:val="24"/>
          <w:szCs w:val="24"/>
        </w:rPr>
        <w:t>Abaas</w:t>
      </w:r>
      <w:proofErr w:type="spellEnd"/>
      <w:r w:rsidRPr="008439DF">
        <w:rPr>
          <w:rFonts w:ascii="Times New Roman" w:hAnsi="Times New Roman" w:cs="Times New Roman"/>
          <w:sz w:val="24"/>
          <w:szCs w:val="24"/>
        </w:rPr>
        <w:t xml:space="preserve">, n.3, </w:t>
      </w:r>
      <w:proofErr w:type="spellStart"/>
      <w:r w:rsidRPr="008439DF">
        <w:rPr>
          <w:rFonts w:ascii="Times New Roman" w:hAnsi="Times New Roman" w:cs="Times New Roman"/>
          <w:sz w:val="24"/>
          <w:szCs w:val="24"/>
        </w:rPr>
        <w:t>Ago</w:t>
      </w:r>
      <w:proofErr w:type="spellEnd"/>
      <w:r w:rsidRPr="008439DF">
        <w:rPr>
          <w:rFonts w:ascii="Times New Roman" w:hAnsi="Times New Roman" w:cs="Times New Roman"/>
          <w:sz w:val="24"/>
          <w:szCs w:val="24"/>
        </w:rPr>
        <w:t>/set. 2017B. Disponível em: https://abaas.com.br/revista-n3/. Acesso em: 30/05/2022.</w:t>
      </w:r>
    </w:p>
    <w:p w14:paraId="31E6C163"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7C95C6F5"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REVISTA ABAAS. São Paulo: </w:t>
      </w:r>
      <w:proofErr w:type="spellStart"/>
      <w:r w:rsidRPr="008439DF">
        <w:rPr>
          <w:rFonts w:ascii="Times New Roman" w:hAnsi="Times New Roman" w:cs="Times New Roman"/>
          <w:sz w:val="24"/>
          <w:szCs w:val="24"/>
        </w:rPr>
        <w:t>Abaas</w:t>
      </w:r>
      <w:proofErr w:type="spellEnd"/>
      <w:r w:rsidRPr="008439DF">
        <w:rPr>
          <w:rFonts w:ascii="Times New Roman" w:hAnsi="Times New Roman" w:cs="Times New Roman"/>
          <w:sz w:val="24"/>
          <w:szCs w:val="24"/>
        </w:rPr>
        <w:t>, n.4, dez. 2017C. Disponível em: https://abaas.com.br/revista-n4/. Acesso em: 30/05/2022.</w:t>
      </w:r>
    </w:p>
    <w:p w14:paraId="18FE9699"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79E42D24"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REVISTA ABAAS. São Paulo: </w:t>
      </w:r>
      <w:proofErr w:type="spellStart"/>
      <w:r w:rsidRPr="008439DF">
        <w:rPr>
          <w:rFonts w:ascii="Times New Roman" w:hAnsi="Times New Roman" w:cs="Times New Roman"/>
          <w:sz w:val="24"/>
          <w:szCs w:val="24"/>
        </w:rPr>
        <w:t>Abaas</w:t>
      </w:r>
      <w:proofErr w:type="spellEnd"/>
      <w:r w:rsidRPr="008439DF">
        <w:rPr>
          <w:rFonts w:ascii="Times New Roman" w:hAnsi="Times New Roman" w:cs="Times New Roman"/>
          <w:sz w:val="24"/>
          <w:szCs w:val="24"/>
        </w:rPr>
        <w:t>, n. 5, mar. 2018A. Disponível em: https://abaas.com.br/revista-n5/. Acesso em: 30/05/2022.</w:t>
      </w:r>
    </w:p>
    <w:p w14:paraId="41A4BBCF"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67C5C63E"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REVISTA ABAAS. São Paulo: </w:t>
      </w:r>
      <w:proofErr w:type="spellStart"/>
      <w:r w:rsidRPr="008439DF">
        <w:rPr>
          <w:rFonts w:ascii="Times New Roman" w:hAnsi="Times New Roman" w:cs="Times New Roman"/>
          <w:sz w:val="24"/>
          <w:szCs w:val="24"/>
        </w:rPr>
        <w:t>Abaas</w:t>
      </w:r>
      <w:proofErr w:type="spellEnd"/>
      <w:r w:rsidRPr="008439DF">
        <w:rPr>
          <w:rFonts w:ascii="Times New Roman" w:hAnsi="Times New Roman" w:cs="Times New Roman"/>
          <w:sz w:val="24"/>
          <w:szCs w:val="24"/>
        </w:rPr>
        <w:t>, n.6, set. 2018B. Disponível em: https://abaas.com.br/revista-n6/. Acesso em: 3/05/2022.</w:t>
      </w:r>
    </w:p>
    <w:p w14:paraId="295334C2"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781BB018"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REVISTA ABAAS. São Paulo: </w:t>
      </w:r>
      <w:proofErr w:type="spellStart"/>
      <w:r w:rsidRPr="008439DF">
        <w:rPr>
          <w:rFonts w:ascii="Times New Roman" w:hAnsi="Times New Roman" w:cs="Times New Roman"/>
          <w:sz w:val="24"/>
          <w:szCs w:val="24"/>
        </w:rPr>
        <w:t>Abaas</w:t>
      </w:r>
      <w:proofErr w:type="spellEnd"/>
      <w:r w:rsidRPr="008439DF">
        <w:rPr>
          <w:rFonts w:ascii="Times New Roman" w:hAnsi="Times New Roman" w:cs="Times New Roman"/>
          <w:sz w:val="24"/>
          <w:szCs w:val="24"/>
        </w:rPr>
        <w:t>, n.7, out. 2018C. Disponível em: https://abaas.com.br/revista-n7/. Acesso em: 30/05/2022.</w:t>
      </w:r>
    </w:p>
    <w:p w14:paraId="593F7CB5"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73A00C7C"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REVISTA ABAAS. São Paulo: </w:t>
      </w:r>
      <w:proofErr w:type="spellStart"/>
      <w:r w:rsidRPr="008439DF">
        <w:rPr>
          <w:rFonts w:ascii="Times New Roman" w:hAnsi="Times New Roman" w:cs="Times New Roman"/>
          <w:sz w:val="24"/>
          <w:szCs w:val="24"/>
        </w:rPr>
        <w:t>Abaas</w:t>
      </w:r>
      <w:proofErr w:type="spellEnd"/>
      <w:r w:rsidRPr="008439DF">
        <w:rPr>
          <w:rFonts w:ascii="Times New Roman" w:hAnsi="Times New Roman" w:cs="Times New Roman"/>
          <w:sz w:val="24"/>
          <w:szCs w:val="24"/>
        </w:rPr>
        <w:t xml:space="preserve">, n.8, </w:t>
      </w:r>
      <w:proofErr w:type="gramStart"/>
      <w:r w:rsidRPr="008439DF">
        <w:rPr>
          <w:rFonts w:ascii="Times New Roman" w:hAnsi="Times New Roman" w:cs="Times New Roman"/>
          <w:sz w:val="24"/>
          <w:szCs w:val="24"/>
        </w:rPr>
        <w:t>Jul.</w:t>
      </w:r>
      <w:proofErr w:type="gramEnd"/>
      <w:r w:rsidRPr="008439DF">
        <w:rPr>
          <w:rFonts w:ascii="Times New Roman" w:hAnsi="Times New Roman" w:cs="Times New Roman"/>
          <w:sz w:val="24"/>
          <w:szCs w:val="24"/>
        </w:rPr>
        <w:t xml:space="preserve"> 2019. Disponível em: https://abaas.com.br/revista-n8/. Acesso em: 30/05/2022.</w:t>
      </w:r>
    </w:p>
    <w:p w14:paraId="5E0BDDFE"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08503750"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REVISTA ABAAS. São Paulo: </w:t>
      </w:r>
      <w:proofErr w:type="spellStart"/>
      <w:r w:rsidRPr="008439DF">
        <w:rPr>
          <w:rFonts w:ascii="Times New Roman" w:hAnsi="Times New Roman" w:cs="Times New Roman"/>
          <w:sz w:val="24"/>
          <w:szCs w:val="24"/>
        </w:rPr>
        <w:t>Abaas</w:t>
      </w:r>
      <w:proofErr w:type="spellEnd"/>
      <w:r w:rsidRPr="008439DF">
        <w:rPr>
          <w:rFonts w:ascii="Times New Roman" w:hAnsi="Times New Roman" w:cs="Times New Roman"/>
          <w:sz w:val="24"/>
          <w:szCs w:val="24"/>
        </w:rPr>
        <w:t>, n.10, mar. 2020A. Disponível em: https://abaas.com.br/revista-10/. Acesso em: 30/05/2022.</w:t>
      </w:r>
    </w:p>
    <w:p w14:paraId="0866A9F8"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65934185"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REVISTA ABAAS. São Paulo: </w:t>
      </w:r>
      <w:proofErr w:type="spellStart"/>
      <w:r w:rsidRPr="008439DF">
        <w:rPr>
          <w:rFonts w:ascii="Times New Roman" w:hAnsi="Times New Roman" w:cs="Times New Roman"/>
          <w:sz w:val="24"/>
          <w:szCs w:val="24"/>
        </w:rPr>
        <w:t>Abaas</w:t>
      </w:r>
      <w:proofErr w:type="spellEnd"/>
      <w:r w:rsidRPr="008439DF">
        <w:rPr>
          <w:rFonts w:ascii="Times New Roman" w:hAnsi="Times New Roman" w:cs="Times New Roman"/>
          <w:sz w:val="24"/>
          <w:szCs w:val="24"/>
        </w:rPr>
        <w:t>, n.11, dez. 2020B. Disponível em: https://abaas.com.br/revista-11/. Acesso em: 30/05/2022.</w:t>
      </w:r>
    </w:p>
    <w:p w14:paraId="5D456E85"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p>
    <w:p w14:paraId="4BADD109" w14:textId="77777777" w:rsidR="00D17B2B" w:rsidRPr="008439DF" w:rsidRDefault="00D17B2B" w:rsidP="00D17B2B">
      <w:pPr>
        <w:autoSpaceDE w:val="0"/>
        <w:autoSpaceDN w:val="0"/>
        <w:adjustRightInd w:val="0"/>
        <w:spacing w:after="0" w:line="240" w:lineRule="auto"/>
        <w:rPr>
          <w:rFonts w:ascii="Times New Roman" w:hAnsi="Times New Roman" w:cs="Times New Roman"/>
          <w:sz w:val="24"/>
          <w:szCs w:val="24"/>
        </w:rPr>
      </w:pPr>
      <w:r w:rsidRPr="008439DF">
        <w:rPr>
          <w:rFonts w:ascii="Times New Roman" w:hAnsi="Times New Roman" w:cs="Times New Roman"/>
          <w:sz w:val="24"/>
          <w:szCs w:val="24"/>
        </w:rPr>
        <w:t xml:space="preserve">REVISTA ABAAS. São Paulo: </w:t>
      </w:r>
      <w:proofErr w:type="spellStart"/>
      <w:r w:rsidRPr="008439DF">
        <w:rPr>
          <w:rFonts w:ascii="Times New Roman" w:hAnsi="Times New Roman" w:cs="Times New Roman"/>
          <w:sz w:val="24"/>
          <w:szCs w:val="24"/>
        </w:rPr>
        <w:t>Abaas</w:t>
      </w:r>
      <w:proofErr w:type="spellEnd"/>
      <w:r w:rsidRPr="008439DF">
        <w:rPr>
          <w:rFonts w:ascii="Times New Roman" w:hAnsi="Times New Roman" w:cs="Times New Roman"/>
          <w:sz w:val="24"/>
          <w:szCs w:val="24"/>
        </w:rPr>
        <w:t xml:space="preserve">, n.13, mar. 2022. Disponível em: </w:t>
      </w:r>
      <w:hyperlink r:id="rId15" w:history="1">
        <w:r w:rsidRPr="00A93D3B">
          <w:rPr>
            <w:rFonts w:ascii="Times New Roman" w:hAnsi="Times New Roman" w:cs="Times New Roman"/>
            <w:color w:val="000000" w:themeColor="text1"/>
            <w:sz w:val="24"/>
            <w:szCs w:val="24"/>
          </w:rPr>
          <w:t>https://abaas.com.br/revista-13/</w:t>
        </w:r>
      </w:hyperlink>
      <w:r w:rsidRPr="00A93D3B">
        <w:rPr>
          <w:rFonts w:ascii="Times New Roman" w:hAnsi="Times New Roman" w:cs="Times New Roman"/>
          <w:color w:val="000000" w:themeColor="text1"/>
          <w:sz w:val="24"/>
          <w:szCs w:val="24"/>
        </w:rPr>
        <w:t xml:space="preserve">. </w:t>
      </w:r>
      <w:r w:rsidRPr="008439DF">
        <w:rPr>
          <w:rFonts w:ascii="Times New Roman" w:hAnsi="Times New Roman" w:cs="Times New Roman"/>
          <w:sz w:val="24"/>
          <w:szCs w:val="24"/>
        </w:rPr>
        <w:t>Acesso em: 30/05/2022.</w:t>
      </w:r>
    </w:p>
    <w:p w14:paraId="3A188A3D" w14:textId="77777777" w:rsidR="002617CD" w:rsidRDefault="002617CD">
      <w:pPr>
        <w:spacing w:after="0" w:line="240" w:lineRule="auto"/>
        <w:jc w:val="both"/>
        <w:rPr>
          <w:rFonts w:ascii="Times New Roman" w:hAnsi="Times New Roman" w:cs="Times New Roman"/>
          <w:sz w:val="24"/>
          <w:szCs w:val="24"/>
        </w:rPr>
      </w:pPr>
    </w:p>
    <w:p w14:paraId="5A7C12BC" w14:textId="77777777" w:rsidR="002617CD" w:rsidRDefault="002617CD">
      <w:pPr>
        <w:spacing w:after="0" w:line="240" w:lineRule="auto"/>
        <w:jc w:val="both"/>
        <w:rPr>
          <w:rFonts w:ascii="Times New Roman" w:hAnsi="Times New Roman" w:cs="Times New Roman"/>
          <w:sz w:val="24"/>
          <w:szCs w:val="24"/>
        </w:rPr>
      </w:pPr>
    </w:p>
    <w:p w14:paraId="64E7A890" w14:textId="77777777" w:rsidR="002617CD" w:rsidRDefault="002617CD">
      <w:pPr>
        <w:spacing w:after="0" w:line="360" w:lineRule="auto"/>
        <w:jc w:val="both"/>
        <w:rPr>
          <w:rFonts w:ascii="Times New Roman" w:hAnsi="Times New Roman" w:cs="Times New Roman"/>
          <w:sz w:val="24"/>
          <w:szCs w:val="24"/>
        </w:rPr>
      </w:pPr>
    </w:p>
    <w:p w14:paraId="263A763A" w14:textId="77777777" w:rsidR="002617CD" w:rsidRDefault="00FA66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2BD667B6" w14:textId="77777777" w:rsidR="002617CD" w:rsidRDefault="002617CD">
      <w:pPr>
        <w:spacing w:after="0" w:line="360" w:lineRule="auto"/>
        <w:jc w:val="both"/>
        <w:rPr>
          <w:rFonts w:ascii="Times New Roman" w:hAnsi="Times New Roman" w:cs="Times New Roman"/>
          <w:sz w:val="24"/>
          <w:szCs w:val="24"/>
        </w:rPr>
      </w:pPr>
    </w:p>
    <w:p w14:paraId="5B558662" w14:textId="77777777" w:rsidR="002617CD" w:rsidRDefault="002617CD">
      <w:pPr>
        <w:spacing w:after="0" w:line="360" w:lineRule="auto"/>
        <w:jc w:val="both"/>
        <w:rPr>
          <w:rFonts w:ascii="Times New Roman" w:hAnsi="Times New Roman" w:cs="Times New Roman"/>
          <w:sz w:val="24"/>
          <w:szCs w:val="24"/>
        </w:rPr>
      </w:pPr>
    </w:p>
    <w:p w14:paraId="7B115290" w14:textId="77777777" w:rsidR="002617CD" w:rsidRDefault="002617CD">
      <w:pPr>
        <w:spacing w:after="0" w:line="360" w:lineRule="auto"/>
        <w:jc w:val="both"/>
        <w:rPr>
          <w:rFonts w:ascii="Times New Roman" w:hAnsi="Times New Roman" w:cs="Times New Roman"/>
          <w:sz w:val="24"/>
          <w:szCs w:val="24"/>
        </w:rPr>
      </w:pPr>
    </w:p>
    <w:p w14:paraId="62994CE8" w14:textId="77777777" w:rsidR="002617CD" w:rsidRDefault="002617CD">
      <w:pPr>
        <w:spacing w:after="0" w:line="360" w:lineRule="auto"/>
        <w:jc w:val="both"/>
        <w:rPr>
          <w:rFonts w:ascii="Times New Roman" w:hAnsi="Times New Roman" w:cs="Times New Roman"/>
          <w:sz w:val="24"/>
          <w:szCs w:val="24"/>
        </w:rPr>
      </w:pPr>
    </w:p>
    <w:p w14:paraId="2E283E05" w14:textId="77777777" w:rsidR="002617CD" w:rsidRDefault="002617CD">
      <w:pPr>
        <w:spacing w:after="0" w:line="360" w:lineRule="auto"/>
        <w:jc w:val="both"/>
        <w:rPr>
          <w:rFonts w:ascii="Times New Roman" w:hAnsi="Times New Roman" w:cs="Times New Roman"/>
          <w:sz w:val="24"/>
          <w:szCs w:val="24"/>
        </w:rPr>
      </w:pPr>
    </w:p>
    <w:p w14:paraId="58E00235" w14:textId="77777777" w:rsidR="002617CD" w:rsidRDefault="002617CD">
      <w:pPr>
        <w:spacing w:after="0" w:line="360" w:lineRule="auto"/>
        <w:jc w:val="both"/>
        <w:rPr>
          <w:rFonts w:ascii="Times New Roman" w:hAnsi="Times New Roman" w:cs="Times New Roman"/>
          <w:sz w:val="24"/>
          <w:szCs w:val="24"/>
        </w:rPr>
      </w:pPr>
    </w:p>
    <w:p w14:paraId="24C19488" w14:textId="77777777" w:rsidR="002617CD" w:rsidRDefault="002617CD">
      <w:pPr>
        <w:spacing w:after="0" w:line="360" w:lineRule="auto"/>
        <w:jc w:val="both"/>
        <w:rPr>
          <w:rFonts w:ascii="Times New Roman" w:hAnsi="Times New Roman" w:cs="Times New Roman"/>
          <w:sz w:val="24"/>
          <w:szCs w:val="24"/>
        </w:rPr>
      </w:pPr>
    </w:p>
    <w:p w14:paraId="316BE0C0" w14:textId="77777777" w:rsidR="002617CD" w:rsidRDefault="002617CD">
      <w:pPr>
        <w:tabs>
          <w:tab w:val="left" w:pos="4820"/>
        </w:tabs>
        <w:spacing w:after="0" w:line="360" w:lineRule="auto"/>
        <w:jc w:val="both"/>
        <w:rPr>
          <w:rFonts w:ascii="Times New Roman" w:hAnsi="Times New Roman" w:cs="Times New Roman"/>
          <w:sz w:val="24"/>
          <w:szCs w:val="24"/>
        </w:rPr>
      </w:pPr>
    </w:p>
    <w:p w14:paraId="1299FA33" w14:textId="77777777" w:rsidR="002617CD" w:rsidRDefault="002617CD">
      <w:pPr>
        <w:spacing w:after="0" w:line="360" w:lineRule="auto"/>
        <w:jc w:val="both"/>
        <w:rPr>
          <w:rFonts w:ascii="Times New Roman" w:hAnsi="Times New Roman" w:cs="Times New Roman"/>
          <w:sz w:val="24"/>
          <w:szCs w:val="24"/>
        </w:rPr>
      </w:pPr>
    </w:p>
    <w:sectPr w:rsidR="002617CD">
      <w:headerReference w:type="default" r:id="rId16"/>
      <w:footerReference w:type="default" r:id="rId17"/>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51BA1" w14:textId="77777777" w:rsidR="00AB202F" w:rsidRDefault="00AB202F">
      <w:pPr>
        <w:spacing w:line="240" w:lineRule="auto"/>
      </w:pPr>
      <w:r>
        <w:separator/>
      </w:r>
    </w:p>
  </w:endnote>
  <w:endnote w:type="continuationSeparator" w:id="0">
    <w:p w14:paraId="2757C647" w14:textId="77777777" w:rsidR="00AB202F" w:rsidRDefault="00AB20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AE446" w14:textId="77777777" w:rsidR="002617CD" w:rsidRDefault="00FA66FE">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6107EDAF" wp14:editId="08364598">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58D43BE7" w14:textId="77777777" w:rsidR="002617CD" w:rsidRDefault="002617CD">
    <w:pPr>
      <w:pStyle w:val="Rodap"/>
      <w:jc w:val="both"/>
      <w:rPr>
        <w:rFonts w:ascii="Times New Roman" w:hAnsi="Times New Roman" w:cs="Times New Roman"/>
        <w:sz w:val="20"/>
        <w:szCs w:val="20"/>
      </w:rPr>
    </w:pPr>
  </w:p>
  <w:p w14:paraId="610AEB1A" w14:textId="77777777" w:rsidR="002617CD" w:rsidRDefault="00FA66FE">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7AEA2AA5" w14:textId="77777777" w:rsidR="002617CD" w:rsidRDefault="002617CD">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3F8A0" w14:textId="77777777" w:rsidR="00AB202F" w:rsidRDefault="00AB202F">
      <w:pPr>
        <w:spacing w:after="0"/>
      </w:pPr>
      <w:r>
        <w:separator/>
      </w:r>
    </w:p>
  </w:footnote>
  <w:footnote w:type="continuationSeparator" w:id="0">
    <w:p w14:paraId="07ECD837" w14:textId="77777777" w:rsidR="00AB202F" w:rsidRDefault="00AB202F">
      <w:pPr>
        <w:spacing w:after="0"/>
      </w:pPr>
      <w:r>
        <w:continuationSeparator/>
      </w:r>
    </w:p>
  </w:footnote>
  <w:footnote w:id="1">
    <w:p w14:paraId="2B351AFD" w14:textId="77777777" w:rsidR="00D17B2B" w:rsidRPr="007D6F8B" w:rsidRDefault="00D17B2B" w:rsidP="00D17B2B">
      <w:pPr>
        <w:rPr>
          <w:rFonts w:ascii="Times New Roman" w:hAnsi="Times New Roman" w:cs="Times New Roman"/>
          <w:sz w:val="20"/>
          <w:szCs w:val="20"/>
        </w:rPr>
      </w:pPr>
      <w:r w:rsidRPr="007D6F8B">
        <w:rPr>
          <w:rFonts w:ascii="Times New Roman" w:hAnsi="Times New Roman" w:cs="Times New Roman"/>
          <w:sz w:val="20"/>
          <w:szCs w:val="20"/>
          <w:vertAlign w:val="superscript"/>
        </w:rPr>
        <w:footnoteRef/>
      </w:r>
      <w:r w:rsidRPr="007D6F8B">
        <w:rPr>
          <w:rFonts w:ascii="Times New Roman" w:hAnsi="Times New Roman" w:cs="Times New Roman"/>
          <w:sz w:val="20"/>
          <w:szCs w:val="20"/>
        </w:rPr>
        <w:t xml:space="preserve"> Fonte: &lt;</w:t>
      </w:r>
      <w:hyperlink r:id="rId1">
        <w:r w:rsidRPr="007D6F8B">
          <w:rPr>
            <w:rFonts w:ascii="Times New Roman" w:hAnsi="Times New Roman" w:cs="Times New Roman"/>
            <w:color w:val="1155CC"/>
            <w:sz w:val="20"/>
            <w:szCs w:val="20"/>
            <w:u w:val="single"/>
          </w:rPr>
          <w:t>https://abaas.com.br/associados/</w:t>
        </w:r>
      </w:hyperlink>
      <w:r w:rsidRPr="007D6F8B">
        <w:rPr>
          <w:rFonts w:ascii="Times New Roman" w:hAnsi="Times New Roman" w:cs="Times New Roman"/>
          <w:sz w:val="20"/>
          <w:szCs w:val="20"/>
        </w:rPr>
        <w:t>&gt;. Acesso em 14 mai. 2022.</w:t>
      </w:r>
    </w:p>
  </w:footnote>
  <w:footnote w:id="2">
    <w:p w14:paraId="2F5932C1" w14:textId="77777777" w:rsidR="00D17B2B" w:rsidRPr="00C80396" w:rsidRDefault="00D17B2B" w:rsidP="00D17B2B">
      <w:pPr>
        <w:rPr>
          <w:rFonts w:ascii="Times New Roman" w:hAnsi="Times New Roman" w:cs="Times New Roman"/>
          <w:sz w:val="20"/>
          <w:szCs w:val="20"/>
        </w:rPr>
      </w:pPr>
      <w:r w:rsidRPr="00C80396">
        <w:rPr>
          <w:rFonts w:ascii="Times New Roman" w:hAnsi="Times New Roman" w:cs="Times New Roman"/>
          <w:sz w:val="20"/>
          <w:szCs w:val="20"/>
          <w:vertAlign w:val="superscript"/>
        </w:rPr>
        <w:footnoteRef/>
      </w:r>
      <w:r w:rsidRPr="00C80396">
        <w:rPr>
          <w:rFonts w:ascii="Times New Roman" w:hAnsi="Times New Roman" w:cs="Times New Roman"/>
          <w:sz w:val="20"/>
          <w:szCs w:val="20"/>
        </w:rPr>
        <w:t xml:space="preserve"> Disponíveis em: &lt;</w:t>
      </w:r>
      <w:hyperlink r:id="rId2">
        <w:r w:rsidRPr="00C80396">
          <w:rPr>
            <w:rFonts w:ascii="Times New Roman" w:hAnsi="Times New Roman" w:cs="Times New Roman"/>
            <w:color w:val="1155CC"/>
            <w:sz w:val="20"/>
            <w:szCs w:val="20"/>
            <w:u w:val="single"/>
          </w:rPr>
          <w:t>https://abaas.com.br/revista/</w:t>
        </w:r>
      </w:hyperlink>
      <w:r w:rsidRPr="00C80396">
        <w:rPr>
          <w:rFonts w:ascii="Times New Roman" w:hAnsi="Times New Roman" w:cs="Times New Roman"/>
          <w:sz w:val="20"/>
          <w:szCs w:val="20"/>
        </w:rPr>
        <w:t>&gt;. Acesso entre fev. e mai. de 2022.</w:t>
      </w:r>
    </w:p>
  </w:footnote>
  <w:footnote w:id="3">
    <w:p w14:paraId="0BFCDD99" w14:textId="77777777" w:rsidR="00D17B2B" w:rsidRPr="004831BD" w:rsidRDefault="00D17B2B" w:rsidP="00D17B2B">
      <w:pPr>
        <w:pStyle w:val="Textodenotaderodap"/>
        <w:rPr>
          <w:rFonts w:ascii="Times New Roman" w:hAnsi="Times New Roman" w:cs="Times New Roman"/>
        </w:rPr>
      </w:pPr>
      <w:r w:rsidRPr="004831BD">
        <w:rPr>
          <w:rStyle w:val="Refdenotaderodap"/>
          <w:rFonts w:ascii="Times New Roman" w:hAnsi="Times New Roman" w:cs="Times New Roman"/>
        </w:rPr>
        <w:footnoteRef/>
      </w:r>
      <w:r w:rsidRPr="004831BD">
        <w:rPr>
          <w:rFonts w:ascii="Times New Roman" w:hAnsi="Times New Roman" w:cs="Times New Roman"/>
        </w:rPr>
        <w:t xml:space="preserve"> Fonte: </w:t>
      </w:r>
      <w:hyperlink r:id="rId3" w:history="1">
        <w:r w:rsidRPr="004831BD">
          <w:rPr>
            <w:rStyle w:val="Hyperlink"/>
            <w:rFonts w:ascii="Times New Roman" w:hAnsi="Times New Roman" w:cs="Times New Roman"/>
          </w:rPr>
          <w:t>https://abaas.com.br/fornecedores/</w:t>
        </w:r>
      </w:hyperlink>
      <w:r w:rsidRPr="004831BD">
        <w:rPr>
          <w:rFonts w:ascii="Times New Roman" w:hAnsi="Times New Roman" w:cs="Times New Roman"/>
        </w:rPr>
        <w:t xml:space="preserve"> - Acesso em 14 </w:t>
      </w:r>
      <w:proofErr w:type="spellStart"/>
      <w:r w:rsidRPr="004831BD">
        <w:rPr>
          <w:rFonts w:ascii="Times New Roman" w:hAnsi="Times New Roman" w:cs="Times New Roman"/>
        </w:rPr>
        <w:t>mai</w:t>
      </w:r>
      <w:proofErr w:type="spellEnd"/>
      <w:r w:rsidRPr="004831BD">
        <w:rPr>
          <w:rFonts w:ascii="Times New Roman" w:hAnsi="Times New Roman" w:cs="Times New Roman"/>
        </w:rPr>
        <w:t xml:space="preserve"> 2022.</w:t>
      </w:r>
    </w:p>
  </w:footnote>
  <w:footnote w:id="4">
    <w:p w14:paraId="7ECDF4FE" w14:textId="77777777" w:rsidR="00D17B2B" w:rsidRPr="00DB64B6" w:rsidRDefault="00D17B2B" w:rsidP="00D17B2B">
      <w:pPr>
        <w:spacing w:after="0" w:line="240" w:lineRule="auto"/>
        <w:rPr>
          <w:rFonts w:ascii="Times New Roman" w:hAnsi="Times New Roman" w:cs="Times New Roman"/>
          <w:sz w:val="20"/>
          <w:szCs w:val="20"/>
        </w:rPr>
      </w:pPr>
      <w:r w:rsidRPr="00DB64B6">
        <w:rPr>
          <w:rFonts w:ascii="Times New Roman" w:hAnsi="Times New Roman" w:cs="Times New Roman"/>
          <w:sz w:val="20"/>
          <w:szCs w:val="20"/>
          <w:vertAlign w:val="superscript"/>
        </w:rPr>
        <w:footnoteRef/>
      </w:r>
      <w:r w:rsidRPr="00DB64B6">
        <w:rPr>
          <w:rFonts w:ascii="Times New Roman" w:hAnsi="Times New Roman" w:cs="Times New Roman"/>
          <w:sz w:val="20"/>
          <w:szCs w:val="20"/>
        </w:rPr>
        <w:t xml:space="preserve"> Fonte: &lt;</w:t>
      </w:r>
      <w:hyperlink r:id="rId4">
        <w:r w:rsidRPr="00DB64B6">
          <w:rPr>
            <w:rFonts w:ascii="Times New Roman" w:hAnsi="Times New Roman" w:cs="Times New Roman"/>
            <w:color w:val="1155CC"/>
            <w:sz w:val="20"/>
            <w:szCs w:val="20"/>
            <w:u w:val="single"/>
          </w:rPr>
          <w:t>https://www.abras.com.br/clipping/geral/72213/nova-onda-do-atacarejo-afeta-supermercados</w:t>
        </w:r>
      </w:hyperlink>
      <w:r w:rsidRPr="00DB64B6">
        <w:rPr>
          <w:rFonts w:ascii="Times New Roman" w:hAnsi="Times New Roman" w:cs="Times New Roman"/>
          <w:sz w:val="20"/>
          <w:szCs w:val="20"/>
        </w:rPr>
        <w:t>&gt;. Acesso em 2 abr. 2022.</w:t>
      </w:r>
    </w:p>
  </w:footnote>
  <w:footnote w:id="5">
    <w:p w14:paraId="3E3CC03D" w14:textId="77777777" w:rsidR="00D17B2B" w:rsidRDefault="00D17B2B" w:rsidP="00D17B2B">
      <w:pPr>
        <w:spacing w:after="0" w:line="240" w:lineRule="auto"/>
        <w:rPr>
          <w:sz w:val="20"/>
          <w:szCs w:val="20"/>
        </w:rPr>
      </w:pPr>
      <w:r w:rsidRPr="00DB64B6">
        <w:rPr>
          <w:rFonts w:ascii="Times New Roman" w:hAnsi="Times New Roman" w:cs="Times New Roman"/>
          <w:sz w:val="20"/>
          <w:szCs w:val="20"/>
          <w:vertAlign w:val="superscript"/>
        </w:rPr>
        <w:footnoteRef/>
      </w:r>
      <w:r w:rsidRPr="00DB64B6">
        <w:rPr>
          <w:rFonts w:ascii="Times New Roman" w:hAnsi="Times New Roman" w:cs="Times New Roman"/>
          <w:sz w:val="20"/>
          <w:szCs w:val="20"/>
        </w:rPr>
        <w:t xml:space="preserve"> Fonte: &lt;</w:t>
      </w:r>
      <w:hyperlink r:id="rId5">
        <w:r w:rsidRPr="00DB64B6">
          <w:rPr>
            <w:rFonts w:ascii="Times New Roman" w:hAnsi="Times New Roman" w:cs="Times New Roman"/>
            <w:color w:val="1155CC"/>
            <w:sz w:val="20"/>
            <w:szCs w:val="20"/>
            <w:u w:val="single"/>
          </w:rPr>
          <w:t>https://www.normasbrasil.com.br/norma/resposta-a-consulta-9031-2016-sp_326030.html</w:t>
        </w:r>
      </w:hyperlink>
      <w:r w:rsidRPr="00DB64B6">
        <w:rPr>
          <w:rFonts w:ascii="Times New Roman" w:hAnsi="Times New Roman" w:cs="Times New Roman"/>
          <w:sz w:val="20"/>
          <w:szCs w:val="20"/>
        </w:rPr>
        <w:t>&gt;. Acesso em 19 ago. 2021.</w:t>
      </w:r>
      <w:r>
        <w:rPr>
          <w:sz w:val="20"/>
          <w:szCs w:val="20"/>
        </w:rPr>
        <w:t xml:space="preserve"> </w:t>
      </w:r>
    </w:p>
  </w:footnote>
  <w:footnote w:id="6">
    <w:p w14:paraId="3BA7C9B0" w14:textId="77777777" w:rsidR="00D17B2B" w:rsidRPr="001F736F" w:rsidRDefault="00D17B2B" w:rsidP="00D17B2B">
      <w:pPr>
        <w:spacing w:line="240" w:lineRule="auto"/>
        <w:rPr>
          <w:rFonts w:ascii="Times New Roman" w:hAnsi="Times New Roman" w:cs="Times New Roman"/>
          <w:sz w:val="20"/>
          <w:szCs w:val="20"/>
        </w:rPr>
      </w:pPr>
      <w:r w:rsidRPr="001F736F">
        <w:rPr>
          <w:rFonts w:ascii="Times New Roman" w:hAnsi="Times New Roman" w:cs="Times New Roman"/>
          <w:sz w:val="20"/>
          <w:szCs w:val="20"/>
          <w:vertAlign w:val="superscript"/>
        </w:rPr>
        <w:footnoteRef/>
      </w:r>
      <w:r w:rsidRPr="001F736F">
        <w:rPr>
          <w:rFonts w:ascii="Times New Roman" w:hAnsi="Times New Roman" w:cs="Times New Roman"/>
          <w:sz w:val="20"/>
          <w:szCs w:val="20"/>
        </w:rPr>
        <w:t xml:space="preserve"> Fonte: &lt;</w:t>
      </w:r>
      <w:hyperlink r:id="rId6">
        <w:r w:rsidRPr="001F736F">
          <w:rPr>
            <w:rFonts w:ascii="Times New Roman" w:hAnsi="Times New Roman" w:cs="Times New Roman"/>
            <w:color w:val="1155CC"/>
            <w:sz w:val="20"/>
            <w:szCs w:val="20"/>
            <w:u w:val="single"/>
          </w:rPr>
          <w:t>http://www.sefaz.al.gov.br/noticia/item/2933-governo-do-estado-amplia-incentivos-fiscais-para-a-cadeia-atacadista-e-eleva-competitividade-do-setor</w:t>
        </w:r>
      </w:hyperlink>
      <w:r w:rsidRPr="001F736F">
        <w:rPr>
          <w:rFonts w:ascii="Times New Roman" w:hAnsi="Times New Roman" w:cs="Times New Roman"/>
          <w:sz w:val="20"/>
          <w:szCs w:val="20"/>
        </w:rPr>
        <w:t xml:space="preserve">&gt;. Acesso 10. mai.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D472D" w14:textId="77777777" w:rsidR="002617CD" w:rsidRDefault="00FA66FE">
    <w:pPr>
      <w:pStyle w:val="Cabealho"/>
      <w:jc w:val="center"/>
    </w:pPr>
    <w:r>
      <w:rPr>
        <w:noProof/>
      </w:rPr>
      <mc:AlternateContent>
        <mc:Choice Requires="wps">
          <w:drawing>
            <wp:anchor distT="0" distB="0" distL="114300" distR="114300" simplePos="0" relativeHeight="251660288" behindDoc="1" locked="0" layoutInCell="1" allowOverlap="1" wp14:anchorId="26C66C5B" wp14:editId="2537A113">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622B0A5A" wp14:editId="2838FE3B">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2D7DE79D" wp14:editId="522B4521">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57A06C54" w14:textId="77777777" w:rsidR="002617CD" w:rsidRDefault="002617CD">
    <w:pPr>
      <w:pStyle w:val="Cabealho"/>
      <w:jc w:val="center"/>
    </w:pPr>
  </w:p>
  <w:p w14:paraId="4068AA55" w14:textId="77777777" w:rsidR="002617CD" w:rsidRDefault="002617CD">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66F98"/>
    <w:multiLevelType w:val="hybridMultilevel"/>
    <w:tmpl w:val="86DAC7F2"/>
    <w:lvl w:ilvl="0" w:tplc="0D30609A">
      <w:start w:val="5"/>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8CB082C"/>
    <w:multiLevelType w:val="multilevel"/>
    <w:tmpl w:val="44E8D1F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18CE4F6E"/>
    <w:multiLevelType w:val="multilevel"/>
    <w:tmpl w:val="E45E9B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C755245"/>
    <w:multiLevelType w:val="multilevel"/>
    <w:tmpl w:val="F5BE285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C9E64A5"/>
    <w:multiLevelType w:val="multilevel"/>
    <w:tmpl w:val="C2EC84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5221783C"/>
    <w:multiLevelType w:val="multilevel"/>
    <w:tmpl w:val="EFC4E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D609F0"/>
    <w:multiLevelType w:val="multilevel"/>
    <w:tmpl w:val="D76E332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66C44858"/>
    <w:multiLevelType w:val="multilevel"/>
    <w:tmpl w:val="52D425C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730C711C"/>
    <w:multiLevelType w:val="multilevel"/>
    <w:tmpl w:val="286281A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457140687">
    <w:abstractNumId w:val="5"/>
  </w:num>
  <w:num w:numId="2" w16cid:durableId="1808089915">
    <w:abstractNumId w:val="8"/>
  </w:num>
  <w:num w:numId="3" w16cid:durableId="2110152760">
    <w:abstractNumId w:val="7"/>
  </w:num>
  <w:num w:numId="4" w16cid:durableId="108865401">
    <w:abstractNumId w:val="4"/>
  </w:num>
  <w:num w:numId="5" w16cid:durableId="97215326">
    <w:abstractNumId w:val="3"/>
  </w:num>
  <w:num w:numId="6" w16cid:durableId="1722052029">
    <w:abstractNumId w:val="1"/>
  </w:num>
  <w:num w:numId="7" w16cid:durableId="993098573">
    <w:abstractNumId w:val="2"/>
  </w:num>
  <w:num w:numId="8" w16cid:durableId="208880807">
    <w:abstractNumId w:val="6"/>
  </w:num>
  <w:num w:numId="9" w16cid:durableId="187793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F2C33"/>
    <w:rsid w:val="00151619"/>
    <w:rsid w:val="0017619A"/>
    <w:rsid w:val="00206A92"/>
    <w:rsid w:val="0022362B"/>
    <w:rsid w:val="00241841"/>
    <w:rsid w:val="00255C43"/>
    <w:rsid w:val="002617CD"/>
    <w:rsid w:val="00317CC1"/>
    <w:rsid w:val="004D292A"/>
    <w:rsid w:val="00507F7E"/>
    <w:rsid w:val="00510F45"/>
    <w:rsid w:val="007A3A8D"/>
    <w:rsid w:val="007C3EAC"/>
    <w:rsid w:val="0085799B"/>
    <w:rsid w:val="009F167A"/>
    <w:rsid w:val="00A12BDF"/>
    <w:rsid w:val="00AB202F"/>
    <w:rsid w:val="00AB2D5B"/>
    <w:rsid w:val="00BC6D50"/>
    <w:rsid w:val="00C87F92"/>
    <w:rsid w:val="00D04F42"/>
    <w:rsid w:val="00D17B2B"/>
    <w:rsid w:val="00E50039"/>
    <w:rsid w:val="00F05BF5"/>
    <w:rsid w:val="00FA66FE"/>
    <w:rsid w:val="00FC4F7E"/>
    <w:rsid w:val="00FF2309"/>
    <w:rsid w:val="00FF4F6D"/>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8A95D"/>
  <w15:docId w15:val="{E083412E-D784-A140-87D7-5D040AE7D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uiPriority w:val="9"/>
    <w:unhideWhenUsed/>
    <w:qFormat/>
    <w:rsid w:val="00D17B2B"/>
    <w:pPr>
      <w:keepNext/>
      <w:keepLines/>
      <w:spacing w:before="280" w:after="80"/>
      <w:outlineLvl w:val="2"/>
    </w:pPr>
    <w:rPr>
      <w:rFonts w:ascii="Calibri" w:eastAsia="Calibri" w:hAnsi="Calibri" w:cs="Calibri"/>
      <w:b/>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customStyle="1" w:styleId="Ttulo3Char">
    <w:name w:val="Título 3 Char"/>
    <w:basedOn w:val="Fontepargpadro"/>
    <w:link w:val="Ttulo3"/>
    <w:uiPriority w:val="9"/>
    <w:rsid w:val="00D17B2B"/>
    <w:rPr>
      <w:rFonts w:ascii="Calibri" w:eastAsia="Calibri" w:hAnsi="Calibri" w:cs="Calibri"/>
      <w:b/>
      <w:sz w:val="28"/>
      <w:szCs w:val="28"/>
    </w:rPr>
  </w:style>
  <w:style w:type="paragraph" w:styleId="Textodenotaderodap">
    <w:name w:val="footnote text"/>
    <w:basedOn w:val="Normal"/>
    <w:link w:val="TextodenotaderodapChar"/>
    <w:uiPriority w:val="99"/>
    <w:semiHidden/>
    <w:unhideWhenUsed/>
    <w:rsid w:val="00D17B2B"/>
    <w:pPr>
      <w:spacing w:after="0" w:line="240" w:lineRule="auto"/>
    </w:pPr>
    <w:rPr>
      <w:rFonts w:ascii="Calibri" w:eastAsia="Calibri" w:hAnsi="Calibri" w:cs="Calibri"/>
      <w:sz w:val="20"/>
      <w:szCs w:val="20"/>
      <w:lang w:eastAsia="pt-BR"/>
    </w:rPr>
  </w:style>
  <w:style w:type="character" w:customStyle="1" w:styleId="TextodenotaderodapChar">
    <w:name w:val="Texto de nota de rodapé Char"/>
    <w:basedOn w:val="Fontepargpadro"/>
    <w:link w:val="Textodenotaderodap"/>
    <w:uiPriority w:val="99"/>
    <w:semiHidden/>
    <w:rsid w:val="00D17B2B"/>
    <w:rPr>
      <w:rFonts w:ascii="Calibri" w:eastAsia="Calibri" w:hAnsi="Calibri" w:cs="Calibri"/>
    </w:rPr>
  </w:style>
  <w:style w:type="character" w:styleId="Refdenotaderodap">
    <w:name w:val="footnote reference"/>
    <w:basedOn w:val="Fontepargpadro"/>
    <w:uiPriority w:val="99"/>
    <w:semiHidden/>
    <w:unhideWhenUsed/>
    <w:rsid w:val="00D17B2B"/>
    <w:rPr>
      <w:vertAlign w:val="superscript"/>
    </w:rPr>
  </w:style>
  <w:style w:type="character" w:styleId="Hyperlink">
    <w:name w:val="Hyperlink"/>
    <w:basedOn w:val="Fontepargpadro"/>
    <w:uiPriority w:val="99"/>
    <w:unhideWhenUsed/>
    <w:rsid w:val="00D17B2B"/>
    <w:rPr>
      <w:color w:val="0563C1" w:themeColor="hyperlink"/>
      <w:u w:val="single"/>
    </w:rPr>
  </w:style>
  <w:style w:type="paragraph" w:styleId="PargrafodaLista">
    <w:name w:val="List Paragraph"/>
    <w:basedOn w:val="Normal"/>
    <w:uiPriority w:val="34"/>
    <w:qFormat/>
    <w:rsid w:val="00D17B2B"/>
    <w:pPr>
      <w:ind w:left="720"/>
      <w:contextualSpacing/>
    </w:pPr>
    <w:rPr>
      <w:rFonts w:ascii="Calibri" w:eastAsia="Calibri" w:hAnsi="Calibri" w:cs="Calibri"/>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508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abaas.com.br/revista-13/"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abaas.com.br/fornecedores/" TargetMode="External"/><Relationship Id="rId2" Type="http://schemas.openxmlformats.org/officeDocument/2006/relationships/hyperlink" Target="https://abaas.com.br/revista/" TargetMode="External"/><Relationship Id="rId1" Type="http://schemas.openxmlformats.org/officeDocument/2006/relationships/hyperlink" Target="https://abaas.com.br/associados/" TargetMode="External"/><Relationship Id="rId6" Type="http://schemas.openxmlformats.org/officeDocument/2006/relationships/hyperlink" Target="http://www.sefaz.al.gov.br/noticia/item/2933-governo-do-estado-amplia-incentivos-fiscais-para-a-cadeia-atacadista-e-eleva-competitividade-do-setor" TargetMode="External"/><Relationship Id="rId5" Type="http://schemas.openxmlformats.org/officeDocument/2006/relationships/hyperlink" Target="https://www.normasbrasil.com.br/norma/resposta-a-consulta-9031-2016-sp_326030.html" TargetMode="External"/><Relationship Id="rId4" Type="http://schemas.openxmlformats.org/officeDocument/2006/relationships/hyperlink" Target="https://www.abras.com.br/clipping/geral/72213/nova-onda-do-atacarejo-afeta-supermercad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6595</Words>
  <Characters>35613</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LUIS EDUARDO CANDEIA</cp:lastModifiedBy>
  <cp:revision>2</cp:revision>
  <dcterms:created xsi:type="dcterms:W3CDTF">2022-08-16T00:03:00Z</dcterms:created>
  <dcterms:modified xsi:type="dcterms:W3CDTF">2022-08-16T00:03:00Z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