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38F" w:rsidRDefault="0088538F">
      <w:pPr>
        <w:spacing w:after="0" w:line="360" w:lineRule="auto"/>
        <w:jc w:val="center"/>
        <w:rPr>
          <w:rFonts w:ascii="Times New Roman" w:hAnsi="Times New Roman" w:cs="Times New Roman"/>
          <w:sz w:val="28"/>
          <w:szCs w:val="28"/>
        </w:rPr>
      </w:pPr>
    </w:p>
    <w:p w:rsidR="00592D89" w:rsidRPr="00592D89" w:rsidRDefault="00592D89" w:rsidP="00592D89">
      <w:pPr>
        <w:pStyle w:val="Corpodetexto3"/>
        <w:spacing w:line="360" w:lineRule="auto"/>
        <w:rPr>
          <w:szCs w:val="28"/>
        </w:rPr>
      </w:pPr>
      <w:r w:rsidRPr="00592D89">
        <w:rPr>
          <w:szCs w:val="28"/>
        </w:rPr>
        <w:t>PRODUÇÃO VITIVINÍCOLA NO RIO GRANDE DO SUL: A</w:t>
      </w:r>
      <w:r w:rsidR="00764FCC">
        <w:rPr>
          <w:szCs w:val="28"/>
        </w:rPr>
        <w:t xml:space="preserve"> </w:t>
      </w:r>
      <w:r w:rsidR="00B21461">
        <w:rPr>
          <w:szCs w:val="28"/>
        </w:rPr>
        <w:t>dinâmica do</w:t>
      </w:r>
      <w:r w:rsidRPr="00592D89">
        <w:rPr>
          <w:szCs w:val="28"/>
        </w:rPr>
        <w:t xml:space="preserve"> desen</w:t>
      </w:r>
      <w:r w:rsidR="00764FCC">
        <w:rPr>
          <w:szCs w:val="28"/>
        </w:rPr>
        <w:t>volvimento territorial</w:t>
      </w:r>
      <w:r w:rsidR="00B21461">
        <w:rPr>
          <w:szCs w:val="28"/>
        </w:rPr>
        <w:t xml:space="preserve"> via indicação </w:t>
      </w:r>
      <w:r w:rsidR="00F5191D">
        <w:rPr>
          <w:szCs w:val="28"/>
        </w:rPr>
        <w:t>geográfica</w:t>
      </w:r>
      <w:r w:rsidR="00B21461">
        <w:rPr>
          <w:szCs w:val="28"/>
        </w:rPr>
        <w:t>.</w:t>
      </w:r>
    </w:p>
    <w:p w:rsidR="00592D89" w:rsidRDefault="00592D89">
      <w:pPr>
        <w:pStyle w:val="Ttulo"/>
        <w:jc w:val="both"/>
        <w:rPr>
          <w:rFonts w:ascii="Times New Roman" w:hAnsi="Times New Roman"/>
          <w:sz w:val="24"/>
          <w:lang w:val="pt-BR"/>
        </w:rPr>
      </w:pPr>
    </w:p>
    <w:p w:rsidR="0088538F" w:rsidRDefault="00534E6C">
      <w:pPr>
        <w:pStyle w:val="Ttulo"/>
        <w:jc w:val="both"/>
        <w:rPr>
          <w:rFonts w:ascii="Times New Roman" w:hAnsi="Times New Roman"/>
          <w:sz w:val="24"/>
          <w:lang w:val="pt-BR"/>
        </w:rPr>
      </w:pPr>
      <w:r w:rsidRPr="006F7991">
        <w:rPr>
          <w:rFonts w:ascii="Times New Roman" w:hAnsi="Times New Roman"/>
          <w:sz w:val="24"/>
          <w:lang w:val="pt-BR"/>
        </w:rPr>
        <w:t>RESUMO</w:t>
      </w:r>
    </w:p>
    <w:p w:rsidR="00592D89" w:rsidRPr="008450A7" w:rsidRDefault="00592D89">
      <w:pPr>
        <w:pStyle w:val="Ttulo"/>
        <w:jc w:val="both"/>
        <w:rPr>
          <w:rFonts w:ascii="Times New Roman" w:hAnsi="Times New Roman"/>
          <w:b w:val="0"/>
          <w:sz w:val="24"/>
          <w:lang w:val="pt-BR"/>
        </w:rPr>
      </w:pPr>
      <w:r w:rsidRPr="008450A7">
        <w:rPr>
          <w:rFonts w:ascii="Times New Roman" w:hAnsi="Times New Roman"/>
          <w:b w:val="0"/>
          <w:sz w:val="24"/>
          <w:lang w:val="pt-BR"/>
        </w:rPr>
        <w:t>A vitivinicultura no estado do Rio Grande do Sul é uma atividade produtiva que faz o estado reconhecido como o principal p</w:t>
      </w:r>
      <w:r w:rsidR="00764FCC">
        <w:rPr>
          <w:rFonts w:ascii="Times New Roman" w:hAnsi="Times New Roman"/>
          <w:b w:val="0"/>
          <w:sz w:val="24"/>
          <w:lang w:val="pt-BR"/>
        </w:rPr>
        <w:t>rodutor de uvas e vinhos no Brasil</w:t>
      </w:r>
      <w:r w:rsidRPr="008450A7">
        <w:rPr>
          <w:rFonts w:ascii="Times New Roman" w:hAnsi="Times New Roman"/>
          <w:b w:val="0"/>
          <w:sz w:val="24"/>
          <w:lang w:val="pt-BR"/>
        </w:rPr>
        <w:t xml:space="preserve">, com destaque para a Região da Serra Gaúcha onde se concentram também as indicações geográficas do vinho, a região da Campanha Gaúcha é </w:t>
      </w:r>
      <w:r w:rsidR="00764FCC">
        <w:rPr>
          <w:rFonts w:ascii="Times New Roman" w:hAnsi="Times New Roman"/>
          <w:b w:val="0"/>
          <w:sz w:val="24"/>
          <w:lang w:val="pt-BR"/>
        </w:rPr>
        <w:t>outra região em destaque</w:t>
      </w:r>
      <w:r w:rsidRPr="008450A7">
        <w:rPr>
          <w:rFonts w:ascii="Times New Roman" w:hAnsi="Times New Roman"/>
          <w:b w:val="0"/>
          <w:sz w:val="24"/>
          <w:lang w:val="pt-BR"/>
        </w:rPr>
        <w:t xml:space="preserve"> na produção vitivinícola. </w:t>
      </w:r>
      <w:r w:rsidR="00764FCC">
        <w:rPr>
          <w:rFonts w:ascii="Times New Roman" w:hAnsi="Times New Roman"/>
          <w:b w:val="0"/>
          <w:sz w:val="24"/>
          <w:lang w:val="pt-BR"/>
        </w:rPr>
        <w:t xml:space="preserve">Assim o problema da pesquisa questiona como a produção vitivinícola contribui para </w:t>
      </w:r>
      <w:r w:rsidR="00C91C19">
        <w:rPr>
          <w:rFonts w:ascii="Times New Roman" w:hAnsi="Times New Roman"/>
          <w:b w:val="0"/>
          <w:sz w:val="24"/>
          <w:lang w:val="pt-BR"/>
        </w:rPr>
        <w:t xml:space="preserve">o desenvolvimento dos territórios que está inserida? Sendo o </w:t>
      </w:r>
      <w:r w:rsidRPr="008450A7">
        <w:rPr>
          <w:rFonts w:ascii="Times New Roman" w:hAnsi="Times New Roman"/>
          <w:b w:val="0"/>
          <w:sz w:val="24"/>
          <w:lang w:val="pt-BR"/>
        </w:rPr>
        <w:t>objetivo</w:t>
      </w:r>
      <w:r w:rsidR="00C91C19">
        <w:rPr>
          <w:rFonts w:ascii="Times New Roman" w:hAnsi="Times New Roman"/>
          <w:b w:val="0"/>
          <w:sz w:val="24"/>
          <w:lang w:val="pt-BR"/>
        </w:rPr>
        <w:t xml:space="preserve"> do artigo</w:t>
      </w:r>
      <w:r w:rsidRPr="008450A7">
        <w:rPr>
          <w:rFonts w:ascii="Times New Roman" w:hAnsi="Times New Roman"/>
          <w:b w:val="0"/>
          <w:sz w:val="24"/>
          <w:lang w:val="pt-BR"/>
        </w:rPr>
        <w:t xml:space="preserve"> discutir a produção vitivinícola e a interrelação desta com a dinâmica territorial e o reconhecimento das indicações geográficas. Os resultados mostram que os municípios </w:t>
      </w:r>
      <w:r w:rsidR="00C91C19">
        <w:rPr>
          <w:rFonts w:ascii="Times New Roman" w:hAnsi="Times New Roman"/>
          <w:b w:val="0"/>
          <w:sz w:val="24"/>
          <w:lang w:val="pt-BR"/>
        </w:rPr>
        <w:t>mais representativos se concentram nas</w:t>
      </w:r>
      <w:r w:rsidRPr="008450A7">
        <w:rPr>
          <w:rFonts w:ascii="Times New Roman" w:hAnsi="Times New Roman"/>
          <w:b w:val="0"/>
          <w:sz w:val="24"/>
          <w:lang w:val="pt-BR"/>
        </w:rPr>
        <w:t xml:space="preserve"> regiões</w:t>
      </w:r>
      <w:r w:rsidR="00C91C19">
        <w:rPr>
          <w:rFonts w:ascii="Times New Roman" w:hAnsi="Times New Roman"/>
          <w:b w:val="0"/>
          <w:sz w:val="24"/>
          <w:lang w:val="pt-BR"/>
        </w:rPr>
        <w:t xml:space="preserve"> produtoras, em especial a Serra Gaúcha, considerada região tradicional. Os</w:t>
      </w:r>
      <w:r w:rsidRPr="008450A7">
        <w:rPr>
          <w:rFonts w:ascii="Times New Roman" w:hAnsi="Times New Roman"/>
          <w:b w:val="0"/>
          <w:sz w:val="24"/>
          <w:lang w:val="pt-BR"/>
        </w:rPr>
        <w:t xml:space="preserve"> </w:t>
      </w:r>
      <w:r w:rsidR="00C91C19">
        <w:rPr>
          <w:rFonts w:ascii="Times New Roman" w:hAnsi="Times New Roman"/>
          <w:b w:val="0"/>
          <w:sz w:val="24"/>
          <w:lang w:val="pt-BR"/>
        </w:rPr>
        <w:t xml:space="preserve">resultados indicam </w:t>
      </w:r>
      <w:r w:rsidRPr="008450A7">
        <w:rPr>
          <w:rFonts w:ascii="Times New Roman" w:hAnsi="Times New Roman"/>
          <w:b w:val="0"/>
          <w:sz w:val="24"/>
          <w:lang w:val="pt-BR"/>
        </w:rPr>
        <w:t>um deslocamento da produção da Serra</w:t>
      </w:r>
      <w:r w:rsidR="00C91C19">
        <w:rPr>
          <w:rFonts w:ascii="Times New Roman" w:hAnsi="Times New Roman"/>
          <w:b w:val="0"/>
          <w:sz w:val="24"/>
          <w:lang w:val="pt-BR"/>
        </w:rPr>
        <w:t xml:space="preserve"> Gaúcha</w:t>
      </w:r>
      <w:r w:rsidRPr="008450A7">
        <w:rPr>
          <w:rFonts w:ascii="Times New Roman" w:hAnsi="Times New Roman"/>
          <w:b w:val="0"/>
          <w:sz w:val="24"/>
          <w:lang w:val="pt-BR"/>
        </w:rPr>
        <w:t xml:space="preserve"> para Campanha e que os preços das terras destinadas à vitivinicultura tiveram um aumento expressivo.</w:t>
      </w:r>
    </w:p>
    <w:p w:rsidR="00592D89" w:rsidRPr="008450A7" w:rsidRDefault="00592D89">
      <w:pPr>
        <w:pStyle w:val="Ttulo"/>
        <w:jc w:val="both"/>
        <w:rPr>
          <w:rFonts w:ascii="Times New Roman" w:hAnsi="Times New Roman"/>
          <w:b w:val="0"/>
          <w:sz w:val="24"/>
          <w:lang w:val="pt-BR"/>
        </w:rPr>
      </w:pPr>
    </w:p>
    <w:p w:rsidR="008450A7" w:rsidRDefault="00534E6C" w:rsidP="00F950C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Palavras-chave</w:t>
      </w:r>
      <w:r>
        <w:rPr>
          <w:rFonts w:ascii="Times New Roman" w:hAnsi="Times New Roman" w:cs="Times New Roman"/>
          <w:sz w:val="24"/>
          <w:szCs w:val="24"/>
        </w:rPr>
        <w:t xml:space="preserve">: </w:t>
      </w:r>
      <w:r w:rsidR="00F76DDF">
        <w:rPr>
          <w:rFonts w:ascii="Times New Roman" w:hAnsi="Times New Roman" w:cs="Times New Roman"/>
          <w:sz w:val="24"/>
          <w:szCs w:val="24"/>
        </w:rPr>
        <w:t>Vitivinicultura</w:t>
      </w:r>
      <w:r w:rsidR="002F463F">
        <w:rPr>
          <w:rFonts w:ascii="Times New Roman" w:hAnsi="Times New Roman" w:cs="Times New Roman"/>
          <w:sz w:val="24"/>
          <w:szCs w:val="24"/>
        </w:rPr>
        <w:t>;</w:t>
      </w:r>
      <w:r w:rsidR="008450A7">
        <w:rPr>
          <w:rFonts w:ascii="Times New Roman" w:hAnsi="Times New Roman" w:cs="Times New Roman"/>
          <w:sz w:val="24"/>
          <w:szCs w:val="24"/>
        </w:rPr>
        <w:t xml:space="preserve"> Desenvolvimento Territorial</w:t>
      </w:r>
      <w:r w:rsidR="002F463F">
        <w:rPr>
          <w:rFonts w:ascii="Times New Roman" w:hAnsi="Times New Roman" w:cs="Times New Roman"/>
          <w:sz w:val="24"/>
          <w:szCs w:val="24"/>
        </w:rPr>
        <w:t>;</w:t>
      </w:r>
      <w:r w:rsidR="00A119AD">
        <w:rPr>
          <w:rFonts w:ascii="Times New Roman" w:hAnsi="Times New Roman" w:cs="Times New Roman"/>
          <w:sz w:val="24"/>
          <w:szCs w:val="24"/>
        </w:rPr>
        <w:t xml:space="preserve"> Indicação Geográfica;</w:t>
      </w:r>
      <w:r w:rsidR="008450A7">
        <w:rPr>
          <w:rFonts w:ascii="Times New Roman" w:hAnsi="Times New Roman" w:cs="Times New Roman"/>
          <w:sz w:val="24"/>
          <w:szCs w:val="24"/>
        </w:rPr>
        <w:t xml:space="preserve"> Rio Grande do Sul. </w:t>
      </w:r>
    </w:p>
    <w:p w:rsidR="0088538F" w:rsidRDefault="0088538F">
      <w:pPr>
        <w:spacing w:after="0" w:line="360" w:lineRule="auto"/>
        <w:jc w:val="both"/>
        <w:rPr>
          <w:rFonts w:ascii="Times New Roman" w:hAnsi="Times New Roman" w:cs="Times New Roman"/>
          <w:sz w:val="24"/>
          <w:szCs w:val="24"/>
        </w:rPr>
      </w:pPr>
    </w:p>
    <w:p w:rsidR="0088538F" w:rsidRPr="006A59F8" w:rsidRDefault="00534E6C">
      <w:pPr>
        <w:spacing w:after="0" w:line="360" w:lineRule="auto"/>
        <w:jc w:val="both"/>
        <w:rPr>
          <w:rFonts w:ascii="Times New Roman" w:hAnsi="Times New Roman" w:cs="Times New Roman"/>
          <w:b/>
          <w:sz w:val="24"/>
          <w:szCs w:val="24"/>
        </w:rPr>
      </w:pPr>
      <w:r w:rsidRPr="006A59F8">
        <w:rPr>
          <w:rFonts w:ascii="Times New Roman" w:hAnsi="Times New Roman" w:cs="Times New Roman"/>
          <w:b/>
          <w:bCs/>
          <w:sz w:val="24"/>
          <w:szCs w:val="24"/>
        </w:rPr>
        <w:t xml:space="preserve">GT No </w:t>
      </w:r>
      <w:r w:rsidR="002F463F" w:rsidRPr="006A59F8">
        <w:rPr>
          <w:rFonts w:ascii="Times New Roman" w:hAnsi="Times New Roman" w:cs="Times New Roman"/>
          <w:b/>
          <w:bCs/>
          <w:sz w:val="24"/>
          <w:szCs w:val="24"/>
        </w:rPr>
        <w:t>03</w:t>
      </w:r>
      <w:r w:rsidR="002F463F" w:rsidRPr="006A59F8">
        <w:rPr>
          <w:rFonts w:ascii="Times New Roman" w:hAnsi="Times New Roman" w:cs="Times New Roman"/>
          <w:b/>
          <w:sz w:val="24"/>
          <w:szCs w:val="24"/>
        </w:rPr>
        <w:t xml:space="preserve">: </w:t>
      </w:r>
      <w:r w:rsidR="00764FCC" w:rsidRPr="006A59F8">
        <w:rPr>
          <w:rFonts w:ascii="Times New Roman" w:hAnsi="Times New Roman" w:cs="Times New Roman"/>
          <w:b/>
          <w:color w:val="212529"/>
          <w:sz w:val="24"/>
          <w:szCs w:val="24"/>
          <w:shd w:val="clear" w:color="auto" w:fill="FFFFFF"/>
        </w:rPr>
        <w:t>Dinâmicas S</w:t>
      </w:r>
      <w:r w:rsidR="002F463F" w:rsidRPr="006A59F8">
        <w:rPr>
          <w:rFonts w:ascii="Times New Roman" w:hAnsi="Times New Roman" w:cs="Times New Roman"/>
          <w:b/>
          <w:color w:val="212529"/>
          <w:sz w:val="24"/>
          <w:szCs w:val="24"/>
          <w:shd w:val="clear" w:color="auto" w:fill="FFFFFF"/>
        </w:rPr>
        <w:t>ocioeconômicas do Território</w:t>
      </w:r>
    </w:p>
    <w:p w:rsidR="0088538F" w:rsidRDefault="0088538F">
      <w:pPr>
        <w:spacing w:after="0" w:line="360" w:lineRule="auto"/>
        <w:jc w:val="both"/>
        <w:rPr>
          <w:rFonts w:ascii="Times New Roman" w:hAnsi="Times New Roman" w:cs="Times New Roman"/>
          <w:sz w:val="24"/>
          <w:szCs w:val="24"/>
        </w:rPr>
      </w:pPr>
    </w:p>
    <w:p w:rsidR="0088538F" w:rsidRDefault="00534E6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r w:rsidR="008450A7">
        <w:rPr>
          <w:rFonts w:ascii="Times New Roman" w:hAnsi="Times New Roman" w:cs="Times New Roman"/>
          <w:b/>
          <w:bCs/>
          <w:sz w:val="24"/>
          <w:szCs w:val="24"/>
        </w:rPr>
        <w:t xml:space="preserve"> </w:t>
      </w:r>
    </w:p>
    <w:p w:rsidR="00645A50" w:rsidRDefault="00645A50" w:rsidP="005B0FD1">
      <w:pPr>
        <w:spacing w:after="0" w:line="240" w:lineRule="auto"/>
        <w:ind w:firstLine="708"/>
        <w:jc w:val="both"/>
        <w:rPr>
          <w:rFonts w:ascii="Times New Roman" w:hAnsi="Times New Roman" w:cs="Times New Roman"/>
          <w:sz w:val="24"/>
          <w:szCs w:val="24"/>
        </w:rPr>
      </w:pPr>
    </w:p>
    <w:p w:rsidR="00645A50" w:rsidRDefault="00645A50" w:rsidP="0062363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vitivinicultura é </w:t>
      </w:r>
      <w:r w:rsidR="008C1EFA">
        <w:rPr>
          <w:rFonts w:ascii="Times New Roman" w:hAnsi="Times New Roman" w:cs="Times New Roman"/>
          <w:sz w:val="24"/>
          <w:szCs w:val="24"/>
        </w:rPr>
        <w:t xml:space="preserve">uma </w:t>
      </w:r>
      <w:r>
        <w:rPr>
          <w:rFonts w:ascii="Times New Roman" w:hAnsi="Times New Roman" w:cs="Times New Roman"/>
          <w:sz w:val="24"/>
          <w:szCs w:val="24"/>
        </w:rPr>
        <w:t xml:space="preserve">atividade agrícola que possui </w:t>
      </w:r>
      <w:r w:rsidRPr="00AE0A69">
        <w:rPr>
          <w:rFonts w:ascii="Times New Roman" w:hAnsi="Times New Roman" w:cs="Times New Roman"/>
          <w:sz w:val="24"/>
          <w:szCs w:val="24"/>
        </w:rPr>
        <w:t xml:space="preserve">particularidades </w:t>
      </w:r>
      <w:r w:rsidR="0062363D">
        <w:rPr>
          <w:rFonts w:ascii="Times New Roman" w:hAnsi="Times New Roman" w:cs="Times New Roman"/>
          <w:sz w:val="24"/>
          <w:szCs w:val="24"/>
        </w:rPr>
        <w:t>inerentes a sua localização o</w:t>
      </w:r>
      <w:r>
        <w:rPr>
          <w:rFonts w:ascii="Times New Roman" w:hAnsi="Times New Roman" w:cs="Times New Roman"/>
          <w:sz w:val="24"/>
          <w:szCs w:val="24"/>
        </w:rPr>
        <w:t xml:space="preserve"> que resulta em produtos s</w:t>
      </w:r>
      <w:r w:rsidR="0062363D">
        <w:rPr>
          <w:rFonts w:ascii="Times New Roman" w:hAnsi="Times New Roman" w:cs="Times New Roman"/>
          <w:sz w:val="24"/>
          <w:szCs w:val="24"/>
        </w:rPr>
        <w:t xml:space="preserve">ignificantemente diferenciados. A sua produção </w:t>
      </w:r>
      <w:r w:rsidRPr="00AE0A69">
        <w:rPr>
          <w:rFonts w:ascii="Times New Roman" w:hAnsi="Times New Roman" w:cs="Times New Roman"/>
          <w:sz w:val="24"/>
          <w:szCs w:val="24"/>
        </w:rPr>
        <w:t>distingue</w:t>
      </w:r>
      <w:r w:rsidR="0062363D">
        <w:rPr>
          <w:rFonts w:ascii="Times New Roman" w:hAnsi="Times New Roman" w:cs="Times New Roman"/>
          <w:sz w:val="24"/>
          <w:szCs w:val="24"/>
        </w:rPr>
        <w:t>-se</w:t>
      </w:r>
      <w:r w:rsidRPr="00AE0A69">
        <w:rPr>
          <w:rFonts w:ascii="Times New Roman" w:hAnsi="Times New Roman" w:cs="Times New Roman"/>
          <w:sz w:val="24"/>
          <w:szCs w:val="24"/>
        </w:rPr>
        <w:t xml:space="preserve"> entre países</w:t>
      </w:r>
      <w:r w:rsidR="0062363D">
        <w:rPr>
          <w:rFonts w:ascii="Times New Roman" w:hAnsi="Times New Roman" w:cs="Times New Roman"/>
          <w:sz w:val="24"/>
          <w:szCs w:val="24"/>
        </w:rPr>
        <w:t>,</w:t>
      </w:r>
      <w:r>
        <w:rPr>
          <w:rFonts w:ascii="Times New Roman" w:hAnsi="Times New Roman" w:cs="Times New Roman"/>
          <w:sz w:val="24"/>
          <w:szCs w:val="24"/>
        </w:rPr>
        <w:t xml:space="preserve"> regiões e</w:t>
      </w:r>
      <w:r w:rsidRPr="00AE0A69">
        <w:rPr>
          <w:rFonts w:ascii="Times New Roman" w:hAnsi="Times New Roman" w:cs="Times New Roman"/>
          <w:sz w:val="24"/>
          <w:szCs w:val="24"/>
        </w:rPr>
        <w:t xml:space="preserve"> mesmo dentro </w:t>
      </w:r>
      <w:r>
        <w:rPr>
          <w:rFonts w:ascii="Times New Roman" w:hAnsi="Times New Roman" w:cs="Times New Roman"/>
          <w:sz w:val="24"/>
          <w:szCs w:val="24"/>
        </w:rPr>
        <w:t>de uma determinada região de um</w:t>
      </w:r>
      <w:r w:rsidRPr="00AE0A69">
        <w:rPr>
          <w:rFonts w:ascii="Times New Roman" w:hAnsi="Times New Roman" w:cs="Times New Roman"/>
          <w:sz w:val="24"/>
          <w:szCs w:val="24"/>
        </w:rPr>
        <w:t xml:space="preserve"> país</w:t>
      </w:r>
      <w:r>
        <w:rPr>
          <w:rFonts w:ascii="Times New Roman" w:hAnsi="Times New Roman" w:cs="Times New Roman"/>
          <w:sz w:val="24"/>
          <w:szCs w:val="24"/>
        </w:rPr>
        <w:t>. O principal fator responsável pelas características do produto</w:t>
      </w:r>
      <w:r w:rsidR="00D40980">
        <w:rPr>
          <w:rFonts w:ascii="Times New Roman" w:hAnsi="Times New Roman" w:cs="Times New Roman"/>
          <w:sz w:val="24"/>
          <w:szCs w:val="24"/>
        </w:rPr>
        <w:t xml:space="preserve"> final, o vinho,</w:t>
      </w:r>
      <w:r>
        <w:rPr>
          <w:rFonts w:ascii="Times New Roman" w:hAnsi="Times New Roman" w:cs="Times New Roman"/>
          <w:sz w:val="24"/>
          <w:szCs w:val="24"/>
        </w:rPr>
        <w:t xml:space="preserve"> são as </w:t>
      </w:r>
      <w:r w:rsidRPr="00AE0A69">
        <w:rPr>
          <w:rFonts w:ascii="Times New Roman" w:hAnsi="Times New Roman" w:cs="Times New Roman"/>
          <w:sz w:val="24"/>
          <w:szCs w:val="24"/>
        </w:rPr>
        <w:t>condições edafoclimáticas</w:t>
      </w:r>
      <w:r>
        <w:rPr>
          <w:rFonts w:ascii="Times New Roman" w:hAnsi="Times New Roman" w:cs="Times New Roman"/>
          <w:sz w:val="24"/>
          <w:szCs w:val="24"/>
        </w:rPr>
        <w:t xml:space="preserve"> (diretamente relacionadas ao solo</w:t>
      </w:r>
      <w:r w:rsidRPr="00AE0A69">
        <w:rPr>
          <w:rFonts w:ascii="Times New Roman" w:hAnsi="Times New Roman" w:cs="Times New Roman"/>
          <w:sz w:val="24"/>
          <w:szCs w:val="24"/>
        </w:rPr>
        <w:t>,</w:t>
      </w:r>
      <w:r>
        <w:rPr>
          <w:rFonts w:ascii="Times New Roman" w:hAnsi="Times New Roman" w:cs="Times New Roman"/>
          <w:sz w:val="24"/>
          <w:szCs w:val="24"/>
        </w:rPr>
        <w:t xml:space="preserve"> clima, condições naturais</w:t>
      </w:r>
      <w:r w:rsidR="0062363D">
        <w:rPr>
          <w:rFonts w:ascii="Times New Roman" w:hAnsi="Times New Roman" w:cs="Times New Roman"/>
          <w:sz w:val="24"/>
          <w:szCs w:val="24"/>
        </w:rPr>
        <w:t xml:space="preserve"> e fatores humanos</w:t>
      </w:r>
      <w:r>
        <w:rPr>
          <w:rFonts w:ascii="Times New Roman" w:hAnsi="Times New Roman" w:cs="Times New Roman"/>
          <w:sz w:val="24"/>
          <w:szCs w:val="24"/>
        </w:rPr>
        <w:t>), além disso, contribuem o</w:t>
      </w:r>
      <w:r w:rsidRPr="00AE0A69">
        <w:rPr>
          <w:rFonts w:ascii="Times New Roman" w:hAnsi="Times New Roman" w:cs="Times New Roman"/>
          <w:sz w:val="24"/>
          <w:szCs w:val="24"/>
        </w:rPr>
        <w:t xml:space="preserve"> ciclo de produção, época de colheita, </w:t>
      </w:r>
      <w:r>
        <w:rPr>
          <w:rFonts w:ascii="Times New Roman" w:hAnsi="Times New Roman" w:cs="Times New Roman"/>
          <w:sz w:val="24"/>
          <w:szCs w:val="24"/>
        </w:rPr>
        <w:t xml:space="preserve">tipo de </w:t>
      </w:r>
      <w:r w:rsidRPr="00AE0A69">
        <w:rPr>
          <w:rFonts w:ascii="Times New Roman" w:hAnsi="Times New Roman" w:cs="Times New Roman"/>
          <w:sz w:val="24"/>
          <w:szCs w:val="24"/>
        </w:rPr>
        <w:t>c</w:t>
      </w:r>
      <w:r>
        <w:rPr>
          <w:rFonts w:ascii="Times New Roman" w:hAnsi="Times New Roman" w:cs="Times New Roman"/>
          <w:sz w:val="24"/>
          <w:szCs w:val="24"/>
        </w:rPr>
        <w:t>ultivares</w:t>
      </w:r>
      <w:r w:rsidRPr="00AE0A69">
        <w:rPr>
          <w:rFonts w:ascii="Times New Roman" w:hAnsi="Times New Roman" w:cs="Times New Roman"/>
          <w:sz w:val="24"/>
          <w:szCs w:val="24"/>
        </w:rPr>
        <w:t xml:space="preserve">, tratos culturais, tipo de produto e até mesmo o foco de mercado. </w:t>
      </w:r>
    </w:p>
    <w:p w:rsidR="00D40980"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 estado do Rio Grande Sul é o principal estado produtor de vinhos e derivados no Brasil. A produção no </w:t>
      </w:r>
      <w:r w:rsidR="00D40980">
        <w:rPr>
          <w:rFonts w:ascii="Times New Roman" w:hAnsi="Times New Roman" w:cs="Times New Roman"/>
          <w:sz w:val="24"/>
          <w:szCs w:val="24"/>
        </w:rPr>
        <w:t>estado está distribuída por vári</w:t>
      </w:r>
      <w:r>
        <w:rPr>
          <w:rFonts w:ascii="Times New Roman" w:hAnsi="Times New Roman" w:cs="Times New Roman"/>
          <w:sz w:val="24"/>
          <w:szCs w:val="24"/>
        </w:rPr>
        <w:t xml:space="preserve">os municípios, </w:t>
      </w:r>
      <w:r w:rsidR="00D40980">
        <w:rPr>
          <w:rFonts w:ascii="Times New Roman" w:hAnsi="Times New Roman" w:cs="Times New Roman"/>
          <w:sz w:val="24"/>
          <w:szCs w:val="24"/>
        </w:rPr>
        <w:t xml:space="preserve">todavia se concentrada </w:t>
      </w:r>
      <w:r w:rsidR="00D40980">
        <w:rPr>
          <w:rFonts w:ascii="Times New Roman" w:hAnsi="Times New Roman" w:cs="Times New Roman"/>
          <w:sz w:val="24"/>
          <w:szCs w:val="24"/>
        </w:rPr>
        <w:lastRenderedPageBreak/>
        <w:t>em regiões</w:t>
      </w:r>
      <w:r>
        <w:rPr>
          <w:rFonts w:ascii="Times New Roman" w:hAnsi="Times New Roman" w:cs="Times New Roman"/>
          <w:sz w:val="24"/>
          <w:szCs w:val="24"/>
        </w:rPr>
        <w:t xml:space="preserve"> com maior potencial</w:t>
      </w:r>
      <w:r w:rsidR="00D40980">
        <w:rPr>
          <w:rFonts w:ascii="Times New Roman" w:hAnsi="Times New Roman" w:cs="Times New Roman"/>
          <w:sz w:val="24"/>
          <w:szCs w:val="24"/>
        </w:rPr>
        <w:t xml:space="preserve"> produtivos, com destaque à principal</w:t>
      </w:r>
      <w:r>
        <w:rPr>
          <w:rFonts w:ascii="Times New Roman" w:hAnsi="Times New Roman" w:cs="Times New Roman"/>
          <w:sz w:val="24"/>
          <w:szCs w:val="24"/>
        </w:rPr>
        <w:t xml:space="preserve"> região</w:t>
      </w:r>
      <w:r w:rsidR="00D40980">
        <w:rPr>
          <w:rFonts w:ascii="Times New Roman" w:hAnsi="Times New Roman" w:cs="Times New Roman"/>
          <w:sz w:val="24"/>
          <w:szCs w:val="24"/>
        </w:rPr>
        <w:t xml:space="preserve"> produtora, a </w:t>
      </w:r>
      <w:r>
        <w:rPr>
          <w:rFonts w:ascii="Times New Roman" w:hAnsi="Times New Roman" w:cs="Times New Roman"/>
          <w:sz w:val="24"/>
          <w:szCs w:val="24"/>
        </w:rPr>
        <w:t>Serra Gaúc</w:t>
      </w:r>
      <w:r w:rsidR="00D40980">
        <w:rPr>
          <w:rFonts w:ascii="Times New Roman" w:hAnsi="Times New Roman" w:cs="Times New Roman"/>
          <w:sz w:val="24"/>
          <w:szCs w:val="24"/>
        </w:rPr>
        <w:t>ha seguida pela região da</w:t>
      </w:r>
      <w:r>
        <w:rPr>
          <w:rFonts w:ascii="Times New Roman" w:hAnsi="Times New Roman" w:cs="Times New Roman"/>
          <w:sz w:val="24"/>
          <w:szCs w:val="24"/>
        </w:rPr>
        <w:t xml:space="preserve"> Campanha</w:t>
      </w:r>
      <w:r w:rsidR="00D40980">
        <w:rPr>
          <w:rFonts w:ascii="Times New Roman" w:hAnsi="Times New Roman" w:cs="Times New Roman"/>
          <w:sz w:val="24"/>
          <w:szCs w:val="24"/>
        </w:rPr>
        <w:t xml:space="preserve"> Gaúcha</w:t>
      </w:r>
      <w:r>
        <w:rPr>
          <w:rFonts w:ascii="Times New Roman" w:hAnsi="Times New Roman" w:cs="Times New Roman"/>
          <w:sz w:val="24"/>
          <w:szCs w:val="24"/>
        </w:rPr>
        <w:t>.</w:t>
      </w:r>
      <w:r w:rsidR="00D40980">
        <w:rPr>
          <w:rFonts w:ascii="Times New Roman" w:hAnsi="Times New Roman" w:cs="Times New Roman"/>
          <w:sz w:val="24"/>
          <w:szCs w:val="24"/>
        </w:rPr>
        <w:t xml:space="preserve"> </w:t>
      </w:r>
    </w:p>
    <w:p w:rsidR="00645A50"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região da Serra Gaúcha é a região mais tradicional na produção de vinhos no país e este fato deve-se a formação da região que recebeu imigrantes de origem italiana, o qual é atribuído o legado da produção da uva e vinhos. A estrutura da produção rural da região também carrega essa característica associada à pequena propriedade e a agricultura familiar no espaço rural enquanto no segmento produtivo concentra as principais empresas vinícolas que se destacam pela produção bem como empresas médias e pequenas, além das cantinas familiares. A região ainda tem em seu território a primeira in</w:t>
      </w:r>
      <w:r w:rsidR="00A95276">
        <w:rPr>
          <w:rFonts w:ascii="Times New Roman" w:hAnsi="Times New Roman" w:cs="Times New Roman"/>
          <w:sz w:val="24"/>
          <w:szCs w:val="24"/>
        </w:rPr>
        <w:t>dicação geográfica do Brasil, Vale dos V</w:t>
      </w:r>
      <w:r>
        <w:rPr>
          <w:rFonts w:ascii="Times New Roman" w:hAnsi="Times New Roman" w:cs="Times New Roman"/>
          <w:sz w:val="24"/>
          <w:szCs w:val="24"/>
        </w:rPr>
        <w:t>inhedos,</w:t>
      </w:r>
      <w:r w:rsidR="00A95276">
        <w:rPr>
          <w:rFonts w:ascii="Times New Roman" w:hAnsi="Times New Roman" w:cs="Times New Roman"/>
          <w:sz w:val="24"/>
          <w:szCs w:val="24"/>
        </w:rPr>
        <w:t xml:space="preserve"> primeiramente como Indicação de Procedência (IP) e posteriormente como Denominação de Origem (DO). A região ainda abriga as Indicações de Procedência: Pinto Bandeira, Monte Belo do Sul, Belos Montes e Farroupilha.</w:t>
      </w:r>
    </w:p>
    <w:p w:rsidR="00645A50" w:rsidRDefault="00A95276"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R</w:t>
      </w:r>
      <w:r w:rsidR="00645A50">
        <w:rPr>
          <w:rFonts w:ascii="Times New Roman" w:hAnsi="Times New Roman" w:cs="Times New Roman"/>
          <w:sz w:val="24"/>
          <w:szCs w:val="24"/>
        </w:rPr>
        <w:t xml:space="preserve">egião </w:t>
      </w:r>
      <w:r w:rsidR="00553421">
        <w:rPr>
          <w:rFonts w:ascii="Times New Roman" w:hAnsi="Times New Roman" w:cs="Times New Roman"/>
          <w:sz w:val="24"/>
          <w:szCs w:val="24"/>
        </w:rPr>
        <w:t>da Campanha está</w:t>
      </w:r>
      <w:r>
        <w:rPr>
          <w:rFonts w:ascii="Times New Roman" w:hAnsi="Times New Roman" w:cs="Times New Roman"/>
          <w:sz w:val="24"/>
          <w:szCs w:val="24"/>
        </w:rPr>
        <w:t xml:space="preserve"> ganha</w:t>
      </w:r>
      <w:r w:rsidR="00553421">
        <w:rPr>
          <w:rFonts w:ascii="Times New Roman" w:hAnsi="Times New Roman" w:cs="Times New Roman"/>
          <w:sz w:val="24"/>
          <w:szCs w:val="24"/>
        </w:rPr>
        <w:t>n</w:t>
      </w:r>
      <w:r>
        <w:rPr>
          <w:rFonts w:ascii="Times New Roman" w:hAnsi="Times New Roman" w:cs="Times New Roman"/>
          <w:sz w:val="24"/>
          <w:szCs w:val="24"/>
        </w:rPr>
        <w:t>do destaque na</w:t>
      </w:r>
      <w:r w:rsidR="00645A50">
        <w:rPr>
          <w:rFonts w:ascii="Times New Roman" w:hAnsi="Times New Roman" w:cs="Times New Roman"/>
          <w:sz w:val="24"/>
          <w:szCs w:val="24"/>
        </w:rPr>
        <w:t xml:space="preserve"> produção de vinhos, </w:t>
      </w:r>
      <w:r>
        <w:rPr>
          <w:rFonts w:ascii="Times New Roman" w:hAnsi="Times New Roman" w:cs="Times New Roman"/>
          <w:sz w:val="24"/>
          <w:szCs w:val="24"/>
        </w:rPr>
        <w:t xml:space="preserve">em especial, </w:t>
      </w:r>
      <w:r w:rsidR="00645A50">
        <w:rPr>
          <w:rFonts w:ascii="Times New Roman" w:hAnsi="Times New Roman" w:cs="Times New Roman"/>
          <w:sz w:val="24"/>
          <w:szCs w:val="24"/>
        </w:rPr>
        <w:t>vinhos finos</w:t>
      </w:r>
      <w:r w:rsidR="00453E9D">
        <w:rPr>
          <w:rFonts w:ascii="Times New Roman" w:hAnsi="Times New Roman" w:cs="Times New Roman"/>
          <w:sz w:val="24"/>
          <w:szCs w:val="24"/>
        </w:rPr>
        <w:t>,</w:t>
      </w:r>
      <w:r w:rsidR="00645A50">
        <w:rPr>
          <w:rFonts w:ascii="Times New Roman" w:hAnsi="Times New Roman" w:cs="Times New Roman"/>
          <w:sz w:val="24"/>
          <w:szCs w:val="24"/>
        </w:rPr>
        <w:t xml:space="preserve"> </w:t>
      </w:r>
      <w:r>
        <w:rPr>
          <w:rFonts w:ascii="Times New Roman" w:hAnsi="Times New Roman" w:cs="Times New Roman"/>
          <w:sz w:val="24"/>
          <w:szCs w:val="24"/>
        </w:rPr>
        <w:t xml:space="preserve">sendo </w:t>
      </w:r>
      <w:r w:rsidR="00645A50">
        <w:rPr>
          <w:rFonts w:ascii="Times New Roman" w:hAnsi="Times New Roman" w:cs="Times New Roman"/>
          <w:sz w:val="24"/>
          <w:szCs w:val="24"/>
        </w:rPr>
        <w:t>a mais recente indicação geográfica reconhecida</w:t>
      </w:r>
      <w:r w:rsidR="00553421">
        <w:rPr>
          <w:rFonts w:ascii="Times New Roman" w:hAnsi="Times New Roman" w:cs="Times New Roman"/>
          <w:sz w:val="24"/>
          <w:szCs w:val="24"/>
        </w:rPr>
        <w:t xml:space="preserve"> no Rio Grande do Sul. A produção vitivinícola da região se caracteriza como área vinícola jovem e promissora</w:t>
      </w:r>
      <w:r w:rsidR="00645A50">
        <w:rPr>
          <w:rFonts w:ascii="Times New Roman" w:hAnsi="Times New Roman" w:cs="Times New Roman"/>
          <w:sz w:val="24"/>
          <w:szCs w:val="24"/>
        </w:rPr>
        <w:t xml:space="preserve"> </w:t>
      </w:r>
      <w:r w:rsidR="00553421">
        <w:rPr>
          <w:rFonts w:ascii="Times New Roman" w:hAnsi="Times New Roman" w:cs="Times New Roman"/>
          <w:sz w:val="24"/>
          <w:szCs w:val="24"/>
        </w:rPr>
        <w:t>imputada</w:t>
      </w:r>
      <w:r w:rsidR="00645A50">
        <w:rPr>
          <w:rFonts w:ascii="Times New Roman" w:hAnsi="Times New Roman" w:cs="Times New Roman"/>
          <w:sz w:val="24"/>
          <w:szCs w:val="24"/>
        </w:rPr>
        <w:t xml:space="preserve"> </w:t>
      </w:r>
      <w:r w:rsidR="00453E9D">
        <w:rPr>
          <w:rFonts w:ascii="Times New Roman" w:hAnsi="Times New Roman" w:cs="Times New Roman"/>
          <w:sz w:val="24"/>
          <w:szCs w:val="24"/>
        </w:rPr>
        <w:t>pelas</w:t>
      </w:r>
      <w:r w:rsidR="00645A50">
        <w:rPr>
          <w:rFonts w:ascii="Times New Roman" w:hAnsi="Times New Roman" w:cs="Times New Roman"/>
          <w:sz w:val="24"/>
          <w:szCs w:val="24"/>
        </w:rPr>
        <w:t xml:space="preserve"> novas oportunidades</w:t>
      </w:r>
      <w:r w:rsidR="00453E9D">
        <w:rPr>
          <w:rFonts w:ascii="Times New Roman" w:hAnsi="Times New Roman" w:cs="Times New Roman"/>
          <w:sz w:val="24"/>
          <w:szCs w:val="24"/>
        </w:rPr>
        <w:t xml:space="preserve"> e deslocamento</w:t>
      </w:r>
      <w:r w:rsidR="00645A50">
        <w:rPr>
          <w:rFonts w:ascii="Times New Roman" w:hAnsi="Times New Roman" w:cs="Times New Roman"/>
          <w:sz w:val="24"/>
          <w:szCs w:val="24"/>
        </w:rPr>
        <w:t xml:space="preserve"> do capital produtivo da Serra, mas tam</w:t>
      </w:r>
      <w:r w:rsidR="00453E9D">
        <w:rPr>
          <w:rFonts w:ascii="Times New Roman" w:hAnsi="Times New Roman" w:cs="Times New Roman"/>
          <w:sz w:val="24"/>
          <w:szCs w:val="24"/>
        </w:rPr>
        <w:t>bém pela suas condições adafoclimáticas</w:t>
      </w:r>
      <w:r w:rsidR="00645A50">
        <w:rPr>
          <w:rFonts w:ascii="Times New Roman" w:hAnsi="Times New Roman" w:cs="Times New Roman"/>
          <w:sz w:val="24"/>
          <w:szCs w:val="24"/>
        </w:rPr>
        <w:t xml:space="preserve"> favoráveis a produção vitivinícola. A </w:t>
      </w:r>
      <w:r w:rsidR="00453E9D">
        <w:rPr>
          <w:rFonts w:ascii="Times New Roman" w:hAnsi="Times New Roman" w:cs="Times New Roman"/>
          <w:sz w:val="24"/>
          <w:szCs w:val="24"/>
        </w:rPr>
        <w:t xml:space="preserve">produção vinícola na Campanha pode ser considerada uma inovação, pois tradicionalmente esse território foi associado </w:t>
      </w:r>
      <w:r w:rsidR="00084C18">
        <w:rPr>
          <w:rFonts w:ascii="Times New Roman" w:hAnsi="Times New Roman" w:cs="Times New Roman"/>
          <w:sz w:val="24"/>
          <w:szCs w:val="24"/>
        </w:rPr>
        <w:t>às</w:t>
      </w:r>
      <w:r w:rsidR="00645A50">
        <w:rPr>
          <w:rFonts w:ascii="Times New Roman" w:hAnsi="Times New Roman" w:cs="Times New Roman"/>
          <w:sz w:val="24"/>
          <w:szCs w:val="24"/>
        </w:rPr>
        <w:t xml:space="preserve"> estân</w:t>
      </w:r>
      <w:r w:rsidR="00453E9D">
        <w:rPr>
          <w:rFonts w:ascii="Times New Roman" w:hAnsi="Times New Roman" w:cs="Times New Roman"/>
          <w:sz w:val="24"/>
          <w:szCs w:val="24"/>
        </w:rPr>
        <w:t>cias e a produção agropecuária.</w:t>
      </w:r>
      <w:r w:rsidR="00084C18">
        <w:rPr>
          <w:rFonts w:ascii="Times New Roman" w:hAnsi="Times New Roman" w:cs="Times New Roman"/>
          <w:sz w:val="24"/>
          <w:szCs w:val="24"/>
        </w:rPr>
        <w:t xml:space="preserve"> </w:t>
      </w:r>
    </w:p>
    <w:p w:rsidR="004B2832" w:rsidRDefault="004B2832"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Neste contexto e considerando a possibilidade de desenvolvimento de determinados territórios tem-se a inclusão do debate sobre as indicações geográficas as quais são representativas no segmento vitivinícola. </w:t>
      </w:r>
    </w:p>
    <w:p w:rsidR="00B21461" w:rsidRDefault="004B2832" w:rsidP="00D40980">
      <w:pPr>
        <w:spacing w:after="0" w:line="360" w:lineRule="auto"/>
        <w:ind w:firstLine="720"/>
        <w:jc w:val="both"/>
      </w:pPr>
      <w:r w:rsidRPr="00B21461">
        <w:rPr>
          <w:rFonts w:ascii="Times New Roman" w:hAnsi="Times New Roman" w:cs="Times New Roman"/>
          <w:sz w:val="24"/>
          <w:szCs w:val="24"/>
        </w:rPr>
        <w:t>Como destacavam</w:t>
      </w:r>
      <w:r w:rsidR="00181570">
        <w:rPr>
          <w:rFonts w:ascii="Times New Roman" w:hAnsi="Times New Roman" w:cs="Times New Roman"/>
          <w:sz w:val="24"/>
          <w:szCs w:val="24"/>
        </w:rPr>
        <w:t xml:space="preserve"> Dulius et al (2008</w:t>
      </w:r>
      <w:r w:rsidRPr="00B21461">
        <w:rPr>
          <w:rFonts w:ascii="Times New Roman" w:hAnsi="Times New Roman" w:cs="Times New Roman"/>
          <w:sz w:val="24"/>
          <w:szCs w:val="24"/>
        </w:rPr>
        <w:t>) uma</w:t>
      </w:r>
      <w:r w:rsidR="00B21461" w:rsidRPr="00B21461">
        <w:rPr>
          <w:rFonts w:ascii="Times New Roman" w:hAnsi="Times New Roman" w:cs="Times New Roman"/>
          <w:sz w:val="24"/>
          <w:szCs w:val="24"/>
        </w:rPr>
        <w:t xml:space="preserve"> das principais estratégias que </w:t>
      </w:r>
      <w:r w:rsidRPr="00B21461">
        <w:rPr>
          <w:rFonts w:ascii="Times New Roman" w:hAnsi="Times New Roman" w:cs="Times New Roman"/>
          <w:sz w:val="24"/>
          <w:szCs w:val="24"/>
        </w:rPr>
        <w:t>articula os potenciais da noção de identidade territorial para promover ações de desenvolvimento são aquelas que se pautam pela obtenção de dispositi</w:t>
      </w:r>
      <w:r w:rsidR="00B21461" w:rsidRPr="00B21461">
        <w:rPr>
          <w:rFonts w:ascii="Times New Roman" w:hAnsi="Times New Roman" w:cs="Times New Roman"/>
          <w:sz w:val="24"/>
          <w:szCs w:val="24"/>
        </w:rPr>
        <w:t xml:space="preserve">vos de reconhecimento, sendo que </w:t>
      </w:r>
      <w:r w:rsidRPr="00B21461">
        <w:rPr>
          <w:rFonts w:ascii="Times New Roman" w:hAnsi="Times New Roman" w:cs="Times New Roman"/>
          <w:sz w:val="24"/>
          <w:szCs w:val="24"/>
        </w:rPr>
        <w:t>as Indicações Geográficas</w:t>
      </w:r>
      <w:r w:rsidR="00B21461" w:rsidRPr="00B21461">
        <w:rPr>
          <w:rFonts w:ascii="Times New Roman" w:hAnsi="Times New Roman" w:cs="Times New Roman"/>
          <w:sz w:val="24"/>
          <w:szCs w:val="24"/>
        </w:rPr>
        <w:t xml:space="preserve"> são as mais reconhecidas. Os autores argumentam que as </w:t>
      </w:r>
      <w:r w:rsidRPr="00B21461">
        <w:rPr>
          <w:rFonts w:ascii="Times New Roman" w:hAnsi="Times New Roman" w:cs="Times New Roman"/>
          <w:sz w:val="24"/>
          <w:szCs w:val="24"/>
        </w:rPr>
        <w:t>Indicações Geográficas são responsáveis pelo desenvolvimento de grande parte dos territórios europeus que investiram nos produtos e serviços com base nas características histórico-culturais e</w:t>
      </w:r>
      <w:r w:rsidR="00B21461" w:rsidRPr="00B21461">
        <w:rPr>
          <w:rFonts w:ascii="Times New Roman" w:hAnsi="Times New Roman" w:cs="Times New Roman"/>
          <w:sz w:val="24"/>
          <w:szCs w:val="24"/>
        </w:rPr>
        <w:t xml:space="preserve"> que tem a organização dos atores que atuam no território. Considerando ainda </w:t>
      </w:r>
      <w:r w:rsidRPr="00B21461">
        <w:rPr>
          <w:rFonts w:ascii="Times New Roman" w:hAnsi="Times New Roman" w:cs="Times New Roman"/>
          <w:sz w:val="24"/>
          <w:szCs w:val="24"/>
        </w:rPr>
        <w:t>o desenvolvimento</w:t>
      </w:r>
      <w:r>
        <w:t xml:space="preserve"> </w:t>
      </w:r>
      <w:r w:rsidRPr="00B21461">
        <w:rPr>
          <w:rFonts w:ascii="Times New Roman" w:hAnsi="Times New Roman" w:cs="Times New Roman"/>
          <w:sz w:val="24"/>
          <w:szCs w:val="24"/>
        </w:rPr>
        <w:lastRenderedPageBreak/>
        <w:t xml:space="preserve">de uma nova ruralidade, com a valorização dos territórios, as Indicações Geográficas constituem uma importante estratégia de agregação de valor aos produtos locais, possibilitando maior </w:t>
      </w:r>
      <w:r w:rsidR="00B21461" w:rsidRPr="00B21461">
        <w:rPr>
          <w:rFonts w:ascii="Times New Roman" w:hAnsi="Times New Roman" w:cs="Times New Roman"/>
          <w:sz w:val="24"/>
          <w:szCs w:val="24"/>
        </w:rPr>
        <w:t>competitividade</w:t>
      </w:r>
      <w:r w:rsidR="00B21461">
        <w:t>.</w:t>
      </w:r>
    </w:p>
    <w:p w:rsidR="00D40980" w:rsidRDefault="0056188F" w:rsidP="00645A50">
      <w:pPr>
        <w:spacing w:after="0" w:line="360" w:lineRule="auto"/>
        <w:ind w:firstLine="720"/>
        <w:jc w:val="both"/>
        <w:rPr>
          <w:rFonts w:ascii="Times New Roman" w:hAnsi="Times New Roman" w:cs="Times New Roman"/>
          <w:sz w:val="24"/>
          <w:szCs w:val="24"/>
        </w:rPr>
      </w:pPr>
      <w:r w:rsidRPr="0056188F">
        <w:rPr>
          <w:rFonts w:ascii="Times New Roman" w:hAnsi="Times New Roman"/>
          <w:sz w:val="24"/>
        </w:rPr>
        <w:t>Assim o problema da pesquisa questiona como a produção vitivinícola contribui para o desenvolvimento dos territórios que está inserida? Sendo o objetivo discutir a produção vitivinícola e a interrelação desta com a dinâmica territorial e o reconhecimento das indicações geográficas</w:t>
      </w:r>
      <w:r w:rsidRPr="008450A7">
        <w:rPr>
          <w:rFonts w:ascii="Times New Roman" w:hAnsi="Times New Roman"/>
          <w:sz w:val="24"/>
        </w:rPr>
        <w:t>.</w:t>
      </w:r>
    </w:p>
    <w:p w:rsidR="00645A50" w:rsidRDefault="000952AE"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 artigo está divido nessa</w:t>
      </w:r>
      <w:r w:rsidR="00645A50">
        <w:rPr>
          <w:rFonts w:ascii="Times New Roman" w:hAnsi="Times New Roman" w:cs="Times New Roman"/>
          <w:sz w:val="24"/>
          <w:szCs w:val="24"/>
        </w:rPr>
        <w:t xml:space="preserve"> introdução em dois tópicos onde no primeiro se apresenta uma discussão do desenvolvimento territorial e vitivinicultura e no segundo tópico a produção no estado no Rio Grande do Sul</w:t>
      </w:r>
      <w:r>
        <w:rPr>
          <w:rFonts w:ascii="Times New Roman" w:hAnsi="Times New Roman" w:cs="Times New Roman"/>
          <w:sz w:val="24"/>
          <w:szCs w:val="24"/>
        </w:rPr>
        <w:t xml:space="preserve"> e suas implicações</w:t>
      </w:r>
      <w:r w:rsidR="00645A50">
        <w:rPr>
          <w:rFonts w:ascii="Times New Roman" w:hAnsi="Times New Roman" w:cs="Times New Roman"/>
          <w:sz w:val="24"/>
          <w:szCs w:val="24"/>
        </w:rPr>
        <w:t>. Por fim as considerações finais.</w:t>
      </w:r>
    </w:p>
    <w:p w:rsidR="005B0FD1" w:rsidRDefault="005B0FD1" w:rsidP="005B0FD1">
      <w:pPr>
        <w:spacing w:after="0" w:line="360" w:lineRule="auto"/>
        <w:jc w:val="both"/>
        <w:rPr>
          <w:rFonts w:ascii="Times New Roman" w:hAnsi="Times New Roman" w:cs="Times New Roman"/>
          <w:sz w:val="24"/>
          <w:szCs w:val="24"/>
        </w:rPr>
      </w:pPr>
    </w:p>
    <w:p w:rsidR="005B0FD1" w:rsidRDefault="005B0FD1" w:rsidP="005B0F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ASPECTOS METODOLÓGICO </w:t>
      </w:r>
    </w:p>
    <w:p w:rsidR="00A94937" w:rsidRDefault="00A94937" w:rsidP="000909D0">
      <w:pPr>
        <w:spacing w:after="0" w:line="360" w:lineRule="auto"/>
        <w:ind w:firstLine="706"/>
        <w:jc w:val="both"/>
        <w:rPr>
          <w:rFonts w:ascii="Times New Roman" w:hAnsi="Times New Roman" w:cs="Times New Roman"/>
          <w:sz w:val="24"/>
          <w:szCs w:val="24"/>
        </w:rPr>
      </w:pPr>
    </w:p>
    <w:p w:rsidR="000909D0" w:rsidRDefault="000909D0" w:rsidP="000909D0">
      <w:pPr>
        <w:spacing w:after="0" w:line="360" w:lineRule="auto"/>
        <w:ind w:firstLine="706"/>
        <w:jc w:val="both"/>
        <w:rPr>
          <w:rFonts w:ascii="Times New Roman" w:hAnsi="Times New Roman" w:cs="Times New Roman"/>
          <w:sz w:val="24"/>
          <w:szCs w:val="24"/>
        </w:rPr>
      </w:pPr>
      <w:r>
        <w:rPr>
          <w:rFonts w:ascii="Times New Roman" w:hAnsi="Times New Roman" w:cs="Times New Roman"/>
          <w:sz w:val="24"/>
          <w:szCs w:val="24"/>
        </w:rPr>
        <w:t xml:space="preserve">Esse artigo foi construído a partir de revisão bibliográfica e com suporte de dados secundários. As fontes de pesquisas foram o Instituto Brasileiro de Geografia e Estatística (IBGE) em especifico os dados do último Censo Agropecuário onde se pesquisou a produção de uva e vinhos. Vale ressaltar que </w:t>
      </w:r>
      <w:r>
        <w:rPr>
          <w:rFonts w:ascii="Times New Roman" w:eastAsia="Times New Roman" w:hAnsi="Times New Roman"/>
          <w:sz w:val="24"/>
          <w:szCs w:val="24"/>
          <w:lang w:eastAsia="pt-BR"/>
        </w:rPr>
        <w:t>vitivinicultura está relacionada diretamente a produção da lavoura permanente, pois a uva é</w:t>
      </w:r>
      <w:r w:rsidR="00A94937">
        <w:rPr>
          <w:rFonts w:ascii="Times New Roman" w:eastAsia="Times New Roman" w:hAnsi="Times New Roman"/>
          <w:sz w:val="24"/>
          <w:szCs w:val="24"/>
          <w:lang w:eastAsia="pt-BR"/>
        </w:rPr>
        <w:t xml:space="preserve"> assim é considerada </w:t>
      </w:r>
      <w:r>
        <w:rPr>
          <w:rFonts w:ascii="Times New Roman" w:eastAsia="Times New Roman" w:hAnsi="Times New Roman"/>
          <w:sz w:val="24"/>
          <w:szCs w:val="24"/>
          <w:lang w:eastAsia="pt-BR"/>
        </w:rPr>
        <w:t>nos dados do IBGE</w:t>
      </w:r>
      <w:r w:rsidR="00A94937">
        <w:rPr>
          <w:rFonts w:ascii="Times New Roman" w:eastAsia="Times New Roman" w:hAnsi="Times New Roman"/>
          <w:sz w:val="24"/>
          <w:szCs w:val="24"/>
          <w:lang w:eastAsia="pt-BR"/>
        </w:rPr>
        <w:t xml:space="preserve"> e foi analisada então por esses parâmetros, principalmente em relação a valores de produção área plantada. Ainda foi usado o </w:t>
      </w:r>
      <w:r>
        <w:rPr>
          <w:rFonts w:ascii="Times New Roman" w:hAnsi="Times New Roman" w:cs="Times New Roman"/>
          <w:sz w:val="24"/>
          <w:szCs w:val="24"/>
        </w:rPr>
        <w:t>Cadastro Vitivinicola do Rio Grande do Sul elaborado em parceria com Agência Embrapa</w:t>
      </w:r>
      <w:r w:rsidR="00D21D75">
        <w:rPr>
          <w:rFonts w:ascii="Times New Roman" w:hAnsi="Times New Roman" w:cs="Times New Roman"/>
          <w:sz w:val="24"/>
          <w:szCs w:val="24"/>
        </w:rPr>
        <w:t xml:space="preserve"> uva e vinho de Bento Gonç</w:t>
      </w:r>
      <w:r>
        <w:rPr>
          <w:rFonts w:ascii="Times New Roman" w:hAnsi="Times New Roman" w:cs="Times New Roman"/>
          <w:sz w:val="24"/>
          <w:szCs w:val="24"/>
        </w:rPr>
        <w:t xml:space="preserve">alves e </w:t>
      </w:r>
      <w:r w:rsidR="00A94937">
        <w:rPr>
          <w:rFonts w:ascii="Times New Roman" w:hAnsi="Times New Roman" w:cs="Times New Roman"/>
          <w:sz w:val="24"/>
          <w:szCs w:val="24"/>
        </w:rPr>
        <w:t>demais leituras complementares.</w:t>
      </w:r>
    </w:p>
    <w:p w:rsidR="00E26FB3" w:rsidRPr="00AE0A69" w:rsidRDefault="00E26FB3" w:rsidP="005B0FD1">
      <w:pPr>
        <w:spacing w:after="0" w:line="360" w:lineRule="auto"/>
        <w:jc w:val="both"/>
        <w:rPr>
          <w:rFonts w:ascii="Times New Roman" w:hAnsi="Times New Roman" w:cs="Times New Roman"/>
          <w:sz w:val="24"/>
          <w:szCs w:val="24"/>
        </w:rPr>
      </w:pPr>
    </w:p>
    <w:p w:rsidR="00645A50" w:rsidRDefault="0077223B" w:rsidP="00645A50">
      <w:pPr>
        <w:spacing w:after="0" w:line="360" w:lineRule="auto"/>
        <w:jc w:val="both"/>
        <w:rPr>
          <w:rFonts w:ascii="Times New Roman" w:hAnsi="Times New Roman" w:cs="Times New Roman"/>
          <w:sz w:val="24"/>
          <w:szCs w:val="24"/>
        </w:rPr>
      </w:pPr>
      <w:r w:rsidRPr="0077223B">
        <w:rPr>
          <w:rFonts w:ascii="Times New Roman" w:hAnsi="Times New Roman" w:cs="Times New Roman"/>
          <w:sz w:val="24"/>
          <w:szCs w:val="24"/>
        </w:rPr>
        <w:t>3 REFERENCIAL TEÓRICO</w:t>
      </w:r>
    </w:p>
    <w:p w:rsidR="00181570" w:rsidRDefault="00181570" w:rsidP="00645A50">
      <w:pPr>
        <w:spacing w:after="0" w:line="360" w:lineRule="auto"/>
        <w:jc w:val="both"/>
        <w:rPr>
          <w:rFonts w:ascii="Times New Roman" w:hAnsi="Times New Roman" w:cs="Times New Roman"/>
          <w:sz w:val="24"/>
          <w:szCs w:val="24"/>
        </w:rPr>
      </w:pPr>
    </w:p>
    <w:p w:rsidR="00645A50" w:rsidRPr="0077223B" w:rsidRDefault="0077223B" w:rsidP="00645A50">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3.1 D</w:t>
      </w:r>
      <w:r w:rsidRPr="0077223B">
        <w:rPr>
          <w:rFonts w:ascii="Times New Roman" w:hAnsi="Times New Roman" w:cs="Times New Roman"/>
          <w:i/>
          <w:sz w:val="24"/>
          <w:szCs w:val="24"/>
        </w:rPr>
        <w:t xml:space="preserve">esenvolvimento territorial e vitivinicultura </w:t>
      </w:r>
    </w:p>
    <w:p w:rsidR="0077223B" w:rsidRDefault="0077223B" w:rsidP="00645A50">
      <w:pPr>
        <w:spacing w:after="0" w:line="360" w:lineRule="auto"/>
        <w:ind w:firstLine="720"/>
        <w:jc w:val="both"/>
        <w:rPr>
          <w:rFonts w:ascii="Times New Roman" w:hAnsi="Times New Roman" w:cs="Times New Roman"/>
          <w:sz w:val="24"/>
          <w:szCs w:val="24"/>
        </w:rPr>
      </w:pPr>
    </w:p>
    <w:p w:rsidR="00645A50"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 Vale dos Vinhedos no Rio Grande do Sul tornou-se um dos mais tradicionais territórios vitivinícolas do Brasil, todavia, nos anos 1990 assim como outros segmentos agropecuários sofreu com a desregulamentação no país em função da abertura econômica e </w:t>
      </w:r>
      <w:r>
        <w:rPr>
          <w:rFonts w:ascii="Times New Roman" w:hAnsi="Times New Roman" w:cs="Times New Roman"/>
          <w:sz w:val="24"/>
          <w:szCs w:val="24"/>
        </w:rPr>
        <w:lastRenderedPageBreak/>
        <w:t>com isso teve que enfrentar a concorrência dos vinhos Chilenos e Argentinos. A alternativa dos produtores locais passou pela organização e sinergia cooperativa, sendo a alternativa o investimento em melhorar a qualidade dos produtos em vez de guerra de preços. Com a criação da associação de produtores do Vale dos Vinhedos e a criação da indicação geográfica os produtores da região conseguiram enfrentar melhor a competitividade dado que o os custo de produção na Serra Gaúcha eram elevados (ORTEGA; JEZIORNY, 2011)</w:t>
      </w:r>
    </w:p>
    <w:p w:rsidR="00645A50"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Mioroki e D</w:t>
      </w:r>
      <w:r w:rsidRPr="00A25993">
        <w:rPr>
          <w:rFonts w:ascii="Times New Roman" w:hAnsi="Times New Roman" w:cs="Times New Roman"/>
          <w:sz w:val="24"/>
          <w:szCs w:val="24"/>
        </w:rPr>
        <w:t>a</w:t>
      </w:r>
      <w:r>
        <w:rPr>
          <w:rFonts w:ascii="Times New Roman" w:hAnsi="Times New Roman" w:cs="Times New Roman"/>
          <w:sz w:val="24"/>
          <w:szCs w:val="24"/>
        </w:rPr>
        <w:t>l</w:t>
      </w:r>
      <w:r w:rsidRPr="00A25993">
        <w:rPr>
          <w:rFonts w:ascii="Times New Roman" w:hAnsi="Times New Roman" w:cs="Times New Roman"/>
          <w:sz w:val="24"/>
          <w:szCs w:val="24"/>
        </w:rPr>
        <w:t>labrida</w:t>
      </w:r>
      <w:r>
        <w:rPr>
          <w:rFonts w:ascii="Times New Roman" w:hAnsi="Times New Roman" w:cs="Times New Roman"/>
          <w:sz w:val="24"/>
          <w:szCs w:val="24"/>
        </w:rPr>
        <w:t xml:space="preserve"> (2015, p. 14)</w:t>
      </w:r>
      <w:r w:rsidRPr="00A25993">
        <w:rPr>
          <w:rFonts w:ascii="Times New Roman" w:hAnsi="Times New Roman" w:cs="Times New Roman"/>
          <w:sz w:val="24"/>
          <w:szCs w:val="24"/>
        </w:rPr>
        <w:t xml:space="preserve"> </w:t>
      </w:r>
      <w:r>
        <w:rPr>
          <w:rFonts w:ascii="Times New Roman" w:hAnsi="Times New Roman" w:cs="Times New Roman"/>
          <w:sz w:val="24"/>
          <w:szCs w:val="24"/>
        </w:rPr>
        <w:t>referem-se à Indicação Geográfi</w:t>
      </w:r>
      <w:r w:rsidRPr="00A25993">
        <w:rPr>
          <w:rFonts w:ascii="Times New Roman" w:hAnsi="Times New Roman" w:cs="Times New Roman"/>
          <w:sz w:val="24"/>
          <w:szCs w:val="24"/>
        </w:rPr>
        <w:t>ca (IG)</w:t>
      </w:r>
      <w:r>
        <w:rPr>
          <w:rFonts w:ascii="Times New Roman" w:hAnsi="Times New Roman" w:cs="Times New Roman"/>
          <w:sz w:val="24"/>
          <w:szCs w:val="24"/>
        </w:rPr>
        <w:t xml:space="preserve"> como sendo “</w:t>
      </w:r>
      <w:r w:rsidRPr="00A25993">
        <w:rPr>
          <w:rFonts w:ascii="Times New Roman" w:hAnsi="Times New Roman" w:cs="Times New Roman"/>
          <w:sz w:val="24"/>
          <w:szCs w:val="24"/>
        </w:rPr>
        <w:t xml:space="preserve">uma qualidade atribuída a um produto originário de um território cujas características são inerentes a </w:t>
      </w:r>
      <w:r>
        <w:rPr>
          <w:rFonts w:ascii="Times New Roman" w:hAnsi="Times New Roman" w:cs="Times New Roman"/>
          <w:sz w:val="24"/>
          <w:szCs w:val="24"/>
        </w:rPr>
        <w:t>sua origem geográfi</w:t>
      </w:r>
      <w:r w:rsidRPr="00A25993">
        <w:rPr>
          <w:rFonts w:ascii="Times New Roman" w:hAnsi="Times New Roman" w:cs="Times New Roman"/>
          <w:sz w:val="24"/>
          <w:szCs w:val="24"/>
        </w:rPr>
        <w:t xml:space="preserve">ca. Representa uma qualidade relacionada ao meio natural ou a fatores humanos, que lhes </w:t>
      </w:r>
      <w:r>
        <w:rPr>
          <w:rFonts w:ascii="Times New Roman" w:hAnsi="Times New Roman" w:cs="Times New Roman"/>
          <w:sz w:val="24"/>
          <w:szCs w:val="24"/>
        </w:rPr>
        <w:t>atribuem notoriedade e especifi</w:t>
      </w:r>
      <w:r w:rsidRPr="00A25993">
        <w:rPr>
          <w:rFonts w:ascii="Times New Roman" w:hAnsi="Times New Roman" w:cs="Times New Roman"/>
          <w:sz w:val="24"/>
          <w:szCs w:val="24"/>
        </w:rPr>
        <w:t>cidade territorial</w:t>
      </w:r>
      <w:r>
        <w:rPr>
          <w:rFonts w:ascii="Times New Roman" w:hAnsi="Times New Roman" w:cs="Times New Roman"/>
          <w:sz w:val="24"/>
          <w:szCs w:val="24"/>
        </w:rPr>
        <w:t>”.</w:t>
      </w:r>
    </w:p>
    <w:p w:rsidR="00645A50"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Neste mesmo sentido Ortega e Jeziorny (2011) afirmam que a indicação geográfica como signo distintivo agrega valor ao produto e visa reconhecer a qualidade do mesmo além de reduzir a incerteza do consumidor. Mas sua essência é produzir, no caso do vinho, um produto singular que carrega as características do território que é produzido. Os autores ao destacar a experiência do Vale dos Vinhedos na Serra Gaúcha, consideram que a experiência ultrapassa o âmbito restrito da vitivinicultura para ganhar importância de um projeto de desenvolvimento territorial, em que a atividade do enoturismo merece destaque.</w:t>
      </w:r>
    </w:p>
    <w:p w:rsidR="00645A50"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 </w:t>
      </w:r>
      <w:r w:rsidRPr="004A6CF6">
        <w:rPr>
          <w:rFonts w:ascii="Times New Roman" w:hAnsi="Times New Roman" w:cs="Times New Roman"/>
          <w:sz w:val="24"/>
          <w:szCs w:val="24"/>
        </w:rPr>
        <w:t>desenvolvimento territori</w:t>
      </w:r>
      <w:r>
        <w:rPr>
          <w:rFonts w:ascii="Times New Roman" w:hAnsi="Times New Roman" w:cs="Times New Roman"/>
          <w:sz w:val="24"/>
          <w:szCs w:val="24"/>
        </w:rPr>
        <w:t>al é considerado como um</w:t>
      </w:r>
      <w:r w:rsidRPr="004A6CF6">
        <w:rPr>
          <w:rFonts w:ascii="Times New Roman" w:hAnsi="Times New Roman" w:cs="Times New Roman"/>
          <w:sz w:val="24"/>
          <w:szCs w:val="24"/>
        </w:rPr>
        <w:t xml:space="preserve"> processo de mudança continuada, situado hi</w:t>
      </w:r>
      <w:r>
        <w:rPr>
          <w:rFonts w:ascii="Times New Roman" w:hAnsi="Times New Roman" w:cs="Times New Roman"/>
          <w:sz w:val="24"/>
          <w:szCs w:val="24"/>
        </w:rPr>
        <w:t xml:space="preserve">stórica e territorialmente e </w:t>
      </w:r>
      <w:r w:rsidRPr="004A6CF6">
        <w:rPr>
          <w:rFonts w:ascii="Times New Roman" w:hAnsi="Times New Roman" w:cs="Times New Roman"/>
          <w:sz w:val="24"/>
          <w:szCs w:val="24"/>
        </w:rPr>
        <w:t xml:space="preserve">interligado em dinâmicas intraterritoriais, supraterritoriais e </w:t>
      </w:r>
      <w:r>
        <w:rPr>
          <w:rFonts w:ascii="Times New Roman" w:hAnsi="Times New Roman" w:cs="Times New Roman"/>
          <w:sz w:val="24"/>
          <w:szCs w:val="24"/>
        </w:rPr>
        <w:t xml:space="preserve">até mesmo </w:t>
      </w:r>
      <w:r w:rsidRPr="004A6CF6">
        <w:rPr>
          <w:rFonts w:ascii="Times New Roman" w:hAnsi="Times New Roman" w:cs="Times New Roman"/>
          <w:sz w:val="24"/>
          <w:szCs w:val="24"/>
        </w:rPr>
        <w:t>globais,</w:t>
      </w:r>
      <w:r>
        <w:rPr>
          <w:rFonts w:ascii="Times New Roman" w:hAnsi="Times New Roman" w:cs="Times New Roman"/>
          <w:sz w:val="24"/>
          <w:szCs w:val="24"/>
        </w:rPr>
        <w:t xml:space="preserve"> em que é sustentado na potencialização</w:t>
      </w:r>
      <w:r w:rsidRPr="004A6CF6">
        <w:rPr>
          <w:rFonts w:ascii="Times New Roman" w:hAnsi="Times New Roman" w:cs="Times New Roman"/>
          <w:sz w:val="24"/>
          <w:szCs w:val="24"/>
        </w:rPr>
        <w:t xml:space="preserve"> dos recursos e ativos</w:t>
      </w:r>
      <w:r>
        <w:rPr>
          <w:rFonts w:ascii="Times New Roman" w:hAnsi="Times New Roman" w:cs="Times New Roman"/>
          <w:sz w:val="24"/>
          <w:szCs w:val="24"/>
        </w:rPr>
        <w:t>, sejam materiais e ou</w:t>
      </w:r>
      <w:r w:rsidRPr="004A6CF6">
        <w:rPr>
          <w:rFonts w:ascii="Times New Roman" w:hAnsi="Times New Roman" w:cs="Times New Roman"/>
          <w:sz w:val="24"/>
          <w:szCs w:val="24"/>
        </w:rPr>
        <w:t xml:space="preserve"> i</w:t>
      </w:r>
      <w:r>
        <w:rPr>
          <w:rFonts w:ascii="Times New Roman" w:hAnsi="Times New Roman" w:cs="Times New Roman"/>
          <w:sz w:val="24"/>
          <w:szCs w:val="24"/>
        </w:rPr>
        <w:t>materiais, que pertençam ao local, tenham como objetivo a</w:t>
      </w:r>
      <w:r w:rsidRPr="004A6CF6">
        <w:rPr>
          <w:rFonts w:ascii="Times New Roman" w:hAnsi="Times New Roman" w:cs="Times New Roman"/>
          <w:sz w:val="24"/>
          <w:szCs w:val="24"/>
        </w:rPr>
        <w:t xml:space="preserve"> dinamização socioeconômica e à melhoria na qualidade de vida</w:t>
      </w:r>
      <w:r>
        <w:rPr>
          <w:rFonts w:ascii="Times New Roman" w:hAnsi="Times New Roman" w:cs="Times New Roman"/>
          <w:sz w:val="24"/>
          <w:szCs w:val="24"/>
        </w:rPr>
        <w:t xml:space="preserve"> (MIOROKI; D</w:t>
      </w:r>
      <w:r w:rsidRPr="00A25993">
        <w:rPr>
          <w:rFonts w:ascii="Times New Roman" w:hAnsi="Times New Roman" w:cs="Times New Roman"/>
          <w:sz w:val="24"/>
          <w:szCs w:val="24"/>
        </w:rPr>
        <w:t>A</w:t>
      </w:r>
      <w:r>
        <w:rPr>
          <w:rFonts w:ascii="Times New Roman" w:hAnsi="Times New Roman" w:cs="Times New Roman"/>
          <w:sz w:val="24"/>
          <w:szCs w:val="24"/>
        </w:rPr>
        <w:t>L</w:t>
      </w:r>
      <w:r w:rsidRPr="00A25993">
        <w:rPr>
          <w:rFonts w:ascii="Times New Roman" w:hAnsi="Times New Roman" w:cs="Times New Roman"/>
          <w:sz w:val="24"/>
          <w:szCs w:val="24"/>
        </w:rPr>
        <w:t>LABRIDA</w:t>
      </w:r>
      <w:r>
        <w:rPr>
          <w:rFonts w:ascii="Times New Roman" w:hAnsi="Times New Roman" w:cs="Times New Roman"/>
          <w:sz w:val="24"/>
          <w:szCs w:val="24"/>
        </w:rPr>
        <w:t>, 2015).</w:t>
      </w:r>
    </w:p>
    <w:p w:rsidR="00645A50" w:rsidRPr="009F3B25" w:rsidRDefault="00645A50" w:rsidP="00645A50">
      <w:pPr>
        <w:spacing w:after="0" w:line="360" w:lineRule="auto"/>
        <w:ind w:firstLine="706"/>
        <w:jc w:val="both"/>
        <w:rPr>
          <w:rFonts w:ascii="Times New Roman" w:hAnsi="Times New Roman" w:cs="Times New Roman"/>
          <w:sz w:val="24"/>
          <w:szCs w:val="24"/>
        </w:rPr>
      </w:pPr>
      <w:r w:rsidRPr="009F3B25">
        <w:rPr>
          <w:rFonts w:ascii="Times New Roman" w:hAnsi="Times New Roman" w:cs="Times New Roman"/>
          <w:sz w:val="24"/>
          <w:szCs w:val="24"/>
        </w:rPr>
        <w:t xml:space="preserve">Ainda o desenvolvimento territorial requer a sinergia entre diferentes atores em diferentes escalas políticas e demanda coordenação e uma estrutura de governança. Para Jeziorny (2015) esta estrutura será mais eficiente quando promover a ações democráticas, criar empoderamento e participação efetiva às diferentes categorias de atores, para que estes possam não apenas discutir os desenhos dos projetos, mas também participar da condução e incluir se assim for necessária a reorientação destes. Para o autor citado, dar sentido </w:t>
      </w:r>
      <w:r w:rsidRPr="009F3B25">
        <w:rPr>
          <w:rFonts w:ascii="Times New Roman" w:hAnsi="Times New Roman" w:cs="Times New Roman"/>
          <w:sz w:val="24"/>
          <w:szCs w:val="24"/>
        </w:rPr>
        <w:lastRenderedPageBreak/>
        <w:t>democrático aos projetos de construção social é condição para o desenvolvimento territorial. Decorre que a redução das desigualdades surge também como uma condição fundamental, pois dela depende a sustentabilidade social dos projetos de desenvolvimento. Pois, um projeto de desenvolvimento que aprofunde a desigualdade, não deixaria de ser o projeto da melhora da situação de alguns em detrimento de outros</w:t>
      </w:r>
      <w:r>
        <w:rPr>
          <w:rFonts w:ascii="Times New Roman" w:hAnsi="Times New Roman" w:cs="Times New Roman"/>
          <w:sz w:val="24"/>
          <w:szCs w:val="24"/>
        </w:rPr>
        <w:t>,</w:t>
      </w:r>
      <w:r w:rsidRPr="009F3B25">
        <w:rPr>
          <w:rFonts w:ascii="Times New Roman" w:hAnsi="Times New Roman" w:cs="Times New Roman"/>
          <w:sz w:val="24"/>
          <w:szCs w:val="24"/>
        </w:rPr>
        <w:t xml:space="preserve"> neste caso</w:t>
      </w:r>
      <w:r>
        <w:rPr>
          <w:rFonts w:ascii="Times New Roman" w:hAnsi="Times New Roman" w:cs="Times New Roman"/>
          <w:sz w:val="24"/>
          <w:szCs w:val="24"/>
        </w:rPr>
        <w:t>, eminentemente</w:t>
      </w:r>
      <w:r w:rsidRPr="009F3B25">
        <w:rPr>
          <w:rFonts w:ascii="Times New Roman" w:hAnsi="Times New Roman" w:cs="Times New Roman"/>
          <w:sz w:val="24"/>
          <w:szCs w:val="24"/>
        </w:rPr>
        <w:t xml:space="preserve"> conflitante.</w:t>
      </w:r>
    </w:p>
    <w:p w:rsidR="00645A50" w:rsidRDefault="00645A50" w:rsidP="00645A50">
      <w:pPr>
        <w:spacing w:after="0" w:line="360" w:lineRule="auto"/>
        <w:ind w:firstLine="720"/>
        <w:jc w:val="both"/>
        <w:rPr>
          <w:rFonts w:ascii="Times New Roman" w:hAnsi="Times New Roman"/>
          <w:i/>
          <w:iCs/>
          <w:sz w:val="24"/>
          <w:szCs w:val="24"/>
        </w:rPr>
      </w:pPr>
      <w:r w:rsidRPr="00842D35">
        <w:rPr>
          <w:rFonts w:ascii="Times New Roman" w:hAnsi="Times New Roman" w:cs="Times New Roman"/>
          <w:sz w:val="24"/>
          <w:szCs w:val="24"/>
        </w:rPr>
        <w:t xml:space="preserve">Assim, quando um território possui um produto ou serviço com diferencial e que este possa ser reconhecido como indicação geográfica, são gerados impactos não somente aos produtores e à cadeira produtiva ligada ao produto reconhecido, mas para todo território circundante. Desta forma os produtos que possuem Indicação Geográfica são capazes de gerar um incremento no preço de venda e, com isso, contribuir para a agregação de renda e ainda corroborar economicamente </w:t>
      </w:r>
      <w:r w:rsidR="008C37CA">
        <w:rPr>
          <w:rFonts w:ascii="Times New Roman" w:hAnsi="Times New Roman" w:cs="Times New Roman"/>
          <w:sz w:val="24"/>
          <w:szCs w:val="24"/>
        </w:rPr>
        <w:t xml:space="preserve">com </w:t>
      </w:r>
      <w:r w:rsidRPr="00842D35">
        <w:rPr>
          <w:rFonts w:ascii="Times New Roman" w:hAnsi="Times New Roman" w:cs="Times New Roman"/>
          <w:sz w:val="24"/>
          <w:szCs w:val="24"/>
        </w:rPr>
        <w:t>o desenvolvimento territorial.</w:t>
      </w:r>
      <w:r w:rsidRPr="00842D35">
        <w:rPr>
          <w:rFonts w:ascii="Times New Roman" w:hAnsi="Times New Roman"/>
          <w:i/>
          <w:iCs/>
          <w:sz w:val="24"/>
          <w:szCs w:val="24"/>
        </w:rPr>
        <w:t xml:space="preserve"> </w:t>
      </w:r>
    </w:p>
    <w:p w:rsidR="00181570" w:rsidRDefault="004F080F" w:rsidP="004F080F">
      <w:pPr>
        <w:spacing w:after="0" w:line="360" w:lineRule="auto"/>
        <w:ind w:firstLine="706"/>
        <w:jc w:val="both"/>
        <w:rPr>
          <w:rFonts w:ascii="Times New Roman" w:hAnsi="Times New Roman" w:cs="Times New Roman"/>
          <w:sz w:val="24"/>
          <w:szCs w:val="24"/>
        </w:rPr>
      </w:pPr>
      <w:r>
        <w:rPr>
          <w:rFonts w:ascii="Times New Roman" w:hAnsi="Times New Roman" w:cs="Times New Roman"/>
          <w:sz w:val="24"/>
          <w:szCs w:val="24"/>
        </w:rPr>
        <w:t>Ao considerar o</w:t>
      </w:r>
      <w:r w:rsidR="00181570" w:rsidRPr="004F080F">
        <w:rPr>
          <w:rFonts w:ascii="Times New Roman" w:hAnsi="Times New Roman" w:cs="Times New Roman"/>
          <w:sz w:val="24"/>
          <w:szCs w:val="24"/>
        </w:rPr>
        <w:t xml:space="preserve"> uso das indicações geográficas como estratégia de diferenciação dos produtos baseados na tipicidade e qualidade, assim como a identidade </w:t>
      </w:r>
      <w:r w:rsidRPr="004F080F">
        <w:rPr>
          <w:rFonts w:ascii="Times New Roman" w:hAnsi="Times New Roman" w:cs="Times New Roman"/>
          <w:sz w:val="24"/>
          <w:szCs w:val="24"/>
        </w:rPr>
        <w:t xml:space="preserve">com o território cria-se </w:t>
      </w:r>
      <w:r w:rsidR="00181570" w:rsidRPr="004F080F">
        <w:rPr>
          <w:rFonts w:ascii="Times New Roman" w:hAnsi="Times New Roman" w:cs="Times New Roman"/>
          <w:sz w:val="24"/>
          <w:szCs w:val="24"/>
        </w:rPr>
        <w:t>um importante vetor de desenvolvimento local diante da segmentação do mercado de alimentos e da elevação no padrão de qualidade</w:t>
      </w:r>
      <w:r w:rsidRPr="004F080F">
        <w:rPr>
          <w:rFonts w:ascii="Times New Roman" w:hAnsi="Times New Roman" w:cs="Times New Roman"/>
          <w:sz w:val="24"/>
          <w:szCs w:val="24"/>
        </w:rPr>
        <w:t>, segundo Dulius et al (2008)</w:t>
      </w:r>
      <w:r w:rsidR="00181570" w:rsidRPr="004F080F">
        <w:rPr>
          <w:rFonts w:ascii="Times New Roman" w:hAnsi="Times New Roman" w:cs="Times New Roman"/>
          <w:sz w:val="24"/>
          <w:szCs w:val="24"/>
        </w:rPr>
        <w:t xml:space="preserve">. </w:t>
      </w:r>
      <w:r w:rsidRPr="004F080F">
        <w:rPr>
          <w:rFonts w:ascii="Times New Roman" w:hAnsi="Times New Roman" w:cs="Times New Roman"/>
          <w:sz w:val="24"/>
          <w:szCs w:val="24"/>
        </w:rPr>
        <w:t>Os autores ainda destacam que e</w:t>
      </w:r>
      <w:r w:rsidR="00181570" w:rsidRPr="004F080F">
        <w:rPr>
          <w:rFonts w:ascii="Times New Roman" w:hAnsi="Times New Roman" w:cs="Times New Roman"/>
          <w:sz w:val="24"/>
          <w:szCs w:val="24"/>
        </w:rPr>
        <w:t>sse cenário requer novas políticas públicas territoriais contrárias às ações que padronizam os produtos fundamentando-se na legislação sanitária. Políticas que valorizem os dispositivos de reconhecimento da produção diversificada e de alta qualidade, possibilitando agregação de renda aos pequenos produtores</w:t>
      </w:r>
      <w:r>
        <w:t>.</w:t>
      </w:r>
    </w:p>
    <w:p w:rsidR="00E16D8F" w:rsidRDefault="000652DA" w:rsidP="00645A50">
      <w:pPr>
        <w:spacing w:after="0" w:line="360" w:lineRule="auto"/>
        <w:ind w:firstLine="720"/>
        <w:jc w:val="both"/>
      </w:pPr>
      <w:r w:rsidRPr="00E16D8F">
        <w:rPr>
          <w:rFonts w:ascii="Times New Roman" w:hAnsi="Times New Roman" w:cs="Times New Roman"/>
          <w:sz w:val="24"/>
          <w:szCs w:val="24"/>
        </w:rPr>
        <w:t>As indicações geográficas também são posta como estratégia para estimular o</w:t>
      </w:r>
      <w:r w:rsidR="00F819B6" w:rsidRPr="00E16D8F">
        <w:rPr>
          <w:rFonts w:ascii="Times New Roman" w:hAnsi="Times New Roman" w:cs="Times New Roman"/>
          <w:sz w:val="24"/>
          <w:szCs w:val="24"/>
        </w:rPr>
        <w:t xml:space="preserve"> fortalecime</w:t>
      </w:r>
      <w:r w:rsidRPr="00E16D8F">
        <w:rPr>
          <w:rFonts w:ascii="Times New Roman" w:hAnsi="Times New Roman" w:cs="Times New Roman"/>
          <w:sz w:val="24"/>
          <w:szCs w:val="24"/>
        </w:rPr>
        <w:t xml:space="preserve">nto do desenvolvimento regional. Pelin (2019) destaca que além da dimensão econômica criada </w:t>
      </w:r>
      <w:r w:rsidR="00F819B6" w:rsidRPr="00E16D8F">
        <w:rPr>
          <w:rFonts w:ascii="Times New Roman" w:hAnsi="Times New Roman" w:cs="Times New Roman"/>
          <w:sz w:val="24"/>
          <w:szCs w:val="24"/>
        </w:rPr>
        <w:t>na agregação de valor aos produtos, aumento na produção, expansão de mercados, estímu</w:t>
      </w:r>
      <w:r w:rsidRPr="00E16D8F">
        <w:rPr>
          <w:rFonts w:ascii="Times New Roman" w:hAnsi="Times New Roman" w:cs="Times New Roman"/>
          <w:sz w:val="24"/>
          <w:szCs w:val="24"/>
        </w:rPr>
        <w:t xml:space="preserve">lo a atividades complementares tenham maior destaque, existem outras dimensões </w:t>
      </w:r>
      <w:r w:rsidR="00F819B6" w:rsidRPr="00E16D8F">
        <w:rPr>
          <w:rFonts w:ascii="Times New Roman" w:hAnsi="Times New Roman" w:cs="Times New Roman"/>
          <w:sz w:val="24"/>
          <w:szCs w:val="24"/>
        </w:rPr>
        <w:t>que podem ser estimuladas a partir do reco</w:t>
      </w:r>
      <w:r w:rsidRPr="00E16D8F">
        <w:rPr>
          <w:rFonts w:ascii="Times New Roman" w:hAnsi="Times New Roman" w:cs="Times New Roman"/>
          <w:sz w:val="24"/>
          <w:szCs w:val="24"/>
        </w:rPr>
        <w:t>nhecimento de um produto indicação geográfica.</w:t>
      </w:r>
      <w:r w:rsidR="00E16D8F" w:rsidRPr="00E16D8F">
        <w:rPr>
          <w:rFonts w:ascii="Times New Roman" w:hAnsi="Times New Roman" w:cs="Times New Roman"/>
          <w:sz w:val="24"/>
          <w:szCs w:val="24"/>
        </w:rPr>
        <w:t xml:space="preserve"> Sendo assim, </w:t>
      </w:r>
      <w:r w:rsidR="00156D9A">
        <w:rPr>
          <w:rFonts w:ascii="Times New Roman" w:hAnsi="Times New Roman" w:cs="Times New Roman"/>
          <w:sz w:val="24"/>
          <w:szCs w:val="24"/>
        </w:rPr>
        <w:t xml:space="preserve">uma </w:t>
      </w:r>
      <w:r w:rsidR="00F819B6" w:rsidRPr="00E16D8F">
        <w:rPr>
          <w:rFonts w:ascii="Times New Roman" w:hAnsi="Times New Roman" w:cs="Times New Roman"/>
          <w:sz w:val="24"/>
          <w:szCs w:val="24"/>
        </w:rPr>
        <w:t>importante ferramenta para desenvolvimento regional</w:t>
      </w:r>
      <w:r w:rsidR="00E16D8F">
        <w:t xml:space="preserve">. </w:t>
      </w:r>
    </w:p>
    <w:p w:rsidR="00E16D8F" w:rsidRDefault="00E16D8F" w:rsidP="00645A50">
      <w:pPr>
        <w:spacing w:after="0" w:line="360" w:lineRule="auto"/>
        <w:ind w:firstLine="720"/>
        <w:jc w:val="both"/>
        <w:rPr>
          <w:rFonts w:ascii="Times New Roman" w:hAnsi="Times New Roman"/>
          <w:i/>
          <w:iCs/>
          <w:sz w:val="24"/>
          <w:szCs w:val="24"/>
        </w:rPr>
      </w:pPr>
    </w:p>
    <w:p w:rsidR="0077223B" w:rsidRPr="00C56683" w:rsidRDefault="00565AFF" w:rsidP="0077223B">
      <w:pPr>
        <w:spacing w:after="0" w:line="360" w:lineRule="auto"/>
        <w:jc w:val="both"/>
        <w:rPr>
          <w:rFonts w:ascii="Times New Roman" w:hAnsi="Times New Roman" w:cs="Times New Roman"/>
          <w:sz w:val="24"/>
          <w:szCs w:val="24"/>
        </w:rPr>
      </w:pPr>
      <w:r>
        <w:rPr>
          <w:rFonts w:ascii="Times New Roman" w:hAnsi="Times New Roman"/>
          <w:i/>
          <w:iCs/>
          <w:sz w:val="24"/>
          <w:szCs w:val="24"/>
        </w:rPr>
        <w:t>3</w:t>
      </w:r>
      <w:r w:rsidR="0077223B" w:rsidRPr="00C56683">
        <w:rPr>
          <w:rFonts w:ascii="Times New Roman" w:hAnsi="Times New Roman"/>
          <w:i/>
          <w:iCs/>
          <w:sz w:val="24"/>
          <w:szCs w:val="24"/>
        </w:rPr>
        <w:t>.2 As principais regiões vinícolas do Rio Grande do Sul</w:t>
      </w:r>
    </w:p>
    <w:p w:rsidR="0077223B" w:rsidRPr="00C56683" w:rsidRDefault="0077223B" w:rsidP="0077223B">
      <w:pPr>
        <w:spacing w:after="0" w:line="360" w:lineRule="auto"/>
        <w:jc w:val="both"/>
        <w:rPr>
          <w:rFonts w:ascii="Times New Roman" w:eastAsia="Times New Roman" w:hAnsi="Times New Roman"/>
          <w:sz w:val="24"/>
          <w:szCs w:val="24"/>
          <w:lang w:eastAsia="pt-BR"/>
        </w:rPr>
      </w:pPr>
    </w:p>
    <w:p w:rsidR="0077223B" w:rsidRPr="00C51847" w:rsidRDefault="0077223B" w:rsidP="0077223B">
      <w:pPr>
        <w:spacing w:after="0" w:line="360" w:lineRule="auto"/>
        <w:ind w:firstLine="851"/>
        <w:jc w:val="both"/>
        <w:rPr>
          <w:rFonts w:ascii="Times New Roman" w:hAnsi="Times New Roman"/>
          <w:sz w:val="24"/>
          <w:szCs w:val="24"/>
        </w:rPr>
      </w:pPr>
      <w:r w:rsidRPr="00C51847">
        <w:rPr>
          <w:rFonts w:ascii="Times New Roman" w:hAnsi="Times New Roman"/>
          <w:sz w:val="24"/>
          <w:szCs w:val="24"/>
        </w:rPr>
        <w:lastRenderedPageBreak/>
        <w:t>A vitivinicultura no Rio Grande do Sul é responsável não somente pela geração de empregos, mas também renda, principalmente, a pequenos agricultores familiares, além disso, agrega valores simbólicos como cultural e paisagem que desenvolvem o enoturismo. Pizzol e Sousa (2014b, p.714) corroboram afirmando que “A vitivinicultura brasileira gera trabalho e renda, não concentra, mas distribui a riqueza, fixa o homem rural ao seu meio, é componente de uma cultura, não trabalha contra a saúde pública, gera um estilo de vida e principalmente viabiliza a pequena propriedade familiar, evitando o êxodo rural”</w:t>
      </w:r>
    </w:p>
    <w:p w:rsidR="0077223B" w:rsidRPr="00D404A8" w:rsidRDefault="0077223B" w:rsidP="0077223B">
      <w:pPr>
        <w:spacing w:after="0" w:line="360" w:lineRule="auto"/>
        <w:ind w:firstLine="851"/>
        <w:jc w:val="both"/>
        <w:rPr>
          <w:rFonts w:ascii="Times New Roman" w:hAnsi="Times New Roman"/>
          <w:sz w:val="24"/>
          <w:szCs w:val="24"/>
        </w:rPr>
      </w:pPr>
      <w:r w:rsidRPr="00D404A8">
        <w:rPr>
          <w:rFonts w:ascii="Times New Roman" w:hAnsi="Times New Roman"/>
          <w:sz w:val="24"/>
          <w:szCs w:val="24"/>
        </w:rPr>
        <w:t>O Rio Grande do Sul reúne as principais regiões vitivinícolas do Brasil, incluindo a região da Serra Gaúcha, onde é produzida quase a totalidade do que se destina à agroindústria do suco e do vinho, sendo essencialmente produzidos por pequenos agricultores familiares. Outras regiões de destaque são a Campanha Gaúcha e a Serra do Sudeste, ambas localizadas no sul do estado, próximas a fronteira com o Uruguai.</w:t>
      </w:r>
    </w:p>
    <w:p w:rsidR="0077223B" w:rsidRPr="00CC1870" w:rsidRDefault="0077223B" w:rsidP="0077223B">
      <w:pPr>
        <w:pStyle w:val="NormalWeb"/>
        <w:spacing w:before="0" w:beforeAutospacing="0" w:after="0" w:afterAutospacing="0" w:line="360" w:lineRule="auto"/>
        <w:ind w:firstLine="851"/>
        <w:jc w:val="both"/>
        <w:rPr>
          <w:lang w:val="pt-BR"/>
        </w:rPr>
      </w:pPr>
      <w:r w:rsidRPr="00CC1870">
        <w:rPr>
          <w:lang w:val="pt-BR"/>
        </w:rPr>
        <w:t xml:space="preserve">A Região da Serra Gaúcha foi classificada, por Gama (2018), como uma região de primeira ordem que o autor </w:t>
      </w:r>
      <w:r>
        <w:rPr>
          <w:lang w:val="pt-BR"/>
        </w:rPr>
        <w:t>denominou de</w:t>
      </w:r>
      <w:r w:rsidRPr="00CC1870">
        <w:rPr>
          <w:lang w:val="pt-BR"/>
        </w:rPr>
        <w:t xml:space="preserve"> “Região Central ou Consolidada” e como r</w:t>
      </w:r>
      <w:r>
        <w:rPr>
          <w:lang w:val="pt-BR"/>
        </w:rPr>
        <w:t>egiões “periféricas imediatas” a</w:t>
      </w:r>
      <w:r w:rsidRPr="00CC1870">
        <w:rPr>
          <w:lang w:val="pt-BR"/>
        </w:rPr>
        <w:t xml:space="preserve"> Serra Gaúcha: Campanha</w:t>
      </w:r>
      <w:r>
        <w:rPr>
          <w:lang w:val="pt-BR"/>
        </w:rPr>
        <w:t xml:space="preserve"> Gaúcha</w:t>
      </w:r>
      <w:r w:rsidRPr="00CC1870">
        <w:rPr>
          <w:lang w:val="pt-BR"/>
        </w:rPr>
        <w:t>, Campos de Cima da Serra e Serra do Sudeste.</w:t>
      </w:r>
      <w:r>
        <w:rPr>
          <w:lang w:val="pt-BR"/>
        </w:rPr>
        <w:t xml:space="preserve"> </w:t>
      </w:r>
      <w:r w:rsidRPr="00CC1870">
        <w:rPr>
          <w:lang w:val="pt-BR"/>
        </w:rPr>
        <w:t xml:space="preserve">O autor justifica o seu argumento afirmando que a Região Serrana funciona como centro dispersor de técnicas, novas tecnologias e capital humano para o restante do país. A partir daí a produção vitivinícola </w:t>
      </w:r>
      <w:r>
        <w:rPr>
          <w:lang w:val="pt-BR"/>
        </w:rPr>
        <w:t xml:space="preserve">do Rio Grande do Sul </w:t>
      </w:r>
      <w:r w:rsidRPr="00CC1870">
        <w:rPr>
          <w:lang w:val="pt-BR"/>
        </w:rPr>
        <w:t xml:space="preserve">vai se expandir por três eixos intraestaduais: Campos de Cima da Serra, Campanha e Serra do Sudeste. </w:t>
      </w:r>
    </w:p>
    <w:p w:rsidR="0077223B" w:rsidRPr="00D404A8" w:rsidRDefault="0077223B" w:rsidP="0077223B">
      <w:pPr>
        <w:spacing w:after="0" w:line="360" w:lineRule="auto"/>
        <w:ind w:firstLine="851"/>
        <w:jc w:val="both"/>
        <w:rPr>
          <w:rFonts w:ascii="Times New Roman" w:hAnsi="Times New Roman"/>
          <w:sz w:val="24"/>
          <w:szCs w:val="24"/>
        </w:rPr>
      </w:pPr>
      <w:r w:rsidRPr="00D404A8">
        <w:rPr>
          <w:rFonts w:ascii="Times New Roman" w:hAnsi="Times New Roman"/>
          <w:sz w:val="24"/>
          <w:szCs w:val="24"/>
        </w:rPr>
        <w:t>Na Serra Gaúcha a forma de reconhecimento e fortalecimento da competição dos vinhos no mercado nacional fez com que as vinícolas investissem no desenvolvimento do turismo local associado ao vinho e a cultura italiana. Assim, desenvolveram-se atividades relacionadas com alojamento: hotéis e pousadas; gastronomia: restaurantes e fabricação artesanal de produtos típicos. Os produtores de vinhos criaram uma oferta turística associada à produção de uvas e vinhos a um circuito turístico, como a Rotas do Vinho, atividades culturais que valorizam o patrimônio local, como a paisagem de vinhedos, casas de madeira e de pedras construídas na chegada dos imigrantes italianos (FALCADE, 2016).</w:t>
      </w:r>
    </w:p>
    <w:p w:rsidR="0077223B" w:rsidRPr="00D404A8" w:rsidRDefault="0077223B" w:rsidP="0077223B">
      <w:pPr>
        <w:spacing w:after="0" w:line="360" w:lineRule="auto"/>
        <w:ind w:firstLine="851"/>
        <w:jc w:val="both"/>
        <w:rPr>
          <w:rFonts w:ascii="Times New Roman" w:hAnsi="Times New Roman"/>
          <w:sz w:val="24"/>
          <w:szCs w:val="24"/>
        </w:rPr>
      </w:pPr>
      <w:r w:rsidRPr="00D404A8">
        <w:rPr>
          <w:rFonts w:ascii="Times New Roman" w:hAnsi="Times New Roman"/>
          <w:sz w:val="24"/>
          <w:szCs w:val="24"/>
        </w:rPr>
        <w:t xml:space="preserve">A Região da Serra Gaúcha em termos de infraestrutura está conectada a capital do estado, Porto Alegre, via rodovia permitindo acesso ao mercado de maior poder aquisitivo e </w:t>
      </w:r>
      <w:r w:rsidRPr="00D404A8">
        <w:rPr>
          <w:rFonts w:ascii="Times New Roman" w:hAnsi="Times New Roman"/>
          <w:sz w:val="24"/>
          <w:szCs w:val="24"/>
        </w:rPr>
        <w:lastRenderedPageBreak/>
        <w:t>ao porto. Soma-se a isso a atração de indústrias complementares à agroindústria vitivinícola, como máquinas, equipamento e materiais químicos. Esse ambiente sustenta a região como o grande polo vitivinícola nacional e irradiador de novos paradigmas (GAMA, 2018).</w:t>
      </w:r>
    </w:p>
    <w:p w:rsidR="0077223B" w:rsidRDefault="0077223B" w:rsidP="0077223B">
      <w:pPr>
        <w:pStyle w:val="NormalWeb"/>
        <w:spacing w:before="0" w:beforeAutospacing="0" w:after="0" w:afterAutospacing="0" w:line="360" w:lineRule="auto"/>
        <w:ind w:firstLine="851"/>
        <w:jc w:val="both"/>
        <w:rPr>
          <w:lang w:val="pt-BR"/>
        </w:rPr>
      </w:pPr>
      <w:r w:rsidRPr="00CC1870">
        <w:rPr>
          <w:lang w:val="pt-BR"/>
        </w:rPr>
        <w:t>A região da Serra do Sudeste é ainda pouco reconhecida pelos consumidores brasileiros, esse fato pode ser justificado em função de escassas vinícolas instaladas na região, pois é predominante o cultivo de uvas que são vinificadas fora da região, como exemplo, na Serra Gaúcha conforme Gama (2018)</w:t>
      </w:r>
    </w:p>
    <w:p w:rsidR="00B905AC" w:rsidRPr="00CC1870" w:rsidRDefault="00B905AC" w:rsidP="0077223B">
      <w:pPr>
        <w:pStyle w:val="NormalWeb"/>
        <w:spacing w:before="0" w:beforeAutospacing="0" w:after="0" w:afterAutospacing="0" w:line="360" w:lineRule="auto"/>
        <w:ind w:firstLine="851"/>
        <w:jc w:val="both"/>
        <w:rPr>
          <w:lang w:val="pt-BR"/>
        </w:rPr>
      </w:pPr>
    </w:p>
    <w:p w:rsidR="005B0FD1" w:rsidRDefault="008C37CA" w:rsidP="00645A50">
      <w:pPr>
        <w:spacing w:after="0" w:line="360" w:lineRule="auto"/>
        <w:jc w:val="both"/>
        <w:rPr>
          <w:rFonts w:ascii="Times New Roman" w:hAnsi="Times New Roman"/>
          <w:iCs/>
          <w:sz w:val="24"/>
          <w:szCs w:val="24"/>
        </w:rPr>
      </w:pPr>
      <w:r>
        <w:rPr>
          <w:rFonts w:ascii="Times New Roman" w:hAnsi="Times New Roman"/>
          <w:iCs/>
          <w:sz w:val="24"/>
          <w:szCs w:val="24"/>
        </w:rPr>
        <w:t xml:space="preserve">4. DISCUSSÃO E RESULTADOS </w:t>
      </w:r>
    </w:p>
    <w:p w:rsidR="005B0FD1" w:rsidRDefault="005B0FD1" w:rsidP="00645A50">
      <w:pPr>
        <w:spacing w:after="0" w:line="360" w:lineRule="auto"/>
        <w:jc w:val="both"/>
        <w:rPr>
          <w:rFonts w:ascii="Times New Roman" w:hAnsi="Times New Roman"/>
          <w:iCs/>
          <w:sz w:val="24"/>
          <w:szCs w:val="24"/>
        </w:rPr>
      </w:pPr>
    </w:p>
    <w:p w:rsidR="00645A50" w:rsidRPr="008C37CA" w:rsidRDefault="005B0FD1" w:rsidP="00645A50">
      <w:pPr>
        <w:spacing w:after="0" w:line="360" w:lineRule="auto"/>
        <w:jc w:val="both"/>
        <w:rPr>
          <w:rFonts w:ascii="Times New Roman" w:hAnsi="Times New Roman"/>
          <w:i/>
          <w:iCs/>
          <w:sz w:val="24"/>
          <w:szCs w:val="24"/>
        </w:rPr>
      </w:pPr>
      <w:r w:rsidRPr="008C37CA">
        <w:rPr>
          <w:rFonts w:ascii="Times New Roman" w:hAnsi="Times New Roman"/>
          <w:i/>
          <w:iCs/>
          <w:sz w:val="24"/>
          <w:szCs w:val="24"/>
        </w:rPr>
        <w:t>4.1 A dinâmica da produção vitivinícola no Rio Grande do Sul</w:t>
      </w:r>
    </w:p>
    <w:p w:rsidR="00645A50" w:rsidRDefault="00645A50" w:rsidP="00645A50">
      <w:pPr>
        <w:spacing w:after="0" w:line="360" w:lineRule="auto"/>
        <w:jc w:val="both"/>
        <w:rPr>
          <w:rFonts w:ascii="Times New Roman" w:hAnsi="Times New Roman"/>
          <w:iCs/>
          <w:sz w:val="24"/>
          <w:szCs w:val="24"/>
        </w:rPr>
      </w:pPr>
    </w:p>
    <w:p w:rsidR="00552652" w:rsidRDefault="00552652" w:rsidP="00552652">
      <w:pPr>
        <w:spacing w:after="0" w:line="360" w:lineRule="auto"/>
        <w:ind w:firstLine="706"/>
        <w:jc w:val="both"/>
        <w:rPr>
          <w:rFonts w:ascii="Times New Roman" w:hAnsi="Times New Roman"/>
          <w:sz w:val="24"/>
          <w:szCs w:val="24"/>
        </w:rPr>
      </w:pPr>
      <w:r>
        <w:rPr>
          <w:rFonts w:ascii="Times New Roman" w:hAnsi="Times New Roman"/>
          <w:sz w:val="24"/>
          <w:szCs w:val="24"/>
        </w:rPr>
        <w:t xml:space="preserve">O estado do Rio Grande do Sul é o principal produtor vitivinícola, mas como citado na introdução </w:t>
      </w:r>
      <w:r w:rsidR="00156D9A">
        <w:rPr>
          <w:rFonts w:ascii="Times New Roman" w:hAnsi="Times New Roman"/>
          <w:sz w:val="24"/>
          <w:szCs w:val="24"/>
        </w:rPr>
        <w:t>a</w:t>
      </w:r>
      <w:r>
        <w:rPr>
          <w:rFonts w:ascii="Times New Roman" w:hAnsi="Times New Roman"/>
          <w:sz w:val="24"/>
          <w:szCs w:val="24"/>
        </w:rPr>
        <w:t xml:space="preserve"> distribuição territorial da produção não acontece de forma homogênea em todas as regiões do estado. </w:t>
      </w:r>
    </w:p>
    <w:p w:rsidR="00645A50" w:rsidRDefault="00F258EF" w:rsidP="004D25DB">
      <w:pPr>
        <w:spacing w:after="0" w:line="360" w:lineRule="auto"/>
        <w:ind w:firstLine="706"/>
        <w:jc w:val="both"/>
        <w:rPr>
          <w:rFonts w:ascii="Times New Roman" w:hAnsi="Times New Roman"/>
          <w:sz w:val="24"/>
          <w:szCs w:val="24"/>
        </w:rPr>
      </w:pPr>
      <w:r>
        <w:rPr>
          <w:rFonts w:ascii="Times New Roman" w:hAnsi="Times New Roman"/>
          <w:sz w:val="24"/>
          <w:szCs w:val="24"/>
        </w:rPr>
        <w:t>Desta forma q</w:t>
      </w:r>
      <w:r w:rsidR="00552652" w:rsidRPr="00D404A8">
        <w:rPr>
          <w:rFonts w:ascii="Times New Roman" w:hAnsi="Times New Roman"/>
          <w:sz w:val="24"/>
          <w:szCs w:val="24"/>
        </w:rPr>
        <w:t>uando analisa-se os vinte principais municípios produtores observa-se que os municípios da Serra Gaúcha se destacam</w:t>
      </w:r>
      <w:r>
        <w:rPr>
          <w:rFonts w:ascii="Times New Roman" w:hAnsi="Times New Roman"/>
          <w:sz w:val="24"/>
          <w:szCs w:val="24"/>
        </w:rPr>
        <w:t xml:space="preserve">, sendo Caxias do Sul </w:t>
      </w:r>
      <w:r w:rsidR="00552652" w:rsidRPr="00D404A8">
        <w:rPr>
          <w:rFonts w:ascii="Times New Roman" w:hAnsi="Times New Roman"/>
          <w:sz w:val="24"/>
          <w:szCs w:val="24"/>
        </w:rPr>
        <w:t xml:space="preserve">o principal produtor, </w:t>
      </w:r>
      <w:r>
        <w:rPr>
          <w:rFonts w:ascii="Times New Roman" w:hAnsi="Times New Roman"/>
          <w:sz w:val="24"/>
          <w:szCs w:val="24"/>
        </w:rPr>
        <w:t>seguido d</w:t>
      </w:r>
      <w:r w:rsidR="00552652" w:rsidRPr="00D404A8">
        <w:rPr>
          <w:rFonts w:ascii="Times New Roman" w:hAnsi="Times New Roman"/>
          <w:sz w:val="24"/>
          <w:szCs w:val="24"/>
        </w:rPr>
        <w:t>os 11 mun</w:t>
      </w:r>
      <w:r>
        <w:rPr>
          <w:rFonts w:ascii="Times New Roman" w:hAnsi="Times New Roman"/>
          <w:sz w:val="24"/>
          <w:szCs w:val="24"/>
        </w:rPr>
        <w:t xml:space="preserve">icípios com maior produção, desta forma observa-se um núcleo </w:t>
      </w:r>
      <w:r w:rsidR="004D25DB">
        <w:rPr>
          <w:rFonts w:ascii="Times New Roman" w:hAnsi="Times New Roman"/>
          <w:sz w:val="24"/>
          <w:szCs w:val="24"/>
        </w:rPr>
        <w:t xml:space="preserve">concentrado no aspecto produtivo e na distribuição territorial. Concentram-se nesses municípios ou seu entorno as regiões delimitadas com indicação geográfica. </w:t>
      </w:r>
    </w:p>
    <w:p w:rsidR="003A5948" w:rsidRDefault="003A5948" w:rsidP="003A5948">
      <w:pPr>
        <w:spacing w:after="0" w:line="360" w:lineRule="auto"/>
        <w:ind w:firstLine="706"/>
        <w:jc w:val="both"/>
        <w:rPr>
          <w:rFonts w:ascii="Times New Roman" w:hAnsi="Times New Roman"/>
          <w:sz w:val="24"/>
          <w:szCs w:val="24"/>
        </w:rPr>
      </w:pPr>
      <w:r w:rsidRPr="00D404A8">
        <w:rPr>
          <w:rFonts w:ascii="Times New Roman" w:hAnsi="Times New Roman"/>
          <w:sz w:val="24"/>
          <w:szCs w:val="24"/>
        </w:rPr>
        <w:t>Como apresentados no Gráfico 0</w:t>
      </w:r>
      <w:r>
        <w:rPr>
          <w:rFonts w:ascii="Times New Roman" w:hAnsi="Times New Roman"/>
          <w:sz w:val="24"/>
          <w:szCs w:val="24"/>
        </w:rPr>
        <w:t>1</w:t>
      </w:r>
      <w:r w:rsidRPr="00D404A8">
        <w:rPr>
          <w:rFonts w:ascii="Times New Roman" w:hAnsi="Times New Roman"/>
          <w:sz w:val="24"/>
          <w:szCs w:val="24"/>
        </w:rPr>
        <w:t xml:space="preserve"> a produção de vinhos tem como destaque Caxias do Sul</w:t>
      </w:r>
      <w:r>
        <w:rPr>
          <w:rFonts w:ascii="Times New Roman" w:hAnsi="Times New Roman"/>
          <w:sz w:val="24"/>
          <w:szCs w:val="24"/>
        </w:rPr>
        <w:t>, como os resultados do Censo não tem a classificação dos vinhos como sendo de mesa ou vinhos finos, considera-se que a produção de Caxias do Sul, significativamente superior aos demais municípios esteja relacionada à produção de vinhos de mesa</w:t>
      </w:r>
      <w:r w:rsidRPr="00D404A8">
        <w:rPr>
          <w:rFonts w:ascii="Times New Roman" w:hAnsi="Times New Roman"/>
          <w:sz w:val="24"/>
          <w:szCs w:val="24"/>
        </w:rPr>
        <w:t xml:space="preserve">, uma vez que esse produto é típico da colonização italiana do município </w:t>
      </w:r>
      <w:r>
        <w:rPr>
          <w:rFonts w:ascii="Times New Roman" w:hAnsi="Times New Roman"/>
          <w:sz w:val="24"/>
          <w:szCs w:val="24"/>
        </w:rPr>
        <w:t>e produzido por cantinas além de vinícolas. As</w:t>
      </w:r>
      <w:r w:rsidRPr="00D404A8">
        <w:rPr>
          <w:rFonts w:ascii="Times New Roman" w:hAnsi="Times New Roman"/>
          <w:sz w:val="24"/>
          <w:szCs w:val="24"/>
        </w:rPr>
        <w:t xml:space="preserve"> cultivares hibrida ou americanas que são utilizadas na produção do vinho de mesa têm alta produtividade por hectares, porém, menor valor agregado, ainda o vinho de mesa não é o vinho reconhecido nas indicações geográficas. </w:t>
      </w:r>
    </w:p>
    <w:p w:rsidR="003A5948" w:rsidRPr="00D404A8" w:rsidRDefault="003A5948" w:rsidP="004D25DB">
      <w:pPr>
        <w:spacing w:after="0" w:line="360" w:lineRule="auto"/>
        <w:ind w:firstLine="706"/>
        <w:jc w:val="both"/>
        <w:rPr>
          <w:rFonts w:ascii="Times New Roman" w:hAnsi="Times New Roman"/>
          <w:sz w:val="24"/>
          <w:szCs w:val="24"/>
        </w:rPr>
      </w:pPr>
    </w:p>
    <w:p w:rsidR="00645A50" w:rsidRPr="00CC1870" w:rsidRDefault="00645A50" w:rsidP="00645A50">
      <w:pPr>
        <w:pStyle w:val="0Grficos"/>
        <w:rPr>
          <w:noProof/>
        </w:rPr>
      </w:pPr>
      <w:bookmarkStart w:id="0" w:name="_Toc31027403"/>
      <w:r w:rsidRPr="00CC1870">
        <w:rPr>
          <w:noProof/>
        </w:rPr>
        <w:lastRenderedPageBreak/>
        <w:t>Gráfico 0</w:t>
      </w:r>
      <w:r>
        <w:rPr>
          <w:noProof/>
        </w:rPr>
        <w:t>1</w:t>
      </w:r>
      <w:r w:rsidRPr="00CC1870">
        <w:rPr>
          <w:noProof/>
        </w:rPr>
        <w:t xml:space="preserve"> - Os 20 municípios com maior produção de vinhos no Rio Grande do Sul -2017</w:t>
      </w:r>
      <w:bookmarkEnd w:id="0"/>
    </w:p>
    <w:p w:rsidR="00645A50" w:rsidRPr="00D404A8" w:rsidRDefault="00645A50" w:rsidP="00645A50">
      <w:pPr>
        <w:spacing w:after="0" w:line="240" w:lineRule="auto"/>
        <w:jc w:val="both"/>
        <w:rPr>
          <w:rFonts w:ascii="Times New Roman" w:eastAsia="Times New Roman" w:hAnsi="Times New Roman"/>
          <w:sz w:val="24"/>
          <w:szCs w:val="24"/>
          <w:lang w:eastAsia="pt-BR"/>
        </w:rPr>
      </w:pPr>
      <w:r>
        <w:rPr>
          <w:rFonts w:ascii="Times New Roman" w:hAnsi="Times New Roman"/>
          <w:noProof/>
          <w:sz w:val="24"/>
          <w:szCs w:val="24"/>
          <w:lang w:val="en-US"/>
        </w:rPr>
        <w:drawing>
          <wp:inline distT="0" distB="0" distL="0" distR="0">
            <wp:extent cx="5768340" cy="2878455"/>
            <wp:effectExtent l="19050" t="19050" r="22860" b="17145"/>
            <wp:docPr id="6" name="Imagem 1" descr="C:\Users\user\Documents\a Tese\arquivos mapa e graficos\producao (grafico municip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user\Documents\a Tese\arquivos mapa e graficos\producao (grafico municipio).png"/>
                    <pic:cNvPicPr>
                      <a:picLocks noChangeAspect="1" noChangeArrowheads="1"/>
                    </pic:cNvPicPr>
                  </pic:nvPicPr>
                  <pic:blipFill>
                    <a:blip r:embed="rId8"/>
                    <a:srcRect/>
                    <a:stretch>
                      <a:fillRect/>
                    </a:stretch>
                  </pic:blipFill>
                  <pic:spPr bwMode="auto">
                    <a:xfrm>
                      <a:off x="0" y="0"/>
                      <a:ext cx="5768340" cy="2878455"/>
                    </a:xfrm>
                    <a:prstGeom prst="rect">
                      <a:avLst/>
                    </a:prstGeom>
                    <a:noFill/>
                    <a:ln w="9525" cmpd="sng">
                      <a:solidFill>
                        <a:srgbClr val="000000"/>
                      </a:solidFill>
                      <a:miter lim="800000"/>
                      <a:headEnd/>
                      <a:tailEnd/>
                    </a:ln>
                    <a:effectLst/>
                  </pic:spPr>
                </pic:pic>
              </a:graphicData>
            </a:graphic>
          </wp:inline>
        </w:drawing>
      </w:r>
      <w:r w:rsidRPr="00D404A8">
        <w:rPr>
          <w:rFonts w:ascii="Times New Roman" w:hAnsi="Times New Roman"/>
          <w:sz w:val="24"/>
          <w:szCs w:val="24"/>
        </w:rPr>
        <w:t xml:space="preserve">Fonte: </w:t>
      </w:r>
      <w:r w:rsidRPr="00D404A8">
        <w:rPr>
          <w:rFonts w:ascii="Times New Roman" w:eastAsia="Times New Roman" w:hAnsi="Times New Roman"/>
          <w:sz w:val="24"/>
          <w:szCs w:val="24"/>
          <w:lang w:eastAsia="pt-BR"/>
        </w:rPr>
        <w:t>IBGE, Censo Agropecuário, 2017.</w:t>
      </w:r>
    </w:p>
    <w:p w:rsidR="00774907" w:rsidRDefault="00774907" w:rsidP="007D484E">
      <w:pPr>
        <w:spacing w:after="0" w:line="360" w:lineRule="auto"/>
        <w:jc w:val="both"/>
        <w:rPr>
          <w:rFonts w:ascii="Times New Roman" w:hAnsi="Times New Roman"/>
          <w:sz w:val="24"/>
          <w:szCs w:val="24"/>
        </w:rPr>
      </w:pPr>
    </w:p>
    <w:p w:rsidR="00645A50" w:rsidRPr="00D404A8" w:rsidRDefault="00645A50" w:rsidP="00774907">
      <w:pPr>
        <w:spacing w:after="0" w:line="360" w:lineRule="auto"/>
        <w:ind w:firstLine="706"/>
        <w:jc w:val="both"/>
        <w:rPr>
          <w:rFonts w:ascii="Times New Roman" w:hAnsi="Times New Roman"/>
          <w:sz w:val="24"/>
          <w:szCs w:val="24"/>
        </w:rPr>
      </w:pPr>
      <w:r w:rsidRPr="00D404A8">
        <w:rPr>
          <w:rFonts w:ascii="Times New Roman" w:hAnsi="Times New Roman"/>
          <w:sz w:val="24"/>
          <w:szCs w:val="24"/>
        </w:rPr>
        <w:t>Os municípios que tem</w:t>
      </w:r>
      <w:r w:rsidR="00774907">
        <w:rPr>
          <w:rFonts w:ascii="Times New Roman" w:hAnsi="Times New Roman"/>
          <w:sz w:val="24"/>
          <w:szCs w:val="24"/>
        </w:rPr>
        <w:t xml:space="preserve"> áreas delimitadas e produção reconhecida com Indicação Geográfica e</w:t>
      </w:r>
      <w:r w:rsidRPr="00D404A8">
        <w:rPr>
          <w:rFonts w:ascii="Times New Roman" w:hAnsi="Times New Roman"/>
          <w:sz w:val="24"/>
          <w:szCs w:val="24"/>
        </w:rPr>
        <w:t xml:space="preserve"> </w:t>
      </w:r>
      <w:r w:rsidR="00774907">
        <w:rPr>
          <w:rFonts w:ascii="Times New Roman" w:hAnsi="Times New Roman"/>
          <w:sz w:val="24"/>
          <w:szCs w:val="24"/>
        </w:rPr>
        <w:t xml:space="preserve">melhores classificados, </w:t>
      </w:r>
      <w:r w:rsidRPr="00D404A8">
        <w:rPr>
          <w:rFonts w:ascii="Times New Roman" w:hAnsi="Times New Roman"/>
          <w:sz w:val="24"/>
          <w:szCs w:val="24"/>
        </w:rPr>
        <w:t>Bento Gonçalves e Farroupilha, ocupam a quinta e sexta posição respectivamente, uma vez q</w:t>
      </w:r>
      <w:r w:rsidR="00774907">
        <w:rPr>
          <w:rFonts w:ascii="Times New Roman" w:hAnsi="Times New Roman"/>
          <w:sz w:val="24"/>
          <w:szCs w:val="24"/>
        </w:rPr>
        <w:t>ue sua produção com certificação está associada aos</w:t>
      </w:r>
      <w:r w:rsidRPr="00D404A8">
        <w:rPr>
          <w:rFonts w:ascii="Times New Roman" w:hAnsi="Times New Roman"/>
          <w:sz w:val="24"/>
          <w:szCs w:val="24"/>
        </w:rPr>
        <w:t xml:space="preserve"> vinhos finos com maior valor agregados, mas reduzida </w:t>
      </w:r>
      <w:r w:rsidR="00774907">
        <w:rPr>
          <w:rFonts w:ascii="Times New Roman" w:hAnsi="Times New Roman"/>
          <w:sz w:val="24"/>
          <w:szCs w:val="24"/>
        </w:rPr>
        <w:t xml:space="preserve">quantidade por hectares em função da regulamentação </w:t>
      </w:r>
      <w:r w:rsidR="0020086C">
        <w:rPr>
          <w:rFonts w:ascii="Times New Roman" w:hAnsi="Times New Roman"/>
          <w:sz w:val="24"/>
          <w:szCs w:val="24"/>
        </w:rPr>
        <w:t>produtiva visando à</w:t>
      </w:r>
      <w:r w:rsidR="00774907">
        <w:rPr>
          <w:rFonts w:ascii="Times New Roman" w:hAnsi="Times New Roman"/>
          <w:sz w:val="24"/>
          <w:szCs w:val="24"/>
        </w:rPr>
        <w:t xml:space="preserve"> qualidade necessária</w:t>
      </w:r>
      <w:r w:rsidR="0020086C">
        <w:rPr>
          <w:rFonts w:ascii="Times New Roman" w:hAnsi="Times New Roman"/>
          <w:sz w:val="24"/>
          <w:szCs w:val="24"/>
        </w:rPr>
        <w:t xml:space="preserve"> do produto final.</w:t>
      </w:r>
      <w:r w:rsidR="00774907">
        <w:rPr>
          <w:rFonts w:ascii="Times New Roman" w:hAnsi="Times New Roman"/>
          <w:sz w:val="24"/>
          <w:szCs w:val="24"/>
        </w:rPr>
        <w:t xml:space="preserve"> </w:t>
      </w:r>
    </w:p>
    <w:p w:rsidR="00645A50" w:rsidRPr="00D404A8" w:rsidRDefault="00645A50" w:rsidP="00645A50">
      <w:pPr>
        <w:spacing w:after="0" w:line="360" w:lineRule="auto"/>
        <w:ind w:firstLine="851"/>
        <w:jc w:val="both"/>
        <w:rPr>
          <w:rFonts w:ascii="Times New Roman" w:hAnsi="Times New Roman"/>
          <w:sz w:val="24"/>
          <w:szCs w:val="24"/>
        </w:rPr>
      </w:pPr>
      <w:r w:rsidRPr="00D404A8">
        <w:rPr>
          <w:rFonts w:ascii="Times New Roman" w:hAnsi="Times New Roman"/>
          <w:sz w:val="24"/>
          <w:szCs w:val="24"/>
        </w:rPr>
        <w:t>No Gráfico 0</w:t>
      </w:r>
      <w:r>
        <w:rPr>
          <w:rFonts w:ascii="Times New Roman" w:hAnsi="Times New Roman"/>
          <w:sz w:val="24"/>
          <w:szCs w:val="24"/>
        </w:rPr>
        <w:t>2</w:t>
      </w:r>
      <w:r w:rsidRPr="00D404A8">
        <w:rPr>
          <w:rFonts w:ascii="Times New Roman" w:hAnsi="Times New Roman"/>
          <w:sz w:val="24"/>
          <w:szCs w:val="24"/>
        </w:rPr>
        <w:t xml:space="preserve"> apresenta-se a produção por área colhida onde novamente a região da Serra Gaúcha e os municípios com IG ou do seu entorno se destacam. </w:t>
      </w:r>
    </w:p>
    <w:p w:rsidR="00645A50" w:rsidRPr="00D404A8" w:rsidRDefault="00645A50" w:rsidP="00645A50">
      <w:pPr>
        <w:spacing w:after="0" w:line="360" w:lineRule="auto"/>
        <w:ind w:firstLine="851"/>
        <w:jc w:val="both"/>
        <w:rPr>
          <w:rFonts w:ascii="Times New Roman" w:hAnsi="Times New Roman"/>
          <w:sz w:val="24"/>
          <w:szCs w:val="24"/>
        </w:rPr>
      </w:pPr>
      <w:r w:rsidRPr="00D404A8">
        <w:rPr>
          <w:rFonts w:ascii="Times New Roman" w:hAnsi="Times New Roman"/>
          <w:sz w:val="24"/>
          <w:szCs w:val="24"/>
        </w:rPr>
        <w:t>Nos dez municípios que tiveram maior área plantada observa-se que Caxias foi o</w:t>
      </w:r>
      <w:r w:rsidR="006E1DA0">
        <w:rPr>
          <w:rFonts w:ascii="Times New Roman" w:hAnsi="Times New Roman"/>
          <w:sz w:val="24"/>
          <w:szCs w:val="24"/>
        </w:rPr>
        <w:t xml:space="preserve"> município</w:t>
      </w:r>
      <w:r w:rsidRPr="00D404A8">
        <w:rPr>
          <w:rFonts w:ascii="Times New Roman" w:hAnsi="Times New Roman"/>
          <w:sz w:val="24"/>
          <w:szCs w:val="24"/>
        </w:rPr>
        <w:t xml:space="preserve"> que a</w:t>
      </w:r>
      <w:r w:rsidR="006E1DA0">
        <w:rPr>
          <w:rFonts w:ascii="Times New Roman" w:hAnsi="Times New Roman"/>
          <w:sz w:val="24"/>
          <w:szCs w:val="24"/>
        </w:rPr>
        <w:t>presentou maior volume de produção, quando se trata</w:t>
      </w:r>
      <w:r w:rsidRPr="00D404A8">
        <w:rPr>
          <w:rFonts w:ascii="Times New Roman" w:hAnsi="Times New Roman"/>
          <w:sz w:val="24"/>
          <w:szCs w:val="24"/>
        </w:rPr>
        <w:t xml:space="preserve"> de área colhida fic</w:t>
      </w:r>
      <w:r w:rsidR="006E1DA0">
        <w:rPr>
          <w:rFonts w:ascii="Times New Roman" w:hAnsi="Times New Roman"/>
          <w:sz w:val="24"/>
          <w:szCs w:val="24"/>
        </w:rPr>
        <w:t>ou em quarta posição. Com</w:t>
      </w:r>
      <w:r w:rsidRPr="00D404A8">
        <w:rPr>
          <w:rFonts w:ascii="Times New Roman" w:hAnsi="Times New Roman"/>
          <w:sz w:val="24"/>
          <w:szCs w:val="24"/>
        </w:rPr>
        <w:t xml:space="preserve"> exceção de Santa Tereza os demais municípios com I</w:t>
      </w:r>
      <w:r w:rsidR="006E1DA0">
        <w:rPr>
          <w:rFonts w:ascii="Times New Roman" w:hAnsi="Times New Roman"/>
          <w:sz w:val="24"/>
          <w:szCs w:val="24"/>
        </w:rPr>
        <w:t xml:space="preserve">ndicação Geográfica </w:t>
      </w:r>
      <w:r w:rsidRPr="00D404A8">
        <w:rPr>
          <w:rFonts w:ascii="Times New Roman" w:hAnsi="Times New Roman"/>
          <w:sz w:val="24"/>
          <w:szCs w:val="24"/>
        </w:rPr>
        <w:t>estão ent</w:t>
      </w:r>
      <w:r w:rsidR="006E1DA0">
        <w:rPr>
          <w:rFonts w:ascii="Times New Roman" w:hAnsi="Times New Roman"/>
          <w:sz w:val="24"/>
          <w:szCs w:val="24"/>
        </w:rPr>
        <w:t>re os dez com maior área vitivinícola do estado</w:t>
      </w:r>
      <w:r w:rsidRPr="00D404A8">
        <w:rPr>
          <w:rFonts w:ascii="Times New Roman" w:hAnsi="Times New Roman"/>
          <w:sz w:val="24"/>
          <w:szCs w:val="24"/>
        </w:rPr>
        <w:t xml:space="preserve">, sendo que as áreas variaram de 1.200ha em Cotiporã a mais de 4.500ha em Flores da Cunha, </w:t>
      </w:r>
      <w:r w:rsidR="005E0327">
        <w:rPr>
          <w:rFonts w:ascii="Times New Roman" w:hAnsi="Times New Roman"/>
          <w:sz w:val="24"/>
          <w:szCs w:val="24"/>
        </w:rPr>
        <w:t xml:space="preserve">os 10 </w:t>
      </w:r>
      <w:r w:rsidRPr="00D404A8">
        <w:rPr>
          <w:rFonts w:ascii="Times New Roman" w:hAnsi="Times New Roman"/>
          <w:sz w:val="24"/>
          <w:szCs w:val="24"/>
        </w:rPr>
        <w:t>município</w:t>
      </w:r>
      <w:r w:rsidR="005E0327">
        <w:rPr>
          <w:rFonts w:ascii="Times New Roman" w:hAnsi="Times New Roman"/>
          <w:sz w:val="24"/>
          <w:szCs w:val="24"/>
        </w:rPr>
        <w:t xml:space="preserve">s com maiores áreas somaram </w:t>
      </w:r>
      <w:r w:rsidR="00C56683">
        <w:rPr>
          <w:rFonts w:ascii="Times New Roman" w:hAnsi="Times New Roman"/>
          <w:sz w:val="24"/>
          <w:szCs w:val="24"/>
        </w:rPr>
        <w:t>25.693 hectares.</w:t>
      </w:r>
    </w:p>
    <w:p w:rsidR="00645A50" w:rsidRDefault="00645A50" w:rsidP="00645A50">
      <w:pPr>
        <w:spacing w:after="0" w:line="360" w:lineRule="auto"/>
        <w:ind w:firstLine="851"/>
        <w:jc w:val="both"/>
        <w:rPr>
          <w:rFonts w:ascii="Times New Roman" w:hAnsi="Times New Roman"/>
          <w:noProof/>
          <w:sz w:val="24"/>
          <w:szCs w:val="24"/>
        </w:rPr>
      </w:pPr>
    </w:p>
    <w:p w:rsidR="003A5948" w:rsidRDefault="003A5948" w:rsidP="00645A50">
      <w:pPr>
        <w:spacing w:after="0" w:line="360" w:lineRule="auto"/>
        <w:ind w:firstLine="851"/>
        <w:jc w:val="both"/>
        <w:rPr>
          <w:rFonts w:ascii="Times New Roman" w:hAnsi="Times New Roman"/>
          <w:noProof/>
          <w:sz w:val="24"/>
          <w:szCs w:val="24"/>
        </w:rPr>
      </w:pPr>
    </w:p>
    <w:p w:rsidR="003A5948" w:rsidRPr="00D404A8" w:rsidRDefault="003A5948" w:rsidP="00645A50">
      <w:pPr>
        <w:spacing w:after="0" w:line="360" w:lineRule="auto"/>
        <w:ind w:firstLine="851"/>
        <w:jc w:val="both"/>
        <w:rPr>
          <w:rFonts w:ascii="Times New Roman" w:hAnsi="Times New Roman"/>
          <w:noProof/>
          <w:sz w:val="24"/>
          <w:szCs w:val="24"/>
        </w:rPr>
      </w:pPr>
    </w:p>
    <w:p w:rsidR="00645A50" w:rsidRPr="00CC1870" w:rsidRDefault="00645A50" w:rsidP="00645A50">
      <w:pPr>
        <w:pStyle w:val="0Grficos"/>
        <w:rPr>
          <w:noProof/>
        </w:rPr>
      </w:pPr>
      <w:bookmarkStart w:id="1" w:name="_Toc31027404"/>
      <w:r w:rsidRPr="00CC1870">
        <w:rPr>
          <w:noProof/>
        </w:rPr>
        <w:lastRenderedPageBreak/>
        <w:t>Gráfico 0</w:t>
      </w:r>
      <w:r>
        <w:rPr>
          <w:noProof/>
        </w:rPr>
        <w:t>2</w:t>
      </w:r>
      <w:r w:rsidRPr="00CC1870">
        <w:rPr>
          <w:noProof/>
        </w:rPr>
        <w:t xml:space="preserve"> – Os dez municípios com maior área vitivinícola de uva/vinho (ha) - 2017</w:t>
      </w:r>
      <w:bookmarkEnd w:id="1"/>
    </w:p>
    <w:p w:rsidR="00645A50" w:rsidRDefault="00645A50" w:rsidP="00645A50">
      <w:pPr>
        <w:spacing w:after="0" w:line="240" w:lineRule="auto"/>
        <w:jc w:val="both"/>
        <w:rPr>
          <w:rFonts w:ascii="Times New Roman" w:hAnsi="Times New Roman"/>
          <w:sz w:val="24"/>
          <w:szCs w:val="24"/>
        </w:rPr>
      </w:pPr>
      <w:r>
        <w:rPr>
          <w:rFonts w:ascii="Times New Roman" w:hAnsi="Times New Roman"/>
          <w:noProof/>
          <w:sz w:val="24"/>
          <w:szCs w:val="24"/>
          <w:lang w:val="en-US"/>
        </w:rPr>
        <w:drawing>
          <wp:inline distT="0" distB="0" distL="0" distR="0">
            <wp:extent cx="5734685" cy="2065655"/>
            <wp:effectExtent l="19050" t="19050" r="18415" b="10795"/>
            <wp:docPr id="5" name="Imagem 2" descr="C:\Users\user\Documents\a Tese\a Tese\atual dados\area colhi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Users\user\Documents\a Tese\a Tese\atual dados\area colhida.png"/>
                    <pic:cNvPicPr>
                      <a:picLocks noChangeAspect="1" noChangeArrowheads="1"/>
                    </pic:cNvPicPr>
                  </pic:nvPicPr>
                  <pic:blipFill>
                    <a:blip r:embed="rId9"/>
                    <a:srcRect t="18170" b="8560"/>
                    <a:stretch>
                      <a:fillRect/>
                    </a:stretch>
                  </pic:blipFill>
                  <pic:spPr bwMode="auto">
                    <a:xfrm>
                      <a:off x="0" y="0"/>
                      <a:ext cx="5734685" cy="2065655"/>
                    </a:xfrm>
                    <a:prstGeom prst="rect">
                      <a:avLst/>
                    </a:prstGeom>
                    <a:noFill/>
                    <a:ln w="9525" cap="flat" cmpd="sng" algn="ctr">
                      <a:solidFill>
                        <a:srgbClr val="000000"/>
                      </a:solidFill>
                      <a:prstDash val="solid"/>
                      <a:miter lim="800000"/>
                      <a:headEnd type="none" w="med" len="med"/>
                      <a:tailEnd type="none" w="med" len="med"/>
                    </a:ln>
                    <a:effectLst/>
                  </pic:spPr>
                </pic:pic>
              </a:graphicData>
            </a:graphic>
          </wp:inline>
        </w:drawing>
      </w:r>
    </w:p>
    <w:p w:rsidR="00645A50" w:rsidRPr="00D404A8" w:rsidRDefault="00645A50" w:rsidP="00645A50">
      <w:pPr>
        <w:spacing w:after="0" w:line="240" w:lineRule="auto"/>
        <w:jc w:val="both"/>
        <w:rPr>
          <w:rFonts w:ascii="Times New Roman" w:eastAsia="Times New Roman" w:hAnsi="Times New Roman"/>
          <w:sz w:val="24"/>
          <w:szCs w:val="24"/>
          <w:lang w:eastAsia="pt-BR"/>
        </w:rPr>
      </w:pPr>
      <w:r w:rsidRPr="00D404A8">
        <w:rPr>
          <w:rFonts w:ascii="Times New Roman" w:hAnsi="Times New Roman"/>
          <w:sz w:val="24"/>
          <w:szCs w:val="24"/>
        </w:rPr>
        <w:t xml:space="preserve">Fonte: IBGE </w:t>
      </w:r>
      <w:r w:rsidRPr="00D404A8">
        <w:rPr>
          <w:rFonts w:ascii="Times New Roman" w:eastAsia="Times New Roman" w:hAnsi="Times New Roman"/>
          <w:sz w:val="24"/>
          <w:szCs w:val="24"/>
          <w:lang w:eastAsia="pt-BR"/>
        </w:rPr>
        <w:t>- Censo Agropecuário 2017</w:t>
      </w:r>
    </w:p>
    <w:p w:rsidR="00645A50" w:rsidRPr="00D404A8" w:rsidRDefault="00645A50" w:rsidP="00645A50">
      <w:pPr>
        <w:spacing w:after="0" w:line="360" w:lineRule="auto"/>
        <w:jc w:val="both"/>
        <w:rPr>
          <w:rFonts w:ascii="Times New Roman" w:hAnsi="Times New Roman"/>
          <w:sz w:val="24"/>
          <w:szCs w:val="24"/>
        </w:rPr>
      </w:pPr>
      <w:r w:rsidRPr="00D404A8">
        <w:rPr>
          <w:rFonts w:ascii="Times New Roman" w:hAnsi="Times New Roman"/>
          <w:sz w:val="24"/>
          <w:szCs w:val="24"/>
        </w:rPr>
        <w:tab/>
      </w:r>
    </w:p>
    <w:p w:rsidR="00A06E46" w:rsidRDefault="00C56683" w:rsidP="00A06E46">
      <w:pPr>
        <w:spacing w:after="0" w:line="360" w:lineRule="auto"/>
        <w:ind w:firstLine="708"/>
        <w:jc w:val="both"/>
        <w:rPr>
          <w:rFonts w:ascii="Times New Roman" w:hAnsi="Times New Roman"/>
          <w:sz w:val="24"/>
          <w:szCs w:val="24"/>
        </w:rPr>
      </w:pPr>
      <w:r w:rsidRPr="00D404A8">
        <w:rPr>
          <w:rFonts w:ascii="Times New Roman" w:hAnsi="Times New Roman"/>
          <w:sz w:val="24"/>
          <w:szCs w:val="24"/>
        </w:rPr>
        <w:t xml:space="preserve">A distribuição de plantação de vinhas no Rio Grande do Sul abrange 91% dos municípios do Estado com maior ou menor intensidade de área plantada, de acordo com Facaldi (2016). A autora argumenta que o estado pode ser considerado uma região vitícola em sua essência. Pode-se observar que além das regiões tradicionais que transbordam seus efeitos aos municípios vizinhos, outros municípios ou pequenas regiões podem ser identificados como potenciais produtoras. Assim sendo, a produção vinícola tem uma contribuição importante ao estado e bem como na dinamização da sua economia. </w:t>
      </w:r>
    </w:p>
    <w:p w:rsidR="00A06E46" w:rsidRPr="00D404A8" w:rsidRDefault="00A06E46" w:rsidP="00A06E46">
      <w:pPr>
        <w:spacing w:after="0" w:line="360" w:lineRule="auto"/>
        <w:ind w:firstLine="708"/>
        <w:jc w:val="both"/>
        <w:rPr>
          <w:rFonts w:ascii="Times New Roman" w:hAnsi="Times New Roman"/>
          <w:sz w:val="24"/>
          <w:szCs w:val="24"/>
        </w:rPr>
      </w:pPr>
      <w:r>
        <w:rPr>
          <w:rFonts w:ascii="Times New Roman" w:hAnsi="Times New Roman"/>
          <w:sz w:val="24"/>
          <w:szCs w:val="24"/>
        </w:rPr>
        <w:t>Para verificar como se distribui o valor da produção vinícola no estado selecionou-se n</w:t>
      </w:r>
      <w:r w:rsidRPr="00D404A8">
        <w:rPr>
          <w:rFonts w:ascii="Times New Roman" w:hAnsi="Times New Roman"/>
          <w:sz w:val="24"/>
          <w:szCs w:val="24"/>
        </w:rPr>
        <w:t xml:space="preserve">o Gráfico </w:t>
      </w:r>
      <w:r>
        <w:rPr>
          <w:rFonts w:ascii="Times New Roman" w:hAnsi="Times New Roman"/>
          <w:sz w:val="24"/>
          <w:szCs w:val="24"/>
        </w:rPr>
        <w:t>03</w:t>
      </w:r>
      <w:r w:rsidRPr="00D404A8">
        <w:rPr>
          <w:rFonts w:ascii="Times New Roman" w:hAnsi="Times New Roman"/>
          <w:sz w:val="24"/>
          <w:szCs w:val="24"/>
        </w:rPr>
        <w:t xml:space="preserve"> </w:t>
      </w:r>
      <w:r>
        <w:rPr>
          <w:rFonts w:ascii="Times New Roman" w:hAnsi="Times New Roman"/>
          <w:sz w:val="24"/>
          <w:szCs w:val="24"/>
        </w:rPr>
        <w:t xml:space="preserve">os </w:t>
      </w:r>
      <w:r w:rsidRPr="00D404A8">
        <w:rPr>
          <w:rFonts w:ascii="Times New Roman" w:hAnsi="Times New Roman"/>
          <w:sz w:val="24"/>
          <w:szCs w:val="24"/>
        </w:rPr>
        <w:t>dez municípios mais representativos.</w:t>
      </w:r>
    </w:p>
    <w:p w:rsidR="00645A50" w:rsidRPr="00CC1870" w:rsidRDefault="00645A50" w:rsidP="00645A50">
      <w:pPr>
        <w:pStyle w:val="0Grficos"/>
      </w:pPr>
      <w:bookmarkStart w:id="2" w:name="_Toc31027405"/>
      <w:r w:rsidRPr="00CC1870">
        <w:t xml:space="preserve">Gráfico </w:t>
      </w:r>
      <w:r>
        <w:t>03</w:t>
      </w:r>
      <w:r w:rsidRPr="00CC1870">
        <w:t xml:space="preserve"> – Valor da produção vitivinícola nos dez principais municípios (R$1000) - 2017</w:t>
      </w:r>
      <w:bookmarkEnd w:id="2"/>
    </w:p>
    <w:p w:rsidR="00645A50" w:rsidRPr="00D404A8" w:rsidRDefault="00645A50" w:rsidP="00645A50">
      <w:pPr>
        <w:spacing w:after="0" w:line="240" w:lineRule="auto"/>
        <w:jc w:val="both"/>
        <w:rPr>
          <w:rFonts w:ascii="Times New Roman" w:eastAsia="Times New Roman" w:hAnsi="Times New Roman"/>
          <w:sz w:val="24"/>
          <w:szCs w:val="24"/>
          <w:lang w:eastAsia="pt-BR"/>
        </w:rPr>
      </w:pPr>
      <w:r>
        <w:rPr>
          <w:rFonts w:ascii="Times New Roman" w:hAnsi="Times New Roman"/>
          <w:noProof/>
          <w:sz w:val="24"/>
          <w:szCs w:val="24"/>
          <w:lang w:val="en-US"/>
        </w:rPr>
        <w:drawing>
          <wp:inline distT="0" distB="0" distL="0" distR="0">
            <wp:extent cx="5757545" cy="2088515"/>
            <wp:effectExtent l="19050" t="19050" r="14605" b="26035"/>
            <wp:docPr id="4" name="Imagem 1" descr="C:\Users\user\Documents\a Tese\a Tese\atual dados\valor da produçã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user\Documents\a Tese\a Tese\atual dados\valor da produção.png"/>
                    <pic:cNvPicPr>
                      <a:picLocks noChangeAspect="1" noChangeArrowheads="1"/>
                    </pic:cNvPicPr>
                  </pic:nvPicPr>
                  <pic:blipFill>
                    <a:blip r:embed="rId10"/>
                    <a:srcRect t="18156" b="9673"/>
                    <a:stretch>
                      <a:fillRect/>
                    </a:stretch>
                  </pic:blipFill>
                  <pic:spPr bwMode="auto">
                    <a:xfrm>
                      <a:off x="0" y="0"/>
                      <a:ext cx="5757545" cy="2088515"/>
                    </a:xfrm>
                    <a:prstGeom prst="rect">
                      <a:avLst/>
                    </a:prstGeom>
                    <a:noFill/>
                    <a:ln w="9525" cmpd="sng">
                      <a:solidFill>
                        <a:srgbClr val="000000"/>
                      </a:solidFill>
                      <a:miter lim="800000"/>
                      <a:headEnd/>
                      <a:tailEnd/>
                    </a:ln>
                    <a:effectLst/>
                  </pic:spPr>
                </pic:pic>
              </a:graphicData>
            </a:graphic>
          </wp:inline>
        </w:drawing>
      </w:r>
      <w:r w:rsidRPr="00D404A8">
        <w:rPr>
          <w:rFonts w:ascii="Times New Roman" w:hAnsi="Times New Roman"/>
          <w:sz w:val="24"/>
          <w:szCs w:val="24"/>
        </w:rPr>
        <w:t xml:space="preserve">Fonte: </w:t>
      </w:r>
      <w:r w:rsidRPr="00D404A8">
        <w:rPr>
          <w:rFonts w:ascii="Times New Roman" w:eastAsia="Times New Roman" w:hAnsi="Times New Roman"/>
          <w:sz w:val="24"/>
          <w:szCs w:val="24"/>
          <w:lang w:eastAsia="pt-BR"/>
        </w:rPr>
        <w:t>IBGE - Censo Agropecuário 2017</w:t>
      </w:r>
    </w:p>
    <w:p w:rsidR="00645A50" w:rsidRDefault="00645A50" w:rsidP="00645A50">
      <w:pPr>
        <w:spacing w:after="0" w:line="360" w:lineRule="auto"/>
        <w:ind w:firstLine="851"/>
        <w:jc w:val="both"/>
        <w:rPr>
          <w:rFonts w:ascii="Times New Roman" w:eastAsia="Times New Roman" w:hAnsi="Times New Roman"/>
          <w:sz w:val="24"/>
          <w:szCs w:val="24"/>
          <w:lang w:eastAsia="pt-BR"/>
        </w:rPr>
      </w:pPr>
      <w:r w:rsidRPr="00D404A8">
        <w:rPr>
          <w:rFonts w:ascii="Times New Roman" w:hAnsi="Times New Roman"/>
          <w:sz w:val="24"/>
          <w:szCs w:val="24"/>
        </w:rPr>
        <w:lastRenderedPageBreak/>
        <w:t>Embora o estado, como um todo, possa ser considerado uma região vitícola pelo expressivo número de municípios que são produtores, quando analisada a distribuição da produção, observa-se na Figura 0</w:t>
      </w:r>
      <w:r>
        <w:rPr>
          <w:rFonts w:ascii="Times New Roman" w:hAnsi="Times New Roman"/>
          <w:sz w:val="24"/>
          <w:szCs w:val="24"/>
        </w:rPr>
        <w:t>1</w:t>
      </w:r>
      <w:r w:rsidRPr="00D404A8">
        <w:rPr>
          <w:rFonts w:ascii="Times New Roman" w:hAnsi="Times New Roman"/>
          <w:sz w:val="24"/>
          <w:szCs w:val="24"/>
        </w:rPr>
        <w:t xml:space="preserve"> que a </w:t>
      </w:r>
      <w:r w:rsidRPr="00D404A8">
        <w:rPr>
          <w:rFonts w:ascii="Times New Roman" w:eastAsia="Times New Roman" w:hAnsi="Times New Roman"/>
          <w:sz w:val="24"/>
          <w:szCs w:val="24"/>
          <w:lang w:eastAsia="pt-BR"/>
        </w:rPr>
        <w:t>quantidade produzida não é significativa em volume para todos os municípios produtores. A maior produção se concentra nos municípios da Serra Gaúcha e na região da Campanha.</w:t>
      </w:r>
    </w:p>
    <w:p w:rsidR="001F73F7" w:rsidRPr="00D404A8" w:rsidRDefault="001F73F7" w:rsidP="00645A50">
      <w:pPr>
        <w:spacing w:after="0" w:line="360" w:lineRule="auto"/>
        <w:ind w:firstLine="851"/>
        <w:jc w:val="both"/>
        <w:rPr>
          <w:rFonts w:ascii="Times New Roman" w:hAnsi="Times New Roman"/>
          <w:sz w:val="24"/>
          <w:szCs w:val="24"/>
        </w:rPr>
      </w:pPr>
    </w:p>
    <w:p w:rsidR="00645A50" w:rsidRPr="00CC1870" w:rsidRDefault="00645A50" w:rsidP="00645A50">
      <w:pPr>
        <w:pStyle w:val="0Figuras"/>
        <w:rPr>
          <w:color w:val="auto"/>
          <w:lang w:eastAsia="pt-BR"/>
        </w:rPr>
      </w:pPr>
      <w:r w:rsidRPr="00CC1870">
        <w:rPr>
          <w:color w:val="auto"/>
          <w:lang w:eastAsia="pt-BR"/>
        </w:rPr>
        <w:t>Figura 0</w:t>
      </w:r>
      <w:r>
        <w:rPr>
          <w:color w:val="auto"/>
          <w:lang w:eastAsia="pt-BR"/>
        </w:rPr>
        <w:t>1</w:t>
      </w:r>
      <w:r w:rsidRPr="00CC1870">
        <w:rPr>
          <w:color w:val="auto"/>
          <w:lang w:eastAsia="pt-BR"/>
        </w:rPr>
        <w:t xml:space="preserve"> – Quantidade produzida de uva, em toneladas, por municípios RS - 20</w:t>
      </w:r>
      <w:bookmarkStart w:id="3" w:name="_Toc31027739"/>
      <w:r w:rsidRPr="00CC1870">
        <w:rPr>
          <w:color w:val="auto"/>
          <w:lang w:eastAsia="pt-BR"/>
        </w:rPr>
        <w:t>18</w:t>
      </w:r>
      <w:bookmarkEnd w:id="3"/>
    </w:p>
    <w:p w:rsidR="00645A50" w:rsidRPr="00CC1870" w:rsidRDefault="00645A50" w:rsidP="00645A50">
      <w:pPr>
        <w:spacing w:after="0" w:line="240" w:lineRule="auto"/>
        <w:jc w:val="both"/>
        <w:rPr>
          <w:rFonts w:ascii="Times New Roman" w:eastAsia="Times New Roman" w:hAnsi="Times New Roman"/>
          <w:sz w:val="24"/>
          <w:szCs w:val="24"/>
          <w:lang w:eastAsia="pt-BR"/>
        </w:rPr>
      </w:pPr>
      <w:r>
        <w:rPr>
          <w:rFonts w:ascii="Times New Roman" w:eastAsia="Times New Roman" w:hAnsi="Times New Roman"/>
          <w:noProof/>
          <w:sz w:val="24"/>
          <w:szCs w:val="24"/>
          <w:lang w:val="en-US"/>
        </w:rPr>
        <w:drawing>
          <wp:inline distT="0" distB="0" distL="0" distR="0">
            <wp:extent cx="4605655" cy="4335145"/>
            <wp:effectExtent l="19050" t="0" r="4445" b="0"/>
            <wp:docPr id="3" name="Imagem 3" descr="valor producao (1) 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valor producao (1) RS"/>
                    <pic:cNvPicPr>
                      <a:picLocks noChangeAspect="1" noChangeArrowheads="1"/>
                    </pic:cNvPicPr>
                  </pic:nvPicPr>
                  <pic:blipFill>
                    <a:blip r:embed="rId11"/>
                    <a:srcRect/>
                    <a:stretch>
                      <a:fillRect/>
                    </a:stretch>
                  </pic:blipFill>
                  <pic:spPr bwMode="auto">
                    <a:xfrm>
                      <a:off x="0" y="0"/>
                      <a:ext cx="4605655" cy="4335145"/>
                    </a:xfrm>
                    <a:prstGeom prst="rect">
                      <a:avLst/>
                    </a:prstGeom>
                    <a:noFill/>
                    <a:ln w="9525">
                      <a:noFill/>
                      <a:miter lim="800000"/>
                      <a:headEnd/>
                      <a:tailEnd/>
                    </a:ln>
                  </pic:spPr>
                </pic:pic>
              </a:graphicData>
            </a:graphic>
          </wp:inline>
        </w:drawing>
      </w:r>
    </w:p>
    <w:p w:rsidR="00645A50" w:rsidRPr="00D404A8" w:rsidRDefault="00645A50" w:rsidP="00645A50">
      <w:pPr>
        <w:spacing w:after="0" w:line="240" w:lineRule="auto"/>
        <w:jc w:val="both"/>
        <w:rPr>
          <w:rFonts w:ascii="Times New Roman" w:eastAsia="Times New Roman" w:hAnsi="Times New Roman"/>
          <w:sz w:val="24"/>
          <w:szCs w:val="24"/>
          <w:lang w:eastAsia="pt-BR"/>
        </w:rPr>
      </w:pPr>
      <w:r w:rsidRPr="00D404A8">
        <w:rPr>
          <w:rFonts w:ascii="Times New Roman" w:eastAsia="Times New Roman" w:hAnsi="Times New Roman"/>
          <w:sz w:val="24"/>
          <w:szCs w:val="24"/>
          <w:lang w:eastAsia="pt-BR"/>
        </w:rPr>
        <w:t>Fonte: SIDRA (2019).</w:t>
      </w:r>
    </w:p>
    <w:p w:rsidR="00645A50" w:rsidRDefault="00645A50" w:rsidP="00645A50">
      <w:pPr>
        <w:spacing w:after="0" w:line="240" w:lineRule="auto"/>
        <w:jc w:val="both"/>
        <w:rPr>
          <w:rFonts w:ascii="Times New Roman" w:eastAsia="Times New Roman" w:hAnsi="Times New Roman"/>
          <w:sz w:val="24"/>
          <w:szCs w:val="24"/>
          <w:lang w:eastAsia="pt-BR"/>
        </w:rPr>
      </w:pPr>
    </w:p>
    <w:p w:rsidR="001F73F7" w:rsidRPr="00D404A8" w:rsidRDefault="001F73F7" w:rsidP="001F73F7">
      <w:pPr>
        <w:spacing w:after="0" w:line="360" w:lineRule="auto"/>
        <w:ind w:firstLine="851"/>
        <w:jc w:val="both"/>
        <w:rPr>
          <w:rFonts w:ascii="Times New Roman" w:eastAsia="Times New Roman" w:hAnsi="Times New Roman"/>
          <w:sz w:val="24"/>
          <w:szCs w:val="24"/>
          <w:lang w:eastAsia="pt-BR"/>
        </w:rPr>
      </w:pPr>
      <w:r w:rsidRPr="00D404A8">
        <w:rPr>
          <w:rFonts w:ascii="Times New Roman" w:eastAsia="Times New Roman" w:hAnsi="Times New Roman"/>
          <w:sz w:val="24"/>
          <w:szCs w:val="24"/>
          <w:lang w:eastAsia="pt-BR"/>
        </w:rPr>
        <w:t xml:space="preserve">Os dados do Cadastro Vitícola do estado, mostravam que à distribuição da produção no estado, em 2015, somava uma área plantada de 40.336,22 ha e a produção de 758.230,31 toneladas. A microrregião de Caxias do Sul, com 32.305,98 ha representava 80,09% de toda a área ocupada com videiras no </w:t>
      </w:r>
      <w:r>
        <w:rPr>
          <w:rFonts w:ascii="Times New Roman" w:eastAsia="Times New Roman" w:hAnsi="Times New Roman"/>
          <w:sz w:val="24"/>
          <w:szCs w:val="24"/>
          <w:lang w:eastAsia="pt-BR"/>
        </w:rPr>
        <w:t>e</w:t>
      </w:r>
      <w:r w:rsidRPr="00D404A8">
        <w:rPr>
          <w:rFonts w:ascii="Times New Roman" w:eastAsia="Times New Roman" w:hAnsi="Times New Roman"/>
          <w:sz w:val="24"/>
          <w:szCs w:val="24"/>
          <w:lang w:eastAsia="pt-BR"/>
        </w:rPr>
        <w:t xml:space="preserve">stado. A Campanha Central apresenta 2,46% e Serras de Sudeste 1,96% da área, o restante estava descentralizado nos demais municípios. A </w:t>
      </w:r>
      <w:r w:rsidRPr="00D404A8">
        <w:rPr>
          <w:rFonts w:ascii="Times New Roman" w:eastAsia="Times New Roman" w:hAnsi="Times New Roman"/>
          <w:sz w:val="24"/>
          <w:szCs w:val="24"/>
          <w:lang w:eastAsia="pt-BR"/>
        </w:rPr>
        <w:lastRenderedPageBreak/>
        <w:t>microrregião de Caxias do Sul tinha uma média de 2,81ha</w:t>
      </w:r>
      <w:r>
        <w:rPr>
          <w:rFonts w:ascii="Times New Roman" w:eastAsia="Times New Roman" w:hAnsi="Times New Roman"/>
          <w:sz w:val="24"/>
          <w:szCs w:val="24"/>
          <w:lang w:eastAsia="pt-BR"/>
        </w:rPr>
        <w:t xml:space="preserve"> por propriedade</w:t>
      </w:r>
      <w:r w:rsidRPr="00D404A8">
        <w:rPr>
          <w:rFonts w:ascii="Times New Roman" w:eastAsia="Times New Roman" w:hAnsi="Times New Roman"/>
          <w:sz w:val="24"/>
          <w:szCs w:val="24"/>
          <w:lang w:eastAsia="pt-BR"/>
        </w:rPr>
        <w:t>, onde poucas propriedades possuíam área vitícola superior a 10ha. Diferente situação era verificada na microrregião da Campanha Central e na Serras do Sudeste, ond</w:t>
      </w:r>
      <w:r>
        <w:rPr>
          <w:rFonts w:ascii="Times New Roman" w:eastAsia="Times New Roman" w:hAnsi="Times New Roman"/>
          <w:sz w:val="24"/>
          <w:szCs w:val="24"/>
          <w:lang w:eastAsia="pt-BR"/>
        </w:rPr>
        <w:t>e a área média com vinhedos está</w:t>
      </w:r>
      <w:r w:rsidRPr="00D404A8">
        <w:rPr>
          <w:rFonts w:ascii="Times New Roman" w:eastAsia="Times New Roman" w:hAnsi="Times New Roman"/>
          <w:sz w:val="24"/>
          <w:szCs w:val="24"/>
          <w:lang w:eastAsia="pt-BR"/>
        </w:rPr>
        <w:t xml:space="preserve"> mais concentrada em propriedades acima de 10ha em média (MELLO, 2015). </w:t>
      </w:r>
    </w:p>
    <w:p w:rsidR="00331B0C" w:rsidRDefault="00645A50" w:rsidP="00331B0C">
      <w:pPr>
        <w:spacing w:after="0" w:line="360" w:lineRule="auto"/>
        <w:ind w:firstLine="851"/>
        <w:jc w:val="both"/>
        <w:rPr>
          <w:rFonts w:ascii="Times New Roman" w:eastAsia="Times New Roman" w:hAnsi="Times New Roman"/>
          <w:sz w:val="24"/>
          <w:szCs w:val="24"/>
          <w:lang w:eastAsia="pt-BR"/>
        </w:rPr>
      </w:pPr>
      <w:r w:rsidRPr="00D404A8">
        <w:rPr>
          <w:rFonts w:ascii="Times New Roman" w:eastAsia="Times New Roman" w:hAnsi="Times New Roman"/>
          <w:sz w:val="24"/>
          <w:szCs w:val="24"/>
          <w:lang w:eastAsia="pt-BR"/>
        </w:rPr>
        <w:t>A região sul do estado, onde se localizam as regiões vinícolas da Campanha</w:t>
      </w:r>
      <w:r w:rsidR="00331B0C">
        <w:rPr>
          <w:rFonts w:ascii="Times New Roman" w:eastAsia="Times New Roman" w:hAnsi="Times New Roman"/>
          <w:sz w:val="24"/>
          <w:szCs w:val="24"/>
          <w:lang w:eastAsia="pt-BR"/>
        </w:rPr>
        <w:t xml:space="preserve"> Gaúcha</w:t>
      </w:r>
      <w:r w:rsidRPr="00D404A8">
        <w:rPr>
          <w:rFonts w:ascii="Times New Roman" w:eastAsia="Times New Roman" w:hAnsi="Times New Roman"/>
          <w:sz w:val="24"/>
          <w:szCs w:val="24"/>
          <w:lang w:eastAsia="pt-BR"/>
        </w:rPr>
        <w:t xml:space="preserve"> e Encosta do Sudeste,</w:t>
      </w:r>
      <w:r w:rsidR="00331B0C">
        <w:rPr>
          <w:rFonts w:ascii="Times New Roman" w:eastAsia="Times New Roman" w:hAnsi="Times New Roman"/>
          <w:sz w:val="24"/>
          <w:szCs w:val="24"/>
          <w:lang w:eastAsia="pt-BR"/>
        </w:rPr>
        <w:t xml:space="preserve"> localizadas na região sul do estado,</w:t>
      </w:r>
      <w:r w:rsidRPr="00D404A8">
        <w:rPr>
          <w:rFonts w:ascii="Times New Roman" w:eastAsia="Times New Roman" w:hAnsi="Times New Roman"/>
          <w:sz w:val="24"/>
          <w:szCs w:val="24"/>
          <w:lang w:eastAsia="pt-BR"/>
        </w:rPr>
        <w:t xml:space="preserve"> sempre teve como característica grandes propriedades rural sendo a agropecuária extensiva um marco da sua atividade econômica, em contraponto, a Região da Serra Gaúcha</w:t>
      </w:r>
      <w:r w:rsidR="00331B0C">
        <w:rPr>
          <w:rFonts w:ascii="Times New Roman" w:eastAsia="Times New Roman" w:hAnsi="Times New Roman"/>
          <w:sz w:val="24"/>
          <w:szCs w:val="24"/>
          <w:lang w:eastAsia="pt-BR"/>
        </w:rPr>
        <w:t xml:space="preserve">, no noroeste do estado, </w:t>
      </w:r>
      <w:r w:rsidRPr="00D404A8">
        <w:rPr>
          <w:rFonts w:ascii="Times New Roman" w:eastAsia="Times New Roman" w:hAnsi="Times New Roman"/>
          <w:sz w:val="24"/>
          <w:szCs w:val="24"/>
          <w:lang w:eastAsia="pt-BR"/>
        </w:rPr>
        <w:t>foi uma região colonizada</w:t>
      </w:r>
      <w:r w:rsidR="00C56683">
        <w:rPr>
          <w:rFonts w:ascii="Times New Roman" w:eastAsia="Times New Roman" w:hAnsi="Times New Roman"/>
          <w:sz w:val="24"/>
          <w:szCs w:val="24"/>
          <w:lang w:eastAsia="pt-BR"/>
        </w:rPr>
        <w:t xml:space="preserve"> por imigrantes oriundos da Itália em sua maioria</w:t>
      </w:r>
      <w:r w:rsidRPr="00D404A8">
        <w:rPr>
          <w:rFonts w:ascii="Times New Roman" w:eastAsia="Times New Roman" w:hAnsi="Times New Roman"/>
          <w:sz w:val="24"/>
          <w:szCs w:val="24"/>
          <w:lang w:eastAsia="pt-BR"/>
        </w:rPr>
        <w:t xml:space="preserve"> e as propriedades inicialmente distribuídas aos imigrantes colonizadores já eram</w:t>
      </w:r>
      <w:r>
        <w:rPr>
          <w:rFonts w:ascii="Times New Roman" w:eastAsia="Times New Roman" w:hAnsi="Times New Roman"/>
          <w:sz w:val="24"/>
          <w:szCs w:val="24"/>
          <w:lang w:eastAsia="pt-BR"/>
        </w:rPr>
        <w:t xml:space="preserve"> reduzidas</w:t>
      </w:r>
      <w:r w:rsidRPr="00D404A8">
        <w:rPr>
          <w:rFonts w:ascii="Times New Roman" w:eastAsia="Times New Roman" w:hAnsi="Times New Roman"/>
          <w:sz w:val="24"/>
          <w:szCs w:val="24"/>
          <w:lang w:eastAsia="pt-BR"/>
        </w:rPr>
        <w:t xml:space="preserve">. </w:t>
      </w:r>
      <w:bookmarkStart w:id="4" w:name="_Toc39599278"/>
    </w:p>
    <w:p w:rsidR="00331B0C" w:rsidRPr="00331B0C" w:rsidRDefault="00331B0C" w:rsidP="00331B0C">
      <w:pPr>
        <w:spacing w:after="0" w:line="360" w:lineRule="auto"/>
        <w:ind w:firstLine="720"/>
        <w:jc w:val="both"/>
        <w:rPr>
          <w:rFonts w:ascii="Times New Roman" w:hAnsi="Times New Roman" w:cs="Times New Roman"/>
          <w:sz w:val="24"/>
          <w:szCs w:val="24"/>
        </w:rPr>
      </w:pPr>
      <w:r w:rsidRPr="00331B0C">
        <w:rPr>
          <w:rFonts w:ascii="Times New Roman" w:hAnsi="Times New Roman" w:cs="Times New Roman"/>
          <w:sz w:val="24"/>
          <w:szCs w:val="24"/>
        </w:rPr>
        <w:t>A região da Campanha</w:t>
      </w:r>
      <w:r>
        <w:rPr>
          <w:rFonts w:ascii="Times New Roman" w:hAnsi="Times New Roman" w:cs="Times New Roman"/>
          <w:sz w:val="24"/>
          <w:szCs w:val="24"/>
        </w:rPr>
        <w:t xml:space="preserve"> Gaúcha tinha</w:t>
      </w:r>
      <w:r w:rsidRPr="00331B0C">
        <w:rPr>
          <w:rFonts w:ascii="Times New Roman" w:hAnsi="Times New Roman" w:cs="Times New Roman"/>
          <w:sz w:val="24"/>
          <w:szCs w:val="24"/>
        </w:rPr>
        <w:t xml:space="preserve"> uma área cultivada de aproximadamente dois mil hectares, o que assegura</w:t>
      </w:r>
      <w:r>
        <w:rPr>
          <w:rFonts w:ascii="Times New Roman" w:hAnsi="Times New Roman" w:cs="Times New Roman"/>
          <w:sz w:val="24"/>
          <w:szCs w:val="24"/>
        </w:rPr>
        <w:t>va</w:t>
      </w:r>
      <w:r w:rsidRPr="00331B0C">
        <w:rPr>
          <w:rFonts w:ascii="Times New Roman" w:hAnsi="Times New Roman" w:cs="Times New Roman"/>
          <w:sz w:val="24"/>
          <w:szCs w:val="24"/>
        </w:rPr>
        <w:t xml:space="preserve"> uma produção superior a 5,3 milhões de quilos de uvas, responsáveis por 3,86 milhões de litros de vinho produzidos em 17 vinícolas no ano de 2019. Todavia, de forma semelhante ao que ocorre com a produção da região Serra do Sudeste, nem toda a uva produzida na região da Campanha é vinificada na própria região, cerca de 35% dessa produção é processada fora da região, predominantemente na Serra Gaúcha. As condições edafoclimáticas da região da Campanha asseguram uma produção favorável às </w:t>
      </w:r>
      <w:r w:rsidRPr="00331B0C">
        <w:rPr>
          <w:rFonts w:ascii="Times New Roman" w:hAnsi="Times New Roman" w:cs="Times New Roman"/>
          <w:i/>
          <w:iCs/>
          <w:sz w:val="24"/>
          <w:szCs w:val="24"/>
        </w:rPr>
        <w:t>vitis viníferas</w:t>
      </w:r>
      <w:r w:rsidRPr="00331B0C">
        <w:rPr>
          <w:rFonts w:ascii="Times New Roman" w:hAnsi="Times New Roman" w:cs="Times New Roman"/>
          <w:sz w:val="24"/>
          <w:szCs w:val="24"/>
        </w:rPr>
        <w:t xml:space="preserve"> e a topografia permite uma maior mecanização nas propriedades (COPELLO, 2015)</w:t>
      </w:r>
    </w:p>
    <w:bookmarkEnd w:id="4"/>
    <w:p w:rsidR="00645A50" w:rsidRPr="007C614D" w:rsidRDefault="00645A50" w:rsidP="00645A50">
      <w:pPr>
        <w:spacing w:after="0" w:line="360" w:lineRule="auto"/>
        <w:ind w:firstLine="851"/>
        <w:jc w:val="both"/>
        <w:rPr>
          <w:rFonts w:ascii="Times New Roman" w:eastAsia="Times New Roman" w:hAnsi="Times New Roman"/>
          <w:sz w:val="24"/>
          <w:szCs w:val="24"/>
          <w:lang w:eastAsia="pt-BR"/>
        </w:rPr>
      </w:pPr>
      <w:r w:rsidRPr="003E6754">
        <w:rPr>
          <w:rFonts w:ascii="Times New Roman" w:hAnsi="Times New Roman"/>
          <w:sz w:val="24"/>
          <w:szCs w:val="24"/>
        </w:rPr>
        <w:t>Embora o estado, como um todo, possa ser considerado uma região vitícola pelo expressivo número de municípios que são produtores, quando analisada a distribu</w:t>
      </w:r>
      <w:r>
        <w:rPr>
          <w:rFonts w:ascii="Times New Roman" w:hAnsi="Times New Roman"/>
          <w:sz w:val="24"/>
          <w:szCs w:val="24"/>
        </w:rPr>
        <w:t>ição da produção,</w:t>
      </w:r>
      <w:r w:rsidRPr="003E6754">
        <w:rPr>
          <w:rFonts w:ascii="Times New Roman" w:hAnsi="Times New Roman"/>
          <w:sz w:val="24"/>
          <w:szCs w:val="24"/>
        </w:rPr>
        <w:t xml:space="preserve"> que a </w:t>
      </w:r>
      <w:r w:rsidRPr="003E6754">
        <w:rPr>
          <w:rFonts w:ascii="Times New Roman" w:eastAsia="Times New Roman" w:hAnsi="Times New Roman"/>
          <w:sz w:val="24"/>
          <w:szCs w:val="24"/>
          <w:lang w:eastAsia="pt-BR"/>
        </w:rPr>
        <w:t>quantidade produzida não é significativa em volume para todos os municípios produtores. A maior produção se concentra nos municípios da Serra Gaúcha e na região da Campanha.</w:t>
      </w:r>
    </w:p>
    <w:p w:rsidR="00645A50" w:rsidRPr="00877278" w:rsidRDefault="00645A50" w:rsidP="00645A50">
      <w:pPr>
        <w:spacing w:after="0" w:line="360" w:lineRule="auto"/>
        <w:ind w:left="131" w:firstLine="720"/>
        <w:jc w:val="both"/>
        <w:rPr>
          <w:rFonts w:ascii="Times New Roman" w:eastAsia="Times New Roman" w:hAnsi="Times New Roman"/>
          <w:sz w:val="24"/>
          <w:szCs w:val="24"/>
          <w:lang w:eastAsia="pt-BR"/>
        </w:rPr>
      </w:pPr>
      <w:r w:rsidRPr="00716AE2">
        <w:rPr>
          <w:rFonts w:ascii="Times New Roman" w:eastAsia="Times New Roman" w:hAnsi="Times New Roman"/>
          <w:sz w:val="24"/>
          <w:szCs w:val="24"/>
          <w:lang w:eastAsia="pt-BR"/>
        </w:rPr>
        <w:t>Como se observa</w:t>
      </w:r>
      <w:r w:rsidRPr="00877278">
        <w:rPr>
          <w:rFonts w:ascii="Times New Roman" w:eastAsia="Times New Roman" w:hAnsi="Times New Roman"/>
          <w:sz w:val="24"/>
          <w:szCs w:val="24"/>
          <w:lang w:eastAsia="pt-BR"/>
        </w:rPr>
        <w:t xml:space="preserve"> na Figura 01 os </w:t>
      </w:r>
      <w:r>
        <w:rPr>
          <w:rFonts w:ascii="Times New Roman" w:eastAsia="Times New Roman" w:hAnsi="Times New Roman"/>
          <w:sz w:val="24"/>
          <w:szCs w:val="24"/>
          <w:lang w:eastAsia="pt-BR"/>
        </w:rPr>
        <w:t xml:space="preserve">principais municípios produtores se concentram na Serra Gaúcha e a partir desse fato selecionou-se os municípios com maior produção e apresenta-se na Tabela 01 os valores da produção vitícola em relação a produção da lavoura permanente, pois a uva é considerada produção permanente nos dados do IBGE. </w:t>
      </w:r>
      <w:r w:rsidR="00716AE2">
        <w:rPr>
          <w:rFonts w:ascii="Times New Roman" w:eastAsia="Times New Roman" w:hAnsi="Times New Roman"/>
          <w:sz w:val="24"/>
          <w:szCs w:val="24"/>
          <w:lang w:eastAsia="pt-BR"/>
        </w:rPr>
        <w:t xml:space="preserve">Onde foi </w:t>
      </w:r>
      <w:r w:rsidR="00716AE2" w:rsidRPr="00716AE2">
        <w:rPr>
          <w:rFonts w:ascii="Times New Roman" w:eastAsia="Times New Roman" w:hAnsi="Times New Roman"/>
          <w:sz w:val="24"/>
          <w:szCs w:val="24"/>
          <w:lang w:eastAsia="pt-BR"/>
        </w:rPr>
        <w:t>identificado que o maior valor da produção é do município de Flores da Cunha, seguido de Bento Gonçalves e Farroupilha</w:t>
      </w:r>
    </w:p>
    <w:p w:rsidR="00D049B0" w:rsidRDefault="00D049B0" w:rsidP="00645A50">
      <w:pPr>
        <w:pStyle w:val="0Tabelas"/>
        <w:rPr>
          <w:rFonts w:eastAsia="Times New Roman"/>
          <w:lang w:eastAsia="pt-BR"/>
        </w:rPr>
      </w:pPr>
      <w:bookmarkStart w:id="5" w:name="_Toc39587840"/>
    </w:p>
    <w:p w:rsidR="00645A50" w:rsidRPr="00CC1870" w:rsidRDefault="00645A50" w:rsidP="00645A50">
      <w:pPr>
        <w:pStyle w:val="0Tabelas"/>
        <w:rPr>
          <w:rFonts w:eastAsia="Times New Roman"/>
          <w:lang w:eastAsia="pt-BR"/>
        </w:rPr>
      </w:pPr>
      <w:r>
        <w:rPr>
          <w:rFonts w:eastAsia="Times New Roman"/>
          <w:lang w:eastAsia="pt-BR"/>
        </w:rPr>
        <w:t>Tabela 0</w:t>
      </w:r>
      <w:r w:rsidRPr="00CC1870">
        <w:rPr>
          <w:rFonts w:eastAsia="Times New Roman"/>
          <w:lang w:eastAsia="pt-BR"/>
        </w:rPr>
        <w:t xml:space="preserve">1 – Produção vitivinícola </w:t>
      </w:r>
      <w:r w:rsidR="001879E2">
        <w:rPr>
          <w:rFonts w:eastAsia="Times New Roman"/>
          <w:lang w:eastAsia="pt-BR"/>
        </w:rPr>
        <w:t>em relação à lavoura permanente em</w:t>
      </w:r>
      <w:r w:rsidRPr="00CC1870">
        <w:t xml:space="preserve"> municípios (selecionados) da Serra Gaúcha - 2018*</w:t>
      </w:r>
      <w:bookmarkEnd w:id="5"/>
    </w:p>
    <w:tbl>
      <w:tblPr>
        <w:tblW w:w="5000" w:type="pct"/>
        <w:tblBorders>
          <w:top w:val="single" w:sz="8" w:space="0" w:color="000000"/>
          <w:bottom w:val="single" w:sz="8" w:space="0" w:color="000000"/>
        </w:tblBorders>
        <w:tblLook w:val="04A0"/>
      </w:tblPr>
      <w:tblGrid>
        <w:gridCol w:w="2995"/>
        <w:gridCol w:w="3146"/>
        <w:gridCol w:w="3146"/>
      </w:tblGrid>
      <w:tr w:rsidR="00645A50" w:rsidRPr="00623D95" w:rsidTr="00464D32">
        <w:trPr>
          <w:trHeight w:val="255"/>
        </w:trPr>
        <w:tc>
          <w:tcPr>
            <w:tcW w:w="1612" w:type="pct"/>
            <w:tcBorders>
              <w:top w:val="single" w:sz="8" w:space="0" w:color="000000"/>
              <w:left w:val="nil"/>
              <w:bottom w:val="single" w:sz="8" w:space="0" w:color="000000"/>
              <w:right w:val="nil"/>
            </w:tcBorders>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color w:val="000000"/>
                <w:sz w:val="20"/>
                <w:szCs w:val="20"/>
                <w:lang w:eastAsia="pt-BR"/>
              </w:rPr>
              <w:t>Municípios</w:t>
            </w:r>
          </w:p>
        </w:tc>
        <w:tc>
          <w:tcPr>
            <w:tcW w:w="1694" w:type="pct"/>
            <w:tcBorders>
              <w:top w:val="single" w:sz="8" w:space="0" w:color="000000"/>
              <w:left w:val="nil"/>
              <w:bottom w:val="single" w:sz="8" w:space="0" w:color="000000"/>
              <w:right w:val="nil"/>
            </w:tcBorders>
            <w:hideMark/>
          </w:tcPr>
          <w:p w:rsidR="00645A50" w:rsidRPr="00623D95" w:rsidRDefault="001879E2" w:rsidP="001879E2">
            <w:pPr>
              <w:spacing w:after="0" w:line="240" w:lineRule="auto"/>
              <w:rPr>
                <w:rFonts w:ascii="Times New Roman" w:eastAsia="Times New Roman" w:hAnsi="Times New Roman"/>
                <w:b/>
                <w:bCs/>
                <w:color w:val="000000"/>
                <w:sz w:val="20"/>
                <w:szCs w:val="20"/>
                <w:lang w:eastAsia="pt-BR"/>
              </w:rPr>
            </w:pPr>
            <w:r>
              <w:rPr>
                <w:rFonts w:ascii="Times New Roman" w:eastAsia="Times New Roman" w:hAnsi="Times New Roman"/>
                <w:color w:val="000000"/>
                <w:sz w:val="20"/>
                <w:szCs w:val="20"/>
                <w:lang w:eastAsia="pt-BR"/>
              </w:rPr>
              <w:t xml:space="preserve">          Produção de</w:t>
            </w:r>
            <w:r w:rsidR="00645A50" w:rsidRPr="00623D95">
              <w:rPr>
                <w:rFonts w:ascii="Times New Roman" w:eastAsia="Times New Roman" w:hAnsi="Times New Roman"/>
                <w:color w:val="000000"/>
                <w:sz w:val="20"/>
                <w:szCs w:val="20"/>
                <w:lang w:eastAsia="pt-BR"/>
              </w:rPr>
              <w:t xml:space="preserve"> uva (%)</w:t>
            </w:r>
          </w:p>
        </w:tc>
        <w:tc>
          <w:tcPr>
            <w:tcW w:w="1694" w:type="pct"/>
            <w:tcBorders>
              <w:top w:val="single" w:sz="8" w:space="0" w:color="000000"/>
              <w:left w:val="nil"/>
              <w:bottom w:val="single" w:sz="8" w:space="0" w:color="000000"/>
              <w:right w:val="nil"/>
            </w:tcBorders>
            <w:hideMark/>
          </w:tcPr>
          <w:p w:rsidR="00645A50" w:rsidRPr="00623D95" w:rsidRDefault="001879E2" w:rsidP="001879E2">
            <w:pPr>
              <w:spacing w:after="0" w:line="240" w:lineRule="auto"/>
              <w:rPr>
                <w:rFonts w:ascii="Times New Roman" w:eastAsia="Times New Roman" w:hAnsi="Times New Roman"/>
                <w:b/>
                <w:bCs/>
                <w:color w:val="000000"/>
                <w:sz w:val="20"/>
                <w:szCs w:val="20"/>
                <w:lang w:eastAsia="pt-BR"/>
              </w:rPr>
            </w:pPr>
            <w:r>
              <w:rPr>
                <w:rFonts w:ascii="Times New Roman" w:eastAsia="Times New Roman" w:hAnsi="Times New Roman"/>
                <w:color w:val="000000"/>
                <w:sz w:val="20"/>
                <w:szCs w:val="20"/>
                <w:lang w:eastAsia="pt-BR"/>
              </w:rPr>
              <w:t xml:space="preserve">            P</w:t>
            </w:r>
            <w:r w:rsidR="00645A50" w:rsidRPr="00623D95">
              <w:rPr>
                <w:rFonts w:ascii="Times New Roman" w:eastAsia="Times New Roman" w:hAnsi="Times New Roman"/>
                <w:color w:val="000000"/>
                <w:sz w:val="20"/>
                <w:szCs w:val="20"/>
                <w:lang w:eastAsia="pt-BR"/>
              </w:rPr>
              <w:t>rodução</w:t>
            </w:r>
            <w:r>
              <w:rPr>
                <w:rFonts w:ascii="Times New Roman" w:eastAsia="Times New Roman" w:hAnsi="Times New Roman"/>
                <w:color w:val="000000"/>
                <w:sz w:val="20"/>
                <w:szCs w:val="20"/>
                <w:lang w:eastAsia="pt-BR"/>
              </w:rPr>
              <w:t xml:space="preserve"> em</w:t>
            </w:r>
            <w:r w:rsidR="00645A50" w:rsidRPr="00623D95">
              <w:rPr>
                <w:rFonts w:ascii="Times New Roman" w:eastAsia="Times New Roman" w:hAnsi="Times New Roman"/>
                <w:color w:val="000000"/>
                <w:sz w:val="20"/>
                <w:szCs w:val="20"/>
                <w:lang w:eastAsia="pt-BR"/>
              </w:rPr>
              <w:t xml:space="preserve"> (toneladas)</w:t>
            </w:r>
          </w:p>
        </w:tc>
      </w:tr>
      <w:tr w:rsidR="00645A50" w:rsidRPr="00623D95" w:rsidTr="00464D32">
        <w:trPr>
          <w:trHeight w:val="255"/>
        </w:trPr>
        <w:tc>
          <w:tcPr>
            <w:tcW w:w="1612" w:type="pct"/>
            <w:tcBorders>
              <w:left w:val="nil"/>
              <w:right w:val="nil"/>
            </w:tcBorders>
            <w:shd w:val="clear" w:color="auto" w:fill="C0C0C0"/>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Bento Gonçalves</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92.96</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89868</w:t>
            </w:r>
          </w:p>
        </w:tc>
      </w:tr>
      <w:tr w:rsidR="00645A50" w:rsidRPr="00623D95" w:rsidTr="00464D32">
        <w:trPr>
          <w:trHeight w:val="255"/>
        </w:trPr>
        <w:tc>
          <w:tcPr>
            <w:tcW w:w="1612" w:type="pct"/>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Farroupilha</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71.8</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59840</w:t>
            </w:r>
          </w:p>
        </w:tc>
      </w:tr>
      <w:tr w:rsidR="00645A50" w:rsidRPr="00623D95" w:rsidTr="00464D32">
        <w:trPr>
          <w:trHeight w:val="255"/>
        </w:trPr>
        <w:tc>
          <w:tcPr>
            <w:tcW w:w="1612" w:type="pct"/>
            <w:tcBorders>
              <w:left w:val="nil"/>
              <w:right w:val="nil"/>
            </w:tcBorders>
            <w:shd w:val="clear" w:color="auto" w:fill="C0C0C0"/>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Flores da Cunha</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94.28</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109774</w:t>
            </w:r>
          </w:p>
        </w:tc>
      </w:tr>
      <w:tr w:rsidR="00645A50" w:rsidRPr="00623D95" w:rsidTr="00464D32">
        <w:trPr>
          <w:trHeight w:val="255"/>
        </w:trPr>
        <w:tc>
          <w:tcPr>
            <w:tcW w:w="1612" w:type="pct"/>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Garibaldi</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97.68</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47600</w:t>
            </w:r>
          </w:p>
        </w:tc>
      </w:tr>
      <w:tr w:rsidR="00645A50" w:rsidRPr="00623D95" w:rsidTr="00464D32">
        <w:trPr>
          <w:trHeight w:val="255"/>
        </w:trPr>
        <w:tc>
          <w:tcPr>
            <w:tcW w:w="1612" w:type="pct"/>
            <w:tcBorders>
              <w:left w:val="nil"/>
              <w:right w:val="nil"/>
            </w:tcBorders>
            <w:shd w:val="clear" w:color="auto" w:fill="C0C0C0"/>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Monte Belo do Sul</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97.96</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41283</w:t>
            </w:r>
          </w:p>
        </w:tc>
      </w:tr>
      <w:tr w:rsidR="00645A50" w:rsidRPr="00623D95" w:rsidTr="00464D32">
        <w:trPr>
          <w:trHeight w:val="255"/>
        </w:trPr>
        <w:tc>
          <w:tcPr>
            <w:tcW w:w="1612" w:type="pct"/>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Nova Pádua</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82.9</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32321</w:t>
            </w:r>
          </w:p>
        </w:tc>
      </w:tr>
      <w:tr w:rsidR="00645A50" w:rsidRPr="00623D95" w:rsidTr="00464D32">
        <w:trPr>
          <w:trHeight w:val="255"/>
        </w:trPr>
        <w:tc>
          <w:tcPr>
            <w:tcW w:w="1612" w:type="pct"/>
            <w:tcBorders>
              <w:left w:val="nil"/>
              <w:right w:val="nil"/>
            </w:tcBorders>
            <w:shd w:val="clear" w:color="auto" w:fill="C0C0C0"/>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Pinto Bandeira</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41.88</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28404</w:t>
            </w:r>
          </w:p>
        </w:tc>
      </w:tr>
      <w:tr w:rsidR="00645A50" w:rsidRPr="00623D95" w:rsidTr="00464D32">
        <w:trPr>
          <w:trHeight w:val="255"/>
        </w:trPr>
        <w:tc>
          <w:tcPr>
            <w:tcW w:w="1612" w:type="pct"/>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Santa Tereza</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93.16</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14130</w:t>
            </w:r>
          </w:p>
        </w:tc>
      </w:tr>
      <w:tr w:rsidR="00645A50" w:rsidRPr="00623D95" w:rsidTr="00464D32">
        <w:trPr>
          <w:trHeight w:val="255"/>
        </w:trPr>
        <w:tc>
          <w:tcPr>
            <w:tcW w:w="1612" w:type="pct"/>
            <w:tcBorders>
              <w:left w:val="nil"/>
              <w:right w:val="nil"/>
            </w:tcBorders>
            <w:shd w:val="clear" w:color="auto" w:fill="C0C0C0"/>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Carlos Barbosa</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65.98</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3692</w:t>
            </w:r>
          </w:p>
        </w:tc>
      </w:tr>
      <w:tr w:rsidR="00645A50" w:rsidRPr="00623D95" w:rsidTr="00464D32">
        <w:trPr>
          <w:trHeight w:val="255"/>
        </w:trPr>
        <w:tc>
          <w:tcPr>
            <w:tcW w:w="1612" w:type="pct"/>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 xml:space="preserve">Caxias do Sul </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37.74</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71007</w:t>
            </w:r>
          </w:p>
        </w:tc>
      </w:tr>
      <w:tr w:rsidR="00645A50" w:rsidRPr="00623D95" w:rsidTr="00464D32">
        <w:trPr>
          <w:trHeight w:val="255"/>
        </w:trPr>
        <w:tc>
          <w:tcPr>
            <w:tcW w:w="1612" w:type="pct"/>
            <w:tcBorders>
              <w:left w:val="nil"/>
              <w:right w:val="nil"/>
            </w:tcBorders>
            <w:shd w:val="clear" w:color="auto" w:fill="C0C0C0"/>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Cotiporã</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93.02</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37846</w:t>
            </w:r>
          </w:p>
        </w:tc>
      </w:tr>
      <w:tr w:rsidR="00645A50" w:rsidRPr="00623D95" w:rsidTr="00464D32">
        <w:trPr>
          <w:trHeight w:val="255"/>
        </w:trPr>
        <w:tc>
          <w:tcPr>
            <w:tcW w:w="1612" w:type="pct"/>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Nova Roma do Sul</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87.26</w:t>
            </w:r>
          </w:p>
        </w:tc>
        <w:tc>
          <w:tcPr>
            <w:tcW w:w="1694" w:type="pct"/>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24610</w:t>
            </w:r>
          </w:p>
        </w:tc>
      </w:tr>
      <w:tr w:rsidR="00645A50" w:rsidRPr="00623D95" w:rsidTr="00464D32">
        <w:trPr>
          <w:trHeight w:val="255"/>
        </w:trPr>
        <w:tc>
          <w:tcPr>
            <w:tcW w:w="1612" w:type="pct"/>
            <w:tcBorders>
              <w:left w:val="nil"/>
              <w:right w:val="nil"/>
            </w:tcBorders>
            <w:shd w:val="clear" w:color="auto" w:fill="C0C0C0"/>
            <w:noWrap/>
            <w:hideMark/>
          </w:tcPr>
          <w:p w:rsidR="00645A50" w:rsidRPr="00623D95" w:rsidRDefault="00645A50" w:rsidP="00464D32">
            <w:pPr>
              <w:spacing w:after="0" w:line="240" w:lineRule="auto"/>
              <w:rPr>
                <w:rFonts w:ascii="Times New Roman" w:eastAsia="Times New Roman" w:hAnsi="Times New Roman"/>
                <w:b/>
                <w:bCs/>
                <w:color w:val="000000"/>
                <w:sz w:val="20"/>
                <w:szCs w:val="20"/>
                <w:lang w:eastAsia="pt-BR"/>
              </w:rPr>
            </w:pPr>
            <w:r w:rsidRPr="00623D95">
              <w:rPr>
                <w:rFonts w:ascii="Times New Roman" w:eastAsia="Times New Roman" w:hAnsi="Times New Roman"/>
                <w:b/>
                <w:bCs/>
                <w:color w:val="000000"/>
                <w:sz w:val="20"/>
                <w:szCs w:val="20"/>
                <w:lang w:eastAsia="pt-BR"/>
              </w:rPr>
              <w:t>São Marcos</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83.14</w:t>
            </w:r>
          </w:p>
        </w:tc>
        <w:tc>
          <w:tcPr>
            <w:tcW w:w="1694" w:type="pct"/>
            <w:tcBorders>
              <w:left w:val="nil"/>
              <w:right w:val="nil"/>
            </w:tcBorders>
            <w:shd w:val="clear" w:color="auto" w:fill="C0C0C0"/>
            <w:noWrap/>
            <w:hideMark/>
          </w:tcPr>
          <w:p w:rsidR="00645A50" w:rsidRPr="00623D95" w:rsidRDefault="00645A50" w:rsidP="00464D32">
            <w:pPr>
              <w:spacing w:after="0" w:line="240" w:lineRule="auto"/>
              <w:jc w:val="center"/>
              <w:rPr>
                <w:rFonts w:ascii="Times New Roman" w:eastAsia="Times New Roman" w:hAnsi="Times New Roman"/>
                <w:color w:val="000000"/>
                <w:sz w:val="20"/>
                <w:szCs w:val="20"/>
                <w:lang w:eastAsia="pt-BR"/>
              </w:rPr>
            </w:pPr>
            <w:r w:rsidRPr="00623D95">
              <w:rPr>
                <w:rFonts w:ascii="Times New Roman" w:eastAsia="Times New Roman" w:hAnsi="Times New Roman"/>
                <w:color w:val="000000"/>
                <w:sz w:val="20"/>
                <w:szCs w:val="20"/>
                <w:lang w:eastAsia="pt-BR"/>
              </w:rPr>
              <w:t>30290</w:t>
            </w:r>
          </w:p>
        </w:tc>
      </w:tr>
    </w:tbl>
    <w:p w:rsidR="00645A50" w:rsidRPr="00CC1870" w:rsidRDefault="00645A50" w:rsidP="00645A50">
      <w:pPr>
        <w:spacing w:after="0" w:line="240" w:lineRule="auto"/>
        <w:rPr>
          <w:rFonts w:ascii="Times New Roman" w:hAnsi="Times New Roman"/>
          <w:sz w:val="24"/>
          <w:szCs w:val="24"/>
          <w:lang w:eastAsia="pt-BR"/>
        </w:rPr>
      </w:pPr>
      <w:r w:rsidRPr="00CC1870">
        <w:rPr>
          <w:rFonts w:ascii="Times New Roman" w:hAnsi="Times New Roman"/>
          <w:sz w:val="24"/>
          <w:szCs w:val="24"/>
          <w:lang w:eastAsia="pt-BR"/>
        </w:rPr>
        <w:t>Fonte: SIDRA-IBGE, 2019</w:t>
      </w:r>
    </w:p>
    <w:p w:rsidR="00645A50" w:rsidRPr="00877278" w:rsidRDefault="00645A50" w:rsidP="00645A50">
      <w:pPr>
        <w:spacing w:after="0" w:line="240" w:lineRule="auto"/>
        <w:rPr>
          <w:rFonts w:ascii="Times New Roman" w:hAnsi="Times New Roman"/>
          <w:sz w:val="20"/>
          <w:szCs w:val="20"/>
          <w:lang w:eastAsia="pt-BR"/>
        </w:rPr>
      </w:pPr>
      <w:r w:rsidRPr="00877278">
        <w:rPr>
          <w:rFonts w:ascii="Times New Roman" w:hAnsi="Times New Roman"/>
          <w:sz w:val="20"/>
          <w:szCs w:val="20"/>
          <w:lang w:eastAsia="pt-BR"/>
        </w:rPr>
        <w:t>*Em relação à lavoura permanente.</w:t>
      </w:r>
    </w:p>
    <w:p w:rsidR="00716AE2" w:rsidRDefault="00716AE2" w:rsidP="00716AE2">
      <w:pPr>
        <w:spacing w:after="0" w:line="360" w:lineRule="auto"/>
        <w:ind w:firstLine="720"/>
        <w:jc w:val="both"/>
        <w:rPr>
          <w:rFonts w:ascii="Times New Roman" w:eastAsia="Times New Roman" w:hAnsi="Times New Roman"/>
          <w:sz w:val="24"/>
          <w:szCs w:val="24"/>
          <w:u w:val="single"/>
          <w:lang w:eastAsia="pt-BR"/>
        </w:rPr>
      </w:pPr>
    </w:p>
    <w:p w:rsidR="00716AE2" w:rsidRPr="00E6739B" w:rsidRDefault="00D049B0" w:rsidP="00716AE2">
      <w:pPr>
        <w:spacing w:after="0" w:line="360" w:lineRule="auto"/>
        <w:ind w:firstLine="720"/>
        <w:jc w:val="both"/>
        <w:rPr>
          <w:rFonts w:ascii="Times New Roman" w:eastAsia="Times New Roman" w:hAnsi="Times New Roman"/>
          <w:sz w:val="24"/>
          <w:szCs w:val="24"/>
          <w:lang w:eastAsia="pt-BR"/>
        </w:rPr>
      </w:pPr>
      <w:r w:rsidRPr="00E6739B">
        <w:rPr>
          <w:rFonts w:ascii="Times New Roman" w:eastAsia="Times New Roman" w:hAnsi="Times New Roman"/>
          <w:sz w:val="24"/>
          <w:szCs w:val="24"/>
          <w:lang w:eastAsia="pt-BR"/>
        </w:rPr>
        <w:t>Para os municípios que além de produtores reconhecidos também possuem territórios com indicação geográfica, o maior valor em relação à produção de uva está com Caxias do Sul, porém, Caxias é o município que tem menor percentual da lavoura permanente ocupada com uvas,</w:t>
      </w:r>
      <w:r w:rsidR="00716AE2" w:rsidRPr="00E6739B">
        <w:rPr>
          <w:rFonts w:ascii="Times New Roman" w:eastAsia="Times New Roman" w:hAnsi="Times New Roman"/>
          <w:sz w:val="24"/>
          <w:szCs w:val="24"/>
          <w:lang w:eastAsia="pt-BR"/>
        </w:rPr>
        <w:t xml:space="preserve"> pois outras cultivares da lavoura permanente também são produzidas no município, como exemplo, a maçã. </w:t>
      </w:r>
      <w:r w:rsidR="00943BA9" w:rsidRPr="00E6739B">
        <w:rPr>
          <w:rFonts w:ascii="Times New Roman" w:eastAsia="Times New Roman" w:hAnsi="Times New Roman"/>
          <w:sz w:val="24"/>
          <w:szCs w:val="24"/>
          <w:lang w:eastAsia="pt-BR"/>
        </w:rPr>
        <w:t xml:space="preserve">Outro município com participação </w:t>
      </w:r>
      <w:r w:rsidR="0031397F">
        <w:rPr>
          <w:rFonts w:ascii="Times New Roman" w:eastAsia="Times New Roman" w:hAnsi="Times New Roman"/>
          <w:sz w:val="24"/>
          <w:szCs w:val="24"/>
          <w:lang w:eastAsia="pt-BR"/>
        </w:rPr>
        <w:t xml:space="preserve">menor que 50% foi </w:t>
      </w:r>
      <w:r w:rsidR="00943BA9" w:rsidRPr="00E6739B">
        <w:rPr>
          <w:rFonts w:ascii="Times New Roman" w:eastAsia="Times New Roman" w:hAnsi="Times New Roman"/>
          <w:sz w:val="24"/>
          <w:szCs w:val="24"/>
          <w:lang w:eastAsia="pt-BR"/>
        </w:rPr>
        <w:t>Pinto Bandeira como este é um município de emancipação recente tem-se maior dificuldades de interpretar esse resultado. Em regra geral os municípios da Serra Gaúcha tem na viticultura a sua principal cultura de lavoura permanente.</w:t>
      </w:r>
    </w:p>
    <w:p w:rsidR="00645A50" w:rsidRDefault="00645A50" w:rsidP="00645A50">
      <w:pPr>
        <w:spacing w:after="0" w:line="360" w:lineRule="auto"/>
        <w:ind w:firstLine="706"/>
        <w:jc w:val="both"/>
        <w:rPr>
          <w:rFonts w:ascii="Times New Roman" w:eastAsia="Times New Roman" w:hAnsi="Times New Roman"/>
          <w:sz w:val="24"/>
          <w:szCs w:val="24"/>
          <w:u w:val="single"/>
          <w:lang w:eastAsia="pt-BR"/>
        </w:rPr>
      </w:pPr>
      <w:r w:rsidRPr="00E6739B">
        <w:rPr>
          <w:rFonts w:ascii="Times New Roman" w:eastAsia="Times New Roman" w:hAnsi="Times New Roman"/>
          <w:sz w:val="24"/>
          <w:szCs w:val="24"/>
          <w:lang w:eastAsia="pt-BR"/>
        </w:rPr>
        <w:t>Quando analisados no conjunto, obs</w:t>
      </w:r>
      <w:r w:rsidR="00943BA9" w:rsidRPr="00E6739B">
        <w:rPr>
          <w:rFonts w:ascii="Times New Roman" w:eastAsia="Times New Roman" w:hAnsi="Times New Roman"/>
          <w:sz w:val="24"/>
          <w:szCs w:val="24"/>
          <w:lang w:eastAsia="pt-BR"/>
        </w:rPr>
        <w:t>erva-se que os municípios com indicação geográfica</w:t>
      </w:r>
      <w:r w:rsidRPr="00E6739B">
        <w:rPr>
          <w:rFonts w:ascii="Times New Roman" w:eastAsia="Times New Roman" w:hAnsi="Times New Roman"/>
          <w:sz w:val="24"/>
          <w:szCs w:val="24"/>
          <w:lang w:eastAsia="pt-BR"/>
        </w:rPr>
        <w:t xml:space="preserve"> apresentam maiores valores de produção e participação percentual em r</w:t>
      </w:r>
      <w:r w:rsidR="00943BA9" w:rsidRPr="00E6739B">
        <w:rPr>
          <w:rFonts w:ascii="Times New Roman" w:eastAsia="Times New Roman" w:hAnsi="Times New Roman"/>
          <w:sz w:val="24"/>
          <w:szCs w:val="24"/>
          <w:lang w:eastAsia="pt-BR"/>
        </w:rPr>
        <w:t xml:space="preserve">alação aos não possuidores. Assim, considerou-se que estes municípios </w:t>
      </w:r>
      <w:r w:rsidRPr="00E6739B">
        <w:rPr>
          <w:rFonts w:ascii="Times New Roman" w:eastAsia="Times New Roman" w:hAnsi="Times New Roman"/>
          <w:sz w:val="24"/>
          <w:szCs w:val="24"/>
          <w:lang w:eastAsia="pt-BR"/>
        </w:rPr>
        <w:t>têm maior especialização e dependência da produção de</w:t>
      </w:r>
      <w:r w:rsidR="00943BA9" w:rsidRPr="00E6739B">
        <w:rPr>
          <w:rFonts w:ascii="Times New Roman" w:eastAsia="Times New Roman" w:hAnsi="Times New Roman"/>
          <w:sz w:val="24"/>
          <w:szCs w:val="24"/>
          <w:lang w:eastAsia="pt-BR"/>
        </w:rPr>
        <w:t xml:space="preserve"> uva do que os demais</w:t>
      </w:r>
      <w:bookmarkStart w:id="6" w:name="_Toc39599288"/>
      <w:r w:rsidR="00D12061">
        <w:rPr>
          <w:rFonts w:ascii="Times New Roman" w:eastAsia="Times New Roman" w:hAnsi="Times New Roman"/>
          <w:sz w:val="24"/>
          <w:szCs w:val="24"/>
          <w:u w:val="single"/>
          <w:lang w:eastAsia="pt-BR"/>
        </w:rPr>
        <w:t>.</w:t>
      </w:r>
    </w:p>
    <w:p w:rsidR="00D12061" w:rsidRPr="00D12061" w:rsidRDefault="00D12061" w:rsidP="00645A50">
      <w:pPr>
        <w:spacing w:after="0" w:line="360" w:lineRule="auto"/>
        <w:ind w:firstLine="706"/>
        <w:jc w:val="both"/>
        <w:rPr>
          <w:rFonts w:ascii="Times New Roman" w:eastAsia="Times New Roman" w:hAnsi="Times New Roman"/>
          <w:sz w:val="24"/>
          <w:szCs w:val="24"/>
          <w:lang w:eastAsia="pt-BR"/>
        </w:rPr>
      </w:pPr>
      <w:r w:rsidRPr="00D12061">
        <w:rPr>
          <w:rFonts w:ascii="Times New Roman" w:eastAsia="Times New Roman" w:hAnsi="Times New Roman"/>
          <w:sz w:val="24"/>
          <w:szCs w:val="24"/>
          <w:lang w:eastAsia="pt-BR"/>
        </w:rPr>
        <w:t>Mas para além da produção é importante pesquisar outros aspectos que estão presentes no território, no caso da vitivinicultura, as pesquisa apontam para um fenômeno particular que foi o aumento do preço das terras em territórios que foram reconhecidas as in</w:t>
      </w:r>
      <w:r>
        <w:rPr>
          <w:rFonts w:ascii="Times New Roman" w:eastAsia="Times New Roman" w:hAnsi="Times New Roman"/>
          <w:sz w:val="24"/>
          <w:szCs w:val="24"/>
          <w:lang w:eastAsia="pt-BR"/>
        </w:rPr>
        <w:t>dicações geográficas e ainda um</w:t>
      </w:r>
      <w:r w:rsidRPr="00D12061">
        <w:rPr>
          <w:rFonts w:ascii="Times New Roman" w:eastAsia="Times New Roman" w:hAnsi="Times New Roman"/>
          <w:sz w:val="24"/>
          <w:szCs w:val="24"/>
          <w:lang w:eastAsia="pt-BR"/>
        </w:rPr>
        <w:t xml:space="preserve"> deslocamento da produção e investimento</w:t>
      </w:r>
      <w:r>
        <w:rPr>
          <w:rFonts w:ascii="Times New Roman" w:eastAsia="Times New Roman" w:hAnsi="Times New Roman"/>
          <w:sz w:val="24"/>
          <w:szCs w:val="24"/>
          <w:lang w:eastAsia="pt-BR"/>
        </w:rPr>
        <w:t xml:space="preserve"> </w:t>
      </w:r>
      <w:r w:rsidRPr="00D12061">
        <w:rPr>
          <w:rFonts w:ascii="Times New Roman" w:eastAsia="Times New Roman" w:hAnsi="Times New Roman"/>
          <w:sz w:val="24"/>
          <w:szCs w:val="24"/>
          <w:lang w:eastAsia="pt-BR"/>
        </w:rPr>
        <w:t>em outras regiões.</w:t>
      </w:r>
    </w:p>
    <w:p w:rsidR="00645A50" w:rsidRDefault="00645A50" w:rsidP="00645A50">
      <w:pPr>
        <w:spacing w:after="0" w:line="360" w:lineRule="auto"/>
        <w:ind w:firstLine="706"/>
        <w:jc w:val="both"/>
        <w:rPr>
          <w:rFonts w:ascii="Times New Roman" w:eastAsia="Times New Roman" w:hAnsi="Times New Roman"/>
          <w:sz w:val="24"/>
          <w:szCs w:val="24"/>
          <w:lang w:eastAsia="pt-BR"/>
        </w:rPr>
      </w:pPr>
    </w:p>
    <w:p w:rsidR="00645A50" w:rsidRPr="00536389" w:rsidRDefault="00D12061" w:rsidP="00645A50">
      <w:pPr>
        <w:spacing w:after="0" w:line="360" w:lineRule="auto"/>
        <w:jc w:val="both"/>
        <w:rPr>
          <w:rFonts w:ascii="Times New Roman" w:eastAsia="Times New Roman" w:hAnsi="Times New Roman"/>
          <w:sz w:val="24"/>
          <w:szCs w:val="24"/>
          <w:lang w:eastAsia="pt-BR"/>
        </w:rPr>
      </w:pPr>
      <w:r w:rsidRPr="00D12061">
        <w:rPr>
          <w:rFonts w:ascii="Times New Roman" w:eastAsia="Times New Roman" w:hAnsi="Times New Roman"/>
          <w:i/>
          <w:sz w:val="24"/>
          <w:szCs w:val="24"/>
          <w:lang w:eastAsia="pt-BR"/>
        </w:rPr>
        <w:t>4.2</w:t>
      </w:r>
      <w:r w:rsidR="00645A50" w:rsidRPr="00D12061">
        <w:rPr>
          <w:rFonts w:ascii="Times New Roman" w:eastAsia="Times New Roman" w:hAnsi="Times New Roman"/>
          <w:i/>
          <w:sz w:val="24"/>
          <w:szCs w:val="24"/>
          <w:lang w:eastAsia="pt-BR"/>
        </w:rPr>
        <w:t xml:space="preserve"> A v</w:t>
      </w:r>
      <w:r w:rsidR="00645A50" w:rsidRPr="00D12061">
        <w:rPr>
          <w:rFonts w:ascii="Times New Roman" w:hAnsi="Times New Roman"/>
          <w:i/>
          <w:iCs/>
          <w:sz w:val="24"/>
          <w:szCs w:val="24"/>
        </w:rPr>
        <w:t>alorização</w:t>
      </w:r>
      <w:r w:rsidR="00645A50" w:rsidRPr="00536389">
        <w:rPr>
          <w:rFonts w:ascii="Times New Roman" w:hAnsi="Times New Roman"/>
          <w:i/>
          <w:iCs/>
          <w:sz w:val="24"/>
          <w:szCs w:val="24"/>
        </w:rPr>
        <w:t xml:space="preserve"> da terra </w:t>
      </w:r>
      <w:r w:rsidR="00645A50">
        <w:rPr>
          <w:rFonts w:ascii="Times New Roman" w:hAnsi="Times New Roman"/>
          <w:i/>
          <w:iCs/>
          <w:sz w:val="24"/>
          <w:szCs w:val="24"/>
        </w:rPr>
        <w:t xml:space="preserve">agrícola </w:t>
      </w:r>
      <w:bookmarkEnd w:id="6"/>
      <w:r w:rsidR="00645A50">
        <w:rPr>
          <w:rFonts w:ascii="Times New Roman" w:hAnsi="Times New Roman"/>
          <w:i/>
          <w:iCs/>
          <w:sz w:val="24"/>
          <w:szCs w:val="24"/>
        </w:rPr>
        <w:t>associada à I</w:t>
      </w:r>
      <w:r>
        <w:rPr>
          <w:rFonts w:ascii="Times New Roman" w:hAnsi="Times New Roman"/>
          <w:i/>
          <w:iCs/>
          <w:sz w:val="24"/>
          <w:szCs w:val="24"/>
        </w:rPr>
        <w:t>ndicação Geográfica</w:t>
      </w:r>
      <w:r w:rsidR="00645A50">
        <w:rPr>
          <w:rFonts w:ascii="Times New Roman" w:hAnsi="Times New Roman"/>
          <w:i/>
          <w:iCs/>
          <w:sz w:val="24"/>
          <w:szCs w:val="24"/>
        </w:rPr>
        <w:t xml:space="preserve"> e deslocamento da produção</w:t>
      </w:r>
    </w:p>
    <w:p w:rsidR="008809BA" w:rsidRDefault="008809BA" w:rsidP="00645A50">
      <w:pPr>
        <w:spacing w:after="0" w:line="360" w:lineRule="auto"/>
        <w:ind w:firstLine="851"/>
        <w:jc w:val="both"/>
        <w:rPr>
          <w:rFonts w:ascii="Times New Roman" w:hAnsi="Times New Roman"/>
          <w:sz w:val="24"/>
          <w:szCs w:val="24"/>
        </w:rPr>
      </w:pPr>
    </w:p>
    <w:p w:rsidR="00645A5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Um argumento recorrente entre pesquisadores é de que o reconhecimento de uma indicação geográfica, entre outras conseq</w:t>
      </w:r>
      <w:r>
        <w:rPr>
          <w:rFonts w:ascii="Times New Roman" w:hAnsi="Times New Roman"/>
          <w:sz w:val="24"/>
          <w:szCs w:val="24"/>
        </w:rPr>
        <w:t>uências, resulta em aumento do preço da</w:t>
      </w:r>
      <w:r w:rsidRPr="00FE0DF0">
        <w:rPr>
          <w:rFonts w:ascii="Times New Roman" w:hAnsi="Times New Roman"/>
          <w:sz w:val="24"/>
          <w:szCs w:val="24"/>
        </w:rPr>
        <w:t xml:space="preserve"> terra no território delimitado, neste sentido buscou-se averiguar dados sobre o preço de terra </w:t>
      </w:r>
      <w:r>
        <w:rPr>
          <w:rFonts w:ascii="Times New Roman" w:hAnsi="Times New Roman"/>
          <w:sz w:val="24"/>
          <w:szCs w:val="24"/>
        </w:rPr>
        <w:t>para vitivinicultura em municípios que têm indicação geográfica</w:t>
      </w:r>
      <w:r w:rsidR="00D04417">
        <w:rPr>
          <w:rFonts w:ascii="Times New Roman" w:hAnsi="Times New Roman"/>
          <w:sz w:val="24"/>
          <w:szCs w:val="24"/>
        </w:rPr>
        <w:t xml:space="preserve"> na Serra Gaúcha</w:t>
      </w:r>
      <w:r>
        <w:rPr>
          <w:rFonts w:ascii="Times New Roman" w:hAnsi="Times New Roman"/>
          <w:sz w:val="24"/>
          <w:szCs w:val="24"/>
        </w:rPr>
        <w:t>.</w:t>
      </w:r>
    </w:p>
    <w:p w:rsidR="00645A5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Niederle</w:t>
      </w:r>
      <w:r>
        <w:rPr>
          <w:rFonts w:ascii="Times New Roman" w:hAnsi="Times New Roman"/>
          <w:sz w:val="24"/>
          <w:szCs w:val="24"/>
        </w:rPr>
        <w:t xml:space="preserve"> (2011) destacou que o</w:t>
      </w:r>
      <w:r w:rsidRPr="00FE0DF0">
        <w:rPr>
          <w:rFonts w:ascii="Times New Roman" w:hAnsi="Times New Roman"/>
          <w:sz w:val="24"/>
          <w:szCs w:val="24"/>
        </w:rPr>
        <w:t xml:space="preserve"> êxito de algumas vinícolas estaria levando à formação de uma nova elite econômica e a um processo de estratificação social cada vez mais intenso. O aumento do preço das terras, que em alguns casos ultrapassava 500%, era um exemplo desta dinâmica. A sobreva</w:t>
      </w:r>
      <w:r>
        <w:rPr>
          <w:rFonts w:ascii="Times New Roman" w:hAnsi="Times New Roman"/>
          <w:sz w:val="24"/>
          <w:szCs w:val="24"/>
        </w:rPr>
        <w:t>lorização fundiária acarretava em</w:t>
      </w:r>
      <w:r w:rsidRPr="00FE0DF0">
        <w:rPr>
          <w:rFonts w:ascii="Times New Roman" w:hAnsi="Times New Roman"/>
          <w:sz w:val="24"/>
          <w:szCs w:val="24"/>
        </w:rPr>
        <w:t xml:space="preserve"> elevação do custo de oportunidade da exploração agrícola, tornando mais atrativo aos agricultores deixarem a atividade e a zona rural. </w:t>
      </w:r>
      <w:r>
        <w:rPr>
          <w:rFonts w:ascii="Times New Roman" w:hAnsi="Times New Roman"/>
          <w:sz w:val="24"/>
          <w:szCs w:val="24"/>
        </w:rPr>
        <w:t>Esse fato era</w:t>
      </w:r>
      <w:r w:rsidRPr="00FE0DF0">
        <w:rPr>
          <w:rFonts w:ascii="Times New Roman" w:hAnsi="Times New Roman"/>
          <w:sz w:val="24"/>
          <w:szCs w:val="24"/>
        </w:rPr>
        <w:t xml:space="preserve"> agravado com aumento do processo de integração vertical em curso em quase todas as empresas que estavam se</w:t>
      </w:r>
      <w:r>
        <w:rPr>
          <w:rFonts w:ascii="Times New Roman" w:hAnsi="Times New Roman"/>
          <w:sz w:val="24"/>
          <w:szCs w:val="24"/>
        </w:rPr>
        <w:t xml:space="preserve"> especializando em vinhos finos.</w:t>
      </w:r>
    </w:p>
    <w:p w:rsidR="000829CC" w:rsidRDefault="000829CC" w:rsidP="00645A50">
      <w:pPr>
        <w:spacing w:after="0" w:line="360" w:lineRule="auto"/>
        <w:ind w:firstLine="851"/>
        <w:jc w:val="both"/>
      </w:pPr>
      <w:r w:rsidRPr="000829CC">
        <w:rPr>
          <w:rFonts w:ascii="Times New Roman" w:hAnsi="Times New Roman" w:cs="Times New Roman"/>
          <w:sz w:val="24"/>
          <w:szCs w:val="24"/>
        </w:rPr>
        <w:t>Ao pesquisar a experiência de Bordeaux na França, Andrada (2017) corrobora a associação do aumento do preço das terras em áreas viticolas. Segundo a autora a</w:t>
      </w:r>
      <w:r w:rsidR="00DC1358" w:rsidRPr="000829CC">
        <w:rPr>
          <w:rFonts w:ascii="Times New Roman" w:hAnsi="Times New Roman" w:cs="Times New Roman"/>
          <w:sz w:val="24"/>
          <w:szCs w:val="24"/>
        </w:rPr>
        <w:t>ma das maneiras de avaliar sua valorização é através</w:t>
      </w:r>
      <w:r w:rsidRPr="000829CC">
        <w:rPr>
          <w:rFonts w:ascii="Times New Roman" w:hAnsi="Times New Roman" w:cs="Times New Roman"/>
          <w:sz w:val="24"/>
          <w:szCs w:val="24"/>
        </w:rPr>
        <w:t xml:space="preserve"> da evolução do valor da terra e</w:t>
      </w:r>
      <w:r w:rsidR="00DC1358" w:rsidRPr="000829CC">
        <w:rPr>
          <w:rFonts w:ascii="Times New Roman" w:hAnsi="Times New Roman" w:cs="Times New Roman"/>
          <w:sz w:val="24"/>
          <w:szCs w:val="24"/>
        </w:rPr>
        <w:t xml:space="preserve"> as vinhas de Bordeaux genérico custa</w:t>
      </w:r>
      <w:r w:rsidRPr="000829CC">
        <w:rPr>
          <w:rFonts w:ascii="Times New Roman" w:hAnsi="Times New Roman" w:cs="Times New Roman"/>
          <w:sz w:val="24"/>
          <w:szCs w:val="24"/>
        </w:rPr>
        <w:t>vam</w:t>
      </w:r>
      <w:r w:rsidR="00DC1358" w:rsidRPr="000829CC">
        <w:rPr>
          <w:rFonts w:ascii="Times New Roman" w:hAnsi="Times New Roman" w:cs="Times New Roman"/>
          <w:sz w:val="24"/>
          <w:szCs w:val="24"/>
        </w:rPr>
        <w:t xml:space="preserve"> em média de 15.000 a 25.000 euros, enquanto em Pessac-Léognan custa em média 330.000 euros, podendo chegar a mais de 400.000, um preço ao menos dez vezes superior à denominação </w:t>
      </w:r>
      <w:r w:rsidRPr="000829CC">
        <w:rPr>
          <w:rFonts w:ascii="Times New Roman" w:hAnsi="Times New Roman" w:cs="Times New Roman"/>
          <w:sz w:val="24"/>
          <w:szCs w:val="24"/>
        </w:rPr>
        <w:t xml:space="preserve">de origem </w:t>
      </w:r>
      <w:r w:rsidR="00DC1358" w:rsidRPr="000829CC">
        <w:rPr>
          <w:rFonts w:ascii="Times New Roman" w:hAnsi="Times New Roman" w:cs="Times New Roman"/>
          <w:sz w:val="24"/>
          <w:szCs w:val="24"/>
        </w:rPr>
        <w:t>vizinha de Graves, da qual Pessac-Léognan fazia parte até 1987</w:t>
      </w:r>
      <w:r>
        <w:t>.</w:t>
      </w:r>
    </w:p>
    <w:p w:rsidR="00645A50" w:rsidRDefault="00645A50" w:rsidP="00645A50">
      <w:pPr>
        <w:spacing w:after="0" w:line="360" w:lineRule="auto"/>
        <w:ind w:firstLine="851"/>
        <w:jc w:val="both"/>
        <w:rPr>
          <w:rFonts w:ascii="Times New Roman" w:hAnsi="Times New Roman"/>
          <w:sz w:val="24"/>
          <w:szCs w:val="24"/>
        </w:rPr>
      </w:pPr>
      <w:r>
        <w:rPr>
          <w:rFonts w:ascii="Times New Roman" w:hAnsi="Times New Roman"/>
          <w:sz w:val="24"/>
          <w:szCs w:val="24"/>
        </w:rPr>
        <w:t xml:space="preserve">Quanto ao preço das terras para vitivinicultura </w:t>
      </w:r>
      <w:r w:rsidR="000829CC">
        <w:rPr>
          <w:rFonts w:ascii="Times New Roman" w:hAnsi="Times New Roman"/>
          <w:sz w:val="24"/>
          <w:szCs w:val="24"/>
        </w:rPr>
        <w:t xml:space="preserve">(valores específicos) </w:t>
      </w:r>
      <w:r>
        <w:rPr>
          <w:rFonts w:ascii="Times New Roman" w:hAnsi="Times New Roman"/>
          <w:sz w:val="24"/>
          <w:szCs w:val="24"/>
        </w:rPr>
        <w:t xml:space="preserve">os dados da </w:t>
      </w:r>
      <w:r w:rsidRPr="00FE0DF0">
        <w:rPr>
          <w:rFonts w:ascii="Times New Roman" w:hAnsi="Times New Roman"/>
          <w:sz w:val="24"/>
          <w:szCs w:val="24"/>
        </w:rPr>
        <w:t xml:space="preserve">Informa </w:t>
      </w:r>
      <w:r w:rsidRPr="00FE0DF0">
        <w:rPr>
          <w:rFonts w:ascii="Times New Roman" w:hAnsi="Times New Roman"/>
          <w:i/>
          <w:iCs/>
          <w:sz w:val="24"/>
          <w:szCs w:val="24"/>
        </w:rPr>
        <w:t>Economics</w:t>
      </w:r>
      <w:r w:rsidRPr="00FE0DF0">
        <w:rPr>
          <w:rFonts w:ascii="Times New Roman" w:hAnsi="Times New Roman"/>
          <w:sz w:val="24"/>
          <w:szCs w:val="24"/>
        </w:rPr>
        <w:t xml:space="preserve"> FNP (2015)</w:t>
      </w:r>
      <w:r>
        <w:rPr>
          <w:rFonts w:ascii="Times New Roman" w:hAnsi="Times New Roman"/>
          <w:sz w:val="24"/>
          <w:szCs w:val="24"/>
        </w:rPr>
        <w:t xml:space="preserve">, pelo qual </w:t>
      </w:r>
      <w:r w:rsidRPr="00FE0DF0">
        <w:rPr>
          <w:rFonts w:ascii="Times New Roman" w:hAnsi="Times New Roman"/>
          <w:sz w:val="24"/>
          <w:szCs w:val="24"/>
        </w:rPr>
        <w:t>identificou-se que no período compreendido entre 2002 a 2014, o valor das terras usadas para vitivinicultura no município de Bento Gonçalves passou de aproximadamente R$ 10.000,00 para mais de R$ 40.000,00 o hectare, ou seja, uma valorização de mais de 3</w:t>
      </w:r>
      <w:r>
        <w:rPr>
          <w:rFonts w:ascii="Times New Roman" w:hAnsi="Times New Roman"/>
          <w:sz w:val="24"/>
          <w:szCs w:val="24"/>
        </w:rPr>
        <w:t>00% no período.</w:t>
      </w:r>
      <w:r w:rsidRPr="00FE0DF0">
        <w:rPr>
          <w:rFonts w:ascii="Times New Roman" w:hAnsi="Times New Roman"/>
          <w:sz w:val="24"/>
          <w:szCs w:val="24"/>
        </w:rPr>
        <w:t xml:space="preserve"> Isto representa um ganho médio de aproximadamente 11% ao ano no período em questão.</w:t>
      </w:r>
      <w:r w:rsidR="00070046">
        <w:rPr>
          <w:rFonts w:ascii="Times New Roman" w:hAnsi="Times New Roman"/>
          <w:sz w:val="24"/>
          <w:szCs w:val="24"/>
        </w:rPr>
        <w:t xml:space="preserve"> O Gráfico 04</w:t>
      </w:r>
      <w:r w:rsidRPr="00FE0DF0">
        <w:rPr>
          <w:rFonts w:ascii="Times New Roman" w:hAnsi="Times New Roman"/>
          <w:sz w:val="24"/>
          <w:szCs w:val="24"/>
        </w:rPr>
        <w:t xml:space="preserve"> ilustra a valorização nominal do preço da terra </w:t>
      </w:r>
      <w:r>
        <w:rPr>
          <w:rFonts w:ascii="Times New Roman" w:hAnsi="Times New Roman"/>
          <w:sz w:val="24"/>
          <w:szCs w:val="24"/>
        </w:rPr>
        <w:t xml:space="preserve">dos três principais municípios vitivinícola da Serra Gaúcha. </w:t>
      </w:r>
    </w:p>
    <w:p w:rsidR="00645A50" w:rsidRPr="00FE0DF0" w:rsidRDefault="00645A50" w:rsidP="00645A50">
      <w:pPr>
        <w:spacing w:after="0" w:line="360" w:lineRule="auto"/>
        <w:ind w:firstLine="851"/>
        <w:jc w:val="both"/>
        <w:rPr>
          <w:rFonts w:ascii="Times New Roman" w:hAnsi="Times New Roman"/>
          <w:sz w:val="24"/>
          <w:szCs w:val="24"/>
        </w:rPr>
      </w:pPr>
    </w:p>
    <w:p w:rsidR="00645A50" w:rsidRPr="00CC1870" w:rsidRDefault="00070046" w:rsidP="00645A50">
      <w:pPr>
        <w:pStyle w:val="0Grficos"/>
        <w:rPr>
          <w:i/>
        </w:rPr>
      </w:pPr>
      <w:bookmarkStart w:id="7" w:name="_Toc31027406"/>
      <w:r>
        <w:t>Gráfico 04</w:t>
      </w:r>
      <w:r w:rsidR="00645A50" w:rsidRPr="00CC1870">
        <w:t xml:space="preserve"> – Preço da terra para vitivinicultura nos municípios de Bento Gonçalves, Caxias do Sul e Garibaldi em R$/ha – 2002-2014</w:t>
      </w:r>
      <w:bookmarkEnd w:id="7"/>
    </w:p>
    <w:p w:rsidR="00645A50" w:rsidRPr="00FE0DF0" w:rsidRDefault="00645A50" w:rsidP="00645A50">
      <w:pPr>
        <w:spacing w:after="0" w:line="240" w:lineRule="auto"/>
        <w:jc w:val="both"/>
        <w:rPr>
          <w:rFonts w:ascii="Times New Roman" w:hAnsi="Times New Roman"/>
          <w:noProof/>
          <w:sz w:val="24"/>
          <w:szCs w:val="24"/>
        </w:rPr>
      </w:pPr>
      <w:r>
        <w:rPr>
          <w:rFonts w:ascii="Times New Roman" w:hAnsi="Times New Roman"/>
          <w:noProof/>
          <w:sz w:val="24"/>
          <w:szCs w:val="24"/>
          <w:lang w:val="en-US"/>
        </w:rPr>
        <w:drawing>
          <wp:inline distT="0" distB="0" distL="0" distR="0">
            <wp:extent cx="5757545" cy="2472055"/>
            <wp:effectExtent l="19050" t="19050" r="14605" b="23495"/>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2"/>
                    <a:srcRect/>
                    <a:stretch>
                      <a:fillRect/>
                    </a:stretch>
                  </pic:blipFill>
                  <pic:spPr bwMode="auto">
                    <a:xfrm>
                      <a:off x="0" y="0"/>
                      <a:ext cx="5757545" cy="2472055"/>
                    </a:xfrm>
                    <a:prstGeom prst="rect">
                      <a:avLst/>
                    </a:prstGeom>
                    <a:noFill/>
                    <a:ln w="9525" cmpd="sng">
                      <a:solidFill>
                        <a:srgbClr val="000000"/>
                      </a:solidFill>
                      <a:miter lim="800000"/>
                      <a:headEnd/>
                      <a:tailEnd/>
                    </a:ln>
                    <a:effectLst/>
                  </pic:spPr>
                </pic:pic>
              </a:graphicData>
            </a:graphic>
          </wp:inline>
        </w:drawing>
      </w:r>
      <w:r w:rsidRPr="00FE0DF0">
        <w:rPr>
          <w:rFonts w:ascii="Times New Roman" w:hAnsi="Times New Roman"/>
          <w:noProof/>
          <w:sz w:val="24"/>
          <w:szCs w:val="24"/>
        </w:rPr>
        <w:t>Fonte: Elaboração própria a partir de dados de (FNP, 2015).</w:t>
      </w:r>
    </w:p>
    <w:p w:rsidR="00645A50" w:rsidRDefault="00645A50" w:rsidP="00645A50">
      <w:pPr>
        <w:spacing w:after="0" w:line="240" w:lineRule="auto"/>
        <w:ind w:firstLine="706"/>
        <w:jc w:val="both"/>
        <w:rPr>
          <w:rFonts w:ascii="Times New Roman" w:hAnsi="Times New Roman"/>
          <w:sz w:val="24"/>
          <w:szCs w:val="24"/>
        </w:rPr>
      </w:pPr>
    </w:p>
    <w:p w:rsidR="00645A5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No município de Caxias do Sul, que tem na produção e uvas e vinhos a base da sua economia agrícola, a valorização da terra foi ainda mais expressiva, passando de R$ 4.500 o hectare em 2002 para mais de R$ 37.000,00 em 2014, o que contabilizou uma valorização superior a 700% no período (INFORMA ECONOMICS FNP, 2015).</w:t>
      </w:r>
      <w:r>
        <w:rPr>
          <w:rFonts w:ascii="Times New Roman" w:hAnsi="Times New Roman"/>
          <w:sz w:val="24"/>
          <w:szCs w:val="24"/>
        </w:rPr>
        <w:t xml:space="preserve"> </w:t>
      </w:r>
    </w:p>
    <w:p w:rsidR="00645A50" w:rsidRPr="00FE0DF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 xml:space="preserve">Os dados evidenciam </w:t>
      </w:r>
      <w:r>
        <w:rPr>
          <w:rFonts w:ascii="Times New Roman" w:hAnsi="Times New Roman"/>
          <w:sz w:val="24"/>
          <w:szCs w:val="24"/>
        </w:rPr>
        <w:t xml:space="preserve">um </w:t>
      </w:r>
      <w:r w:rsidRPr="00FE0DF0">
        <w:rPr>
          <w:rFonts w:ascii="Times New Roman" w:hAnsi="Times New Roman"/>
          <w:sz w:val="24"/>
          <w:szCs w:val="24"/>
        </w:rPr>
        <w:t>expressivo aumento no valor da terra destinada a vitivinicultura nos três principais municípios da região da Serra Gaúcha, é importante destacar que a terra é considerada o principal recurso na produção vitivinícola pela sua associação ao terroir, além da valorização pelo aspecto abstrato atribuído ao terroir, a terra é considerada como um f</w:t>
      </w:r>
      <w:r>
        <w:rPr>
          <w:rFonts w:ascii="Times New Roman" w:hAnsi="Times New Roman"/>
          <w:sz w:val="24"/>
          <w:szCs w:val="24"/>
        </w:rPr>
        <w:t>ator de produção que deve</w:t>
      </w:r>
      <w:r w:rsidRPr="00FE0DF0">
        <w:rPr>
          <w:rFonts w:ascii="Times New Roman" w:hAnsi="Times New Roman"/>
          <w:sz w:val="24"/>
          <w:szCs w:val="24"/>
        </w:rPr>
        <w:t xml:space="preserve"> ser incluída ao considerar-se a produção de vinhos ou derivados. </w:t>
      </w:r>
    </w:p>
    <w:p w:rsidR="00645A50" w:rsidRPr="00FE0DF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 xml:space="preserve">Neste sentido, </w:t>
      </w:r>
      <w:r w:rsidR="00A23422">
        <w:rPr>
          <w:rFonts w:ascii="Times New Roman" w:hAnsi="Times New Roman"/>
          <w:sz w:val="24"/>
          <w:szCs w:val="24"/>
        </w:rPr>
        <w:t>avalia-se que o aumento no preço</w:t>
      </w:r>
      <w:r w:rsidRPr="00FE0DF0">
        <w:rPr>
          <w:rFonts w:ascii="Times New Roman" w:hAnsi="Times New Roman"/>
          <w:sz w:val="24"/>
          <w:szCs w:val="24"/>
        </w:rPr>
        <w:t xml:space="preserve"> da terra, ou seja, um fator de produção se reflete no custo de oportunidade atribuído ao bem produzido, neste caso ao vinho, ou seja, a escolha em produzi-lo em detrimento de outro uso da terra ou produção de outro bem. Essa análise é válida tanto para empresa (vinícola) como para o proprietário rural. </w:t>
      </w:r>
    </w:p>
    <w:p w:rsidR="00645A50" w:rsidRPr="00FE0DF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No tocante ao proprietário rural é relevante</w:t>
      </w:r>
      <w:r w:rsidR="00A23422">
        <w:rPr>
          <w:rFonts w:ascii="Times New Roman" w:hAnsi="Times New Roman"/>
          <w:sz w:val="24"/>
          <w:szCs w:val="24"/>
        </w:rPr>
        <w:t xml:space="preserve"> ponderar que o aumento do preço</w:t>
      </w:r>
      <w:r w:rsidRPr="00FE0DF0">
        <w:rPr>
          <w:rFonts w:ascii="Times New Roman" w:hAnsi="Times New Roman"/>
          <w:sz w:val="24"/>
          <w:szCs w:val="24"/>
        </w:rPr>
        <w:t xml:space="preserve"> da terra faz com que o patrimônio seja valorizado, no entan</w:t>
      </w:r>
      <w:r w:rsidR="00A23422">
        <w:rPr>
          <w:rFonts w:ascii="Times New Roman" w:hAnsi="Times New Roman"/>
          <w:sz w:val="24"/>
          <w:szCs w:val="24"/>
        </w:rPr>
        <w:t>to, seria necessário que o preço pago à</w:t>
      </w:r>
      <w:r w:rsidRPr="00FE0DF0">
        <w:rPr>
          <w:rFonts w:ascii="Times New Roman" w:hAnsi="Times New Roman"/>
          <w:sz w:val="24"/>
          <w:szCs w:val="24"/>
        </w:rPr>
        <w:t xml:space="preserve"> </w:t>
      </w:r>
      <w:r w:rsidRPr="00FE0DF0">
        <w:rPr>
          <w:rFonts w:ascii="Times New Roman" w:hAnsi="Times New Roman"/>
          <w:sz w:val="24"/>
          <w:szCs w:val="24"/>
        </w:rPr>
        <w:lastRenderedPageBreak/>
        <w:t>produção também aumentasse na mesma proporção ou superior</w:t>
      </w:r>
      <w:r w:rsidR="00A23422">
        <w:rPr>
          <w:rFonts w:ascii="Times New Roman" w:hAnsi="Times New Roman"/>
          <w:sz w:val="24"/>
          <w:szCs w:val="24"/>
        </w:rPr>
        <w:t xml:space="preserve"> para compensar o custo de oportunidade. Outro aspecto importante que deve ser ressaltado como </w:t>
      </w:r>
      <w:r w:rsidRPr="00FE0DF0">
        <w:rPr>
          <w:rFonts w:ascii="Times New Roman" w:hAnsi="Times New Roman"/>
          <w:sz w:val="24"/>
          <w:szCs w:val="24"/>
        </w:rPr>
        <w:t xml:space="preserve">a região é caracterizada por pequenas propriedades agrícolas, não sendo diferente nos municípios em questão, o impacto social e na sucessão </w:t>
      </w:r>
      <w:r w:rsidR="00A23422">
        <w:rPr>
          <w:rFonts w:ascii="Times New Roman" w:hAnsi="Times New Roman"/>
          <w:sz w:val="24"/>
          <w:szCs w:val="24"/>
        </w:rPr>
        <w:t>familiar n</w:t>
      </w:r>
      <w:r w:rsidRPr="00FE0DF0">
        <w:rPr>
          <w:rFonts w:ascii="Times New Roman" w:hAnsi="Times New Roman"/>
          <w:sz w:val="24"/>
          <w:szCs w:val="24"/>
        </w:rPr>
        <w:t>a propriedade</w:t>
      </w:r>
      <w:r w:rsidR="00A23422">
        <w:rPr>
          <w:rFonts w:ascii="Times New Roman" w:hAnsi="Times New Roman"/>
          <w:sz w:val="24"/>
          <w:szCs w:val="24"/>
        </w:rPr>
        <w:t xml:space="preserve"> rural</w:t>
      </w:r>
      <w:r w:rsidRPr="00FE0DF0">
        <w:rPr>
          <w:rFonts w:ascii="Times New Roman" w:hAnsi="Times New Roman"/>
          <w:sz w:val="24"/>
          <w:szCs w:val="24"/>
        </w:rPr>
        <w:t xml:space="preserve"> deveria ser mais bem investigado.</w:t>
      </w:r>
    </w:p>
    <w:p w:rsidR="00645A50" w:rsidRPr="00FE0DF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 xml:space="preserve">Por se tratar de uma região com característica diferenciada e reconhecida como principal produtora de uva, vinhos e derivados, a valorização da terra assume particularidades na sua valorização que a diferencia de outros municípios especializados em outras atividades agrícolas. Considerando terras agrícolas destinada a outras atividades no Rio Grande do Sul, as taxas anuais de valorização de terras destinadas à vitivinicultura, superam as demais. A </w:t>
      </w:r>
      <w:r w:rsidRPr="00070046">
        <w:rPr>
          <w:rFonts w:ascii="Times New Roman" w:hAnsi="Times New Roman"/>
          <w:sz w:val="24"/>
          <w:szCs w:val="24"/>
        </w:rPr>
        <w:t>Tabela 02 ilustra</w:t>
      </w:r>
      <w:r w:rsidRPr="00FE0DF0">
        <w:rPr>
          <w:rFonts w:ascii="Times New Roman" w:hAnsi="Times New Roman"/>
          <w:sz w:val="24"/>
          <w:szCs w:val="24"/>
        </w:rPr>
        <w:t xml:space="preserve"> as taxas anuais de valorização da terra vitivinícola. </w:t>
      </w:r>
    </w:p>
    <w:p w:rsidR="00645A50" w:rsidRPr="00CC1870" w:rsidRDefault="00645A50" w:rsidP="00645A50">
      <w:pPr>
        <w:pStyle w:val="Legenda"/>
        <w:spacing w:after="0"/>
        <w:ind w:firstLine="0"/>
        <w:rPr>
          <w:rFonts w:ascii="Times New Roman" w:hAnsi="Times New Roman" w:cs="Times New Roman"/>
          <w:i w:val="0"/>
          <w:iCs/>
          <w:color w:val="auto"/>
          <w:sz w:val="22"/>
          <w:szCs w:val="22"/>
        </w:rPr>
      </w:pPr>
    </w:p>
    <w:p w:rsidR="00645A50" w:rsidRPr="00CC1870" w:rsidRDefault="00645A50" w:rsidP="00645A50">
      <w:pPr>
        <w:pStyle w:val="0Tabelas"/>
        <w:rPr>
          <w:i/>
        </w:rPr>
      </w:pPr>
      <w:bookmarkStart w:id="8" w:name="_Toc39587837"/>
      <w:r w:rsidRPr="00536389">
        <w:t>Tabela 02</w:t>
      </w:r>
      <w:r>
        <w:t xml:space="preserve"> </w:t>
      </w:r>
      <w:r w:rsidRPr="00CC1870">
        <w:t>–Taxa anual de valorização de terra para vitivinicultura em municípios da Serra Gaúcha – 2002/2014</w:t>
      </w:r>
      <w:bookmarkEnd w:id="8"/>
    </w:p>
    <w:tbl>
      <w:tblPr>
        <w:tblW w:w="5000" w:type="pct"/>
        <w:jc w:val="center"/>
        <w:tblBorders>
          <w:top w:val="single" w:sz="4" w:space="0" w:color="7F7F7F"/>
          <w:bottom w:val="single" w:sz="4" w:space="0" w:color="7F7F7F"/>
        </w:tblBorders>
        <w:tblLook w:val="0460"/>
      </w:tblPr>
      <w:tblGrid>
        <w:gridCol w:w="6204"/>
        <w:gridCol w:w="3083"/>
      </w:tblGrid>
      <w:tr w:rsidR="00645A50" w:rsidRPr="00623D95" w:rsidTr="00464D32">
        <w:trPr>
          <w:trHeight w:val="340"/>
          <w:jc w:val="center"/>
        </w:trPr>
        <w:tc>
          <w:tcPr>
            <w:tcW w:w="3340" w:type="pct"/>
            <w:tcBorders>
              <w:top w:val="single" w:sz="4" w:space="0" w:color="7F7F7F"/>
              <w:bottom w:val="single" w:sz="4" w:space="0" w:color="auto"/>
              <w:right w:val="single" w:sz="4" w:space="0" w:color="auto"/>
            </w:tcBorders>
            <w:noWrap/>
            <w:vAlign w:val="center"/>
            <w:hideMark/>
          </w:tcPr>
          <w:p w:rsidR="00645A50" w:rsidRPr="00623D95" w:rsidRDefault="00645A50" w:rsidP="00464D32">
            <w:pPr>
              <w:spacing w:after="0" w:line="240" w:lineRule="auto"/>
              <w:jc w:val="center"/>
              <w:rPr>
                <w:rFonts w:ascii="Times New Roman" w:eastAsia="Times New Roman" w:hAnsi="Times New Roman"/>
                <w:b/>
                <w:bCs/>
                <w:lang w:eastAsia="pt-BR"/>
              </w:rPr>
            </w:pPr>
            <w:r w:rsidRPr="00623D95">
              <w:rPr>
                <w:rFonts w:ascii="Times New Roman" w:eastAsia="Times New Roman" w:hAnsi="Times New Roman"/>
                <w:b/>
                <w:bCs/>
                <w:lang w:eastAsia="pt-BR"/>
              </w:rPr>
              <w:t>Tipo de terra e região</w:t>
            </w:r>
          </w:p>
        </w:tc>
        <w:tc>
          <w:tcPr>
            <w:tcW w:w="1660" w:type="pct"/>
            <w:tcBorders>
              <w:top w:val="single" w:sz="4" w:space="0" w:color="7F7F7F"/>
              <w:left w:val="single" w:sz="4" w:space="0" w:color="auto"/>
              <w:bottom w:val="single" w:sz="4" w:space="0" w:color="auto"/>
            </w:tcBorders>
            <w:noWrap/>
            <w:vAlign w:val="center"/>
            <w:hideMark/>
          </w:tcPr>
          <w:p w:rsidR="00645A50" w:rsidRPr="00623D95" w:rsidRDefault="00A23422" w:rsidP="00464D32">
            <w:pPr>
              <w:spacing w:after="0" w:line="240" w:lineRule="auto"/>
              <w:jc w:val="center"/>
              <w:rPr>
                <w:rFonts w:ascii="Times New Roman" w:eastAsia="Times New Roman" w:hAnsi="Times New Roman"/>
                <w:b/>
                <w:bCs/>
                <w:iCs/>
                <w:lang w:eastAsia="pt-BR"/>
              </w:rPr>
            </w:pPr>
            <w:r>
              <w:rPr>
                <w:rFonts w:ascii="Times New Roman" w:eastAsia="Times New Roman" w:hAnsi="Times New Roman"/>
                <w:b/>
                <w:bCs/>
                <w:lang w:eastAsia="pt-BR"/>
              </w:rPr>
              <w:t>Taxa a</w:t>
            </w:r>
            <w:r w:rsidR="00645A50" w:rsidRPr="00623D95">
              <w:rPr>
                <w:rFonts w:ascii="Times New Roman" w:eastAsia="Times New Roman" w:hAnsi="Times New Roman"/>
                <w:b/>
                <w:bCs/>
                <w:lang w:eastAsia="pt-BR"/>
              </w:rPr>
              <w:t>nual</w:t>
            </w:r>
          </w:p>
        </w:tc>
      </w:tr>
      <w:tr w:rsidR="00645A50" w:rsidRPr="00623D95" w:rsidTr="00464D32">
        <w:trPr>
          <w:trHeight w:val="340"/>
          <w:jc w:val="center"/>
        </w:trPr>
        <w:tc>
          <w:tcPr>
            <w:tcW w:w="3340" w:type="pct"/>
            <w:tcBorders>
              <w:top w:val="single" w:sz="4" w:space="0" w:color="auto"/>
            </w:tcBorders>
            <w:noWrap/>
            <w:vAlign w:val="center"/>
            <w:hideMark/>
          </w:tcPr>
          <w:p w:rsidR="00645A50" w:rsidRPr="00623D95" w:rsidRDefault="00645A50" w:rsidP="00464D32">
            <w:pPr>
              <w:spacing w:after="0" w:line="240" w:lineRule="auto"/>
              <w:rPr>
                <w:rFonts w:ascii="Times New Roman" w:eastAsia="Times New Roman" w:hAnsi="Times New Roman"/>
                <w:iCs/>
                <w:lang w:eastAsia="pt-BR"/>
              </w:rPr>
            </w:pPr>
            <w:r w:rsidRPr="00623D95">
              <w:rPr>
                <w:rFonts w:ascii="Times New Roman" w:eastAsia="Times New Roman" w:hAnsi="Times New Roman"/>
                <w:lang w:eastAsia="pt-BR"/>
              </w:rPr>
              <w:t>Terra para viticultura (Caxias do Sul)</w:t>
            </w:r>
          </w:p>
        </w:tc>
        <w:tc>
          <w:tcPr>
            <w:tcW w:w="1660" w:type="pct"/>
            <w:tcBorders>
              <w:top w:val="single" w:sz="4" w:space="0" w:color="auto"/>
            </w:tcBorders>
            <w:noWrap/>
            <w:vAlign w:val="center"/>
            <w:hideMark/>
          </w:tcPr>
          <w:p w:rsidR="00645A50" w:rsidRPr="00623D95" w:rsidRDefault="00645A50" w:rsidP="00464D32">
            <w:pPr>
              <w:spacing w:after="0" w:line="240" w:lineRule="auto"/>
              <w:jc w:val="center"/>
              <w:rPr>
                <w:rFonts w:ascii="Times New Roman" w:eastAsia="Times New Roman" w:hAnsi="Times New Roman"/>
                <w:iCs/>
                <w:lang w:eastAsia="pt-BR"/>
              </w:rPr>
            </w:pPr>
            <w:r w:rsidRPr="00623D95">
              <w:rPr>
                <w:rFonts w:ascii="Times New Roman" w:eastAsia="Times New Roman" w:hAnsi="Times New Roman"/>
                <w:lang w:eastAsia="pt-BR"/>
              </w:rPr>
              <w:t>17,78%</w:t>
            </w:r>
          </w:p>
        </w:tc>
      </w:tr>
      <w:tr w:rsidR="00645A50" w:rsidRPr="00623D95" w:rsidTr="00464D32">
        <w:trPr>
          <w:trHeight w:val="340"/>
          <w:jc w:val="center"/>
        </w:trPr>
        <w:tc>
          <w:tcPr>
            <w:tcW w:w="3340" w:type="pct"/>
            <w:noWrap/>
            <w:vAlign w:val="center"/>
            <w:hideMark/>
          </w:tcPr>
          <w:p w:rsidR="00645A50" w:rsidRPr="00623D95" w:rsidRDefault="00645A50" w:rsidP="00464D32">
            <w:pPr>
              <w:spacing w:after="0" w:line="240" w:lineRule="auto"/>
              <w:rPr>
                <w:rFonts w:ascii="Times New Roman" w:eastAsia="Times New Roman" w:hAnsi="Times New Roman"/>
                <w:iCs/>
                <w:lang w:eastAsia="pt-BR"/>
              </w:rPr>
            </w:pPr>
            <w:r w:rsidRPr="00623D95">
              <w:rPr>
                <w:rFonts w:ascii="Times New Roman" w:eastAsia="Times New Roman" w:hAnsi="Times New Roman"/>
                <w:lang w:eastAsia="pt-BR"/>
              </w:rPr>
              <w:t>Terra para viticultura (Garibaldi)</w:t>
            </w:r>
          </w:p>
        </w:tc>
        <w:tc>
          <w:tcPr>
            <w:tcW w:w="1660" w:type="pct"/>
            <w:noWrap/>
            <w:vAlign w:val="center"/>
            <w:hideMark/>
          </w:tcPr>
          <w:p w:rsidR="00645A50" w:rsidRPr="00623D95" w:rsidRDefault="00645A50" w:rsidP="00464D32">
            <w:pPr>
              <w:spacing w:after="0" w:line="240" w:lineRule="auto"/>
              <w:jc w:val="center"/>
              <w:rPr>
                <w:rFonts w:ascii="Times New Roman" w:eastAsia="Times New Roman" w:hAnsi="Times New Roman"/>
                <w:iCs/>
                <w:lang w:eastAsia="pt-BR"/>
              </w:rPr>
            </w:pPr>
            <w:r w:rsidRPr="00623D95">
              <w:rPr>
                <w:rFonts w:ascii="Times New Roman" w:eastAsia="Times New Roman" w:hAnsi="Times New Roman"/>
                <w:lang w:eastAsia="pt-BR"/>
              </w:rPr>
              <w:t>27,78%</w:t>
            </w:r>
          </w:p>
        </w:tc>
      </w:tr>
      <w:tr w:rsidR="00645A50" w:rsidRPr="00623D95" w:rsidTr="00464D32">
        <w:trPr>
          <w:trHeight w:val="340"/>
          <w:jc w:val="center"/>
        </w:trPr>
        <w:tc>
          <w:tcPr>
            <w:tcW w:w="3340" w:type="pct"/>
            <w:noWrap/>
            <w:vAlign w:val="center"/>
            <w:hideMark/>
          </w:tcPr>
          <w:p w:rsidR="00645A50" w:rsidRPr="00623D95" w:rsidRDefault="00645A50" w:rsidP="00464D32">
            <w:pPr>
              <w:spacing w:after="0" w:line="240" w:lineRule="auto"/>
              <w:rPr>
                <w:rFonts w:ascii="Times New Roman" w:eastAsia="Times New Roman" w:hAnsi="Times New Roman"/>
                <w:iCs/>
                <w:lang w:eastAsia="pt-BR"/>
              </w:rPr>
            </w:pPr>
            <w:r w:rsidRPr="00623D95">
              <w:rPr>
                <w:rFonts w:ascii="Times New Roman" w:eastAsia="Times New Roman" w:hAnsi="Times New Roman"/>
                <w:lang w:eastAsia="pt-BR"/>
              </w:rPr>
              <w:t>Terra para viticultura de alta produtividade (Bento Gonçalves)</w:t>
            </w:r>
          </w:p>
        </w:tc>
        <w:tc>
          <w:tcPr>
            <w:tcW w:w="1660" w:type="pct"/>
            <w:noWrap/>
            <w:vAlign w:val="center"/>
            <w:hideMark/>
          </w:tcPr>
          <w:p w:rsidR="00645A50" w:rsidRPr="00623D95" w:rsidRDefault="00645A50" w:rsidP="00464D32">
            <w:pPr>
              <w:spacing w:after="0" w:line="240" w:lineRule="auto"/>
              <w:jc w:val="center"/>
              <w:rPr>
                <w:rFonts w:ascii="Times New Roman" w:eastAsia="Times New Roman" w:hAnsi="Times New Roman"/>
                <w:iCs/>
                <w:lang w:eastAsia="pt-BR"/>
              </w:rPr>
            </w:pPr>
            <w:r w:rsidRPr="00623D95">
              <w:rPr>
                <w:rFonts w:ascii="Times New Roman" w:eastAsia="Times New Roman" w:hAnsi="Times New Roman"/>
                <w:lang w:eastAsia="pt-BR"/>
              </w:rPr>
              <w:t>11,29%</w:t>
            </w:r>
          </w:p>
        </w:tc>
      </w:tr>
      <w:tr w:rsidR="00645A50" w:rsidRPr="00623D95" w:rsidTr="00464D32">
        <w:trPr>
          <w:trHeight w:val="340"/>
          <w:jc w:val="center"/>
        </w:trPr>
        <w:tc>
          <w:tcPr>
            <w:tcW w:w="3340" w:type="pct"/>
            <w:noWrap/>
            <w:vAlign w:val="center"/>
            <w:hideMark/>
          </w:tcPr>
          <w:p w:rsidR="00645A50" w:rsidRPr="00623D95" w:rsidRDefault="00645A50" w:rsidP="00464D32">
            <w:pPr>
              <w:spacing w:after="0" w:line="240" w:lineRule="auto"/>
              <w:rPr>
                <w:rFonts w:ascii="Times New Roman" w:eastAsia="Times New Roman" w:hAnsi="Times New Roman"/>
                <w:iCs/>
                <w:lang w:eastAsia="pt-BR"/>
              </w:rPr>
            </w:pPr>
            <w:r w:rsidRPr="00623D95">
              <w:rPr>
                <w:rFonts w:ascii="Times New Roman" w:eastAsia="Times New Roman" w:hAnsi="Times New Roman"/>
                <w:lang w:eastAsia="pt-BR"/>
              </w:rPr>
              <w:t>Terra para viticultura de baixa produtividade (Bento Gonçalves)</w:t>
            </w:r>
          </w:p>
        </w:tc>
        <w:tc>
          <w:tcPr>
            <w:tcW w:w="1660" w:type="pct"/>
            <w:noWrap/>
            <w:vAlign w:val="center"/>
            <w:hideMark/>
          </w:tcPr>
          <w:p w:rsidR="00645A50" w:rsidRPr="00623D95" w:rsidRDefault="00645A50" w:rsidP="00464D32">
            <w:pPr>
              <w:spacing w:after="0" w:line="240" w:lineRule="auto"/>
              <w:jc w:val="center"/>
              <w:rPr>
                <w:rFonts w:ascii="Times New Roman" w:eastAsia="Times New Roman" w:hAnsi="Times New Roman"/>
                <w:iCs/>
                <w:lang w:eastAsia="pt-BR"/>
              </w:rPr>
            </w:pPr>
            <w:r w:rsidRPr="00623D95">
              <w:rPr>
                <w:rFonts w:ascii="Times New Roman" w:eastAsia="Times New Roman" w:hAnsi="Times New Roman"/>
                <w:lang w:eastAsia="pt-BR"/>
              </w:rPr>
              <w:t>17,93%</w:t>
            </w:r>
          </w:p>
        </w:tc>
      </w:tr>
      <w:tr w:rsidR="00645A50" w:rsidRPr="00623D95" w:rsidTr="00464D32">
        <w:trPr>
          <w:trHeight w:val="340"/>
          <w:jc w:val="center"/>
        </w:trPr>
        <w:tc>
          <w:tcPr>
            <w:tcW w:w="3340" w:type="pct"/>
            <w:noWrap/>
            <w:vAlign w:val="center"/>
          </w:tcPr>
          <w:p w:rsidR="00645A50" w:rsidRPr="00623D95" w:rsidRDefault="00645A50" w:rsidP="00464D32">
            <w:pPr>
              <w:spacing w:after="0" w:line="240" w:lineRule="auto"/>
              <w:rPr>
                <w:rFonts w:ascii="Times New Roman" w:eastAsia="Times New Roman" w:hAnsi="Times New Roman"/>
                <w:iCs/>
                <w:lang w:eastAsia="pt-BR"/>
              </w:rPr>
            </w:pPr>
            <w:r w:rsidRPr="00623D95">
              <w:rPr>
                <w:rFonts w:ascii="Times New Roman" w:eastAsia="Times New Roman" w:hAnsi="Times New Roman"/>
                <w:lang w:eastAsia="pt-BR"/>
              </w:rPr>
              <w:t>Média observada</w:t>
            </w:r>
          </w:p>
        </w:tc>
        <w:tc>
          <w:tcPr>
            <w:tcW w:w="1660" w:type="pct"/>
            <w:noWrap/>
            <w:vAlign w:val="center"/>
          </w:tcPr>
          <w:p w:rsidR="00645A50" w:rsidRPr="00623D95" w:rsidRDefault="00645A50" w:rsidP="00464D32">
            <w:pPr>
              <w:spacing w:after="0" w:line="240" w:lineRule="auto"/>
              <w:jc w:val="center"/>
              <w:rPr>
                <w:rFonts w:ascii="Times New Roman" w:eastAsia="Times New Roman" w:hAnsi="Times New Roman"/>
                <w:iCs/>
                <w:lang w:eastAsia="pt-BR"/>
              </w:rPr>
            </w:pPr>
            <w:r w:rsidRPr="00623D95">
              <w:rPr>
                <w:rFonts w:ascii="Times New Roman" w:eastAsia="Times New Roman" w:hAnsi="Times New Roman"/>
                <w:lang w:eastAsia="pt-BR"/>
              </w:rPr>
              <w:t>18,69%</w:t>
            </w:r>
          </w:p>
        </w:tc>
      </w:tr>
    </w:tbl>
    <w:p w:rsidR="00645A50" w:rsidRPr="00FE0DF0" w:rsidRDefault="00645A50" w:rsidP="00645A50">
      <w:pPr>
        <w:spacing w:after="0" w:line="240" w:lineRule="auto"/>
        <w:rPr>
          <w:rFonts w:ascii="Times New Roman" w:hAnsi="Times New Roman"/>
        </w:rPr>
      </w:pPr>
      <w:r w:rsidRPr="00FE0DF0">
        <w:rPr>
          <w:rFonts w:ascii="Times New Roman" w:hAnsi="Times New Roman"/>
        </w:rPr>
        <w:t xml:space="preserve">Fonte: Elaboração própria a partir de dados de Informa </w:t>
      </w:r>
      <w:r w:rsidRPr="00FE0DF0">
        <w:rPr>
          <w:rFonts w:ascii="Times New Roman" w:hAnsi="Times New Roman"/>
          <w:i/>
          <w:iCs/>
        </w:rPr>
        <w:t>Economics</w:t>
      </w:r>
      <w:r w:rsidRPr="00FE0DF0">
        <w:rPr>
          <w:rFonts w:ascii="Times New Roman" w:hAnsi="Times New Roman"/>
        </w:rPr>
        <w:t xml:space="preserve"> FNP, 2015.</w:t>
      </w:r>
    </w:p>
    <w:p w:rsidR="00645A50" w:rsidRPr="00FE0DF0" w:rsidRDefault="00645A50" w:rsidP="00645A50">
      <w:pPr>
        <w:spacing w:after="0" w:line="240" w:lineRule="auto"/>
        <w:rPr>
          <w:rFonts w:ascii="Times New Roman" w:hAnsi="Times New Roman"/>
        </w:rPr>
      </w:pPr>
      <w:r w:rsidRPr="00FE0DF0">
        <w:rPr>
          <w:rFonts w:ascii="Times New Roman" w:hAnsi="Times New Roman"/>
        </w:rPr>
        <w:t xml:space="preserve">Nota: A taxa anual foi calculada pelo método do </w:t>
      </w:r>
      <w:r w:rsidRPr="00FE0DF0">
        <w:rPr>
          <w:rFonts w:ascii="Times New Roman" w:hAnsi="Times New Roman"/>
          <w:i/>
        </w:rPr>
        <w:t xml:space="preserve">Compound Anual Growth Rate </w:t>
      </w:r>
      <w:r w:rsidRPr="00FE0DF0">
        <w:rPr>
          <w:rFonts w:ascii="Times New Roman" w:hAnsi="Times New Roman"/>
        </w:rPr>
        <w:t>(CAGR) como uma taxa crescimento geométrico ano de 2002 a 2014.</w:t>
      </w:r>
    </w:p>
    <w:p w:rsidR="00645A50" w:rsidRPr="00FE0DF0" w:rsidRDefault="00645A50" w:rsidP="00645A50">
      <w:pPr>
        <w:spacing w:after="0" w:line="360" w:lineRule="auto"/>
        <w:ind w:firstLine="706"/>
        <w:jc w:val="both"/>
        <w:rPr>
          <w:rFonts w:ascii="Times New Roman" w:hAnsi="Times New Roman"/>
          <w:sz w:val="20"/>
          <w:szCs w:val="20"/>
        </w:rPr>
      </w:pPr>
    </w:p>
    <w:p w:rsidR="00645A50" w:rsidRPr="00FE0DF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Analisando-se a valorização da terra para vitivinicultura, observou-se que a média dos três municípios foi de 18</w:t>
      </w:r>
      <w:r>
        <w:rPr>
          <w:rFonts w:ascii="Times New Roman" w:hAnsi="Times New Roman"/>
          <w:sz w:val="24"/>
          <w:szCs w:val="24"/>
        </w:rPr>
        <w:t>,69% ao ano no período</w:t>
      </w:r>
      <w:r w:rsidRPr="00FE0DF0">
        <w:rPr>
          <w:rFonts w:ascii="Times New Roman" w:hAnsi="Times New Roman"/>
          <w:sz w:val="24"/>
          <w:szCs w:val="24"/>
        </w:rPr>
        <w:t xml:space="preserve">. Ainda pode-se destacar na valorização das terras vitivinícolas, no período de 2002 a 2014, que o município de Garibaldi teve a maior valorização da terra com 27% ao ano. Contudo, vale ressaltar que a valorização da terra de alta produtividade em Bento Gonçalves se deve ao fato, de seu preço inicial já possuir uma base maior, ou seja, o valor da terra em Bento Gonçalves é maior do que Garibaldi, conforme se pode notar no </w:t>
      </w:r>
      <w:r w:rsidR="00070046" w:rsidRPr="00070046">
        <w:rPr>
          <w:rFonts w:ascii="Times New Roman" w:hAnsi="Times New Roman"/>
          <w:sz w:val="24"/>
          <w:szCs w:val="24"/>
        </w:rPr>
        <w:t>Gráfico 04</w:t>
      </w:r>
      <w:r w:rsidRPr="00070046">
        <w:rPr>
          <w:rFonts w:ascii="Times New Roman" w:hAnsi="Times New Roman"/>
          <w:sz w:val="24"/>
          <w:szCs w:val="24"/>
        </w:rPr>
        <w:t>,</w:t>
      </w:r>
      <w:r w:rsidRPr="00FE0DF0">
        <w:rPr>
          <w:rFonts w:ascii="Times New Roman" w:hAnsi="Times New Roman"/>
          <w:sz w:val="24"/>
          <w:szCs w:val="24"/>
        </w:rPr>
        <w:t xml:space="preserve"> portanto, mesmo a que a valorização percentual tenha sido menor ainda rep</w:t>
      </w:r>
      <w:r w:rsidR="00070046">
        <w:rPr>
          <w:rFonts w:ascii="Times New Roman" w:hAnsi="Times New Roman"/>
          <w:sz w:val="24"/>
          <w:szCs w:val="24"/>
        </w:rPr>
        <w:t>resentou um ganho maior no preço</w:t>
      </w:r>
      <w:r w:rsidRPr="00FE0DF0">
        <w:rPr>
          <w:rFonts w:ascii="Times New Roman" w:hAnsi="Times New Roman"/>
          <w:sz w:val="24"/>
          <w:szCs w:val="24"/>
        </w:rPr>
        <w:t xml:space="preserve"> final.</w:t>
      </w:r>
    </w:p>
    <w:p w:rsidR="00645A5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lastRenderedPageBreak/>
        <w:t xml:space="preserve">Adicionalmente, observou-se que um ganho expressivo na valorização da terra se deu partir de 2007, conforme </w:t>
      </w:r>
      <w:r w:rsidRPr="00536389">
        <w:rPr>
          <w:rFonts w:ascii="Times New Roman" w:hAnsi="Times New Roman"/>
          <w:sz w:val="24"/>
          <w:szCs w:val="24"/>
        </w:rPr>
        <w:t>o Gráfico 0</w:t>
      </w:r>
      <w:r w:rsidR="00070046">
        <w:rPr>
          <w:rFonts w:ascii="Times New Roman" w:hAnsi="Times New Roman"/>
          <w:sz w:val="24"/>
          <w:szCs w:val="24"/>
        </w:rPr>
        <w:t>4</w:t>
      </w:r>
      <w:r w:rsidRPr="00FE0DF0">
        <w:rPr>
          <w:rFonts w:ascii="Times New Roman" w:hAnsi="Times New Roman"/>
          <w:sz w:val="24"/>
          <w:szCs w:val="24"/>
        </w:rPr>
        <w:t>. Tal fato pode ser associado às indicações geográficas que têm o pressuposto de agregarem valor a terra, e que neste período</w:t>
      </w:r>
      <w:r>
        <w:rPr>
          <w:rFonts w:ascii="Times New Roman" w:hAnsi="Times New Roman"/>
          <w:sz w:val="24"/>
          <w:szCs w:val="24"/>
        </w:rPr>
        <w:t>.</w:t>
      </w:r>
    </w:p>
    <w:p w:rsidR="00645A50" w:rsidRDefault="00645A50" w:rsidP="00645A50">
      <w:pPr>
        <w:spacing w:after="0" w:line="360" w:lineRule="auto"/>
        <w:ind w:firstLine="851"/>
        <w:jc w:val="both"/>
        <w:rPr>
          <w:rFonts w:ascii="Times New Roman" w:hAnsi="Times New Roman"/>
          <w:sz w:val="24"/>
          <w:szCs w:val="24"/>
        </w:rPr>
      </w:pPr>
      <w:r w:rsidRPr="00FE0DF0">
        <w:rPr>
          <w:rFonts w:ascii="Times New Roman" w:hAnsi="Times New Roman"/>
          <w:sz w:val="24"/>
          <w:szCs w:val="24"/>
        </w:rPr>
        <w:t>No município de Bento Gonçalves, a distinção entre terras de alta e baixa produtividade se relaciona com o potencial produtivo, remetendo-se a características que possibilitem o aumento da produtividade, tais como disponibilidade de água, qualidade da terra e tipo do relevo da área. Por sua vez, a produtividade é item que faz parte da indicação geográfica. Assim, mesmo com a existência de inúmeros fatores para a valorização da terra, há indícios de que a indicação geográfica corroborou para o aumento do preço de terras nos municípios de Bento Gonçalves, Caixas do Sul e Garibaldi.</w:t>
      </w:r>
    </w:p>
    <w:p w:rsidR="00645A50" w:rsidRDefault="00645A50" w:rsidP="00645A50">
      <w:pPr>
        <w:spacing w:after="0" w:line="360" w:lineRule="auto"/>
        <w:ind w:firstLine="851"/>
        <w:jc w:val="both"/>
        <w:rPr>
          <w:rFonts w:ascii="Times New Roman" w:hAnsi="Times New Roman"/>
          <w:sz w:val="24"/>
          <w:szCs w:val="24"/>
        </w:rPr>
      </w:pPr>
      <w:r>
        <w:rPr>
          <w:rFonts w:ascii="Times New Roman" w:hAnsi="Times New Roman"/>
          <w:sz w:val="24"/>
          <w:szCs w:val="24"/>
        </w:rPr>
        <w:t>Em relação ao aumento expressivo no preço das terras agricultáveis para vitivinicultura esse fenômeno faz com que haja um deslocamento da produção para novas regiões que além das condições naturais e adafoclimática mais favoráveis tem no preço da terra, que é um dos principais fatores de produção e custo iniciais do negócio, um importante fator para o deslocamento da região tradicional que é a Serra Gaúcha para outras regiões.</w:t>
      </w:r>
    </w:p>
    <w:p w:rsidR="00645A50" w:rsidRDefault="00070046" w:rsidP="00645A50">
      <w:pPr>
        <w:spacing w:after="0" w:line="360" w:lineRule="auto"/>
        <w:ind w:firstLine="851"/>
        <w:jc w:val="both"/>
        <w:rPr>
          <w:rFonts w:ascii="Times New Roman" w:hAnsi="Times New Roman"/>
          <w:sz w:val="24"/>
          <w:szCs w:val="24"/>
        </w:rPr>
      </w:pPr>
      <w:r>
        <w:rPr>
          <w:rFonts w:ascii="Times New Roman" w:hAnsi="Times New Roman"/>
          <w:sz w:val="24"/>
          <w:szCs w:val="24"/>
        </w:rPr>
        <w:t xml:space="preserve">A pesquisa </w:t>
      </w:r>
      <w:r w:rsidR="00645A50">
        <w:rPr>
          <w:rFonts w:ascii="Times New Roman" w:hAnsi="Times New Roman"/>
          <w:sz w:val="24"/>
          <w:szCs w:val="24"/>
        </w:rPr>
        <w:t xml:space="preserve">de Schneider (2006) já destacava essa perspectiva ao abordar a vitivinicultura na região da Campanha Gaúcha e Vale do São Francisco no Nordeste. Para a pesquisadora o fato de a área plantada ter crescido 22% no período de 1990 a 2004, mostrava um crescimento de 5% na região e 270% na região Nordeste. </w:t>
      </w:r>
    </w:p>
    <w:p w:rsidR="00645A50" w:rsidRPr="00EA4849" w:rsidRDefault="00645A50" w:rsidP="00645A50">
      <w:pPr>
        <w:spacing w:after="0" w:line="360" w:lineRule="auto"/>
        <w:ind w:firstLine="851"/>
        <w:jc w:val="both"/>
        <w:rPr>
          <w:rFonts w:ascii="Times New Roman" w:hAnsi="Times New Roman"/>
          <w:sz w:val="24"/>
          <w:szCs w:val="24"/>
        </w:rPr>
      </w:pPr>
      <w:r w:rsidRPr="00EA4849">
        <w:rPr>
          <w:rFonts w:ascii="Times New Roman" w:hAnsi="Times New Roman"/>
          <w:sz w:val="24"/>
          <w:szCs w:val="24"/>
        </w:rPr>
        <w:t>A Serra Gaúcha possuía no início dos anos 2000, cerca de 13 mil minifúndio com área média de 2ha e mão de obra familiar. Na região da Campanha a uva é cultivada em grandes propriedades e intensiva em capital, ou seja, as duas regiões têm estruturas produtivas bastantes diferenciadas. Além disso, o produtor rural típico da Serra Gaúcha produz mais de uma variedade de uva para redução dos riscos, todavia, essa prática impede maior especialização, dado</w:t>
      </w:r>
      <w:r w:rsidR="00EA4849">
        <w:rPr>
          <w:rFonts w:ascii="Times New Roman" w:hAnsi="Times New Roman"/>
          <w:sz w:val="24"/>
          <w:szCs w:val="24"/>
        </w:rPr>
        <w:t xml:space="preserve"> </w:t>
      </w:r>
      <w:r w:rsidRPr="00EA4849">
        <w:rPr>
          <w:rFonts w:ascii="Times New Roman" w:hAnsi="Times New Roman"/>
          <w:sz w:val="24"/>
          <w:szCs w:val="24"/>
        </w:rPr>
        <w:t xml:space="preserve">que há uma demanda maior por determinadas cultivares (SCHNEIDER, 2006). </w:t>
      </w:r>
    </w:p>
    <w:p w:rsidR="00645A50" w:rsidRPr="006E2184" w:rsidRDefault="00645A50" w:rsidP="00645A50">
      <w:pPr>
        <w:tabs>
          <w:tab w:val="left" w:pos="2250"/>
        </w:tabs>
        <w:spacing w:after="0" w:line="360" w:lineRule="auto"/>
        <w:ind w:firstLine="706"/>
        <w:jc w:val="both"/>
        <w:rPr>
          <w:rFonts w:ascii="Times New Roman" w:hAnsi="Times New Roman" w:cs="Times New Roman"/>
          <w:sz w:val="24"/>
          <w:szCs w:val="24"/>
        </w:rPr>
      </w:pPr>
      <w:r>
        <w:rPr>
          <w:rFonts w:ascii="Times New Roman" w:hAnsi="Times New Roman" w:cs="Times New Roman"/>
          <w:sz w:val="24"/>
          <w:szCs w:val="24"/>
        </w:rPr>
        <w:t>Ainda sobre a dinâmica do deslocamento da produção Jeziorny (2015) argumenta que o que</w:t>
      </w:r>
      <w:r w:rsidRPr="006E2184">
        <w:rPr>
          <w:rFonts w:ascii="Times New Roman" w:hAnsi="Times New Roman" w:cs="Times New Roman"/>
          <w:sz w:val="24"/>
          <w:szCs w:val="24"/>
        </w:rPr>
        <w:t xml:space="preserve"> ocorre </w:t>
      </w:r>
      <w:r>
        <w:rPr>
          <w:rFonts w:ascii="Times New Roman" w:hAnsi="Times New Roman" w:cs="Times New Roman"/>
          <w:sz w:val="24"/>
          <w:szCs w:val="24"/>
        </w:rPr>
        <w:t xml:space="preserve">é </w:t>
      </w:r>
      <w:r w:rsidRPr="006E2184">
        <w:rPr>
          <w:rFonts w:ascii="Times New Roman" w:hAnsi="Times New Roman" w:cs="Times New Roman"/>
          <w:sz w:val="24"/>
          <w:szCs w:val="24"/>
        </w:rPr>
        <w:t>a exportação ou transbordamento de capital do Vale dos Vinhedos</w:t>
      </w:r>
      <w:r>
        <w:rPr>
          <w:rFonts w:ascii="Times New Roman" w:hAnsi="Times New Roman" w:cs="Times New Roman"/>
          <w:sz w:val="24"/>
          <w:szCs w:val="24"/>
        </w:rPr>
        <w:t>, na Serra Gaúcha, para outros territórios, em especial, a Campanha Gaúcha. Considerando o</w:t>
      </w:r>
      <w:r w:rsidRPr="006E2184">
        <w:rPr>
          <w:rFonts w:ascii="Times New Roman" w:hAnsi="Times New Roman" w:cs="Times New Roman"/>
          <w:sz w:val="24"/>
          <w:szCs w:val="24"/>
        </w:rPr>
        <w:t xml:space="preserve"> atual </w:t>
      </w:r>
      <w:r w:rsidRPr="006E2184">
        <w:rPr>
          <w:rFonts w:ascii="Times New Roman" w:hAnsi="Times New Roman" w:cs="Times New Roman"/>
          <w:sz w:val="24"/>
          <w:szCs w:val="24"/>
        </w:rPr>
        <w:lastRenderedPageBreak/>
        <w:t xml:space="preserve">estágio tecnológico do </w:t>
      </w:r>
      <w:r>
        <w:rPr>
          <w:rFonts w:ascii="Times New Roman" w:hAnsi="Times New Roman" w:cs="Times New Roman"/>
          <w:sz w:val="24"/>
          <w:szCs w:val="24"/>
        </w:rPr>
        <w:t>setor vitivinícola, a região da Campanha</w:t>
      </w:r>
      <w:r w:rsidRPr="006E2184">
        <w:rPr>
          <w:rFonts w:ascii="Times New Roman" w:hAnsi="Times New Roman" w:cs="Times New Roman"/>
          <w:sz w:val="24"/>
          <w:szCs w:val="24"/>
        </w:rPr>
        <w:t xml:space="preserve"> com topografia </w:t>
      </w:r>
      <w:r>
        <w:rPr>
          <w:rFonts w:ascii="Times New Roman" w:hAnsi="Times New Roman" w:cs="Times New Roman"/>
          <w:sz w:val="24"/>
          <w:szCs w:val="24"/>
        </w:rPr>
        <w:t>favorável, permite a introdução de</w:t>
      </w:r>
      <w:r w:rsidRPr="006E2184">
        <w:rPr>
          <w:rFonts w:ascii="Times New Roman" w:hAnsi="Times New Roman" w:cs="Times New Roman"/>
          <w:sz w:val="24"/>
          <w:szCs w:val="24"/>
        </w:rPr>
        <w:t xml:space="preserve"> inovações que aumentem a composição orgânica do capital, reduzindo drasticamente a sua dependência de mão de obra, bem como os custos </w:t>
      </w:r>
      <w:r>
        <w:rPr>
          <w:rFonts w:ascii="Times New Roman" w:hAnsi="Times New Roman" w:cs="Times New Roman"/>
          <w:sz w:val="24"/>
          <w:szCs w:val="24"/>
        </w:rPr>
        <w:t>da produção vitícola,</w:t>
      </w:r>
      <w:r w:rsidRPr="006E2184">
        <w:rPr>
          <w:rFonts w:ascii="Times New Roman" w:hAnsi="Times New Roman" w:cs="Times New Roman"/>
          <w:sz w:val="24"/>
          <w:szCs w:val="24"/>
        </w:rPr>
        <w:t xml:space="preserve"> especialmente</w:t>
      </w:r>
      <w:r>
        <w:rPr>
          <w:rFonts w:ascii="Times New Roman" w:hAnsi="Times New Roman" w:cs="Times New Roman"/>
          <w:sz w:val="24"/>
          <w:szCs w:val="24"/>
        </w:rPr>
        <w:t xml:space="preserve"> pela </w:t>
      </w:r>
      <w:r w:rsidRPr="006E2184">
        <w:rPr>
          <w:rFonts w:ascii="Times New Roman" w:hAnsi="Times New Roman" w:cs="Times New Roman"/>
          <w:sz w:val="24"/>
          <w:szCs w:val="24"/>
        </w:rPr>
        <w:t>utilização de tratores utilizados na colheita, poda e aplicação de defensivos</w:t>
      </w:r>
      <w:r>
        <w:rPr>
          <w:rFonts w:ascii="Times New Roman" w:hAnsi="Times New Roman" w:cs="Times New Roman"/>
          <w:sz w:val="24"/>
          <w:szCs w:val="24"/>
        </w:rPr>
        <w:t>. O que resulta em ganhos de escala em detrimento da região do Vale dos Vinhedos assentada em pequena propriedade e mão de obra familiar e que em função das condições acidentadas do solo não viabiliza a grande mecanização.</w:t>
      </w:r>
    </w:p>
    <w:p w:rsidR="00645A50" w:rsidRDefault="00645A50" w:rsidP="00645A50">
      <w:pPr>
        <w:spacing w:after="0" w:line="360" w:lineRule="auto"/>
        <w:ind w:firstLine="706"/>
        <w:jc w:val="both"/>
        <w:rPr>
          <w:rFonts w:ascii="Times New Roman" w:hAnsi="Times New Roman" w:cs="Times New Roman"/>
          <w:sz w:val="24"/>
          <w:szCs w:val="24"/>
        </w:rPr>
      </w:pPr>
      <w:r>
        <w:rPr>
          <w:rFonts w:ascii="Times New Roman" w:hAnsi="Times New Roman" w:cs="Times New Roman"/>
          <w:sz w:val="24"/>
          <w:szCs w:val="24"/>
        </w:rPr>
        <w:t xml:space="preserve">Assim a </w:t>
      </w:r>
      <w:r w:rsidRPr="006E2184">
        <w:rPr>
          <w:rFonts w:ascii="Times New Roman" w:hAnsi="Times New Roman" w:cs="Times New Roman"/>
          <w:sz w:val="24"/>
          <w:szCs w:val="24"/>
        </w:rPr>
        <w:t>região da Campanha Gaúcha surge como</w:t>
      </w:r>
      <w:r>
        <w:rPr>
          <w:rFonts w:ascii="Times New Roman" w:hAnsi="Times New Roman" w:cs="Times New Roman"/>
          <w:sz w:val="24"/>
          <w:szCs w:val="24"/>
        </w:rPr>
        <w:t xml:space="preserve"> uma nova</w:t>
      </w:r>
      <w:r w:rsidRPr="006E2184">
        <w:rPr>
          <w:rFonts w:ascii="Times New Roman" w:hAnsi="Times New Roman" w:cs="Times New Roman"/>
          <w:sz w:val="24"/>
          <w:szCs w:val="24"/>
        </w:rPr>
        <w:t xml:space="preserve"> e promissor</w:t>
      </w:r>
      <w:r>
        <w:rPr>
          <w:rFonts w:ascii="Times New Roman" w:hAnsi="Times New Roman" w:cs="Times New Roman"/>
          <w:sz w:val="24"/>
          <w:szCs w:val="24"/>
        </w:rPr>
        <w:t xml:space="preserve">a região produtora, juntamente com a Serra Sudeste, o que segundo </w:t>
      </w:r>
      <w:r w:rsidRPr="006E2184">
        <w:rPr>
          <w:rFonts w:ascii="Times New Roman" w:hAnsi="Times New Roman" w:cs="Times New Roman"/>
          <w:sz w:val="24"/>
          <w:szCs w:val="24"/>
        </w:rPr>
        <w:t>Ortega</w:t>
      </w:r>
      <w:r>
        <w:rPr>
          <w:rFonts w:ascii="Times New Roman" w:hAnsi="Times New Roman" w:cs="Times New Roman"/>
          <w:sz w:val="24"/>
          <w:szCs w:val="24"/>
        </w:rPr>
        <w:t xml:space="preserve"> e Jeziorny (2011), o que seria resultado do deslocamento</w:t>
      </w:r>
      <w:r w:rsidRPr="006E2184">
        <w:rPr>
          <w:rFonts w:ascii="Times New Roman" w:hAnsi="Times New Roman" w:cs="Times New Roman"/>
          <w:sz w:val="24"/>
          <w:szCs w:val="24"/>
        </w:rPr>
        <w:t xml:space="preserve"> </w:t>
      </w:r>
      <w:r>
        <w:rPr>
          <w:rFonts w:ascii="Times New Roman" w:hAnsi="Times New Roman" w:cs="Times New Roman"/>
          <w:sz w:val="24"/>
          <w:szCs w:val="24"/>
        </w:rPr>
        <w:t xml:space="preserve">de capitais oriundos </w:t>
      </w:r>
      <w:r w:rsidRPr="006E2184">
        <w:rPr>
          <w:rFonts w:ascii="Times New Roman" w:hAnsi="Times New Roman" w:cs="Times New Roman"/>
          <w:sz w:val="24"/>
          <w:szCs w:val="24"/>
        </w:rPr>
        <w:t>de vinícolas da Serra Gaúcha</w:t>
      </w:r>
      <w:r>
        <w:rPr>
          <w:rFonts w:ascii="Times New Roman" w:hAnsi="Times New Roman" w:cs="Times New Roman"/>
          <w:sz w:val="24"/>
          <w:szCs w:val="24"/>
        </w:rPr>
        <w:t>,</w:t>
      </w:r>
      <w:r w:rsidRPr="006E2184">
        <w:rPr>
          <w:rFonts w:ascii="Times New Roman" w:hAnsi="Times New Roman" w:cs="Times New Roman"/>
          <w:sz w:val="24"/>
          <w:szCs w:val="24"/>
        </w:rPr>
        <w:t xml:space="preserve"> mas também de outros ramos interessados em se valorizar no setor vitivinícola. </w:t>
      </w:r>
      <w:r>
        <w:rPr>
          <w:rFonts w:ascii="Times New Roman" w:hAnsi="Times New Roman" w:cs="Times New Roman"/>
          <w:sz w:val="24"/>
          <w:szCs w:val="24"/>
        </w:rPr>
        <w:t xml:space="preserve">Para tanto, os autores destacam que </w:t>
      </w:r>
      <w:r w:rsidRPr="006E2184">
        <w:rPr>
          <w:rFonts w:ascii="Times New Roman" w:hAnsi="Times New Roman" w:cs="Times New Roman"/>
          <w:sz w:val="24"/>
          <w:szCs w:val="24"/>
        </w:rPr>
        <w:t>a quantidade produzida de uvas nos municípios de Candiota e</w:t>
      </w:r>
      <w:r>
        <w:rPr>
          <w:rFonts w:ascii="Times New Roman" w:hAnsi="Times New Roman" w:cs="Times New Roman"/>
          <w:sz w:val="24"/>
          <w:szCs w:val="24"/>
        </w:rPr>
        <w:t xml:space="preserve"> Santana do Livramento, municípios da</w:t>
      </w:r>
      <w:r w:rsidRPr="006E2184">
        <w:rPr>
          <w:rFonts w:ascii="Times New Roman" w:hAnsi="Times New Roman" w:cs="Times New Roman"/>
          <w:sz w:val="24"/>
          <w:szCs w:val="24"/>
        </w:rPr>
        <w:t xml:space="preserve"> Campanha Gaúcha e</w:t>
      </w:r>
      <w:r>
        <w:rPr>
          <w:rFonts w:ascii="Times New Roman" w:hAnsi="Times New Roman" w:cs="Times New Roman"/>
          <w:sz w:val="24"/>
          <w:szCs w:val="24"/>
        </w:rPr>
        <w:t xml:space="preserve"> onde houve grande investimento </w:t>
      </w:r>
      <w:r w:rsidRPr="006E2184">
        <w:rPr>
          <w:rFonts w:ascii="Times New Roman" w:hAnsi="Times New Roman" w:cs="Times New Roman"/>
          <w:sz w:val="24"/>
          <w:szCs w:val="24"/>
        </w:rPr>
        <w:t>das duas maiores</w:t>
      </w:r>
      <w:r>
        <w:rPr>
          <w:rFonts w:ascii="Times New Roman" w:hAnsi="Times New Roman" w:cs="Times New Roman"/>
          <w:sz w:val="24"/>
          <w:szCs w:val="24"/>
        </w:rPr>
        <w:t xml:space="preserve"> vinícolas do Vale dos Vinhedos, aumentou</w:t>
      </w:r>
      <w:r w:rsidRPr="006E2184">
        <w:rPr>
          <w:rFonts w:ascii="Times New Roman" w:hAnsi="Times New Roman" w:cs="Times New Roman"/>
          <w:sz w:val="24"/>
          <w:szCs w:val="24"/>
        </w:rPr>
        <w:t xml:space="preserve"> 137,82% entre 2000 e 2012. </w:t>
      </w:r>
      <w:r>
        <w:rPr>
          <w:rFonts w:ascii="Times New Roman" w:hAnsi="Times New Roman" w:cs="Times New Roman"/>
          <w:sz w:val="24"/>
          <w:szCs w:val="24"/>
        </w:rPr>
        <w:t>Enquanto que no mesmo período os municípios que formam o Vale dos Vinhedos</w:t>
      </w:r>
      <w:r w:rsidRPr="006E2184">
        <w:rPr>
          <w:rFonts w:ascii="Times New Roman" w:hAnsi="Times New Roman" w:cs="Times New Roman"/>
          <w:sz w:val="24"/>
          <w:szCs w:val="24"/>
        </w:rPr>
        <w:t>, o</w:t>
      </w:r>
      <w:r>
        <w:rPr>
          <w:rFonts w:ascii="Times New Roman" w:hAnsi="Times New Roman" w:cs="Times New Roman"/>
          <w:sz w:val="24"/>
          <w:szCs w:val="24"/>
        </w:rPr>
        <w:t xml:space="preserve"> crescimento da produção foi 22,79%. Assim, os autores defendem que na atividade vitícola, não teria </w:t>
      </w:r>
      <w:r w:rsidRPr="006E2184">
        <w:rPr>
          <w:rFonts w:ascii="Times New Roman" w:hAnsi="Times New Roman" w:cs="Times New Roman"/>
          <w:sz w:val="24"/>
          <w:szCs w:val="24"/>
        </w:rPr>
        <w:t>como negar que existe um desloca</w:t>
      </w:r>
      <w:r>
        <w:rPr>
          <w:rFonts w:ascii="Times New Roman" w:hAnsi="Times New Roman" w:cs="Times New Roman"/>
          <w:sz w:val="24"/>
          <w:szCs w:val="24"/>
        </w:rPr>
        <w:t>mento da produção de um espaço a</w:t>
      </w:r>
      <w:r w:rsidRPr="006E2184">
        <w:rPr>
          <w:rFonts w:ascii="Times New Roman" w:hAnsi="Times New Roman" w:cs="Times New Roman"/>
          <w:sz w:val="24"/>
          <w:szCs w:val="24"/>
        </w:rPr>
        <w:t xml:space="preserve"> outro.</w:t>
      </w:r>
      <w:r>
        <w:rPr>
          <w:rFonts w:ascii="Times New Roman" w:hAnsi="Times New Roman" w:cs="Times New Roman"/>
          <w:sz w:val="24"/>
          <w:szCs w:val="24"/>
        </w:rPr>
        <w:t xml:space="preserve"> </w:t>
      </w:r>
      <w:r w:rsidRPr="006E2184">
        <w:rPr>
          <w:rFonts w:ascii="Times New Roman" w:hAnsi="Times New Roman" w:cs="Times New Roman"/>
          <w:sz w:val="24"/>
          <w:szCs w:val="24"/>
        </w:rPr>
        <w:t>Nesse sentido, o excedente de capital oriundo do terr</w:t>
      </w:r>
      <w:r>
        <w:rPr>
          <w:rFonts w:ascii="Times New Roman" w:hAnsi="Times New Roman" w:cs="Times New Roman"/>
          <w:sz w:val="24"/>
          <w:szCs w:val="24"/>
        </w:rPr>
        <w:t>itório do Vale dos Vinhedos estaria</w:t>
      </w:r>
      <w:r w:rsidRPr="006E2184">
        <w:rPr>
          <w:rFonts w:ascii="Times New Roman" w:hAnsi="Times New Roman" w:cs="Times New Roman"/>
          <w:sz w:val="24"/>
          <w:szCs w:val="24"/>
        </w:rPr>
        <w:t xml:space="preserve"> a </w:t>
      </w:r>
      <w:r>
        <w:rPr>
          <w:rFonts w:ascii="Times New Roman" w:hAnsi="Times New Roman" w:cs="Times New Roman"/>
          <w:sz w:val="24"/>
          <w:szCs w:val="24"/>
        </w:rPr>
        <w:t xml:space="preserve">se </w:t>
      </w:r>
      <w:r w:rsidRPr="006E2184">
        <w:rPr>
          <w:rFonts w:ascii="Times New Roman" w:hAnsi="Times New Roman" w:cs="Times New Roman"/>
          <w:sz w:val="24"/>
          <w:szCs w:val="24"/>
        </w:rPr>
        <w:t>expandir</w:t>
      </w:r>
      <w:r>
        <w:rPr>
          <w:rFonts w:ascii="Times New Roman" w:hAnsi="Times New Roman" w:cs="Times New Roman"/>
          <w:sz w:val="24"/>
          <w:szCs w:val="24"/>
        </w:rPr>
        <w:t xml:space="preserve"> para outros espaços e </w:t>
      </w:r>
      <w:r w:rsidRPr="006E2184">
        <w:rPr>
          <w:rFonts w:ascii="Times New Roman" w:hAnsi="Times New Roman" w:cs="Times New Roman"/>
          <w:sz w:val="24"/>
          <w:szCs w:val="24"/>
        </w:rPr>
        <w:t>muito significativamente, na apropriação do e</w:t>
      </w:r>
      <w:r>
        <w:rPr>
          <w:rFonts w:ascii="Times New Roman" w:hAnsi="Times New Roman" w:cs="Times New Roman"/>
          <w:sz w:val="24"/>
          <w:szCs w:val="24"/>
        </w:rPr>
        <w:t>spaço rural da Campanha Gaúcha.</w:t>
      </w:r>
    </w:p>
    <w:p w:rsidR="00645A50" w:rsidRPr="006E2184" w:rsidRDefault="00645A50" w:rsidP="00645A50">
      <w:pPr>
        <w:spacing w:after="0" w:line="360" w:lineRule="auto"/>
        <w:ind w:firstLine="706"/>
        <w:jc w:val="both"/>
        <w:rPr>
          <w:rFonts w:ascii="Times New Roman" w:hAnsi="Times New Roman" w:cs="Times New Roman"/>
          <w:sz w:val="24"/>
          <w:szCs w:val="24"/>
        </w:rPr>
      </w:pPr>
    </w:p>
    <w:p w:rsidR="00645A50" w:rsidRDefault="00645A50" w:rsidP="00645A50">
      <w:pPr>
        <w:tabs>
          <w:tab w:val="left" w:pos="540"/>
        </w:tabs>
        <w:rPr>
          <w:rFonts w:ascii="Times New Roman" w:hAnsi="Times New Roman"/>
          <w:sz w:val="24"/>
          <w:szCs w:val="24"/>
        </w:rPr>
      </w:pPr>
      <w:r>
        <w:rPr>
          <w:rFonts w:ascii="Times New Roman" w:hAnsi="Times New Roman"/>
          <w:sz w:val="24"/>
          <w:szCs w:val="24"/>
        </w:rPr>
        <w:t>CONSIDERAÇÕES FINAIS</w:t>
      </w:r>
    </w:p>
    <w:p w:rsidR="00EA4849" w:rsidRDefault="00EA4849" w:rsidP="00645A50">
      <w:pPr>
        <w:spacing w:after="0" w:line="360" w:lineRule="auto"/>
        <w:ind w:firstLine="720"/>
        <w:jc w:val="both"/>
        <w:rPr>
          <w:rFonts w:ascii="Times New Roman" w:hAnsi="Times New Roman" w:cs="Times New Roman"/>
          <w:sz w:val="24"/>
          <w:szCs w:val="24"/>
        </w:rPr>
      </w:pPr>
    </w:p>
    <w:p w:rsidR="00202A4A"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 objetivo do artigo foi discutir a produção vitivinícola do RS e a interrelação desta com a dinâmica territorial e o reconhecimento das indicações geográficas. Os resultados mostram que a produção vitivinícola no estado contribui para o desenvolvimento dos territórios que a produz sendo a principal atividade agrícola dos municípios produtores</w:t>
      </w:r>
      <w:r w:rsidR="00CB1DA8">
        <w:rPr>
          <w:rFonts w:ascii="Times New Roman" w:hAnsi="Times New Roman" w:cs="Times New Roman"/>
          <w:sz w:val="24"/>
          <w:szCs w:val="24"/>
        </w:rPr>
        <w:t xml:space="preserve"> </w:t>
      </w:r>
      <w:r w:rsidR="0002477F">
        <w:rPr>
          <w:rFonts w:ascii="Times New Roman" w:hAnsi="Times New Roman" w:cs="Times New Roman"/>
          <w:sz w:val="24"/>
          <w:szCs w:val="24"/>
        </w:rPr>
        <w:t xml:space="preserve">da </w:t>
      </w:r>
      <w:r w:rsidR="00CB1DA8">
        <w:rPr>
          <w:rFonts w:ascii="Times New Roman" w:hAnsi="Times New Roman" w:cs="Times New Roman"/>
          <w:sz w:val="24"/>
          <w:szCs w:val="24"/>
        </w:rPr>
        <w:t>Serra Gaúcha</w:t>
      </w:r>
      <w:r w:rsidR="0002477F">
        <w:rPr>
          <w:rFonts w:ascii="Times New Roman" w:hAnsi="Times New Roman" w:cs="Times New Roman"/>
          <w:sz w:val="24"/>
          <w:szCs w:val="24"/>
        </w:rPr>
        <w:t xml:space="preserve"> e ainda evidencia-se um</w:t>
      </w:r>
      <w:r>
        <w:rPr>
          <w:rFonts w:ascii="Times New Roman" w:hAnsi="Times New Roman" w:cs="Times New Roman"/>
          <w:sz w:val="24"/>
          <w:szCs w:val="24"/>
        </w:rPr>
        <w:t xml:space="preserve"> movi</w:t>
      </w:r>
      <w:r w:rsidR="0002477F">
        <w:rPr>
          <w:rFonts w:ascii="Times New Roman" w:hAnsi="Times New Roman" w:cs="Times New Roman"/>
          <w:sz w:val="24"/>
          <w:szCs w:val="24"/>
        </w:rPr>
        <w:t>mento de deslocamento de produção</w:t>
      </w:r>
      <w:r>
        <w:rPr>
          <w:rFonts w:ascii="Times New Roman" w:hAnsi="Times New Roman" w:cs="Times New Roman"/>
          <w:sz w:val="24"/>
          <w:szCs w:val="24"/>
        </w:rPr>
        <w:t xml:space="preserve"> da região da Serra para Campanha</w:t>
      </w:r>
      <w:r w:rsidR="00202A4A">
        <w:rPr>
          <w:rFonts w:ascii="Times New Roman" w:hAnsi="Times New Roman" w:cs="Times New Roman"/>
          <w:sz w:val="24"/>
          <w:szCs w:val="24"/>
        </w:rPr>
        <w:t xml:space="preserve"> Gaúcha</w:t>
      </w:r>
      <w:r w:rsidR="00CB1DA8">
        <w:rPr>
          <w:rFonts w:ascii="Times New Roman" w:hAnsi="Times New Roman" w:cs="Times New Roman"/>
          <w:sz w:val="24"/>
          <w:szCs w:val="24"/>
        </w:rPr>
        <w:t xml:space="preserve">. </w:t>
      </w:r>
    </w:p>
    <w:p w:rsidR="00202A4A" w:rsidRDefault="00202A4A"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Considerou-se</w:t>
      </w:r>
      <w:r w:rsidR="00645A50">
        <w:rPr>
          <w:rFonts w:ascii="Times New Roman" w:hAnsi="Times New Roman" w:cs="Times New Roman"/>
          <w:sz w:val="24"/>
          <w:szCs w:val="24"/>
        </w:rPr>
        <w:t xml:space="preserve"> que na Campanha a produção vitivinícola incrementa o meio rural </w:t>
      </w:r>
      <w:r w:rsidR="00CB1DA8">
        <w:rPr>
          <w:rFonts w:ascii="Times New Roman" w:hAnsi="Times New Roman" w:cs="Times New Roman"/>
          <w:sz w:val="24"/>
          <w:szCs w:val="24"/>
        </w:rPr>
        <w:t xml:space="preserve">como </w:t>
      </w:r>
      <w:r w:rsidR="00645A50">
        <w:rPr>
          <w:rFonts w:ascii="Times New Roman" w:hAnsi="Times New Roman" w:cs="Times New Roman"/>
          <w:sz w:val="24"/>
          <w:szCs w:val="24"/>
        </w:rPr>
        <w:t xml:space="preserve">uma atividade </w:t>
      </w:r>
      <w:r>
        <w:rPr>
          <w:rFonts w:ascii="Times New Roman" w:hAnsi="Times New Roman" w:cs="Times New Roman"/>
          <w:sz w:val="24"/>
          <w:szCs w:val="24"/>
        </w:rPr>
        <w:t xml:space="preserve">inovadora, porém o processo de vinificação </w:t>
      </w:r>
      <w:r w:rsidR="00645A50">
        <w:rPr>
          <w:rFonts w:ascii="Times New Roman" w:hAnsi="Times New Roman" w:cs="Times New Roman"/>
          <w:sz w:val="24"/>
          <w:szCs w:val="24"/>
        </w:rPr>
        <w:t xml:space="preserve">que é onde </w:t>
      </w:r>
      <w:r>
        <w:rPr>
          <w:rFonts w:ascii="Times New Roman" w:hAnsi="Times New Roman" w:cs="Times New Roman"/>
          <w:sz w:val="24"/>
          <w:szCs w:val="24"/>
        </w:rPr>
        <w:t>tem-se a</w:t>
      </w:r>
      <w:r w:rsidR="00645A50">
        <w:rPr>
          <w:rFonts w:ascii="Times New Roman" w:hAnsi="Times New Roman" w:cs="Times New Roman"/>
          <w:sz w:val="24"/>
          <w:szCs w:val="24"/>
        </w:rPr>
        <w:t xml:space="preserve"> maior </w:t>
      </w:r>
      <w:r>
        <w:rPr>
          <w:rFonts w:ascii="Times New Roman" w:hAnsi="Times New Roman" w:cs="Times New Roman"/>
          <w:sz w:val="24"/>
          <w:szCs w:val="24"/>
        </w:rPr>
        <w:t>agregação de valor ao</w:t>
      </w:r>
      <w:r w:rsidR="00645A50">
        <w:rPr>
          <w:rFonts w:ascii="Times New Roman" w:hAnsi="Times New Roman" w:cs="Times New Roman"/>
          <w:sz w:val="24"/>
          <w:szCs w:val="24"/>
        </w:rPr>
        <w:t xml:space="preserve"> produto</w:t>
      </w:r>
      <w:r>
        <w:rPr>
          <w:rFonts w:ascii="Times New Roman" w:hAnsi="Times New Roman" w:cs="Times New Roman"/>
          <w:sz w:val="24"/>
          <w:szCs w:val="24"/>
        </w:rPr>
        <w:t xml:space="preserve">, esse </w:t>
      </w:r>
      <w:r w:rsidR="00645A50">
        <w:rPr>
          <w:rFonts w:ascii="Times New Roman" w:hAnsi="Times New Roman" w:cs="Times New Roman"/>
          <w:sz w:val="24"/>
          <w:szCs w:val="24"/>
        </w:rPr>
        <w:t xml:space="preserve">é feito em boa parte fora da região </w:t>
      </w:r>
      <w:r>
        <w:rPr>
          <w:rFonts w:ascii="Times New Roman" w:hAnsi="Times New Roman" w:cs="Times New Roman"/>
          <w:sz w:val="24"/>
          <w:szCs w:val="24"/>
        </w:rPr>
        <w:t>(em geral na sede industrial da vinícola na Serra) considera-se esse procedimento como</w:t>
      </w:r>
      <w:r w:rsidR="00645A50">
        <w:rPr>
          <w:rFonts w:ascii="Times New Roman" w:hAnsi="Times New Roman" w:cs="Times New Roman"/>
          <w:sz w:val="24"/>
          <w:szCs w:val="24"/>
        </w:rPr>
        <w:t xml:space="preserve"> uma fuga de renda</w:t>
      </w:r>
      <w:r>
        <w:rPr>
          <w:rFonts w:ascii="Times New Roman" w:hAnsi="Times New Roman" w:cs="Times New Roman"/>
          <w:sz w:val="24"/>
          <w:szCs w:val="24"/>
        </w:rPr>
        <w:t xml:space="preserve"> da região produtora em detrimento de outra</w:t>
      </w:r>
      <w:r w:rsidR="00645A50">
        <w:rPr>
          <w:rFonts w:ascii="Times New Roman" w:hAnsi="Times New Roman" w:cs="Times New Roman"/>
          <w:sz w:val="24"/>
          <w:szCs w:val="24"/>
        </w:rPr>
        <w:t xml:space="preserve">. </w:t>
      </w:r>
    </w:p>
    <w:p w:rsidR="00645A50"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estrutura</w:t>
      </w:r>
      <w:r w:rsidR="00202A4A">
        <w:rPr>
          <w:rFonts w:ascii="Times New Roman" w:hAnsi="Times New Roman" w:cs="Times New Roman"/>
          <w:sz w:val="24"/>
          <w:szCs w:val="24"/>
        </w:rPr>
        <w:t xml:space="preserve"> produtiva</w:t>
      </w:r>
      <w:r>
        <w:rPr>
          <w:rFonts w:ascii="Times New Roman" w:hAnsi="Times New Roman" w:cs="Times New Roman"/>
          <w:sz w:val="24"/>
          <w:szCs w:val="24"/>
        </w:rPr>
        <w:t xml:space="preserve"> é diferencia</w:t>
      </w:r>
      <w:r w:rsidR="00202A4A">
        <w:rPr>
          <w:rFonts w:ascii="Times New Roman" w:hAnsi="Times New Roman" w:cs="Times New Roman"/>
          <w:sz w:val="24"/>
          <w:szCs w:val="24"/>
        </w:rPr>
        <w:t>da em ambas as regiões no</w:t>
      </w:r>
      <w:r w:rsidR="00F4068E">
        <w:rPr>
          <w:rFonts w:ascii="Times New Roman" w:hAnsi="Times New Roman" w:cs="Times New Roman"/>
          <w:sz w:val="24"/>
          <w:szCs w:val="24"/>
        </w:rPr>
        <w:t xml:space="preserve"> que</w:t>
      </w:r>
      <w:r w:rsidR="00202A4A">
        <w:rPr>
          <w:rFonts w:ascii="Times New Roman" w:hAnsi="Times New Roman" w:cs="Times New Roman"/>
          <w:sz w:val="24"/>
          <w:szCs w:val="24"/>
        </w:rPr>
        <w:t xml:space="preserve"> diz respeito</w:t>
      </w:r>
      <w:r>
        <w:rPr>
          <w:rFonts w:ascii="Times New Roman" w:hAnsi="Times New Roman" w:cs="Times New Roman"/>
          <w:sz w:val="24"/>
          <w:szCs w:val="24"/>
        </w:rPr>
        <w:t xml:space="preserve"> ao tamanho das pro</w:t>
      </w:r>
      <w:r w:rsidR="00202A4A">
        <w:rPr>
          <w:rFonts w:ascii="Times New Roman" w:hAnsi="Times New Roman" w:cs="Times New Roman"/>
          <w:sz w:val="24"/>
          <w:szCs w:val="24"/>
        </w:rPr>
        <w:t>priedades e condições adafoclimáticas</w:t>
      </w:r>
      <w:r w:rsidR="00AE527E">
        <w:rPr>
          <w:rFonts w:ascii="Times New Roman" w:hAnsi="Times New Roman" w:cs="Times New Roman"/>
          <w:sz w:val="24"/>
          <w:szCs w:val="24"/>
        </w:rPr>
        <w:t xml:space="preserve"> e reconhecimento dos produtos.</w:t>
      </w:r>
    </w:p>
    <w:p w:rsidR="0007294C" w:rsidRDefault="0007294C"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atribuição à</w:t>
      </w:r>
      <w:r w:rsidR="00645A50">
        <w:rPr>
          <w:rFonts w:ascii="Times New Roman" w:hAnsi="Times New Roman" w:cs="Times New Roman"/>
          <w:sz w:val="24"/>
          <w:szCs w:val="24"/>
        </w:rPr>
        <w:t xml:space="preserve">s indicações geográficas </w:t>
      </w:r>
      <w:r>
        <w:rPr>
          <w:rFonts w:ascii="Times New Roman" w:hAnsi="Times New Roman" w:cs="Times New Roman"/>
          <w:sz w:val="24"/>
          <w:szCs w:val="24"/>
        </w:rPr>
        <w:t>de que estas contribuem n</w:t>
      </w:r>
      <w:r w:rsidR="00645A50">
        <w:rPr>
          <w:rFonts w:ascii="Times New Roman" w:hAnsi="Times New Roman" w:cs="Times New Roman"/>
          <w:sz w:val="24"/>
          <w:szCs w:val="24"/>
        </w:rPr>
        <w:t xml:space="preserve">o desenvolvimento do território que as abriga pode ser observado </w:t>
      </w:r>
      <w:r>
        <w:rPr>
          <w:rFonts w:ascii="Times New Roman" w:hAnsi="Times New Roman" w:cs="Times New Roman"/>
          <w:sz w:val="24"/>
          <w:szCs w:val="24"/>
        </w:rPr>
        <w:t>na forte relação destas com os seus produtos e a associação de especificidade criada pelo território delimitado e reconhecido.</w:t>
      </w:r>
    </w:p>
    <w:p w:rsidR="00645A50" w:rsidRDefault="00645A50" w:rsidP="00645A5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Também é atribuído as indicações geográficas o aumento no preço das terras, essa condição pode ser favorável pela ótica econômica do ganho de patrimônio, no entanto, a condição de reprodução é questionável pois torna os meio</w:t>
      </w:r>
      <w:r w:rsidR="00F4068E">
        <w:rPr>
          <w:rFonts w:ascii="Times New Roman" w:hAnsi="Times New Roman" w:cs="Times New Roman"/>
          <w:sz w:val="24"/>
          <w:szCs w:val="24"/>
        </w:rPr>
        <w:t>s</w:t>
      </w:r>
      <w:r>
        <w:rPr>
          <w:rFonts w:ascii="Times New Roman" w:hAnsi="Times New Roman" w:cs="Times New Roman"/>
          <w:sz w:val="24"/>
          <w:szCs w:val="24"/>
        </w:rPr>
        <w:t xml:space="preserve"> de produção</w:t>
      </w:r>
      <w:r w:rsidR="0007294C">
        <w:rPr>
          <w:rFonts w:ascii="Times New Roman" w:hAnsi="Times New Roman" w:cs="Times New Roman"/>
          <w:sz w:val="24"/>
          <w:szCs w:val="24"/>
        </w:rPr>
        <w:t xml:space="preserve">, no caso da terra, </w:t>
      </w:r>
      <w:r>
        <w:rPr>
          <w:rFonts w:ascii="Times New Roman" w:hAnsi="Times New Roman" w:cs="Times New Roman"/>
          <w:sz w:val="24"/>
          <w:szCs w:val="24"/>
        </w:rPr>
        <w:t xml:space="preserve">muito caros, consequentemente, </w:t>
      </w:r>
      <w:r w:rsidR="00CA615D">
        <w:rPr>
          <w:rFonts w:ascii="Times New Roman" w:hAnsi="Times New Roman" w:cs="Times New Roman"/>
          <w:sz w:val="24"/>
          <w:szCs w:val="24"/>
        </w:rPr>
        <w:t xml:space="preserve">o custo de oportunidades </w:t>
      </w:r>
      <w:r>
        <w:rPr>
          <w:rFonts w:ascii="Times New Roman" w:hAnsi="Times New Roman" w:cs="Times New Roman"/>
          <w:sz w:val="24"/>
          <w:szCs w:val="24"/>
        </w:rPr>
        <w:t>cria outras opções de uso da terra que não seja efetivamente agrícola</w:t>
      </w:r>
      <w:r w:rsidR="00CA615D">
        <w:rPr>
          <w:rFonts w:ascii="Times New Roman" w:hAnsi="Times New Roman" w:cs="Times New Roman"/>
          <w:sz w:val="24"/>
          <w:szCs w:val="24"/>
        </w:rPr>
        <w:t xml:space="preserve"> e dedicada a vitivinicultura</w:t>
      </w:r>
      <w:r>
        <w:rPr>
          <w:rFonts w:ascii="Times New Roman" w:hAnsi="Times New Roman" w:cs="Times New Roman"/>
          <w:sz w:val="24"/>
          <w:szCs w:val="24"/>
        </w:rPr>
        <w:t xml:space="preserve">. </w:t>
      </w:r>
    </w:p>
    <w:p w:rsidR="00645A50" w:rsidRDefault="00645A50" w:rsidP="00645A50">
      <w:pPr>
        <w:spacing w:after="0" w:line="360" w:lineRule="auto"/>
        <w:jc w:val="both"/>
        <w:rPr>
          <w:rFonts w:ascii="Times New Roman" w:hAnsi="Times New Roman" w:cs="Times New Roman"/>
          <w:sz w:val="24"/>
          <w:szCs w:val="24"/>
        </w:rPr>
      </w:pPr>
    </w:p>
    <w:p w:rsidR="00645A50" w:rsidRDefault="00645A50" w:rsidP="00645A50">
      <w:pPr>
        <w:rPr>
          <w:rFonts w:ascii="Times New Roman" w:hAnsi="Times New Roman" w:cs="Times New Roman"/>
          <w:sz w:val="24"/>
          <w:szCs w:val="24"/>
          <w:lang w:val="en-US"/>
        </w:rPr>
      </w:pPr>
      <w:r w:rsidRPr="00623D95">
        <w:rPr>
          <w:rFonts w:ascii="Times New Roman" w:hAnsi="Times New Roman" w:cs="Times New Roman"/>
          <w:sz w:val="24"/>
          <w:szCs w:val="24"/>
          <w:lang w:val="en-US"/>
        </w:rPr>
        <w:t xml:space="preserve">REFERÊNCIAS </w:t>
      </w:r>
    </w:p>
    <w:p w:rsidR="007B2797" w:rsidRDefault="007B2797" w:rsidP="007B2797">
      <w:pPr>
        <w:spacing w:after="0" w:line="240" w:lineRule="auto"/>
        <w:rPr>
          <w:rFonts w:ascii="Times New Roman" w:hAnsi="Times New Roman" w:cs="Times New Roman"/>
          <w:sz w:val="24"/>
          <w:szCs w:val="24"/>
          <w:lang w:val="en-US"/>
        </w:rPr>
      </w:pPr>
    </w:p>
    <w:p w:rsidR="007424A1" w:rsidRPr="007E66C9" w:rsidRDefault="007E66C9" w:rsidP="007B2797">
      <w:pPr>
        <w:spacing w:after="0" w:line="240" w:lineRule="auto"/>
        <w:rPr>
          <w:rFonts w:ascii="Times New Roman" w:hAnsi="Times New Roman" w:cs="Times New Roman"/>
          <w:sz w:val="24"/>
          <w:szCs w:val="24"/>
        </w:rPr>
      </w:pPr>
      <w:r w:rsidRPr="007E66C9">
        <w:rPr>
          <w:rFonts w:ascii="Times New Roman" w:hAnsi="Times New Roman" w:cs="Times New Roman"/>
          <w:sz w:val="24"/>
          <w:szCs w:val="24"/>
        </w:rPr>
        <w:t xml:space="preserve">ANDRADA, D. C de. </w:t>
      </w:r>
      <w:r w:rsidRPr="007E66C9">
        <w:rPr>
          <w:rFonts w:ascii="Times New Roman" w:hAnsi="Times New Roman" w:cs="Times New Roman"/>
          <w:b/>
          <w:sz w:val="24"/>
          <w:szCs w:val="24"/>
        </w:rPr>
        <w:t>Sucesso no agronegócio: o caso da denominação de origem protegida Pessac-Léognan em Bordeaux-FR</w:t>
      </w:r>
      <w:r w:rsidRPr="007E66C9">
        <w:rPr>
          <w:rFonts w:ascii="Times New Roman" w:hAnsi="Times New Roman" w:cs="Times New Roman"/>
          <w:sz w:val="24"/>
          <w:szCs w:val="24"/>
        </w:rPr>
        <w:t>. Trabalho de Conclusão de Curso (Graduação em Ciências Econômicas) – Universidade Federal Rural de Pernambuco, Departamento de Economia, Recife, BR-PE, 2017</w:t>
      </w:r>
    </w:p>
    <w:p w:rsidR="007E66C9" w:rsidRPr="007E66C9" w:rsidRDefault="007E66C9" w:rsidP="007B2797">
      <w:pPr>
        <w:spacing w:after="0" w:line="240" w:lineRule="auto"/>
        <w:rPr>
          <w:rFonts w:ascii="Times New Roman" w:hAnsi="Times New Roman" w:cs="Times New Roman"/>
          <w:sz w:val="24"/>
          <w:szCs w:val="24"/>
        </w:rPr>
      </w:pPr>
    </w:p>
    <w:p w:rsidR="007B2797" w:rsidRPr="00B27BE4" w:rsidRDefault="007B2797" w:rsidP="007B2797">
      <w:pPr>
        <w:spacing w:after="0" w:line="240" w:lineRule="auto"/>
        <w:rPr>
          <w:rFonts w:ascii="Times New Roman" w:hAnsi="Times New Roman" w:cs="Times New Roman"/>
          <w:sz w:val="24"/>
          <w:szCs w:val="24"/>
        </w:rPr>
      </w:pPr>
      <w:r w:rsidRPr="007B2797">
        <w:rPr>
          <w:rFonts w:ascii="Times New Roman" w:hAnsi="Times New Roman" w:cs="Times New Roman"/>
          <w:sz w:val="24"/>
          <w:szCs w:val="24"/>
        </w:rPr>
        <w:t xml:space="preserve">DULLIUS, P, R; FROEHLICH, J. M;  VENDRUSCOLO; R. Identidade e Desenvolvimento Territorial – estudo das experiências de Indicações Geográficas no estado do RS. </w:t>
      </w:r>
      <w:r w:rsidR="00B27BE4" w:rsidRPr="00B27BE4">
        <w:rPr>
          <w:rFonts w:ascii="Times New Roman" w:hAnsi="Times New Roman" w:cs="Times New Roman"/>
          <w:b/>
          <w:sz w:val="24"/>
          <w:szCs w:val="24"/>
        </w:rPr>
        <w:t>Anais.</w:t>
      </w:r>
      <w:r w:rsidR="00B27BE4">
        <w:rPr>
          <w:rFonts w:ascii="Times New Roman" w:hAnsi="Times New Roman" w:cs="Times New Roman"/>
          <w:sz w:val="24"/>
          <w:szCs w:val="24"/>
        </w:rPr>
        <w:t xml:space="preserve">.. </w:t>
      </w:r>
      <w:r w:rsidRPr="00B27BE4">
        <w:rPr>
          <w:rFonts w:ascii="Times New Roman" w:hAnsi="Times New Roman" w:cs="Times New Roman"/>
          <w:sz w:val="24"/>
          <w:szCs w:val="24"/>
        </w:rPr>
        <w:t>XLVI Congresso da Sociedade Brasileira de Economia, Administração e Sociologia Rural (SOBER). Rio Branco – Acre, 20 a 23 de julho de 2008</w:t>
      </w:r>
    </w:p>
    <w:p w:rsidR="007B2797" w:rsidRPr="00B27BE4" w:rsidRDefault="007B2797" w:rsidP="007B2797">
      <w:pPr>
        <w:spacing w:after="0" w:line="240" w:lineRule="auto"/>
        <w:rPr>
          <w:rFonts w:ascii="Times New Roman" w:hAnsi="Times New Roman" w:cs="Times New Roman"/>
          <w:sz w:val="24"/>
          <w:szCs w:val="24"/>
        </w:rPr>
      </w:pPr>
    </w:p>
    <w:p w:rsidR="00645A50" w:rsidRDefault="00024509" w:rsidP="007B2797">
      <w:pPr>
        <w:spacing w:after="0" w:line="240" w:lineRule="auto"/>
        <w:rPr>
          <w:rFonts w:ascii="Times New Roman" w:hAnsi="Times New Roman"/>
          <w:sz w:val="24"/>
          <w:szCs w:val="24"/>
        </w:rPr>
      </w:pPr>
      <w:r w:rsidRPr="00B27BE4">
        <w:rPr>
          <w:rFonts w:ascii="Times New Roman" w:hAnsi="Times New Roman"/>
          <w:sz w:val="24"/>
          <w:szCs w:val="24"/>
        </w:rPr>
        <w:t>FACALDI, I</w:t>
      </w:r>
      <w:r w:rsidR="00645A50" w:rsidRPr="00B27BE4">
        <w:rPr>
          <w:rFonts w:ascii="Times New Roman" w:hAnsi="Times New Roman"/>
          <w:sz w:val="24"/>
          <w:szCs w:val="24"/>
        </w:rPr>
        <w:t xml:space="preserve">. </w:t>
      </w:r>
      <w:r w:rsidR="00645A50" w:rsidRPr="00B27BE4">
        <w:rPr>
          <w:rFonts w:ascii="Times New Roman" w:hAnsi="Times New Roman"/>
          <w:b/>
          <w:sz w:val="24"/>
          <w:szCs w:val="24"/>
        </w:rPr>
        <w:t xml:space="preserve">The geography of vine and wine industry in Brazil: </w:t>
      </w:r>
      <w:r w:rsidR="00645A50" w:rsidRPr="00B27BE4">
        <w:rPr>
          <w:rFonts w:ascii="Times New Roman" w:hAnsi="Times New Roman"/>
          <w:sz w:val="24"/>
          <w:szCs w:val="24"/>
        </w:rPr>
        <w:t xml:space="preserve">territory, culture and heritage. </w:t>
      </w:r>
      <w:r w:rsidR="00645A50" w:rsidRPr="00EA68DC">
        <w:rPr>
          <w:rFonts w:ascii="Times New Roman" w:hAnsi="Times New Roman"/>
          <w:sz w:val="24"/>
          <w:szCs w:val="24"/>
        </w:rPr>
        <w:t xml:space="preserve">39º Congresso Mundial da Uva e do Vinho – Organização Mundial da Uva e do Vinho (OIV). Bento Gonçalves, RS. 2016.  Disponível em: </w:t>
      </w:r>
      <w:hyperlink r:id="rId13" w:history="1">
        <w:r w:rsidR="00645A50" w:rsidRPr="00EA68DC">
          <w:rPr>
            <w:rStyle w:val="Hyperlink"/>
            <w:rFonts w:ascii="Times New Roman" w:hAnsi="Times New Roman"/>
            <w:sz w:val="24"/>
            <w:szCs w:val="24"/>
          </w:rPr>
          <w:t>http://www.oiv2016.org.br/anais-do-congresso/_source/lista_area_O_12.htm</w:t>
        </w:r>
      </w:hyperlink>
      <w:r w:rsidR="00645A50" w:rsidRPr="00EA68DC">
        <w:rPr>
          <w:rFonts w:ascii="Times New Roman" w:hAnsi="Times New Roman"/>
          <w:sz w:val="24"/>
          <w:szCs w:val="24"/>
        </w:rPr>
        <w:t xml:space="preserve">. </w:t>
      </w:r>
      <w:r w:rsidR="00645A50" w:rsidRPr="003C7CC1">
        <w:rPr>
          <w:rFonts w:ascii="Times New Roman" w:hAnsi="Times New Roman"/>
          <w:sz w:val="24"/>
          <w:szCs w:val="24"/>
        </w:rPr>
        <w:t>Acesso em novembro de 2017.</w:t>
      </w:r>
    </w:p>
    <w:p w:rsidR="00F478F2" w:rsidRPr="003C7CC1" w:rsidRDefault="00F478F2" w:rsidP="00070046">
      <w:pPr>
        <w:spacing w:after="0" w:line="240" w:lineRule="auto"/>
        <w:rPr>
          <w:rFonts w:ascii="Times New Roman" w:hAnsi="Times New Roman"/>
          <w:sz w:val="24"/>
          <w:szCs w:val="24"/>
        </w:rPr>
      </w:pPr>
    </w:p>
    <w:p w:rsidR="00645A50" w:rsidRDefault="00645A50" w:rsidP="00070046">
      <w:pPr>
        <w:spacing w:after="0" w:line="240" w:lineRule="auto"/>
        <w:rPr>
          <w:rFonts w:ascii="Times New Roman" w:hAnsi="Times New Roman"/>
          <w:sz w:val="24"/>
          <w:szCs w:val="24"/>
        </w:rPr>
      </w:pPr>
      <w:r w:rsidRPr="003C7CC1">
        <w:rPr>
          <w:rFonts w:ascii="Times New Roman" w:hAnsi="Times New Roman"/>
          <w:sz w:val="24"/>
          <w:szCs w:val="24"/>
        </w:rPr>
        <w:t xml:space="preserve">GAMA, F. C. B da. A nova geografia da produção vitivinícola do Brasil: concentração e desconcentração espacial. </w:t>
      </w:r>
      <w:r w:rsidRPr="003C7CC1">
        <w:rPr>
          <w:rFonts w:ascii="Times New Roman" w:hAnsi="Times New Roman"/>
          <w:b/>
          <w:sz w:val="24"/>
          <w:szCs w:val="24"/>
        </w:rPr>
        <w:t>Rev. Bras. Vitic. Enol</w:t>
      </w:r>
      <w:r w:rsidRPr="003C7CC1">
        <w:rPr>
          <w:rFonts w:ascii="Times New Roman" w:hAnsi="Times New Roman"/>
          <w:sz w:val="24"/>
          <w:szCs w:val="24"/>
        </w:rPr>
        <w:t xml:space="preserve">., n.10, p.156-165, 2018. Disponível em: </w:t>
      </w:r>
      <w:hyperlink r:id="rId14" w:history="1">
        <w:r w:rsidRPr="004D2261">
          <w:rPr>
            <w:rStyle w:val="Hyperlink"/>
            <w:rFonts w:ascii="Times New Roman" w:hAnsi="Times New Roman"/>
            <w:sz w:val="24"/>
            <w:szCs w:val="24"/>
          </w:rPr>
          <w:t>https://www.enologia.org.br/default/uploads/revista/revista81.pdf?b777b58003c4424db002db387930ec91</w:t>
        </w:r>
      </w:hyperlink>
      <w:r w:rsidRPr="003C7CC1">
        <w:rPr>
          <w:rFonts w:ascii="Times New Roman" w:hAnsi="Times New Roman"/>
          <w:sz w:val="24"/>
          <w:szCs w:val="24"/>
        </w:rPr>
        <w:t>.</w:t>
      </w:r>
    </w:p>
    <w:p w:rsidR="00F478F2" w:rsidRPr="003C7CC1" w:rsidRDefault="00F478F2" w:rsidP="00070046">
      <w:pPr>
        <w:spacing w:after="0" w:line="240" w:lineRule="auto"/>
        <w:rPr>
          <w:rFonts w:ascii="Times New Roman" w:hAnsi="Times New Roman" w:cs="Times New Roman"/>
          <w:sz w:val="24"/>
          <w:szCs w:val="24"/>
        </w:rPr>
      </w:pPr>
    </w:p>
    <w:p w:rsidR="00645A50" w:rsidRDefault="00024509" w:rsidP="00070046">
      <w:pPr>
        <w:spacing w:after="0" w:line="240" w:lineRule="auto"/>
        <w:rPr>
          <w:rFonts w:ascii="Times New Roman" w:hAnsi="Times New Roman" w:cs="Times New Roman"/>
          <w:sz w:val="24"/>
          <w:szCs w:val="24"/>
        </w:rPr>
      </w:pPr>
      <w:r>
        <w:rPr>
          <w:rFonts w:ascii="Times New Roman" w:hAnsi="Times New Roman" w:cs="Times New Roman"/>
          <w:sz w:val="24"/>
          <w:szCs w:val="24"/>
        </w:rPr>
        <w:t>JEZIORNY, D. L</w:t>
      </w:r>
      <w:r w:rsidR="00645A50" w:rsidRPr="00E30A70">
        <w:rPr>
          <w:rFonts w:ascii="Times New Roman" w:hAnsi="Times New Roman" w:cs="Times New Roman"/>
          <w:sz w:val="24"/>
          <w:szCs w:val="24"/>
        </w:rPr>
        <w:t>. O papel do progresso técnico na apropriação espacial e construção de territórios vitivinícolas</w:t>
      </w:r>
      <w:r w:rsidR="00645A50" w:rsidRPr="00E30A70">
        <w:rPr>
          <w:rFonts w:ascii="Times New Roman" w:hAnsi="Times New Roman" w:cs="Times New Roman"/>
          <w:i/>
          <w:sz w:val="24"/>
          <w:szCs w:val="24"/>
        </w:rPr>
        <w:t xml:space="preserve">. </w:t>
      </w:r>
      <w:r w:rsidR="00645A50" w:rsidRPr="002D3F51">
        <w:rPr>
          <w:rFonts w:ascii="Times New Roman" w:hAnsi="Times New Roman" w:cs="Times New Roman"/>
          <w:b/>
          <w:i/>
          <w:sz w:val="24"/>
          <w:szCs w:val="24"/>
        </w:rPr>
        <w:t>Anais.</w:t>
      </w:r>
      <w:r w:rsidR="00645A50" w:rsidRPr="00E30A70">
        <w:rPr>
          <w:rFonts w:ascii="Times New Roman" w:hAnsi="Times New Roman" w:cs="Times New Roman"/>
          <w:i/>
          <w:sz w:val="24"/>
          <w:szCs w:val="24"/>
        </w:rPr>
        <w:t>..</w:t>
      </w:r>
      <w:r w:rsidR="00645A50" w:rsidRPr="00E30A70">
        <w:rPr>
          <w:rFonts w:ascii="Times New Roman" w:hAnsi="Times New Roman" w:cs="Times New Roman"/>
          <w:sz w:val="24"/>
          <w:szCs w:val="24"/>
        </w:rPr>
        <w:t xml:space="preserve"> 53 Congresso SOBER - Sociedade Brasileira de Economia, Administração e Sociologia Rural.  João Pessoa - PB, 26 a 29 de julho de 2015 </w:t>
      </w:r>
    </w:p>
    <w:p w:rsidR="00F478F2" w:rsidRPr="00E30A70" w:rsidRDefault="00F478F2" w:rsidP="00070046">
      <w:pPr>
        <w:spacing w:after="0" w:line="240" w:lineRule="auto"/>
        <w:rPr>
          <w:rFonts w:ascii="Times New Roman" w:hAnsi="Times New Roman" w:cs="Times New Roman"/>
          <w:sz w:val="24"/>
          <w:szCs w:val="24"/>
        </w:rPr>
      </w:pPr>
    </w:p>
    <w:p w:rsidR="00645A50" w:rsidRDefault="00024509" w:rsidP="00070046">
      <w:pPr>
        <w:spacing w:after="0" w:line="240" w:lineRule="auto"/>
      </w:pPr>
      <w:r>
        <w:rPr>
          <w:rFonts w:ascii="Times New Roman" w:hAnsi="Times New Roman" w:cs="Times New Roman"/>
          <w:sz w:val="24"/>
          <w:szCs w:val="24"/>
        </w:rPr>
        <w:t>MAIORKI, G. J.; DALLABRIDA, V. R</w:t>
      </w:r>
      <w:r w:rsidR="00645A50" w:rsidRPr="00E441F5">
        <w:rPr>
          <w:rFonts w:ascii="Times New Roman" w:hAnsi="Times New Roman" w:cs="Times New Roman"/>
          <w:sz w:val="24"/>
          <w:szCs w:val="24"/>
        </w:rPr>
        <w:t xml:space="preserve">. A indicação geográfica de produtos: um estudo sobre sua contribuição econômica no desenvolvimento territorial. </w:t>
      </w:r>
      <w:r w:rsidR="00645A50" w:rsidRPr="00E441F5">
        <w:rPr>
          <w:rFonts w:ascii="Times New Roman" w:hAnsi="Times New Roman" w:cs="Times New Roman"/>
          <w:i/>
          <w:sz w:val="24"/>
          <w:szCs w:val="24"/>
        </w:rPr>
        <w:t>INTERAÇÕES</w:t>
      </w:r>
      <w:r w:rsidR="00645A50" w:rsidRPr="00E441F5">
        <w:rPr>
          <w:rFonts w:ascii="Times New Roman" w:hAnsi="Times New Roman" w:cs="Times New Roman"/>
          <w:sz w:val="24"/>
          <w:szCs w:val="24"/>
        </w:rPr>
        <w:t>, Campo Grande, v. 16, n. 1, p. 13-25, jan./jun. 2015</w:t>
      </w:r>
      <w:r w:rsidR="00645A50">
        <w:rPr>
          <w:rFonts w:ascii="Times New Roman" w:hAnsi="Times New Roman" w:cs="Times New Roman"/>
          <w:sz w:val="24"/>
          <w:szCs w:val="24"/>
        </w:rPr>
        <w:t xml:space="preserve">. </w:t>
      </w:r>
      <w:r w:rsidR="00645A50" w:rsidRPr="00E441F5">
        <w:rPr>
          <w:rFonts w:ascii="Times New Roman" w:hAnsi="Times New Roman" w:cs="Times New Roman"/>
          <w:sz w:val="24"/>
          <w:szCs w:val="24"/>
        </w:rPr>
        <w:t xml:space="preserve">DOI: </w:t>
      </w:r>
      <w:hyperlink r:id="rId15" w:history="1">
        <w:r w:rsidR="00645A50" w:rsidRPr="00126440">
          <w:rPr>
            <w:rStyle w:val="Hyperlink"/>
            <w:rFonts w:ascii="Times New Roman" w:hAnsi="Times New Roman" w:cs="Times New Roman"/>
            <w:sz w:val="24"/>
            <w:szCs w:val="24"/>
          </w:rPr>
          <w:t>http://dx.doi.org/10.1590/151870122015101</w:t>
        </w:r>
      </w:hyperlink>
    </w:p>
    <w:p w:rsidR="00F478F2" w:rsidRDefault="00F478F2" w:rsidP="00070046">
      <w:pPr>
        <w:autoSpaceDE w:val="0"/>
        <w:autoSpaceDN w:val="0"/>
        <w:adjustRightInd w:val="0"/>
        <w:spacing w:after="0" w:line="240" w:lineRule="auto"/>
        <w:rPr>
          <w:rFonts w:ascii="Times New Roman" w:hAnsi="Times New Roman"/>
          <w:sz w:val="24"/>
          <w:szCs w:val="24"/>
        </w:rPr>
      </w:pPr>
    </w:p>
    <w:p w:rsidR="00645A50" w:rsidRPr="00BB67C5" w:rsidRDefault="00645A50" w:rsidP="00070046">
      <w:pPr>
        <w:autoSpaceDE w:val="0"/>
        <w:autoSpaceDN w:val="0"/>
        <w:adjustRightInd w:val="0"/>
        <w:spacing w:after="0" w:line="240" w:lineRule="auto"/>
        <w:rPr>
          <w:rFonts w:ascii="Times New Roman" w:hAnsi="Times New Roman"/>
          <w:sz w:val="24"/>
          <w:szCs w:val="24"/>
        </w:rPr>
      </w:pPr>
      <w:r w:rsidRPr="00BB67C5">
        <w:rPr>
          <w:rFonts w:ascii="Times New Roman" w:hAnsi="Times New Roman"/>
          <w:sz w:val="24"/>
          <w:szCs w:val="24"/>
        </w:rPr>
        <w:t xml:space="preserve">MELLO, L. M. R de. </w:t>
      </w:r>
      <w:r w:rsidRPr="00BB67C5">
        <w:rPr>
          <w:rFonts w:ascii="Times New Roman" w:hAnsi="Times New Roman"/>
          <w:b/>
          <w:sz w:val="24"/>
          <w:szCs w:val="24"/>
        </w:rPr>
        <w:t>Comunicado técnico, 192</w:t>
      </w:r>
      <w:r w:rsidRPr="00BB67C5">
        <w:rPr>
          <w:rFonts w:ascii="Times New Roman" w:hAnsi="Times New Roman"/>
          <w:sz w:val="24"/>
          <w:szCs w:val="24"/>
        </w:rPr>
        <w:t xml:space="preserve">. Vitivinicultura brasileira: panorama 2015. Disponível em: </w:t>
      </w:r>
      <w:hyperlink r:id="rId16" w:history="1">
        <w:r w:rsidRPr="00BB67C5">
          <w:rPr>
            <w:rStyle w:val="Hyperlink"/>
            <w:rFonts w:ascii="Times New Roman" w:hAnsi="Times New Roman"/>
            <w:sz w:val="24"/>
            <w:szCs w:val="24"/>
          </w:rPr>
          <w:t>WWW.embrapa.br/uva-e-vinho</w:t>
        </w:r>
      </w:hyperlink>
      <w:r w:rsidRPr="00BB67C5">
        <w:rPr>
          <w:rFonts w:ascii="Times New Roman" w:hAnsi="Times New Roman"/>
          <w:sz w:val="24"/>
          <w:szCs w:val="24"/>
        </w:rPr>
        <w:t>. Acesso em: outubro de 2017.</w:t>
      </w:r>
    </w:p>
    <w:p w:rsidR="00F478F2" w:rsidRDefault="00F478F2" w:rsidP="00070046">
      <w:pPr>
        <w:autoSpaceDE w:val="0"/>
        <w:autoSpaceDN w:val="0"/>
        <w:adjustRightInd w:val="0"/>
        <w:spacing w:after="0" w:line="240" w:lineRule="auto"/>
        <w:rPr>
          <w:rFonts w:ascii="Times New Roman" w:hAnsi="Times New Roman"/>
          <w:sz w:val="24"/>
          <w:szCs w:val="24"/>
        </w:rPr>
      </w:pPr>
    </w:p>
    <w:p w:rsidR="00645A50" w:rsidRPr="00842D35" w:rsidRDefault="00645A50" w:rsidP="0007004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MELLO, L. M. R de</w:t>
      </w:r>
      <w:r w:rsidRPr="00BB67C5">
        <w:rPr>
          <w:rFonts w:ascii="Times New Roman" w:hAnsi="Times New Roman"/>
          <w:sz w:val="24"/>
          <w:szCs w:val="24"/>
        </w:rPr>
        <w:t xml:space="preserve">. </w:t>
      </w:r>
      <w:r w:rsidRPr="00BB67C5">
        <w:rPr>
          <w:rFonts w:ascii="Times New Roman" w:hAnsi="Times New Roman"/>
          <w:b/>
          <w:sz w:val="24"/>
          <w:szCs w:val="24"/>
        </w:rPr>
        <w:t>Cadastro vitícola do Rio Grande do Sul</w:t>
      </w:r>
      <w:r w:rsidRPr="00BB67C5">
        <w:rPr>
          <w:rFonts w:ascii="Times New Roman" w:hAnsi="Times New Roman"/>
          <w:sz w:val="24"/>
          <w:szCs w:val="24"/>
        </w:rPr>
        <w:t xml:space="preserve">: 2013 a 2015. Disponível em: </w:t>
      </w:r>
      <w:hyperlink r:id="rId17" w:history="1">
        <w:r w:rsidRPr="00BB67C5">
          <w:rPr>
            <w:rStyle w:val="Hyperlink"/>
            <w:rFonts w:ascii="Times New Roman" w:hAnsi="Times New Roman"/>
            <w:sz w:val="24"/>
            <w:szCs w:val="24"/>
          </w:rPr>
          <w:t>https://www.embrapa.br/uva-e-vinho/cadastro-viticola</w:t>
        </w:r>
      </w:hyperlink>
      <w:r w:rsidRPr="00BB67C5">
        <w:rPr>
          <w:rFonts w:ascii="Times New Roman" w:hAnsi="Times New Roman"/>
          <w:sz w:val="24"/>
          <w:szCs w:val="24"/>
        </w:rPr>
        <w:t xml:space="preserve"> . </w:t>
      </w:r>
      <w:r w:rsidRPr="00842D35">
        <w:rPr>
          <w:rFonts w:ascii="Times New Roman" w:hAnsi="Times New Roman"/>
          <w:sz w:val="24"/>
          <w:szCs w:val="24"/>
        </w:rPr>
        <w:t>Acesso em: outubro de 2017.</w:t>
      </w:r>
    </w:p>
    <w:p w:rsidR="00F478F2" w:rsidRDefault="00F478F2" w:rsidP="00070046">
      <w:pPr>
        <w:autoSpaceDE w:val="0"/>
        <w:autoSpaceDN w:val="0"/>
        <w:adjustRightInd w:val="0"/>
        <w:spacing w:after="0" w:line="240" w:lineRule="auto"/>
        <w:rPr>
          <w:rFonts w:ascii="Times New Roman" w:hAnsi="Times New Roman"/>
          <w:sz w:val="24"/>
          <w:szCs w:val="24"/>
        </w:rPr>
      </w:pPr>
    </w:p>
    <w:p w:rsidR="00645A50" w:rsidRPr="00842D35" w:rsidRDefault="00645A50" w:rsidP="00070046">
      <w:pPr>
        <w:autoSpaceDE w:val="0"/>
        <w:autoSpaceDN w:val="0"/>
        <w:adjustRightInd w:val="0"/>
        <w:spacing w:after="0" w:line="240" w:lineRule="auto"/>
        <w:rPr>
          <w:rFonts w:ascii="Times New Roman" w:hAnsi="Times New Roman"/>
          <w:sz w:val="24"/>
          <w:szCs w:val="24"/>
        </w:rPr>
      </w:pPr>
      <w:r w:rsidRPr="00D629D8">
        <w:rPr>
          <w:rFonts w:ascii="Times New Roman" w:hAnsi="Times New Roman"/>
          <w:sz w:val="24"/>
          <w:szCs w:val="24"/>
        </w:rPr>
        <w:t>NIEDERLE, P</w:t>
      </w:r>
      <w:r w:rsidR="00024509">
        <w:rPr>
          <w:rFonts w:ascii="Times New Roman" w:hAnsi="Times New Roman"/>
          <w:sz w:val="24"/>
          <w:szCs w:val="24"/>
        </w:rPr>
        <w:t>.</w:t>
      </w:r>
      <w:r w:rsidRPr="00D629D8">
        <w:rPr>
          <w:rFonts w:ascii="Times New Roman" w:hAnsi="Times New Roman"/>
          <w:sz w:val="24"/>
          <w:szCs w:val="24"/>
        </w:rPr>
        <w:t xml:space="preserve"> A. Compromissos para a qualidade: projetos de indicação geográfica para vinhos no Brasil e na França. </w:t>
      </w:r>
      <w:r w:rsidRPr="00D629D8">
        <w:rPr>
          <w:rFonts w:ascii="Times New Roman" w:hAnsi="Times New Roman"/>
          <w:b/>
          <w:sz w:val="24"/>
          <w:szCs w:val="24"/>
        </w:rPr>
        <w:t xml:space="preserve">Tese </w:t>
      </w:r>
      <w:r w:rsidRPr="00D629D8">
        <w:rPr>
          <w:rFonts w:ascii="Times New Roman" w:hAnsi="Times New Roman"/>
          <w:sz w:val="24"/>
          <w:szCs w:val="24"/>
        </w:rPr>
        <w:t xml:space="preserve">(doutorado) Programa de Pós-Graduação de Ciências Sociais em Desenvolvimento, Agricultura e Sociedade. Universidade Federal Rural do Rio de Janeiro, Instituto de Ciências Humanas e Sociais.  </w:t>
      </w:r>
      <w:r w:rsidRPr="00842D35">
        <w:rPr>
          <w:rFonts w:ascii="Times New Roman" w:hAnsi="Times New Roman"/>
          <w:sz w:val="24"/>
          <w:szCs w:val="24"/>
        </w:rPr>
        <w:t>Rio de Janeiro: 2011</w:t>
      </w:r>
    </w:p>
    <w:p w:rsidR="00F478F2" w:rsidRDefault="00F478F2" w:rsidP="00070046">
      <w:pPr>
        <w:autoSpaceDE w:val="0"/>
        <w:autoSpaceDN w:val="0"/>
        <w:adjustRightInd w:val="0"/>
        <w:spacing w:after="0" w:line="240" w:lineRule="auto"/>
        <w:rPr>
          <w:rFonts w:ascii="Times New Roman" w:hAnsi="Times New Roman"/>
          <w:sz w:val="24"/>
          <w:szCs w:val="24"/>
        </w:rPr>
      </w:pPr>
    </w:p>
    <w:p w:rsidR="00024509" w:rsidRPr="00024509" w:rsidRDefault="00024509" w:rsidP="00070046">
      <w:pPr>
        <w:autoSpaceDE w:val="0"/>
        <w:autoSpaceDN w:val="0"/>
        <w:adjustRightInd w:val="0"/>
        <w:spacing w:after="0" w:line="240" w:lineRule="auto"/>
        <w:rPr>
          <w:rFonts w:ascii="Times New Roman" w:hAnsi="Times New Roman" w:cs="Times New Roman"/>
          <w:sz w:val="24"/>
          <w:szCs w:val="24"/>
        </w:rPr>
      </w:pPr>
      <w:r w:rsidRPr="00024509">
        <w:rPr>
          <w:rFonts w:ascii="Times New Roman" w:hAnsi="Times New Roman" w:cs="Times New Roman"/>
          <w:sz w:val="24"/>
          <w:szCs w:val="24"/>
        </w:rPr>
        <w:t xml:space="preserve">PELLIN, V. Indicações Geográficas e desenvolvimento regional no Brasil: a atuação dos principais atores e suas metodologias de trabalho. </w:t>
      </w:r>
      <w:r w:rsidRPr="00024509">
        <w:rPr>
          <w:rFonts w:ascii="Times New Roman" w:hAnsi="Times New Roman" w:cs="Times New Roman"/>
          <w:b/>
          <w:sz w:val="24"/>
          <w:szCs w:val="24"/>
        </w:rPr>
        <w:t>INTERAÇÕES</w:t>
      </w:r>
      <w:r w:rsidRPr="00024509">
        <w:rPr>
          <w:rFonts w:ascii="Times New Roman" w:hAnsi="Times New Roman" w:cs="Times New Roman"/>
          <w:sz w:val="24"/>
          <w:szCs w:val="24"/>
        </w:rPr>
        <w:t>, Campo Grande, MS, v. 20, n. 1, p. 63-78, jan./mar. 2019</w:t>
      </w:r>
    </w:p>
    <w:p w:rsidR="00024509" w:rsidRPr="00024509" w:rsidRDefault="00024509" w:rsidP="00070046">
      <w:pPr>
        <w:autoSpaceDE w:val="0"/>
        <w:autoSpaceDN w:val="0"/>
        <w:adjustRightInd w:val="0"/>
        <w:spacing w:after="0" w:line="240" w:lineRule="auto"/>
        <w:rPr>
          <w:rFonts w:ascii="Times New Roman" w:hAnsi="Times New Roman" w:cs="Times New Roman"/>
          <w:sz w:val="24"/>
          <w:szCs w:val="24"/>
        </w:rPr>
      </w:pPr>
    </w:p>
    <w:p w:rsidR="00645A50" w:rsidRPr="00FE2FCF" w:rsidRDefault="00024509" w:rsidP="0007004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SCHNEIRDER, L</w:t>
      </w:r>
      <w:r w:rsidR="00645A50" w:rsidRPr="00FE2FCF">
        <w:rPr>
          <w:rFonts w:ascii="Times New Roman" w:hAnsi="Times New Roman"/>
          <w:sz w:val="24"/>
          <w:szCs w:val="24"/>
        </w:rPr>
        <w:t>. Dinâmica locacional da vitivinicultura:</w:t>
      </w:r>
      <w:r w:rsidR="00645A50">
        <w:rPr>
          <w:rFonts w:ascii="Times New Roman" w:hAnsi="Times New Roman"/>
          <w:sz w:val="24"/>
          <w:szCs w:val="24"/>
        </w:rPr>
        <w:t xml:space="preserve"> novas regiões do Rio Grande do Sul e Vale do São Francisco. Dissertação de mestrado. Escola Superior de Agricultura Luiz de Queiroz, Piracicaba, 2006.</w:t>
      </w:r>
    </w:p>
    <w:p w:rsidR="00F478F2" w:rsidRDefault="00F478F2" w:rsidP="00070046">
      <w:pPr>
        <w:spacing w:after="0" w:line="240" w:lineRule="auto"/>
        <w:rPr>
          <w:rFonts w:ascii="Times New Roman" w:hAnsi="Times New Roman"/>
          <w:sz w:val="24"/>
          <w:szCs w:val="24"/>
        </w:rPr>
      </w:pPr>
    </w:p>
    <w:p w:rsidR="00645A50" w:rsidRPr="002D3F51" w:rsidRDefault="00645A50" w:rsidP="00070046">
      <w:pPr>
        <w:spacing w:after="0" w:line="240" w:lineRule="auto"/>
        <w:rPr>
          <w:rFonts w:ascii="Times New Roman" w:hAnsi="Times New Roman"/>
          <w:sz w:val="24"/>
          <w:szCs w:val="24"/>
        </w:rPr>
      </w:pPr>
      <w:r w:rsidRPr="002D3F51">
        <w:rPr>
          <w:rFonts w:ascii="Times New Roman" w:hAnsi="Times New Roman"/>
          <w:sz w:val="24"/>
          <w:szCs w:val="24"/>
        </w:rPr>
        <w:t xml:space="preserve">ORTEGA, A. C.; JEZIORNY, D. L. </w:t>
      </w:r>
      <w:r w:rsidRPr="002D3F51">
        <w:rPr>
          <w:rFonts w:ascii="Times New Roman" w:hAnsi="Times New Roman"/>
          <w:b/>
          <w:sz w:val="24"/>
          <w:szCs w:val="24"/>
        </w:rPr>
        <w:t>Vinho e território:</w:t>
      </w:r>
      <w:r w:rsidRPr="002D3F51">
        <w:rPr>
          <w:rFonts w:ascii="Times New Roman" w:hAnsi="Times New Roman"/>
          <w:sz w:val="24"/>
          <w:szCs w:val="24"/>
        </w:rPr>
        <w:t xml:space="preserve"> a experiência do Vale dos Vinhedos. Campinas, SP: Editora Alínea, 2011. </w:t>
      </w:r>
    </w:p>
    <w:p w:rsidR="00F478F2" w:rsidRDefault="00F478F2" w:rsidP="00070046">
      <w:pPr>
        <w:spacing w:after="0" w:line="240" w:lineRule="auto"/>
        <w:rPr>
          <w:rFonts w:ascii="Times New Roman" w:hAnsi="Times New Roman"/>
          <w:sz w:val="24"/>
          <w:szCs w:val="24"/>
        </w:rPr>
      </w:pPr>
    </w:p>
    <w:p w:rsidR="00645A50" w:rsidRPr="002D3F51" w:rsidRDefault="00645A50" w:rsidP="00070046">
      <w:pPr>
        <w:spacing w:after="0" w:line="240" w:lineRule="auto"/>
        <w:rPr>
          <w:rFonts w:ascii="Times New Roman" w:hAnsi="Times New Roman"/>
          <w:sz w:val="24"/>
          <w:szCs w:val="24"/>
        </w:rPr>
      </w:pPr>
      <w:r w:rsidRPr="002D3F51">
        <w:rPr>
          <w:rFonts w:ascii="Times New Roman" w:hAnsi="Times New Roman"/>
          <w:sz w:val="24"/>
          <w:szCs w:val="24"/>
        </w:rPr>
        <w:t xml:space="preserve">PIZZOL, D. R.; SOUSA, S. I de. </w:t>
      </w:r>
      <w:r w:rsidRPr="002D3F51">
        <w:rPr>
          <w:rFonts w:ascii="Times New Roman" w:hAnsi="Times New Roman"/>
          <w:b/>
          <w:sz w:val="24"/>
          <w:szCs w:val="24"/>
        </w:rPr>
        <w:t>Memórias do vinho gaúcho.</w:t>
      </w:r>
      <w:r w:rsidRPr="002D3F51">
        <w:rPr>
          <w:rFonts w:ascii="Times New Roman" w:hAnsi="Times New Roman"/>
          <w:sz w:val="24"/>
          <w:szCs w:val="24"/>
        </w:rPr>
        <w:t xml:space="preserve"> 1 ed. Porto Alegre, RS: AGE, 1vol.:280p., 2014a. </w:t>
      </w:r>
    </w:p>
    <w:p w:rsidR="00F478F2" w:rsidRDefault="00F478F2" w:rsidP="00070046">
      <w:pPr>
        <w:spacing w:after="0" w:line="240" w:lineRule="auto"/>
        <w:rPr>
          <w:rFonts w:ascii="Times New Roman" w:hAnsi="Times New Roman" w:cs="Times New Roman"/>
          <w:sz w:val="24"/>
          <w:szCs w:val="24"/>
        </w:rPr>
      </w:pPr>
    </w:p>
    <w:p w:rsidR="00645A50" w:rsidRPr="00645A50" w:rsidRDefault="00024509" w:rsidP="00070046">
      <w:pPr>
        <w:spacing w:after="0" w:line="240" w:lineRule="auto"/>
        <w:rPr>
          <w:lang w:val="en-US"/>
        </w:rPr>
      </w:pPr>
      <w:r>
        <w:rPr>
          <w:rFonts w:ascii="Times New Roman" w:hAnsi="Times New Roman" w:cs="Times New Roman"/>
          <w:sz w:val="24"/>
          <w:szCs w:val="24"/>
        </w:rPr>
        <w:t>VEIGA, J. E</w:t>
      </w:r>
      <w:r w:rsidR="00645A50" w:rsidRPr="000013B1">
        <w:rPr>
          <w:rFonts w:ascii="Times New Roman" w:hAnsi="Times New Roman" w:cs="Times New Roman"/>
          <w:sz w:val="24"/>
          <w:szCs w:val="24"/>
        </w:rPr>
        <w:t xml:space="preserve"> da. A face territorial do desenvolvimento. </w:t>
      </w:r>
      <w:r w:rsidR="00645A50" w:rsidRPr="002D3F51">
        <w:rPr>
          <w:rFonts w:ascii="Times New Roman" w:hAnsi="Times New Roman" w:cs="Times New Roman"/>
          <w:b/>
          <w:sz w:val="24"/>
          <w:szCs w:val="24"/>
        </w:rPr>
        <w:t>INTERAÇÕES</w:t>
      </w:r>
      <w:r w:rsidR="00645A50">
        <w:rPr>
          <w:rFonts w:ascii="Times New Roman" w:hAnsi="Times New Roman" w:cs="Times New Roman"/>
          <w:i/>
          <w:sz w:val="24"/>
          <w:szCs w:val="24"/>
        </w:rPr>
        <w:t xml:space="preserve">. </w:t>
      </w:r>
      <w:r w:rsidR="00645A50" w:rsidRPr="000013B1">
        <w:rPr>
          <w:rFonts w:ascii="Times New Roman" w:hAnsi="Times New Roman" w:cs="Times New Roman"/>
          <w:sz w:val="24"/>
          <w:szCs w:val="24"/>
        </w:rPr>
        <w:t xml:space="preserve">Revista Internacional de Desenvolvimento Local. </w:t>
      </w:r>
      <w:r w:rsidR="00645A50" w:rsidRPr="00645A50">
        <w:rPr>
          <w:rFonts w:ascii="Times New Roman" w:hAnsi="Times New Roman" w:cs="Times New Roman"/>
          <w:sz w:val="24"/>
          <w:szCs w:val="24"/>
          <w:lang w:val="en-US"/>
        </w:rPr>
        <w:t xml:space="preserve">Vol. 3, N. 5, p. 5-19, Set. 2002. </w:t>
      </w:r>
      <w:r w:rsidR="00645A50" w:rsidRPr="00645A50">
        <w:rPr>
          <w:rStyle w:val="label"/>
          <w:rFonts w:ascii="Times New Roman" w:hAnsi="Times New Roman" w:cs="Times New Roman"/>
          <w:bCs/>
          <w:sz w:val="24"/>
          <w:szCs w:val="24"/>
          <w:shd w:val="clear" w:color="auto" w:fill="FFFFFF"/>
          <w:lang w:val="en-US"/>
        </w:rPr>
        <w:t>DOI</w:t>
      </w:r>
      <w:r w:rsidR="00645A50" w:rsidRPr="00645A50">
        <w:rPr>
          <w:rStyle w:val="label"/>
          <w:rFonts w:ascii="Times New Roman" w:hAnsi="Times New Roman" w:cs="Times New Roman"/>
          <w:b/>
          <w:bCs/>
          <w:sz w:val="24"/>
          <w:szCs w:val="24"/>
          <w:shd w:val="clear" w:color="auto" w:fill="FFFFFF"/>
          <w:lang w:val="en-US"/>
        </w:rPr>
        <w:t xml:space="preserve">: </w:t>
      </w:r>
      <w:hyperlink r:id="rId18" w:history="1">
        <w:r w:rsidR="00645A50" w:rsidRPr="00645A50">
          <w:rPr>
            <w:rStyle w:val="Hyperlink"/>
            <w:rFonts w:ascii="Times New Roman" w:hAnsi="Times New Roman" w:cs="Times New Roman"/>
            <w:color w:val="0070C0"/>
            <w:sz w:val="24"/>
            <w:szCs w:val="24"/>
            <w:lang w:val="en-US"/>
          </w:rPr>
          <w:t>https://doi.org/10.20435/interacoes.v3i5.565</w:t>
        </w:r>
      </w:hyperlink>
    </w:p>
    <w:p w:rsidR="0088538F" w:rsidRPr="00645A50" w:rsidRDefault="0088538F">
      <w:pPr>
        <w:tabs>
          <w:tab w:val="left" w:pos="4820"/>
        </w:tabs>
        <w:spacing w:after="0" w:line="360" w:lineRule="auto"/>
        <w:jc w:val="both"/>
        <w:rPr>
          <w:rFonts w:ascii="Times New Roman" w:hAnsi="Times New Roman" w:cs="Times New Roman"/>
          <w:sz w:val="24"/>
          <w:szCs w:val="24"/>
          <w:lang w:val="en-US"/>
        </w:rPr>
      </w:pPr>
    </w:p>
    <w:sectPr w:rsidR="0088538F" w:rsidRPr="00645A50" w:rsidSect="0088538F">
      <w:headerReference w:type="default" r:id="rId19"/>
      <w:footerReference w:type="default" r:id="rId20"/>
      <w:pgSz w:w="11906" w:h="16838"/>
      <w:pgMar w:top="1701" w:right="1134" w:bottom="1134" w:left="1701" w:header="85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B0A" w:rsidRDefault="00A52B0A">
      <w:pPr>
        <w:spacing w:line="240" w:lineRule="auto"/>
      </w:pPr>
      <w:r>
        <w:separator/>
      </w:r>
    </w:p>
  </w:endnote>
  <w:endnote w:type="continuationSeparator" w:id="1">
    <w:p w:rsidR="00A52B0A" w:rsidRDefault="00A52B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8F" w:rsidRDefault="00455E98">
    <w:pPr>
      <w:pStyle w:val="Rodap"/>
      <w:jc w:val="both"/>
      <w:rPr>
        <w:rFonts w:ascii="Times New Roman" w:hAnsi="Times New Roman" w:cs="Times New Roman"/>
        <w:sz w:val="20"/>
        <w:szCs w:val="20"/>
      </w:rPr>
    </w:pPr>
    <w:r w:rsidRPr="00455E98">
      <w:pict>
        <v:line id="_x0000_s1027" style="position:absolute;left:0;text-align:left;z-index:-251655168;mso-position-horizontal-relative:margin" from="-43.15pt,12pt" to="469.1pt,12.75pt"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strokecolor="#00b050" strokeweight=".5pt">
          <v:stroke joinstyle="miter"/>
          <w10:wrap anchorx="margin"/>
        </v:line>
      </w:pict>
    </w:r>
  </w:p>
  <w:p w:rsidR="0088538F" w:rsidRDefault="0088538F">
    <w:pPr>
      <w:pStyle w:val="Rodap"/>
      <w:jc w:val="both"/>
      <w:rPr>
        <w:rFonts w:ascii="Times New Roman" w:hAnsi="Times New Roman" w:cs="Times New Roman"/>
        <w:sz w:val="20"/>
        <w:szCs w:val="20"/>
      </w:rPr>
    </w:pPr>
  </w:p>
  <w:p w:rsidR="0088538F" w:rsidRDefault="00534E6C">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rsidR="0088538F" w:rsidRDefault="0088538F">
    <w:pPr>
      <w:pStyle w:val="Rodap"/>
      <w:jc w:val="both"/>
      <w:rPr>
        <w:rFonts w:ascii="Times New Roman" w:hAnsi="Times New Roman" w:cs="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B0A" w:rsidRDefault="00A52B0A">
      <w:pPr>
        <w:spacing w:after="0"/>
      </w:pPr>
      <w:r>
        <w:separator/>
      </w:r>
    </w:p>
  </w:footnote>
  <w:footnote w:type="continuationSeparator" w:id="1">
    <w:p w:rsidR="00A52B0A" w:rsidRDefault="00A52B0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8F" w:rsidRDefault="00455E98">
    <w:pPr>
      <w:pStyle w:val="Cabealho"/>
      <w:jc w:val="center"/>
    </w:pPr>
    <w:r w:rsidRPr="00455E98">
      <w:pict>
        <v:line id="_x0000_s1026" style="position:absolute;left:0;text-align:left;z-index:-251656192" from="-39pt,76.45pt" to="473.25pt,77.2pt"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strokecolor="#00b050" strokeweight=".5pt">
          <v:stroke joinstyle="miter"/>
        </v:line>
      </w:pict>
    </w:r>
    <w:r>
      <w:pict>
        <v:rect id="_x0000_s1028" style="width:24pt;height:24pt;mso-position-horizontal-relative:char;mso-position-vertical-relative:line"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filled="f" stroked="f">
          <o:lock v:ext="edit" aspectratio="t"/>
          <w10:wrap type="none"/>
          <w10:anchorlock/>
        </v:rect>
      </w:pict>
    </w:r>
    <w:r w:rsidR="00534E6C">
      <w:rPr>
        <w:noProof/>
        <w:lang w:val="en-US"/>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665150" cy="910425"/>
                  </a:xfrm>
                  <a:prstGeom prst="rect">
                    <a:avLst/>
                  </a:prstGeom>
                  <a:noFill/>
                  <a:ln>
                    <a:noFill/>
                  </a:ln>
                </pic:spPr>
              </pic:pic>
            </a:graphicData>
          </a:graphic>
        </wp:inline>
      </w:drawing>
    </w:r>
  </w:p>
  <w:p w:rsidR="0088538F" w:rsidRDefault="0088538F">
    <w:pPr>
      <w:pStyle w:val="Cabealho"/>
      <w:jc w:val="center"/>
    </w:pPr>
  </w:p>
  <w:p w:rsidR="0088538F" w:rsidRDefault="0088538F">
    <w:pPr>
      <w:pStyle w:val="Cabealho"/>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hdrShapeDefaults>
    <o:shapedefaults v:ext="edit" spidmax="7170"/>
    <o:shapelayout v:ext="edit">
      <o:idmap v:ext="edit" data="1"/>
    </o:shapelayout>
  </w:hdrShapeDefaults>
  <w:footnotePr>
    <w:footnote w:id="0"/>
    <w:footnote w:id="1"/>
  </w:footnotePr>
  <w:endnotePr>
    <w:endnote w:id="0"/>
    <w:endnote w:id="1"/>
  </w:endnotePr>
  <w:compat/>
  <w:rsids>
    <w:rsidRoot w:val="00036C01"/>
    <w:rsid w:val="00000143"/>
    <w:rsid w:val="0000124C"/>
    <w:rsid w:val="00024509"/>
    <w:rsid w:val="0002477F"/>
    <w:rsid w:val="00025257"/>
    <w:rsid w:val="00036C01"/>
    <w:rsid w:val="00054BF4"/>
    <w:rsid w:val="000652DA"/>
    <w:rsid w:val="00070046"/>
    <w:rsid w:val="0007294C"/>
    <w:rsid w:val="000829CC"/>
    <w:rsid w:val="00084C18"/>
    <w:rsid w:val="000909D0"/>
    <w:rsid w:val="000952AE"/>
    <w:rsid w:val="000F2C33"/>
    <w:rsid w:val="00156D9A"/>
    <w:rsid w:val="0017619A"/>
    <w:rsid w:val="00181570"/>
    <w:rsid w:val="001879E2"/>
    <w:rsid w:val="001D0D2D"/>
    <w:rsid w:val="001F73F7"/>
    <w:rsid w:val="0020086C"/>
    <w:rsid w:val="00202A4A"/>
    <w:rsid w:val="00206A92"/>
    <w:rsid w:val="00241841"/>
    <w:rsid w:val="00250B21"/>
    <w:rsid w:val="00255C43"/>
    <w:rsid w:val="00276390"/>
    <w:rsid w:val="00292C5B"/>
    <w:rsid w:val="002D63D9"/>
    <w:rsid w:val="002F463F"/>
    <w:rsid w:val="0031397F"/>
    <w:rsid w:val="00331B0C"/>
    <w:rsid w:val="003A5948"/>
    <w:rsid w:val="003D2CC7"/>
    <w:rsid w:val="00423AB1"/>
    <w:rsid w:val="004434A0"/>
    <w:rsid w:val="00453E9D"/>
    <w:rsid w:val="00455E98"/>
    <w:rsid w:val="00463E2F"/>
    <w:rsid w:val="004B2832"/>
    <w:rsid w:val="004D25DB"/>
    <w:rsid w:val="004D292A"/>
    <w:rsid w:val="004E0D8C"/>
    <w:rsid w:val="004F080F"/>
    <w:rsid w:val="00507F7E"/>
    <w:rsid w:val="00510F45"/>
    <w:rsid w:val="00534E6C"/>
    <w:rsid w:val="00552652"/>
    <w:rsid w:val="00553421"/>
    <w:rsid w:val="0056188F"/>
    <w:rsid w:val="00565AFF"/>
    <w:rsid w:val="00592D89"/>
    <w:rsid w:val="005A06CC"/>
    <w:rsid w:val="005B0C2D"/>
    <w:rsid w:val="005B0FD1"/>
    <w:rsid w:val="005E0327"/>
    <w:rsid w:val="0062363D"/>
    <w:rsid w:val="00645A50"/>
    <w:rsid w:val="006A59F8"/>
    <w:rsid w:val="006E1DA0"/>
    <w:rsid w:val="006F7991"/>
    <w:rsid w:val="00716AE2"/>
    <w:rsid w:val="007424A1"/>
    <w:rsid w:val="00764FCC"/>
    <w:rsid w:val="0077223B"/>
    <w:rsid w:val="00774907"/>
    <w:rsid w:val="007A3A8D"/>
    <w:rsid w:val="007A61AD"/>
    <w:rsid w:val="007B2797"/>
    <w:rsid w:val="007C3EAC"/>
    <w:rsid w:val="007D484E"/>
    <w:rsid w:val="007D4AFE"/>
    <w:rsid w:val="007E66C9"/>
    <w:rsid w:val="00813872"/>
    <w:rsid w:val="00840AD7"/>
    <w:rsid w:val="008450A7"/>
    <w:rsid w:val="0085799B"/>
    <w:rsid w:val="008809BA"/>
    <w:rsid w:val="0088538F"/>
    <w:rsid w:val="008A5020"/>
    <w:rsid w:val="008C1EFA"/>
    <w:rsid w:val="008C37CA"/>
    <w:rsid w:val="008E3608"/>
    <w:rsid w:val="00903143"/>
    <w:rsid w:val="00943BA9"/>
    <w:rsid w:val="009B2BD8"/>
    <w:rsid w:val="009D3559"/>
    <w:rsid w:val="009F167A"/>
    <w:rsid w:val="00A06E46"/>
    <w:rsid w:val="00A119AD"/>
    <w:rsid w:val="00A12BDF"/>
    <w:rsid w:val="00A23422"/>
    <w:rsid w:val="00A52B0A"/>
    <w:rsid w:val="00A94937"/>
    <w:rsid w:val="00A95276"/>
    <w:rsid w:val="00AE3426"/>
    <w:rsid w:val="00AE527E"/>
    <w:rsid w:val="00B21461"/>
    <w:rsid w:val="00B27BE4"/>
    <w:rsid w:val="00B377E0"/>
    <w:rsid w:val="00B905AC"/>
    <w:rsid w:val="00BC6D50"/>
    <w:rsid w:val="00BD5C58"/>
    <w:rsid w:val="00C56683"/>
    <w:rsid w:val="00C87F92"/>
    <w:rsid w:val="00C91C19"/>
    <w:rsid w:val="00CA615D"/>
    <w:rsid w:val="00CB1DA8"/>
    <w:rsid w:val="00D04417"/>
    <w:rsid w:val="00D049B0"/>
    <w:rsid w:val="00D12061"/>
    <w:rsid w:val="00D21D75"/>
    <w:rsid w:val="00D40980"/>
    <w:rsid w:val="00D940A0"/>
    <w:rsid w:val="00DC1358"/>
    <w:rsid w:val="00DF12A0"/>
    <w:rsid w:val="00E16D8F"/>
    <w:rsid w:val="00E171EB"/>
    <w:rsid w:val="00E2545C"/>
    <w:rsid w:val="00E26FB3"/>
    <w:rsid w:val="00E50039"/>
    <w:rsid w:val="00E6739B"/>
    <w:rsid w:val="00EA4849"/>
    <w:rsid w:val="00EE2330"/>
    <w:rsid w:val="00F202FA"/>
    <w:rsid w:val="00F258EF"/>
    <w:rsid w:val="00F4068E"/>
    <w:rsid w:val="00F478F2"/>
    <w:rsid w:val="00F5191D"/>
    <w:rsid w:val="00F73342"/>
    <w:rsid w:val="00F76DDF"/>
    <w:rsid w:val="00F819B6"/>
    <w:rsid w:val="00F904BB"/>
    <w:rsid w:val="00F912C9"/>
    <w:rsid w:val="00F950C8"/>
    <w:rsid w:val="00FC4F7E"/>
    <w:rsid w:val="00FF2309"/>
    <w:rsid w:val="67B422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38F"/>
    <w:pPr>
      <w:spacing w:after="160" w:line="259" w:lineRule="auto"/>
    </w:pPr>
    <w:rPr>
      <w:sz w:val="22"/>
      <w:szCs w:val="22"/>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88538F"/>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rsid w:val="0088538F"/>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rsid w:val="0088538F"/>
    <w:pPr>
      <w:tabs>
        <w:tab w:val="center" w:pos="4252"/>
        <w:tab w:val="right" w:pos="8504"/>
      </w:tabs>
      <w:spacing w:after="0" w:line="240" w:lineRule="auto"/>
    </w:pPr>
  </w:style>
  <w:style w:type="paragraph" w:styleId="Rodap">
    <w:name w:val="footer"/>
    <w:basedOn w:val="Normal"/>
    <w:link w:val="RodapChar"/>
    <w:uiPriority w:val="99"/>
    <w:unhideWhenUsed/>
    <w:qFormat/>
    <w:rsid w:val="0088538F"/>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88538F"/>
  </w:style>
  <w:style w:type="character" w:customStyle="1" w:styleId="RodapChar">
    <w:name w:val="Rodapé Char"/>
    <w:basedOn w:val="Fontepargpadro"/>
    <w:link w:val="Rodap"/>
    <w:uiPriority w:val="99"/>
    <w:qFormat/>
    <w:rsid w:val="0088538F"/>
  </w:style>
  <w:style w:type="character" w:customStyle="1" w:styleId="fontstyle01">
    <w:name w:val="fontstyle01"/>
    <w:basedOn w:val="Fontepargpadro"/>
    <w:rsid w:val="0088538F"/>
    <w:rPr>
      <w:rFonts w:ascii="Arial-BoldMT" w:hAnsi="Arial-BoldMT" w:hint="default"/>
      <w:b/>
      <w:bCs/>
      <w:color w:val="242021"/>
      <w:sz w:val="22"/>
      <w:szCs w:val="22"/>
    </w:rPr>
  </w:style>
  <w:style w:type="character" w:customStyle="1" w:styleId="Corpodetexto3Char">
    <w:name w:val="Corpo de texto 3 Char"/>
    <w:basedOn w:val="Fontepargpadro"/>
    <w:link w:val="Corpodetexto3"/>
    <w:rsid w:val="0088538F"/>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sid w:val="0088538F"/>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6F799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F7991"/>
    <w:rPr>
      <w:rFonts w:ascii="Tahoma" w:hAnsi="Tahoma" w:cs="Tahoma"/>
      <w:sz w:val="16"/>
      <w:szCs w:val="16"/>
      <w:lang w:val="pt-BR"/>
    </w:rPr>
  </w:style>
  <w:style w:type="character" w:customStyle="1" w:styleId="label">
    <w:name w:val="label"/>
    <w:basedOn w:val="Fontepargpadro"/>
    <w:rsid w:val="00645A50"/>
  </w:style>
  <w:style w:type="character" w:styleId="Hyperlink">
    <w:name w:val="Hyperlink"/>
    <w:basedOn w:val="Fontepargpadro"/>
    <w:uiPriority w:val="99"/>
    <w:unhideWhenUsed/>
    <w:rsid w:val="00645A50"/>
    <w:rPr>
      <w:color w:val="0000FF"/>
      <w:u w:val="single"/>
    </w:rPr>
  </w:style>
  <w:style w:type="paragraph" w:customStyle="1" w:styleId="0Tabelas">
    <w:name w:val="0 Tabelas"/>
    <w:basedOn w:val="Normal"/>
    <w:link w:val="0TabelasChar"/>
    <w:qFormat/>
    <w:rsid w:val="00645A50"/>
    <w:pPr>
      <w:spacing w:after="20" w:line="240" w:lineRule="auto"/>
      <w:jc w:val="both"/>
    </w:pPr>
    <w:rPr>
      <w:rFonts w:ascii="Times New Roman" w:eastAsia="Calibri" w:hAnsi="Times New Roman" w:cs="Times New Roman"/>
      <w:sz w:val="24"/>
      <w:szCs w:val="24"/>
    </w:rPr>
  </w:style>
  <w:style w:type="character" w:customStyle="1" w:styleId="0TabelasChar">
    <w:name w:val="0 Tabelas Char"/>
    <w:basedOn w:val="Fontepargpadro"/>
    <w:link w:val="0Tabelas"/>
    <w:rsid w:val="00645A50"/>
    <w:rPr>
      <w:rFonts w:ascii="Times New Roman" w:eastAsia="Calibri" w:hAnsi="Times New Roman" w:cs="Times New Roman"/>
      <w:sz w:val="24"/>
      <w:szCs w:val="24"/>
      <w:lang w:val="pt-BR"/>
    </w:rPr>
  </w:style>
  <w:style w:type="paragraph" w:styleId="Legenda">
    <w:name w:val="caption"/>
    <w:basedOn w:val="Normal"/>
    <w:next w:val="Normal"/>
    <w:uiPriority w:val="35"/>
    <w:unhideWhenUsed/>
    <w:qFormat/>
    <w:rsid w:val="00645A50"/>
    <w:pPr>
      <w:spacing w:after="200" w:line="240" w:lineRule="auto"/>
      <w:ind w:firstLine="709"/>
      <w:jc w:val="both"/>
    </w:pPr>
    <w:rPr>
      <w:rFonts w:ascii="Arial" w:eastAsia="Calibri" w:hAnsi="Arial" w:cs="Arial"/>
      <w:i/>
      <w:color w:val="1F497D"/>
      <w:sz w:val="18"/>
      <w:szCs w:val="18"/>
    </w:rPr>
  </w:style>
  <w:style w:type="paragraph" w:customStyle="1" w:styleId="0Grficos">
    <w:name w:val="0 Gráficos"/>
    <w:basedOn w:val="Normal"/>
    <w:link w:val="0GrficosChar"/>
    <w:qFormat/>
    <w:rsid w:val="00645A50"/>
    <w:pPr>
      <w:spacing w:after="20" w:line="240" w:lineRule="auto"/>
      <w:jc w:val="both"/>
    </w:pPr>
    <w:rPr>
      <w:rFonts w:ascii="Times New Roman" w:eastAsia="Calibri" w:hAnsi="Times New Roman" w:cs="Times New Roman"/>
      <w:sz w:val="24"/>
      <w:szCs w:val="24"/>
    </w:rPr>
  </w:style>
  <w:style w:type="character" w:customStyle="1" w:styleId="0GrficosChar">
    <w:name w:val="0 Gráficos Char"/>
    <w:basedOn w:val="Fontepargpadro"/>
    <w:link w:val="0Grficos"/>
    <w:rsid w:val="00645A50"/>
    <w:rPr>
      <w:rFonts w:ascii="Times New Roman" w:eastAsia="Calibri" w:hAnsi="Times New Roman" w:cs="Times New Roman"/>
      <w:sz w:val="24"/>
      <w:szCs w:val="24"/>
      <w:lang w:val="pt-BR"/>
    </w:rPr>
  </w:style>
  <w:style w:type="paragraph" w:styleId="NormalWeb">
    <w:name w:val="Normal (Web)"/>
    <w:basedOn w:val="Normal"/>
    <w:uiPriority w:val="99"/>
    <w:unhideWhenUsed/>
    <w:rsid w:val="00645A5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0Figuras">
    <w:name w:val="0 Figuras"/>
    <w:basedOn w:val="Normal"/>
    <w:link w:val="0FigurasChar"/>
    <w:qFormat/>
    <w:rsid w:val="00645A50"/>
    <w:pPr>
      <w:tabs>
        <w:tab w:val="left" w:pos="6158"/>
      </w:tabs>
      <w:autoSpaceDE w:val="0"/>
      <w:autoSpaceDN w:val="0"/>
      <w:adjustRightInd w:val="0"/>
      <w:spacing w:after="20" w:line="240" w:lineRule="auto"/>
      <w:jc w:val="both"/>
    </w:pPr>
    <w:rPr>
      <w:rFonts w:ascii="Times New Roman" w:eastAsia="Calibri" w:hAnsi="Times New Roman" w:cs="Times New Roman"/>
      <w:color w:val="000000"/>
      <w:sz w:val="24"/>
      <w:szCs w:val="24"/>
    </w:rPr>
  </w:style>
  <w:style w:type="character" w:customStyle="1" w:styleId="0FigurasChar">
    <w:name w:val="0 Figuras Char"/>
    <w:basedOn w:val="Fontepargpadro"/>
    <w:link w:val="0Figuras"/>
    <w:rsid w:val="00645A50"/>
    <w:rPr>
      <w:rFonts w:ascii="Times New Roman" w:eastAsia="Calibri" w:hAnsi="Times New Roman" w:cs="Times New Roman"/>
      <w:color w:val="000000"/>
      <w:sz w:val="24"/>
      <w:szCs w:val="24"/>
      <w:lang w:val="pt-B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iv2016.org.br/anais-do-congresso/_source/lista_area_O_12.htm" TargetMode="External"/><Relationship Id="rId18" Type="http://schemas.openxmlformats.org/officeDocument/2006/relationships/hyperlink" Target="https://doi.org/10.20435/interacoes.v3i5.56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embrapa.br/uva-e-vinho/cadastro-viticola" TargetMode="External"/><Relationship Id="rId2" Type="http://schemas.openxmlformats.org/officeDocument/2006/relationships/customXml" Target="../customXml/item2.xml"/><Relationship Id="rId16" Type="http://schemas.openxmlformats.org/officeDocument/2006/relationships/hyperlink" Target="http://WWW.embrapa.br/uva-e-vinh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dx.doi.org/10.1590/151870122015101"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nologia.org.br/default/uploads/revista/revista81.pdf?b777b58003c4424db002db387930ec91"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19</Pages>
  <Words>5643</Words>
  <Characters>32166</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Eliane</cp:lastModifiedBy>
  <cp:revision>81</cp:revision>
  <dcterms:created xsi:type="dcterms:W3CDTF">2022-08-14T19:34:00Z</dcterms:created>
  <dcterms:modified xsi:type="dcterms:W3CDTF">2022-08-15T22:53:00Z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