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02627" w14:textId="5EDC2171" w:rsidR="00695FD3" w:rsidRPr="0026351E" w:rsidRDefault="00BF68CE" w:rsidP="00982573">
      <w:pPr>
        <w:pStyle w:val="Corpodetexto3"/>
        <w:rPr>
          <w:szCs w:val="28"/>
        </w:rPr>
      </w:pPr>
      <w:r w:rsidRPr="0026351E">
        <w:rPr>
          <w:szCs w:val="28"/>
        </w:rPr>
        <w:t>IMOBILIDADE E O ACESSO A ÁGUA NO BIOMA CAATINGA</w:t>
      </w:r>
      <w:r w:rsidR="00C83638">
        <w:rPr>
          <w:rStyle w:val="Refdenotaderodap"/>
          <w:szCs w:val="28"/>
        </w:rPr>
        <w:footnoteReference w:customMarkFollows="1" w:id="1"/>
        <w:t>*</w:t>
      </w:r>
      <w:r w:rsidR="00667C57" w:rsidRPr="0026351E">
        <w:rPr>
          <w:szCs w:val="28"/>
        </w:rPr>
        <w:t xml:space="preserve"> </w:t>
      </w:r>
    </w:p>
    <w:p w14:paraId="4CF46A34" w14:textId="77777777" w:rsidR="00695FD3" w:rsidRPr="0026351E" w:rsidRDefault="00695FD3" w:rsidP="002B7519">
      <w:pPr>
        <w:spacing w:after="0" w:line="360" w:lineRule="auto"/>
        <w:jc w:val="center"/>
        <w:rPr>
          <w:rFonts w:ascii="Times New Roman" w:hAnsi="Times New Roman" w:cs="Times New Roman"/>
          <w:sz w:val="28"/>
          <w:szCs w:val="28"/>
        </w:rPr>
      </w:pPr>
    </w:p>
    <w:p w14:paraId="579B2408" w14:textId="77777777" w:rsidR="00695FD3" w:rsidRPr="0026351E" w:rsidRDefault="00667C57" w:rsidP="002B7519">
      <w:pPr>
        <w:pStyle w:val="Ttulo"/>
        <w:spacing w:line="360" w:lineRule="auto"/>
        <w:jc w:val="both"/>
        <w:rPr>
          <w:rFonts w:ascii="Times New Roman" w:hAnsi="Times New Roman"/>
          <w:sz w:val="24"/>
          <w:lang w:val="pt-BR"/>
        </w:rPr>
      </w:pPr>
      <w:r w:rsidRPr="0026351E">
        <w:rPr>
          <w:rFonts w:ascii="Times New Roman" w:hAnsi="Times New Roman"/>
          <w:sz w:val="24"/>
          <w:lang w:val="pt-BR"/>
        </w:rPr>
        <w:t>RESUMO</w:t>
      </w:r>
    </w:p>
    <w:p w14:paraId="66859F7A" w14:textId="77777777" w:rsidR="007C2013" w:rsidRDefault="00BF68CE" w:rsidP="00C83638">
      <w:pPr>
        <w:spacing w:after="0" w:line="240" w:lineRule="auto"/>
        <w:jc w:val="both"/>
        <w:rPr>
          <w:rFonts w:ascii="Times New Roman" w:hAnsi="Times New Roman" w:cs="Times New Roman"/>
          <w:sz w:val="24"/>
        </w:rPr>
      </w:pPr>
      <w:bookmarkStart w:id="0" w:name="_Hlk110246356"/>
      <w:r w:rsidRPr="0026351E">
        <w:rPr>
          <w:rFonts w:ascii="Times New Roman" w:hAnsi="Times New Roman" w:cs="Times New Roman"/>
          <w:sz w:val="24"/>
        </w:rPr>
        <w:t>Este artigo tem como principal objetivo fazer uma análise espacial para inferir se o fato d</w:t>
      </w:r>
      <w:r w:rsidR="000A65FB">
        <w:rPr>
          <w:rFonts w:ascii="Times New Roman" w:hAnsi="Times New Roman" w:cs="Times New Roman"/>
          <w:sz w:val="24"/>
        </w:rPr>
        <w:t>e algumas pessoas nunca terem</w:t>
      </w:r>
      <w:r w:rsidRPr="0026351E">
        <w:rPr>
          <w:rFonts w:ascii="Times New Roman" w:hAnsi="Times New Roman" w:cs="Times New Roman"/>
          <w:sz w:val="24"/>
        </w:rPr>
        <w:t xml:space="preserve"> migrado do sertão está associado ao acesso à água facilitado pelas cisternas, recurso imprescindível para as famílias rurais lidarem com a seca. Teve como recorte territorial o bioma Caatinga da região Nordeste com foco na população rural. Para tanto, a principal fonte de informações foi o último Censo Demográfico, 2010</w:t>
      </w:r>
      <w:r w:rsidR="002D7F27">
        <w:rPr>
          <w:rFonts w:ascii="Times New Roman" w:hAnsi="Times New Roman" w:cs="Times New Roman"/>
          <w:sz w:val="24"/>
        </w:rPr>
        <w:t>, sendo a</w:t>
      </w:r>
      <w:r w:rsidRPr="0026351E">
        <w:rPr>
          <w:rFonts w:ascii="Times New Roman" w:hAnsi="Times New Roman" w:cs="Times New Roman"/>
          <w:sz w:val="24"/>
        </w:rPr>
        <w:t>dot</w:t>
      </w:r>
      <w:r w:rsidR="002D7F27">
        <w:rPr>
          <w:rFonts w:ascii="Times New Roman" w:hAnsi="Times New Roman" w:cs="Times New Roman"/>
          <w:sz w:val="24"/>
        </w:rPr>
        <w:t>ado</w:t>
      </w:r>
      <w:r w:rsidRPr="0026351E">
        <w:rPr>
          <w:rFonts w:ascii="Times New Roman" w:hAnsi="Times New Roman" w:cs="Times New Roman"/>
          <w:sz w:val="24"/>
        </w:rPr>
        <w:t xml:space="preserve"> o Índice de Moran como método para a análise </w:t>
      </w:r>
      <w:r w:rsidR="00DD72D4">
        <w:rPr>
          <w:rFonts w:ascii="Times New Roman" w:hAnsi="Times New Roman" w:cs="Times New Roman"/>
          <w:sz w:val="24"/>
        </w:rPr>
        <w:t>da correlação</w:t>
      </w:r>
      <w:r w:rsidRPr="0026351E">
        <w:rPr>
          <w:rFonts w:ascii="Times New Roman" w:hAnsi="Times New Roman" w:cs="Times New Roman"/>
          <w:sz w:val="24"/>
        </w:rPr>
        <w:t xml:space="preserve"> espacial entre </w:t>
      </w:r>
      <w:r w:rsidR="00DD72D4">
        <w:rPr>
          <w:rFonts w:ascii="Times New Roman" w:hAnsi="Times New Roman" w:cs="Times New Roman"/>
          <w:sz w:val="24"/>
        </w:rPr>
        <w:t xml:space="preserve">a imobilidade </w:t>
      </w:r>
      <w:r w:rsidRPr="0026351E">
        <w:rPr>
          <w:rFonts w:ascii="Times New Roman" w:hAnsi="Times New Roman" w:cs="Times New Roman"/>
          <w:sz w:val="24"/>
        </w:rPr>
        <w:t xml:space="preserve">e </w:t>
      </w:r>
      <w:r w:rsidR="00DD72D4">
        <w:rPr>
          <w:rFonts w:ascii="Times New Roman" w:hAnsi="Times New Roman" w:cs="Times New Roman"/>
          <w:sz w:val="24"/>
        </w:rPr>
        <w:t>a existência</w:t>
      </w:r>
    </w:p>
    <w:p w14:paraId="57E5FFC1" w14:textId="53A5F91D" w:rsidR="00BF68CE" w:rsidRPr="0026351E" w:rsidRDefault="00DD72D4" w:rsidP="00C83638">
      <w:pPr>
        <w:spacing w:after="0" w:line="240" w:lineRule="auto"/>
        <w:jc w:val="both"/>
        <w:rPr>
          <w:rFonts w:ascii="Times New Roman" w:hAnsi="Times New Roman" w:cs="Times New Roman"/>
          <w:sz w:val="24"/>
        </w:rPr>
      </w:pPr>
      <w:r>
        <w:rPr>
          <w:rFonts w:ascii="Times New Roman" w:hAnsi="Times New Roman" w:cs="Times New Roman"/>
          <w:sz w:val="24"/>
        </w:rPr>
        <w:t>de</w:t>
      </w:r>
      <w:r w:rsidR="00BF68CE" w:rsidRPr="0026351E">
        <w:rPr>
          <w:rFonts w:ascii="Times New Roman" w:hAnsi="Times New Roman" w:cs="Times New Roman"/>
          <w:sz w:val="24"/>
        </w:rPr>
        <w:t xml:space="preserve"> cisternas em suas residências. Embora o referido método não permita associações causais, os resultados ressaltaram a importância de políticas sociais, como o Programa Cisternas, para a convivência e permanência das pessoas no semiárido, clima predominante na Caatinga.</w:t>
      </w:r>
    </w:p>
    <w:bookmarkEnd w:id="0"/>
    <w:p w14:paraId="3FB33BF5" w14:textId="77777777" w:rsidR="00BF68CE" w:rsidRPr="0026351E" w:rsidRDefault="00BF68CE" w:rsidP="00F50CEA">
      <w:pPr>
        <w:spacing w:after="0" w:line="240" w:lineRule="auto"/>
        <w:jc w:val="both"/>
        <w:rPr>
          <w:rFonts w:ascii="Times New Roman" w:hAnsi="Times New Roman" w:cs="Times New Roman"/>
          <w:sz w:val="24"/>
        </w:rPr>
      </w:pPr>
    </w:p>
    <w:p w14:paraId="34DC20A3" w14:textId="752652C3" w:rsidR="00695FD3" w:rsidRPr="0026351E" w:rsidRDefault="00667C57" w:rsidP="00F50CEA">
      <w:pPr>
        <w:spacing w:after="0" w:line="360" w:lineRule="auto"/>
        <w:jc w:val="both"/>
        <w:rPr>
          <w:rFonts w:ascii="Times New Roman" w:hAnsi="Times New Roman" w:cs="Times New Roman"/>
          <w:sz w:val="24"/>
          <w:szCs w:val="24"/>
        </w:rPr>
      </w:pPr>
      <w:r w:rsidRPr="0026351E">
        <w:rPr>
          <w:rFonts w:ascii="Times New Roman" w:hAnsi="Times New Roman" w:cs="Times New Roman"/>
          <w:b/>
          <w:bCs/>
          <w:sz w:val="24"/>
          <w:szCs w:val="24"/>
        </w:rPr>
        <w:t>Palavras- chave</w:t>
      </w:r>
      <w:r w:rsidRPr="0026351E">
        <w:rPr>
          <w:rFonts w:ascii="Times New Roman" w:hAnsi="Times New Roman" w:cs="Times New Roman"/>
          <w:sz w:val="24"/>
          <w:szCs w:val="24"/>
        </w:rPr>
        <w:t xml:space="preserve">: </w:t>
      </w:r>
      <w:r w:rsidR="00BF68CE" w:rsidRPr="0026351E">
        <w:rPr>
          <w:rFonts w:ascii="Times New Roman" w:hAnsi="Times New Roman" w:cs="Times New Roman"/>
          <w:sz w:val="24"/>
          <w:szCs w:val="24"/>
        </w:rPr>
        <w:t>Imobilidade</w:t>
      </w:r>
      <w:r w:rsidRPr="0026351E">
        <w:rPr>
          <w:rFonts w:ascii="Times New Roman" w:hAnsi="Times New Roman" w:cs="Times New Roman"/>
          <w:sz w:val="24"/>
          <w:szCs w:val="24"/>
        </w:rPr>
        <w:t xml:space="preserve">; </w:t>
      </w:r>
      <w:r w:rsidR="00BF68CE" w:rsidRPr="0026351E">
        <w:rPr>
          <w:rFonts w:ascii="Times New Roman" w:hAnsi="Times New Roman" w:cs="Times New Roman"/>
          <w:sz w:val="24"/>
          <w:szCs w:val="24"/>
        </w:rPr>
        <w:t>Cisternas</w:t>
      </w:r>
      <w:r w:rsidRPr="0026351E">
        <w:rPr>
          <w:rFonts w:ascii="Times New Roman" w:hAnsi="Times New Roman" w:cs="Times New Roman"/>
          <w:sz w:val="24"/>
          <w:szCs w:val="24"/>
        </w:rPr>
        <w:t xml:space="preserve">; </w:t>
      </w:r>
      <w:r w:rsidR="000958D2" w:rsidRPr="0026351E">
        <w:rPr>
          <w:rFonts w:ascii="Times New Roman" w:hAnsi="Times New Roman" w:cs="Times New Roman"/>
          <w:sz w:val="24"/>
          <w:szCs w:val="24"/>
        </w:rPr>
        <w:t>Análise Espacial</w:t>
      </w:r>
      <w:r w:rsidR="000958D2">
        <w:rPr>
          <w:rFonts w:ascii="Times New Roman" w:hAnsi="Times New Roman" w:cs="Times New Roman"/>
          <w:sz w:val="24"/>
          <w:szCs w:val="24"/>
        </w:rPr>
        <w:t>;</w:t>
      </w:r>
      <w:r w:rsidR="000958D2" w:rsidRPr="0026351E">
        <w:rPr>
          <w:rFonts w:ascii="Times New Roman" w:hAnsi="Times New Roman" w:cs="Times New Roman"/>
          <w:sz w:val="24"/>
          <w:szCs w:val="24"/>
        </w:rPr>
        <w:t xml:space="preserve"> </w:t>
      </w:r>
      <w:r w:rsidR="00BF68CE" w:rsidRPr="0026351E">
        <w:rPr>
          <w:rFonts w:ascii="Times New Roman" w:hAnsi="Times New Roman" w:cs="Times New Roman"/>
          <w:sz w:val="24"/>
          <w:szCs w:val="24"/>
        </w:rPr>
        <w:t>Caatinga.</w:t>
      </w:r>
    </w:p>
    <w:p w14:paraId="7BDCCE06" w14:textId="77777777" w:rsidR="00695FD3" w:rsidRPr="0026351E" w:rsidRDefault="00695FD3" w:rsidP="00F50CEA">
      <w:pPr>
        <w:spacing w:after="0" w:line="360" w:lineRule="auto"/>
        <w:jc w:val="both"/>
        <w:rPr>
          <w:rFonts w:ascii="Times New Roman" w:hAnsi="Times New Roman" w:cs="Times New Roman"/>
          <w:sz w:val="24"/>
          <w:szCs w:val="24"/>
        </w:rPr>
      </w:pPr>
    </w:p>
    <w:p w14:paraId="766F2562" w14:textId="7CED30C1" w:rsidR="00695FD3" w:rsidRDefault="00C83638" w:rsidP="00F50CEA">
      <w:pPr>
        <w:spacing w:after="0" w:line="360" w:lineRule="auto"/>
        <w:jc w:val="both"/>
        <w:rPr>
          <w:rFonts w:ascii="Times New Roman" w:hAnsi="Times New Roman" w:cs="Times New Roman"/>
          <w:b/>
          <w:bCs/>
          <w:sz w:val="24"/>
          <w:szCs w:val="24"/>
        </w:rPr>
      </w:pPr>
      <w:r w:rsidRPr="00C83638">
        <w:rPr>
          <w:rFonts w:ascii="Times New Roman" w:hAnsi="Times New Roman" w:cs="Times New Roman"/>
          <w:b/>
          <w:bCs/>
          <w:sz w:val="24"/>
          <w:szCs w:val="24"/>
        </w:rPr>
        <w:t>ST Nº 5: Ambiente, Populações e Desenvolvimento</w:t>
      </w:r>
    </w:p>
    <w:p w14:paraId="3274598B" w14:textId="77777777" w:rsidR="00C83638" w:rsidRPr="0026351E" w:rsidRDefault="00C83638" w:rsidP="00F50CEA">
      <w:pPr>
        <w:spacing w:after="0" w:line="360" w:lineRule="auto"/>
        <w:jc w:val="both"/>
        <w:rPr>
          <w:rFonts w:ascii="Times New Roman" w:hAnsi="Times New Roman" w:cs="Times New Roman"/>
          <w:sz w:val="24"/>
          <w:szCs w:val="24"/>
        </w:rPr>
      </w:pPr>
    </w:p>
    <w:p w14:paraId="20FA0B27" w14:textId="77777777" w:rsidR="00695FD3" w:rsidRPr="0026351E" w:rsidRDefault="44379C23" w:rsidP="00F50CEA">
      <w:pPr>
        <w:spacing w:after="0" w:line="36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1 INTRODUÇÃO</w:t>
      </w:r>
    </w:p>
    <w:p w14:paraId="72EDC1B7" w14:textId="7444FE43" w:rsidR="44379C23" w:rsidRDefault="44379C23" w:rsidP="44379C23">
      <w:pPr>
        <w:spacing w:after="0" w:line="360" w:lineRule="auto"/>
        <w:jc w:val="both"/>
        <w:rPr>
          <w:rFonts w:ascii="Times New Roman" w:hAnsi="Times New Roman" w:cs="Times New Roman"/>
        </w:rPr>
      </w:pPr>
    </w:p>
    <w:p w14:paraId="4E548E4B" w14:textId="77777777" w:rsidR="00AA5EFD" w:rsidRPr="00AA5EFD" w:rsidRDefault="00AA5EFD" w:rsidP="00AA5EFD">
      <w:pPr>
        <w:spacing w:after="0" w:line="360" w:lineRule="auto"/>
        <w:ind w:firstLine="708"/>
        <w:jc w:val="both"/>
        <w:rPr>
          <w:rFonts w:ascii="Times New Roman" w:hAnsi="Times New Roman" w:cs="Times New Roman"/>
          <w:sz w:val="24"/>
          <w:szCs w:val="24"/>
        </w:rPr>
      </w:pPr>
      <w:r w:rsidRPr="00AA5EFD">
        <w:rPr>
          <w:rFonts w:ascii="Times New Roman" w:hAnsi="Times New Roman" w:cs="Times New Roman"/>
          <w:sz w:val="24"/>
          <w:szCs w:val="24"/>
        </w:rPr>
        <w:t xml:space="preserve">Nos estudos que tratam da dinâmica migratória é comum dar atenção às pessoas que empreendem algum movimento migratório, observando a origem e o destino destas, bem como suas características demográficas e/ou econômicas. Contudo, há também aquelas pessoas que, embora estejam expostas as mesmas condições, elas ficam (CAMPOS, 2014). Dessa forma, é preciso dar atenção também aos que não migram, visto que essa imobilidade pode estar associada tanto a fatores negativos quanto positivos, seja do lugar ou da pessoa. Dito isso, será que os que ficam não dispunham de condições para empreender a migração? Ou será que eles não precisaram lançar mão dessa estratégia porque já dispunham do que precisavam? Das duas questões, este trabalho está mais inclinado para a segunda, uma vez que a hipótese é de que o acesso as cisternas, assim como a outras políticas sociais, justificam a imobilidade, ou melhor dizendo, a permanência dos sertanejos no mesmo município em que nasceram.  </w:t>
      </w:r>
    </w:p>
    <w:p w14:paraId="1CE3B302" w14:textId="6BA354CC" w:rsidR="00AA5EFD" w:rsidRPr="00AA5EFD" w:rsidRDefault="00AA5EFD" w:rsidP="00AA5EFD">
      <w:pPr>
        <w:spacing w:after="0" w:line="360" w:lineRule="auto"/>
        <w:ind w:firstLine="708"/>
        <w:jc w:val="both"/>
        <w:rPr>
          <w:rFonts w:ascii="Times New Roman" w:hAnsi="Times New Roman" w:cs="Times New Roman"/>
          <w:sz w:val="24"/>
          <w:szCs w:val="24"/>
        </w:rPr>
      </w:pPr>
      <w:r w:rsidRPr="00AA5EFD">
        <w:rPr>
          <w:rFonts w:ascii="Times New Roman" w:hAnsi="Times New Roman" w:cs="Times New Roman"/>
          <w:sz w:val="24"/>
          <w:szCs w:val="24"/>
        </w:rPr>
        <w:lastRenderedPageBreak/>
        <w:t xml:space="preserve">Migrar é </w:t>
      </w:r>
      <w:r w:rsidR="006B14B0">
        <w:rPr>
          <w:rFonts w:ascii="Times New Roman" w:hAnsi="Times New Roman" w:cs="Times New Roman"/>
          <w:sz w:val="24"/>
          <w:szCs w:val="24"/>
        </w:rPr>
        <w:t>uma</w:t>
      </w:r>
      <w:r w:rsidRPr="00AA5EFD">
        <w:rPr>
          <w:rFonts w:ascii="Times New Roman" w:hAnsi="Times New Roman" w:cs="Times New Roman"/>
          <w:sz w:val="24"/>
          <w:szCs w:val="24"/>
        </w:rPr>
        <w:t xml:space="preserve"> capacidade </w:t>
      </w:r>
      <w:r w:rsidR="006B14B0">
        <w:rPr>
          <w:rFonts w:ascii="Times New Roman" w:hAnsi="Times New Roman" w:cs="Times New Roman"/>
          <w:sz w:val="24"/>
          <w:szCs w:val="24"/>
        </w:rPr>
        <w:t xml:space="preserve">que </w:t>
      </w:r>
      <w:r w:rsidRPr="00AA5EFD">
        <w:rPr>
          <w:rFonts w:ascii="Times New Roman" w:hAnsi="Times New Roman" w:cs="Times New Roman"/>
          <w:sz w:val="24"/>
          <w:szCs w:val="24"/>
        </w:rPr>
        <w:t>não está amplamente disponível para todos. Migrar requer no mínimo determinado nível de capital social, humano e físico, ou seja, é preciso ter alguma rede de contatos, nível de qualificação ou mesmo determinado nível de renda para investir no deslocamento (CUNDILL et al., 2021). Há por trás da decisão de migrar obstáculos como o custo financeiro do deslocamento tanto da ida quanto da volta, assim como os custos que envolvem sentimentos, como a saudade e a preocupação com a família que fica. Tais custos, monetários e não-monetários, assim como a distância se apresentam como obstáculos intervenientes à migração (LEE, 1966; SJAASTAD, 1962; HOERDER, 2002), os quais contribuem também para a seletividade da imobilidade. A imobilidade, portanto, está ligada a uma questão de seletividade migra</w:t>
      </w:r>
      <w:r w:rsidR="006B14B0">
        <w:rPr>
          <w:rFonts w:ascii="Times New Roman" w:hAnsi="Times New Roman" w:cs="Times New Roman"/>
          <w:sz w:val="24"/>
          <w:szCs w:val="24"/>
        </w:rPr>
        <w:t>tória</w:t>
      </w:r>
      <w:r w:rsidRPr="00AA5EFD">
        <w:rPr>
          <w:rFonts w:ascii="Times New Roman" w:hAnsi="Times New Roman" w:cs="Times New Roman"/>
          <w:sz w:val="24"/>
          <w:szCs w:val="24"/>
        </w:rPr>
        <w:t>, sendo mais fácil para uns do que para outros perpassar os obstáculos interveniente e lançar mão da migração (LEE, 1966).</w:t>
      </w:r>
    </w:p>
    <w:p w14:paraId="15DB4D9F" w14:textId="32623730" w:rsidR="00AA5EFD" w:rsidRPr="00AA5EFD" w:rsidRDefault="00AA5EFD" w:rsidP="006B14B0">
      <w:pPr>
        <w:spacing w:after="0" w:line="360" w:lineRule="auto"/>
        <w:ind w:firstLine="708"/>
        <w:jc w:val="both"/>
        <w:rPr>
          <w:rFonts w:ascii="Times New Roman" w:hAnsi="Times New Roman" w:cs="Times New Roman"/>
          <w:sz w:val="24"/>
          <w:szCs w:val="24"/>
        </w:rPr>
      </w:pPr>
      <w:r w:rsidRPr="00AA5EFD">
        <w:rPr>
          <w:rFonts w:ascii="Times New Roman" w:hAnsi="Times New Roman" w:cs="Times New Roman"/>
          <w:sz w:val="24"/>
          <w:szCs w:val="24"/>
        </w:rPr>
        <w:t xml:space="preserve">Em ambientes de clima semiárido, como é no bioma da Caatinga, o fenômeno migratório é considerado uma estratégia de sobrevivência </w:t>
      </w:r>
      <w:r w:rsidR="006B14B0">
        <w:rPr>
          <w:rFonts w:ascii="Times New Roman" w:hAnsi="Times New Roman" w:cs="Times New Roman"/>
          <w:sz w:val="24"/>
          <w:szCs w:val="24"/>
        </w:rPr>
        <w:t xml:space="preserve">essencial </w:t>
      </w:r>
      <w:r w:rsidRPr="00AA5EFD">
        <w:rPr>
          <w:rFonts w:ascii="Times New Roman" w:hAnsi="Times New Roman" w:cs="Times New Roman"/>
          <w:sz w:val="24"/>
          <w:szCs w:val="24"/>
        </w:rPr>
        <w:t>a determinados contextos críticos</w:t>
      </w:r>
      <w:r w:rsidR="006B14B0">
        <w:rPr>
          <w:rFonts w:ascii="Times New Roman" w:hAnsi="Times New Roman" w:cs="Times New Roman"/>
          <w:sz w:val="24"/>
          <w:szCs w:val="24"/>
        </w:rPr>
        <w:t>, muitas ve</w:t>
      </w:r>
      <w:r w:rsidRPr="00AA5EFD">
        <w:rPr>
          <w:rFonts w:ascii="Times New Roman" w:hAnsi="Times New Roman" w:cs="Times New Roman"/>
          <w:sz w:val="24"/>
          <w:szCs w:val="24"/>
        </w:rPr>
        <w:t>zes imposto</w:t>
      </w:r>
      <w:r w:rsidR="006B14B0">
        <w:rPr>
          <w:rFonts w:ascii="Times New Roman" w:hAnsi="Times New Roman" w:cs="Times New Roman"/>
          <w:sz w:val="24"/>
          <w:szCs w:val="24"/>
        </w:rPr>
        <w:t>s</w:t>
      </w:r>
      <w:r w:rsidRPr="00AA5EFD">
        <w:rPr>
          <w:rFonts w:ascii="Times New Roman" w:hAnsi="Times New Roman" w:cs="Times New Roman"/>
          <w:sz w:val="24"/>
          <w:szCs w:val="24"/>
        </w:rPr>
        <w:t xml:space="preserve"> pelo clima</w:t>
      </w:r>
      <w:r w:rsidR="00C9511F">
        <w:rPr>
          <w:rFonts w:ascii="Times New Roman" w:hAnsi="Times New Roman" w:cs="Times New Roman"/>
          <w:sz w:val="24"/>
          <w:szCs w:val="24"/>
        </w:rPr>
        <w:t>. E</w:t>
      </w:r>
      <w:r w:rsidRPr="00AA5EFD">
        <w:rPr>
          <w:rFonts w:ascii="Times New Roman" w:hAnsi="Times New Roman" w:cs="Times New Roman"/>
          <w:sz w:val="24"/>
          <w:szCs w:val="24"/>
        </w:rPr>
        <w:t>ntender o porquê de alguns não lançarem mão dessa estratégia, mesmo estando em risco, é extremamente importante, uma vez que pode ser resultado tanto de incapacidade, quanto de uma escolha associada as estratégias encontradas no local onde sempre moraram. Portanto, o principal objetivo é verificar se há correlação espacial entre a imobilidade e o acesso às cisternas no rural dos municípios da Caatinga da região Nordeste.</w:t>
      </w:r>
    </w:p>
    <w:p w14:paraId="19AEB4A0" w14:textId="305DE798" w:rsidR="002A0706" w:rsidRDefault="002A0706" w:rsidP="0052279C">
      <w:pPr>
        <w:spacing w:after="0" w:line="360" w:lineRule="auto"/>
        <w:ind w:firstLine="708"/>
        <w:jc w:val="both"/>
        <w:rPr>
          <w:rFonts w:ascii="Times New Roman" w:hAnsi="Times New Roman" w:cs="Times New Roman"/>
          <w:sz w:val="24"/>
          <w:szCs w:val="24"/>
        </w:rPr>
      </w:pPr>
      <w:bookmarkStart w:id="1" w:name="_Hlk110237154"/>
      <w:r>
        <w:rPr>
          <w:rFonts w:ascii="Times New Roman" w:hAnsi="Times New Roman" w:cs="Times New Roman"/>
          <w:sz w:val="24"/>
          <w:szCs w:val="24"/>
        </w:rPr>
        <w:t xml:space="preserve">As críticas condições de vida que acometia não só a população humana, mas </w:t>
      </w:r>
      <w:r w:rsidRPr="00D9057E">
        <w:rPr>
          <w:rFonts w:ascii="Times New Roman" w:hAnsi="Times New Roman" w:cs="Times New Roman"/>
          <w:sz w:val="24"/>
          <w:szCs w:val="24"/>
        </w:rPr>
        <w:t xml:space="preserve">também os animais e plantas, impostas pela grande seca </w:t>
      </w:r>
      <w:r w:rsidR="0052279C" w:rsidRPr="00AD7D57">
        <w:rPr>
          <w:rFonts w:ascii="Times New Roman" w:hAnsi="Times New Roman" w:cs="Times New Roman"/>
          <w:sz w:val="24"/>
          <w:szCs w:val="24"/>
        </w:rPr>
        <w:t>que</w:t>
      </w:r>
      <w:r w:rsidR="0052279C">
        <w:rPr>
          <w:rFonts w:ascii="Times New Roman" w:hAnsi="Times New Roman" w:cs="Times New Roman"/>
          <w:sz w:val="24"/>
          <w:szCs w:val="24"/>
        </w:rPr>
        <w:t xml:space="preserve"> se estendeu</w:t>
      </w:r>
      <w:r w:rsidR="0052279C" w:rsidRPr="00AD7D57">
        <w:rPr>
          <w:rFonts w:ascii="Times New Roman" w:hAnsi="Times New Roman" w:cs="Times New Roman"/>
          <w:sz w:val="24"/>
          <w:szCs w:val="24"/>
        </w:rPr>
        <w:t xml:space="preserve"> entre 1877 e 1879</w:t>
      </w:r>
      <w:r w:rsidR="00CC0AE4" w:rsidRPr="00CC0AE4">
        <w:rPr>
          <w:rFonts w:ascii="Times New Roman" w:hAnsi="Times New Roman" w:cs="Times New Roman"/>
          <w:sz w:val="24"/>
          <w:szCs w:val="24"/>
        </w:rPr>
        <w:t xml:space="preserve"> </w:t>
      </w:r>
      <w:r w:rsidR="00CC0AE4">
        <w:rPr>
          <w:rFonts w:ascii="Times New Roman" w:hAnsi="Times New Roman" w:cs="Times New Roman"/>
          <w:sz w:val="24"/>
          <w:szCs w:val="24"/>
        </w:rPr>
        <w:t>no semiárido nordestino</w:t>
      </w:r>
      <w:r w:rsidRPr="00D9057E">
        <w:rPr>
          <w:rFonts w:ascii="Times New Roman" w:hAnsi="Times New Roman" w:cs="Times New Roman"/>
          <w:sz w:val="24"/>
          <w:szCs w:val="24"/>
        </w:rPr>
        <w:t>, fez com que famílias inteiras se vissem obrigadas a migrarem em busca de melhores condições de vida</w:t>
      </w:r>
      <w:r w:rsidR="003F2CC9">
        <w:rPr>
          <w:rFonts w:ascii="Times New Roman" w:hAnsi="Times New Roman" w:cs="Times New Roman"/>
          <w:sz w:val="24"/>
          <w:szCs w:val="24"/>
        </w:rPr>
        <w:t xml:space="preserve">, ao passo que aqueles que ficaram tiveram que lidar com </w:t>
      </w:r>
      <w:r w:rsidR="00982573">
        <w:rPr>
          <w:rFonts w:ascii="Times New Roman" w:hAnsi="Times New Roman" w:cs="Times New Roman"/>
          <w:sz w:val="24"/>
          <w:szCs w:val="24"/>
        </w:rPr>
        <w:t xml:space="preserve">as </w:t>
      </w:r>
      <w:r w:rsidR="003F2CC9">
        <w:rPr>
          <w:rFonts w:ascii="Times New Roman" w:hAnsi="Times New Roman" w:cs="Times New Roman"/>
          <w:sz w:val="24"/>
          <w:szCs w:val="24"/>
        </w:rPr>
        <w:t xml:space="preserve">críticas </w:t>
      </w:r>
      <w:r w:rsidR="00B15C67">
        <w:rPr>
          <w:rFonts w:ascii="Times New Roman" w:hAnsi="Times New Roman" w:cs="Times New Roman"/>
          <w:sz w:val="24"/>
          <w:szCs w:val="24"/>
        </w:rPr>
        <w:t xml:space="preserve">questões </w:t>
      </w:r>
      <w:r w:rsidR="003F2CC9">
        <w:rPr>
          <w:rFonts w:ascii="Times New Roman" w:hAnsi="Times New Roman" w:cs="Times New Roman"/>
          <w:sz w:val="24"/>
          <w:szCs w:val="24"/>
        </w:rPr>
        <w:t>de sobrevivência</w:t>
      </w:r>
      <w:r w:rsidR="0034698E">
        <w:rPr>
          <w:rFonts w:ascii="Times New Roman" w:hAnsi="Times New Roman" w:cs="Times New Roman"/>
          <w:sz w:val="24"/>
          <w:szCs w:val="24"/>
        </w:rPr>
        <w:t>, como a fome e a miséria</w:t>
      </w:r>
      <w:r w:rsidRPr="00D9057E">
        <w:rPr>
          <w:rFonts w:ascii="Times New Roman" w:hAnsi="Times New Roman" w:cs="Times New Roman"/>
          <w:sz w:val="24"/>
          <w:szCs w:val="24"/>
        </w:rPr>
        <w:t xml:space="preserve">. </w:t>
      </w:r>
      <w:r w:rsidR="003949EE">
        <w:rPr>
          <w:rFonts w:ascii="Times New Roman" w:hAnsi="Times New Roman" w:cs="Times New Roman"/>
          <w:sz w:val="24"/>
          <w:szCs w:val="24"/>
        </w:rPr>
        <w:t>A população cearense foi uma das principais afetadas. E</w:t>
      </w:r>
      <w:r w:rsidRPr="00D9057E">
        <w:rPr>
          <w:rFonts w:ascii="Times New Roman" w:hAnsi="Times New Roman" w:cs="Times New Roman"/>
          <w:sz w:val="24"/>
          <w:szCs w:val="24"/>
        </w:rPr>
        <w:t>stima-se que o</w:t>
      </w:r>
      <w:r w:rsidR="003949EE">
        <w:rPr>
          <w:rFonts w:ascii="Times New Roman" w:hAnsi="Times New Roman" w:cs="Times New Roman"/>
          <w:sz w:val="24"/>
          <w:szCs w:val="24"/>
        </w:rPr>
        <w:t xml:space="preserve"> estado do Ceará</w:t>
      </w:r>
      <w:r w:rsidRPr="00D9057E">
        <w:rPr>
          <w:rFonts w:ascii="Times New Roman" w:hAnsi="Times New Roman" w:cs="Times New Roman"/>
          <w:sz w:val="24"/>
          <w:szCs w:val="24"/>
        </w:rPr>
        <w:t xml:space="preserve"> sofreu uma perda de um terço de sua população, sendo que 200 mil pessoas morreram e outras praticaram a migração (GARCIA, 2010).</w:t>
      </w:r>
      <w:r>
        <w:rPr>
          <w:rFonts w:ascii="Times New Roman" w:hAnsi="Times New Roman" w:cs="Times New Roman"/>
          <w:sz w:val="24"/>
          <w:szCs w:val="24"/>
        </w:rPr>
        <w:t xml:space="preserve"> </w:t>
      </w:r>
      <w:r w:rsidR="003949EE">
        <w:rPr>
          <w:rFonts w:ascii="Times New Roman" w:hAnsi="Times New Roman" w:cs="Times New Roman"/>
          <w:sz w:val="24"/>
          <w:szCs w:val="24"/>
        </w:rPr>
        <w:t>N</w:t>
      </w:r>
      <w:r>
        <w:rPr>
          <w:rFonts w:ascii="Times New Roman" w:hAnsi="Times New Roman" w:cs="Times New Roman"/>
          <w:sz w:val="24"/>
          <w:szCs w:val="24"/>
        </w:rPr>
        <w:t>esse período</w:t>
      </w:r>
      <w:r w:rsidR="003949EE">
        <w:rPr>
          <w:rFonts w:ascii="Times New Roman" w:hAnsi="Times New Roman" w:cs="Times New Roman"/>
          <w:sz w:val="24"/>
          <w:szCs w:val="24"/>
        </w:rPr>
        <w:t xml:space="preserve"> fo</w:t>
      </w:r>
      <w:r w:rsidR="00982573">
        <w:rPr>
          <w:rFonts w:ascii="Times New Roman" w:hAnsi="Times New Roman" w:cs="Times New Roman"/>
          <w:sz w:val="24"/>
          <w:szCs w:val="24"/>
        </w:rPr>
        <w:t>ram</w:t>
      </w:r>
      <w:r w:rsidR="003949EE">
        <w:rPr>
          <w:rFonts w:ascii="Times New Roman" w:hAnsi="Times New Roman" w:cs="Times New Roman"/>
          <w:sz w:val="24"/>
          <w:szCs w:val="24"/>
        </w:rPr>
        <w:t xml:space="preserve"> verificada</w:t>
      </w:r>
      <w:r w:rsidR="00982573">
        <w:rPr>
          <w:rFonts w:ascii="Times New Roman" w:hAnsi="Times New Roman" w:cs="Times New Roman"/>
          <w:sz w:val="24"/>
          <w:szCs w:val="24"/>
        </w:rPr>
        <w:t xml:space="preserve">s </w:t>
      </w:r>
      <w:r w:rsidRPr="00AD7D57">
        <w:rPr>
          <w:rFonts w:ascii="Times New Roman" w:hAnsi="Times New Roman" w:cs="Times New Roman"/>
          <w:sz w:val="24"/>
          <w:szCs w:val="24"/>
        </w:rPr>
        <w:t>as primeiras ações governamentais para lidar com o problema da seca no Nordeste</w:t>
      </w:r>
      <w:r>
        <w:rPr>
          <w:rFonts w:ascii="Times New Roman" w:hAnsi="Times New Roman" w:cs="Times New Roman"/>
          <w:sz w:val="24"/>
          <w:szCs w:val="24"/>
        </w:rPr>
        <w:t xml:space="preserve">, </w:t>
      </w:r>
      <w:r w:rsidR="003949EE">
        <w:rPr>
          <w:rFonts w:ascii="Times New Roman" w:hAnsi="Times New Roman" w:cs="Times New Roman"/>
          <w:sz w:val="24"/>
          <w:szCs w:val="24"/>
        </w:rPr>
        <w:t>como</w:t>
      </w:r>
      <w:r w:rsidRPr="00AD7D57">
        <w:rPr>
          <w:rFonts w:ascii="Times New Roman" w:hAnsi="Times New Roman" w:cs="Times New Roman"/>
          <w:sz w:val="24"/>
          <w:szCs w:val="24"/>
        </w:rPr>
        <w:t xml:space="preserve"> a perfuração de poços, </w:t>
      </w:r>
      <w:r>
        <w:rPr>
          <w:rFonts w:ascii="Times New Roman" w:hAnsi="Times New Roman" w:cs="Times New Roman"/>
          <w:sz w:val="24"/>
          <w:szCs w:val="24"/>
        </w:rPr>
        <w:t xml:space="preserve">escavação de </w:t>
      </w:r>
      <w:r w:rsidRPr="00AD7D57">
        <w:rPr>
          <w:rFonts w:ascii="Times New Roman" w:hAnsi="Times New Roman" w:cs="Times New Roman"/>
          <w:sz w:val="24"/>
          <w:szCs w:val="24"/>
        </w:rPr>
        <w:t>açudes para armazenamento de água e construção de estradas</w:t>
      </w:r>
      <w:r>
        <w:rPr>
          <w:rFonts w:ascii="Times New Roman" w:hAnsi="Times New Roman" w:cs="Times New Roman"/>
          <w:sz w:val="24"/>
          <w:szCs w:val="24"/>
        </w:rPr>
        <w:t xml:space="preserve"> (de ferro e rodovias)</w:t>
      </w:r>
      <w:r w:rsidR="000115B0">
        <w:rPr>
          <w:rFonts w:ascii="Times New Roman" w:hAnsi="Times New Roman" w:cs="Times New Roman"/>
          <w:sz w:val="24"/>
          <w:szCs w:val="24"/>
        </w:rPr>
        <w:t xml:space="preserve"> </w:t>
      </w:r>
      <w:r w:rsidR="000115B0" w:rsidRPr="00D9057E">
        <w:rPr>
          <w:rFonts w:ascii="Times New Roman" w:hAnsi="Times New Roman" w:cs="Times New Roman"/>
          <w:sz w:val="24"/>
          <w:szCs w:val="24"/>
        </w:rPr>
        <w:t>(LEITE; NOGUEIRA,</w:t>
      </w:r>
      <w:r w:rsidR="000115B0">
        <w:rPr>
          <w:rFonts w:ascii="Times New Roman" w:hAnsi="Times New Roman" w:cs="Times New Roman"/>
          <w:sz w:val="24"/>
          <w:szCs w:val="24"/>
        </w:rPr>
        <w:t xml:space="preserve"> 2017)</w:t>
      </w:r>
      <w:r w:rsidRPr="00AD7D57">
        <w:rPr>
          <w:rFonts w:ascii="Times New Roman" w:hAnsi="Times New Roman" w:cs="Times New Roman"/>
          <w:sz w:val="24"/>
          <w:szCs w:val="24"/>
        </w:rPr>
        <w:t xml:space="preserve">. </w:t>
      </w:r>
    </w:p>
    <w:bookmarkEnd w:id="1"/>
    <w:p w14:paraId="5E39FAA3" w14:textId="77777777" w:rsidR="00981E5F" w:rsidRDefault="002A0706" w:rsidP="00BF68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BF68CE" w:rsidRPr="0026351E">
        <w:rPr>
          <w:rFonts w:ascii="Times New Roman" w:hAnsi="Times New Roman" w:cs="Times New Roman"/>
          <w:sz w:val="24"/>
          <w:szCs w:val="24"/>
        </w:rPr>
        <w:t>Considerando a contribuição relativa para o crescimento da emigração acumulada entre 1950 e 1960</w:t>
      </w:r>
      <w:r w:rsidR="000115B0">
        <w:rPr>
          <w:rFonts w:ascii="Times New Roman" w:hAnsi="Times New Roman" w:cs="Times New Roman"/>
          <w:sz w:val="24"/>
          <w:szCs w:val="24"/>
        </w:rPr>
        <w:t xml:space="preserve"> no Brasil</w:t>
      </w:r>
      <w:r w:rsidR="00BF68CE" w:rsidRPr="0026351E">
        <w:rPr>
          <w:rFonts w:ascii="Times New Roman" w:hAnsi="Times New Roman" w:cs="Times New Roman"/>
          <w:sz w:val="24"/>
          <w:szCs w:val="24"/>
        </w:rPr>
        <w:t xml:space="preserve">, o Nordeste foi responsável por 48%, estando a seca entre os principais fatores dessa evasão (a melhora do sistema de transporte no sentido Bahia-Rio de Janeiro também era outro fator dos mais relevantes) (BRITO, 1999). Segundo Camarano e Abramovay (1999), é nos anos 1990 que a </w:t>
      </w:r>
      <w:proofErr w:type="spellStart"/>
      <w:r w:rsidR="00BF68CE" w:rsidRPr="0026351E">
        <w:rPr>
          <w:rFonts w:ascii="Times New Roman" w:hAnsi="Times New Roman" w:cs="Times New Roman"/>
          <w:sz w:val="24"/>
          <w:szCs w:val="24"/>
        </w:rPr>
        <w:t>desruralização</w:t>
      </w:r>
      <w:proofErr w:type="spellEnd"/>
      <w:r w:rsidR="00BF68CE" w:rsidRPr="0026351E">
        <w:rPr>
          <w:rFonts w:ascii="Times New Roman" w:hAnsi="Times New Roman" w:cs="Times New Roman"/>
          <w:sz w:val="24"/>
          <w:szCs w:val="24"/>
        </w:rPr>
        <w:t xml:space="preserve"> se concentra especialmente na região Nordeste, visto que o êxodo dos 5,9 milhões de habitantes registrados nessa década, mais da metade era composta por nordestinos. </w:t>
      </w:r>
    </w:p>
    <w:p w14:paraId="2FC5A523" w14:textId="451929AB" w:rsidR="00BF68CE" w:rsidRPr="0026351E" w:rsidRDefault="000115B0" w:rsidP="00BF68CE">
      <w:pPr>
        <w:spacing w:after="0" w:line="360" w:lineRule="auto"/>
        <w:ind w:firstLine="708"/>
        <w:jc w:val="both"/>
        <w:rPr>
          <w:rFonts w:ascii="Times New Roman" w:hAnsi="Times New Roman" w:cs="Times New Roman"/>
          <w:sz w:val="24"/>
          <w:szCs w:val="24"/>
        </w:rPr>
      </w:pPr>
      <w:bookmarkStart w:id="2" w:name="_Hlk110237380"/>
      <w:r w:rsidRPr="00AD7D57">
        <w:rPr>
          <w:rFonts w:ascii="Times New Roman" w:hAnsi="Times New Roman" w:cs="Times New Roman"/>
          <w:sz w:val="24"/>
          <w:szCs w:val="24"/>
        </w:rPr>
        <w:t>As sérias questões econômicas e sociais</w:t>
      </w:r>
      <w:r w:rsidR="00AA5EFD">
        <w:rPr>
          <w:rFonts w:ascii="Times New Roman" w:hAnsi="Times New Roman" w:cs="Times New Roman"/>
          <w:sz w:val="24"/>
          <w:szCs w:val="24"/>
        </w:rPr>
        <w:t>, ainda</w:t>
      </w:r>
      <w:r w:rsidRPr="00AD7D57">
        <w:rPr>
          <w:rFonts w:ascii="Times New Roman" w:hAnsi="Times New Roman" w:cs="Times New Roman"/>
          <w:sz w:val="24"/>
          <w:szCs w:val="24"/>
        </w:rPr>
        <w:t xml:space="preserve"> agravadas pela irregularidade climática</w:t>
      </w:r>
      <w:r>
        <w:rPr>
          <w:rFonts w:ascii="Times New Roman" w:hAnsi="Times New Roman" w:cs="Times New Roman"/>
          <w:sz w:val="24"/>
          <w:szCs w:val="24"/>
        </w:rPr>
        <w:t xml:space="preserve"> ao longo dos anos,</w:t>
      </w:r>
      <w:r w:rsidRPr="00AD7D57">
        <w:rPr>
          <w:rFonts w:ascii="Times New Roman" w:hAnsi="Times New Roman" w:cs="Times New Roman"/>
          <w:sz w:val="24"/>
          <w:szCs w:val="24"/>
        </w:rPr>
        <w:t xml:space="preserve"> nessa área de expressividade territorial e demográfica, a tornou área foco das ações governamentais ao longo de sua formação </w:t>
      </w:r>
      <w:r w:rsidRPr="00D9057E">
        <w:rPr>
          <w:rFonts w:ascii="Times New Roman" w:hAnsi="Times New Roman" w:cs="Times New Roman"/>
          <w:sz w:val="24"/>
          <w:szCs w:val="24"/>
        </w:rPr>
        <w:t>histórica</w:t>
      </w:r>
      <w:r w:rsidRPr="00AD7D57">
        <w:rPr>
          <w:rFonts w:ascii="Times New Roman" w:hAnsi="Times New Roman" w:cs="Times New Roman"/>
          <w:sz w:val="24"/>
          <w:szCs w:val="24"/>
        </w:rPr>
        <w:t>.</w:t>
      </w:r>
      <w:r w:rsidR="00981E5F">
        <w:rPr>
          <w:rFonts w:ascii="Times New Roman" w:hAnsi="Times New Roman" w:cs="Times New Roman"/>
          <w:sz w:val="24"/>
          <w:szCs w:val="24"/>
        </w:rPr>
        <w:t xml:space="preserve"> </w:t>
      </w:r>
      <w:r w:rsidR="0052279C">
        <w:rPr>
          <w:rFonts w:ascii="Times New Roman" w:hAnsi="Times New Roman" w:cs="Times New Roman"/>
          <w:sz w:val="24"/>
          <w:szCs w:val="24"/>
        </w:rPr>
        <w:t>Da</w:t>
      </w:r>
      <w:r w:rsidR="00BF68CE" w:rsidRPr="0026351E">
        <w:rPr>
          <w:rFonts w:ascii="Times New Roman" w:hAnsi="Times New Roman" w:cs="Times New Roman"/>
          <w:sz w:val="24"/>
          <w:szCs w:val="24"/>
        </w:rPr>
        <w:t xml:space="preserve">s ações governamentais desenvolvidas desde as primeiras grandes secas para lidar com tal problema, o Programa Cisternas é considerado uma das principais </w:t>
      </w:r>
      <w:r w:rsidR="00CC0AE4">
        <w:rPr>
          <w:rFonts w:ascii="Times New Roman" w:hAnsi="Times New Roman" w:cs="Times New Roman"/>
          <w:sz w:val="24"/>
          <w:szCs w:val="24"/>
        </w:rPr>
        <w:t>ações</w:t>
      </w:r>
      <w:r w:rsidR="00BF68CE" w:rsidRPr="0026351E">
        <w:rPr>
          <w:rFonts w:ascii="Times New Roman" w:hAnsi="Times New Roman" w:cs="Times New Roman"/>
          <w:sz w:val="24"/>
          <w:szCs w:val="24"/>
        </w:rPr>
        <w:t xml:space="preserve"> para combater a escassez hídrica no semiárido nordestino. </w:t>
      </w:r>
      <w:bookmarkEnd w:id="2"/>
      <w:r w:rsidR="00BF68CE" w:rsidRPr="0026351E">
        <w:rPr>
          <w:rFonts w:ascii="Times New Roman" w:hAnsi="Times New Roman" w:cs="Times New Roman"/>
          <w:sz w:val="24"/>
          <w:szCs w:val="24"/>
        </w:rPr>
        <w:t>Criado em 2003, é tido a nível mundial como um dos maiores programas em termos de aproveitamento de água das chuvas para consumo humano, caracterizando-o, dessa maneira, como uma forte estratégia de adaptação ao clima semiárido. Ademais, é um programa que está voltado para o bem-estar das famílias de baixa renda do meio rural, com o objetivo de promover o convívio com a falta regular de água (</w:t>
      </w:r>
      <w:r w:rsidR="0034698E">
        <w:rPr>
          <w:rFonts w:ascii="Times New Roman" w:hAnsi="Times New Roman" w:cs="Times New Roman"/>
          <w:sz w:val="24"/>
          <w:szCs w:val="24"/>
        </w:rPr>
        <w:t xml:space="preserve">CAMPELLO, 2016; </w:t>
      </w:r>
      <w:r w:rsidR="00DD6758">
        <w:rPr>
          <w:rFonts w:ascii="Times New Roman" w:hAnsi="Times New Roman" w:cs="Times New Roman"/>
          <w:sz w:val="24"/>
          <w:szCs w:val="24"/>
        </w:rPr>
        <w:t>ASA, 2022</w:t>
      </w:r>
      <w:r w:rsidR="00BF68CE" w:rsidRPr="0026351E">
        <w:rPr>
          <w:rFonts w:ascii="Times New Roman" w:hAnsi="Times New Roman" w:cs="Times New Roman"/>
          <w:sz w:val="24"/>
          <w:szCs w:val="24"/>
        </w:rPr>
        <w:t xml:space="preserve">). </w:t>
      </w:r>
    </w:p>
    <w:p w14:paraId="4C5D0595" w14:textId="239D9AB4" w:rsidR="00BF68CE" w:rsidRPr="0026351E" w:rsidRDefault="00BF68CE" w:rsidP="00BF68CE">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Destaca-se que o acesso a essas tecnologias pode proporcionar facilidades a qualidade de vida da população, em especial das que residem nas zonas rurais mais afastadas, além daquelas que vivem em pequenas cidades no sertão ou em áreas periféricas de alguns centros urbanos que não tem acesso a rede geral de abastecimento d’agua. Na região do Semiárido Setentrional, onde as secas são mais frequentes, foi registrada uma deficiência hídrica significativa para manutenção da vida de maneira sustentável, quando comparado ao estabelecido pela ONU (Organização das Nações Unidas). A disponibilidade hídrica da região corresponde a ¼ do mínimo recomendado (1.500 m</w:t>
      </w:r>
      <w:r w:rsidRPr="0026351E">
        <w:rPr>
          <w:rFonts w:ascii="Times New Roman" w:hAnsi="Times New Roman" w:cs="Times New Roman"/>
          <w:sz w:val="24"/>
          <w:szCs w:val="24"/>
          <w:vertAlign w:val="superscript"/>
        </w:rPr>
        <w:t>3</w:t>
      </w:r>
      <w:r w:rsidRPr="0026351E">
        <w:rPr>
          <w:rFonts w:ascii="Times New Roman" w:hAnsi="Times New Roman" w:cs="Times New Roman"/>
          <w:sz w:val="24"/>
          <w:szCs w:val="24"/>
        </w:rPr>
        <w:t>/</w:t>
      </w:r>
      <w:proofErr w:type="spellStart"/>
      <w:r w:rsidRPr="0026351E">
        <w:rPr>
          <w:rFonts w:ascii="Times New Roman" w:hAnsi="Times New Roman" w:cs="Times New Roman"/>
          <w:sz w:val="24"/>
          <w:szCs w:val="24"/>
        </w:rPr>
        <w:t>hab</w:t>
      </w:r>
      <w:proofErr w:type="spellEnd"/>
      <w:r w:rsidRPr="0026351E">
        <w:rPr>
          <w:rFonts w:ascii="Times New Roman" w:hAnsi="Times New Roman" w:cs="Times New Roman"/>
          <w:sz w:val="24"/>
          <w:szCs w:val="24"/>
        </w:rPr>
        <w:t xml:space="preserve">/ano) pela referida organização (CASTRO, 2011). O bioma Caatinga, onde o Semiárido Setentrional está </w:t>
      </w:r>
      <w:r w:rsidR="00981E5F">
        <w:rPr>
          <w:rFonts w:ascii="Times New Roman" w:hAnsi="Times New Roman" w:cs="Times New Roman"/>
          <w:sz w:val="24"/>
          <w:szCs w:val="24"/>
        </w:rPr>
        <w:t>inserido</w:t>
      </w:r>
      <w:r w:rsidRPr="0026351E">
        <w:rPr>
          <w:rFonts w:ascii="Times New Roman" w:hAnsi="Times New Roman" w:cs="Times New Roman"/>
          <w:sz w:val="24"/>
          <w:szCs w:val="24"/>
        </w:rPr>
        <w:t xml:space="preserve">, é uma das formações ecológicas mais áridas do mundo que concentra grande contingente populacional. Em 2010, conforme Ojima e Martine (2012) ao analisarem os biomas brasileiros, residia neste espaço 9,5% da população brasileira.  </w:t>
      </w:r>
    </w:p>
    <w:p w14:paraId="27AC051D" w14:textId="2DD31968" w:rsidR="00BF68CE" w:rsidRDefault="00BF68CE" w:rsidP="00BF68CE">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lastRenderedPageBreak/>
        <w:t>O acesso à tecnologia das cisternas de placas não só proporciona a segurança hídrica e alimentar, com o acesso à água para consumo humano e para produção de alimentos (</w:t>
      </w:r>
      <w:r w:rsidR="003D51D6">
        <w:rPr>
          <w:rFonts w:ascii="Times New Roman" w:hAnsi="Times New Roman" w:cs="Times New Roman"/>
          <w:sz w:val="24"/>
          <w:szCs w:val="24"/>
        </w:rPr>
        <w:t>ASA</w:t>
      </w:r>
      <w:r w:rsidRPr="0026351E">
        <w:rPr>
          <w:rFonts w:ascii="Times New Roman" w:hAnsi="Times New Roman" w:cs="Times New Roman"/>
          <w:sz w:val="24"/>
          <w:szCs w:val="24"/>
        </w:rPr>
        <w:t>, 202</w:t>
      </w:r>
      <w:r w:rsidR="003D51D6">
        <w:rPr>
          <w:rFonts w:ascii="Times New Roman" w:hAnsi="Times New Roman" w:cs="Times New Roman"/>
          <w:sz w:val="24"/>
          <w:szCs w:val="24"/>
        </w:rPr>
        <w:t>2</w:t>
      </w:r>
      <w:r w:rsidRPr="0026351E">
        <w:rPr>
          <w:rFonts w:ascii="Times New Roman" w:hAnsi="Times New Roman" w:cs="Times New Roman"/>
          <w:sz w:val="24"/>
          <w:szCs w:val="24"/>
        </w:rPr>
        <w:t>), mas também dá a oportunidade de os beneficiários terem acesso a outros serviços básicos, como a saúde, educação, renda e a inclusão produtiva, o que contribui em grande medida com a adaptação ao clima e com o rompimento do ciclo de pobreza das famílias rurais. Esse é um programa, portanto, multidimensional, pois abrange tanto a dimensão ambiental quanto a social, assim como a econômica (CAMPELLO, 2016)</w:t>
      </w:r>
      <w:r w:rsidR="00FB06B3">
        <w:rPr>
          <w:rFonts w:ascii="Times New Roman" w:hAnsi="Times New Roman" w:cs="Times New Roman"/>
          <w:sz w:val="24"/>
          <w:szCs w:val="24"/>
        </w:rPr>
        <w:t xml:space="preserve">, o qual </w:t>
      </w:r>
      <w:r w:rsidR="001F057F">
        <w:rPr>
          <w:rFonts w:ascii="Times New Roman" w:hAnsi="Times New Roman" w:cs="Times New Roman"/>
          <w:sz w:val="24"/>
          <w:szCs w:val="24"/>
        </w:rPr>
        <w:t xml:space="preserve">pode ter implicações importantes sobre a permanência da população rural no seu local </w:t>
      </w:r>
      <w:r w:rsidR="00FB06B3">
        <w:rPr>
          <w:rFonts w:ascii="Times New Roman" w:hAnsi="Times New Roman" w:cs="Times New Roman"/>
          <w:sz w:val="24"/>
          <w:szCs w:val="24"/>
        </w:rPr>
        <w:t>de nasciment</w:t>
      </w:r>
      <w:r w:rsidR="001F057F">
        <w:rPr>
          <w:rFonts w:ascii="Times New Roman" w:hAnsi="Times New Roman" w:cs="Times New Roman"/>
          <w:sz w:val="24"/>
          <w:szCs w:val="24"/>
        </w:rPr>
        <w:t>o</w:t>
      </w:r>
      <w:r w:rsidRPr="0026351E">
        <w:rPr>
          <w:rFonts w:ascii="Times New Roman" w:hAnsi="Times New Roman" w:cs="Times New Roman"/>
          <w:sz w:val="24"/>
          <w:szCs w:val="24"/>
        </w:rPr>
        <w:t xml:space="preserve">. </w:t>
      </w:r>
    </w:p>
    <w:p w14:paraId="1D1C4B38" w14:textId="5FD1C493" w:rsidR="44379C23" w:rsidRDefault="008821B0" w:rsidP="00FB06B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bookmarkStart w:id="3" w:name="_Hlk110238241"/>
      <w:r w:rsidR="00BF68CE" w:rsidRPr="0026351E">
        <w:rPr>
          <w:rFonts w:ascii="Times New Roman" w:hAnsi="Times New Roman" w:cs="Times New Roman"/>
          <w:sz w:val="24"/>
          <w:szCs w:val="24"/>
        </w:rPr>
        <w:t xml:space="preserve">Apesar das inúmeras ações implementadas pelo governo federal no início deste século em diferentes vertentes que vieram a beneficiar em grande medida a população rural do semiárido nordestino, como o Bolsa Família (COSTA, 2017), </w:t>
      </w:r>
      <w:r w:rsidR="00FB06B3">
        <w:rPr>
          <w:rFonts w:ascii="Times New Roman" w:hAnsi="Times New Roman" w:cs="Times New Roman"/>
          <w:sz w:val="24"/>
          <w:szCs w:val="24"/>
        </w:rPr>
        <w:t xml:space="preserve">a atenção </w:t>
      </w:r>
      <w:r w:rsidR="00BF68CE" w:rsidRPr="0026351E">
        <w:rPr>
          <w:rFonts w:ascii="Times New Roman" w:hAnsi="Times New Roman" w:cs="Times New Roman"/>
          <w:sz w:val="24"/>
          <w:szCs w:val="24"/>
        </w:rPr>
        <w:t xml:space="preserve">aqui </w:t>
      </w:r>
      <w:r w:rsidR="00FB06B3">
        <w:rPr>
          <w:rFonts w:ascii="Times New Roman" w:hAnsi="Times New Roman" w:cs="Times New Roman"/>
          <w:sz w:val="24"/>
          <w:szCs w:val="24"/>
        </w:rPr>
        <w:t>é dada</w:t>
      </w:r>
      <w:r w:rsidR="00BF68CE" w:rsidRPr="0026351E">
        <w:rPr>
          <w:rFonts w:ascii="Times New Roman" w:hAnsi="Times New Roman" w:cs="Times New Roman"/>
          <w:sz w:val="24"/>
          <w:szCs w:val="24"/>
        </w:rPr>
        <w:t xml:space="preserve"> ao Programa Cisternas, pertencente à vertente de políticas de cunho alimentar, nutricional e de sustentabilidade ambiental, em função de sua notoriedade no semiárido e caráter multidimensional, no convívio com a seca. </w:t>
      </w:r>
      <w:r w:rsidR="00B50FAF">
        <w:rPr>
          <w:rFonts w:ascii="Times New Roman" w:hAnsi="Times New Roman" w:cs="Times New Roman"/>
          <w:sz w:val="24"/>
          <w:szCs w:val="24"/>
        </w:rPr>
        <w:t>Assim, e</w:t>
      </w:r>
      <w:r w:rsidR="00BF68CE" w:rsidRPr="0026351E">
        <w:rPr>
          <w:rFonts w:ascii="Times New Roman" w:hAnsi="Times New Roman" w:cs="Times New Roman"/>
          <w:sz w:val="24"/>
          <w:szCs w:val="24"/>
        </w:rPr>
        <w:t>spera-se que o objetivo de associar a imobilidade com as cisternas possa fornecer indicativos da importância do Programa Cisternas para a construção/manutenção da resiliência e</w:t>
      </w:r>
      <w:r w:rsidR="00567F51">
        <w:rPr>
          <w:rFonts w:ascii="Times New Roman" w:hAnsi="Times New Roman" w:cs="Times New Roman"/>
          <w:sz w:val="24"/>
          <w:szCs w:val="24"/>
        </w:rPr>
        <w:t>, dessa forma, para a</w:t>
      </w:r>
      <w:r w:rsidR="00BF68CE" w:rsidRPr="0026351E">
        <w:rPr>
          <w:rFonts w:ascii="Times New Roman" w:hAnsi="Times New Roman" w:cs="Times New Roman"/>
          <w:sz w:val="24"/>
          <w:szCs w:val="24"/>
        </w:rPr>
        <w:t xml:space="preserve"> permanência da população no meio rural. </w:t>
      </w:r>
    </w:p>
    <w:bookmarkEnd w:id="3"/>
    <w:p w14:paraId="1595100D" w14:textId="77777777" w:rsidR="002C0A38" w:rsidRPr="0026351E" w:rsidRDefault="002C0A38" w:rsidP="00BF68CE">
      <w:pPr>
        <w:spacing w:after="0" w:line="360" w:lineRule="auto"/>
        <w:ind w:firstLine="708"/>
        <w:jc w:val="both"/>
        <w:rPr>
          <w:rFonts w:ascii="Times New Roman" w:hAnsi="Times New Roman" w:cs="Times New Roman"/>
          <w:sz w:val="24"/>
          <w:szCs w:val="24"/>
        </w:rPr>
      </w:pPr>
    </w:p>
    <w:p w14:paraId="00D7C27F" w14:textId="77777777" w:rsidR="00695FD3" w:rsidRPr="0026351E" w:rsidRDefault="00667C57" w:rsidP="002B7519">
      <w:pPr>
        <w:spacing w:after="0" w:line="360" w:lineRule="auto"/>
        <w:jc w:val="both"/>
        <w:rPr>
          <w:rFonts w:ascii="Times New Roman" w:hAnsi="Times New Roman" w:cs="Times New Roman"/>
          <w:sz w:val="24"/>
          <w:szCs w:val="24"/>
        </w:rPr>
      </w:pPr>
      <w:r w:rsidRPr="0026351E">
        <w:rPr>
          <w:rFonts w:ascii="Times New Roman" w:hAnsi="Times New Roman" w:cs="Times New Roman"/>
          <w:b/>
          <w:bCs/>
          <w:sz w:val="24"/>
          <w:szCs w:val="24"/>
        </w:rPr>
        <w:t>2 ASPECTOS METODOLÓGICOS</w:t>
      </w:r>
    </w:p>
    <w:p w14:paraId="12B52C13" w14:textId="77777777" w:rsidR="00BF68CE" w:rsidRPr="0026351E" w:rsidRDefault="00BF68CE" w:rsidP="00BF68CE">
      <w:pPr>
        <w:spacing w:after="0" w:line="360" w:lineRule="auto"/>
        <w:ind w:firstLine="708"/>
        <w:jc w:val="both"/>
        <w:rPr>
          <w:rFonts w:ascii="Times New Roman" w:hAnsi="Times New Roman" w:cs="Times New Roman"/>
          <w:b/>
          <w:bCs/>
          <w:i/>
          <w:iCs/>
        </w:rPr>
      </w:pPr>
    </w:p>
    <w:p w14:paraId="0B65B953" w14:textId="057815CE" w:rsidR="00BF68CE" w:rsidRDefault="00BF68CE" w:rsidP="00BF68CE">
      <w:pPr>
        <w:spacing w:after="0" w:line="360" w:lineRule="auto"/>
        <w:ind w:firstLine="708"/>
        <w:jc w:val="both"/>
        <w:rPr>
          <w:rFonts w:ascii="Times New Roman" w:hAnsi="Times New Roman" w:cs="Times New Roman"/>
          <w:b/>
          <w:bCs/>
          <w:i/>
          <w:iCs/>
        </w:rPr>
      </w:pPr>
      <w:r w:rsidRPr="0026351E">
        <w:rPr>
          <w:rFonts w:ascii="Times New Roman" w:hAnsi="Times New Roman" w:cs="Times New Roman"/>
          <w:b/>
          <w:bCs/>
          <w:i/>
          <w:iCs/>
        </w:rPr>
        <w:t>2.1 Conceitos e Fonte de Dados</w:t>
      </w:r>
    </w:p>
    <w:p w14:paraId="6AE92CFA" w14:textId="77777777" w:rsidR="00CF4540" w:rsidRPr="00CF4540" w:rsidRDefault="00CF4540" w:rsidP="00BF68CE">
      <w:pPr>
        <w:spacing w:after="0" w:line="360" w:lineRule="auto"/>
        <w:ind w:firstLine="708"/>
        <w:jc w:val="both"/>
        <w:rPr>
          <w:rFonts w:ascii="Times New Roman" w:hAnsi="Times New Roman" w:cs="Times New Roman"/>
          <w:b/>
          <w:bCs/>
        </w:rPr>
      </w:pPr>
    </w:p>
    <w:p w14:paraId="3D35B647" w14:textId="0918AB6F" w:rsidR="00C722F1" w:rsidRDefault="00DE5A4E" w:rsidP="00CC0041">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tab/>
      </w:r>
      <w:r w:rsidR="00BF68CE" w:rsidRPr="0026351E">
        <w:rPr>
          <w:rFonts w:ascii="Times New Roman" w:hAnsi="Times New Roman" w:cs="Times New Roman"/>
          <w:sz w:val="24"/>
          <w:szCs w:val="24"/>
        </w:rPr>
        <w:t xml:space="preserve">A imobilidade aqui está associada aos nunca migrantes. </w:t>
      </w:r>
      <w:r w:rsidR="00567F51" w:rsidRPr="0026351E">
        <w:rPr>
          <w:rFonts w:ascii="Times New Roman" w:hAnsi="Times New Roman" w:cs="Times New Roman"/>
          <w:sz w:val="24"/>
          <w:szCs w:val="24"/>
        </w:rPr>
        <w:t>Uma forma de captar</w:t>
      </w:r>
      <w:r w:rsidR="00CC0AE4">
        <w:rPr>
          <w:rFonts w:ascii="Times New Roman" w:hAnsi="Times New Roman" w:cs="Times New Roman"/>
          <w:sz w:val="24"/>
          <w:szCs w:val="24"/>
        </w:rPr>
        <w:t xml:space="preserve"> essa popu</w:t>
      </w:r>
      <w:r w:rsidR="00567F51" w:rsidRPr="0026351E">
        <w:rPr>
          <w:rFonts w:ascii="Times New Roman" w:hAnsi="Times New Roman" w:cs="Times New Roman"/>
          <w:sz w:val="24"/>
          <w:szCs w:val="24"/>
        </w:rPr>
        <w:t xml:space="preserve">lação é através do quesito local de nascimento </w:t>
      </w:r>
      <w:r w:rsidR="00CC0AE4">
        <w:rPr>
          <w:rFonts w:ascii="Times New Roman" w:hAnsi="Times New Roman" w:cs="Times New Roman"/>
          <w:sz w:val="24"/>
          <w:szCs w:val="24"/>
        </w:rPr>
        <w:t xml:space="preserve">geralmente </w:t>
      </w:r>
      <w:r w:rsidR="00567F51" w:rsidRPr="0026351E">
        <w:rPr>
          <w:rFonts w:ascii="Times New Roman" w:hAnsi="Times New Roman" w:cs="Times New Roman"/>
          <w:sz w:val="24"/>
          <w:szCs w:val="24"/>
        </w:rPr>
        <w:t>presente nos Censos Demográficos</w:t>
      </w:r>
      <w:r w:rsidR="00CC0AE4">
        <w:rPr>
          <w:rFonts w:ascii="Times New Roman" w:hAnsi="Times New Roman" w:cs="Times New Roman"/>
          <w:sz w:val="24"/>
          <w:szCs w:val="24"/>
        </w:rPr>
        <w:t xml:space="preserve">, a partir do qual pode-se selecionar apenas </w:t>
      </w:r>
      <w:r w:rsidR="00BF68CE" w:rsidRPr="0026351E">
        <w:rPr>
          <w:rFonts w:ascii="Times New Roman" w:hAnsi="Times New Roman" w:cs="Times New Roman"/>
          <w:sz w:val="24"/>
          <w:szCs w:val="24"/>
        </w:rPr>
        <w:t xml:space="preserve">aqueles que na data do recenseamento residiam no mesmo município onde nasceram. </w:t>
      </w:r>
    </w:p>
    <w:p w14:paraId="34B50456" w14:textId="61CE091E" w:rsidR="00BF68CE" w:rsidRPr="0026351E" w:rsidRDefault="00C722F1" w:rsidP="00C722F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A unidade de análise são o</w:t>
      </w:r>
      <w:r w:rsidR="00BF68CE" w:rsidRPr="0026351E">
        <w:rPr>
          <w:rFonts w:ascii="Times New Roman" w:hAnsi="Times New Roman" w:cs="Times New Roman"/>
          <w:sz w:val="24"/>
          <w:szCs w:val="24"/>
        </w:rPr>
        <w:t>s municípios presentes no bioma Caatinga</w:t>
      </w:r>
      <w:r w:rsidR="00BF68CE" w:rsidRPr="0026351E">
        <w:rPr>
          <w:rStyle w:val="Refdenotaderodap"/>
          <w:rFonts w:ascii="Times New Roman" w:hAnsi="Times New Roman" w:cs="Times New Roman"/>
          <w:sz w:val="24"/>
          <w:szCs w:val="24"/>
        </w:rPr>
        <w:footnoteReference w:id="2"/>
      </w:r>
      <w:r w:rsidR="00BF68CE" w:rsidRPr="0026351E">
        <w:rPr>
          <w:rFonts w:ascii="Times New Roman" w:hAnsi="Times New Roman" w:cs="Times New Roman"/>
          <w:sz w:val="24"/>
          <w:szCs w:val="24"/>
        </w:rPr>
        <w:t xml:space="preserve"> (Figura 1), composto por 1.172 municípios, no intuito de alcançar um recorte socioambiental adequado para o estudo do tripé população-espaço-ambiente. Como se sabe, as informações para análises demográficas dos Censos estão disponíveis apenas para os limites político-administrativos, os quais nem sempre coincidem com as unidades ambientais, o que leva a necessidade de adequar ao máximo as informações para a unidade em estudo. </w:t>
      </w:r>
    </w:p>
    <w:p w14:paraId="3A2D7F27" w14:textId="77777777" w:rsidR="00BF68CE" w:rsidRPr="0026351E" w:rsidRDefault="00BF68CE" w:rsidP="00BF68CE">
      <w:pPr>
        <w:spacing w:after="0" w:line="360" w:lineRule="auto"/>
        <w:ind w:firstLine="708"/>
        <w:jc w:val="both"/>
        <w:rPr>
          <w:rFonts w:ascii="Times New Roman" w:hAnsi="Times New Roman" w:cs="Times New Roman"/>
          <w:sz w:val="24"/>
          <w:szCs w:val="24"/>
        </w:rPr>
      </w:pPr>
    </w:p>
    <w:p w14:paraId="1F741CDA" w14:textId="77777777" w:rsidR="00BF68CE" w:rsidRPr="0026351E" w:rsidRDefault="00BF68CE" w:rsidP="00BF68CE">
      <w:pPr>
        <w:spacing w:after="0" w:line="36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Figura 1: Localização do Bioma Caatinga – Nordeste</w:t>
      </w:r>
    </w:p>
    <w:p w14:paraId="4483A738" w14:textId="06591471" w:rsidR="00BF68CE" w:rsidRPr="0026351E" w:rsidRDefault="00503182" w:rsidP="00BF68CE">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271E4FE" wp14:editId="113B4D74">
            <wp:extent cx="3025140" cy="3572739"/>
            <wp:effectExtent l="0" t="0" r="3810" b="889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99822" cy="3660940"/>
                    </a:xfrm>
                    <a:prstGeom prst="rect">
                      <a:avLst/>
                    </a:prstGeom>
                  </pic:spPr>
                </pic:pic>
              </a:graphicData>
            </a:graphic>
          </wp:inline>
        </w:drawing>
      </w:r>
    </w:p>
    <w:p w14:paraId="09B2E8E3" w14:textId="560AD4EE" w:rsidR="00BF68CE" w:rsidRPr="0026351E" w:rsidRDefault="00BF68CE" w:rsidP="00BF68CE">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 xml:space="preserve">Fonte: </w:t>
      </w:r>
      <w:r w:rsidR="00503182" w:rsidRPr="00503182">
        <w:rPr>
          <w:rFonts w:ascii="Times New Roman" w:hAnsi="Times New Roman" w:cs="Times New Roman"/>
          <w:sz w:val="20"/>
          <w:szCs w:val="20"/>
        </w:rPr>
        <w:t>IBGE, malha dos municípios e estados (2017), e do Bioma Caatinga.</w:t>
      </w:r>
    </w:p>
    <w:p w14:paraId="40031205" w14:textId="77777777" w:rsidR="00C83638" w:rsidRDefault="00C83638" w:rsidP="00BF68CE">
      <w:pPr>
        <w:spacing w:after="0" w:line="360" w:lineRule="auto"/>
        <w:ind w:firstLine="708"/>
        <w:jc w:val="both"/>
        <w:rPr>
          <w:rFonts w:ascii="Times New Roman" w:hAnsi="Times New Roman" w:cs="Times New Roman"/>
          <w:sz w:val="24"/>
          <w:szCs w:val="24"/>
        </w:rPr>
      </w:pPr>
    </w:p>
    <w:p w14:paraId="356CAE37" w14:textId="1CD3044E" w:rsidR="00BF68CE" w:rsidRPr="0026351E" w:rsidRDefault="00BF68CE" w:rsidP="00BF68CE">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Haja vista que a cobertura das cisternas é maior no meio rural, considerou-se apenas a população residente n</w:t>
      </w:r>
      <w:r w:rsidR="002A6D1E">
        <w:rPr>
          <w:rFonts w:ascii="Times New Roman" w:hAnsi="Times New Roman" w:cs="Times New Roman"/>
          <w:sz w:val="24"/>
          <w:szCs w:val="24"/>
        </w:rPr>
        <w:t>este espaço</w:t>
      </w:r>
      <w:r w:rsidRPr="0026351E">
        <w:rPr>
          <w:rFonts w:ascii="Times New Roman" w:hAnsi="Times New Roman" w:cs="Times New Roman"/>
          <w:sz w:val="24"/>
          <w:szCs w:val="24"/>
        </w:rPr>
        <w:t xml:space="preserve">. </w:t>
      </w:r>
      <w:r w:rsidR="002A6D1E" w:rsidRPr="002A6D1E">
        <w:rPr>
          <w:rFonts w:ascii="Times New Roman" w:hAnsi="Times New Roman" w:cs="Times New Roman"/>
          <w:sz w:val="24"/>
          <w:szCs w:val="24"/>
        </w:rPr>
        <w:t xml:space="preserve">Ressalta-se que embora no Censo de 2010 não dê pra identificar a migração </w:t>
      </w:r>
      <w:proofErr w:type="spellStart"/>
      <w:r w:rsidR="002A6D1E" w:rsidRPr="002A6D1E">
        <w:rPr>
          <w:rFonts w:ascii="Times New Roman" w:hAnsi="Times New Roman" w:cs="Times New Roman"/>
          <w:sz w:val="24"/>
          <w:szCs w:val="24"/>
        </w:rPr>
        <w:t>intramunicipal</w:t>
      </w:r>
      <w:proofErr w:type="spellEnd"/>
      <w:r w:rsidR="002A6D1E" w:rsidRPr="002A6D1E">
        <w:rPr>
          <w:rFonts w:ascii="Times New Roman" w:hAnsi="Times New Roman" w:cs="Times New Roman"/>
          <w:sz w:val="24"/>
          <w:szCs w:val="24"/>
        </w:rPr>
        <w:t xml:space="preserve">, isto é, quem saiu do rural para o urbano do próprio </w:t>
      </w:r>
      <w:r w:rsidR="002A6D1E" w:rsidRPr="002A6D1E">
        <w:rPr>
          <w:rFonts w:ascii="Times New Roman" w:hAnsi="Times New Roman" w:cs="Times New Roman"/>
          <w:sz w:val="24"/>
          <w:szCs w:val="24"/>
        </w:rPr>
        <w:lastRenderedPageBreak/>
        <w:t>município ou vice-e-versa, é possível identificar onde a pessoa mora atualmente e de onde nunca saiu segundo a situação de domicílio, se urbana ou rural. Dessa forma, foi que se obteve apenas as pessoas que sempre moraram no rural.</w:t>
      </w:r>
    </w:p>
    <w:p w14:paraId="256440B6" w14:textId="26DC0656" w:rsidR="00BF68CE" w:rsidRPr="0026351E" w:rsidRDefault="00D66A1C" w:rsidP="00BF68CE">
      <w:pPr>
        <w:spacing w:after="0" w:line="360" w:lineRule="auto"/>
        <w:ind w:firstLine="708"/>
        <w:jc w:val="both"/>
        <w:rPr>
          <w:rFonts w:ascii="Times New Roman" w:hAnsi="Times New Roman" w:cs="Times New Roman"/>
          <w:sz w:val="24"/>
          <w:szCs w:val="24"/>
        </w:rPr>
      </w:pPr>
      <w:bookmarkStart w:id="4" w:name="_Hlk110239691"/>
      <w:r>
        <w:rPr>
          <w:rFonts w:ascii="Times New Roman" w:hAnsi="Times New Roman" w:cs="Times New Roman"/>
          <w:sz w:val="24"/>
          <w:szCs w:val="24"/>
        </w:rPr>
        <w:t>No intuito de tirar o efeito da população menos propensa a migrar, crianças e idosos, a</w:t>
      </w:r>
      <w:r w:rsidR="00BF68CE" w:rsidRPr="0026351E">
        <w:rPr>
          <w:rFonts w:ascii="Times New Roman" w:hAnsi="Times New Roman" w:cs="Times New Roman"/>
          <w:sz w:val="24"/>
          <w:szCs w:val="24"/>
        </w:rPr>
        <w:t xml:space="preserve">dotou-se um recorte por idade entre 15 e 64 anos, intervalo correspondente à População em Idade Ativa (PIA), </w:t>
      </w:r>
      <w:r>
        <w:rPr>
          <w:rFonts w:ascii="Times New Roman" w:hAnsi="Times New Roman" w:cs="Times New Roman"/>
          <w:sz w:val="24"/>
          <w:szCs w:val="24"/>
        </w:rPr>
        <w:t xml:space="preserve">que engloba os grupos etários mais dinâmicos da migração na vida das pessoas. </w:t>
      </w:r>
      <w:r w:rsidR="00B85512">
        <w:rPr>
          <w:rFonts w:ascii="Times New Roman" w:hAnsi="Times New Roman" w:cs="Times New Roman"/>
          <w:sz w:val="24"/>
          <w:szCs w:val="24"/>
        </w:rPr>
        <w:t xml:space="preserve">Dessa forma, captar a imobilidade nesse intervalo etário, significativamente dinâmico pela perspectiva da migração, </w:t>
      </w:r>
      <w:r w:rsidR="00BF68CE" w:rsidRPr="0026351E">
        <w:rPr>
          <w:rFonts w:ascii="Times New Roman" w:hAnsi="Times New Roman" w:cs="Times New Roman"/>
          <w:sz w:val="24"/>
          <w:szCs w:val="24"/>
        </w:rPr>
        <w:t>pode ressaltar ainda mais o papel d</w:t>
      </w:r>
      <w:r w:rsidR="00402B25">
        <w:rPr>
          <w:rFonts w:ascii="Times New Roman" w:hAnsi="Times New Roman" w:cs="Times New Roman"/>
          <w:sz w:val="24"/>
          <w:szCs w:val="24"/>
        </w:rPr>
        <w:t>esse fenômeno na vida das pessoas, bem como indicar que há outras alternativas a migração</w:t>
      </w:r>
      <w:bookmarkEnd w:id="4"/>
      <w:r w:rsidR="00402B25">
        <w:rPr>
          <w:rFonts w:ascii="Times New Roman" w:hAnsi="Times New Roman" w:cs="Times New Roman"/>
          <w:sz w:val="24"/>
          <w:szCs w:val="24"/>
        </w:rPr>
        <w:t xml:space="preserve">. </w:t>
      </w:r>
      <w:r w:rsidR="00BF68CE" w:rsidRPr="0026351E">
        <w:rPr>
          <w:rFonts w:ascii="Times New Roman" w:hAnsi="Times New Roman" w:cs="Times New Roman"/>
          <w:sz w:val="24"/>
          <w:szCs w:val="24"/>
        </w:rPr>
        <w:t xml:space="preserve"> </w:t>
      </w:r>
    </w:p>
    <w:p w14:paraId="12133999" w14:textId="1770AA87" w:rsidR="00BF68CE" w:rsidRPr="0026351E" w:rsidRDefault="00BF68CE" w:rsidP="00BF68CE">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tab/>
        <w:t xml:space="preserve">Para identificar se no domicílio tem cisternas, foram utilizadas duas </w:t>
      </w:r>
      <w:r w:rsidRPr="0026351E">
        <w:rPr>
          <w:rFonts w:ascii="Times New Roman" w:hAnsi="Times New Roman" w:cs="Times New Roman"/>
          <w:color w:val="000000" w:themeColor="text1"/>
          <w:sz w:val="24"/>
          <w:szCs w:val="24"/>
        </w:rPr>
        <w:t xml:space="preserve">categorias da variável </w:t>
      </w:r>
      <w:r w:rsidRPr="0026351E">
        <w:rPr>
          <w:rFonts w:ascii="Times New Roman" w:hAnsi="Times New Roman" w:cs="Times New Roman"/>
          <w:i/>
          <w:iCs/>
          <w:color w:val="000000" w:themeColor="text1"/>
          <w:sz w:val="24"/>
          <w:szCs w:val="24"/>
        </w:rPr>
        <w:t xml:space="preserve">forma de abastecimento </w:t>
      </w:r>
      <w:r w:rsidRPr="0026351E">
        <w:rPr>
          <w:rFonts w:ascii="Times New Roman" w:hAnsi="Times New Roman" w:cs="Times New Roman"/>
          <w:color w:val="000000" w:themeColor="text1"/>
          <w:sz w:val="24"/>
          <w:szCs w:val="24"/>
        </w:rPr>
        <w:t xml:space="preserve">presente no Censo de 2010, que são: ‘água da chuva armazenada em cisterna’ e ‘carro-pipa’. </w:t>
      </w:r>
      <w:r w:rsidR="00F5306F" w:rsidRPr="00F5306F">
        <w:rPr>
          <w:rFonts w:ascii="Times New Roman" w:hAnsi="Times New Roman" w:cs="Times New Roman"/>
          <w:color w:val="000000" w:themeColor="text1"/>
          <w:sz w:val="24"/>
          <w:szCs w:val="24"/>
        </w:rPr>
        <w:t>Embora a forma de abastecimento d’água por carro-pipa possa abastecer outros tipos de reservatórios, na ausência de cisternas, no rural é comum o abastecimento de cisternas por carro-pipa</w:t>
      </w:r>
      <w:r w:rsidR="002D3512">
        <w:rPr>
          <w:rFonts w:ascii="Times New Roman" w:hAnsi="Times New Roman" w:cs="Times New Roman"/>
          <w:color w:val="000000" w:themeColor="text1"/>
          <w:sz w:val="24"/>
          <w:szCs w:val="24"/>
        </w:rPr>
        <w:t xml:space="preserve"> (BARROS et al., 2012)</w:t>
      </w:r>
      <w:r w:rsidR="00F5306F" w:rsidRPr="00F5306F">
        <w:rPr>
          <w:rFonts w:ascii="Times New Roman" w:hAnsi="Times New Roman" w:cs="Times New Roman"/>
          <w:color w:val="000000" w:themeColor="text1"/>
          <w:sz w:val="24"/>
          <w:szCs w:val="24"/>
        </w:rPr>
        <w:t>, especialmente naqueles domicílios mais afastados dos centros urbanos ou de alguma adutora</w:t>
      </w:r>
      <w:r w:rsidR="002D3512">
        <w:rPr>
          <w:rFonts w:ascii="Times New Roman" w:hAnsi="Times New Roman" w:cs="Times New Roman"/>
          <w:color w:val="000000" w:themeColor="text1"/>
          <w:sz w:val="24"/>
          <w:szCs w:val="24"/>
        </w:rPr>
        <w:t>/chafariz</w:t>
      </w:r>
      <w:r w:rsidR="00F5306F" w:rsidRPr="00F5306F">
        <w:rPr>
          <w:rFonts w:ascii="Times New Roman" w:hAnsi="Times New Roman" w:cs="Times New Roman"/>
          <w:color w:val="000000" w:themeColor="text1"/>
          <w:sz w:val="24"/>
          <w:szCs w:val="24"/>
        </w:rPr>
        <w:t xml:space="preserve"> de água presente no rural.</w:t>
      </w:r>
      <w:r w:rsidRPr="0026351E">
        <w:rPr>
          <w:rFonts w:ascii="Times New Roman" w:hAnsi="Times New Roman" w:cs="Times New Roman"/>
          <w:sz w:val="24"/>
          <w:szCs w:val="24"/>
        </w:rPr>
        <w:t xml:space="preserve"> </w:t>
      </w:r>
      <w:bookmarkStart w:id="5" w:name="_Hlk110240529"/>
      <w:r w:rsidRPr="0026351E">
        <w:rPr>
          <w:rFonts w:ascii="Times New Roman" w:hAnsi="Times New Roman" w:cs="Times New Roman"/>
          <w:sz w:val="24"/>
          <w:szCs w:val="24"/>
        </w:rPr>
        <w:t xml:space="preserve">Portanto, o acesso às cisternas, que pode ter sido </w:t>
      </w:r>
      <w:r w:rsidR="00854B12">
        <w:rPr>
          <w:rFonts w:ascii="Times New Roman" w:hAnsi="Times New Roman" w:cs="Times New Roman"/>
          <w:sz w:val="24"/>
          <w:szCs w:val="24"/>
        </w:rPr>
        <w:t>abastecida por água da chuva ou por carro-pipa</w:t>
      </w:r>
      <w:r w:rsidRPr="0026351E">
        <w:rPr>
          <w:rFonts w:ascii="Times New Roman" w:hAnsi="Times New Roman" w:cs="Times New Roman"/>
          <w:sz w:val="24"/>
          <w:szCs w:val="24"/>
        </w:rPr>
        <w:t xml:space="preserve">, </w:t>
      </w:r>
      <w:bookmarkEnd w:id="5"/>
      <w:r w:rsidR="00854B12" w:rsidRPr="00854B12">
        <w:rPr>
          <w:rFonts w:ascii="Times New Roman" w:hAnsi="Times New Roman" w:cs="Times New Roman"/>
          <w:sz w:val="24"/>
          <w:szCs w:val="24"/>
        </w:rPr>
        <w:t>constitui uma estratégia adaptativa importante às famílias rurais da Caatinga, bioma marcado pelas secas em virtude da predominância do clima semiárido</w:t>
      </w:r>
      <w:r w:rsidR="00854B12">
        <w:rPr>
          <w:rFonts w:ascii="Times New Roman" w:hAnsi="Times New Roman" w:cs="Times New Roman"/>
          <w:sz w:val="24"/>
          <w:szCs w:val="24"/>
        </w:rPr>
        <w:t>.</w:t>
      </w:r>
    </w:p>
    <w:p w14:paraId="06954DE5" w14:textId="77777777" w:rsidR="00BF68CE" w:rsidRPr="0026351E" w:rsidRDefault="00BF68CE" w:rsidP="00BF68CE">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tab/>
        <w:t xml:space="preserve">O Quadro 1 mostra os indicadores adotados neste estudo, bem como a descrição de cálculo de cada um deles. </w:t>
      </w:r>
    </w:p>
    <w:p w14:paraId="28D9FD38" w14:textId="77777777" w:rsidR="00BF68CE" w:rsidRPr="0026351E" w:rsidRDefault="00BF68CE" w:rsidP="00BF68CE">
      <w:pPr>
        <w:spacing w:after="0" w:line="360" w:lineRule="auto"/>
        <w:jc w:val="both"/>
        <w:rPr>
          <w:rFonts w:ascii="Times New Roman" w:hAnsi="Times New Roman" w:cs="Times New Roman"/>
          <w:sz w:val="24"/>
          <w:szCs w:val="24"/>
        </w:rPr>
      </w:pPr>
    </w:p>
    <w:p w14:paraId="4DD41B92" w14:textId="77777777" w:rsidR="00BF68CE" w:rsidRPr="0026351E" w:rsidRDefault="00BF68CE" w:rsidP="00BF68CE">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Quadro 1: Indicadores e descrição</w:t>
      </w:r>
    </w:p>
    <w:tbl>
      <w:tblPr>
        <w:tblStyle w:val="Tabelacomgrade"/>
        <w:tblW w:w="0" w:type="auto"/>
        <w:tblLook w:val="04A0" w:firstRow="1" w:lastRow="0" w:firstColumn="1" w:lastColumn="0" w:noHBand="0" w:noVBand="1"/>
      </w:tblPr>
      <w:tblGrid>
        <w:gridCol w:w="2704"/>
        <w:gridCol w:w="6357"/>
      </w:tblGrid>
      <w:tr w:rsidR="00BF68CE" w:rsidRPr="0026351E" w14:paraId="1A772818" w14:textId="77777777" w:rsidTr="00255DE6">
        <w:trPr>
          <w:trHeight w:val="20"/>
        </w:trPr>
        <w:tc>
          <w:tcPr>
            <w:tcW w:w="0" w:type="auto"/>
            <w:tcBorders>
              <w:top w:val="single" w:sz="4" w:space="0" w:color="auto"/>
              <w:left w:val="single" w:sz="4" w:space="0" w:color="auto"/>
              <w:bottom w:val="single" w:sz="4" w:space="0" w:color="auto"/>
              <w:right w:val="single" w:sz="4" w:space="0" w:color="auto"/>
            </w:tcBorders>
            <w:hideMark/>
          </w:tcPr>
          <w:p w14:paraId="5D327BCA" w14:textId="77777777" w:rsidR="00BF68CE" w:rsidRPr="0026351E" w:rsidRDefault="00BF68CE">
            <w:pPr>
              <w:spacing w:after="0" w:line="360" w:lineRule="auto"/>
              <w:jc w:val="center"/>
              <w:rPr>
                <w:rFonts w:ascii="Times New Roman" w:hAnsi="Times New Roman" w:cs="Times New Roman"/>
                <w:b/>
                <w:bCs/>
                <w:sz w:val="24"/>
                <w:szCs w:val="24"/>
              </w:rPr>
            </w:pPr>
            <w:r w:rsidRPr="0026351E">
              <w:rPr>
                <w:rFonts w:ascii="Times New Roman" w:hAnsi="Times New Roman" w:cs="Times New Roman"/>
                <w:b/>
                <w:bCs/>
                <w:sz w:val="24"/>
                <w:szCs w:val="24"/>
              </w:rPr>
              <w:t>Indicadores</w:t>
            </w:r>
          </w:p>
        </w:tc>
        <w:tc>
          <w:tcPr>
            <w:tcW w:w="0" w:type="auto"/>
            <w:tcBorders>
              <w:top w:val="single" w:sz="4" w:space="0" w:color="auto"/>
              <w:left w:val="single" w:sz="4" w:space="0" w:color="auto"/>
              <w:bottom w:val="single" w:sz="4" w:space="0" w:color="auto"/>
              <w:right w:val="single" w:sz="4" w:space="0" w:color="auto"/>
            </w:tcBorders>
            <w:hideMark/>
          </w:tcPr>
          <w:p w14:paraId="74C3E6B8" w14:textId="77777777" w:rsidR="00BF68CE" w:rsidRPr="0026351E" w:rsidRDefault="00BF68CE">
            <w:pPr>
              <w:spacing w:after="0" w:line="360" w:lineRule="auto"/>
              <w:jc w:val="center"/>
              <w:rPr>
                <w:rFonts w:ascii="Times New Roman" w:hAnsi="Times New Roman" w:cs="Times New Roman"/>
                <w:b/>
                <w:bCs/>
                <w:sz w:val="24"/>
                <w:szCs w:val="24"/>
              </w:rPr>
            </w:pPr>
            <w:r w:rsidRPr="0026351E">
              <w:rPr>
                <w:rFonts w:ascii="Times New Roman" w:hAnsi="Times New Roman" w:cs="Times New Roman"/>
                <w:b/>
                <w:bCs/>
                <w:sz w:val="24"/>
                <w:szCs w:val="24"/>
              </w:rPr>
              <w:t>Descrição</w:t>
            </w:r>
          </w:p>
        </w:tc>
      </w:tr>
      <w:tr w:rsidR="00BF68CE" w:rsidRPr="0026351E" w14:paraId="5D821DC9" w14:textId="77777777" w:rsidTr="00255DE6">
        <w:trPr>
          <w:trHeight w:val="479"/>
        </w:trPr>
        <w:tc>
          <w:tcPr>
            <w:tcW w:w="0" w:type="auto"/>
            <w:tcBorders>
              <w:top w:val="single" w:sz="4" w:space="0" w:color="auto"/>
              <w:left w:val="single" w:sz="4" w:space="0" w:color="auto"/>
              <w:bottom w:val="single" w:sz="4" w:space="0" w:color="auto"/>
              <w:right w:val="single" w:sz="4" w:space="0" w:color="auto"/>
            </w:tcBorders>
            <w:hideMark/>
          </w:tcPr>
          <w:p w14:paraId="6849CEF3" w14:textId="77777777" w:rsidR="00BF68CE" w:rsidRPr="0026351E" w:rsidRDefault="00BF68CE">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 de pessoas, do rural, em idade ativa que nunca migraram.</w:t>
            </w:r>
          </w:p>
        </w:tc>
        <w:tc>
          <w:tcPr>
            <w:tcW w:w="0" w:type="auto"/>
            <w:tcBorders>
              <w:top w:val="single" w:sz="4" w:space="0" w:color="auto"/>
              <w:left w:val="single" w:sz="4" w:space="0" w:color="auto"/>
              <w:bottom w:val="single" w:sz="4" w:space="0" w:color="auto"/>
              <w:right w:val="single" w:sz="4" w:space="0" w:color="auto"/>
            </w:tcBorders>
            <w:hideMark/>
          </w:tcPr>
          <w:p w14:paraId="72951CE3" w14:textId="77777777" w:rsidR="00BF68CE" w:rsidRPr="0026351E" w:rsidRDefault="00BF68CE">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 xml:space="preserve">Razão entre a PIA que nunca migrou e a PIA do rural (*100). </w:t>
            </w:r>
          </w:p>
        </w:tc>
      </w:tr>
      <w:tr w:rsidR="00BF68CE" w:rsidRPr="0026351E" w14:paraId="2FD63DBC" w14:textId="77777777" w:rsidTr="00255DE6">
        <w:trPr>
          <w:trHeight w:val="1184"/>
        </w:trPr>
        <w:tc>
          <w:tcPr>
            <w:tcW w:w="0" w:type="auto"/>
            <w:tcBorders>
              <w:top w:val="single" w:sz="4" w:space="0" w:color="auto"/>
              <w:left w:val="single" w:sz="4" w:space="0" w:color="auto"/>
              <w:bottom w:val="single" w:sz="4" w:space="0" w:color="auto"/>
              <w:right w:val="single" w:sz="4" w:space="0" w:color="auto"/>
            </w:tcBorders>
            <w:hideMark/>
          </w:tcPr>
          <w:p w14:paraId="63BD8275" w14:textId="77777777" w:rsidR="00BF68CE" w:rsidRPr="0026351E" w:rsidRDefault="00BF68CE">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 de pessoas em idade ativa do meio rural residentes em domicílios com cisterna.</w:t>
            </w:r>
          </w:p>
        </w:tc>
        <w:tc>
          <w:tcPr>
            <w:tcW w:w="0" w:type="auto"/>
            <w:tcBorders>
              <w:top w:val="single" w:sz="4" w:space="0" w:color="auto"/>
              <w:left w:val="single" w:sz="4" w:space="0" w:color="auto"/>
              <w:bottom w:val="single" w:sz="4" w:space="0" w:color="auto"/>
              <w:right w:val="single" w:sz="4" w:space="0" w:color="auto"/>
            </w:tcBorders>
            <w:hideMark/>
          </w:tcPr>
          <w:p w14:paraId="7842A58E" w14:textId="77777777" w:rsidR="00BF68CE" w:rsidRPr="0026351E" w:rsidRDefault="00BF68CE">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 xml:space="preserve">Número de pessoas que residem em domicílios rurais cuja forma de abastecimento é através de carro-pipa e/ou por água da chuva armazenada em cisterna dividido pelo total de pessoas, na mesma faixa de idade (15-64), que residem no rural em domicílios permanentes (*100). </w:t>
            </w:r>
          </w:p>
        </w:tc>
      </w:tr>
    </w:tbl>
    <w:p w14:paraId="490B2698" w14:textId="77777777" w:rsidR="00BF68CE" w:rsidRPr="0026351E" w:rsidRDefault="00BF68CE" w:rsidP="00BF68CE">
      <w:pPr>
        <w:spacing w:after="0" w:line="360" w:lineRule="auto"/>
        <w:jc w:val="both"/>
        <w:rPr>
          <w:rFonts w:ascii="Times New Roman" w:hAnsi="Times New Roman" w:cs="Times New Roman"/>
          <w:b/>
          <w:bCs/>
          <w:sz w:val="24"/>
          <w:szCs w:val="24"/>
        </w:rPr>
      </w:pPr>
    </w:p>
    <w:p w14:paraId="4BD47221" w14:textId="2B17276B" w:rsidR="00BF68CE" w:rsidRDefault="00BF68CE" w:rsidP="00BF68CE">
      <w:pPr>
        <w:spacing w:after="0" w:line="360" w:lineRule="auto"/>
        <w:ind w:firstLine="708"/>
        <w:jc w:val="both"/>
        <w:rPr>
          <w:rFonts w:ascii="Times New Roman" w:hAnsi="Times New Roman" w:cs="Times New Roman"/>
          <w:b/>
          <w:bCs/>
          <w:i/>
          <w:iCs/>
        </w:rPr>
      </w:pPr>
      <w:r w:rsidRPr="0026351E">
        <w:rPr>
          <w:rFonts w:ascii="Times New Roman" w:hAnsi="Times New Roman" w:cs="Times New Roman"/>
          <w:b/>
          <w:bCs/>
          <w:i/>
          <w:iCs/>
        </w:rPr>
        <w:lastRenderedPageBreak/>
        <w:t>2.2 Tratamento das Informações: o método</w:t>
      </w:r>
    </w:p>
    <w:p w14:paraId="32500A44" w14:textId="77777777" w:rsidR="00CF4540" w:rsidRPr="00CF4540" w:rsidRDefault="00CF4540" w:rsidP="00BF68CE">
      <w:pPr>
        <w:spacing w:after="0" w:line="360" w:lineRule="auto"/>
        <w:ind w:firstLine="708"/>
        <w:jc w:val="both"/>
        <w:rPr>
          <w:rFonts w:ascii="Times New Roman" w:hAnsi="Times New Roman" w:cs="Times New Roman"/>
          <w:b/>
          <w:bCs/>
        </w:rPr>
      </w:pPr>
    </w:p>
    <w:p w14:paraId="302B3ED2" w14:textId="300DCA74" w:rsidR="00BF68CE" w:rsidRPr="0026351E" w:rsidRDefault="00BF68CE" w:rsidP="00BF68CE">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Para calcular a autocorrelação espacial a técnica utilizada foi o Índice de Moran (Global e Local), que corresponde a uma das técnicas de Análise Exploratória de Dados Espaciais (AEDE). A técnica se baseia em agrupamentos espaciais (</w:t>
      </w:r>
      <w:r w:rsidRPr="0026351E">
        <w:rPr>
          <w:rFonts w:ascii="Times New Roman" w:hAnsi="Times New Roman" w:cs="Times New Roman"/>
          <w:i/>
          <w:iCs/>
          <w:sz w:val="24"/>
          <w:szCs w:val="24"/>
        </w:rPr>
        <w:t>clusters</w:t>
      </w:r>
      <w:r w:rsidRPr="0026351E">
        <w:rPr>
          <w:rFonts w:ascii="Times New Roman" w:hAnsi="Times New Roman" w:cs="Times New Roman"/>
          <w:sz w:val="24"/>
          <w:szCs w:val="24"/>
        </w:rPr>
        <w:t xml:space="preserve">) e </w:t>
      </w:r>
      <w:proofErr w:type="spellStart"/>
      <w:r w:rsidRPr="0026351E">
        <w:rPr>
          <w:rFonts w:ascii="Times New Roman" w:hAnsi="Times New Roman" w:cs="Times New Roman"/>
          <w:i/>
          <w:iCs/>
          <w:sz w:val="24"/>
          <w:szCs w:val="24"/>
        </w:rPr>
        <w:t>outlies</w:t>
      </w:r>
      <w:proofErr w:type="spellEnd"/>
      <w:r w:rsidRPr="0026351E">
        <w:rPr>
          <w:rFonts w:ascii="Times New Roman" w:hAnsi="Times New Roman" w:cs="Times New Roman"/>
          <w:sz w:val="24"/>
          <w:szCs w:val="24"/>
        </w:rPr>
        <w:t xml:space="preserve">, e tem a finalidade de oferecer uma suavização da variabilidade espacial aleatória, fazendo com que os padrões não aleatórios sejam ressaltados de forma mais evidente com validade de significância estatística (LOGAN, 2016). Segundo Câmara </w:t>
      </w:r>
      <w:r w:rsidRPr="0026351E">
        <w:rPr>
          <w:rFonts w:ascii="Times New Roman" w:hAnsi="Times New Roman" w:cs="Times New Roman"/>
          <w:i/>
          <w:iCs/>
          <w:sz w:val="24"/>
          <w:szCs w:val="24"/>
        </w:rPr>
        <w:t>et al</w:t>
      </w:r>
      <w:r w:rsidRPr="0026351E">
        <w:rPr>
          <w:rFonts w:ascii="Times New Roman" w:hAnsi="Times New Roman" w:cs="Times New Roman"/>
          <w:sz w:val="24"/>
          <w:szCs w:val="24"/>
        </w:rPr>
        <w:t xml:space="preserve"> (2004), este índice é considerado um dos principais métodos de análises exploratórias aplicado a dados espaciais, o qual facilita a visualização de padrões espaciais de uma distribuição de valores associados a uma determinada localização geográfica. </w:t>
      </w:r>
    </w:p>
    <w:p w14:paraId="0615C82C" w14:textId="294EB6B4" w:rsidR="00BF68CE" w:rsidRPr="0026351E" w:rsidRDefault="00BF68CE" w:rsidP="00BF68CE">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Tendo o Índice de Moran Local como método de análise principal, os parâmetros adotados para sua aplicação foram: i) um total de 999 permutações; </w:t>
      </w:r>
      <w:proofErr w:type="spellStart"/>
      <w:r w:rsidRPr="0026351E">
        <w:rPr>
          <w:rFonts w:ascii="Times New Roman" w:hAnsi="Times New Roman" w:cs="Times New Roman"/>
          <w:sz w:val="24"/>
          <w:szCs w:val="24"/>
        </w:rPr>
        <w:t>iii</w:t>
      </w:r>
      <w:proofErr w:type="spellEnd"/>
      <w:r w:rsidRPr="0026351E">
        <w:rPr>
          <w:rFonts w:ascii="Times New Roman" w:hAnsi="Times New Roman" w:cs="Times New Roman"/>
          <w:sz w:val="24"/>
          <w:szCs w:val="24"/>
        </w:rPr>
        <w:t xml:space="preserve">) </w:t>
      </w:r>
      <w:r w:rsidR="00255DE6">
        <w:rPr>
          <w:rFonts w:ascii="Times New Roman" w:hAnsi="Times New Roman" w:cs="Times New Roman"/>
          <w:sz w:val="24"/>
          <w:szCs w:val="24"/>
        </w:rPr>
        <w:t xml:space="preserve">intervalo de confiança </w:t>
      </w:r>
      <w:r w:rsidRPr="0026351E">
        <w:rPr>
          <w:rFonts w:ascii="Times New Roman" w:hAnsi="Times New Roman" w:cs="Times New Roman"/>
          <w:sz w:val="24"/>
          <w:szCs w:val="24"/>
        </w:rPr>
        <w:t xml:space="preserve">de 95% (p&lt;=0,05); e </w:t>
      </w:r>
      <w:proofErr w:type="spellStart"/>
      <w:r w:rsidRPr="0026351E">
        <w:rPr>
          <w:rFonts w:ascii="Times New Roman" w:hAnsi="Times New Roman" w:cs="Times New Roman"/>
          <w:sz w:val="24"/>
          <w:szCs w:val="24"/>
        </w:rPr>
        <w:t>iii</w:t>
      </w:r>
      <w:proofErr w:type="spellEnd"/>
      <w:r w:rsidRPr="0026351E">
        <w:rPr>
          <w:rFonts w:ascii="Times New Roman" w:hAnsi="Times New Roman" w:cs="Times New Roman"/>
          <w:sz w:val="24"/>
          <w:szCs w:val="24"/>
        </w:rPr>
        <w:t xml:space="preserve">) </w:t>
      </w:r>
      <w:bookmarkStart w:id="6" w:name="_Hlk110240758"/>
      <w:r w:rsidR="00255DE6">
        <w:rPr>
          <w:rFonts w:ascii="Times New Roman" w:hAnsi="Times New Roman" w:cs="Times New Roman"/>
          <w:sz w:val="24"/>
          <w:szCs w:val="24"/>
        </w:rPr>
        <w:t xml:space="preserve">matriz de vizinhança de </w:t>
      </w:r>
      <w:r w:rsidRPr="0026351E">
        <w:rPr>
          <w:rFonts w:ascii="Times New Roman" w:hAnsi="Times New Roman" w:cs="Times New Roman"/>
          <w:sz w:val="24"/>
          <w:szCs w:val="24"/>
        </w:rPr>
        <w:t xml:space="preserve">contiguidade </w:t>
      </w:r>
      <w:r w:rsidR="00255DE6">
        <w:rPr>
          <w:rFonts w:ascii="Times New Roman" w:hAnsi="Times New Roman" w:cs="Times New Roman"/>
          <w:sz w:val="24"/>
          <w:szCs w:val="24"/>
        </w:rPr>
        <w:t xml:space="preserve">tipo </w:t>
      </w:r>
      <w:r w:rsidR="00854B12" w:rsidRPr="00854B12">
        <w:rPr>
          <w:rFonts w:ascii="Times New Roman" w:hAnsi="Times New Roman" w:cs="Times New Roman"/>
          <w:i/>
          <w:iCs/>
          <w:sz w:val="24"/>
          <w:szCs w:val="24"/>
        </w:rPr>
        <w:t>Q</w:t>
      </w:r>
      <w:r w:rsidRPr="00854B12">
        <w:rPr>
          <w:rFonts w:ascii="Times New Roman" w:hAnsi="Times New Roman" w:cs="Times New Roman"/>
          <w:i/>
          <w:iCs/>
          <w:sz w:val="24"/>
          <w:szCs w:val="24"/>
        </w:rPr>
        <w:t>ueen</w:t>
      </w:r>
      <w:r w:rsidRPr="0026351E">
        <w:rPr>
          <w:rFonts w:ascii="Times New Roman" w:hAnsi="Times New Roman" w:cs="Times New Roman"/>
          <w:sz w:val="24"/>
          <w:szCs w:val="24"/>
        </w:rPr>
        <w:t xml:space="preserve"> de primeira ordem (vizinho próximo)</w:t>
      </w:r>
      <w:bookmarkEnd w:id="6"/>
      <w:r w:rsidRPr="0026351E">
        <w:rPr>
          <w:rFonts w:ascii="Times New Roman" w:hAnsi="Times New Roman" w:cs="Times New Roman"/>
          <w:sz w:val="24"/>
          <w:szCs w:val="24"/>
        </w:rPr>
        <w:t xml:space="preserve">. </w:t>
      </w:r>
    </w:p>
    <w:p w14:paraId="0CACF736" w14:textId="77777777" w:rsidR="00BF68CE" w:rsidRPr="0026351E" w:rsidRDefault="00BF68CE" w:rsidP="00BF68CE">
      <w:pPr>
        <w:pStyle w:val="PargrafodaLista"/>
        <w:autoSpaceDE w:val="0"/>
        <w:autoSpaceDN w:val="0"/>
        <w:adjustRightInd w:val="0"/>
        <w:spacing w:after="0" w:line="360" w:lineRule="auto"/>
        <w:ind w:left="0" w:firstLine="708"/>
        <w:jc w:val="both"/>
        <w:rPr>
          <w:rFonts w:ascii="Times New Roman" w:hAnsi="Times New Roman" w:cs="Times New Roman"/>
          <w:color w:val="000000" w:themeColor="text1"/>
          <w:sz w:val="24"/>
          <w:szCs w:val="24"/>
        </w:rPr>
      </w:pPr>
      <w:r w:rsidRPr="0026351E">
        <w:rPr>
          <w:rFonts w:ascii="Times New Roman" w:eastAsia="Arial" w:hAnsi="Times New Roman" w:cs="Times New Roman"/>
          <w:color w:val="000000" w:themeColor="text1"/>
          <w:sz w:val="24"/>
          <w:szCs w:val="24"/>
        </w:rPr>
        <w:t xml:space="preserve">Por fim, para visualizar os diferentes regimes de associação espacial foi feito o mapa de </w:t>
      </w:r>
      <w:r w:rsidRPr="0026351E">
        <w:rPr>
          <w:rFonts w:ascii="Times New Roman" w:eastAsia="Arial" w:hAnsi="Times New Roman" w:cs="Times New Roman"/>
          <w:i/>
          <w:color w:val="000000" w:themeColor="text1"/>
          <w:sz w:val="24"/>
          <w:szCs w:val="24"/>
        </w:rPr>
        <w:t>cluster</w:t>
      </w:r>
      <w:r w:rsidRPr="0026351E">
        <w:rPr>
          <w:rFonts w:ascii="Times New Roman" w:eastAsia="Arial" w:hAnsi="Times New Roman" w:cs="Times New Roman"/>
          <w:color w:val="000000" w:themeColor="text1"/>
          <w:sz w:val="24"/>
          <w:szCs w:val="24"/>
        </w:rPr>
        <w:t xml:space="preserve"> LISA, uma vez que ele combina a informação do diagrama de espalhamento de Moran e a do mapa de significância das medidas de associação local </w:t>
      </w:r>
      <w:r w:rsidRPr="0026351E">
        <w:rPr>
          <w:rFonts w:ascii="Times New Roman" w:eastAsiaTheme="minorEastAsia" w:hAnsi="Times New Roman" w:cs="Times New Roman"/>
          <w:color w:val="000000" w:themeColor="text1"/>
          <w:sz w:val="24"/>
          <w:szCs w:val="24"/>
        </w:rPr>
        <w:t>(ALMEIDA, 2012)</w:t>
      </w:r>
      <w:r w:rsidRPr="0026351E">
        <w:rPr>
          <w:rFonts w:ascii="Times New Roman" w:eastAsia="Arial" w:hAnsi="Times New Roman" w:cs="Times New Roman"/>
          <w:color w:val="000000" w:themeColor="text1"/>
          <w:sz w:val="24"/>
          <w:szCs w:val="24"/>
        </w:rPr>
        <w:t xml:space="preserve">. Dessa forma, tem-se um </w:t>
      </w:r>
      <w:r w:rsidRPr="0026351E">
        <w:rPr>
          <w:rFonts w:ascii="Times New Roman" w:hAnsi="Times New Roman" w:cs="Times New Roman"/>
          <w:color w:val="000000" w:themeColor="text1"/>
          <w:sz w:val="24"/>
          <w:szCs w:val="24"/>
        </w:rPr>
        <w:t xml:space="preserve">mapa temático bidimensional, no qual cada polígono está relacionado a informação de seu respectivo quadrante, considerando sua significância estatística (CÂMARA </w:t>
      </w:r>
      <w:r w:rsidRPr="0026351E">
        <w:rPr>
          <w:rFonts w:ascii="Times New Roman" w:hAnsi="Times New Roman" w:cs="Times New Roman"/>
          <w:i/>
          <w:color w:val="000000" w:themeColor="text1"/>
          <w:sz w:val="24"/>
          <w:szCs w:val="24"/>
        </w:rPr>
        <w:t>et al.</w:t>
      </w:r>
      <w:r w:rsidRPr="0026351E">
        <w:rPr>
          <w:rFonts w:ascii="Times New Roman" w:hAnsi="Times New Roman" w:cs="Times New Roman"/>
          <w:color w:val="000000" w:themeColor="text1"/>
          <w:sz w:val="24"/>
          <w:szCs w:val="24"/>
        </w:rPr>
        <w:t xml:space="preserve">, 2004). O diagrama de espalhamento de Moran e o mapa de </w:t>
      </w:r>
      <w:r w:rsidRPr="0026351E">
        <w:rPr>
          <w:rFonts w:ascii="Times New Roman" w:hAnsi="Times New Roman" w:cs="Times New Roman"/>
          <w:i/>
          <w:iCs/>
          <w:color w:val="000000" w:themeColor="text1"/>
          <w:sz w:val="24"/>
          <w:szCs w:val="24"/>
        </w:rPr>
        <w:t>cluster</w:t>
      </w:r>
      <w:r w:rsidRPr="0026351E">
        <w:rPr>
          <w:rFonts w:ascii="Times New Roman" w:hAnsi="Times New Roman" w:cs="Times New Roman"/>
          <w:color w:val="000000" w:themeColor="text1"/>
          <w:sz w:val="24"/>
          <w:szCs w:val="24"/>
        </w:rPr>
        <w:t xml:space="preserve"> LISA podem representar não só a autocorrelação espacial </w:t>
      </w:r>
      <w:proofErr w:type="spellStart"/>
      <w:r w:rsidRPr="0026351E">
        <w:rPr>
          <w:rFonts w:ascii="Times New Roman" w:hAnsi="Times New Roman" w:cs="Times New Roman"/>
          <w:color w:val="000000" w:themeColor="text1"/>
          <w:sz w:val="24"/>
          <w:szCs w:val="24"/>
        </w:rPr>
        <w:t>univariada</w:t>
      </w:r>
      <w:proofErr w:type="spellEnd"/>
      <w:r w:rsidRPr="0026351E">
        <w:rPr>
          <w:rFonts w:ascii="Times New Roman" w:hAnsi="Times New Roman" w:cs="Times New Roman"/>
          <w:color w:val="000000" w:themeColor="text1"/>
          <w:sz w:val="24"/>
          <w:szCs w:val="24"/>
        </w:rPr>
        <w:t xml:space="preserve"> (correlação espacial, quanto a determinado atributo, entre um local e as localidades vizinhas), mas também a bivariada, isto é, podem expor a correlação espacial entre uma variável em determinada área e outra variável nas áreas vizinhas </w:t>
      </w:r>
      <w:r w:rsidRPr="0026351E">
        <w:rPr>
          <w:rFonts w:ascii="Times New Roman" w:hAnsi="Times New Roman" w:cs="Times New Roman"/>
          <w:sz w:val="24"/>
          <w:szCs w:val="24"/>
        </w:rPr>
        <w:t>(ANSELIN; SYABRI; KHO, 2006; ANSELIN, 1995)</w:t>
      </w:r>
      <w:r w:rsidRPr="0026351E">
        <w:rPr>
          <w:rFonts w:ascii="Times New Roman" w:hAnsi="Times New Roman" w:cs="Times New Roman"/>
          <w:color w:val="000000" w:themeColor="text1"/>
          <w:sz w:val="24"/>
          <w:szCs w:val="24"/>
        </w:rPr>
        <w:t xml:space="preserve">. </w:t>
      </w:r>
    </w:p>
    <w:p w14:paraId="62948112" w14:textId="77777777" w:rsidR="00BF68CE" w:rsidRPr="0026351E" w:rsidRDefault="00BF68CE" w:rsidP="00BF68CE">
      <w:pPr>
        <w:pStyle w:val="PargrafodaLista"/>
        <w:autoSpaceDE w:val="0"/>
        <w:autoSpaceDN w:val="0"/>
        <w:adjustRightInd w:val="0"/>
        <w:spacing w:after="0" w:line="360" w:lineRule="auto"/>
        <w:ind w:left="0" w:firstLine="708"/>
        <w:jc w:val="both"/>
        <w:rPr>
          <w:rFonts w:ascii="Times New Roman" w:hAnsi="Times New Roman" w:cs="Times New Roman"/>
          <w:color w:val="000000" w:themeColor="text1"/>
          <w:sz w:val="24"/>
          <w:szCs w:val="24"/>
        </w:rPr>
      </w:pPr>
    </w:p>
    <w:p w14:paraId="7628810D" w14:textId="43A696BD" w:rsidR="00BF68CE" w:rsidRDefault="00BF68CE" w:rsidP="00BF68CE">
      <w:pPr>
        <w:spacing w:after="0" w:line="360" w:lineRule="auto"/>
        <w:ind w:firstLine="708"/>
        <w:jc w:val="both"/>
        <w:rPr>
          <w:rFonts w:ascii="Times New Roman" w:hAnsi="Times New Roman" w:cs="Times New Roman"/>
          <w:b/>
          <w:bCs/>
          <w:i/>
          <w:iCs/>
        </w:rPr>
      </w:pPr>
      <w:r w:rsidRPr="0026351E">
        <w:rPr>
          <w:rFonts w:ascii="Times New Roman" w:hAnsi="Times New Roman" w:cs="Times New Roman"/>
          <w:b/>
          <w:bCs/>
          <w:i/>
          <w:iCs/>
        </w:rPr>
        <w:t>2.3 Variáveis Empregadas</w:t>
      </w:r>
    </w:p>
    <w:p w14:paraId="68F1A7CD" w14:textId="77777777" w:rsidR="00CF4540" w:rsidRPr="00CF4540" w:rsidRDefault="00CF4540" w:rsidP="00BF68CE">
      <w:pPr>
        <w:spacing w:after="0" w:line="360" w:lineRule="auto"/>
        <w:ind w:firstLine="708"/>
        <w:jc w:val="both"/>
        <w:rPr>
          <w:rFonts w:ascii="Times New Roman" w:hAnsi="Times New Roman" w:cs="Times New Roman"/>
          <w:b/>
          <w:bCs/>
        </w:rPr>
      </w:pPr>
    </w:p>
    <w:p w14:paraId="0AEBD70C" w14:textId="0B281BC6" w:rsidR="00BF68CE" w:rsidRDefault="00BF68CE" w:rsidP="00BF68CE">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A partir do </w:t>
      </w:r>
      <w:r w:rsidRPr="0026351E">
        <w:rPr>
          <w:rFonts w:ascii="Times New Roman" w:hAnsi="Times New Roman" w:cs="Times New Roman"/>
          <w:i/>
          <w:iCs/>
          <w:sz w:val="24"/>
          <w:szCs w:val="24"/>
        </w:rPr>
        <w:t xml:space="preserve">clusters </w:t>
      </w:r>
      <w:r w:rsidRPr="0026351E">
        <w:rPr>
          <w:rFonts w:ascii="Times New Roman" w:hAnsi="Times New Roman" w:cs="Times New Roman"/>
          <w:sz w:val="24"/>
          <w:szCs w:val="24"/>
        </w:rPr>
        <w:t xml:space="preserve">resultante do Índice de Moran bivariado, com destaque para o Alto-Alto (áreas rurais com alto percentual de imobilidade e alto percentual de pessoas em domicílio </w:t>
      </w:r>
      <w:r w:rsidRPr="0026351E">
        <w:rPr>
          <w:rFonts w:ascii="Times New Roman" w:hAnsi="Times New Roman" w:cs="Times New Roman"/>
          <w:sz w:val="24"/>
          <w:szCs w:val="24"/>
        </w:rPr>
        <w:lastRenderedPageBreak/>
        <w:t>com acesso as cisternas), fez-se uma análise mais detalhada da população nessas áreas, pois são espaços com correlação local significativamente diferente das demais áreas</w:t>
      </w:r>
      <w:r w:rsidRPr="0026351E">
        <w:rPr>
          <w:rFonts w:ascii="Times New Roman" w:hAnsi="Times New Roman" w:cs="Times New Roman"/>
          <w:sz w:val="20"/>
          <w:szCs w:val="20"/>
        </w:rPr>
        <w:t xml:space="preserve">. </w:t>
      </w:r>
      <w:r w:rsidRPr="0026351E">
        <w:rPr>
          <w:rFonts w:ascii="Times New Roman" w:hAnsi="Times New Roman" w:cs="Times New Roman"/>
          <w:sz w:val="24"/>
          <w:szCs w:val="24"/>
        </w:rPr>
        <w:t>Para isso, utilizou-se as variáveis sociodemográficas e econômicas: sexo; grupos de idade, nível de instrução; estado civil; e tipo de composição familiar; setor de atividade, posição na ocupação; rendimento familiar em salários mínimos; rendimento mensal habitual do PBF/PETI; rendimento mensal habitual de outros programas sociais ou transferências; e rendimento mensal habitual de aposentadoria ou pensão.</w:t>
      </w:r>
    </w:p>
    <w:p w14:paraId="1CBE2C29" w14:textId="77777777" w:rsidR="003C1F5B" w:rsidRPr="0026351E" w:rsidRDefault="003C1F5B" w:rsidP="00BF68CE">
      <w:pPr>
        <w:spacing w:after="0" w:line="360" w:lineRule="auto"/>
        <w:ind w:firstLine="708"/>
        <w:jc w:val="both"/>
        <w:rPr>
          <w:rFonts w:ascii="Times New Roman" w:hAnsi="Times New Roman" w:cs="Times New Roman"/>
          <w:sz w:val="24"/>
          <w:szCs w:val="24"/>
        </w:rPr>
      </w:pPr>
    </w:p>
    <w:p w14:paraId="646A2B6B" w14:textId="77777777" w:rsidR="00695FD3" w:rsidRPr="0026351E" w:rsidRDefault="44379C23" w:rsidP="44379C23">
      <w:pPr>
        <w:spacing w:after="0" w:line="36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3 REFERENCIAL TEÓRICO</w:t>
      </w:r>
    </w:p>
    <w:p w14:paraId="61E5D061" w14:textId="1E780B0E" w:rsidR="00E46301" w:rsidRDefault="00E46301" w:rsidP="44379C23">
      <w:pPr>
        <w:spacing w:after="0" w:line="360" w:lineRule="auto"/>
        <w:jc w:val="both"/>
        <w:rPr>
          <w:rFonts w:ascii="Times New Roman" w:hAnsi="Times New Roman" w:cs="Times New Roman"/>
          <w:sz w:val="24"/>
          <w:szCs w:val="24"/>
        </w:rPr>
      </w:pPr>
    </w:p>
    <w:p w14:paraId="598B3C5F" w14:textId="60DB06FE" w:rsidR="0035498B" w:rsidRDefault="0035498B" w:rsidP="0035498B">
      <w:pPr>
        <w:spacing w:after="0" w:line="360" w:lineRule="auto"/>
        <w:ind w:firstLine="708"/>
        <w:jc w:val="both"/>
        <w:rPr>
          <w:rFonts w:ascii="Times New Roman" w:hAnsi="Times New Roman" w:cs="Times New Roman"/>
          <w:sz w:val="24"/>
          <w:szCs w:val="24"/>
        </w:rPr>
      </w:pPr>
      <w:r w:rsidRPr="0035498B">
        <w:rPr>
          <w:rFonts w:ascii="Times New Roman" w:hAnsi="Times New Roman" w:cs="Times New Roman"/>
          <w:sz w:val="24"/>
          <w:szCs w:val="24"/>
        </w:rPr>
        <w:t xml:space="preserve">Diante a multiplicidade de elementos que podem estar relacionados aos movimentos migratórios, políticos, ambientais, sociais ou econômicos, </w:t>
      </w:r>
      <w:proofErr w:type="spellStart"/>
      <w:r w:rsidRPr="0035498B">
        <w:rPr>
          <w:rFonts w:ascii="Times New Roman" w:hAnsi="Times New Roman" w:cs="Times New Roman"/>
          <w:sz w:val="24"/>
          <w:szCs w:val="24"/>
        </w:rPr>
        <w:t>Massey</w:t>
      </w:r>
      <w:proofErr w:type="spellEnd"/>
      <w:r w:rsidRPr="0035498B">
        <w:rPr>
          <w:rFonts w:ascii="Times New Roman" w:hAnsi="Times New Roman" w:cs="Times New Roman"/>
          <w:sz w:val="24"/>
          <w:szCs w:val="24"/>
        </w:rPr>
        <w:t xml:space="preserve"> e Arango (1993) contextualizam que não há uma única teoria, que seja ao mesmo tempo coerente diante da complexidade das migrações, havendo apenas um conjunto de teorias fragmentadas e que não se comunicam. As abordagens neoclássicas, por exemplo, se baseiam na perspectiva do indivíduo, e nas diferenças geográficas na oferta e na procura de trabalho, fruto das diferenças salariais, o que resulta na migração de trabalhadores</w:t>
      </w:r>
      <w:r w:rsidR="006B25F4">
        <w:rPr>
          <w:rFonts w:ascii="Times New Roman" w:hAnsi="Times New Roman" w:cs="Times New Roman"/>
          <w:sz w:val="24"/>
          <w:szCs w:val="24"/>
        </w:rPr>
        <w:t>, os quais previamente avaliam racionalmente os custos e benefícios da migração</w:t>
      </w:r>
      <w:r w:rsidRPr="0035498B">
        <w:rPr>
          <w:rFonts w:ascii="Times New Roman" w:hAnsi="Times New Roman" w:cs="Times New Roman"/>
          <w:sz w:val="24"/>
          <w:szCs w:val="24"/>
        </w:rPr>
        <w:t xml:space="preserve"> (MASSEY; ARANGO, 1993). </w:t>
      </w:r>
    </w:p>
    <w:p w14:paraId="7EE4F8E9" w14:textId="3FC94C12" w:rsidR="002058D9" w:rsidRPr="0035498B" w:rsidRDefault="00DE43F2" w:rsidP="002058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abordagem histórico estrutural, por sua vez</w:t>
      </w:r>
      <w:r w:rsidR="00F049F1">
        <w:rPr>
          <w:rFonts w:ascii="Times New Roman" w:hAnsi="Times New Roman" w:cs="Times New Roman"/>
          <w:sz w:val="24"/>
          <w:szCs w:val="24"/>
        </w:rPr>
        <w:t xml:space="preserve">, </w:t>
      </w:r>
      <w:r>
        <w:rPr>
          <w:rFonts w:ascii="Times New Roman" w:hAnsi="Times New Roman" w:cs="Times New Roman"/>
          <w:sz w:val="24"/>
          <w:szCs w:val="24"/>
        </w:rPr>
        <w:t xml:space="preserve">tem como foco </w:t>
      </w:r>
      <w:r w:rsidR="00F049F1">
        <w:rPr>
          <w:rFonts w:ascii="Times New Roman" w:hAnsi="Times New Roman" w:cs="Times New Roman"/>
          <w:sz w:val="24"/>
          <w:szCs w:val="24"/>
        </w:rPr>
        <w:t>as transformações estruturais e conjunturais</w:t>
      </w:r>
      <w:r w:rsidR="00942090" w:rsidRPr="00942090">
        <w:rPr>
          <w:rFonts w:ascii="Times New Roman" w:hAnsi="Times New Roman" w:cs="Times New Roman"/>
          <w:sz w:val="24"/>
          <w:szCs w:val="24"/>
        </w:rPr>
        <w:t xml:space="preserve"> </w:t>
      </w:r>
      <w:r w:rsidR="00942090">
        <w:rPr>
          <w:rFonts w:ascii="Times New Roman" w:hAnsi="Times New Roman" w:cs="Times New Roman"/>
          <w:sz w:val="24"/>
          <w:szCs w:val="24"/>
        </w:rPr>
        <w:t>para explicar as migrações</w:t>
      </w:r>
      <w:r w:rsidR="00F049F1">
        <w:rPr>
          <w:rFonts w:ascii="Times New Roman" w:hAnsi="Times New Roman" w:cs="Times New Roman"/>
          <w:sz w:val="24"/>
          <w:szCs w:val="24"/>
        </w:rPr>
        <w:t xml:space="preserve">, embasada no processo de </w:t>
      </w:r>
      <w:r w:rsidR="006B25F4">
        <w:rPr>
          <w:rFonts w:ascii="Times New Roman" w:hAnsi="Times New Roman" w:cs="Times New Roman"/>
          <w:sz w:val="24"/>
          <w:szCs w:val="24"/>
        </w:rPr>
        <w:t>desenvolvimento</w:t>
      </w:r>
      <w:r w:rsidR="00F049F1">
        <w:rPr>
          <w:rFonts w:ascii="Times New Roman" w:hAnsi="Times New Roman" w:cs="Times New Roman"/>
          <w:sz w:val="24"/>
          <w:szCs w:val="24"/>
        </w:rPr>
        <w:t xml:space="preserve"> capitalista. </w:t>
      </w:r>
      <w:r w:rsidR="00942090">
        <w:rPr>
          <w:rFonts w:ascii="Times New Roman" w:hAnsi="Times New Roman" w:cs="Times New Roman"/>
          <w:sz w:val="24"/>
          <w:szCs w:val="24"/>
        </w:rPr>
        <w:t>Segundo essa abordagem, a</w:t>
      </w:r>
      <w:r w:rsidR="00A059F1">
        <w:rPr>
          <w:rFonts w:ascii="Times New Roman" w:hAnsi="Times New Roman" w:cs="Times New Roman"/>
          <w:sz w:val="24"/>
          <w:szCs w:val="24"/>
        </w:rPr>
        <w:t xml:space="preserve">s migrações de grupos sociais </w:t>
      </w:r>
      <w:r w:rsidR="00D8599F">
        <w:rPr>
          <w:rFonts w:ascii="Times New Roman" w:hAnsi="Times New Roman" w:cs="Times New Roman"/>
          <w:sz w:val="24"/>
          <w:szCs w:val="24"/>
        </w:rPr>
        <w:t>e/</w:t>
      </w:r>
      <w:r w:rsidR="00A059F1">
        <w:rPr>
          <w:rFonts w:ascii="Times New Roman" w:hAnsi="Times New Roman" w:cs="Times New Roman"/>
          <w:sz w:val="24"/>
          <w:szCs w:val="24"/>
        </w:rPr>
        <w:t xml:space="preserve">ou pessoas são influenciadas pelos fatores de atração e expulsão, os quais estão </w:t>
      </w:r>
      <w:r w:rsidR="00942090">
        <w:rPr>
          <w:rFonts w:ascii="Times New Roman" w:hAnsi="Times New Roman" w:cs="Times New Roman"/>
          <w:sz w:val="24"/>
          <w:szCs w:val="24"/>
        </w:rPr>
        <w:t>relacionadas</w:t>
      </w:r>
      <w:r w:rsidR="00A059F1">
        <w:rPr>
          <w:rFonts w:ascii="Times New Roman" w:hAnsi="Times New Roman" w:cs="Times New Roman"/>
          <w:sz w:val="24"/>
          <w:szCs w:val="24"/>
        </w:rPr>
        <w:t xml:space="preserve"> as forças macroestruturais </w:t>
      </w:r>
      <w:r w:rsidR="00D8599F">
        <w:rPr>
          <w:rFonts w:ascii="Times New Roman" w:hAnsi="Times New Roman" w:cs="Times New Roman"/>
          <w:sz w:val="24"/>
          <w:szCs w:val="24"/>
        </w:rPr>
        <w:t xml:space="preserve">que afetam os níveis de salário e emprego. </w:t>
      </w:r>
      <w:r w:rsidR="006E6CC0">
        <w:rPr>
          <w:rFonts w:ascii="Times New Roman" w:hAnsi="Times New Roman" w:cs="Times New Roman"/>
          <w:sz w:val="24"/>
          <w:szCs w:val="24"/>
        </w:rPr>
        <w:t>Nesse contexto, as migrações est</w:t>
      </w:r>
      <w:r w:rsidR="00FF00DD">
        <w:rPr>
          <w:rFonts w:ascii="Times New Roman" w:hAnsi="Times New Roman" w:cs="Times New Roman"/>
          <w:sz w:val="24"/>
          <w:szCs w:val="24"/>
        </w:rPr>
        <w:t>ão</w:t>
      </w:r>
      <w:r w:rsidR="006E6CC0">
        <w:rPr>
          <w:rFonts w:ascii="Times New Roman" w:hAnsi="Times New Roman" w:cs="Times New Roman"/>
          <w:sz w:val="24"/>
          <w:szCs w:val="24"/>
        </w:rPr>
        <w:t xml:space="preserve"> intimamente relacionada</w:t>
      </w:r>
      <w:r w:rsidR="00D80E7C">
        <w:rPr>
          <w:rFonts w:ascii="Times New Roman" w:hAnsi="Times New Roman" w:cs="Times New Roman"/>
          <w:sz w:val="24"/>
          <w:szCs w:val="24"/>
        </w:rPr>
        <w:t>s</w:t>
      </w:r>
      <w:r w:rsidR="006E6CC0">
        <w:rPr>
          <w:rFonts w:ascii="Times New Roman" w:hAnsi="Times New Roman" w:cs="Times New Roman"/>
          <w:sz w:val="24"/>
          <w:szCs w:val="24"/>
        </w:rPr>
        <w:t xml:space="preserve"> ao processo histórico de acumulação de capital, visto que </w:t>
      </w:r>
      <w:r w:rsidR="00942090">
        <w:rPr>
          <w:rFonts w:ascii="Times New Roman" w:hAnsi="Times New Roman" w:cs="Times New Roman"/>
          <w:sz w:val="24"/>
          <w:szCs w:val="24"/>
        </w:rPr>
        <w:t xml:space="preserve">o principal motor dos deslocamentos migratórios são </w:t>
      </w:r>
      <w:r w:rsidR="006E6CC0">
        <w:rPr>
          <w:rFonts w:ascii="Times New Roman" w:hAnsi="Times New Roman" w:cs="Times New Roman"/>
          <w:sz w:val="24"/>
          <w:szCs w:val="24"/>
        </w:rPr>
        <w:t xml:space="preserve">os diferenciais de renda e </w:t>
      </w:r>
      <w:r w:rsidR="00FF00DD">
        <w:rPr>
          <w:rFonts w:ascii="Times New Roman" w:hAnsi="Times New Roman" w:cs="Times New Roman"/>
          <w:sz w:val="24"/>
          <w:szCs w:val="24"/>
        </w:rPr>
        <w:t xml:space="preserve">emprego entre a regiões </w:t>
      </w:r>
      <w:r w:rsidR="002058D9">
        <w:rPr>
          <w:rFonts w:ascii="Times New Roman" w:hAnsi="Times New Roman" w:cs="Times New Roman"/>
          <w:sz w:val="24"/>
          <w:szCs w:val="24"/>
        </w:rPr>
        <w:t xml:space="preserve">(FOZ, </w:t>
      </w:r>
      <w:r w:rsidR="000F17EB">
        <w:rPr>
          <w:rFonts w:ascii="Times New Roman" w:hAnsi="Times New Roman" w:cs="Times New Roman"/>
          <w:sz w:val="24"/>
          <w:szCs w:val="24"/>
        </w:rPr>
        <w:t>2021</w:t>
      </w:r>
      <w:r w:rsidR="002058D9">
        <w:rPr>
          <w:rFonts w:ascii="Times New Roman" w:hAnsi="Times New Roman" w:cs="Times New Roman"/>
          <w:sz w:val="24"/>
          <w:szCs w:val="24"/>
        </w:rPr>
        <w:t>)</w:t>
      </w:r>
      <w:r w:rsidR="00FF00DD">
        <w:rPr>
          <w:rFonts w:ascii="Times New Roman" w:hAnsi="Times New Roman" w:cs="Times New Roman"/>
          <w:sz w:val="24"/>
          <w:szCs w:val="24"/>
        </w:rPr>
        <w:t>.</w:t>
      </w:r>
      <w:r w:rsidR="002058D9">
        <w:rPr>
          <w:rFonts w:ascii="Times New Roman" w:hAnsi="Times New Roman" w:cs="Times New Roman"/>
          <w:sz w:val="24"/>
          <w:szCs w:val="24"/>
        </w:rPr>
        <w:t xml:space="preserve"> </w:t>
      </w:r>
      <w:r w:rsidR="002058D9" w:rsidRPr="0035498B">
        <w:rPr>
          <w:rFonts w:ascii="Times New Roman" w:hAnsi="Times New Roman" w:cs="Times New Roman"/>
          <w:sz w:val="24"/>
          <w:szCs w:val="24"/>
        </w:rPr>
        <w:t>P</w:t>
      </w:r>
      <w:r w:rsidR="00942090">
        <w:rPr>
          <w:rFonts w:ascii="Times New Roman" w:hAnsi="Times New Roman" w:cs="Times New Roman"/>
          <w:sz w:val="24"/>
          <w:szCs w:val="24"/>
        </w:rPr>
        <w:t xml:space="preserve">ortanto, </w:t>
      </w:r>
      <w:r w:rsidR="002058D9" w:rsidRPr="0035498B">
        <w:rPr>
          <w:rFonts w:ascii="Times New Roman" w:hAnsi="Times New Roman" w:cs="Times New Roman"/>
          <w:sz w:val="24"/>
          <w:szCs w:val="24"/>
        </w:rPr>
        <w:t>na corrente estruturalista há uma forte relação com os modelos de centro-periferia e com a teoria de desenvolvimento neomarxista, no qual a migração é uma função linear das desigualdades, do subdesenvolvimento e da pobreza</w:t>
      </w:r>
      <w:r w:rsidR="00942090">
        <w:rPr>
          <w:rFonts w:ascii="Times New Roman" w:hAnsi="Times New Roman" w:cs="Times New Roman"/>
          <w:sz w:val="24"/>
          <w:szCs w:val="24"/>
        </w:rPr>
        <w:t xml:space="preserve"> (DE HAAS, 2010)</w:t>
      </w:r>
      <w:r w:rsidR="002058D9" w:rsidRPr="0035498B">
        <w:rPr>
          <w:rFonts w:ascii="Times New Roman" w:hAnsi="Times New Roman" w:cs="Times New Roman"/>
          <w:sz w:val="24"/>
          <w:szCs w:val="24"/>
        </w:rPr>
        <w:t>.</w:t>
      </w:r>
    </w:p>
    <w:p w14:paraId="58567B19" w14:textId="01C61BFF" w:rsidR="0023482A" w:rsidRDefault="00FF00DD" w:rsidP="0035498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Enquanto a abordagem neoclássica descarta os </w:t>
      </w:r>
      <w:r w:rsidR="0023482A">
        <w:rPr>
          <w:rFonts w:ascii="Times New Roman" w:hAnsi="Times New Roman" w:cs="Times New Roman"/>
          <w:sz w:val="24"/>
          <w:szCs w:val="24"/>
        </w:rPr>
        <w:t>aspectos</w:t>
      </w:r>
      <w:r>
        <w:rPr>
          <w:rFonts w:ascii="Times New Roman" w:hAnsi="Times New Roman" w:cs="Times New Roman"/>
          <w:sz w:val="24"/>
          <w:szCs w:val="24"/>
        </w:rPr>
        <w:t xml:space="preserve"> históricos como determinantes da migração</w:t>
      </w:r>
      <w:r w:rsidR="0023482A">
        <w:rPr>
          <w:rFonts w:ascii="Times New Roman" w:hAnsi="Times New Roman" w:cs="Times New Roman"/>
          <w:sz w:val="24"/>
          <w:szCs w:val="24"/>
        </w:rPr>
        <w:t xml:space="preserve"> e d</w:t>
      </w:r>
      <w:r w:rsidR="00AC4B48">
        <w:rPr>
          <w:rFonts w:ascii="Times New Roman" w:hAnsi="Times New Roman" w:cs="Times New Roman"/>
          <w:sz w:val="24"/>
          <w:szCs w:val="24"/>
        </w:rPr>
        <w:t>á</w:t>
      </w:r>
      <w:r w:rsidR="0023482A">
        <w:rPr>
          <w:rFonts w:ascii="Times New Roman" w:hAnsi="Times New Roman" w:cs="Times New Roman"/>
          <w:sz w:val="24"/>
          <w:szCs w:val="24"/>
        </w:rPr>
        <w:t xml:space="preserve"> demasiada atenção a tendência do equilíbrio da migração do trabalho entre o rural e urbano</w:t>
      </w:r>
      <w:r>
        <w:rPr>
          <w:rFonts w:ascii="Times New Roman" w:hAnsi="Times New Roman" w:cs="Times New Roman"/>
          <w:sz w:val="24"/>
          <w:szCs w:val="24"/>
        </w:rPr>
        <w:t>, a histórico estrutural dá pouca atenção a</w:t>
      </w:r>
      <w:r w:rsidR="00F972C3">
        <w:rPr>
          <w:rFonts w:ascii="Times New Roman" w:hAnsi="Times New Roman" w:cs="Times New Roman"/>
          <w:sz w:val="24"/>
          <w:szCs w:val="24"/>
        </w:rPr>
        <w:t>os fatores subjetivos que afetam os indivíduos na decisão de migrar, o que lhe gera limitações para captar os custos e benefícios da migração, assim como outros fatores que são importantes para compreender a propensão e a direção da migração, como as redes sociais</w:t>
      </w:r>
      <w:r w:rsidR="0023482A">
        <w:rPr>
          <w:rFonts w:ascii="Times New Roman" w:hAnsi="Times New Roman" w:cs="Times New Roman"/>
          <w:sz w:val="24"/>
          <w:szCs w:val="24"/>
        </w:rPr>
        <w:t xml:space="preserve">, o que a caracteriza como uma abordagem </w:t>
      </w:r>
      <w:r w:rsidR="00BC7F03">
        <w:rPr>
          <w:rFonts w:ascii="Times New Roman" w:hAnsi="Times New Roman" w:cs="Times New Roman"/>
          <w:sz w:val="24"/>
          <w:szCs w:val="24"/>
        </w:rPr>
        <w:t>macro social</w:t>
      </w:r>
      <w:r w:rsidR="0034418A">
        <w:rPr>
          <w:rFonts w:ascii="Times New Roman" w:hAnsi="Times New Roman" w:cs="Times New Roman"/>
          <w:sz w:val="24"/>
          <w:szCs w:val="24"/>
        </w:rPr>
        <w:t xml:space="preserve"> (FOZ, 2021)</w:t>
      </w:r>
      <w:r w:rsidR="0023482A">
        <w:rPr>
          <w:rFonts w:ascii="Times New Roman" w:hAnsi="Times New Roman" w:cs="Times New Roman"/>
          <w:sz w:val="24"/>
          <w:szCs w:val="24"/>
        </w:rPr>
        <w:t xml:space="preserve">. </w:t>
      </w:r>
    </w:p>
    <w:p w14:paraId="02B43241" w14:textId="05DF721C" w:rsidR="00AC4B48" w:rsidRDefault="00AC4B48" w:rsidP="0035498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Como evolução dessas teorias, existem outras abordagens que se desdobraram em entender o fenômeno migratório a nível micro social. A nova economia da migração surgiu como alternativa a teoria neoclássica, pois em vez de considerar o indivíduo como tomador de decisões, ela utiliza a família e/ou domicílio como unidade de análise. </w:t>
      </w:r>
      <w:r w:rsidR="003B3658" w:rsidRPr="0035498B">
        <w:rPr>
          <w:rFonts w:ascii="Times New Roman" w:hAnsi="Times New Roman" w:cs="Times New Roman"/>
          <w:sz w:val="24"/>
          <w:szCs w:val="24"/>
        </w:rPr>
        <w:t>Como pressuposto, pessoas agem coletivamente não apenas para maximizar a renda esperada</w:t>
      </w:r>
      <w:r w:rsidR="003B3658">
        <w:rPr>
          <w:rFonts w:ascii="Times New Roman" w:hAnsi="Times New Roman" w:cs="Times New Roman"/>
          <w:sz w:val="24"/>
          <w:szCs w:val="24"/>
        </w:rPr>
        <w:t xml:space="preserve"> da família</w:t>
      </w:r>
      <w:r w:rsidR="003B3658" w:rsidRPr="0035498B">
        <w:rPr>
          <w:rFonts w:ascii="Times New Roman" w:hAnsi="Times New Roman" w:cs="Times New Roman"/>
          <w:sz w:val="24"/>
          <w:szCs w:val="24"/>
        </w:rPr>
        <w:t xml:space="preserve">, mas também para minimizar os riscos associados </w:t>
      </w:r>
      <w:r w:rsidR="003B3658">
        <w:rPr>
          <w:rFonts w:ascii="Times New Roman" w:hAnsi="Times New Roman" w:cs="Times New Roman"/>
          <w:sz w:val="24"/>
          <w:szCs w:val="24"/>
        </w:rPr>
        <w:t xml:space="preserve">as </w:t>
      </w:r>
      <w:r w:rsidR="003B3658" w:rsidRPr="0035498B">
        <w:rPr>
          <w:rFonts w:ascii="Times New Roman" w:hAnsi="Times New Roman" w:cs="Times New Roman"/>
          <w:sz w:val="24"/>
          <w:szCs w:val="24"/>
        </w:rPr>
        <w:t>falhas do mercado e institucionais</w:t>
      </w:r>
      <w:r w:rsidR="00D52296">
        <w:rPr>
          <w:rFonts w:ascii="Times New Roman" w:hAnsi="Times New Roman" w:cs="Times New Roman"/>
          <w:sz w:val="24"/>
          <w:szCs w:val="24"/>
        </w:rPr>
        <w:t xml:space="preserve"> (FOZ, 2021)</w:t>
      </w:r>
      <w:r w:rsidR="003B3658" w:rsidRPr="0035498B">
        <w:rPr>
          <w:rFonts w:ascii="Times New Roman" w:hAnsi="Times New Roman" w:cs="Times New Roman"/>
          <w:sz w:val="24"/>
          <w:szCs w:val="24"/>
        </w:rPr>
        <w:t>.</w:t>
      </w:r>
      <w:r w:rsidR="003B3658">
        <w:rPr>
          <w:rFonts w:ascii="Times New Roman" w:hAnsi="Times New Roman" w:cs="Times New Roman"/>
          <w:sz w:val="24"/>
          <w:szCs w:val="24"/>
        </w:rPr>
        <w:t xml:space="preserve"> </w:t>
      </w:r>
    </w:p>
    <w:p w14:paraId="7A0B27B3" w14:textId="3292C3AF" w:rsidR="003B3658" w:rsidRDefault="003B3658" w:rsidP="0035498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Pensar na perspectiva do domicílio como unidade de análise parece ser a opção mais adequada, pois permite uma maior aproximação dos reais motivos da migração, ou da não migração, visto que a esse nível de observação pode-se compreender melhor como as pessoas se socializam, as aspirações e valores comunitários e das pessoas que formam família, além de observar como respondem as forças d</w:t>
      </w:r>
      <w:r w:rsidR="007056C7">
        <w:rPr>
          <w:rFonts w:ascii="Times New Roman" w:hAnsi="Times New Roman" w:cs="Times New Roman"/>
          <w:sz w:val="24"/>
          <w:szCs w:val="24"/>
        </w:rPr>
        <w:t>os</w:t>
      </w:r>
      <w:r>
        <w:rPr>
          <w:rFonts w:ascii="Times New Roman" w:hAnsi="Times New Roman" w:cs="Times New Roman"/>
          <w:sz w:val="24"/>
          <w:szCs w:val="24"/>
        </w:rPr>
        <w:t xml:space="preserve"> fatores socioeconômicos. A decisão de migrar é decidida em âmbito intrafamiliar, que dependendo de determinado nível de capital social, humano e físico, em que pesa as relações de sexo e gerações dentro da família, tendo como objetivo maximização de benefícios </w:t>
      </w:r>
      <w:r w:rsidRPr="008D7F80">
        <w:rPr>
          <w:rFonts w:ascii="Times New Roman" w:hAnsi="Times New Roman" w:cs="Times New Roman"/>
          <w:sz w:val="24"/>
          <w:szCs w:val="24"/>
        </w:rPr>
        <w:t>(HOERDER, 2002)</w:t>
      </w:r>
      <w:r>
        <w:rPr>
          <w:rFonts w:ascii="Times New Roman" w:hAnsi="Times New Roman" w:cs="Times New Roman"/>
          <w:sz w:val="24"/>
          <w:szCs w:val="24"/>
        </w:rPr>
        <w:t>.</w:t>
      </w:r>
    </w:p>
    <w:p w14:paraId="43B06C3E" w14:textId="2D1B3B98" w:rsidR="00B46A9E" w:rsidRDefault="00EA188C" w:rsidP="00B46A9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Dito isso, o</w:t>
      </w:r>
      <w:r w:rsidR="007056C7">
        <w:rPr>
          <w:rFonts w:ascii="Times New Roman" w:hAnsi="Times New Roman" w:cs="Times New Roman"/>
          <w:sz w:val="24"/>
          <w:szCs w:val="24"/>
        </w:rPr>
        <w:t>utras questões, não menos importantes, devem ser consideradas na decisão da migração</w:t>
      </w:r>
      <w:r w:rsidR="005D5342">
        <w:rPr>
          <w:rFonts w:ascii="Times New Roman" w:hAnsi="Times New Roman" w:cs="Times New Roman"/>
          <w:sz w:val="24"/>
          <w:szCs w:val="24"/>
        </w:rPr>
        <w:t>, que são as que se visualiza em nível micro social</w:t>
      </w:r>
      <w:r w:rsidR="007056C7">
        <w:rPr>
          <w:rFonts w:ascii="Times New Roman" w:hAnsi="Times New Roman" w:cs="Times New Roman"/>
          <w:sz w:val="24"/>
          <w:szCs w:val="24"/>
        </w:rPr>
        <w:t>. Partindo de uma perspectiva sociológica, o curso de vida</w:t>
      </w:r>
      <w:r w:rsidR="00652901">
        <w:rPr>
          <w:rFonts w:ascii="Times New Roman" w:hAnsi="Times New Roman" w:cs="Times New Roman"/>
          <w:sz w:val="24"/>
          <w:szCs w:val="24"/>
        </w:rPr>
        <w:t xml:space="preserve"> e </w:t>
      </w:r>
      <w:r w:rsidR="007056C7">
        <w:rPr>
          <w:rFonts w:ascii="Times New Roman" w:hAnsi="Times New Roman" w:cs="Times New Roman"/>
          <w:sz w:val="24"/>
          <w:szCs w:val="24"/>
        </w:rPr>
        <w:t xml:space="preserve">as redes sociais são exemplos importantes de fatores que estão </w:t>
      </w:r>
      <w:r w:rsidR="000E08D0">
        <w:rPr>
          <w:rFonts w:ascii="Times New Roman" w:hAnsi="Times New Roman" w:cs="Times New Roman"/>
          <w:sz w:val="24"/>
          <w:szCs w:val="24"/>
        </w:rPr>
        <w:t xml:space="preserve">fortemente </w:t>
      </w:r>
      <w:r w:rsidR="007056C7">
        <w:rPr>
          <w:rFonts w:ascii="Times New Roman" w:hAnsi="Times New Roman" w:cs="Times New Roman"/>
          <w:sz w:val="24"/>
          <w:szCs w:val="24"/>
        </w:rPr>
        <w:t>relacionados as causas da migração familiar ou individual</w:t>
      </w:r>
      <w:r w:rsidR="000E08D0">
        <w:rPr>
          <w:rFonts w:ascii="Times New Roman" w:hAnsi="Times New Roman" w:cs="Times New Roman"/>
          <w:sz w:val="24"/>
          <w:szCs w:val="24"/>
        </w:rPr>
        <w:t xml:space="preserve">, os quais são, ao mesmo tempo, de grande valia para compreender </w:t>
      </w:r>
      <w:r w:rsidR="00652901">
        <w:rPr>
          <w:rFonts w:ascii="Times New Roman" w:hAnsi="Times New Roman" w:cs="Times New Roman"/>
          <w:sz w:val="24"/>
          <w:szCs w:val="24"/>
        </w:rPr>
        <w:t xml:space="preserve">também a </w:t>
      </w:r>
      <w:r w:rsidR="000E08D0">
        <w:rPr>
          <w:rFonts w:ascii="Times New Roman" w:hAnsi="Times New Roman" w:cs="Times New Roman"/>
          <w:sz w:val="24"/>
          <w:szCs w:val="24"/>
        </w:rPr>
        <w:t>imobilidade</w:t>
      </w:r>
      <w:r w:rsidR="007056C7">
        <w:rPr>
          <w:rFonts w:ascii="Times New Roman" w:hAnsi="Times New Roman" w:cs="Times New Roman"/>
          <w:sz w:val="24"/>
          <w:szCs w:val="24"/>
        </w:rPr>
        <w:t xml:space="preserve">. </w:t>
      </w:r>
    </w:p>
    <w:p w14:paraId="236006FC" w14:textId="764F2451" w:rsidR="00DA3A48" w:rsidRPr="0034418A" w:rsidRDefault="00BB23B8" w:rsidP="0035498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condição de casado e a situação de núcleos familiares maiores apresentam menores chances de empregarem a migração, visto que os custos envolvidos são mais expressivos por ser um grupo familiar. Ao relacionar a distância com o cu</w:t>
      </w:r>
      <w:r w:rsidRPr="0034418A">
        <w:rPr>
          <w:rFonts w:ascii="Times New Roman" w:hAnsi="Times New Roman" w:cs="Times New Roman"/>
          <w:sz w:val="24"/>
          <w:szCs w:val="24"/>
        </w:rPr>
        <w:t xml:space="preserve">rso de vida, </w:t>
      </w:r>
      <w:proofErr w:type="spellStart"/>
      <w:r w:rsidRPr="0034418A">
        <w:rPr>
          <w:rFonts w:ascii="Times New Roman" w:hAnsi="Times New Roman" w:cs="Times New Roman"/>
          <w:sz w:val="24"/>
          <w:szCs w:val="24"/>
        </w:rPr>
        <w:t>Grundy</w:t>
      </w:r>
      <w:proofErr w:type="spellEnd"/>
      <w:r w:rsidRPr="0034418A">
        <w:rPr>
          <w:rFonts w:ascii="Times New Roman" w:hAnsi="Times New Roman" w:cs="Times New Roman"/>
          <w:sz w:val="24"/>
          <w:szCs w:val="24"/>
        </w:rPr>
        <w:t xml:space="preserve"> (1992) destaca </w:t>
      </w:r>
      <w:r w:rsidRPr="0034418A">
        <w:rPr>
          <w:rFonts w:ascii="Times New Roman" w:hAnsi="Times New Roman" w:cs="Times New Roman"/>
          <w:sz w:val="24"/>
          <w:szCs w:val="24"/>
        </w:rPr>
        <w:lastRenderedPageBreak/>
        <w:t>que solteiros e casais sem filhos, por exemplo, tem uma maior chance de se deslocarem para regiões mais distantes</w:t>
      </w:r>
      <w:r w:rsidR="0084281B" w:rsidRPr="0034418A">
        <w:rPr>
          <w:rFonts w:ascii="Times New Roman" w:hAnsi="Times New Roman" w:cs="Times New Roman"/>
          <w:sz w:val="24"/>
          <w:szCs w:val="24"/>
        </w:rPr>
        <w:t>, o que indica também que estes são mais propensos a migrarem</w:t>
      </w:r>
      <w:r w:rsidRPr="0034418A">
        <w:rPr>
          <w:rFonts w:ascii="Times New Roman" w:hAnsi="Times New Roman" w:cs="Times New Roman"/>
          <w:sz w:val="24"/>
          <w:szCs w:val="24"/>
        </w:rPr>
        <w:t>.</w:t>
      </w:r>
      <w:r w:rsidR="0084281B" w:rsidRPr="0034418A">
        <w:rPr>
          <w:rFonts w:ascii="Times New Roman" w:hAnsi="Times New Roman" w:cs="Times New Roman"/>
          <w:sz w:val="24"/>
          <w:szCs w:val="24"/>
        </w:rPr>
        <w:t xml:space="preserve"> Isso tudo corrobora com o fato de que o número de filhos, nascimentos de filhos e nupcialidade são elementos </w:t>
      </w:r>
      <w:r w:rsidR="00B5151D" w:rsidRPr="0034418A">
        <w:rPr>
          <w:rFonts w:ascii="Times New Roman" w:hAnsi="Times New Roman" w:cs="Times New Roman"/>
          <w:sz w:val="24"/>
          <w:szCs w:val="24"/>
        </w:rPr>
        <w:t>importantes par</w:t>
      </w:r>
      <w:r w:rsidR="0084281B" w:rsidRPr="0034418A">
        <w:rPr>
          <w:rFonts w:ascii="Times New Roman" w:hAnsi="Times New Roman" w:cs="Times New Roman"/>
          <w:sz w:val="24"/>
          <w:szCs w:val="24"/>
        </w:rPr>
        <w:t>a decisão de migrar</w:t>
      </w:r>
      <w:r w:rsidR="00B5151D" w:rsidRPr="0034418A">
        <w:rPr>
          <w:rFonts w:ascii="Times New Roman" w:hAnsi="Times New Roman" w:cs="Times New Roman"/>
          <w:sz w:val="24"/>
          <w:szCs w:val="24"/>
        </w:rPr>
        <w:t xml:space="preserve">, assim como para adoção de estratégias que consideram a distância </w:t>
      </w:r>
      <w:r w:rsidR="003F7874" w:rsidRPr="0034418A">
        <w:rPr>
          <w:rFonts w:ascii="Times New Roman" w:hAnsi="Times New Roman" w:cs="Times New Roman"/>
          <w:sz w:val="24"/>
          <w:szCs w:val="24"/>
        </w:rPr>
        <w:t xml:space="preserve">a ser percorrida, se para uma localidade mais próxima ou mais distante, </w:t>
      </w:r>
      <w:r w:rsidR="00B5151D" w:rsidRPr="0034418A">
        <w:rPr>
          <w:rFonts w:ascii="Times New Roman" w:hAnsi="Times New Roman" w:cs="Times New Roman"/>
          <w:sz w:val="24"/>
          <w:szCs w:val="24"/>
        </w:rPr>
        <w:t>e as etapas da migração</w:t>
      </w:r>
      <w:r w:rsidR="003F7874" w:rsidRPr="0034418A">
        <w:rPr>
          <w:rFonts w:ascii="Times New Roman" w:hAnsi="Times New Roman" w:cs="Times New Roman"/>
          <w:sz w:val="24"/>
          <w:szCs w:val="24"/>
        </w:rPr>
        <w:t>, que são empregadas até achar o lugar mais satisfatório</w:t>
      </w:r>
      <w:r w:rsidR="00CF5B8F" w:rsidRPr="0034418A">
        <w:rPr>
          <w:rFonts w:ascii="Times New Roman" w:hAnsi="Times New Roman" w:cs="Times New Roman"/>
          <w:sz w:val="24"/>
          <w:szCs w:val="24"/>
        </w:rPr>
        <w:t xml:space="preserve"> para fixar residência por mais tempo</w:t>
      </w:r>
      <w:r w:rsidR="00DC5991">
        <w:rPr>
          <w:rFonts w:ascii="Times New Roman" w:hAnsi="Times New Roman" w:cs="Times New Roman"/>
          <w:sz w:val="24"/>
          <w:szCs w:val="24"/>
        </w:rPr>
        <w:t xml:space="preserve"> (FOZ, 2021)</w:t>
      </w:r>
      <w:r w:rsidR="0084281B" w:rsidRPr="0034418A">
        <w:rPr>
          <w:rFonts w:ascii="Times New Roman" w:hAnsi="Times New Roman" w:cs="Times New Roman"/>
          <w:sz w:val="24"/>
          <w:szCs w:val="24"/>
        </w:rPr>
        <w:t xml:space="preserve">. </w:t>
      </w:r>
    </w:p>
    <w:p w14:paraId="310B61F0" w14:textId="38E21F3B" w:rsidR="00A9461B" w:rsidRDefault="00CF5B8F" w:rsidP="00817B63">
      <w:pPr>
        <w:spacing w:after="0" w:line="360" w:lineRule="auto"/>
        <w:ind w:firstLine="708"/>
        <w:jc w:val="both"/>
        <w:rPr>
          <w:rFonts w:ascii="Times New Roman" w:hAnsi="Times New Roman" w:cs="Times New Roman"/>
          <w:sz w:val="24"/>
          <w:szCs w:val="24"/>
        </w:rPr>
      </w:pPr>
      <w:r w:rsidRPr="0034418A">
        <w:rPr>
          <w:rFonts w:ascii="Times New Roman" w:hAnsi="Times New Roman" w:cs="Times New Roman"/>
          <w:sz w:val="24"/>
          <w:szCs w:val="24"/>
        </w:rPr>
        <w:t>As redes sociais</w:t>
      </w:r>
      <w:r w:rsidR="00956198">
        <w:rPr>
          <w:rFonts w:ascii="Times New Roman" w:hAnsi="Times New Roman" w:cs="Times New Roman"/>
          <w:sz w:val="24"/>
          <w:szCs w:val="24"/>
        </w:rPr>
        <w:t>, por sua vez,</w:t>
      </w:r>
      <w:r w:rsidRPr="0034418A">
        <w:rPr>
          <w:rFonts w:ascii="Times New Roman" w:hAnsi="Times New Roman" w:cs="Times New Roman"/>
          <w:sz w:val="24"/>
          <w:szCs w:val="24"/>
        </w:rPr>
        <w:t xml:space="preserve"> são tidas como meio de reduzir os custos que envolve a migração</w:t>
      </w:r>
      <w:r w:rsidR="00DC5991">
        <w:rPr>
          <w:rFonts w:ascii="Times New Roman" w:hAnsi="Times New Roman" w:cs="Times New Roman"/>
          <w:sz w:val="24"/>
          <w:szCs w:val="24"/>
        </w:rPr>
        <w:t xml:space="preserve"> (LEE, 1966)</w:t>
      </w:r>
      <w:r w:rsidRPr="0034418A">
        <w:rPr>
          <w:rFonts w:ascii="Times New Roman" w:hAnsi="Times New Roman" w:cs="Times New Roman"/>
          <w:sz w:val="24"/>
          <w:szCs w:val="24"/>
        </w:rPr>
        <w:t xml:space="preserve">. </w:t>
      </w:r>
      <w:r w:rsidR="00F949B5">
        <w:rPr>
          <w:rFonts w:ascii="Times New Roman" w:hAnsi="Times New Roman" w:cs="Times New Roman"/>
          <w:sz w:val="24"/>
          <w:szCs w:val="24"/>
        </w:rPr>
        <w:t>Elas</w:t>
      </w:r>
      <w:r w:rsidRPr="0034418A">
        <w:rPr>
          <w:rFonts w:ascii="Times New Roman" w:hAnsi="Times New Roman" w:cs="Times New Roman"/>
          <w:sz w:val="24"/>
          <w:szCs w:val="24"/>
        </w:rPr>
        <w:t xml:space="preserve"> são preponderantes para a formação das chamadas redes migratórias, uma vez que facilitam a migração de indivíduos, famílias e grupos de pessoas por reduzir o nível de incerteza quanto ao local de destino. </w:t>
      </w:r>
      <w:r w:rsidR="00A9461B" w:rsidRPr="0034418A">
        <w:rPr>
          <w:rFonts w:ascii="Times New Roman" w:hAnsi="Times New Roman" w:cs="Times New Roman"/>
          <w:sz w:val="24"/>
          <w:szCs w:val="24"/>
        </w:rPr>
        <w:t>Por meio dela</w:t>
      </w:r>
      <w:r w:rsidR="00F949B5">
        <w:rPr>
          <w:rFonts w:ascii="Times New Roman" w:hAnsi="Times New Roman" w:cs="Times New Roman"/>
          <w:sz w:val="24"/>
          <w:szCs w:val="24"/>
        </w:rPr>
        <w:t>s</w:t>
      </w:r>
      <w:r w:rsidR="00A9461B" w:rsidRPr="0034418A">
        <w:rPr>
          <w:rFonts w:ascii="Times New Roman" w:hAnsi="Times New Roman" w:cs="Times New Roman"/>
          <w:sz w:val="24"/>
          <w:szCs w:val="24"/>
        </w:rPr>
        <w:t xml:space="preserve"> se obtêm informações e ajuda para conseguir o primeiro emprego e de moradia temporária no destino para os que acabam de chegar (SALES, 1999).</w:t>
      </w:r>
      <w:r w:rsidR="00A9461B">
        <w:rPr>
          <w:rFonts w:ascii="Times New Roman" w:hAnsi="Times New Roman" w:cs="Times New Roman"/>
          <w:sz w:val="24"/>
          <w:szCs w:val="24"/>
        </w:rPr>
        <w:t xml:space="preserve"> </w:t>
      </w:r>
      <w:r w:rsidR="00F949B5">
        <w:rPr>
          <w:rFonts w:ascii="Times New Roman" w:hAnsi="Times New Roman" w:cs="Times New Roman"/>
          <w:sz w:val="24"/>
          <w:szCs w:val="24"/>
        </w:rPr>
        <w:t>Assim, o</w:t>
      </w:r>
      <w:r w:rsidR="00A9461B">
        <w:rPr>
          <w:rFonts w:ascii="Times New Roman" w:hAnsi="Times New Roman" w:cs="Times New Roman"/>
          <w:sz w:val="24"/>
          <w:szCs w:val="24"/>
        </w:rPr>
        <w:t xml:space="preserve"> fortalecimento d</w:t>
      </w:r>
      <w:r w:rsidR="00F949B5">
        <w:rPr>
          <w:rFonts w:ascii="Times New Roman" w:hAnsi="Times New Roman" w:cs="Times New Roman"/>
          <w:sz w:val="24"/>
          <w:szCs w:val="24"/>
        </w:rPr>
        <w:t>as redes sociais,</w:t>
      </w:r>
      <w:r w:rsidR="00B150ED">
        <w:rPr>
          <w:rFonts w:ascii="Times New Roman" w:hAnsi="Times New Roman" w:cs="Times New Roman"/>
          <w:sz w:val="24"/>
          <w:szCs w:val="24"/>
        </w:rPr>
        <w:t xml:space="preserve"> que se constitui de laços familiares, afetivos, comunitários, culturais e de naturalidade</w:t>
      </w:r>
      <w:r w:rsidR="00F949B5">
        <w:rPr>
          <w:rFonts w:ascii="Times New Roman" w:hAnsi="Times New Roman" w:cs="Times New Roman"/>
          <w:sz w:val="24"/>
          <w:szCs w:val="24"/>
        </w:rPr>
        <w:t>,</w:t>
      </w:r>
      <w:r w:rsidR="00A9461B">
        <w:rPr>
          <w:rFonts w:ascii="Times New Roman" w:hAnsi="Times New Roman" w:cs="Times New Roman"/>
          <w:sz w:val="24"/>
          <w:szCs w:val="24"/>
        </w:rPr>
        <w:t xml:space="preserve"> se transforma em </w:t>
      </w:r>
      <w:r w:rsidR="00B150ED">
        <w:rPr>
          <w:rFonts w:ascii="Times New Roman" w:hAnsi="Times New Roman" w:cs="Times New Roman"/>
          <w:sz w:val="24"/>
          <w:szCs w:val="24"/>
        </w:rPr>
        <w:t xml:space="preserve">uma </w:t>
      </w:r>
      <w:r w:rsidR="00A9461B">
        <w:rPr>
          <w:rFonts w:ascii="Times New Roman" w:hAnsi="Times New Roman" w:cs="Times New Roman"/>
          <w:sz w:val="24"/>
          <w:szCs w:val="24"/>
        </w:rPr>
        <w:t>rede migratória</w:t>
      </w:r>
      <w:r w:rsidR="00817B63">
        <w:rPr>
          <w:rFonts w:ascii="Times New Roman" w:hAnsi="Times New Roman" w:cs="Times New Roman"/>
          <w:sz w:val="24"/>
          <w:szCs w:val="24"/>
        </w:rPr>
        <w:t xml:space="preserve"> importante que envolve não só os migrantes, mas também os passíveis a migração</w:t>
      </w:r>
      <w:r w:rsidR="00B150ED">
        <w:rPr>
          <w:rFonts w:ascii="Times New Roman" w:hAnsi="Times New Roman" w:cs="Times New Roman"/>
          <w:sz w:val="24"/>
          <w:szCs w:val="24"/>
        </w:rPr>
        <w:t>.</w:t>
      </w:r>
      <w:r w:rsidR="00817B63">
        <w:rPr>
          <w:rFonts w:ascii="Times New Roman" w:hAnsi="Times New Roman" w:cs="Times New Roman"/>
          <w:sz w:val="24"/>
          <w:szCs w:val="24"/>
        </w:rPr>
        <w:t xml:space="preserve"> </w:t>
      </w:r>
      <w:r w:rsidR="00C82E58">
        <w:rPr>
          <w:rFonts w:ascii="Times New Roman" w:hAnsi="Times New Roman" w:cs="Times New Roman"/>
          <w:sz w:val="24"/>
          <w:szCs w:val="24"/>
        </w:rPr>
        <w:t xml:space="preserve">A articulação de informações </w:t>
      </w:r>
      <w:r w:rsidR="00817B63">
        <w:rPr>
          <w:rFonts w:ascii="Times New Roman" w:hAnsi="Times New Roman" w:cs="Times New Roman"/>
          <w:sz w:val="24"/>
          <w:szCs w:val="24"/>
        </w:rPr>
        <w:t>“</w:t>
      </w:r>
      <w:r w:rsidR="00C82E58">
        <w:rPr>
          <w:rFonts w:ascii="Times New Roman" w:hAnsi="Times New Roman" w:cs="Times New Roman"/>
          <w:sz w:val="24"/>
          <w:szCs w:val="24"/>
        </w:rPr>
        <w:t xml:space="preserve">[...] </w:t>
      </w:r>
      <w:r w:rsidR="00817B63" w:rsidRPr="00817B63">
        <w:rPr>
          <w:rFonts w:ascii="Times New Roman" w:hAnsi="Times New Roman" w:cs="Times New Roman"/>
          <w:sz w:val="24"/>
          <w:szCs w:val="24"/>
        </w:rPr>
        <w:t>sobre trabalho,</w:t>
      </w:r>
      <w:r w:rsidR="00817B63">
        <w:rPr>
          <w:rFonts w:ascii="Times New Roman" w:hAnsi="Times New Roman" w:cs="Times New Roman"/>
          <w:sz w:val="24"/>
          <w:szCs w:val="24"/>
        </w:rPr>
        <w:t xml:space="preserve"> </w:t>
      </w:r>
      <w:r w:rsidR="00817B63" w:rsidRPr="00817B63">
        <w:rPr>
          <w:rFonts w:ascii="Times New Roman" w:hAnsi="Times New Roman" w:cs="Times New Roman"/>
          <w:sz w:val="24"/>
          <w:szCs w:val="24"/>
        </w:rPr>
        <w:t>moradia, educação, lazer etc. constituídas nas redes sociais, circulam e alimentam as migrações</w:t>
      </w:r>
      <w:r w:rsidR="00817B63">
        <w:rPr>
          <w:rFonts w:ascii="Times New Roman" w:hAnsi="Times New Roman" w:cs="Times New Roman"/>
          <w:sz w:val="24"/>
          <w:szCs w:val="24"/>
        </w:rPr>
        <w:t xml:space="preserve"> </w:t>
      </w:r>
      <w:r w:rsidR="00817B63" w:rsidRPr="00817B63">
        <w:rPr>
          <w:rFonts w:ascii="Times New Roman" w:hAnsi="Times New Roman" w:cs="Times New Roman"/>
          <w:sz w:val="24"/>
          <w:szCs w:val="24"/>
        </w:rPr>
        <w:t>no tempo e no espaço, por meio do recrutamento de migrantes, entre o imigrado na sociedade</w:t>
      </w:r>
      <w:r w:rsidR="00817B63">
        <w:rPr>
          <w:rFonts w:ascii="Times New Roman" w:hAnsi="Times New Roman" w:cs="Times New Roman"/>
          <w:sz w:val="24"/>
          <w:szCs w:val="24"/>
        </w:rPr>
        <w:t xml:space="preserve"> </w:t>
      </w:r>
      <w:r w:rsidR="00817B63" w:rsidRPr="00817B63">
        <w:rPr>
          <w:rFonts w:ascii="Times New Roman" w:hAnsi="Times New Roman" w:cs="Times New Roman"/>
          <w:sz w:val="24"/>
          <w:szCs w:val="24"/>
        </w:rPr>
        <w:t>de destino e amigos e familiares que ficaram no local de nascimento</w:t>
      </w:r>
      <w:r w:rsidR="00817B63">
        <w:rPr>
          <w:rFonts w:ascii="Times New Roman" w:hAnsi="Times New Roman" w:cs="Times New Roman"/>
          <w:sz w:val="24"/>
          <w:szCs w:val="24"/>
        </w:rPr>
        <w:t xml:space="preserve">” (FOZ, </w:t>
      </w:r>
      <w:r w:rsidR="000F17EB">
        <w:rPr>
          <w:rFonts w:ascii="Times New Roman" w:hAnsi="Times New Roman" w:cs="Times New Roman"/>
          <w:sz w:val="24"/>
          <w:szCs w:val="24"/>
        </w:rPr>
        <w:t>2021</w:t>
      </w:r>
      <w:r w:rsidR="00817B63">
        <w:rPr>
          <w:rFonts w:ascii="Times New Roman" w:hAnsi="Times New Roman" w:cs="Times New Roman"/>
          <w:sz w:val="24"/>
          <w:szCs w:val="24"/>
        </w:rPr>
        <w:t>,</w:t>
      </w:r>
      <w:r w:rsidR="000F17EB">
        <w:rPr>
          <w:rFonts w:ascii="Times New Roman" w:hAnsi="Times New Roman" w:cs="Times New Roman"/>
          <w:sz w:val="24"/>
          <w:szCs w:val="24"/>
        </w:rPr>
        <w:t xml:space="preserve"> </w:t>
      </w:r>
      <w:r w:rsidR="00817B63">
        <w:rPr>
          <w:rFonts w:ascii="Times New Roman" w:hAnsi="Times New Roman" w:cs="Times New Roman"/>
          <w:sz w:val="24"/>
          <w:szCs w:val="24"/>
        </w:rPr>
        <w:t xml:space="preserve">p. 441). </w:t>
      </w:r>
    </w:p>
    <w:p w14:paraId="44A69D8F" w14:textId="352E7534" w:rsidR="002E1416" w:rsidRDefault="002E1416" w:rsidP="00817B63">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Isso tudo vai de encontro com a seletividade migratória abordada por Lee (1966), clássico teórico das migrações. Apesar de ser conhecido pela teoria do “</w:t>
      </w:r>
      <w:proofErr w:type="spellStart"/>
      <w:r w:rsidRPr="00B46A9E">
        <w:rPr>
          <w:rFonts w:ascii="Times New Roman" w:hAnsi="Times New Roman" w:cs="Times New Roman"/>
          <w:i/>
          <w:iCs/>
          <w:sz w:val="24"/>
          <w:szCs w:val="24"/>
        </w:rPr>
        <w:t>push</w:t>
      </w:r>
      <w:proofErr w:type="spellEnd"/>
      <w:r>
        <w:rPr>
          <w:rFonts w:ascii="Times New Roman" w:hAnsi="Times New Roman" w:cs="Times New Roman"/>
          <w:sz w:val="24"/>
          <w:szCs w:val="24"/>
        </w:rPr>
        <w:t>” e “</w:t>
      </w:r>
      <w:proofErr w:type="spellStart"/>
      <w:r w:rsidRPr="00B46A9E">
        <w:rPr>
          <w:rFonts w:ascii="Times New Roman" w:hAnsi="Times New Roman" w:cs="Times New Roman"/>
          <w:i/>
          <w:iCs/>
          <w:sz w:val="24"/>
          <w:szCs w:val="24"/>
        </w:rPr>
        <w:t>pull</w:t>
      </w:r>
      <w:proofErr w:type="spellEnd"/>
      <w:r>
        <w:rPr>
          <w:rFonts w:ascii="Times New Roman" w:hAnsi="Times New Roman" w:cs="Times New Roman"/>
          <w:sz w:val="24"/>
          <w:szCs w:val="24"/>
        </w:rPr>
        <w:t xml:space="preserve">”, a sua discussão na busca de uma teoria capaz de explicar as migrações tem sido fonte de inspiração fundamental para abordagens subsequentes a nível micro social, uma vez que considera as características dos próprios migrantes, as quais podem selecionar positivamente ou negativamente </w:t>
      </w:r>
      <w:r w:rsidR="00135A94">
        <w:rPr>
          <w:rFonts w:ascii="Times New Roman" w:hAnsi="Times New Roman" w:cs="Times New Roman"/>
          <w:sz w:val="24"/>
          <w:szCs w:val="24"/>
        </w:rPr>
        <w:t xml:space="preserve">as pessoas </w:t>
      </w:r>
      <w:r>
        <w:rPr>
          <w:rFonts w:ascii="Times New Roman" w:hAnsi="Times New Roman" w:cs="Times New Roman"/>
          <w:sz w:val="24"/>
          <w:szCs w:val="24"/>
        </w:rPr>
        <w:t>na origem ou no destino. Além dos fatores pessoais envolvidos, menciona que a inércia que ata as pessoas ao seu local de origem é superada à medida que elas lidam com os obstáculos intervenientes, estando entre eles o acesso à informação e a distância, sendo as redes sociais um dos principais elementos para superá-los.</w:t>
      </w:r>
    </w:p>
    <w:p w14:paraId="21C0658D" w14:textId="7D485970" w:rsidR="00DC4261" w:rsidRDefault="00DC4261" w:rsidP="00DC4261">
      <w:pPr>
        <w:spacing w:after="0" w:line="360" w:lineRule="auto"/>
        <w:ind w:firstLine="709"/>
        <w:jc w:val="both"/>
        <w:rPr>
          <w:rFonts w:ascii="Times New Roman" w:hAnsi="Times New Roman" w:cs="Times New Roman"/>
          <w:sz w:val="24"/>
          <w:szCs w:val="24"/>
        </w:rPr>
      </w:pPr>
      <w:r w:rsidRPr="0035498B">
        <w:rPr>
          <w:rFonts w:ascii="Times New Roman" w:hAnsi="Times New Roman" w:cs="Times New Roman"/>
          <w:sz w:val="24"/>
          <w:szCs w:val="24"/>
        </w:rPr>
        <w:lastRenderedPageBreak/>
        <w:t xml:space="preserve">Apesar da dicotomia existente entre as correntes neoclássica e histórico-estrutural aqui resumidas, além de outras correntes e perspectivas de se estudar a migração, muitos autores, como </w:t>
      </w:r>
      <w:proofErr w:type="spellStart"/>
      <w:r w:rsidRPr="0035498B">
        <w:rPr>
          <w:rFonts w:ascii="Times New Roman" w:hAnsi="Times New Roman" w:cs="Times New Roman"/>
          <w:sz w:val="24"/>
          <w:szCs w:val="24"/>
        </w:rPr>
        <w:t>Massey</w:t>
      </w:r>
      <w:proofErr w:type="spellEnd"/>
      <w:r w:rsidRPr="0035498B">
        <w:rPr>
          <w:rFonts w:ascii="Times New Roman" w:hAnsi="Times New Roman" w:cs="Times New Roman"/>
          <w:sz w:val="24"/>
          <w:szCs w:val="24"/>
        </w:rPr>
        <w:t xml:space="preserve"> e Arango (1993), Wood (1982) e De Haas (2010), </w:t>
      </w:r>
      <w:r w:rsidR="00135A94">
        <w:rPr>
          <w:rFonts w:ascii="Times New Roman" w:hAnsi="Times New Roman" w:cs="Times New Roman"/>
          <w:sz w:val="24"/>
          <w:szCs w:val="24"/>
        </w:rPr>
        <w:t xml:space="preserve">mencionam que </w:t>
      </w:r>
      <w:r w:rsidRPr="0035498B">
        <w:rPr>
          <w:rFonts w:ascii="Times New Roman" w:hAnsi="Times New Roman" w:cs="Times New Roman"/>
          <w:sz w:val="24"/>
          <w:szCs w:val="24"/>
        </w:rPr>
        <w:t>os estudos em migração ainda estão distantes de uma estrutura conceitual adequada, além da dificuldade, nos estudos de migração</w:t>
      </w:r>
      <w:r w:rsidR="00135A94">
        <w:rPr>
          <w:rFonts w:ascii="Times New Roman" w:hAnsi="Times New Roman" w:cs="Times New Roman"/>
          <w:sz w:val="24"/>
          <w:szCs w:val="24"/>
        </w:rPr>
        <w:t>,</w:t>
      </w:r>
      <w:r w:rsidRPr="0035498B">
        <w:rPr>
          <w:rFonts w:ascii="Times New Roman" w:hAnsi="Times New Roman" w:cs="Times New Roman"/>
          <w:sz w:val="24"/>
          <w:szCs w:val="24"/>
        </w:rPr>
        <w:t xml:space="preserve"> de associar resultados de pesquisas com transformações políticas e socioeconômicas em sociedades em desenvolvimento, bem como, numa perspectiva mais ampla, de associar os estudos de migração ao desenvolvimento.</w:t>
      </w:r>
      <w:r>
        <w:rPr>
          <w:rFonts w:ascii="Times New Roman" w:hAnsi="Times New Roman" w:cs="Times New Roman"/>
          <w:sz w:val="24"/>
          <w:szCs w:val="24"/>
        </w:rPr>
        <w:t xml:space="preserve"> </w:t>
      </w:r>
    </w:p>
    <w:p w14:paraId="48BAA009" w14:textId="65BC6C70" w:rsidR="00ED64DE" w:rsidRDefault="006554D9" w:rsidP="0068673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Portanto, toda essa discussão teórica que se tem para entender o fenômeno migratório também se faz importante para compreender </w:t>
      </w:r>
      <w:r w:rsidR="00230C89">
        <w:rPr>
          <w:rFonts w:ascii="Times New Roman" w:hAnsi="Times New Roman" w:cs="Times New Roman"/>
          <w:sz w:val="24"/>
          <w:szCs w:val="24"/>
        </w:rPr>
        <w:t>o d</w:t>
      </w:r>
      <w:r>
        <w:rPr>
          <w:rFonts w:ascii="Times New Roman" w:hAnsi="Times New Roman" w:cs="Times New Roman"/>
          <w:sz w:val="24"/>
          <w:szCs w:val="24"/>
        </w:rPr>
        <w:t>a imobilidade, uma vez que pode</w:t>
      </w:r>
      <w:r w:rsidR="00230C89">
        <w:rPr>
          <w:rFonts w:ascii="Times New Roman" w:hAnsi="Times New Roman" w:cs="Times New Roman"/>
          <w:sz w:val="24"/>
          <w:szCs w:val="24"/>
        </w:rPr>
        <w:t>m</w:t>
      </w:r>
      <w:r>
        <w:rPr>
          <w:rFonts w:ascii="Times New Roman" w:hAnsi="Times New Roman" w:cs="Times New Roman"/>
          <w:sz w:val="24"/>
          <w:szCs w:val="24"/>
        </w:rPr>
        <w:t xml:space="preserve"> ser </w:t>
      </w:r>
      <w:r w:rsidR="00230C89">
        <w:rPr>
          <w:rFonts w:ascii="Times New Roman" w:hAnsi="Times New Roman" w:cs="Times New Roman"/>
          <w:sz w:val="24"/>
          <w:szCs w:val="24"/>
        </w:rPr>
        <w:t xml:space="preserve">tidos como </w:t>
      </w:r>
      <w:r>
        <w:rPr>
          <w:rFonts w:ascii="Times New Roman" w:hAnsi="Times New Roman" w:cs="Times New Roman"/>
          <w:sz w:val="24"/>
          <w:szCs w:val="24"/>
        </w:rPr>
        <w:t>complementar</w:t>
      </w:r>
      <w:r w:rsidR="00230C89">
        <w:rPr>
          <w:rFonts w:ascii="Times New Roman" w:hAnsi="Times New Roman" w:cs="Times New Roman"/>
          <w:sz w:val="24"/>
          <w:szCs w:val="24"/>
        </w:rPr>
        <w:t>es</w:t>
      </w:r>
      <w:r w:rsidR="00C51121">
        <w:rPr>
          <w:rFonts w:ascii="Times New Roman" w:hAnsi="Times New Roman" w:cs="Times New Roman"/>
          <w:sz w:val="24"/>
          <w:szCs w:val="24"/>
        </w:rPr>
        <w:t xml:space="preserve">. </w:t>
      </w:r>
      <w:r w:rsidR="0068673C">
        <w:rPr>
          <w:rFonts w:ascii="Times New Roman" w:hAnsi="Times New Roman" w:cs="Times New Roman"/>
          <w:sz w:val="24"/>
          <w:szCs w:val="24"/>
        </w:rPr>
        <w:t xml:space="preserve">A imobilidade, por sua vez, pode ser resultado não só da incapacidade de migrar, mas também de fatores positivos, como o acesso a políticas públicas, que geram opções de adaptação e </w:t>
      </w:r>
      <w:r w:rsidR="003C1F5B">
        <w:rPr>
          <w:rFonts w:ascii="Times New Roman" w:hAnsi="Times New Roman" w:cs="Times New Roman"/>
          <w:sz w:val="24"/>
          <w:szCs w:val="24"/>
        </w:rPr>
        <w:t xml:space="preserve">que </w:t>
      </w:r>
      <w:r w:rsidR="0068673C">
        <w:rPr>
          <w:rFonts w:ascii="Times New Roman" w:hAnsi="Times New Roman" w:cs="Times New Roman"/>
          <w:sz w:val="24"/>
          <w:szCs w:val="24"/>
        </w:rPr>
        <w:t xml:space="preserve">permitem as pessoas a se ajustarem ao meio em que vivem, tornando a migração apenas uma dentre as estratégias de resposta. </w:t>
      </w:r>
      <w:r>
        <w:rPr>
          <w:rFonts w:ascii="Times New Roman" w:hAnsi="Times New Roman" w:cs="Times New Roman"/>
          <w:sz w:val="24"/>
          <w:szCs w:val="24"/>
        </w:rPr>
        <w:t xml:space="preserve">Assim, saber os laços que prendem as pessoas ao seu local de nascimento </w:t>
      </w:r>
      <w:r w:rsidR="00C63199">
        <w:rPr>
          <w:rFonts w:ascii="Times New Roman" w:hAnsi="Times New Roman" w:cs="Times New Roman"/>
          <w:sz w:val="24"/>
          <w:szCs w:val="24"/>
        </w:rPr>
        <w:t>é uma questão social importante</w:t>
      </w:r>
      <w:r w:rsidR="00230C89">
        <w:rPr>
          <w:rFonts w:ascii="Times New Roman" w:hAnsi="Times New Roman" w:cs="Times New Roman"/>
          <w:sz w:val="24"/>
          <w:szCs w:val="24"/>
        </w:rPr>
        <w:t xml:space="preserve">, </w:t>
      </w:r>
      <w:r w:rsidR="00C63199">
        <w:rPr>
          <w:rFonts w:ascii="Times New Roman" w:hAnsi="Times New Roman" w:cs="Times New Roman"/>
          <w:sz w:val="24"/>
          <w:szCs w:val="24"/>
        </w:rPr>
        <w:t>visto que</w:t>
      </w:r>
      <w:r w:rsidR="00230C89">
        <w:rPr>
          <w:rFonts w:ascii="Times New Roman" w:hAnsi="Times New Roman" w:cs="Times New Roman"/>
          <w:sz w:val="24"/>
          <w:szCs w:val="24"/>
        </w:rPr>
        <w:t xml:space="preserve"> pode ser resultado </w:t>
      </w:r>
      <w:r w:rsidR="00C63199">
        <w:rPr>
          <w:rFonts w:ascii="Times New Roman" w:hAnsi="Times New Roman" w:cs="Times New Roman"/>
          <w:sz w:val="24"/>
          <w:szCs w:val="24"/>
        </w:rPr>
        <w:t xml:space="preserve">tanto </w:t>
      </w:r>
      <w:r w:rsidR="00230C89">
        <w:rPr>
          <w:rFonts w:ascii="Times New Roman" w:hAnsi="Times New Roman" w:cs="Times New Roman"/>
          <w:sz w:val="24"/>
          <w:szCs w:val="24"/>
        </w:rPr>
        <w:t xml:space="preserve">de </w:t>
      </w:r>
      <w:r w:rsidR="00C63199">
        <w:rPr>
          <w:rFonts w:ascii="Times New Roman" w:hAnsi="Times New Roman" w:cs="Times New Roman"/>
          <w:sz w:val="24"/>
          <w:szCs w:val="24"/>
        </w:rPr>
        <w:t xml:space="preserve">uma </w:t>
      </w:r>
      <w:r w:rsidR="00230C89">
        <w:rPr>
          <w:rFonts w:ascii="Times New Roman" w:hAnsi="Times New Roman" w:cs="Times New Roman"/>
          <w:sz w:val="24"/>
          <w:szCs w:val="24"/>
        </w:rPr>
        <w:t xml:space="preserve">melhora nos padrões de vida quanto de </w:t>
      </w:r>
      <w:r w:rsidR="00B36C2A">
        <w:rPr>
          <w:rFonts w:ascii="Times New Roman" w:hAnsi="Times New Roman" w:cs="Times New Roman"/>
          <w:sz w:val="24"/>
          <w:szCs w:val="24"/>
        </w:rPr>
        <w:t xml:space="preserve">aumento de </w:t>
      </w:r>
      <w:r w:rsidR="00C63199">
        <w:rPr>
          <w:rFonts w:ascii="Times New Roman" w:hAnsi="Times New Roman" w:cs="Times New Roman"/>
          <w:sz w:val="24"/>
          <w:szCs w:val="24"/>
        </w:rPr>
        <w:t>desvantagens</w:t>
      </w:r>
      <w:r w:rsidR="00230C89">
        <w:rPr>
          <w:rFonts w:ascii="Times New Roman" w:hAnsi="Times New Roman" w:cs="Times New Roman"/>
          <w:sz w:val="24"/>
          <w:szCs w:val="24"/>
        </w:rPr>
        <w:t xml:space="preserve"> sociais e econômicas</w:t>
      </w:r>
      <w:r w:rsidR="00537195">
        <w:rPr>
          <w:rFonts w:ascii="Times New Roman" w:hAnsi="Times New Roman" w:cs="Times New Roman"/>
          <w:sz w:val="24"/>
          <w:szCs w:val="24"/>
        </w:rPr>
        <w:t>, o que traz elementos úteis para o entendimento da relação entre a dinâmica migratória e as transformações políticas e socioeconômicas em um espaço em desenvolvimento</w:t>
      </w:r>
      <w:r w:rsidR="00230C89">
        <w:rPr>
          <w:rFonts w:ascii="Times New Roman" w:hAnsi="Times New Roman" w:cs="Times New Roman"/>
          <w:sz w:val="24"/>
          <w:szCs w:val="24"/>
        </w:rPr>
        <w:t>.</w:t>
      </w:r>
      <w:r>
        <w:rPr>
          <w:rFonts w:ascii="Times New Roman" w:hAnsi="Times New Roman" w:cs="Times New Roman"/>
          <w:sz w:val="24"/>
          <w:szCs w:val="24"/>
        </w:rPr>
        <w:t xml:space="preserve"> </w:t>
      </w:r>
    </w:p>
    <w:p w14:paraId="43982E44" w14:textId="77777777" w:rsidR="00B46A9E" w:rsidRPr="0026351E" w:rsidRDefault="00B46A9E" w:rsidP="00B46A9E">
      <w:pPr>
        <w:spacing w:after="0" w:line="360" w:lineRule="auto"/>
        <w:ind w:firstLine="708"/>
        <w:jc w:val="both"/>
        <w:rPr>
          <w:rFonts w:ascii="Times New Roman" w:hAnsi="Times New Roman" w:cs="Times New Roman"/>
          <w:sz w:val="24"/>
          <w:szCs w:val="24"/>
        </w:rPr>
      </w:pPr>
    </w:p>
    <w:p w14:paraId="622BDBDC" w14:textId="346F32CB" w:rsidR="00695FD3" w:rsidRPr="0026351E" w:rsidRDefault="00667C57" w:rsidP="002B7519">
      <w:pPr>
        <w:spacing w:after="0" w:line="36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 xml:space="preserve">4 RESULTADOS E DISCUSSÕES </w:t>
      </w:r>
    </w:p>
    <w:p w14:paraId="155EFF0F" w14:textId="77777777" w:rsidR="00F56AB8" w:rsidRPr="0026351E" w:rsidRDefault="00F56AB8" w:rsidP="00F56AB8">
      <w:pPr>
        <w:spacing w:after="0" w:line="360" w:lineRule="auto"/>
        <w:ind w:firstLine="708"/>
        <w:jc w:val="both"/>
        <w:rPr>
          <w:rFonts w:ascii="Times New Roman" w:hAnsi="Times New Roman" w:cs="Times New Roman"/>
          <w:sz w:val="24"/>
          <w:szCs w:val="24"/>
        </w:rPr>
      </w:pPr>
    </w:p>
    <w:p w14:paraId="6F03C869" w14:textId="552C08EB"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O rural da região Nordeste possui 8,9 milhões de habitantes entre 15 e 64 anos, sendo que 74% dessas pessoas nunca haviam migrado antes, isso conforme o Censo Demográfico de 2010. Esta é uma participação notável, em especial quando se se tem em mente que o Nordeste ainda é o maior contribuinte da dinâmica migratória nacional, sendo a única região com saldo migratório negativo e ainda significativamente elevado apesar de ter reduzido nas últimas décadas (RIGOTTI; CAMPOS; HADAD, 2017). </w:t>
      </w:r>
    </w:p>
    <w:p w14:paraId="0C93CB6D" w14:textId="13062C79" w:rsidR="00FD2799" w:rsidRDefault="00F56AB8" w:rsidP="00F56AB8">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tab/>
        <w:t xml:space="preserve">No espaço do bioma caatinga, verifica-se que a grande maioria dos municípios tem no mínimo 81% de sua população rural que nunca </w:t>
      </w:r>
      <w:r w:rsidR="00537195">
        <w:rPr>
          <w:rFonts w:ascii="Times New Roman" w:hAnsi="Times New Roman" w:cs="Times New Roman"/>
          <w:sz w:val="24"/>
          <w:szCs w:val="24"/>
        </w:rPr>
        <w:t>migrou antes</w:t>
      </w:r>
      <w:r w:rsidRPr="0026351E">
        <w:rPr>
          <w:rFonts w:ascii="Times New Roman" w:hAnsi="Times New Roman" w:cs="Times New Roman"/>
          <w:sz w:val="24"/>
          <w:szCs w:val="24"/>
        </w:rPr>
        <w:t xml:space="preserve">. Essa população parece se </w:t>
      </w:r>
      <w:r w:rsidRPr="0026351E">
        <w:rPr>
          <w:rFonts w:ascii="Times New Roman" w:hAnsi="Times New Roman" w:cs="Times New Roman"/>
          <w:sz w:val="24"/>
          <w:szCs w:val="24"/>
        </w:rPr>
        <w:lastRenderedPageBreak/>
        <w:t xml:space="preserve">concentrar nos estados do Piauí e da Bahia, haja vista a faixa mais escura evidenciada na Figura 2. </w:t>
      </w:r>
      <w:r w:rsidR="00FD2799">
        <w:rPr>
          <w:rFonts w:ascii="Times New Roman" w:hAnsi="Times New Roman" w:cs="Times New Roman"/>
          <w:sz w:val="24"/>
          <w:szCs w:val="24"/>
        </w:rPr>
        <w:t>Em estudo de caso</w:t>
      </w:r>
      <w:r w:rsidR="00585875">
        <w:rPr>
          <w:rFonts w:ascii="Times New Roman" w:hAnsi="Times New Roman" w:cs="Times New Roman"/>
          <w:sz w:val="24"/>
          <w:szCs w:val="24"/>
        </w:rPr>
        <w:t xml:space="preserve"> sobre os beneficiários</w:t>
      </w:r>
      <w:r w:rsidR="00FD2799">
        <w:rPr>
          <w:rFonts w:ascii="Times New Roman" w:hAnsi="Times New Roman" w:cs="Times New Roman"/>
          <w:sz w:val="24"/>
          <w:szCs w:val="24"/>
        </w:rPr>
        <w:t xml:space="preserve"> </w:t>
      </w:r>
      <w:r w:rsidR="00585875">
        <w:rPr>
          <w:rFonts w:ascii="Times New Roman" w:hAnsi="Times New Roman" w:cs="Times New Roman"/>
          <w:sz w:val="24"/>
          <w:szCs w:val="24"/>
        </w:rPr>
        <w:t xml:space="preserve">do Programa Cisternas, </w:t>
      </w:r>
      <w:r w:rsidR="00FD2799">
        <w:rPr>
          <w:rFonts w:ascii="Times New Roman" w:hAnsi="Times New Roman" w:cs="Times New Roman"/>
          <w:sz w:val="24"/>
          <w:szCs w:val="24"/>
        </w:rPr>
        <w:t xml:space="preserve">Barros et al. (2012) observaram que </w:t>
      </w:r>
      <w:r w:rsidR="00585875">
        <w:rPr>
          <w:rFonts w:ascii="Times New Roman" w:hAnsi="Times New Roman" w:cs="Times New Roman"/>
          <w:sz w:val="24"/>
          <w:szCs w:val="24"/>
        </w:rPr>
        <w:t>cerca de 86% dos domicílios não registrou emigração em um período de um ano, o que interessante visto as irregularidades climáticas e as</w:t>
      </w:r>
      <w:r w:rsidR="002D3512">
        <w:rPr>
          <w:rFonts w:ascii="Times New Roman" w:hAnsi="Times New Roman" w:cs="Times New Roman"/>
          <w:sz w:val="24"/>
          <w:szCs w:val="24"/>
        </w:rPr>
        <w:t xml:space="preserve"> consequências econômicas</w:t>
      </w:r>
      <w:r w:rsidR="00585875">
        <w:rPr>
          <w:rFonts w:ascii="Times New Roman" w:hAnsi="Times New Roman" w:cs="Times New Roman"/>
          <w:sz w:val="24"/>
          <w:szCs w:val="24"/>
        </w:rPr>
        <w:t xml:space="preserve"> decorrentes </w:t>
      </w:r>
      <w:r w:rsidR="002D3512">
        <w:rPr>
          <w:rFonts w:ascii="Times New Roman" w:hAnsi="Times New Roman" w:cs="Times New Roman"/>
          <w:sz w:val="24"/>
          <w:szCs w:val="24"/>
        </w:rPr>
        <w:t>desse processo</w:t>
      </w:r>
      <w:r w:rsidR="00585875">
        <w:rPr>
          <w:rFonts w:ascii="Times New Roman" w:hAnsi="Times New Roman" w:cs="Times New Roman"/>
          <w:sz w:val="24"/>
          <w:szCs w:val="24"/>
        </w:rPr>
        <w:t xml:space="preserve">. </w:t>
      </w:r>
    </w:p>
    <w:p w14:paraId="7F2C44CC" w14:textId="5F564B4E" w:rsidR="00F56AB8" w:rsidRPr="0026351E" w:rsidRDefault="00F56AB8" w:rsidP="00FD2799">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Ainda conforme a Figura 2, no que diz respeito ao acesso as cisternas, o número de </w:t>
      </w:r>
      <w:r w:rsidR="006167C6" w:rsidRPr="0026351E">
        <w:rPr>
          <w:rFonts w:ascii="Times New Roman" w:hAnsi="Times New Roman" w:cs="Times New Roman"/>
          <w:sz w:val="24"/>
          <w:szCs w:val="24"/>
        </w:rPr>
        <w:t xml:space="preserve">pessoas que tem acesso a esse recurso é baixa </w:t>
      </w:r>
      <w:r w:rsidR="006167C6">
        <w:rPr>
          <w:rFonts w:ascii="Times New Roman" w:hAnsi="Times New Roman" w:cs="Times New Roman"/>
          <w:sz w:val="24"/>
          <w:szCs w:val="24"/>
        </w:rPr>
        <w:t xml:space="preserve">na maioria dos </w:t>
      </w:r>
      <w:r w:rsidRPr="0026351E">
        <w:rPr>
          <w:rFonts w:ascii="Times New Roman" w:hAnsi="Times New Roman" w:cs="Times New Roman"/>
          <w:sz w:val="24"/>
          <w:szCs w:val="24"/>
        </w:rPr>
        <w:t xml:space="preserve">municípios </w:t>
      </w:r>
      <w:r w:rsidR="006167C6">
        <w:rPr>
          <w:rFonts w:ascii="Times New Roman" w:hAnsi="Times New Roman" w:cs="Times New Roman"/>
          <w:sz w:val="24"/>
          <w:szCs w:val="24"/>
        </w:rPr>
        <w:t>da Caatinga, sendo que em quase 100 municípios, dos 1.172, no mínimo 59,6% das pessoas residentes tem acesso a cisterna</w:t>
      </w:r>
      <w:r w:rsidRPr="0026351E">
        <w:rPr>
          <w:rFonts w:ascii="Times New Roman" w:hAnsi="Times New Roman" w:cs="Times New Roman"/>
          <w:sz w:val="24"/>
          <w:szCs w:val="24"/>
        </w:rPr>
        <w:t xml:space="preserve">. A distribuição espacial dos altos percentuais parece ser mais dispersa, mas com </w:t>
      </w:r>
      <w:r w:rsidR="004020FC">
        <w:rPr>
          <w:rFonts w:ascii="Times New Roman" w:hAnsi="Times New Roman" w:cs="Times New Roman"/>
          <w:sz w:val="24"/>
          <w:szCs w:val="24"/>
        </w:rPr>
        <w:t>relativa concentra</w:t>
      </w:r>
      <w:r w:rsidRPr="0026351E">
        <w:rPr>
          <w:rFonts w:ascii="Times New Roman" w:hAnsi="Times New Roman" w:cs="Times New Roman"/>
          <w:sz w:val="24"/>
          <w:szCs w:val="24"/>
        </w:rPr>
        <w:t>ção na divisa entre Piauí, Bahia e Pernambuco</w:t>
      </w:r>
      <w:r w:rsidR="004020FC">
        <w:rPr>
          <w:rFonts w:ascii="Times New Roman" w:hAnsi="Times New Roman" w:cs="Times New Roman"/>
          <w:sz w:val="24"/>
          <w:szCs w:val="24"/>
        </w:rPr>
        <w:t>, e uma o</w:t>
      </w:r>
      <w:r w:rsidRPr="0026351E">
        <w:rPr>
          <w:rFonts w:ascii="Times New Roman" w:hAnsi="Times New Roman" w:cs="Times New Roman"/>
          <w:sz w:val="24"/>
          <w:szCs w:val="24"/>
        </w:rPr>
        <w:t>utra no estado da Paraíba</w:t>
      </w:r>
      <w:r w:rsidR="004020FC">
        <w:rPr>
          <w:rFonts w:ascii="Times New Roman" w:hAnsi="Times New Roman" w:cs="Times New Roman"/>
          <w:sz w:val="24"/>
          <w:szCs w:val="24"/>
        </w:rPr>
        <w:t>,</w:t>
      </w:r>
      <w:r w:rsidRPr="0026351E">
        <w:rPr>
          <w:rFonts w:ascii="Times New Roman" w:hAnsi="Times New Roman" w:cs="Times New Roman"/>
          <w:sz w:val="24"/>
          <w:szCs w:val="24"/>
        </w:rPr>
        <w:t xml:space="preserve"> próximo a sua divisa com o Rio Grande do Norte. </w:t>
      </w:r>
    </w:p>
    <w:p w14:paraId="60585299" w14:textId="77777777" w:rsidR="00F56AB8" w:rsidRPr="0026351E" w:rsidRDefault="00F56AB8" w:rsidP="00F56AB8">
      <w:pPr>
        <w:spacing w:after="0" w:line="360" w:lineRule="auto"/>
        <w:jc w:val="both"/>
        <w:rPr>
          <w:rFonts w:ascii="Times New Roman" w:hAnsi="Times New Roman" w:cs="Times New Roman"/>
          <w:sz w:val="24"/>
          <w:szCs w:val="24"/>
        </w:rPr>
      </w:pPr>
    </w:p>
    <w:p w14:paraId="3765A79A" w14:textId="77777777" w:rsidR="00F56AB8" w:rsidRPr="0026351E" w:rsidRDefault="00F56AB8" w:rsidP="00F56AB8">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 xml:space="preserve">Figura 2: Percentual de pessoas que nunca migrou e o percentual de pessoas residentes em domicílios com acesso a cisternas – Municípios da Caatinga – 2010 </w:t>
      </w:r>
    </w:p>
    <w:p w14:paraId="51DB87A0" w14:textId="77777777" w:rsidR="00F56AB8" w:rsidRPr="0026351E" w:rsidRDefault="00F56AB8" w:rsidP="00F56AB8">
      <w:pPr>
        <w:spacing w:after="0" w:line="360" w:lineRule="auto"/>
        <w:jc w:val="center"/>
        <w:rPr>
          <w:rFonts w:ascii="Times New Roman" w:hAnsi="Times New Roman" w:cs="Times New Roman"/>
          <w:sz w:val="20"/>
          <w:szCs w:val="20"/>
        </w:rPr>
      </w:pPr>
      <w:r w:rsidRPr="0026351E">
        <w:rPr>
          <w:rFonts w:ascii="Times New Roman" w:hAnsi="Times New Roman" w:cs="Times New Roman"/>
          <w:noProof/>
          <w:sz w:val="20"/>
          <w:szCs w:val="20"/>
        </w:rPr>
        <w:drawing>
          <wp:inline distT="0" distB="0" distL="0" distR="0" wp14:anchorId="3725C650" wp14:editId="3F35BF95">
            <wp:extent cx="5344372" cy="3779520"/>
            <wp:effectExtent l="0" t="0" r="889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5984" cy="3865523"/>
                    </a:xfrm>
                    <a:prstGeom prst="rect">
                      <a:avLst/>
                    </a:prstGeom>
                  </pic:spPr>
                </pic:pic>
              </a:graphicData>
            </a:graphic>
          </wp:inline>
        </w:drawing>
      </w:r>
    </w:p>
    <w:p w14:paraId="6DEEE64E" w14:textId="77777777" w:rsidR="00F56AB8" w:rsidRPr="0026351E" w:rsidRDefault="00F56AB8" w:rsidP="00F56AB8">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Fonte: IBGE, microdados da amostra do Censo Demográfico 2010.</w:t>
      </w:r>
    </w:p>
    <w:p w14:paraId="653B8117" w14:textId="26661B2E" w:rsidR="00F56AB8" w:rsidRPr="0026351E" w:rsidRDefault="00F56AB8" w:rsidP="00F56AB8">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lastRenderedPageBreak/>
        <w:tab/>
        <w:t>Embora não haja uma distribuição e cobertura significativa é importante notar as dimensões que o Programa Cisternas tem tomado na região. Dado que o período mais chuvoso se dá entre os primeiros meses do ano, sendo o restante do ano regado por chuvas sazonais, o acesso a cisterna se configura como estratégia de grande relevância para o convívio com essas estiagens e, consequentemente, com a seca. As cisternas que vão se esvaziando no período de estiagem, são reabastecidas por carro-pipa</w:t>
      </w:r>
      <w:r w:rsidR="004020FC">
        <w:rPr>
          <w:rFonts w:ascii="Times New Roman" w:hAnsi="Times New Roman" w:cs="Times New Roman"/>
          <w:sz w:val="24"/>
          <w:szCs w:val="24"/>
        </w:rPr>
        <w:t xml:space="preserve"> </w:t>
      </w:r>
      <w:r w:rsidR="00E22787">
        <w:rPr>
          <w:rFonts w:ascii="Times New Roman" w:hAnsi="Times New Roman" w:cs="Times New Roman"/>
          <w:sz w:val="24"/>
          <w:szCs w:val="24"/>
        </w:rPr>
        <w:t>(BARROS et al., 2012)</w:t>
      </w:r>
      <w:r w:rsidRPr="0026351E">
        <w:rPr>
          <w:rFonts w:ascii="Times New Roman" w:hAnsi="Times New Roman" w:cs="Times New Roman"/>
          <w:sz w:val="24"/>
          <w:szCs w:val="24"/>
        </w:rPr>
        <w:t>, o que torna esse recurso também essencial para que a população residente no rural do semiárido nordestino possa dar respostas ao seu meio</w:t>
      </w:r>
      <w:r w:rsidR="002D0ABF">
        <w:rPr>
          <w:rFonts w:ascii="Times New Roman" w:hAnsi="Times New Roman" w:cs="Times New Roman"/>
          <w:sz w:val="24"/>
          <w:szCs w:val="24"/>
        </w:rPr>
        <w:t>,</w:t>
      </w:r>
      <w:r w:rsidRPr="0026351E">
        <w:rPr>
          <w:rFonts w:ascii="Times New Roman" w:hAnsi="Times New Roman" w:cs="Times New Roman"/>
          <w:sz w:val="24"/>
          <w:szCs w:val="24"/>
        </w:rPr>
        <w:t xml:space="preserve"> e permita, dessa forma, sua permanência no lugar onde nasceu. </w:t>
      </w:r>
    </w:p>
    <w:p w14:paraId="36D4424C" w14:textId="77777777"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É pertinente salientar que o Programa Cisternas ganhou dimensões impressionantes desde sua criação em 2003, visto que foram entregues desde então até 2010, 329.569 tecnologias de captação de água para consumo humano e 7.505 para produção no semiárido nordestino (ASA, 2021). A ampliação do acesso a cisterna veio a facilitar a vida de muitas famílias rurais do sertão nordestino, especialmente daquelas que precisavam percorrer longas distâncias para conseguir água, muitas vezes, de pouca qualidade para consumo humano, o que colocava em risco a saúde da família. </w:t>
      </w:r>
    </w:p>
    <w:p w14:paraId="080034FB" w14:textId="0CF7E6D1"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O acesso a água potável na porta de casa possibilita as crianças dessas famílias irem à escola, além de reduzir as chances delas e de seus pais ficarem doentes por conta do consumo de água de melhor qualidade, evitando assim, possíveis infecções provenientes da água. A cisterna para produção, por sua vez, pode potencializar a tão conhecida agricultura familiar, o que é uma oportunidade de inclusão produtiva que gera renda e redes de contatos na comunidade</w:t>
      </w:r>
      <w:r w:rsidR="00CF0D0A">
        <w:rPr>
          <w:rFonts w:ascii="Times New Roman" w:hAnsi="Times New Roman" w:cs="Times New Roman"/>
          <w:sz w:val="24"/>
          <w:szCs w:val="24"/>
        </w:rPr>
        <w:t xml:space="preserve"> (BARROS et al., 2012)</w:t>
      </w:r>
      <w:r w:rsidRPr="0026351E">
        <w:rPr>
          <w:rFonts w:ascii="Times New Roman" w:hAnsi="Times New Roman" w:cs="Times New Roman"/>
          <w:sz w:val="24"/>
          <w:szCs w:val="24"/>
        </w:rPr>
        <w:t xml:space="preserve">. Esses são alguns dos pontos importantes que se somam a decisão do sertanejo fincar seus pés na sua terra, pois são ações nesse sentido que o torna mais forte e resiliente. </w:t>
      </w:r>
    </w:p>
    <w:p w14:paraId="0AFD2CB8" w14:textId="77978AD6"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A Figura 3 mostra o diagrama de espalhamento de Moran e o Mapa de </w:t>
      </w:r>
      <w:r w:rsidRPr="0026351E">
        <w:rPr>
          <w:rFonts w:ascii="Times New Roman" w:hAnsi="Times New Roman" w:cs="Times New Roman"/>
          <w:i/>
          <w:iCs/>
          <w:sz w:val="24"/>
          <w:szCs w:val="24"/>
        </w:rPr>
        <w:t>cluster</w:t>
      </w:r>
      <w:r w:rsidRPr="0026351E">
        <w:rPr>
          <w:rFonts w:ascii="Times New Roman" w:hAnsi="Times New Roman" w:cs="Times New Roman"/>
          <w:sz w:val="24"/>
          <w:szCs w:val="24"/>
        </w:rPr>
        <w:t xml:space="preserve"> LISA para o percentual da população rural em idade ativa que nunca migrou (</w:t>
      </w:r>
      <w:proofErr w:type="spellStart"/>
      <w:r w:rsidRPr="0026351E">
        <w:rPr>
          <w:rFonts w:ascii="Times New Roman" w:hAnsi="Times New Roman" w:cs="Times New Roman"/>
          <w:sz w:val="24"/>
          <w:szCs w:val="24"/>
        </w:rPr>
        <w:t>PIAnmig</w:t>
      </w:r>
      <w:proofErr w:type="spellEnd"/>
      <w:r w:rsidRPr="0026351E">
        <w:rPr>
          <w:rFonts w:ascii="Times New Roman" w:hAnsi="Times New Roman" w:cs="Times New Roman"/>
          <w:sz w:val="24"/>
          <w:szCs w:val="24"/>
        </w:rPr>
        <w:t>). O resultado do Índice Global de Moran para esse indicador foi de 0,291, o que significa uma autocorrelação espacial positiva, e concentração das observações nos quadrantes Q1 e Q2. Nesses quadrantes estão localizados municípios vizinhos com percentuais semelhantes, sejam altos ou baixos, porque são áreas com dinâmica espacial própria (</w:t>
      </w:r>
      <w:r w:rsidRPr="0026351E">
        <w:rPr>
          <w:rFonts w:ascii="Times New Roman" w:hAnsi="Times New Roman" w:cs="Times New Roman"/>
          <w:color w:val="000000" w:themeColor="text1"/>
          <w:sz w:val="24"/>
          <w:szCs w:val="24"/>
        </w:rPr>
        <w:t xml:space="preserve">CÂMARA </w:t>
      </w:r>
      <w:r w:rsidRPr="0026351E">
        <w:rPr>
          <w:rFonts w:ascii="Times New Roman" w:hAnsi="Times New Roman" w:cs="Times New Roman"/>
          <w:i/>
          <w:color w:val="000000" w:themeColor="text1"/>
          <w:sz w:val="24"/>
          <w:szCs w:val="24"/>
        </w:rPr>
        <w:t>et al.</w:t>
      </w:r>
      <w:r w:rsidRPr="0026351E">
        <w:rPr>
          <w:rFonts w:ascii="Times New Roman" w:hAnsi="Times New Roman" w:cs="Times New Roman"/>
          <w:color w:val="000000" w:themeColor="text1"/>
          <w:sz w:val="24"/>
          <w:szCs w:val="24"/>
        </w:rPr>
        <w:t>, 2004)</w:t>
      </w:r>
      <w:r w:rsidRPr="0026351E">
        <w:rPr>
          <w:rFonts w:ascii="Times New Roman" w:hAnsi="Times New Roman" w:cs="Times New Roman"/>
          <w:sz w:val="24"/>
          <w:szCs w:val="24"/>
        </w:rPr>
        <w:t>.</w:t>
      </w:r>
    </w:p>
    <w:p w14:paraId="6405200A" w14:textId="77777777" w:rsidR="00724E72" w:rsidRPr="0026351E" w:rsidRDefault="00724E72" w:rsidP="00724E72">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lastRenderedPageBreak/>
        <w:t xml:space="preserve">É interessante visualizar em mapa como se distribuem espacialmente os agrupamentos de autocorrelação espacial, pelo Índice Local de Moran, com significância estatística, que pode revelar espaços com correlação local significativamente diferente das demais (Figura 3). Dito isso, observa-se que na Figura </w:t>
      </w:r>
      <w:r>
        <w:rPr>
          <w:rFonts w:ascii="Times New Roman" w:hAnsi="Times New Roman" w:cs="Times New Roman"/>
          <w:sz w:val="24"/>
          <w:szCs w:val="24"/>
        </w:rPr>
        <w:t>3</w:t>
      </w:r>
      <w:r w:rsidRPr="0026351E">
        <w:rPr>
          <w:rFonts w:ascii="Times New Roman" w:hAnsi="Times New Roman" w:cs="Times New Roman"/>
          <w:sz w:val="24"/>
          <w:szCs w:val="24"/>
        </w:rPr>
        <w:t xml:space="preserve"> o agrupamento Alto-Alto se destaca. Ou seja, são </w:t>
      </w:r>
      <w:r w:rsidRPr="0026351E">
        <w:rPr>
          <w:rFonts w:ascii="Times New Roman" w:hAnsi="Times New Roman" w:cs="Times New Roman"/>
          <w:i/>
          <w:iCs/>
          <w:sz w:val="24"/>
          <w:szCs w:val="24"/>
        </w:rPr>
        <w:t>clusters</w:t>
      </w:r>
      <w:r w:rsidRPr="0026351E">
        <w:rPr>
          <w:rFonts w:ascii="Times New Roman" w:hAnsi="Times New Roman" w:cs="Times New Roman"/>
          <w:sz w:val="24"/>
          <w:szCs w:val="24"/>
        </w:rPr>
        <w:t xml:space="preserve"> de </w:t>
      </w:r>
      <w:r w:rsidRPr="0026351E">
        <w:rPr>
          <w:rFonts w:ascii="Times New Roman" w:hAnsi="Times New Roman" w:cs="Times New Roman"/>
          <w:color w:val="000000" w:themeColor="text1"/>
          <w:sz w:val="24"/>
          <w:szCs w:val="24"/>
        </w:rPr>
        <w:t>municípios da Caatinga com valores altos de pessoas em idade ativa que nunca saíram do rural, vizinhos a municípios com valores também altos desse indicador.</w:t>
      </w:r>
    </w:p>
    <w:p w14:paraId="60B886FD" w14:textId="77777777" w:rsidR="00CF0D0A" w:rsidRPr="0026351E" w:rsidRDefault="00CF0D0A" w:rsidP="00F56AB8">
      <w:pPr>
        <w:spacing w:after="0" w:line="360" w:lineRule="auto"/>
        <w:ind w:firstLine="708"/>
        <w:jc w:val="both"/>
        <w:rPr>
          <w:rFonts w:ascii="Times New Roman" w:hAnsi="Times New Roman" w:cs="Times New Roman"/>
          <w:sz w:val="24"/>
          <w:szCs w:val="24"/>
        </w:rPr>
      </w:pPr>
    </w:p>
    <w:p w14:paraId="2DA956C7" w14:textId="5E3E6D97" w:rsidR="00F56AB8" w:rsidRPr="0026351E" w:rsidRDefault="00F56AB8" w:rsidP="00F56AB8">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 xml:space="preserve">Figura 3: Diagrama e Mapa de </w:t>
      </w:r>
      <w:r w:rsidRPr="0026351E">
        <w:rPr>
          <w:rFonts w:ascii="Times New Roman" w:hAnsi="Times New Roman" w:cs="Times New Roman"/>
          <w:b/>
          <w:bCs/>
          <w:i/>
          <w:iCs/>
          <w:sz w:val="24"/>
          <w:szCs w:val="24"/>
        </w:rPr>
        <w:t>Clusters</w:t>
      </w:r>
      <w:r w:rsidRPr="0026351E">
        <w:rPr>
          <w:rFonts w:ascii="Times New Roman" w:hAnsi="Times New Roman" w:cs="Times New Roman"/>
          <w:b/>
          <w:bCs/>
          <w:sz w:val="24"/>
          <w:szCs w:val="24"/>
        </w:rPr>
        <w:t xml:space="preserve"> LISA para o percentual da </w:t>
      </w:r>
      <w:r w:rsidR="00F46115">
        <w:rPr>
          <w:rFonts w:ascii="Times New Roman" w:hAnsi="Times New Roman" w:cs="Times New Roman"/>
          <w:b/>
          <w:bCs/>
          <w:sz w:val="24"/>
          <w:szCs w:val="24"/>
        </w:rPr>
        <w:t>PIA</w:t>
      </w:r>
      <w:r w:rsidRPr="0026351E">
        <w:rPr>
          <w:rFonts w:ascii="Times New Roman" w:hAnsi="Times New Roman" w:cs="Times New Roman"/>
          <w:b/>
          <w:bCs/>
          <w:sz w:val="24"/>
          <w:szCs w:val="24"/>
        </w:rPr>
        <w:t xml:space="preserve"> </w:t>
      </w:r>
      <w:r w:rsidR="00B86D2C">
        <w:rPr>
          <w:rFonts w:ascii="Times New Roman" w:hAnsi="Times New Roman" w:cs="Times New Roman"/>
          <w:b/>
          <w:bCs/>
          <w:sz w:val="24"/>
          <w:szCs w:val="24"/>
        </w:rPr>
        <w:t xml:space="preserve">rural </w:t>
      </w:r>
      <w:r w:rsidRPr="0026351E">
        <w:rPr>
          <w:rFonts w:ascii="Times New Roman" w:hAnsi="Times New Roman" w:cs="Times New Roman"/>
          <w:b/>
          <w:bCs/>
          <w:sz w:val="24"/>
          <w:szCs w:val="24"/>
        </w:rPr>
        <w:t>que nunca migrou (</w:t>
      </w:r>
      <w:proofErr w:type="spellStart"/>
      <w:r w:rsidRPr="0026351E">
        <w:rPr>
          <w:rFonts w:ascii="Times New Roman" w:hAnsi="Times New Roman" w:cs="Times New Roman"/>
          <w:b/>
          <w:bCs/>
          <w:sz w:val="24"/>
          <w:szCs w:val="24"/>
        </w:rPr>
        <w:t>PIAnmig</w:t>
      </w:r>
      <w:proofErr w:type="spellEnd"/>
      <w:r w:rsidRPr="0026351E">
        <w:rPr>
          <w:rFonts w:ascii="Times New Roman" w:hAnsi="Times New Roman" w:cs="Times New Roman"/>
          <w:b/>
          <w:bCs/>
          <w:sz w:val="24"/>
          <w:szCs w:val="24"/>
        </w:rPr>
        <w:t>) – Municípios da Caatinga – 2010</w:t>
      </w:r>
    </w:p>
    <w:p w14:paraId="5472D227" w14:textId="77777777" w:rsidR="00F56AB8" w:rsidRPr="0026351E" w:rsidRDefault="00F56AB8" w:rsidP="00F56AB8">
      <w:pPr>
        <w:spacing w:after="0" w:line="240" w:lineRule="auto"/>
        <w:rPr>
          <w:rFonts w:ascii="Times New Roman" w:hAnsi="Times New Roman" w:cs="Times New Roman"/>
          <w:b/>
          <w:bCs/>
          <w:sz w:val="24"/>
          <w:szCs w:val="24"/>
        </w:rPr>
      </w:pPr>
      <w:r w:rsidRPr="0026351E">
        <w:rPr>
          <w:rFonts w:ascii="Times New Roman" w:hAnsi="Times New Roman" w:cs="Times New Roman"/>
          <w:b/>
          <w:bCs/>
          <w:noProof/>
          <w:sz w:val="4"/>
          <w:szCs w:val="4"/>
        </w:rPr>
        <mc:AlternateContent>
          <mc:Choice Requires="wpg">
            <w:drawing>
              <wp:anchor distT="0" distB="0" distL="114300" distR="114300" simplePos="0" relativeHeight="251659264" behindDoc="0" locked="0" layoutInCell="1" allowOverlap="1" wp14:anchorId="0C038CC7" wp14:editId="6CF484A5">
                <wp:simplePos x="0" y="0"/>
                <wp:positionH relativeFrom="column">
                  <wp:posOffset>338357</wp:posOffset>
                </wp:positionH>
                <wp:positionV relativeFrom="paragraph">
                  <wp:posOffset>1835297</wp:posOffset>
                </wp:positionV>
                <wp:extent cx="1463040" cy="1325881"/>
                <wp:effectExtent l="0" t="0" r="22860" b="26670"/>
                <wp:wrapNone/>
                <wp:docPr id="24" name="Agrupar 24"/>
                <wp:cNvGraphicFramePr/>
                <a:graphic xmlns:a="http://schemas.openxmlformats.org/drawingml/2006/main">
                  <a:graphicData uri="http://schemas.microsoft.com/office/word/2010/wordprocessingGroup">
                    <wpg:wgp>
                      <wpg:cNvGrpSpPr/>
                      <wpg:grpSpPr>
                        <a:xfrm>
                          <a:off x="0" y="0"/>
                          <a:ext cx="1463040" cy="1325881"/>
                          <a:chOff x="0" y="28575"/>
                          <a:chExt cx="1680985" cy="2079791"/>
                        </a:xfrm>
                      </wpg:grpSpPr>
                      <wps:wsp>
                        <wps:cNvPr id="217" name="Caixa de Texto 2"/>
                        <wps:cNvSpPr txBox="1">
                          <a:spLocks noChangeArrowheads="1"/>
                        </wps:cNvSpPr>
                        <wps:spPr bwMode="auto">
                          <a:xfrm>
                            <a:off x="1280935" y="40340"/>
                            <a:ext cx="400050" cy="404590"/>
                          </a:xfrm>
                          <a:prstGeom prst="rect">
                            <a:avLst/>
                          </a:prstGeom>
                          <a:solidFill>
                            <a:srgbClr val="FFFFFF"/>
                          </a:solidFill>
                          <a:ln w="9525">
                            <a:solidFill>
                              <a:schemeClr val="bg1">
                                <a:lumMod val="75000"/>
                              </a:schemeClr>
                            </a:solidFill>
                            <a:miter lim="800000"/>
                            <a:headEnd/>
                            <a:tailEnd/>
                          </a:ln>
                        </wps:spPr>
                        <wps:txbx>
                          <w:txbxContent>
                            <w:p w14:paraId="67CEB7EA"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Q1</w:t>
                              </w:r>
                            </w:p>
                          </w:txbxContent>
                        </wps:txbx>
                        <wps:bodyPr rot="0" vert="horz" wrap="square" lIns="91440" tIns="45720" rIns="91440" bIns="45720" anchor="t" anchorCtr="0">
                          <a:noAutofit/>
                        </wps:bodyPr>
                      </wps:wsp>
                      <wps:wsp>
                        <wps:cNvPr id="10" name="Caixa de Texto 2"/>
                        <wps:cNvSpPr txBox="1">
                          <a:spLocks noChangeArrowheads="1"/>
                        </wps:cNvSpPr>
                        <wps:spPr bwMode="auto">
                          <a:xfrm>
                            <a:off x="0" y="28575"/>
                            <a:ext cx="400050" cy="361573"/>
                          </a:xfrm>
                          <a:prstGeom prst="rect">
                            <a:avLst/>
                          </a:prstGeom>
                          <a:solidFill>
                            <a:srgbClr val="FFFFFF"/>
                          </a:solidFill>
                          <a:ln w="9525">
                            <a:solidFill>
                              <a:schemeClr val="bg1">
                                <a:lumMod val="75000"/>
                              </a:schemeClr>
                            </a:solidFill>
                            <a:miter lim="800000"/>
                            <a:headEnd/>
                            <a:tailEnd/>
                          </a:ln>
                        </wps:spPr>
                        <wps:txbx>
                          <w:txbxContent>
                            <w:p w14:paraId="430161BE" w14:textId="77777777" w:rsidR="00F56AB8" w:rsidRPr="006B41CA" w:rsidRDefault="00F56AB8" w:rsidP="00F56AB8">
                              <w:pPr>
                                <w:jc w:val="center"/>
                                <w:rPr>
                                  <w:rFonts w:ascii="Times New Roman" w:hAnsi="Times New Roman" w:cs="Times New Roman"/>
                                  <w:sz w:val="18"/>
                                  <w:szCs w:val="18"/>
                                </w:rPr>
                              </w:pPr>
                              <w:r w:rsidRPr="006B41CA">
                                <w:rPr>
                                  <w:rFonts w:ascii="Times New Roman" w:hAnsi="Times New Roman" w:cs="Times New Roman"/>
                                  <w:sz w:val="18"/>
                                  <w:szCs w:val="18"/>
                                </w:rPr>
                                <w:t>Q4</w:t>
                              </w:r>
                            </w:p>
                          </w:txbxContent>
                        </wps:txbx>
                        <wps:bodyPr rot="0" vert="horz" wrap="square" lIns="91440" tIns="45720" rIns="91440" bIns="45720" anchor="t" anchorCtr="0">
                          <a:noAutofit/>
                        </wps:bodyPr>
                      </wps:wsp>
                      <wps:wsp>
                        <wps:cNvPr id="11" name="Caixa de Texto 2"/>
                        <wps:cNvSpPr txBox="1">
                          <a:spLocks noChangeArrowheads="1"/>
                        </wps:cNvSpPr>
                        <wps:spPr bwMode="auto">
                          <a:xfrm>
                            <a:off x="1266826" y="1747746"/>
                            <a:ext cx="400050" cy="360620"/>
                          </a:xfrm>
                          <a:prstGeom prst="rect">
                            <a:avLst/>
                          </a:prstGeom>
                          <a:solidFill>
                            <a:srgbClr val="FFFFFF"/>
                          </a:solidFill>
                          <a:ln w="9525">
                            <a:solidFill>
                              <a:schemeClr val="bg1">
                                <a:lumMod val="75000"/>
                              </a:schemeClr>
                            </a:solidFill>
                            <a:miter lim="800000"/>
                            <a:headEnd/>
                            <a:tailEnd/>
                          </a:ln>
                        </wps:spPr>
                        <wps:txbx>
                          <w:txbxContent>
                            <w:p w14:paraId="18E14783"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Q3</w:t>
                              </w:r>
                            </w:p>
                          </w:txbxContent>
                        </wps:txbx>
                        <wps:bodyPr rot="0" vert="horz" wrap="square" lIns="91440" tIns="45720" rIns="91440" bIns="45720" anchor="t" anchorCtr="0">
                          <a:noAutofit/>
                        </wps:bodyPr>
                      </wps:wsp>
                      <wps:wsp>
                        <wps:cNvPr id="12" name="Caixa de Texto 2"/>
                        <wps:cNvSpPr txBox="1">
                          <a:spLocks noChangeArrowheads="1"/>
                        </wps:cNvSpPr>
                        <wps:spPr bwMode="auto">
                          <a:xfrm>
                            <a:off x="0" y="1720358"/>
                            <a:ext cx="400050" cy="368082"/>
                          </a:xfrm>
                          <a:prstGeom prst="rect">
                            <a:avLst/>
                          </a:prstGeom>
                          <a:solidFill>
                            <a:srgbClr val="FFFFFF"/>
                          </a:solidFill>
                          <a:ln w="9525">
                            <a:solidFill>
                              <a:schemeClr val="bg1">
                                <a:lumMod val="75000"/>
                              </a:schemeClr>
                            </a:solidFill>
                            <a:miter lim="800000"/>
                            <a:headEnd/>
                            <a:tailEnd/>
                          </a:ln>
                        </wps:spPr>
                        <wps:txbx>
                          <w:txbxContent>
                            <w:p w14:paraId="194734DB"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Q2</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C038CC7" id="Agrupar 24" o:spid="_x0000_s1026" style="position:absolute;margin-left:26.65pt;margin-top:144.5pt;width:115.2pt;height:104.4pt;z-index:251659264;mso-width-relative:margin;mso-height-relative:margin" coordorigin=",285" coordsize="16809,20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">
                <v:shapetype id="_x0000_t202" coordsize="21600,21600" o:spt="202" path="m,l,21600r21600,l21600,xe">
                  <v:stroke joinstyle="miter"/>
                  <v:path gradientshapeok="t" o:connecttype="rect"/>
                </v:shapetype>
                <v:shape id="Caixa de Texto 2" o:spid="_x0000_s1027" type="#_x0000_t202" style="position:absolute;left:12809;top:403;width:4000;height:4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" strokecolor="#bfbfbf [2412]">
                  <v:textbox>
                    <w:txbxContent>
                      <w:p w14:paraId="67CEB7EA"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Q1</w:t>
                        </w:r>
                      </w:p>
                    </w:txbxContent>
                  </v:textbox>
                </v:shape>
                <v:shape id="Caixa de Texto 2" o:spid="_x0000_s1028" type="#_x0000_t202" style="position:absolute;top:285;width:4000;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" strokecolor="#bfbfbf [2412]">
                  <v:textbox>
                    <w:txbxContent>
                      <w:p w14:paraId="430161BE" w14:textId="77777777" w:rsidR="00F56AB8" w:rsidRPr="006B41CA" w:rsidRDefault="00F56AB8" w:rsidP="00F56AB8">
                        <w:pPr>
                          <w:jc w:val="center"/>
                          <w:rPr>
                            <w:rFonts w:ascii="Times New Roman" w:hAnsi="Times New Roman" w:cs="Times New Roman"/>
                            <w:sz w:val="18"/>
                            <w:szCs w:val="18"/>
                          </w:rPr>
                        </w:pPr>
                        <w:r w:rsidRPr="006B41CA">
                          <w:rPr>
                            <w:rFonts w:ascii="Times New Roman" w:hAnsi="Times New Roman" w:cs="Times New Roman"/>
                            <w:sz w:val="18"/>
                            <w:szCs w:val="18"/>
                          </w:rPr>
                          <w:t>Q4</w:t>
                        </w:r>
                      </w:p>
                    </w:txbxContent>
                  </v:textbox>
                </v:shape>
                <v:shape id="Caixa de Texto 2" o:spid="_x0000_s1029" type="#_x0000_t202" style="position:absolute;left:12668;top:17477;width:4000;height:3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" strokecolor="#bfbfbf [2412]">
                  <v:textbox>
                    <w:txbxContent>
                      <w:p w14:paraId="18E14783"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Q3</w:t>
                        </w:r>
                      </w:p>
                    </w:txbxContent>
                  </v:textbox>
                </v:shape>
                <v:shape id="Caixa de Texto 2" o:spid="_x0000_s1030" type="#_x0000_t202" style="position:absolute;top:17203;width:4000;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" strokecolor="#bfbfbf [2412]">
                  <v:textbox>
                    <w:txbxContent>
                      <w:p w14:paraId="194734DB"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Q2</w:t>
                        </w:r>
                      </w:p>
                    </w:txbxContent>
                  </v:textbox>
                </v:shape>
              </v:group>
            </w:pict>
          </mc:Fallback>
        </mc:AlternateContent>
      </w:r>
      <w:r w:rsidRPr="0026351E">
        <w:rPr>
          <w:rFonts w:ascii="Times New Roman" w:hAnsi="Times New Roman" w:cs="Times New Roman"/>
          <w:b/>
          <w:bCs/>
          <w:noProof/>
          <w:sz w:val="24"/>
          <w:szCs w:val="24"/>
        </w:rPr>
        <w:drawing>
          <wp:inline distT="0" distB="0" distL="0" distR="0" wp14:anchorId="48494DB7" wp14:editId="3F37452A">
            <wp:extent cx="1752600" cy="1863600"/>
            <wp:effectExtent l="0" t="0" r="0" b="381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rotWithShape="1">
                    <a:blip r:embed="rId11">
                      <a:extLst>
                        <a:ext uri="{28A0092B-C50C-407E-A947-70E740481C1C}">
                          <a14:useLocalDpi xmlns:a14="http://schemas.microsoft.com/office/drawing/2010/main" val="0"/>
                        </a:ext>
                      </a:extLst>
                    </a:blip>
                    <a:srcRect l="25844" r="26813"/>
                    <a:stretch/>
                  </pic:blipFill>
                  <pic:spPr bwMode="auto">
                    <a:xfrm>
                      <a:off x="0" y="0"/>
                      <a:ext cx="1770009" cy="1882111"/>
                    </a:xfrm>
                    <a:prstGeom prst="rect">
                      <a:avLst/>
                    </a:prstGeom>
                    <a:ln>
                      <a:noFill/>
                    </a:ln>
                    <a:extLst>
                      <a:ext uri="{53640926-AAD7-44D8-BBD7-CCE9431645EC}">
                        <a14:shadowObscured xmlns:a14="http://schemas.microsoft.com/office/drawing/2010/main"/>
                      </a:ext>
                    </a:extLst>
                  </pic:spPr>
                </pic:pic>
              </a:graphicData>
            </a:graphic>
          </wp:inline>
        </w:drawing>
      </w:r>
      <w:r w:rsidRPr="0026351E">
        <w:rPr>
          <w:rFonts w:ascii="Times New Roman" w:hAnsi="Times New Roman" w:cs="Times New Roman"/>
          <w:b/>
          <w:bCs/>
          <w:noProof/>
          <w:sz w:val="24"/>
          <w:szCs w:val="24"/>
        </w:rPr>
        <w:drawing>
          <wp:inline distT="0" distB="0" distL="0" distR="0" wp14:anchorId="46653460" wp14:editId="7345B8CA">
            <wp:extent cx="2932780" cy="3520440"/>
            <wp:effectExtent l="0" t="0" r="1270" b="381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3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2875" cy="3592577"/>
                    </a:xfrm>
                    <a:prstGeom prst="rect">
                      <a:avLst/>
                    </a:prstGeom>
                  </pic:spPr>
                </pic:pic>
              </a:graphicData>
            </a:graphic>
          </wp:inline>
        </w:drawing>
      </w:r>
    </w:p>
    <w:p w14:paraId="53F51568" w14:textId="77777777" w:rsidR="00F56AB8" w:rsidRPr="0026351E" w:rsidRDefault="00F56AB8" w:rsidP="00F56AB8">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Fonte: IBGE, Censo Demográfico de 2010</w:t>
      </w:r>
    </w:p>
    <w:p w14:paraId="7C431E8E" w14:textId="77777777" w:rsidR="00F56AB8" w:rsidRPr="0026351E" w:rsidRDefault="00F56AB8" w:rsidP="00F56AB8">
      <w:pPr>
        <w:spacing w:after="0" w:line="240" w:lineRule="auto"/>
        <w:jc w:val="both"/>
        <w:rPr>
          <w:rFonts w:ascii="Times New Roman" w:hAnsi="Times New Roman" w:cs="Times New Roman"/>
          <w:b/>
          <w:bCs/>
          <w:sz w:val="24"/>
          <w:szCs w:val="24"/>
        </w:rPr>
      </w:pPr>
    </w:p>
    <w:p w14:paraId="0A8BEC61" w14:textId="4043C822"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Esse agrupamento</w:t>
      </w:r>
      <w:r w:rsidR="007E415F">
        <w:rPr>
          <w:rFonts w:ascii="Times New Roman" w:hAnsi="Times New Roman" w:cs="Times New Roman"/>
          <w:sz w:val="24"/>
          <w:szCs w:val="24"/>
        </w:rPr>
        <w:t>, Alto-Alto,</w:t>
      </w:r>
      <w:r w:rsidRPr="0026351E">
        <w:rPr>
          <w:rFonts w:ascii="Times New Roman" w:hAnsi="Times New Roman" w:cs="Times New Roman"/>
          <w:sz w:val="24"/>
          <w:szCs w:val="24"/>
        </w:rPr>
        <w:t xml:space="preserve"> está concentrado no estado da Bahia, sendo mais visível na extremidade sul e na porção norte de seu território, na divisa com o estado do Piauí, e que se estende até a fronteira com o estado de Pernambuco. Esse é um achado interessante, pois parece improvável para uma região caracterizada como grande fornecedora de distribuição de mão de obra no passado (BRITO, 1999), mas que ainda tem o maior saldo migratório negativo do país com grande participação do estado da Bahia (RIGOTTI; CAMPOS; HADAD, 2017), </w:t>
      </w:r>
      <w:r w:rsidRPr="0026351E">
        <w:rPr>
          <w:rFonts w:ascii="Times New Roman" w:hAnsi="Times New Roman" w:cs="Times New Roman"/>
          <w:sz w:val="24"/>
          <w:szCs w:val="24"/>
        </w:rPr>
        <w:lastRenderedPageBreak/>
        <w:t xml:space="preserve">apresentar agrupamentos de municípios com percentuais altos de pessoas que sempre moraram no rural, ou que nunca migraram. </w:t>
      </w:r>
    </w:p>
    <w:p w14:paraId="34F80C6C" w14:textId="54B94DA4"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A estimativa para o indicador do ‘percentual da PIA rural residente em domicílios com cisterna’ registrou um Índice Global de Moran no valor de 0,615 (Figura 4). Isso significa que há muitos </w:t>
      </w:r>
      <w:r w:rsidRPr="0026351E">
        <w:rPr>
          <w:rFonts w:ascii="Times New Roman" w:hAnsi="Times New Roman" w:cs="Times New Roman"/>
          <w:color w:val="000000" w:themeColor="text1"/>
          <w:sz w:val="24"/>
          <w:szCs w:val="24"/>
        </w:rPr>
        <w:t xml:space="preserve">pontos de associação espacial positiva, </w:t>
      </w:r>
      <w:r w:rsidR="00CA297A">
        <w:rPr>
          <w:rFonts w:ascii="Times New Roman" w:hAnsi="Times New Roman" w:cs="Times New Roman"/>
          <w:color w:val="000000" w:themeColor="text1"/>
          <w:sz w:val="24"/>
          <w:szCs w:val="24"/>
        </w:rPr>
        <w:t>sejam concentrados em altos ou baixos</w:t>
      </w:r>
      <w:r w:rsidR="0095465C">
        <w:rPr>
          <w:rFonts w:ascii="Times New Roman" w:hAnsi="Times New Roman" w:cs="Times New Roman"/>
          <w:color w:val="000000" w:themeColor="text1"/>
          <w:sz w:val="24"/>
          <w:szCs w:val="24"/>
        </w:rPr>
        <w:t>, no sentido que uma zona possui municípios vizinhos com valores semelhantes</w:t>
      </w:r>
      <w:r w:rsidR="00CA297A">
        <w:rPr>
          <w:rFonts w:ascii="Times New Roman" w:hAnsi="Times New Roman" w:cs="Times New Roman"/>
          <w:color w:val="000000" w:themeColor="text1"/>
          <w:sz w:val="24"/>
          <w:szCs w:val="24"/>
        </w:rPr>
        <w:t xml:space="preserve">. As zonas avermelhadas revelam </w:t>
      </w:r>
      <w:r w:rsidRPr="0026351E">
        <w:rPr>
          <w:rFonts w:ascii="Times New Roman" w:hAnsi="Times New Roman" w:cs="Times New Roman"/>
          <w:color w:val="000000" w:themeColor="text1"/>
          <w:sz w:val="24"/>
          <w:szCs w:val="24"/>
        </w:rPr>
        <w:t>uma concentração espacial (</w:t>
      </w:r>
      <w:r w:rsidRPr="0026351E">
        <w:rPr>
          <w:rFonts w:ascii="Times New Roman" w:hAnsi="Times New Roman" w:cs="Times New Roman"/>
          <w:i/>
          <w:iCs/>
          <w:color w:val="000000" w:themeColor="text1"/>
          <w:sz w:val="24"/>
          <w:szCs w:val="24"/>
        </w:rPr>
        <w:t>clusters</w:t>
      </w:r>
      <w:r w:rsidRPr="0026351E">
        <w:rPr>
          <w:rFonts w:ascii="Times New Roman" w:hAnsi="Times New Roman" w:cs="Times New Roman"/>
          <w:color w:val="000000" w:themeColor="text1"/>
          <w:sz w:val="24"/>
          <w:szCs w:val="24"/>
        </w:rPr>
        <w:t xml:space="preserve">) de municípios com elevada proporção de população em idade ativa que possuem cisternas em seus domicílios. </w:t>
      </w:r>
    </w:p>
    <w:p w14:paraId="2B015424" w14:textId="77777777" w:rsidR="00F56AB8" w:rsidRPr="0026351E" w:rsidRDefault="00F56AB8" w:rsidP="00F56AB8">
      <w:pPr>
        <w:spacing w:after="0" w:line="360" w:lineRule="auto"/>
        <w:ind w:firstLine="708"/>
        <w:jc w:val="both"/>
        <w:rPr>
          <w:rFonts w:ascii="Times New Roman" w:hAnsi="Times New Roman" w:cs="Times New Roman"/>
          <w:sz w:val="24"/>
          <w:szCs w:val="24"/>
        </w:rPr>
      </w:pPr>
    </w:p>
    <w:p w14:paraId="6D05B8CD" w14:textId="5304B9AA" w:rsidR="00F56AB8" w:rsidRPr="0026351E" w:rsidRDefault="00F56AB8" w:rsidP="00F56AB8">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 xml:space="preserve">Figura 4: Diagrama e Mapa de </w:t>
      </w:r>
      <w:r w:rsidRPr="0026351E">
        <w:rPr>
          <w:rFonts w:ascii="Times New Roman" w:hAnsi="Times New Roman" w:cs="Times New Roman"/>
          <w:b/>
          <w:bCs/>
          <w:i/>
          <w:iCs/>
          <w:sz w:val="24"/>
          <w:szCs w:val="24"/>
        </w:rPr>
        <w:t>Clusters</w:t>
      </w:r>
      <w:r w:rsidRPr="0026351E">
        <w:rPr>
          <w:rFonts w:ascii="Times New Roman" w:hAnsi="Times New Roman" w:cs="Times New Roman"/>
          <w:b/>
          <w:bCs/>
          <w:sz w:val="24"/>
          <w:szCs w:val="24"/>
        </w:rPr>
        <w:t xml:space="preserve"> LISA para o percentual da </w:t>
      </w:r>
      <w:r w:rsidR="00F46115">
        <w:rPr>
          <w:rFonts w:ascii="Times New Roman" w:hAnsi="Times New Roman" w:cs="Times New Roman"/>
          <w:b/>
          <w:bCs/>
          <w:sz w:val="24"/>
          <w:szCs w:val="24"/>
        </w:rPr>
        <w:t>PIA</w:t>
      </w:r>
      <w:r w:rsidRPr="0026351E">
        <w:rPr>
          <w:rFonts w:ascii="Times New Roman" w:hAnsi="Times New Roman" w:cs="Times New Roman"/>
          <w:b/>
          <w:bCs/>
          <w:sz w:val="24"/>
          <w:szCs w:val="24"/>
        </w:rPr>
        <w:t xml:space="preserve"> </w:t>
      </w:r>
      <w:r w:rsidR="00B86D2C">
        <w:rPr>
          <w:rFonts w:ascii="Times New Roman" w:hAnsi="Times New Roman" w:cs="Times New Roman"/>
          <w:b/>
          <w:bCs/>
          <w:sz w:val="24"/>
          <w:szCs w:val="24"/>
        </w:rPr>
        <w:t xml:space="preserve">rural </w:t>
      </w:r>
      <w:r w:rsidRPr="0026351E">
        <w:rPr>
          <w:rFonts w:ascii="Times New Roman" w:hAnsi="Times New Roman" w:cs="Times New Roman"/>
          <w:b/>
          <w:bCs/>
          <w:sz w:val="24"/>
          <w:szCs w:val="24"/>
        </w:rPr>
        <w:t>residente em domicílios com cisterna (</w:t>
      </w:r>
      <w:proofErr w:type="spellStart"/>
      <w:r w:rsidRPr="0026351E">
        <w:rPr>
          <w:rFonts w:ascii="Times New Roman" w:hAnsi="Times New Roman" w:cs="Times New Roman"/>
          <w:b/>
          <w:bCs/>
          <w:sz w:val="24"/>
          <w:szCs w:val="24"/>
        </w:rPr>
        <w:t>PIApc</w:t>
      </w:r>
      <w:proofErr w:type="spellEnd"/>
      <w:r w:rsidRPr="0026351E">
        <w:rPr>
          <w:rFonts w:ascii="Times New Roman" w:hAnsi="Times New Roman" w:cs="Times New Roman"/>
          <w:b/>
          <w:bCs/>
          <w:sz w:val="24"/>
          <w:szCs w:val="24"/>
        </w:rPr>
        <w:t>) – Municípios da Caatinga – 2010</w:t>
      </w:r>
    </w:p>
    <w:p w14:paraId="0F8F7481" w14:textId="77777777" w:rsidR="00F56AB8" w:rsidRPr="0026351E" w:rsidRDefault="00F56AB8" w:rsidP="00F56AB8">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noProof/>
          <w:sz w:val="4"/>
          <w:szCs w:val="4"/>
        </w:rPr>
        <mc:AlternateContent>
          <mc:Choice Requires="wpg">
            <w:drawing>
              <wp:anchor distT="0" distB="0" distL="114300" distR="114300" simplePos="0" relativeHeight="251661312" behindDoc="0" locked="0" layoutInCell="1" allowOverlap="1" wp14:anchorId="458FF804" wp14:editId="4A794359">
                <wp:simplePos x="0" y="0"/>
                <wp:positionH relativeFrom="column">
                  <wp:posOffset>355942</wp:posOffset>
                </wp:positionH>
                <wp:positionV relativeFrom="paragraph">
                  <wp:posOffset>1856691</wp:posOffset>
                </wp:positionV>
                <wp:extent cx="1661160" cy="1364566"/>
                <wp:effectExtent l="0" t="0" r="15240" b="26670"/>
                <wp:wrapNone/>
                <wp:docPr id="26" name="Agrupar 26"/>
                <wp:cNvGraphicFramePr/>
                <a:graphic xmlns:a="http://schemas.openxmlformats.org/drawingml/2006/main">
                  <a:graphicData uri="http://schemas.microsoft.com/office/word/2010/wordprocessingGroup">
                    <wpg:wgp>
                      <wpg:cNvGrpSpPr/>
                      <wpg:grpSpPr>
                        <a:xfrm>
                          <a:off x="0" y="0"/>
                          <a:ext cx="1661160" cy="1364566"/>
                          <a:chOff x="0" y="-6894"/>
                          <a:chExt cx="1680985" cy="2064294"/>
                        </a:xfrm>
                      </wpg:grpSpPr>
                      <wps:wsp>
                        <wps:cNvPr id="27" name="Caixa de Texto 2"/>
                        <wps:cNvSpPr txBox="1">
                          <a:spLocks noChangeArrowheads="1"/>
                        </wps:cNvSpPr>
                        <wps:spPr bwMode="auto">
                          <a:xfrm>
                            <a:off x="1280935" y="-6894"/>
                            <a:ext cx="400050" cy="379812"/>
                          </a:xfrm>
                          <a:prstGeom prst="rect">
                            <a:avLst/>
                          </a:prstGeom>
                          <a:solidFill>
                            <a:srgbClr val="FFFFFF"/>
                          </a:solidFill>
                          <a:ln w="9525">
                            <a:solidFill>
                              <a:schemeClr val="bg1">
                                <a:lumMod val="75000"/>
                              </a:schemeClr>
                            </a:solidFill>
                            <a:miter lim="800000"/>
                            <a:headEnd/>
                            <a:tailEnd/>
                          </a:ln>
                        </wps:spPr>
                        <wps:txbx>
                          <w:txbxContent>
                            <w:p w14:paraId="72427435"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Q1</w:t>
                              </w:r>
                            </w:p>
                          </w:txbxContent>
                        </wps:txbx>
                        <wps:bodyPr rot="0" vert="horz" wrap="square" lIns="91440" tIns="45720" rIns="91440" bIns="45720" anchor="t" anchorCtr="0">
                          <a:noAutofit/>
                        </wps:bodyPr>
                      </wps:wsp>
                      <wps:wsp>
                        <wps:cNvPr id="28" name="Caixa de Texto 2"/>
                        <wps:cNvSpPr txBox="1">
                          <a:spLocks noChangeArrowheads="1"/>
                        </wps:cNvSpPr>
                        <wps:spPr bwMode="auto">
                          <a:xfrm>
                            <a:off x="0" y="28560"/>
                            <a:ext cx="400050" cy="354706"/>
                          </a:xfrm>
                          <a:prstGeom prst="rect">
                            <a:avLst/>
                          </a:prstGeom>
                          <a:solidFill>
                            <a:srgbClr val="FFFFFF"/>
                          </a:solidFill>
                          <a:ln w="9525">
                            <a:solidFill>
                              <a:schemeClr val="bg1">
                                <a:lumMod val="75000"/>
                              </a:schemeClr>
                            </a:solidFill>
                            <a:miter lim="800000"/>
                            <a:headEnd/>
                            <a:tailEnd/>
                          </a:ln>
                        </wps:spPr>
                        <wps:txbx>
                          <w:txbxContent>
                            <w:p w14:paraId="5CA1FA15" w14:textId="77777777" w:rsidR="00F56AB8" w:rsidRPr="006B41CA" w:rsidRDefault="00F56AB8" w:rsidP="00F56AB8">
                              <w:pPr>
                                <w:jc w:val="center"/>
                                <w:rPr>
                                  <w:rFonts w:ascii="Times New Roman" w:hAnsi="Times New Roman" w:cs="Times New Roman"/>
                                  <w:sz w:val="18"/>
                                  <w:szCs w:val="18"/>
                                </w:rPr>
                              </w:pPr>
                              <w:r w:rsidRPr="006B41CA">
                                <w:rPr>
                                  <w:rFonts w:ascii="Times New Roman" w:hAnsi="Times New Roman" w:cs="Times New Roman"/>
                                  <w:sz w:val="18"/>
                                  <w:szCs w:val="18"/>
                                </w:rPr>
                                <w:t>Q4</w:t>
                              </w:r>
                            </w:p>
                          </w:txbxContent>
                        </wps:txbx>
                        <wps:bodyPr rot="0" vert="horz" wrap="square" lIns="91440" tIns="45720" rIns="91440" bIns="45720" anchor="t" anchorCtr="0">
                          <a:noAutofit/>
                        </wps:bodyPr>
                      </wps:wsp>
                      <wps:wsp>
                        <wps:cNvPr id="29" name="Caixa de Texto 2"/>
                        <wps:cNvSpPr txBox="1">
                          <a:spLocks noChangeArrowheads="1"/>
                        </wps:cNvSpPr>
                        <wps:spPr bwMode="auto">
                          <a:xfrm>
                            <a:off x="1266825" y="1657219"/>
                            <a:ext cx="400050" cy="400181"/>
                          </a:xfrm>
                          <a:prstGeom prst="rect">
                            <a:avLst/>
                          </a:prstGeom>
                          <a:solidFill>
                            <a:srgbClr val="FFFFFF"/>
                          </a:solidFill>
                          <a:ln w="9525">
                            <a:solidFill>
                              <a:schemeClr val="bg1">
                                <a:lumMod val="75000"/>
                              </a:schemeClr>
                            </a:solidFill>
                            <a:miter lim="800000"/>
                            <a:headEnd/>
                            <a:tailEnd/>
                          </a:ln>
                        </wps:spPr>
                        <wps:txbx>
                          <w:txbxContent>
                            <w:p w14:paraId="2A590E4C"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Q3</w:t>
                              </w:r>
                            </w:p>
                          </w:txbxContent>
                        </wps:txbx>
                        <wps:bodyPr rot="0" vert="horz" wrap="square" lIns="91440" tIns="45720" rIns="91440" bIns="45720" anchor="t" anchorCtr="0">
                          <a:noAutofit/>
                        </wps:bodyPr>
                      </wps:wsp>
                      <wps:wsp>
                        <wps:cNvPr id="32" name="Caixa de Texto 2"/>
                        <wps:cNvSpPr txBox="1">
                          <a:spLocks noChangeArrowheads="1"/>
                        </wps:cNvSpPr>
                        <wps:spPr bwMode="auto">
                          <a:xfrm>
                            <a:off x="0" y="1666525"/>
                            <a:ext cx="400050" cy="390875"/>
                          </a:xfrm>
                          <a:prstGeom prst="rect">
                            <a:avLst/>
                          </a:prstGeom>
                          <a:solidFill>
                            <a:srgbClr val="FFFFFF"/>
                          </a:solidFill>
                          <a:ln w="9525">
                            <a:solidFill>
                              <a:schemeClr val="bg1">
                                <a:lumMod val="75000"/>
                              </a:schemeClr>
                            </a:solidFill>
                            <a:miter lim="800000"/>
                            <a:headEnd/>
                            <a:tailEnd/>
                          </a:ln>
                        </wps:spPr>
                        <wps:txbx>
                          <w:txbxContent>
                            <w:p w14:paraId="7A2897E2"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Q2</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58FF804" id="Agrupar 26" o:spid="_x0000_s1031" style="position:absolute;left:0;text-align:left;margin-left:28.05pt;margin-top:146.2pt;width:130.8pt;height:107.45pt;z-index:251661312;mso-width-relative:margin;mso-height-relative:margin" coordorigin=",-68" coordsize="16809,20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">
                <v:shape id="Caixa de Texto 2" o:spid="_x0000_s1032" type="#_x0000_t202" style="position:absolute;left:12809;top:-68;width:4000;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" strokecolor="#bfbfbf [2412]">
                  <v:textbox>
                    <w:txbxContent>
                      <w:p w14:paraId="72427435"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Q1</w:t>
                        </w:r>
                      </w:p>
                    </w:txbxContent>
                  </v:textbox>
                </v:shape>
                <v:shape id="Caixa de Texto 2" o:spid="_x0000_s1033" type="#_x0000_t202" style="position:absolute;top:285;width:4000;height:3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" strokecolor="#bfbfbf [2412]">
                  <v:textbox>
                    <w:txbxContent>
                      <w:p w14:paraId="5CA1FA15" w14:textId="77777777" w:rsidR="00F56AB8" w:rsidRPr="006B41CA" w:rsidRDefault="00F56AB8" w:rsidP="00F56AB8">
                        <w:pPr>
                          <w:jc w:val="center"/>
                          <w:rPr>
                            <w:rFonts w:ascii="Times New Roman" w:hAnsi="Times New Roman" w:cs="Times New Roman"/>
                            <w:sz w:val="18"/>
                            <w:szCs w:val="18"/>
                          </w:rPr>
                        </w:pPr>
                        <w:r w:rsidRPr="006B41CA">
                          <w:rPr>
                            <w:rFonts w:ascii="Times New Roman" w:hAnsi="Times New Roman" w:cs="Times New Roman"/>
                            <w:sz w:val="18"/>
                            <w:szCs w:val="18"/>
                          </w:rPr>
                          <w:t>Q4</w:t>
                        </w:r>
                      </w:p>
                    </w:txbxContent>
                  </v:textbox>
                </v:shape>
                <v:shape id="Caixa de Texto 2" o:spid="_x0000_s1034" type="#_x0000_t202" style="position:absolute;left:12668;top:16572;width:4000;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" strokecolor="#bfbfbf [2412]">
                  <v:textbox>
                    <w:txbxContent>
                      <w:p w14:paraId="2A590E4C"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Q3</w:t>
                        </w:r>
                      </w:p>
                    </w:txbxContent>
                  </v:textbox>
                </v:shape>
                <v:shape id="Caixa de Texto 2" o:spid="_x0000_s1035" type="#_x0000_t202" style="position:absolute;top:16665;width:4000;height:3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" strokecolor="#bfbfbf [2412]">
                  <v:textbox>
                    <w:txbxContent>
                      <w:p w14:paraId="7A2897E2" w14:textId="77777777" w:rsidR="00F56AB8" w:rsidRPr="00CA139B" w:rsidRDefault="00F56AB8" w:rsidP="00F56AB8">
                        <w:pPr>
                          <w:jc w:val="center"/>
                          <w:rPr>
                            <w:rFonts w:ascii="Times New Roman" w:hAnsi="Times New Roman" w:cs="Times New Roman"/>
                            <w:sz w:val="18"/>
                            <w:szCs w:val="18"/>
                          </w:rPr>
                        </w:pPr>
                        <w:r w:rsidRPr="00CA139B">
                          <w:rPr>
                            <w:rFonts w:ascii="Times New Roman" w:hAnsi="Times New Roman" w:cs="Times New Roman"/>
                            <w:sz w:val="18"/>
                            <w:szCs w:val="18"/>
                          </w:rPr>
                          <w:t>Q2</w:t>
                        </w:r>
                      </w:p>
                    </w:txbxContent>
                  </v:textbox>
                </v:shape>
              </v:group>
            </w:pict>
          </mc:Fallback>
        </mc:AlternateContent>
      </w:r>
      <w:r w:rsidRPr="0026351E">
        <w:rPr>
          <w:rFonts w:ascii="Times New Roman" w:hAnsi="Times New Roman" w:cs="Times New Roman"/>
          <w:b/>
          <w:bCs/>
          <w:noProof/>
          <w:sz w:val="24"/>
          <w:szCs w:val="24"/>
        </w:rPr>
        <w:drawing>
          <wp:inline distT="0" distB="0" distL="0" distR="0" wp14:anchorId="60E62E9F" wp14:editId="7997634C">
            <wp:extent cx="1753983" cy="1866338"/>
            <wp:effectExtent l="0" t="0" r="0" b="635"/>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m 30"/>
                    <pic:cNvPicPr/>
                  </pic:nvPicPr>
                  <pic:blipFill rotWithShape="1">
                    <a:blip r:embed="rId13">
                      <a:extLst>
                        <a:ext uri="{28A0092B-C50C-407E-A947-70E740481C1C}">
                          <a14:useLocalDpi xmlns:a14="http://schemas.microsoft.com/office/drawing/2010/main" val="0"/>
                        </a:ext>
                      </a:extLst>
                    </a:blip>
                    <a:srcRect l="26097" r="26593"/>
                    <a:stretch/>
                  </pic:blipFill>
                  <pic:spPr bwMode="auto">
                    <a:xfrm>
                      <a:off x="0" y="0"/>
                      <a:ext cx="1764822" cy="1877871"/>
                    </a:xfrm>
                    <a:prstGeom prst="rect">
                      <a:avLst/>
                    </a:prstGeom>
                    <a:ln>
                      <a:noFill/>
                    </a:ln>
                    <a:extLst>
                      <a:ext uri="{53640926-AAD7-44D8-BBD7-CCE9431645EC}">
                        <a14:shadowObscured xmlns:a14="http://schemas.microsoft.com/office/drawing/2010/main"/>
                      </a:ext>
                    </a:extLst>
                  </pic:spPr>
                </pic:pic>
              </a:graphicData>
            </a:graphic>
          </wp:inline>
        </w:drawing>
      </w:r>
      <w:r w:rsidRPr="0026351E">
        <w:rPr>
          <w:rFonts w:ascii="Times New Roman" w:hAnsi="Times New Roman" w:cs="Times New Roman"/>
          <w:b/>
          <w:bCs/>
          <w:noProof/>
          <w:sz w:val="24"/>
          <w:szCs w:val="24"/>
        </w:rPr>
        <w:drawing>
          <wp:inline distT="0" distB="0" distL="0" distR="0" wp14:anchorId="3FC95D23" wp14:editId="000AA02B">
            <wp:extent cx="2964521" cy="3558540"/>
            <wp:effectExtent l="0" t="0" r="7620" b="381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01469" cy="3602892"/>
                    </a:xfrm>
                    <a:prstGeom prst="rect">
                      <a:avLst/>
                    </a:prstGeom>
                  </pic:spPr>
                </pic:pic>
              </a:graphicData>
            </a:graphic>
          </wp:inline>
        </w:drawing>
      </w:r>
    </w:p>
    <w:p w14:paraId="0D753F39" w14:textId="77777777" w:rsidR="00F56AB8" w:rsidRPr="0026351E" w:rsidRDefault="00F56AB8" w:rsidP="00F56AB8">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Fonte: IBGE, Censo Demográfico de 2010</w:t>
      </w:r>
    </w:p>
    <w:p w14:paraId="660736AF" w14:textId="77777777" w:rsidR="00F56AB8" w:rsidRPr="0026351E" w:rsidRDefault="00F56AB8" w:rsidP="00F56AB8">
      <w:pPr>
        <w:spacing w:after="0" w:line="360" w:lineRule="auto"/>
        <w:jc w:val="both"/>
        <w:rPr>
          <w:rFonts w:ascii="Times New Roman" w:hAnsi="Times New Roman" w:cs="Times New Roman"/>
          <w:sz w:val="24"/>
          <w:szCs w:val="24"/>
        </w:rPr>
      </w:pPr>
    </w:p>
    <w:p w14:paraId="3DC9D4A1" w14:textId="0DA6D801" w:rsidR="00F56AB8" w:rsidRPr="0026351E" w:rsidRDefault="0095465C" w:rsidP="00F56AB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00F56AB8" w:rsidRPr="0026351E">
        <w:rPr>
          <w:rFonts w:ascii="Times New Roman" w:hAnsi="Times New Roman" w:cs="Times New Roman"/>
          <w:sz w:val="24"/>
          <w:szCs w:val="24"/>
        </w:rPr>
        <w:t xml:space="preserve"> agrupamento Alto-Alto (municípios com alto valor d</w:t>
      </w:r>
      <w:r>
        <w:rPr>
          <w:rFonts w:ascii="Times New Roman" w:hAnsi="Times New Roman" w:cs="Times New Roman"/>
          <w:sz w:val="24"/>
          <w:szCs w:val="24"/>
        </w:rPr>
        <w:t>o percentual de pessoas com cisterna</w:t>
      </w:r>
      <w:r w:rsidR="00F56AB8" w:rsidRPr="0026351E">
        <w:rPr>
          <w:rFonts w:ascii="Times New Roman" w:hAnsi="Times New Roman" w:cs="Times New Roman"/>
          <w:sz w:val="24"/>
          <w:szCs w:val="24"/>
        </w:rPr>
        <w:t xml:space="preserve"> próximo a vizinhos com média também alta desse indicador) </w:t>
      </w:r>
      <w:r w:rsidR="00D274A9">
        <w:rPr>
          <w:rFonts w:ascii="Times New Roman" w:hAnsi="Times New Roman" w:cs="Times New Roman"/>
          <w:sz w:val="24"/>
          <w:szCs w:val="24"/>
        </w:rPr>
        <w:t>apresenta duas principais</w:t>
      </w:r>
      <w:r w:rsidR="00F56AB8" w:rsidRPr="0026351E">
        <w:rPr>
          <w:rFonts w:ascii="Times New Roman" w:hAnsi="Times New Roman" w:cs="Times New Roman"/>
          <w:sz w:val="24"/>
          <w:szCs w:val="24"/>
        </w:rPr>
        <w:t xml:space="preserve"> zonas de concentração. Uma mais interiorizada, que se divide entre os estados do Piauí, Bahia, Pernambuco e Ceará; e uma outra, semelhante a uma faixa, beirando os limites do bioma da </w:t>
      </w:r>
      <w:r w:rsidR="00F56AB8" w:rsidRPr="0026351E">
        <w:rPr>
          <w:rFonts w:ascii="Times New Roman" w:hAnsi="Times New Roman" w:cs="Times New Roman"/>
          <w:sz w:val="24"/>
          <w:szCs w:val="24"/>
        </w:rPr>
        <w:lastRenderedPageBreak/>
        <w:t xml:space="preserve">Caatinga, que se estende de Alagoas até o Rio Grande do Norte, com substancial descontinuidade apenas em Pernambuco. Portanto, são nessas zonas onde se evidenciam a maior concentração de pessoas que residem em domicílio com acesso a cisternas. </w:t>
      </w:r>
    </w:p>
    <w:p w14:paraId="02EF0467" w14:textId="4FC35FCE"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Quanto ao diagrama bivariado, Figura 5, a dependência espacial se mostrou muito baixa, visto que o Índice Global de Moran foi próximo a zero (0,056). A reta do índice quase que sobrepõe o eixo das abscissas. Portanto, o padrão espacial resultante é quase que aleatório, o que sugere uma correlação espacial muito baixa, ou seja, uma ausência de dependência espacial entre o percentual da população em idade ativa que nunca migrou em um determinado município, e o </w:t>
      </w:r>
      <w:r w:rsidR="00D274A9">
        <w:rPr>
          <w:rFonts w:ascii="Times New Roman" w:hAnsi="Times New Roman" w:cs="Times New Roman"/>
          <w:sz w:val="24"/>
          <w:szCs w:val="24"/>
        </w:rPr>
        <w:t>d</w:t>
      </w:r>
      <w:r w:rsidRPr="0026351E">
        <w:rPr>
          <w:rFonts w:ascii="Times New Roman" w:hAnsi="Times New Roman" w:cs="Times New Roman"/>
          <w:sz w:val="24"/>
          <w:szCs w:val="24"/>
        </w:rPr>
        <w:t xml:space="preserve">a que mora em domicílios com cisternas em município vizinho. </w:t>
      </w:r>
      <w:r w:rsidRPr="0026351E">
        <w:rPr>
          <w:rFonts w:ascii="Times New Roman" w:eastAsiaTheme="minorEastAsia" w:hAnsi="Times New Roman" w:cs="Times New Roman"/>
          <w:color w:val="000000" w:themeColor="text1"/>
          <w:sz w:val="24"/>
          <w:szCs w:val="24"/>
        </w:rPr>
        <w:t xml:space="preserve"> </w:t>
      </w:r>
    </w:p>
    <w:p w14:paraId="268883B7" w14:textId="77777777" w:rsidR="00F56AB8" w:rsidRPr="0026351E" w:rsidRDefault="00F56AB8" w:rsidP="00F56AB8">
      <w:pPr>
        <w:spacing w:after="0" w:line="240" w:lineRule="auto"/>
        <w:jc w:val="both"/>
        <w:rPr>
          <w:rFonts w:ascii="Times New Roman" w:hAnsi="Times New Roman" w:cs="Times New Roman"/>
          <w:b/>
          <w:bCs/>
          <w:sz w:val="24"/>
          <w:szCs w:val="24"/>
        </w:rPr>
      </w:pPr>
    </w:p>
    <w:p w14:paraId="5E31C1F9" w14:textId="77777777" w:rsidR="00F56AB8" w:rsidRPr="0026351E" w:rsidRDefault="00F56AB8" w:rsidP="00F56AB8">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 xml:space="preserve">Figura 5: Diagrama e Mapa de </w:t>
      </w:r>
      <w:r w:rsidRPr="0026351E">
        <w:rPr>
          <w:rFonts w:ascii="Times New Roman" w:hAnsi="Times New Roman" w:cs="Times New Roman"/>
          <w:b/>
          <w:bCs/>
          <w:i/>
          <w:iCs/>
          <w:sz w:val="24"/>
          <w:szCs w:val="24"/>
        </w:rPr>
        <w:t>Clusters</w:t>
      </w:r>
      <w:r w:rsidRPr="0026351E">
        <w:rPr>
          <w:rFonts w:ascii="Times New Roman" w:hAnsi="Times New Roman" w:cs="Times New Roman"/>
          <w:b/>
          <w:bCs/>
          <w:sz w:val="24"/>
          <w:szCs w:val="24"/>
        </w:rPr>
        <w:t xml:space="preserve"> LISA entre o percentual da PIA que nunca migrou (</w:t>
      </w:r>
      <w:proofErr w:type="spellStart"/>
      <w:r w:rsidRPr="0026351E">
        <w:rPr>
          <w:rFonts w:ascii="Times New Roman" w:hAnsi="Times New Roman" w:cs="Times New Roman"/>
          <w:b/>
          <w:bCs/>
          <w:sz w:val="24"/>
          <w:szCs w:val="24"/>
        </w:rPr>
        <w:t>PIAnmig</w:t>
      </w:r>
      <w:proofErr w:type="spellEnd"/>
      <w:r w:rsidRPr="0026351E">
        <w:rPr>
          <w:rFonts w:ascii="Times New Roman" w:hAnsi="Times New Roman" w:cs="Times New Roman"/>
          <w:b/>
          <w:bCs/>
          <w:sz w:val="24"/>
          <w:szCs w:val="24"/>
        </w:rPr>
        <w:t>) e o percentual da PIA residente em domicílios com cisterna (</w:t>
      </w:r>
      <w:proofErr w:type="spellStart"/>
      <w:r w:rsidRPr="0026351E">
        <w:rPr>
          <w:rFonts w:ascii="Times New Roman" w:hAnsi="Times New Roman" w:cs="Times New Roman"/>
          <w:b/>
          <w:bCs/>
          <w:sz w:val="24"/>
          <w:szCs w:val="24"/>
        </w:rPr>
        <w:t>PIApc</w:t>
      </w:r>
      <w:proofErr w:type="spellEnd"/>
      <w:r w:rsidRPr="0026351E">
        <w:rPr>
          <w:rFonts w:ascii="Times New Roman" w:hAnsi="Times New Roman" w:cs="Times New Roman"/>
          <w:b/>
          <w:bCs/>
          <w:sz w:val="24"/>
          <w:szCs w:val="24"/>
        </w:rPr>
        <w:t>) – Municípios da Caatinga – 2010</w:t>
      </w:r>
    </w:p>
    <w:p w14:paraId="35EB4AAB" w14:textId="77777777" w:rsidR="00F56AB8" w:rsidRPr="0026351E" w:rsidRDefault="00F56AB8" w:rsidP="00F56AB8">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noProof/>
          <w:sz w:val="24"/>
          <w:szCs w:val="24"/>
        </w:rPr>
        <mc:AlternateContent>
          <mc:Choice Requires="wpg">
            <w:drawing>
              <wp:anchor distT="0" distB="0" distL="114300" distR="114300" simplePos="0" relativeHeight="251660288" behindDoc="0" locked="0" layoutInCell="1" allowOverlap="1" wp14:anchorId="3EB4FC8A" wp14:editId="459B9351">
                <wp:simplePos x="0" y="0"/>
                <wp:positionH relativeFrom="column">
                  <wp:posOffset>321945</wp:posOffset>
                </wp:positionH>
                <wp:positionV relativeFrom="paragraph">
                  <wp:posOffset>1813560</wp:posOffset>
                </wp:positionV>
                <wp:extent cx="1470660" cy="1264920"/>
                <wp:effectExtent l="0" t="0" r="15240" b="11430"/>
                <wp:wrapNone/>
                <wp:docPr id="22" name="Agrupar 22"/>
                <wp:cNvGraphicFramePr/>
                <a:graphic xmlns:a="http://schemas.openxmlformats.org/drawingml/2006/main">
                  <a:graphicData uri="http://schemas.microsoft.com/office/word/2010/wordprocessingGroup">
                    <wpg:wgp>
                      <wpg:cNvGrpSpPr/>
                      <wpg:grpSpPr>
                        <a:xfrm>
                          <a:off x="0" y="0"/>
                          <a:ext cx="1470660" cy="1264920"/>
                          <a:chOff x="0" y="0"/>
                          <a:chExt cx="2181749" cy="2009775"/>
                        </a:xfrm>
                      </wpg:grpSpPr>
                      <wps:wsp>
                        <wps:cNvPr id="17" name="Caixa de Texto 2"/>
                        <wps:cNvSpPr txBox="1">
                          <a:spLocks noChangeArrowheads="1"/>
                        </wps:cNvSpPr>
                        <wps:spPr bwMode="auto">
                          <a:xfrm>
                            <a:off x="0" y="0"/>
                            <a:ext cx="520002" cy="423748"/>
                          </a:xfrm>
                          <a:prstGeom prst="rect">
                            <a:avLst/>
                          </a:prstGeom>
                          <a:solidFill>
                            <a:srgbClr val="FFFFFF"/>
                          </a:solidFill>
                          <a:ln w="9525">
                            <a:solidFill>
                              <a:schemeClr val="bg1">
                                <a:lumMod val="75000"/>
                              </a:schemeClr>
                            </a:solidFill>
                            <a:miter lim="800000"/>
                            <a:headEnd/>
                            <a:tailEnd/>
                          </a:ln>
                        </wps:spPr>
                        <wps:txbx>
                          <w:txbxContent>
                            <w:p w14:paraId="7719DD5C" w14:textId="77777777" w:rsidR="00F56AB8" w:rsidRPr="0043043D" w:rsidRDefault="00F56AB8" w:rsidP="00F56AB8">
                              <w:pPr>
                                <w:jc w:val="center"/>
                                <w:rPr>
                                  <w:rFonts w:ascii="Times New Roman" w:hAnsi="Times New Roman" w:cs="Times New Roman"/>
                                  <w:sz w:val="18"/>
                                  <w:szCs w:val="18"/>
                                </w:rPr>
                              </w:pPr>
                              <w:r w:rsidRPr="0043043D">
                                <w:rPr>
                                  <w:rFonts w:ascii="Times New Roman" w:hAnsi="Times New Roman" w:cs="Times New Roman"/>
                                  <w:sz w:val="18"/>
                                  <w:szCs w:val="18"/>
                                </w:rPr>
                                <w:t>Q4</w:t>
                              </w:r>
                            </w:p>
                          </w:txbxContent>
                        </wps:txbx>
                        <wps:bodyPr rot="0" vert="horz" wrap="square" lIns="91440" tIns="45720" rIns="91440" bIns="45720" anchor="t" anchorCtr="0">
                          <a:noAutofit/>
                        </wps:bodyPr>
                      </wps:wsp>
                      <wps:wsp>
                        <wps:cNvPr id="18" name="Caixa de Texto 2"/>
                        <wps:cNvSpPr txBox="1">
                          <a:spLocks noChangeArrowheads="1"/>
                        </wps:cNvSpPr>
                        <wps:spPr bwMode="auto">
                          <a:xfrm>
                            <a:off x="1600200" y="0"/>
                            <a:ext cx="558940" cy="411641"/>
                          </a:xfrm>
                          <a:prstGeom prst="rect">
                            <a:avLst/>
                          </a:prstGeom>
                          <a:solidFill>
                            <a:srgbClr val="FFFFFF"/>
                          </a:solidFill>
                          <a:ln w="9525">
                            <a:solidFill>
                              <a:schemeClr val="bg1">
                                <a:lumMod val="75000"/>
                              </a:schemeClr>
                            </a:solidFill>
                            <a:miter lim="800000"/>
                            <a:headEnd/>
                            <a:tailEnd/>
                          </a:ln>
                        </wps:spPr>
                        <wps:txbx>
                          <w:txbxContent>
                            <w:p w14:paraId="6BFC8F12" w14:textId="77777777" w:rsidR="00F56AB8" w:rsidRPr="0043043D" w:rsidRDefault="00F56AB8" w:rsidP="00F56AB8">
                              <w:pPr>
                                <w:jc w:val="center"/>
                                <w:rPr>
                                  <w:rFonts w:ascii="Times New Roman" w:hAnsi="Times New Roman" w:cs="Times New Roman"/>
                                  <w:sz w:val="18"/>
                                  <w:szCs w:val="18"/>
                                </w:rPr>
                              </w:pPr>
                              <w:r w:rsidRPr="0043043D">
                                <w:rPr>
                                  <w:rFonts w:ascii="Times New Roman" w:hAnsi="Times New Roman" w:cs="Times New Roman"/>
                                  <w:sz w:val="18"/>
                                  <w:szCs w:val="18"/>
                                </w:rPr>
                                <w:t>Q1</w:t>
                              </w:r>
                            </w:p>
                          </w:txbxContent>
                        </wps:txbx>
                        <wps:bodyPr rot="0" vert="horz" wrap="square" lIns="91440" tIns="45720" rIns="91440" bIns="45720" anchor="t" anchorCtr="0">
                          <a:noAutofit/>
                        </wps:bodyPr>
                      </wps:wsp>
                      <wps:wsp>
                        <wps:cNvPr id="19" name="Caixa de Texto 2"/>
                        <wps:cNvSpPr txBox="1">
                          <a:spLocks noChangeArrowheads="1"/>
                        </wps:cNvSpPr>
                        <wps:spPr bwMode="auto">
                          <a:xfrm>
                            <a:off x="1600200" y="1598134"/>
                            <a:ext cx="581549" cy="411641"/>
                          </a:xfrm>
                          <a:prstGeom prst="rect">
                            <a:avLst/>
                          </a:prstGeom>
                          <a:solidFill>
                            <a:srgbClr val="FFFFFF"/>
                          </a:solidFill>
                          <a:ln w="9525">
                            <a:solidFill>
                              <a:schemeClr val="bg1">
                                <a:lumMod val="75000"/>
                              </a:schemeClr>
                            </a:solidFill>
                            <a:miter lim="800000"/>
                            <a:headEnd/>
                            <a:tailEnd/>
                          </a:ln>
                        </wps:spPr>
                        <wps:txbx>
                          <w:txbxContent>
                            <w:p w14:paraId="32C6AB9A" w14:textId="77777777" w:rsidR="00F56AB8" w:rsidRPr="0043043D" w:rsidRDefault="00F56AB8" w:rsidP="00F56AB8">
                              <w:pPr>
                                <w:jc w:val="center"/>
                                <w:rPr>
                                  <w:rFonts w:ascii="Times New Roman" w:hAnsi="Times New Roman" w:cs="Times New Roman"/>
                                  <w:sz w:val="18"/>
                                  <w:szCs w:val="18"/>
                                </w:rPr>
                              </w:pPr>
                              <w:r w:rsidRPr="0043043D">
                                <w:rPr>
                                  <w:rFonts w:ascii="Times New Roman" w:hAnsi="Times New Roman" w:cs="Times New Roman"/>
                                  <w:sz w:val="18"/>
                                  <w:szCs w:val="18"/>
                                </w:rPr>
                                <w:t>Q3</w:t>
                              </w:r>
                            </w:p>
                          </w:txbxContent>
                        </wps:txbx>
                        <wps:bodyPr rot="0" vert="horz" wrap="square" lIns="91440" tIns="45720" rIns="91440" bIns="45720" anchor="t" anchorCtr="0">
                          <a:noAutofit/>
                        </wps:bodyPr>
                      </wps:wsp>
                      <wps:wsp>
                        <wps:cNvPr id="21" name="Caixa de Texto 2"/>
                        <wps:cNvSpPr txBox="1">
                          <a:spLocks noChangeArrowheads="1"/>
                        </wps:cNvSpPr>
                        <wps:spPr bwMode="auto">
                          <a:xfrm>
                            <a:off x="11304" y="1561813"/>
                            <a:ext cx="542611" cy="435855"/>
                          </a:xfrm>
                          <a:prstGeom prst="rect">
                            <a:avLst/>
                          </a:prstGeom>
                          <a:solidFill>
                            <a:srgbClr val="FFFFFF"/>
                          </a:solidFill>
                          <a:ln w="9525">
                            <a:solidFill>
                              <a:schemeClr val="bg1">
                                <a:lumMod val="75000"/>
                              </a:schemeClr>
                            </a:solidFill>
                            <a:miter lim="800000"/>
                            <a:headEnd/>
                            <a:tailEnd/>
                          </a:ln>
                        </wps:spPr>
                        <wps:txbx>
                          <w:txbxContent>
                            <w:p w14:paraId="6CC95F5E" w14:textId="77777777" w:rsidR="00F56AB8" w:rsidRPr="0043043D" w:rsidRDefault="00F56AB8" w:rsidP="00F56AB8">
                              <w:pPr>
                                <w:jc w:val="center"/>
                                <w:rPr>
                                  <w:rFonts w:ascii="Times New Roman" w:hAnsi="Times New Roman" w:cs="Times New Roman"/>
                                  <w:sz w:val="18"/>
                                  <w:szCs w:val="18"/>
                                </w:rPr>
                              </w:pPr>
                              <w:r w:rsidRPr="0043043D">
                                <w:rPr>
                                  <w:rFonts w:ascii="Times New Roman" w:hAnsi="Times New Roman" w:cs="Times New Roman"/>
                                  <w:sz w:val="18"/>
                                  <w:szCs w:val="18"/>
                                </w:rPr>
                                <w:t>Q2</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EB4FC8A" id="Agrupar 22" o:spid="_x0000_s1036" style="position:absolute;left:0;text-align:left;margin-left:25.35pt;margin-top:142.8pt;width:115.8pt;height:99.6pt;z-index:251660288;mso-width-relative:margin;mso-height-relative:margin" coordsize="21817,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">
                <v:shape id="Caixa de Texto 2" o:spid="_x0000_s1037" type="#_x0000_t202" style="position:absolute;width:5200;height:4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" strokecolor="#bfbfbf [2412]">
                  <v:textbox>
                    <w:txbxContent>
                      <w:p w14:paraId="7719DD5C" w14:textId="77777777" w:rsidR="00F56AB8" w:rsidRPr="0043043D" w:rsidRDefault="00F56AB8" w:rsidP="00F56AB8">
                        <w:pPr>
                          <w:jc w:val="center"/>
                          <w:rPr>
                            <w:rFonts w:ascii="Times New Roman" w:hAnsi="Times New Roman" w:cs="Times New Roman"/>
                            <w:sz w:val="18"/>
                            <w:szCs w:val="18"/>
                          </w:rPr>
                        </w:pPr>
                        <w:r w:rsidRPr="0043043D">
                          <w:rPr>
                            <w:rFonts w:ascii="Times New Roman" w:hAnsi="Times New Roman" w:cs="Times New Roman"/>
                            <w:sz w:val="18"/>
                            <w:szCs w:val="18"/>
                          </w:rPr>
                          <w:t>Q4</w:t>
                        </w:r>
                      </w:p>
                    </w:txbxContent>
                  </v:textbox>
                </v:shape>
                <v:shape id="Caixa de Texto 2" o:spid="_x0000_s1038" type="#_x0000_t202" style="position:absolute;left:16002;width:5589;height: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" strokecolor="#bfbfbf [2412]">
                  <v:textbox>
                    <w:txbxContent>
                      <w:p w14:paraId="6BFC8F12" w14:textId="77777777" w:rsidR="00F56AB8" w:rsidRPr="0043043D" w:rsidRDefault="00F56AB8" w:rsidP="00F56AB8">
                        <w:pPr>
                          <w:jc w:val="center"/>
                          <w:rPr>
                            <w:rFonts w:ascii="Times New Roman" w:hAnsi="Times New Roman" w:cs="Times New Roman"/>
                            <w:sz w:val="18"/>
                            <w:szCs w:val="18"/>
                          </w:rPr>
                        </w:pPr>
                        <w:r w:rsidRPr="0043043D">
                          <w:rPr>
                            <w:rFonts w:ascii="Times New Roman" w:hAnsi="Times New Roman" w:cs="Times New Roman"/>
                            <w:sz w:val="18"/>
                            <w:szCs w:val="18"/>
                          </w:rPr>
                          <w:t>Q1</w:t>
                        </w:r>
                      </w:p>
                    </w:txbxContent>
                  </v:textbox>
                </v:shape>
                <v:shape id="Caixa de Texto 2" o:spid="_x0000_s1039" type="#_x0000_t202" style="position:absolute;left:16002;top:15981;width:5815;height: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" strokecolor="#bfbfbf [2412]">
                  <v:textbox>
                    <w:txbxContent>
                      <w:p w14:paraId="32C6AB9A" w14:textId="77777777" w:rsidR="00F56AB8" w:rsidRPr="0043043D" w:rsidRDefault="00F56AB8" w:rsidP="00F56AB8">
                        <w:pPr>
                          <w:jc w:val="center"/>
                          <w:rPr>
                            <w:rFonts w:ascii="Times New Roman" w:hAnsi="Times New Roman" w:cs="Times New Roman"/>
                            <w:sz w:val="18"/>
                            <w:szCs w:val="18"/>
                          </w:rPr>
                        </w:pPr>
                        <w:r w:rsidRPr="0043043D">
                          <w:rPr>
                            <w:rFonts w:ascii="Times New Roman" w:hAnsi="Times New Roman" w:cs="Times New Roman"/>
                            <w:sz w:val="18"/>
                            <w:szCs w:val="18"/>
                          </w:rPr>
                          <w:t>Q3</w:t>
                        </w:r>
                      </w:p>
                    </w:txbxContent>
                  </v:textbox>
                </v:shape>
                <v:shape id="Caixa de Texto 2" o:spid="_x0000_s1040" type="#_x0000_t202" style="position:absolute;left:113;top:15618;width:5426;height:4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" strokecolor="#bfbfbf [2412]">
                  <v:textbox>
                    <w:txbxContent>
                      <w:p w14:paraId="6CC95F5E" w14:textId="77777777" w:rsidR="00F56AB8" w:rsidRPr="0043043D" w:rsidRDefault="00F56AB8" w:rsidP="00F56AB8">
                        <w:pPr>
                          <w:jc w:val="center"/>
                          <w:rPr>
                            <w:rFonts w:ascii="Times New Roman" w:hAnsi="Times New Roman" w:cs="Times New Roman"/>
                            <w:sz w:val="18"/>
                            <w:szCs w:val="18"/>
                          </w:rPr>
                        </w:pPr>
                        <w:r w:rsidRPr="0043043D">
                          <w:rPr>
                            <w:rFonts w:ascii="Times New Roman" w:hAnsi="Times New Roman" w:cs="Times New Roman"/>
                            <w:sz w:val="18"/>
                            <w:szCs w:val="18"/>
                          </w:rPr>
                          <w:t>Q2</w:t>
                        </w:r>
                      </w:p>
                    </w:txbxContent>
                  </v:textbox>
                </v:shape>
              </v:group>
            </w:pict>
          </mc:Fallback>
        </mc:AlternateContent>
      </w:r>
      <w:r w:rsidRPr="0026351E">
        <w:rPr>
          <w:rFonts w:ascii="Times New Roman" w:hAnsi="Times New Roman" w:cs="Times New Roman"/>
          <w:b/>
          <w:bCs/>
          <w:noProof/>
          <w:sz w:val="24"/>
          <w:szCs w:val="24"/>
        </w:rPr>
        <w:drawing>
          <wp:inline distT="0" distB="0" distL="0" distR="0" wp14:anchorId="4D53D75B" wp14:editId="24799068">
            <wp:extent cx="1790700" cy="1891941"/>
            <wp:effectExtent l="0" t="0" r="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m 31"/>
                    <pic:cNvPicPr/>
                  </pic:nvPicPr>
                  <pic:blipFill rotWithShape="1">
                    <a:blip r:embed="rId15">
                      <a:extLst>
                        <a:ext uri="{28A0092B-C50C-407E-A947-70E740481C1C}">
                          <a14:useLocalDpi xmlns:a14="http://schemas.microsoft.com/office/drawing/2010/main" val="0"/>
                        </a:ext>
                      </a:extLst>
                    </a:blip>
                    <a:srcRect l="26097" r="26256"/>
                    <a:stretch/>
                  </pic:blipFill>
                  <pic:spPr bwMode="auto">
                    <a:xfrm>
                      <a:off x="0" y="0"/>
                      <a:ext cx="1805310" cy="1907377"/>
                    </a:xfrm>
                    <a:prstGeom prst="rect">
                      <a:avLst/>
                    </a:prstGeom>
                    <a:ln>
                      <a:noFill/>
                    </a:ln>
                    <a:extLst>
                      <a:ext uri="{53640926-AAD7-44D8-BBD7-CCE9431645EC}">
                        <a14:shadowObscured xmlns:a14="http://schemas.microsoft.com/office/drawing/2010/main"/>
                      </a:ext>
                    </a:extLst>
                  </pic:spPr>
                </pic:pic>
              </a:graphicData>
            </a:graphic>
          </wp:inline>
        </w:drawing>
      </w:r>
      <w:r w:rsidRPr="0026351E">
        <w:rPr>
          <w:rFonts w:ascii="Times New Roman" w:hAnsi="Times New Roman" w:cs="Times New Roman"/>
          <w:b/>
          <w:bCs/>
          <w:noProof/>
          <w:sz w:val="24"/>
          <w:szCs w:val="24"/>
        </w:rPr>
        <w:drawing>
          <wp:inline distT="0" distB="0" distL="0" distR="0" wp14:anchorId="66A5B128" wp14:editId="325D1256">
            <wp:extent cx="2862951" cy="3436620"/>
            <wp:effectExtent l="0" t="0" r="0"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96733" cy="3477172"/>
                    </a:xfrm>
                    <a:prstGeom prst="rect">
                      <a:avLst/>
                    </a:prstGeom>
                  </pic:spPr>
                </pic:pic>
              </a:graphicData>
            </a:graphic>
          </wp:inline>
        </w:drawing>
      </w:r>
    </w:p>
    <w:p w14:paraId="1E9C5A77" w14:textId="77777777" w:rsidR="00F56AB8" w:rsidRPr="0026351E" w:rsidRDefault="00F56AB8" w:rsidP="00F56AB8">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Fonte: IBGE, Censo Demográfico de 2010</w:t>
      </w:r>
    </w:p>
    <w:p w14:paraId="23893E7B" w14:textId="77777777" w:rsidR="0026351E" w:rsidRPr="0026351E" w:rsidRDefault="00F56AB8" w:rsidP="00F56AB8">
      <w:pPr>
        <w:spacing w:after="0" w:line="36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ab/>
      </w:r>
    </w:p>
    <w:p w14:paraId="6F47409F" w14:textId="5436454D" w:rsidR="00F56AB8" w:rsidRPr="0026351E" w:rsidRDefault="00F56AB8" w:rsidP="0026351E">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Embora o Índice Global tenha sido próximo a zero (0,056), ele não invalida a análise do Índice Local de Moran, que já é uma forma de analisar as dependências espaciais locais quando se está trabalhando </w:t>
      </w:r>
      <w:r w:rsidR="00030C87" w:rsidRPr="00030C87">
        <w:rPr>
          <w:rFonts w:ascii="Times New Roman" w:hAnsi="Times New Roman" w:cs="Times New Roman"/>
          <w:sz w:val="24"/>
          <w:szCs w:val="24"/>
        </w:rPr>
        <w:t>com significativo número de áreas (1.172 municípios)</w:t>
      </w:r>
      <w:r w:rsidRPr="0026351E">
        <w:rPr>
          <w:rFonts w:ascii="Times New Roman" w:hAnsi="Times New Roman" w:cs="Times New Roman"/>
          <w:sz w:val="24"/>
          <w:szCs w:val="24"/>
        </w:rPr>
        <w:t xml:space="preserve">. Quando se tem um </w:t>
      </w:r>
      <w:r w:rsidRPr="0026351E">
        <w:rPr>
          <w:rFonts w:ascii="Times New Roman" w:hAnsi="Times New Roman" w:cs="Times New Roman"/>
          <w:sz w:val="24"/>
          <w:szCs w:val="24"/>
        </w:rPr>
        <w:lastRenderedPageBreak/>
        <w:t xml:space="preserve">número muito grande de áreas é provável que se observe “[...] diferentes regimes de associação espacial e que apareçam máximos locais de autocorreção espacial, onde a dependência espacial é ainda mais pronunciada. Assim, muitas vezes é desejável examinar padrões em maior detalhe” (CÂMARA et al., 2004, p. 21). </w:t>
      </w:r>
    </w:p>
    <w:p w14:paraId="1B871936" w14:textId="4FF7FB37" w:rsidR="00F56AB8" w:rsidRPr="0026351E" w:rsidRDefault="00F56AB8" w:rsidP="00F56AB8">
      <w:pPr>
        <w:autoSpaceDE w:val="0"/>
        <w:autoSpaceDN w:val="0"/>
        <w:adjustRightInd w:val="0"/>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Tomar o Índice Global como fim último não é o mais adequado, ainda mais considerando o número de áreas em análise</w:t>
      </w:r>
      <w:r w:rsidR="00030C87">
        <w:rPr>
          <w:rFonts w:ascii="Times New Roman" w:hAnsi="Times New Roman" w:cs="Times New Roman"/>
          <w:sz w:val="24"/>
          <w:szCs w:val="24"/>
        </w:rPr>
        <w:t xml:space="preserve">, </w:t>
      </w:r>
      <w:r w:rsidR="00030C87" w:rsidRPr="00030C87">
        <w:rPr>
          <w:rFonts w:ascii="Times New Roman" w:hAnsi="Times New Roman" w:cs="Times New Roman"/>
          <w:sz w:val="24"/>
          <w:szCs w:val="24"/>
        </w:rPr>
        <w:t>que é de</w:t>
      </w:r>
      <w:r w:rsidR="00C61E85">
        <w:rPr>
          <w:rFonts w:ascii="Times New Roman" w:hAnsi="Times New Roman" w:cs="Times New Roman"/>
          <w:sz w:val="24"/>
          <w:szCs w:val="24"/>
        </w:rPr>
        <w:t xml:space="preserve"> </w:t>
      </w:r>
      <w:r w:rsidR="00030C87" w:rsidRPr="00030C87">
        <w:rPr>
          <w:rFonts w:ascii="Times New Roman" w:hAnsi="Times New Roman" w:cs="Times New Roman"/>
          <w:sz w:val="24"/>
          <w:szCs w:val="24"/>
        </w:rPr>
        <w:t>1.172 municípios</w:t>
      </w:r>
      <w:r w:rsidR="00C61E85">
        <w:rPr>
          <w:rFonts w:ascii="Times New Roman" w:hAnsi="Times New Roman" w:cs="Times New Roman"/>
          <w:sz w:val="24"/>
          <w:szCs w:val="24"/>
        </w:rPr>
        <w:t xml:space="preserve"> delimitados pelo bioma Caatinga</w:t>
      </w:r>
      <w:r w:rsidRPr="0026351E">
        <w:rPr>
          <w:rFonts w:ascii="Times New Roman" w:hAnsi="Times New Roman" w:cs="Times New Roman"/>
          <w:sz w:val="24"/>
          <w:szCs w:val="24"/>
        </w:rPr>
        <w:t xml:space="preserve">. </w:t>
      </w:r>
      <w:r w:rsidR="00030C87">
        <w:rPr>
          <w:rFonts w:ascii="Times New Roman" w:hAnsi="Times New Roman" w:cs="Times New Roman"/>
          <w:sz w:val="24"/>
          <w:szCs w:val="24"/>
        </w:rPr>
        <w:t xml:space="preserve">Enquanto o </w:t>
      </w:r>
      <w:r w:rsidRPr="0026351E">
        <w:rPr>
          <w:rFonts w:ascii="Times New Roman" w:hAnsi="Times New Roman" w:cs="Times New Roman"/>
          <w:sz w:val="24"/>
          <w:szCs w:val="24"/>
        </w:rPr>
        <w:t>Índice Global de Moran gera apenas um único valor para toda a área, o Índice Local produz um valor pra cada área, e a partir deles calcula a identificação dos agrupamentos espaciais segundo um nível de significância estatística (CÂMARA et al., 2004).</w:t>
      </w:r>
    </w:p>
    <w:p w14:paraId="28DEF36D" w14:textId="7FA2CE18" w:rsidR="00F56AB8" w:rsidRPr="0026351E" w:rsidRDefault="00C61E85" w:rsidP="00F56AB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Dito isso, c</w:t>
      </w:r>
      <w:r w:rsidR="00F56AB8" w:rsidRPr="0026351E">
        <w:rPr>
          <w:rFonts w:ascii="Times New Roman" w:hAnsi="Times New Roman" w:cs="Times New Roman"/>
          <w:sz w:val="24"/>
          <w:szCs w:val="24"/>
        </w:rPr>
        <w:t xml:space="preserve">om destaque para o agrupamento Alto-Alto (Figura 4), em que constam municípios com valores altos do percentual da PIA que nunca migrou, vizinhos a municípios com valores também altos do percentual da PIA que reside em domicílios com cisternas, vê-se que estes </w:t>
      </w:r>
      <w:r w:rsidR="00F56AB8" w:rsidRPr="0026351E">
        <w:rPr>
          <w:rFonts w:ascii="Times New Roman" w:hAnsi="Times New Roman" w:cs="Times New Roman"/>
          <w:i/>
          <w:iCs/>
          <w:sz w:val="24"/>
          <w:szCs w:val="24"/>
        </w:rPr>
        <w:t>clusters</w:t>
      </w:r>
      <w:r w:rsidR="00F56AB8" w:rsidRPr="0026351E">
        <w:rPr>
          <w:rFonts w:ascii="Times New Roman" w:hAnsi="Times New Roman" w:cs="Times New Roman"/>
          <w:sz w:val="24"/>
          <w:szCs w:val="24"/>
        </w:rPr>
        <w:t xml:space="preserve"> estão concentrados na parte central da Caatinga que abrange trechos dos estados do Piauí, Bahia e Pernambuco. Outros também são identificados nos estados do Rio Grande do Norte, Paraíba e mais ao leste de Pernambuco, formando uma faixa próxima aos limites que delimitam a Caatinga. </w:t>
      </w:r>
    </w:p>
    <w:p w14:paraId="0C2D6907" w14:textId="4A0ECD95"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É, portanto, nessas zonas com correlação espacial Alto-Alto e significância estatística, que o fato de o sertanejo nunca ter migrado pode eventualmente ter sido influenciado pelo acesso as cisternas. Assim, apesar de o método empregado não permitir estabelecer relações de causalidade, ele aponta áreas que</w:t>
      </w:r>
      <w:r w:rsidR="0065406C">
        <w:rPr>
          <w:rFonts w:ascii="Times New Roman" w:hAnsi="Times New Roman" w:cs="Times New Roman"/>
          <w:sz w:val="24"/>
          <w:szCs w:val="24"/>
        </w:rPr>
        <w:t xml:space="preserve"> </w:t>
      </w:r>
      <w:r w:rsidRPr="0026351E">
        <w:rPr>
          <w:rFonts w:ascii="Times New Roman" w:hAnsi="Times New Roman" w:cs="Times New Roman"/>
          <w:sz w:val="24"/>
          <w:szCs w:val="24"/>
        </w:rPr>
        <w:t xml:space="preserve">merecem atenção especial. Dessa forma, é relevante conhecer a população desse </w:t>
      </w:r>
      <w:r w:rsidRPr="0026351E">
        <w:rPr>
          <w:rFonts w:ascii="Times New Roman" w:hAnsi="Times New Roman" w:cs="Times New Roman"/>
          <w:i/>
          <w:iCs/>
          <w:sz w:val="24"/>
          <w:szCs w:val="24"/>
        </w:rPr>
        <w:t>cluster</w:t>
      </w:r>
      <w:r w:rsidRPr="0026351E">
        <w:rPr>
          <w:rFonts w:ascii="Times New Roman" w:hAnsi="Times New Roman" w:cs="Times New Roman"/>
          <w:sz w:val="24"/>
          <w:szCs w:val="24"/>
        </w:rPr>
        <w:t xml:space="preserve">, não só para ter noção de sua composição, mas também porque suas características individuais são fatores que influenciam na inercia que as prendem ao seu local de residência (LEE, 1966). Portanto, analisa-se as características sociodemográficas e econômicas dos indivíduos que nunca migraram e que tem acesso a cisternas na zona rural dos municípios da Caatinga nas áreas reveladas pelo agrupamento Alto-Alto. </w:t>
      </w:r>
    </w:p>
    <w:p w14:paraId="4522EF82" w14:textId="77777777"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Para facilitar a análise, o agrupamento Alto-Alto foi dividido em quatro subgrupos, os quais foram denominados, respectivamente, pelo município que se destacou em número de população que nunca migrou. O primeiro diz respeito ao agrupamento 1) Casa Nova, município de destaque do </w:t>
      </w:r>
      <w:r w:rsidRPr="0026351E">
        <w:rPr>
          <w:rFonts w:ascii="Times New Roman" w:hAnsi="Times New Roman" w:cs="Times New Roman"/>
          <w:i/>
          <w:iCs/>
          <w:sz w:val="24"/>
          <w:szCs w:val="24"/>
        </w:rPr>
        <w:t>cluster</w:t>
      </w:r>
      <w:r w:rsidRPr="0026351E">
        <w:rPr>
          <w:rFonts w:ascii="Times New Roman" w:hAnsi="Times New Roman" w:cs="Times New Roman"/>
          <w:sz w:val="24"/>
          <w:szCs w:val="24"/>
        </w:rPr>
        <w:t xml:space="preserve"> verificado entre Piauí e Bahia; 2) Campo Redondo, do </w:t>
      </w:r>
      <w:r w:rsidRPr="0026351E">
        <w:rPr>
          <w:rFonts w:ascii="Times New Roman" w:hAnsi="Times New Roman" w:cs="Times New Roman"/>
          <w:i/>
          <w:iCs/>
          <w:sz w:val="24"/>
          <w:szCs w:val="24"/>
        </w:rPr>
        <w:t xml:space="preserve">cluster </w:t>
      </w:r>
      <w:r w:rsidRPr="0026351E">
        <w:rPr>
          <w:rFonts w:ascii="Times New Roman" w:hAnsi="Times New Roman" w:cs="Times New Roman"/>
          <w:sz w:val="24"/>
          <w:szCs w:val="24"/>
        </w:rPr>
        <w:t xml:space="preserve">no Rio </w:t>
      </w:r>
      <w:r w:rsidRPr="0026351E">
        <w:rPr>
          <w:rFonts w:ascii="Times New Roman" w:hAnsi="Times New Roman" w:cs="Times New Roman"/>
          <w:sz w:val="24"/>
          <w:szCs w:val="24"/>
        </w:rPr>
        <w:lastRenderedPageBreak/>
        <w:t xml:space="preserve">Grande do Norte; 3) Barra de Santa Rosa, do </w:t>
      </w:r>
      <w:r w:rsidRPr="0026351E">
        <w:rPr>
          <w:rFonts w:ascii="Times New Roman" w:hAnsi="Times New Roman" w:cs="Times New Roman"/>
          <w:i/>
          <w:iCs/>
          <w:sz w:val="24"/>
          <w:szCs w:val="24"/>
        </w:rPr>
        <w:t xml:space="preserve">cluster </w:t>
      </w:r>
      <w:r w:rsidRPr="0026351E">
        <w:rPr>
          <w:rFonts w:ascii="Times New Roman" w:hAnsi="Times New Roman" w:cs="Times New Roman"/>
          <w:sz w:val="24"/>
          <w:szCs w:val="24"/>
        </w:rPr>
        <w:t xml:space="preserve">na Paraíba; e 4) Araripina, do </w:t>
      </w:r>
      <w:r w:rsidRPr="0026351E">
        <w:rPr>
          <w:rFonts w:ascii="Times New Roman" w:hAnsi="Times New Roman" w:cs="Times New Roman"/>
          <w:i/>
          <w:iCs/>
          <w:sz w:val="24"/>
          <w:szCs w:val="24"/>
        </w:rPr>
        <w:t>cluster</w:t>
      </w:r>
      <w:r w:rsidRPr="0026351E">
        <w:rPr>
          <w:rFonts w:ascii="Times New Roman" w:hAnsi="Times New Roman" w:cs="Times New Roman"/>
          <w:sz w:val="24"/>
          <w:szCs w:val="24"/>
        </w:rPr>
        <w:t xml:space="preserve"> verificado no Pernambuco (Quadro 2). </w:t>
      </w:r>
    </w:p>
    <w:p w14:paraId="684B3061" w14:textId="77777777" w:rsidR="00F56AB8" w:rsidRPr="0026351E" w:rsidRDefault="00F56AB8" w:rsidP="00F56AB8">
      <w:pPr>
        <w:spacing w:after="0" w:line="360" w:lineRule="auto"/>
        <w:jc w:val="both"/>
        <w:rPr>
          <w:rFonts w:ascii="Times New Roman" w:hAnsi="Times New Roman" w:cs="Times New Roman"/>
          <w:sz w:val="24"/>
          <w:szCs w:val="24"/>
        </w:rPr>
      </w:pPr>
    </w:p>
    <w:p w14:paraId="278BF77F" w14:textId="77777777" w:rsidR="00F56AB8" w:rsidRPr="0026351E" w:rsidRDefault="00F56AB8" w:rsidP="00F56AB8">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t xml:space="preserve">Quadro 2: Municípios que compõe cada um dos agrupamentos do </w:t>
      </w:r>
      <w:r w:rsidRPr="0026351E">
        <w:rPr>
          <w:rFonts w:ascii="Times New Roman" w:hAnsi="Times New Roman" w:cs="Times New Roman"/>
          <w:b/>
          <w:bCs/>
          <w:i/>
          <w:iCs/>
          <w:sz w:val="24"/>
          <w:szCs w:val="24"/>
        </w:rPr>
        <w:t xml:space="preserve">cluster </w:t>
      </w:r>
      <w:r w:rsidRPr="0026351E">
        <w:rPr>
          <w:rFonts w:ascii="Times New Roman" w:hAnsi="Times New Roman" w:cs="Times New Roman"/>
          <w:b/>
          <w:bCs/>
          <w:sz w:val="24"/>
          <w:szCs w:val="24"/>
        </w:rPr>
        <w:t>Alto-Alto do LISA bivariado – Municípios da Caatinga - 2010</w:t>
      </w:r>
    </w:p>
    <w:tbl>
      <w:tblPr>
        <w:tblW w:w="9009" w:type="dxa"/>
        <w:tblCellMar>
          <w:left w:w="70" w:type="dxa"/>
          <w:right w:w="70" w:type="dxa"/>
        </w:tblCellMar>
        <w:tblLook w:val="04A0" w:firstRow="1" w:lastRow="0" w:firstColumn="1" w:lastColumn="0" w:noHBand="0" w:noVBand="1"/>
      </w:tblPr>
      <w:tblGrid>
        <w:gridCol w:w="2438"/>
        <w:gridCol w:w="2125"/>
        <w:gridCol w:w="2223"/>
        <w:gridCol w:w="2223"/>
      </w:tblGrid>
      <w:tr w:rsidR="00F56AB8" w:rsidRPr="0026351E" w14:paraId="268C130D" w14:textId="77777777" w:rsidTr="00F46115">
        <w:trPr>
          <w:trHeight w:val="459"/>
        </w:trPr>
        <w:tc>
          <w:tcPr>
            <w:tcW w:w="2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27916" w14:textId="77777777" w:rsidR="00F56AB8" w:rsidRPr="0026351E" w:rsidRDefault="00F56AB8" w:rsidP="00827FB4">
            <w:pPr>
              <w:spacing w:after="0" w:line="240" w:lineRule="auto"/>
              <w:jc w:val="center"/>
              <w:rPr>
                <w:rFonts w:ascii="Times New Roman" w:eastAsia="Times New Roman" w:hAnsi="Times New Roman" w:cs="Times New Roman"/>
                <w:b/>
                <w:bCs/>
                <w:color w:val="000000"/>
                <w:sz w:val="20"/>
                <w:szCs w:val="20"/>
                <w:lang w:eastAsia="pt-BR"/>
              </w:rPr>
            </w:pPr>
            <w:r w:rsidRPr="0026351E">
              <w:rPr>
                <w:rFonts w:ascii="Times New Roman" w:eastAsia="Times New Roman" w:hAnsi="Times New Roman" w:cs="Times New Roman"/>
                <w:b/>
                <w:bCs/>
                <w:color w:val="000000"/>
                <w:sz w:val="20"/>
                <w:szCs w:val="20"/>
                <w:lang w:eastAsia="pt-BR"/>
              </w:rPr>
              <w:t>Casa Nova</w:t>
            </w:r>
            <w:r w:rsidRPr="0026351E">
              <w:rPr>
                <w:rFonts w:ascii="Times New Roman" w:eastAsia="Times New Roman" w:hAnsi="Times New Roman" w:cs="Times New Roman"/>
                <w:b/>
                <w:bCs/>
                <w:color w:val="000000"/>
                <w:sz w:val="20"/>
                <w:szCs w:val="20"/>
                <w:lang w:eastAsia="pt-BR"/>
              </w:rPr>
              <w:br/>
              <w:t>(Cluster - Piauí/Bahia)</w:t>
            </w:r>
          </w:p>
        </w:tc>
        <w:tc>
          <w:tcPr>
            <w:tcW w:w="2125" w:type="dxa"/>
            <w:tcBorders>
              <w:top w:val="single" w:sz="4" w:space="0" w:color="auto"/>
              <w:left w:val="nil"/>
              <w:bottom w:val="single" w:sz="4" w:space="0" w:color="auto"/>
              <w:right w:val="single" w:sz="4" w:space="0" w:color="auto"/>
            </w:tcBorders>
            <w:shd w:val="clear" w:color="auto" w:fill="auto"/>
            <w:vAlign w:val="center"/>
            <w:hideMark/>
          </w:tcPr>
          <w:p w14:paraId="570C1270" w14:textId="77777777" w:rsidR="00F56AB8" w:rsidRPr="0026351E" w:rsidRDefault="00F56AB8" w:rsidP="00827FB4">
            <w:pPr>
              <w:spacing w:after="0" w:line="240" w:lineRule="auto"/>
              <w:jc w:val="center"/>
              <w:rPr>
                <w:rFonts w:ascii="Times New Roman" w:eastAsia="Times New Roman" w:hAnsi="Times New Roman" w:cs="Times New Roman"/>
                <w:b/>
                <w:bCs/>
                <w:color w:val="000000"/>
                <w:sz w:val="20"/>
                <w:szCs w:val="20"/>
                <w:lang w:eastAsia="pt-BR"/>
              </w:rPr>
            </w:pPr>
            <w:r w:rsidRPr="0026351E">
              <w:rPr>
                <w:rFonts w:ascii="Times New Roman" w:eastAsia="Times New Roman" w:hAnsi="Times New Roman" w:cs="Times New Roman"/>
                <w:b/>
                <w:bCs/>
                <w:color w:val="000000"/>
                <w:sz w:val="20"/>
                <w:szCs w:val="20"/>
                <w:lang w:eastAsia="pt-BR"/>
              </w:rPr>
              <w:t>Campo Redondo</w:t>
            </w:r>
            <w:r w:rsidRPr="0026351E">
              <w:rPr>
                <w:rFonts w:ascii="Times New Roman" w:eastAsia="Times New Roman" w:hAnsi="Times New Roman" w:cs="Times New Roman"/>
                <w:b/>
                <w:bCs/>
                <w:color w:val="000000"/>
                <w:sz w:val="20"/>
                <w:szCs w:val="20"/>
                <w:lang w:eastAsia="pt-BR"/>
              </w:rPr>
              <w:br/>
              <w:t>(Cluster - Rio Grande do Norte)</w:t>
            </w:r>
          </w:p>
        </w:tc>
        <w:tc>
          <w:tcPr>
            <w:tcW w:w="2223" w:type="dxa"/>
            <w:tcBorders>
              <w:top w:val="single" w:sz="4" w:space="0" w:color="auto"/>
              <w:left w:val="nil"/>
              <w:bottom w:val="single" w:sz="4" w:space="0" w:color="auto"/>
              <w:right w:val="single" w:sz="4" w:space="0" w:color="auto"/>
            </w:tcBorders>
            <w:shd w:val="clear" w:color="auto" w:fill="auto"/>
            <w:vAlign w:val="center"/>
            <w:hideMark/>
          </w:tcPr>
          <w:p w14:paraId="052C3D8A" w14:textId="77777777" w:rsidR="00F56AB8" w:rsidRPr="0026351E" w:rsidRDefault="00F56AB8" w:rsidP="00827FB4">
            <w:pPr>
              <w:spacing w:after="0" w:line="240" w:lineRule="auto"/>
              <w:jc w:val="center"/>
              <w:rPr>
                <w:rFonts w:ascii="Times New Roman" w:eastAsia="Times New Roman" w:hAnsi="Times New Roman" w:cs="Times New Roman"/>
                <w:b/>
                <w:bCs/>
                <w:color w:val="000000"/>
                <w:sz w:val="20"/>
                <w:szCs w:val="20"/>
                <w:lang w:eastAsia="pt-BR"/>
              </w:rPr>
            </w:pPr>
            <w:r w:rsidRPr="0026351E">
              <w:rPr>
                <w:rFonts w:ascii="Times New Roman" w:eastAsia="Times New Roman" w:hAnsi="Times New Roman" w:cs="Times New Roman"/>
                <w:b/>
                <w:bCs/>
                <w:color w:val="000000"/>
                <w:sz w:val="20"/>
                <w:szCs w:val="20"/>
                <w:lang w:eastAsia="pt-BR"/>
              </w:rPr>
              <w:t xml:space="preserve">Barra de Santa Rosa </w:t>
            </w:r>
            <w:r w:rsidRPr="0026351E">
              <w:rPr>
                <w:rFonts w:ascii="Times New Roman" w:eastAsia="Times New Roman" w:hAnsi="Times New Roman" w:cs="Times New Roman"/>
                <w:b/>
                <w:bCs/>
                <w:color w:val="000000"/>
                <w:sz w:val="20"/>
                <w:szCs w:val="20"/>
                <w:lang w:eastAsia="pt-BR"/>
              </w:rPr>
              <w:br/>
              <w:t>(Cluster - Paraíba)</w:t>
            </w:r>
          </w:p>
        </w:tc>
        <w:tc>
          <w:tcPr>
            <w:tcW w:w="2223" w:type="dxa"/>
            <w:tcBorders>
              <w:top w:val="single" w:sz="4" w:space="0" w:color="auto"/>
              <w:left w:val="nil"/>
              <w:bottom w:val="single" w:sz="4" w:space="0" w:color="auto"/>
              <w:right w:val="single" w:sz="4" w:space="0" w:color="auto"/>
            </w:tcBorders>
            <w:shd w:val="clear" w:color="auto" w:fill="auto"/>
            <w:vAlign w:val="center"/>
            <w:hideMark/>
          </w:tcPr>
          <w:p w14:paraId="0D418B5C" w14:textId="77777777" w:rsidR="00F56AB8" w:rsidRPr="0026351E" w:rsidRDefault="00F56AB8" w:rsidP="00827FB4">
            <w:pPr>
              <w:spacing w:after="0" w:line="240" w:lineRule="auto"/>
              <w:jc w:val="center"/>
              <w:rPr>
                <w:rFonts w:ascii="Times New Roman" w:eastAsia="Times New Roman" w:hAnsi="Times New Roman" w:cs="Times New Roman"/>
                <w:b/>
                <w:bCs/>
                <w:color w:val="000000"/>
                <w:sz w:val="20"/>
                <w:szCs w:val="20"/>
                <w:lang w:eastAsia="pt-BR"/>
              </w:rPr>
            </w:pPr>
            <w:r w:rsidRPr="0026351E">
              <w:rPr>
                <w:rFonts w:ascii="Times New Roman" w:eastAsia="Times New Roman" w:hAnsi="Times New Roman" w:cs="Times New Roman"/>
                <w:b/>
                <w:bCs/>
                <w:color w:val="000000"/>
                <w:sz w:val="20"/>
                <w:szCs w:val="20"/>
                <w:lang w:eastAsia="pt-BR"/>
              </w:rPr>
              <w:t xml:space="preserve">Araripina </w:t>
            </w:r>
            <w:r w:rsidRPr="0026351E">
              <w:rPr>
                <w:rFonts w:ascii="Times New Roman" w:eastAsia="Times New Roman" w:hAnsi="Times New Roman" w:cs="Times New Roman"/>
                <w:b/>
                <w:bCs/>
                <w:color w:val="000000"/>
                <w:sz w:val="20"/>
                <w:szCs w:val="20"/>
                <w:lang w:eastAsia="pt-BR"/>
              </w:rPr>
              <w:br/>
              <w:t>(Cluster - Pernambuco)</w:t>
            </w:r>
          </w:p>
        </w:tc>
      </w:tr>
      <w:tr w:rsidR="00F56AB8" w:rsidRPr="0026351E" w14:paraId="59B6B2E5" w14:textId="77777777" w:rsidTr="00F46115">
        <w:trPr>
          <w:trHeight w:val="794"/>
        </w:trPr>
        <w:tc>
          <w:tcPr>
            <w:tcW w:w="2438" w:type="dxa"/>
            <w:tcBorders>
              <w:top w:val="nil"/>
              <w:left w:val="single" w:sz="4" w:space="0" w:color="auto"/>
              <w:bottom w:val="single" w:sz="4" w:space="0" w:color="auto"/>
              <w:right w:val="single" w:sz="4" w:space="0" w:color="auto"/>
            </w:tcBorders>
            <w:shd w:val="clear" w:color="auto" w:fill="auto"/>
            <w:hideMark/>
          </w:tcPr>
          <w:p w14:paraId="66C3B043" w14:textId="77777777" w:rsidR="00F56AB8" w:rsidRPr="005917BC" w:rsidRDefault="00F56AB8" w:rsidP="00827FB4">
            <w:pPr>
              <w:spacing w:after="0" w:line="240" w:lineRule="auto"/>
              <w:jc w:val="both"/>
              <w:rPr>
                <w:rFonts w:ascii="Times New Roman" w:eastAsia="Times New Roman" w:hAnsi="Times New Roman" w:cs="Times New Roman"/>
                <w:color w:val="000000"/>
                <w:sz w:val="18"/>
                <w:szCs w:val="18"/>
                <w:lang w:eastAsia="pt-BR"/>
              </w:rPr>
            </w:pPr>
            <w:r w:rsidRPr="005917BC">
              <w:rPr>
                <w:rFonts w:ascii="Times New Roman" w:eastAsia="Times New Roman" w:hAnsi="Times New Roman" w:cs="Times New Roman"/>
                <w:color w:val="000000"/>
                <w:sz w:val="18"/>
                <w:szCs w:val="18"/>
                <w:lang w:eastAsia="pt-BR"/>
              </w:rPr>
              <w:t xml:space="preserve">Acauã; Alegrete do Piauí; Anísio de Abreu; Betânia do Piauí; Bonfim do Piauí; Caldeirão Grande do Piauí; Campo Alegre Fidalgo; Capitão Gervásio Oliveira; Caridade do Piauí;  Coronel José Dias; Curral Novo do Piauí; Dirceu Arcoverde; Dom Inocêncio; Fartura do Piauí; Francisco Macedo; Jacobina do Piauí; Jurema; Lagoa do Barro do Piauí; Massapê do Piauí; Padre Marcos; Paulistana; Queimada Nova; São Braz do Piauí; São Francisco de Assis Do Piauí; São Lourenço do Piauí; São Raimundo Nonato; Simões; Várzea Branca; Baixa Grande; Boa Nova; Caetanos; Campo Alegre de Lourdes; Cansanção; Capela do Alto Alegre; Caraíbas; Casa Nova; Conceição do Coité; </w:t>
            </w:r>
            <w:proofErr w:type="spellStart"/>
            <w:r w:rsidRPr="005917BC">
              <w:rPr>
                <w:rFonts w:ascii="Times New Roman" w:eastAsia="Times New Roman" w:hAnsi="Times New Roman" w:cs="Times New Roman"/>
                <w:color w:val="000000"/>
                <w:sz w:val="18"/>
                <w:szCs w:val="18"/>
                <w:lang w:eastAsia="pt-BR"/>
              </w:rPr>
              <w:t>Iaçú</w:t>
            </w:r>
            <w:proofErr w:type="spellEnd"/>
            <w:r w:rsidRPr="005917BC">
              <w:rPr>
                <w:rFonts w:ascii="Times New Roman" w:eastAsia="Times New Roman" w:hAnsi="Times New Roman" w:cs="Times New Roman"/>
                <w:color w:val="000000"/>
                <w:sz w:val="18"/>
                <w:szCs w:val="18"/>
                <w:lang w:eastAsia="pt-BR"/>
              </w:rPr>
              <w:t xml:space="preserve">; Ipirá; Jeremoabo; </w:t>
            </w:r>
            <w:proofErr w:type="spellStart"/>
            <w:r w:rsidRPr="005917BC">
              <w:rPr>
                <w:rFonts w:ascii="Times New Roman" w:eastAsia="Times New Roman" w:hAnsi="Times New Roman" w:cs="Times New Roman"/>
                <w:color w:val="000000"/>
                <w:sz w:val="18"/>
                <w:szCs w:val="18"/>
                <w:lang w:eastAsia="pt-BR"/>
              </w:rPr>
              <w:t>Lajedinho</w:t>
            </w:r>
            <w:proofErr w:type="spellEnd"/>
            <w:r w:rsidRPr="005917BC">
              <w:rPr>
                <w:rFonts w:ascii="Times New Roman" w:eastAsia="Times New Roman" w:hAnsi="Times New Roman" w:cs="Times New Roman"/>
                <w:color w:val="000000"/>
                <w:sz w:val="18"/>
                <w:szCs w:val="18"/>
                <w:lang w:eastAsia="pt-BR"/>
              </w:rPr>
              <w:t>; Macajuba; Mairi; Maracás; Mundo Novo; Paripiranga; Pintadas; Planalto; Remanso; Riachão do Jacuípe; Ruy Barbosa; Santaluz; Sento Sé; Tanhaçu; Uauá; Valente</w:t>
            </w:r>
          </w:p>
        </w:tc>
        <w:tc>
          <w:tcPr>
            <w:tcW w:w="2125" w:type="dxa"/>
            <w:tcBorders>
              <w:top w:val="nil"/>
              <w:left w:val="nil"/>
              <w:bottom w:val="single" w:sz="4" w:space="0" w:color="auto"/>
              <w:right w:val="single" w:sz="4" w:space="0" w:color="auto"/>
            </w:tcBorders>
            <w:shd w:val="clear" w:color="auto" w:fill="auto"/>
            <w:hideMark/>
          </w:tcPr>
          <w:p w14:paraId="7C4DF2AC" w14:textId="77777777" w:rsidR="00F56AB8" w:rsidRPr="005917BC" w:rsidRDefault="00F56AB8" w:rsidP="00827FB4">
            <w:pPr>
              <w:spacing w:after="0" w:line="240" w:lineRule="auto"/>
              <w:jc w:val="both"/>
              <w:rPr>
                <w:rFonts w:ascii="Times New Roman" w:eastAsia="Times New Roman" w:hAnsi="Times New Roman" w:cs="Times New Roman"/>
                <w:color w:val="000000"/>
                <w:sz w:val="18"/>
                <w:szCs w:val="18"/>
                <w:lang w:eastAsia="pt-BR"/>
              </w:rPr>
            </w:pPr>
            <w:r w:rsidRPr="005917BC">
              <w:rPr>
                <w:rFonts w:ascii="Times New Roman" w:eastAsia="Times New Roman" w:hAnsi="Times New Roman" w:cs="Times New Roman"/>
                <w:color w:val="000000"/>
                <w:sz w:val="18"/>
                <w:szCs w:val="18"/>
                <w:lang w:eastAsia="pt-BR"/>
              </w:rPr>
              <w:t xml:space="preserve">Angicos; Caiçara do Rio do Vento; Campo Redondo; Cerro Corá; Fernando </w:t>
            </w:r>
            <w:proofErr w:type="spellStart"/>
            <w:r w:rsidRPr="005917BC">
              <w:rPr>
                <w:rFonts w:ascii="Times New Roman" w:eastAsia="Times New Roman" w:hAnsi="Times New Roman" w:cs="Times New Roman"/>
                <w:color w:val="000000"/>
                <w:sz w:val="18"/>
                <w:szCs w:val="18"/>
                <w:lang w:eastAsia="pt-BR"/>
              </w:rPr>
              <w:t>Pedroza</w:t>
            </w:r>
            <w:proofErr w:type="spellEnd"/>
            <w:r w:rsidRPr="005917BC">
              <w:rPr>
                <w:rFonts w:ascii="Times New Roman" w:eastAsia="Times New Roman" w:hAnsi="Times New Roman" w:cs="Times New Roman"/>
                <w:color w:val="000000"/>
                <w:sz w:val="18"/>
                <w:szCs w:val="18"/>
                <w:lang w:eastAsia="pt-BR"/>
              </w:rPr>
              <w:t>; Japi; Lajes Pintadas; Passa e Fica; Santa Maria; Pedra Preta; Santa Cruz; Santana do Matos; Santo Antônio; São José do Campestre; São Tomé; Serra de São Bento; Tangará</w:t>
            </w:r>
          </w:p>
        </w:tc>
        <w:tc>
          <w:tcPr>
            <w:tcW w:w="2223" w:type="dxa"/>
            <w:tcBorders>
              <w:top w:val="nil"/>
              <w:left w:val="nil"/>
              <w:bottom w:val="single" w:sz="4" w:space="0" w:color="auto"/>
              <w:right w:val="single" w:sz="4" w:space="0" w:color="auto"/>
            </w:tcBorders>
            <w:shd w:val="clear" w:color="auto" w:fill="auto"/>
            <w:hideMark/>
          </w:tcPr>
          <w:p w14:paraId="5563A5BF" w14:textId="77777777" w:rsidR="00F56AB8" w:rsidRPr="005917BC" w:rsidRDefault="00F56AB8" w:rsidP="00827FB4">
            <w:pPr>
              <w:spacing w:after="0" w:line="240" w:lineRule="auto"/>
              <w:jc w:val="both"/>
              <w:rPr>
                <w:rFonts w:ascii="Times New Roman" w:eastAsia="Times New Roman" w:hAnsi="Times New Roman" w:cs="Times New Roman"/>
                <w:color w:val="000000"/>
                <w:sz w:val="18"/>
                <w:szCs w:val="18"/>
                <w:lang w:eastAsia="pt-BR"/>
              </w:rPr>
            </w:pPr>
            <w:r w:rsidRPr="005917BC">
              <w:rPr>
                <w:rFonts w:ascii="Times New Roman" w:eastAsia="Times New Roman" w:hAnsi="Times New Roman" w:cs="Times New Roman"/>
                <w:color w:val="000000"/>
                <w:sz w:val="18"/>
                <w:szCs w:val="18"/>
                <w:lang w:eastAsia="pt-BR"/>
              </w:rPr>
              <w:t xml:space="preserve">Alagoa Nova; Alcantil; Algodão De </w:t>
            </w:r>
            <w:proofErr w:type="spellStart"/>
            <w:r w:rsidRPr="005917BC">
              <w:rPr>
                <w:rFonts w:ascii="Times New Roman" w:eastAsia="Times New Roman" w:hAnsi="Times New Roman" w:cs="Times New Roman"/>
                <w:color w:val="000000"/>
                <w:sz w:val="18"/>
                <w:szCs w:val="18"/>
                <w:lang w:eastAsia="pt-BR"/>
              </w:rPr>
              <w:t>Jandaíra</w:t>
            </w:r>
            <w:proofErr w:type="spellEnd"/>
            <w:r w:rsidRPr="005917BC">
              <w:rPr>
                <w:rFonts w:ascii="Times New Roman" w:eastAsia="Times New Roman" w:hAnsi="Times New Roman" w:cs="Times New Roman"/>
                <w:color w:val="000000"/>
                <w:sz w:val="18"/>
                <w:szCs w:val="18"/>
                <w:lang w:eastAsia="pt-BR"/>
              </w:rPr>
              <w:t xml:space="preserve">; Araruna; Areia; Aroeiras; Bananeiras; Barra De Santana; Barra De Santa Rosa; Cacimba De Dentro; Campina Grande; </w:t>
            </w:r>
            <w:proofErr w:type="spellStart"/>
            <w:r w:rsidRPr="005917BC">
              <w:rPr>
                <w:rFonts w:ascii="Times New Roman" w:eastAsia="Times New Roman" w:hAnsi="Times New Roman" w:cs="Times New Roman"/>
                <w:color w:val="000000"/>
                <w:sz w:val="18"/>
                <w:szCs w:val="18"/>
                <w:lang w:eastAsia="pt-BR"/>
              </w:rPr>
              <w:t>Caturité</w:t>
            </w:r>
            <w:proofErr w:type="spellEnd"/>
            <w:r w:rsidRPr="005917BC">
              <w:rPr>
                <w:rFonts w:ascii="Times New Roman" w:eastAsia="Times New Roman" w:hAnsi="Times New Roman" w:cs="Times New Roman"/>
                <w:color w:val="000000"/>
                <w:sz w:val="18"/>
                <w:szCs w:val="18"/>
                <w:lang w:eastAsia="pt-BR"/>
              </w:rPr>
              <w:t xml:space="preserve">; </w:t>
            </w:r>
            <w:proofErr w:type="spellStart"/>
            <w:r w:rsidRPr="005917BC">
              <w:rPr>
                <w:rFonts w:ascii="Times New Roman" w:eastAsia="Times New Roman" w:hAnsi="Times New Roman" w:cs="Times New Roman"/>
                <w:color w:val="000000"/>
                <w:sz w:val="18"/>
                <w:szCs w:val="18"/>
                <w:lang w:eastAsia="pt-BR"/>
              </w:rPr>
              <w:t>Cubati</w:t>
            </w:r>
            <w:proofErr w:type="spellEnd"/>
            <w:r w:rsidRPr="005917BC">
              <w:rPr>
                <w:rFonts w:ascii="Times New Roman" w:eastAsia="Times New Roman" w:hAnsi="Times New Roman" w:cs="Times New Roman"/>
                <w:color w:val="000000"/>
                <w:sz w:val="18"/>
                <w:szCs w:val="18"/>
                <w:lang w:eastAsia="pt-BR"/>
              </w:rPr>
              <w:t xml:space="preserve">; Cuité; Dona Inês; Esperança; Fagundes; Gado Bravo; </w:t>
            </w:r>
            <w:proofErr w:type="spellStart"/>
            <w:r w:rsidRPr="005917BC">
              <w:rPr>
                <w:rFonts w:ascii="Times New Roman" w:eastAsia="Times New Roman" w:hAnsi="Times New Roman" w:cs="Times New Roman"/>
                <w:color w:val="000000"/>
                <w:sz w:val="18"/>
                <w:szCs w:val="18"/>
                <w:lang w:eastAsia="pt-BR"/>
              </w:rPr>
              <w:t>Gurjão</w:t>
            </w:r>
            <w:proofErr w:type="spellEnd"/>
            <w:r w:rsidRPr="005917BC">
              <w:rPr>
                <w:rFonts w:ascii="Times New Roman" w:eastAsia="Times New Roman" w:hAnsi="Times New Roman" w:cs="Times New Roman"/>
                <w:color w:val="000000"/>
                <w:sz w:val="18"/>
                <w:szCs w:val="18"/>
                <w:lang w:eastAsia="pt-BR"/>
              </w:rPr>
              <w:t xml:space="preserve">; Ingá; Juazeirinho; Junco Do Seridó; Matinhas; Olivedos; </w:t>
            </w:r>
            <w:proofErr w:type="spellStart"/>
            <w:r w:rsidRPr="005917BC">
              <w:rPr>
                <w:rFonts w:ascii="Times New Roman" w:eastAsia="Times New Roman" w:hAnsi="Times New Roman" w:cs="Times New Roman"/>
                <w:color w:val="000000"/>
                <w:sz w:val="18"/>
                <w:szCs w:val="18"/>
                <w:lang w:eastAsia="pt-BR"/>
              </w:rPr>
              <w:t>Parari</w:t>
            </w:r>
            <w:proofErr w:type="spellEnd"/>
            <w:r w:rsidRPr="005917BC">
              <w:rPr>
                <w:rFonts w:ascii="Times New Roman" w:eastAsia="Times New Roman" w:hAnsi="Times New Roman" w:cs="Times New Roman"/>
                <w:color w:val="000000"/>
                <w:sz w:val="18"/>
                <w:szCs w:val="18"/>
                <w:lang w:eastAsia="pt-BR"/>
              </w:rPr>
              <w:t xml:space="preserve">; Seridó; Serra Redonda; </w:t>
            </w:r>
            <w:proofErr w:type="spellStart"/>
            <w:r w:rsidRPr="005917BC">
              <w:rPr>
                <w:rFonts w:ascii="Times New Roman" w:eastAsia="Times New Roman" w:hAnsi="Times New Roman" w:cs="Times New Roman"/>
                <w:color w:val="000000"/>
                <w:sz w:val="18"/>
                <w:szCs w:val="18"/>
                <w:lang w:eastAsia="pt-BR"/>
              </w:rPr>
              <w:t>Tacima</w:t>
            </w:r>
            <w:proofErr w:type="spellEnd"/>
            <w:r w:rsidRPr="005917BC">
              <w:rPr>
                <w:rFonts w:ascii="Times New Roman" w:eastAsia="Times New Roman" w:hAnsi="Times New Roman" w:cs="Times New Roman"/>
                <w:color w:val="000000"/>
                <w:sz w:val="18"/>
                <w:szCs w:val="18"/>
                <w:lang w:eastAsia="pt-BR"/>
              </w:rPr>
              <w:t>; Taperoá; Tenório; Umbuzeiro</w:t>
            </w:r>
          </w:p>
        </w:tc>
        <w:tc>
          <w:tcPr>
            <w:tcW w:w="2223" w:type="dxa"/>
            <w:tcBorders>
              <w:top w:val="nil"/>
              <w:left w:val="nil"/>
              <w:bottom w:val="single" w:sz="4" w:space="0" w:color="auto"/>
              <w:right w:val="single" w:sz="4" w:space="0" w:color="auto"/>
            </w:tcBorders>
            <w:shd w:val="clear" w:color="auto" w:fill="auto"/>
            <w:hideMark/>
          </w:tcPr>
          <w:p w14:paraId="6ADA7490" w14:textId="77777777" w:rsidR="00F56AB8" w:rsidRPr="005917BC" w:rsidRDefault="00F56AB8" w:rsidP="00827FB4">
            <w:pPr>
              <w:spacing w:after="0" w:line="240" w:lineRule="auto"/>
              <w:jc w:val="both"/>
              <w:rPr>
                <w:rFonts w:ascii="Times New Roman" w:eastAsia="Times New Roman" w:hAnsi="Times New Roman" w:cs="Times New Roman"/>
                <w:color w:val="000000"/>
                <w:sz w:val="18"/>
                <w:szCs w:val="18"/>
                <w:lang w:eastAsia="pt-BR"/>
              </w:rPr>
            </w:pPr>
            <w:r w:rsidRPr="005917BC">
              <w:rPr>
                <w:rFonts w:ascii="Times New Roman" w:eastAsia="Times New Roman" w:hAnsi="Times New Roman" w:cs="Times New Roman"/>
                <w:color w:val="000000"/>
                <w:sz w:val="18"/>
                <w:szCs w:val="18"/>
                <w:lang w:eastAsia="pt-BR"/>
              </w:rPr>
              <w:t xml:space="preserve">Afrânio; Altinho; Araripina; Belo Jardim; Bodocó; Brejo da Madre de Deus; Cachoeirinha; Carnaubeira da Penha; Caruaru; Casinhas; Cumaru; Dormentes; Frei Miguelinho; Inajá; </w:t>
            </w:r>
            <w:proofErr w:type="spellStart"/>
            <w:r w:rsidRPr="005917BC">
              <w:rPr>
                <w:rFonts w:ascii="Times New Roman" w:eastAsia="Times New Roman" w:hAnsi="Times New Roman" w:cs="Times New Roman"/>
                <w:color w:val="000000"/>
                <w:sz w:val="18"/>
                <w:szCs w:val="18"/>
                <w:lang w:eastAsia="pt-BR"/>
              </w:rPr>
              <w:t>Jataúba</w:t>
            </w:r>
            <w:proofErr w:type="spellEnd"/>
            <w:r w:rsidRPr="005917BC">
              <w:rPr>
                <w:rFonts w:ascii="Times New Roman" w:eastAsia="Times New Roman" w:hAnsi="Times New Roman" w:cs="Times New Roman"/>
                <w:color w:val="000000"/>
                <w:sz w:val="18"/>
                <w:szCs w:val="18"/>
                <w:lang w:eastAsia="pt-BR"/>
              </w:rPr>
              <w:t xml:space="preserve">; Limoeiro; Ouricuri; Passira; Pesqueira; Riacho das Almas; Santa Cruz; Santa Filomena; São Bento do Uma; São Caitano; </w:t>
            </w:r>
            <w:proofErr w:type="spellStart"/>
            <w:r w:rsidRPr="005917BC">
              <w:rPr>
                <w:rFonts w:ascii="Times New Roman" w:eastAsia="Times New Roman" w:hAnsi="Times New Roman" w:cs="Times New Roman"/>
                <w:color w:val="000000"/>
                <w:sz w:val="18"/>
                <w:szCs w:val="18"/>
                <w:lang w:eastAsia="pt-BR"/>
              </w:rPr>
              <w:t>Serrita</w:t>
            </w:r>
            <w:proofErr w:type="spellEnd"/>
            <w:r w:rsidRPr="005917BC">
              <w:rPr>
                <w:rFonts w:ascii="Times New Roman" w:eastAsia="Times New Roman" w:hAnsi="Times New Roman" w:cs="Times New Roman"/>
                <w:color w:val="000000"/>
                <w:sz w:val="18"/>
                <w:szCs w:val="18"/>
                <w:lang w:eastAsia="pt-BR"/>
              </w:rPr>
              <w:t xml:space="preserve">; Surubim; Taquaritinga do Norte; Toritama; Vertente do </w:t>
            </w:r>
            <w:proofErr w:type="spellStart"/>
            <w:r w:rsidRPr="005917BC">
              <w:rPr>
                <w:rFonts w:ascii="Times New Roman" w:eastAsia="Times New Roman" w:hAnsi="Times New Roman" w:cs="Times New Roman"/>
                <w:color w:val="000000"/>
                <w:sz w:val="18"/>
                <w:szCs w:val="18"/>
                <w:lang w:eastAsia="pt-BR"/>
              </w:rPr>
              <w:t>Lério</w:t>
            </w:r>
            <w:proofErr w:type="spellEnd"/>
            <w:r w:rsidRPr="005917BC">
              <w:rPr>
                <w:rFonts w:ascii="Times New Roman" w:eastAsia="Times New Roman" w:hAnsi="Times New Roman" w:cs="Times New Roman"/>
                <w:color w:val="000000"/>
                <w:sz w:val="18"/>
                <w:szCs w:val="18"/>
                <w:lang w:eastAsia="pt-BR"/>
              </w:rPr>
              <w:t>; Vertentes</w:t>
            </w:r>
          </w:p>
        </w:tc>
      </w:tr>
    </w:tbl>
    <w:p w14:paraId="50F9DB53" w14:textId="77777777" w:rsidR="00F56AB8" w:rsidRPr="0026351E" w:rsidRDefault="00F56AB8" w:rsidP="00F56AB8">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Fonte: Elaboração própria.</w:t>
      </w:r>
    </w:p>
    <w:p w14:paraId="13EF90CA" w14:textId="77777777" w:rsidR="0026351E" w:rsidRPr="0026351E" w:rsidRDefault="00F56AB8" w:rsidP="00F56AB8">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tab/>
      </w:r>
    </w:p>
    <w:p w14:paraId="1C5FDAB8" w14:textId="632EC2AF" w:rsidR="00F56AB8" w:rsidRPr="0026351E" w:rsidRDefault="00F56AB8" w:rsidP="0026351E">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De acordo com a Tabela 2, a maioria das pessoas que nunca migraram e que tem acesso a pelo menos a uma cisterna é do sexo masculino, em todos os grupos de </w:t>
      </w:r>
      <w:r w:rsidRPr="0026351E">
        <w:rPr>
          <w:rFonts w:ascii="Times New Roman" w:hAnsi="Times New Roman" w:cs="Times New Roman"/>
          <w:i/>
          <w:iCs/>
          <w:sz w:val="24"/>
          <w:szCs w:val="24"/>
        </w:rPr>
        <w:t>cluster</w:t>
      </w:r>
      <w:r w:rsidRPr="0026351E">
        <w:rPr>
          <w:rFonts w:ascii="Times New Roman" w:hAnsi="Times New Roman" w:cs="Times New Roman"/>
          <w:sz w:val="24"/>
          <w:szCs w:val="24"/>
        </w:rPr>
        <w:t xml:space="preserve">. Quanto a idade, grande parte pertence aos grupos mais jovens, com destaque para os de 15 a 29 anos que concentram em média 44% da população em todos os grupos de </w:t>
      </w:r>
      <w:r w:rsidRPr="0026351E">
        <w:rPr>
          <w:rFonts w:ascii="Times New Roman" w:hAnsi="Times New Roman" w:cs="Times New Roman"/>
          <w:i/>
          <w:iCs/>
          <w:sz w:val="24"/>
          <w:szCs w:val="24"/>
        </w:rPr>
        <w:t>cluster</w:t>
      </w:r>
      <w:r w:rsidRPr="0026351E">
        <w:rPr>
          <w:rFonts w:ascii="Times New Roman" w:hAnsi="Times New Roman" w:cs="Times New Roman"/>
          <w:sz w:val="24"/>
          <w:szCs w:val="24"/>
        </w:rPr>
        <w:t xml:space="preserve">. </w:t>
      </w:r>
    </w:p>
    <w:p w14:paraId="00E572D0" w14:textId="46B0E155" w:rsidR="00845A59" w:rsidRDefault="00845A59" w:rsidP="0065406C">
      <w:pPr>
        <w:spacing w:after="0" w:line="360" w:lineRule="auto"/>
        <w:jc w:val="both"/>
        <w:rPr>
          <w:rFonts w:ascii="Times New Roman" w:hAnsi="Times New Roman" w:cs="Times New Roman"/>
          <w:sz w:val="24"/>
          <w:szCs w:val="24"/>
        </w:rPr>
      </w:pPr>
    </w:p>
    <w:p w14:paraId="0AC15BD0" w14:textId="77777777" w:rsidR="003C1F5B" w:rsidRPr="0026351E" w:rsidRDefault="003C1F5B" w:rsidP="0065406C">
      <w:pPr>
        <w:spacing w:after="0" w:line="360" w:lineRule="auto"/>
        <w:jc w:val="both"/>
        <w:rPr>
          <w:rFonts w:ascii="Times New Roman" w:hAnsi="Times New Roman" w:cs="Times New Roman"/>
          <w:sz w:val="24"/>
          <w:szCs w:val="24"/>
        </w:rPr>
      </w:pPr>
    </w:p>
    <w:p w14:paraId="241EF5CA" w14:textId="03FBAA48" w:rsidR="00F56AB8" w:rsidRPr="0026351E" w:rsidRDefault="00F56AB8" w:rsidP="00F56AB8">
      <w:pPr>
        <w:spacing w:after="0" w:line="240" w:lineRule="auto"/>
        <w:jc w:val="both"/>
        <w:rPr>
          <w:rFonts w:ascii="Times New Roman" w:hAnsi="Times New Roman" w:cs="Times New Roman"/>
          <w:b/>
          <w:bCs/>
          <w:sz w:val="24"/>
          <w:szCs w:val="24"/>
        </w:rPr>
      </w:pPr>
      <w:r w:rsidRPr="0026351E">
        <w:rPr>
          <w:rFonts w:ascii="Times New Roman" w:hAnsi="Times New Roman" w:cs="Times New Roman"/>
          <w:b/>
          <w:bCs/>
          <w:sz w:val="24"/>
          <w:szCs w:val="24"/>
        </w:rPr>
        <w:lastRenderedPageBreak/>
        <w:t>Tabela 2: Variáveis sociodemográficas do</w:t>
      </w:r>
      <w:r w:rsidRPr="0026351E">
        <w:rPr>
          <w:rFonts w:ascii="Times New Roman" w:hAnsi="Times New Roman" w:cs="Times New Roman"/>
          <w:b/>
          <w:bCs/>
          <w:sz w:val="36"/>
          <w:szCs w:val="36"/>
        </w:rPr>
        <w:t xml:space="preserve"> </w:t>
      </w:r>
      <w:r w:rsidRPr="0026351E">
        <w:rPr>
          <w:rFonts w:ascii="Times New Roman" w:eastAsia="Times New Roman" w:hAnsi="Times New Roman" w:cs="Times New Roman"/>
          <w:b/>
          <w:bCs/>
          <w:i/>
          <w:iCs/>
          <w:sz w:val="24"/>
          <w:szCs w:val="24"/>
          <w:lang w:eastAsia="pt-BR"/>
        </w:rPr>
        <w:t>Cluster</w:t>
      </w:r>
      <w:r w:rsidRPr="0026351E">
        <w:rPr>
          <w:rFonts w:ascii="Times New Roman" w:hAnsi="Times New Roman" w:cs="Times New Roman"/>
          <w:b/>
          <w:bCs/>
          <w:sz w:val="36"/>
          <w:szCs w:val="36"/>
        </w:rPr>
        <w:t xml:space="preserve"> </w:t>
      </w:r>
      <w:r w:rsidRPr="0026351E">
        <w:rPr>
          <w:rFonts w:ascii="Times New Roman" w:hAnsi="Times New Roman" w:cs="Times New Roman"/>
          <w:b/>
          <w:bCs/>
          <w:sz w:val="24"/>
          <w:szCs w:val="24"/>
        </w:rPr>
        <w:t>Alto-Alto - 2010</w:t>
      </w:r>
    </w:p>
    <w:tbl>
      <w:tblPr>
        <w:tblW w:w="9108" w:type="dxa"/>
        <w:tblCellMar>
          <w:left w:w="70" w:type="dxa"/>
          <w:right w:w="70" w:type="dxa"/>
        </w:tblCellMar>
        <w:tblLook w:val="04A0" w:firstRow="1" w:lastRow="0" w:firstColumn="1" w:lastColumn="0" w:noHBand="0" w:noVBand="1"/>
      </w:tblPr>
      <w:tblGrid>
        <w:gridCol w:w="3182"/>
        <w:gridCol w:w="910"/>
        <w:gridCol w:w="663"/>
        <w:gridCol w:w="778"/>
        <w:gridCol w:w="663"/>
        <w:gridCol w:w="778"/>
        <w:gridCol w:w="663"/>
        <w:gridCol w:w="792"/>
        <w:gridCol w:w="679"/>
      </w:tblGrid>
      <w:tr w:rsidR="00F56AB8" w:rsidRPr="0026351E" w14:paraId="01466301" w14:textId="77777777" w:rsidTr="00A43D99">
        <w:trPr>
          <w:trHeight w:val="212"/>
        </w:trPr>
        <w:tc>
          <w:tcPr>
            <w:tcW w:w="3182"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52C81D3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Variáveis Sociodemográficas</w:t>
            </w:r>
          </w:p>
        </w:tc>
        <w:tc>
          <w:tcPr>
            <w:tcW w:w="5926" w:type="dxa"/>
            <w:gridSpan w:val="8"/>
            <w:tcBorders>
              <w:top w:val="single" w:sz="4" w:space="0" w:color="auto"/>
              <w:left w:val="nil"/>
              <w:bottom w:val="single" w:sz="4" w:space="0" w:color="auto"/>
              <w:right w:val="nil"/>
            </w:tcBorders>
            <w:shd w:val="clear" w:color="auto" w:fill="auto"/>
            <w:noWrap/>
            <w:vAlign w:val="center"/>
            <w:hideMark/>
          </w:tcPr>
          <w:p w14:paraId="6216018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i/>
                <w:iCs/>
                <w:sz w:val="18"/>
                <w:szCs w:val="18"/>
                <w:lang w:eastAsia="pt-BR"/>
              </w:rPr>
              <w:t>Cluster</w:t>
            </w:r>
            <w:r w:rsidRPr="0026351E">
              <w:rPr>
                <w:rFonts w:ascii="Times New Roman" w:eastAsia="Times New Roman" w:hAnsi="Times New Roman" w:cs="Times New Roman"/>
                <w:b/>
                <w:bCs/>
                <w:sz w:val="18"/>
                <w:szCs w:val="18"/>
                <w:lang w:eastAsia="pt-BR"/>
              </w:rPr>
              <w:t xml:space="preserve"> Alto-Alto</w:t>
            </w:r>
          </w:p>
        </w:tc>
      </w:tr>
      <w:tr w:rsidR="00F56AB8" w:rsidRPr="0026351E" w14:paraId="62C45694" w14:textId="77777777" w:rsidTr="00A43D99">
        <w:trPr>
          <w:trHeight w:val="212"/>
        </w:trPr>
        <w:tc>
          <w:tcPr>
            <w:tcW w:w="3182" w:type="dxa"/>
            <w:vMerge/>
            <w:tcBorders>
              <w:top w:val="single" w:sz="4" w:space="0" w:color="auto"/>
              <w:bottom w:val="single" w:sz="4" w:space="0" w:color="auto"/>
              <w:right w:val="single" w:sz="4" w:space="0" w:color="auto"/>
            </w:tcBorders>
            <w:vAlign w:val="center"/>
            <w:hideMark/>
          </w:tcPr>
          <w:p w14:paraId="0450DC9B"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p>
        </w:tc>
        <w:tc>
          <w:tcPr>
            <w:tcW w:w="1573" w:type="dxa"/>
            <w:gridSpan w:val="2"/>
            <w:tcBorders>
              <w:top w:val="single" w:sz="4" w:space="0" w:color="auto"/>
              <w:left w:val="single" w:sz="4" w:space="0" w:color="auto"/>
              <w:bottom w:val="single" w:sz="4" w:space="0" w:color="auto"/>
              <w:right w:val="single" w:sz="4" w:space="0" w:color="000000" w:themeColor="text1"/>
            </w:tcBorders>
            <w:shd w:val="clear" w:color="auto" w:fill="auto"/>
            <w:noWrap/>
            <w:vAlign w:val="center"/>
            <w:hideMark/>
          </w:tcPr>
          <w:p w14:paraId="2D2BE57A"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color w:val="000000"/>
                <w:sz w:val="18"/>
                <w:szCs w:val="18"/>
                <w:lang w:eastAsia="pt-BR"/>
              </w:rPr>
              <w:t>Casa Nova</w:t>
            </w:r>
            <w:r w:rsidRPr="0026351E">
              <w:rPr>
                <w:rFonts w:ascii="Times New Roman" w:eastAsia="Times New Roman" w:hAnsi="Times New Roman" w:cs="Times New Roman"/>
                <w:b/>
                <w:bCs/>
                <w:color w:val="000000"/>
                <w:sz w:val="18"/>
                <w:szCs w:val="18"/>
                <w:lang w:eastAsia="pt-BR"/>
              </w:rPr>
              <w:br/>
              <w:t>(Cluster - Piauí/Bahia)</w:t>
            </w:r>
          </w:p>
        </w:tc>
        <w:tc>
          <w:tcPr>
            <w:tcW w:w="1441" w:type="dxa"/>
            <w:gridSpan w:val="2"/>
            <w:tcBorders>
              <w:top w:val="single" w:sz="4" w:space="0" w:color="auto"/>
              <w:left w:val="nil"/>
              <w:bottom w:val="single" w:sz="4" w:space="0" w:color="auto"/>
              <w:right w:val="single" w:sz="4" w:space="0" w:color="000000" w:themeColor="text1"/>
            </w:tcBorders>
            <w:shd w:val="clear" w:color="auto" w:fill="auto"/>
            <w:noWrap/>
            <w:vAlign w:val="center"/>
            <w:hideMark/>
          </w:tcPr>
          <w:p w14:paraId="080F3D0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color w:val="000000"/>
                <w:sz w:val="18"/>
                <w:szCs w:val="18"/>
                <w:lang w:eastAsia="pt-BR"/>
              </w:rPr>
              <w:t>Campo Redondo</w:t>
            </w:r>
            <w:r w:rsidRPr="0026351E">
              <w:rPr>
                <w:rFonts w:ascii="Times New Roman" w:eastAsia="Times New Roman" w:hAnsi="Times New Roman" w:cs="Times New Roman"/>
                <w:b/>
                <w:bCs/>
                <w:color w:val="000000"/>
                <w:sz w:val="18"/>
                <w:szCs w:val="18"/>
                <w:lang w:eastAsia="pt-BR"/>
              </w:rPr>
              <w:br/>
              <w:t>(Cluster - Rio Grande do Norte)</w:t>
            </w:r>
          </w:p>
        </w:tc>
        <w:tc>
          <w:tcPr>
            <w:tcW w:w="1441" w:type="dxa"/>
            <w:gridSpan w:val="2"/>
            <w:tcBorders>
              <w:top w:val="single" w:sz="4" w:space="0" w:color="auto"/>
              <w:left w:val="nil"/>
              <w:bottom w:val="single" w:sz="4" w:space="0" w:color="auto"/>
              <w:right w:val="single" w:sz="4" w:space="0" w:color="000000" w:themeColor="text1"/>
            </w:tcBorders>
            <w:shd w:val="clear" w:color="auto" w:fill="auto"/>
            <w:noWrap/>
            <w:vAlign w:val="center"/>
            <w:hideMark/>
          </w:tcPr>
          <w:p w14:paraId="4BA485C7"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color w:val="000000"/>
                <w:sz w:val="18"/>
                <w:szCs w:val="18"/>
                <w:lang w:eastAsia="pt-BR"/>
              </w:rPr>
              <w:t xml:space="preserve">Barra de Santa Rosa </w:t>
            </w:r>
            <w:r w:rsidRPr="0026351E">
              <w:rPr>
                <w:rFonts w:ascii="Times New Roman" w:eastAsia="Times New Roman" w:hAnsi="Times New Roman" w:cs="Times New Roman"/>
                <w:b/>
                <w:bCs/>
                <w:color w:val="000000"/>
                <w:sz w:val="18"/>
                <w:szCs w:val="18"/>
                <w:lang w:eastAsia="pt-BR"/>
              </w:rPr>
              <w:br/>
              <w:t>(Cluster - Paraíba)</w:t>
            </w:r>
          </w:p>
        </w:tc>
        <w:tc>
          <w:tcPr>
            <w:tcW w:w="1470" w:type="dxa"/>
            <w:gridSpan w:val="2"/>
            <w:tcBorders>
              <w:top w:val="single" w:sz="4" w:space="0" w:color="auto"/>
              <w:left w:val="nil"/>
              <w:bottom w:val="nil"/>
              <w:right w:val="nil"/>
            </w:tcBorders>
            <w:shd w:val="clear" w:color="auto" w:fill="auto"/>
            <w:noWrap/>
            <w:vAlign w:val="center"/>
            <w:hideMark/>
          </w:tcPr>
          <w:p w14:paraId="01ACF1C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color w:val="000000"/>
                <w:sz w:val="18"/>
                <w:szCs w:val="18"/>
                <w:lang w:eastAsia="pt-BR"/>
              </w:rPr>
              <w:t xml:space="preserve">Araripina </w:t>
            </w:r>
            <w:r w:rsidRPr="0026351E">
              <w:rPr>
                <w:rFonts w:ascii="Times New Roman" w:eastAsia="Times New Roman" w:hAnsi="Times New Roman" w:cs="Times New Roman"/>
                <w:b/>
                <w:bCs/>
                <w:color w:val="000000"/>
                <w:sz w:val="18"/>
                <w:szCs w:val="18"/>
                <w:lang w:eastAsia="pt-BR"/>
              </w:rPr>
              <w:br/>
              <w:t>(Cluster - Pernambuco)</w:t>
            </w:r>
          </w:p>
        </w:tc>
      </w:tr>
      <w:tr w:rsidR="00F56AB8" w:rsidRPr="0026351E" w14:paraId="3257F139" w14:textId="77777777" w:rsidTr="00A43D99">
        <w:trPr>
          <w:trHeight w:val="212"/>
        </w:trPr>
        <w:tc>
          <w:tcPr>
            <w:tcW w:w="3182" w:type="dxa"/>
            <w:vMerge/>
            <w:tcBorders>
              <w:top w:val="single" w:sz="4" w:space="0" w:color="auto"/>
              <w:bottom w:val="single" w:sz="4" w:space="0" w:color="auto"/>
              <w:right w:val="single" w:sz="4" w:space="0" w:color="auto"/>
            </w:tcBorders>
            <w:vAlign w:val="center"/>
            <w:hideMark/>
          </w:tcPr>
          <w:p w14:paraId="213A4C34"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p>
        </w:tc>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548A289A"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n</w:t>
            </w:r>
          </w:p>
        </w:tc>
        <w:tc>
          <w:tcPr>
            <w:tcW w:w="663" w:type="dxa"/>
            <w:tcBorders>
              <w:top w:val="nil"/>
              <w:left w:val="nil"/>
              <w:bottom w:val="single" w:sz="4" w:space="0" w:color="auto"/>
              <w:right w:val="single" w:sz="4" w:space="0" w:color="auto"/>
            </w:tcBorders>
            <w:shd w:val="clear" w:color="auto" w:fill="auto"/>
            <w:noWrap/>
            <w:vAlign w:val="center"/>
            <w:hideMark/>
          </w:tcPr>
          <w:p w14:paraId="5344813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w:t>
            </w:r>
          </w:p>
        </w:tc>
        <w:tc>
          <w:tcPr>
            <w:tcW w:w="778" w:type="dxa"/>
            <w:tcBorders>
              <w:top w:val="nil"/>
              <w:left w:val="nil"/>
              <w:bottom w:val="single" w:sz="4" w:space="0" w:color="auto"/>
              <w:right w:val="single" w:sz="4" w:space="0" w:color="auto"/>
            </w:tcBorders>
            <w:shd w:val="clear" w:color="auto" w:fill="auto"/>
            <w:noWrap/>
            <w:vAlign w:val="center"/>
            <w:hideMark/>
          </w:tcPr>
          <w:p w14:paraId="061F3DE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n</w:t>
            </w:r>
          </w:p>
        </w:tc>
        <w:tc>
          <w:tcPr>
            <w:tcW w:w="663" w:type="dxa"/>
            <w:tcBorders>
              <w:top w:val="nil"/>
              <w:left w:val="nil"/>
              <w:bottom w:val="single" w:sz="4" w:space="0" w:color="auto"/>
              <w:right w:val="single" w:sz="4" w:space="0" w:color="auto"/>
            </w:tcBorders>
            <w:shd w:val="clear" w:color="auto" w:fill="auto"/>
            <w:noWrap/>
            <w:vAlign w:val="center"/>
            <w:hideMark/>
          </w:tcPr>
          <w:p w14:paraId="7796B5F5"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w:t>
            </w:r>
          </w:p>
        </w:tc>
        <w:tc>
          <w:tcPr>
            <w:tcW w:w="778" w:type="dxa"/>
            <w:tcBorders>
              <w:top w:val="nil"/>
              <w:left w:val="nil"/>
              <w:bottom w:val="single" w:sz="4" w:space="0" w:color="auto"/>
              <w:right w:val="single" w:sz="4" w:space="0" w:color="auto"/>
            </w:tcBorders>
            <w:shd w:val="clear" w:color="auto" w:fill="auto"/>
            <w:noWrap/>
            <w:vAlign w:val="center"/>
            <w:hideMark/>
          </w:tcPr>
          <w:p w14:paraId="6BCF7F8C"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n</w:t>
            </w:r>
          </w:p>
        </w:tc>
        <w:tc>
          <w:tcPr>
            <w:tcW w:w="663" w:type="dxa"/>
            <w:tcBorders>
              <w:top w:val="nil"/>
              <w:left w:val="nil"/>
              <w:bottom w:val="single" w:sz="4" w:space="0" w:color="auto"/>
              <w:right w:val="nil"/>
            </w:tcBorders>
            <w:shd w:val="clear" w:color="auto" w:fill="auto"/>
            <w:noWrap/>
            <w:vAlign w:val="center"/>
            <w:hideMark/>
          </w:tcPr>
          <w:p w14:paraId="125D0E5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w:t>
            </w:r>
          </w:p>
        </w:tc>
        <w:tc>
          <w:tcPr>
            <w:tcW w:w="7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B78B8"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n</w:t>
            </w:r>
          </w:p>
        </w:tc>
        <w:tc>
          <w:tcPr>
            <w:tcW w:w="678" w:type="dxa"/>
            <w:tcBorders>
              <w:top w:val="single" w:sz="4" w:space="0" w:color="auto"/>
              <w:left w:val="nil"/>
              <w:bottom w:val="single" w:sz="4" w:space="0" w:color="auto"/>
              <w:right w:val="nil"/>
            </w:tcBorders>
            <w:shd w:val="clear" w:color="auto" w:fill="auto"/>
            <w:noWrap/>
            <w:vAlign w:val="center"/>
            <w:hideMark/>
          </w:tcPr>
          <w:p w14:paraId="4852FA4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w:t>
            </w:r>
          </w:p>
        </w:tc>
      </w:tr>
      <w:tr w:rsidR="00F56AB8" w:rsidRPr="0026351E" w14:paraId="46F85377" w14:textId="77777777" w:rsidTr="00A43D99">
        <w:trPr>
          <w:trHeight w:val="212"/>
        </w:trPr>
        <w:tc>
          <w:tcPr>
            <w:tcW w:w="3182" w:type="dxa"/>
            <w:tcBorders>
              <w:top w:val="single" w:sz="4" w:space="0" w:color="auto"/>
              <w:left w:val="nil"/>
              <w:bottom w:val="nil"/>
              <w:right w:val="nil"/>
            </w:tcBorders>
            <w:shd w:val="clear" w:color="auto" w:fill="auto"/>
            <w:noWrap/>
            <w:vAlign w:val="center"/>
            <w:hideMark/>
          </w:tcPr>
          <w:p w14:paraId="72CDEE79"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r w:rsidRPr="0026351E">
              <w:rPr>
                <w:rFonts w:ascii="Times New Roman" w:eastAsia="Times New Roman" w:hAnsi="Times New Roman" w:cs="Times New Roman"/>
                <w:i/>
                <w:iCs/>
                <w:sz w:val="18"/>
                <w:szCs w:val="18"/>
                <w:lang w:eastAsia="pt-BR"/>
              </w:rPr>
              <w:t>Sexo</w:t>
            </w:r>
          </w:p>
        </w:tc>
        <w:tc>
          <w:tcPr>
            <w:tcW w:w="910" w:type="dxa"/>
            <w:tcBorders>
              <w:top w:val="nil"/>
              <w:left w:val="nil"/>
              <w:bottom w:val="nil"/>
              <w:right w:val="nil"/>
            </w:tcBorders>
            <w:shd w:val="clear" w:color="auto" w:fill="auto"/>
            <w:noWrap/>
            <w:vAlign w:val="bottom"/>
            <w:hideMark/>
          </w:tcPr>
          <w:p w14:paraId="61427ED5" w14:textId="77777777" w:rsidR="00F56AB8" w:rsidRPr="0026351E" w:rsidRDefault="00F56AB8" w:rsidP="00827FB4">
            <w:pPr>
              <w:spacing w:after="0" w:line="240" w:lineRule="auto"/>
              <w:jc w:val="center"/>
              <w:rPr>
                <w:rFonts w:ascii="Times New Roman" w:eastAsia="Times New Roman" w:hAnsi="Times New Roman" w:cs="Times New Roman"/>
                <w:i/>
                <w:iCs/>
                <w:sz w:val="18"/>
                <w:szCs w:val="18"/>
                <w:lang w:eastAsia="pt-BR"/>
              </w:rPr>
            </w:pPr>
          </w:p>
        </w:tc>
        <w:tc>
          <w:tcPr>
            <w:tcW w:w="663" w:type="dxa"/>
            <w:tcBorders>
              <w:top w:val="nil"/>
              <w:left w:val="nil"/>
              <w:bottom w:val="nil"/>
              <w:right w:val="nil"/>
            </w:tcBorders>
            <w:shd w:val="clear" w:color="auto" w:fill="auto"/>
            <w:noWrap/>
            <w:vAlign w:val="bottom"/>
            <w:hideMark/>
          </w:tcPr>
          <w:p w14:paraId="4F089A5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p>
        </w:tc>
        <w:tc>
          <w:tcPr>
            <w:tcW w:w="778" w:type="dxa"/>
            <w:tcBorders>
              <w:top w:val="nil"/>
              <w:left w:val="nil"/>
              <w:bottom w:val="nil"/>
              <w:right w:val="nil"/>
            </w:tcBorders>
            <w:shd w:val="clear" w:color="auto" w:fill="auto"/>
            <w:noWrap/>
            <w:vAlign w:val="bottom"/>
            <w:hideMark/>
          </w:tcPr>
          <w:p w14:paraId="18165AE5"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bottom"/>
            <w:hideMark/>
          </w:tcPr>
          <w:p w14:paraId="2CA9C1C2"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p>
        </w:tc>
        <w:tc>
          <w:tcPr>
            <w:tcW w:w="778" w:type="dxa"/>
            <w:tcBorders>
              <w:top w:val="nil"/>
              <w:left w:val="nil"/>
              <w:bottom w:val="nil"/>
              <w:right w:val="nil"/>
            </w:tcBorders>
            <w:shd w:val="clear" w:color="auto" w:fill="auto"/>
            <w:noWrap/>
            <w:vAlign w:val="bottom"/>
            <w:hideMark/>
          </w:tcPr>
          <w:p w14:paraId="077AFCA8"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bottom"/>
            <w:hideMark/>
          </w:tcPr>
          <w:p w14:paraId="143B6FF5"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p>
        </w:tc>
        <w:tc>
          <w:tcPr>
            <w:tcW w:w="792" w:type="dxa"/>
            <w:tcBorders>
              <w:top w:val="nil"/>
              <w:left w:val="nil"/>
              <w:bottom w:val="nil"/>
              <w:right w:val="nil"/>
            </w:tcBorders>
            <w:shd w:val="clear" w:color="auto" w:fill="auto"/>
            <w:noWrap/>
            <w:vAlign w:val="bottom"/>
            <w:hideMark/>
          </w:tcPr>
          <w:p w14:paraId="4742C2F3"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p>
        </w:tc>
        <w:tc>
          <w:tcPr>
            <w:tcW w:w="678" w:type="dxa"/>
            <w:tcBorders>
              <w:top w:val="nil"/>
              <w:left w:val="nil"/>
              <w:bottom w:val="nil"/>
              <w:right w:val="nil"/>
            </w:tcBorders>
            <w:shd w:val="clear" w:color="auto" w:fill="auto"/>
            <w:noWrap/>
            <w:vAlign w:val="bottom"/>
            <w:hideMark/>
          </w:tcPr>
          <w:p w14:paraId="673DBFE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p>
        </w:tc>
      </w:tr>
      <w:tr w:rsidR="00F56AB8" w:rsidRPr="0026351E" w14:paraId="78028AD7" w14:textId="77777777" w:rsidTr="00A43D99">
        <w:trPr>
          <w:trHeight w:val="212"/>
        </w:trPr>
        <w:tc>
          <w:tcPr>
            <w:tcW w:w="3182" w:type="dxa"/>
            <w:tcBorders>
              <w:top w:val="nil"/>
              <w:left w:val="nil"/>
              <w:bottom w:val="nil"/>
              <w:right w:val="nil"/>
            </w:tcBorders>
            <w:shd w:val="clear" w:color="auto" w:fill="auto"/>
            <w:noWrap/>
            <w:vAlign w:val="bottom"/>
            <w:hideMark/>
          </w:tcPr>
          <w:p w14:paraId="3FA6E5CE"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Masculino</w:t>
            </w:r>
          </w:p>
        </w:tc>
        <w:tc>
          <w:tcPr>
            <w:tcW w:w="910" w:type="dxa"/>
            <w:tcBorders>
              <w:top w:val="nil"/>
              <w:left w:val="nil"/>
              <w:bottom w:val="nil"/>
              <w:right w:val="nil"/>
            </w:tcBorders>
            <w:shd w:val="clear" w:color="auto" w:fill="auto"/>
            <w:noWrap/>
            <w:vAlign w:val="center"/>
            <w:hideMark/>
          </w:tcPr>
          <w:p w14:paraId="00CAE70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67.542</w:t>
            </w:r>
          </w:p>
        </w:tc>
        <w:tc>
          <w:tcPr>
            <w:tcW w:w="663" w:type="dxa"/>
            <w:tcBorders>
              <w:top w:val="nil"/>
              <w:left w:val="nil"/>
              <w:bottom w:val="nil"/>
              <w:right w:val="nil"/>
            </w:tcBorders>
            <w:shd w:val="clear" w:color="auto" w:fill="auto"/>
            <w:noWrap/>
            <w:vAlign w:val="center"/>
            <w:hideMark/>
          </w:tcPr>
          <w:p w14:paraId="030EC80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53,3</w:t>
            </w:r>
          </w:p>
        </w:tc>
        <w:tc>
          <w:tcPr>
            <w:tcW w:w="778" w:type="dxa"/>
            <w:tcBorders>
              <w:top w:val="nil"/>
              <w:left w:val="nil"/>
              <w:bottom w:val="nil"/>
              <w:right w:val="nil"/>
            </w:tcBorders>
            <w:shd w:val="clear" w:color="auto" w:fill="auto"/>
            <w:noWrap/>
            <w:vAlign w:val="center"/>
            <w:hideMark/>
          </w:tcPr>
          <w:p w14:paraId="691D448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7.478</w:t>
            </w:r>
          </w:p>
        </w:tc>
        <w:tc>
          <w:tcPr>
            <w:tcW w:w="663" w:type="dxa"/>
            <w:tcBorders>
              <w:top w:val="nil"/>
              <w:left w:val="nil"/>
              <w:bottom w:val="nil"/>
              <w:right w:val="nil"/>
            </w:tcBorders>
            <w:shd w:val="clear" w:color="auto" w:fill="auto"/>
            <w:noWrap/>
            <w:vAlign w:val="center"/>
            <w:hideMark/>
          </w:tcPr>
          <w:p w14:paraId="22DB086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54,0</w:t>
            </w:r>
          </w:p>
        </w:tc>
        <w:tc>
          <w:tcPr>
            <w:tcW w:w="778" w:type="dxa"/>
            <w:tcBorders>
              <w:top w:val="nil"/>
              <w:left w:val="nil"/>
              <w:bottom w:val="nil"/>
              <w:right w:val="nil"/>
            </w:tcBorders>
            <w:shd w:val="clear" w:color="auto" w:fill="auto"/>
            <w:noWrap/>
            <w:vAlign w:val="center"/>
            <w:hideMark/>
          </w:tcPr>
          <w:p w14:paraId="47DD633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22.895</w:t>
            </w:r>
          </w:p>
        </w:tc>
        <w:tc>
          <w:tcPr>
            <w:tcW w:w="663" w:type="dxa"/>
            <w:tcBorders>
              <w:top w:val="nil"/>
              <w:left w:val="nil"/>
              <w:bottom w:val="nil"/>
              <w:right w:val="nil"/>
            </w:tcBorders>
            <w:shd w:val="clear" w:color="auto" w:fill="auto"/>
            <w:noWrap/>
            <w:vAlign w:val="center"/>
            <w:hideMark/>
          </w:tcPr>
          <w:p w14:paraId="1333A64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51,6</w:t>
            </w:r>
          </w:p>
        </w:tc>
        <w:tc>
          <w:tcPr>
            <w:tcW w:w="792" w:type="dxa"/>
            <w:tcBorders>
              <w:top w:val="nil"/>
              <w:left w:val="nil"/>
              <w:bottom w:val="nil"/>
              <w:right w:val="nil"/>
            </w:tcBorders>
            <w:shd w:val="clear" w:color="auto" w:fill="auto"/>
            <w:noWrap/>
            <w:vAlign w:val="center"/>
            <w:hideMark/>
          </w:tcPr>
          <w:p w14:paraId="3F7F745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43.652</w:t>
            </w:r>
          </w:p>
        </w:tc>
        <w:tc>
          <w:tcPr>
            <w:tcW w:w="678" w:type="dxa"/>
            <w:tcBorders>
              <w:top w:val="nil"/>
              <w:left w:val="nil"/>
              <w:bottom w:val="nil"/>
              <w:right w:val="nil"/>
            </w:tcBorders>
            <w:shd w:val="clear" w:color="auto" w:fill="auto"/>
            <w:noWrap/>
            <w:vAlign w:val="center"/>
            <w:hideMark/>
          </w:tcPr>
          <w:p w14:paraId="17A0344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51,8</w:t>
            </w:r>
          </w:p>
        </w:tc>
      </w:tr>
      <w:tr w:rsidR="00F56AB8" w:rsidRPr="0026351E" w14:paraId="4B4F83E9" w14:textId="77777777" w:rsidTr="00A43D99">
        <w:trPr>
          <w:trHeight w:val="212"/>
        </w:trPr>
        <w:tc>
          <w:tcPr>
            <w:tcW w:w="3182" w:type="dxa"/>
            <w:tcBorders>
              <w:top w:val="nil"/>
              <w:left w:val="nil"/>
              <w:bottom w:val="nil"/>
              <w:right w:val="nil"/>
            </w:tcBorders>
            <w:shd w:val="clear" w:color="auto" w:fill="auto"/>
            <w:noWrap/>
            <w:vAlign w:val="bottom"/>
            <w:hideMark/>
          </w:tcPr>
          <w:p w14:paraId="14954E66"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Feminino</w:t>
            </w:r>
          </w:p>
        </w:tc>
        <w:tc>
          <w:tcPr>
            <w:tcW w:w="910" w:type="dxa"/>
            <w:tcBorders>
              <w:top w:val="nil"/>
              <w:left w:val="nil"/>
              <w:bottom w:val="nil"/>
              <w:right w:val="nil"/>
            </w:tcBorders>
            <w:shd w:val="clear" w:color="auto" w:fill="auto"/>
            <w:noWrap/>
            <w:vAlign w:val="center"/>
            <w:hideMark/>
          </w:tcPr>
          <w:p w14:paraId="3EED4EE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59.181</w:t>
            </w:r>
          </w:p>
        </w:tc>
        <w:tc>
          <w:tcPr>
            <w:tcW w:w="663" w:type="dxa"/>
            <w:tcBorders>
              <w:top w:val="nil"/>
              <w:left w:val="nil"/>
              <w:bottom w:val="nil"/>
              <w:right w:val="nil"/>
            </w:tcBorders>
            <w:shd w:val="clear" w:color="auto" w:fill="auto"/>
            <w:noWrap/>
            <w:vAlign w:val="center"/>
            <w:hideMark/>
          </w:tcPr>
          <w:p w14:paraId="30FA034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46,7</w:t>
            </w:r>
          </w:p>
        </w:tc>
        <w:tc>
          <w:tcPr>
            <w:tcW w:w="778" w:type="dxa"/>
            <w:tcBorders>
              <w:top w:val="nil"/>
              <w:left w:val="nil"/>
              <w:bottom w:val="nil"/>
              <w:right w:val="nil"/>
            </w:tcBorders>
            <w:shd w:val="clear" w:color="auto" w:fill="auto"/>
            <w:noWrap/>
            <w:vAlign w:val="center"/>
            <w:hideMark/>
          </w:tcPr>
          <w:p w14:paraId="025CE6E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6.380</w:t>
            </w:r>
          </w:p>
        </w:tc>
        <w:tc>
          <w:tcPr>
            <w:tcW w:w="663" w:type="dxa"/>
            <w:tcBorders>
              <w:top w:val="nil"/>
              <w:left w:val="nil"/>
              <w:bottom w:val="nil"/>
              <w:right w:val="nil"/>
            </w:tcBorders>
            <w:shd w:val="clear" w:color="auto" w:fill="auto"/>
            <w:noWrap/>
            <w:vAlign w:val="center"/>
            <w:hideMark/>
          </w:tcPr>
          <w:p w14:paraId="41130E8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46,0</w:t>
            </w:r>
          </w:p>
        </w:tc>
        <w:tc>
          <w:tcPr>
            <w:tcW w:w="778" w:type="dxa"/>
            <w:tcBorders>
              <w:top w:val="nil"/>
              <w:left w:val="nil"/>
              <w:bottom w:val="nil"/>
              <w:right w:val="nil"/>
            </w:tcBorders>
            <w:shd w:val="clear" w:color="auto" w:fill="auto"/>
            <w:noWrap/>
            <w:vAlign w:val="center"/>
            <w:hideMark/>
          </w:tcPr>
          <w:p w14:paraId="1321060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21.441</w:t>
            </w:r>
          </w:p>
        </w:tc>
        <w:tc>
          <w:tcPr>
            <w:tcW w:w="663" w:type="dxa"/>
            <w:tcBorders>
              <w:top w:val="nil"/>
              <w:left w:val="nil"/>
              <w:bottom w:val="nil"/>
              <w:right w:val="nil"/>
            </w:tcBorders>
            <w:shd w:val="clear" w:color="auto" w:fill="auto"/>
            <w:noWrap/>
            <w:vAlign w:val="center"/>
            <w:hideMark/>
          </w:tcPr>
          <w:p w14:paraId="74F0C86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48,4</w:t>
            </w:r>
          </w:p>
        </w:tc>
        <w:tc>
          <w:tcPr>
            <w:tcW w:w="792" w:type="dxa"/>
            <w:tcBorders>
              <w:top w:val="nil"/>
              <w:left w:val="nil"/>
              <w:bottom w:val="nil"/>
              <w:right w:val="nil"/>
            </w:tcBorders>
            <w:shd w:val="clear" w:color="auto" w:fill="auto"/>
            <w:noWrap/>
            <w:vAlign w:val="center"/>
            <w:hideMark/>
          </w:tcPr>
          <w:p w14:paraId="5445086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40.665</w:t>
            </w:r>
          </w:p>
        </w:tc>
        <w:tc>
          <w:tcPr>
            <w:tcW w:w="678" w:type="dxa"/>
            <w:tcBorders>
              <w:top w:val="nil"/>
              <w:left w:val="nil"/>
              <w:bottom w:val="nil"/>
              <w:right w:val="nil"/>
            </w:tcBorders>
            <w:shd w:val="clear" w:color="auto" w:fill="auto"/>
            <w:noWrap/>
            <w:vAlign w:val="center"/>
            <w:hideMark/>
          </w:tcPr>
          <w:p w14:paraId="77607AA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48,2</w:t>
            </w:r>
          </w:p>
        </w:tc>
      </w:tr>
      <w:tr w:rsidR="00F56AB8" w:rsidRPr="0026351E" w14:paraId="17EF5DEB" w14:textId="77777777" w:rsidTr="00A43D99">
        <w:trPr>
          <w:trHeight w:val="212"/>
        </w:trPr>
        <w:tc>
          <w:tcPr>
            <w:tcW w:w="3182" w:type="dxa"/>
            <w:tcBorders>
              <w:top w:val="nil"/>
              <w:left w:val="nil"/>
              <w:bottom w:val="single" w:sz="4" w:space="0" w:color="auto"/>
              <w:right w:val="nil"/>
            </w:tcBorders>
            <w:shd w:val="clear" w:color="auto" w:fill="auto"/>
            <w:noWrap/>
            <w:vAlign w:val="bottom"/>
            <w:hideMark/>
          </w:tcPr>
          <w:p w14:paraId="448450B2"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910" w:type="dxa"/>
            <w:tcBorders>
              <w:top w:val="nil"/>
              <w:left w:val="nil"/>
              <w:bottom w:val="single" w:sz="4" w:space="0" w:color="auto"/>
              <w:right w:val="nil"/>
            </w:tcBorders>
            <w:shd w:val="clear" w:color="auto" w:fill="auto"/>
            <w:noWrap/>
            <w:vAlign w:val="center"/>
            <w:hideMark/>
          </w:tcPr>
          <w:p w14:paraId="23188858"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126.723</w:t>
            </w:r>
          </w:p>
        </w:tc>
        <w:tc>
          <w:tcPr>
            <w:tcW w:w="663" w:type="dxa"/>
            <w:tcBorders>
              <w:top w:val="nil"/>
              <w:left w:val="nil"/>
              <w:bottom w:val="single" w:sz="4" w:space="0" w:color="auto"/>
              <w:right w:val="nil"/>
            </w:tcBorders>
            <w:shd w:val="clear" w:color="auto" w:fill="auto"/>
            <w:noWrap/>
            <w:vAlign w:val="center"/>
            <w:hideMark/>
          </w:tcPr>
          <w:p w14:paraId="7F335CF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center"/>
            <w:hideMark/>
          </w:tcPr>
          <w:p w14:paraId="7082C7D2"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13.858</w:t>
            </w:r>
          </w:p>
        </w:tc>
        <w:tc>
          <w:tcPr>
            <w:tcW w:w="663" w:type="dxa"/>
            <w:tcBorders>
              <w:top w:val="nil"/>
              <w:left w:val="nil"/>
              <w:bottom w:val="single" w:sz="4" w:space="0" w:color="auto"/>
              <w:right w:val="nil"/>
            </w:tcBorders>
            <w:shd w:val="clear" w:color="auto" w:fill="auto"/>
            <w:noWrap/>
            <w:vAlign w:val="center"/>
            <w:hideMark/>
          </w:tcPr>
          <w:p w14:paraId="6438BDCC"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center"/>
            <w:hideMark/>
          </w:tcPr>
          <w:p w14:paraId="6FD6145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44.336</w:t>
            </w:r>
          </w:p>
        </w:tc>
        <w:tc>
          <w:tcPr>
            <w:tcW w:w="663" w:type="dxa"/>
            <w:tcBorders>
              <w:top w:val="nil"/>
              <w:left w:val="nil"/>
              <w:bottom w:val="single" w:sz="4" w:space="0" w:color="auto"/>
              <w:right w:val="nil"/>
            </w:tcBorders>
            <w:shd w:val="clear" w:color="auto" w:fill="auto"/>
            <w:noWrap/>
            <w:vAlign w:val="center"/>
            <w:hideMark/>
          </w:tcPr>
          <w:p w14:paraId="02D780F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92" w:type="dxa"/>
            <w:tcBorders>
              <w:top w:val="nil"/>
              <w:left w:val="nil"/>
              <w:bottom w:val="single" w:sz="4" w:space="0" w:color="auto"/>
              <w:right w:val="nil"/>
            </w:tcBorders>
            <w:shd w:val="clear" w:color="auto" w:fill="auto"/>
            <w:noWrap/>
            <w:vAlign w:val="center"/>
            <w:hideMark/>
          </w:tcPr>
          <w:p w14:paraId="207C17B2"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84.317</w:t>
            </w:r>
          </w:p>
        </w:tc>
        <w:tc>
          <w:tcPr>
            <w:tcW w:w="678" w:type="dxa"/>
            <w:tcBorders>
              <w:top w:val="nil"/>
              <w:left w:val="nil"/>
              <w:bottom w:val="single" w:sz="4" w:space="0" w:color="auto"/>
              <w:right w:val="nil"/>
            </w:tcBorders>
            <w:shd w:val="clear" w:color="auto" w:fill="auto"/>
            <w:noWrap/>
            <w:vAlign w:val="center"/>
            <w:hideMark/>
          </w:tcPr>
          <w:p w14:paraId="53A5BA78"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684A93C7" w14:textId="77777777" w:rsidTr="00A43D99">
        <w:trPr>
          <w:trHeight w:val="212"/>
        </w:trPr>
        <w:tc>
          <w:tcPr>
            <w:tcW w:w="4092" w:type="dxa"/>
            <w:gridSpan w:val="2"/>
            <w:tcBorders>
              <w:top w:val="nil"/>
              <w:left w:val="nil"/>
              <w:bottom w:val="nil"/>
              <w:right w:val="nil"/>
            </w:tcBorders>
            <w:shd w:val="clear" w:color="auto" w:fill="auto"/>
            <w:noWrap/>
            <w:vAlign w:val="bottom"/>
            <w:hideMark/>
          </w:tcPr>
          <w:p w14:paraId="54F2CF6B"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r w:rsidRPr="0026351E">
              <w:rPr>
                <w:rFonts w:ascii="Times New Roman" w:eastAsia="Times New Roman" w:hAnsi="Times New Roman" w:cs="Times New Roman"/>
                <w:i/>
                <w:iCs/>
                <w:sz w:val="18"/>
                <w:szCs w:val="18"/>
                <w:lang w:eastAsia="pt-BR"/>
              </w:rPr>
              <w:t>Grupos de Idade</w:t>
            </w:r>
          </w:p>
        </w:tc>
        <w:tc>
          <w:tcPr>
            <w:tcW w:w="663" w:type="dxa"/>
            <w:tcBorders>
              <w:top w:val="nil"/>
              <w:left w:val="nil"/>
              <w:bottom w:val="nil"/>
              <w:right w:val="nil"/>
            </w:tcBorders>
            <w:shd w:val="clear" w:color="auto" w:fill="auto"/>
            <w:noWrap/>
            <w:vAlign w:val="center"/>
            <w:hideMark/>
          </w:tcPr>
          <w:p w14:paraId="020C2DEB"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p>
        </w:tc>
        <w:tc>
          <w:tcPr>
            <w:tcW w:w="778" w:type="dxa"/>
            <w:tcBorders>
              <w:top w:val="nil"/>
              <w:left w:val="nil"/>
              <w:bottom w:val="nil"/>
              <w:right w:val="nil"/>
            </w:tcBorders>
            <w:shd w:val="clear" w:color="auto" w:fill="auto"/>
            <w:noWrap/>
            <w:vAlign w:val="center"/>
            <w:hideMark/>
          </w:tcPr>
          <w:p w14:paraId="284A2F0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center"/>
            <w:hideMark/>
          </w:tcPr>
          <w:p w14:paraId="40FA917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778" w:type="dxa"/>
            <w:tcBorders>
              <w:top w:val="nil"/>
              <w:left w:val="nil"/>
              <w:bottom w:val="nil"/>
              <w:right w:val="nil"/>
            </w:tcBorders>
            <w:shd w:val="clear" w:color="auto" w:fill="auto"/>
            <w:noWrap/>
            <w:vAlign w:val="center"/>
            <w:hideMark/>
          </w:tcPr>
          <w:p w14:paraId="67AB20A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center"/>
            <w:hideMark/>
          </w:tcPr>
          <w:p w14:paraId="2B1076C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792" w:type="dxa"/>
            <w:tcBorders>
              <w:top w:val="nil"/>
              <w:left w:val="nil"/>
              <w:bottom w:val="nil"/>
              <w:right w:val="nil"/>
            </w:tcBorders>
            <w:shd w:val="clear" w:color="auto" w:fill="auto"/>
            <w:noWrap/>
            <w:vAlign w:val="center"/>
            <w:hideMark/>
          </w:tcPr>
          <w:p w14:paraId="31A91DB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78" w:type="dxa"/>
            <w:tcBorders>
              <w:top w:val="nil"/>
              <w:left w:val="nil"/>
              <w:bottom w:val="nil"/>
              <w:right w:val="nil"/>
            </w:tcBorders>
            <w:shd w:val="clear" w:color="auto" w:fill="auto"/>
            <w:noWrap/>
            <w:vAlign w:val="center"/>
            <w:hideMark/>
          </w:tcPr>
          <w:p w14:paraId="3FE5A72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r>
      <w:tr w:rsidR="00F56AB8" w:rsidRPr="0026351E" w14:paraId="5BDE3D3E" w14:textId="77777777" w:rsidTr="00A43D99">
        <w:trPr>
          <w:trHeight w:val="68"/>
        </w:trPr>
        <w:tc>
          <w:tcPr>
            <w:tcW w:w="3182" w:type="dxa"/>
            <w:tcBorders>
              <w:top w:val="nil"/>
              <w:left w:val="nil"/>
              <w:bottom w:val="nil"/>
              <w:right w:val="nil"/>
            </w:tcBorders>
            <w:shd w:val="clear" w:color="auto" w:fill="auto"/>
            <w:noWrap/>
            <w:vAlign w:val="bottom"/>
            <w:hideMark/>
          </w:tcPr>
          <w:p w14:paraId="101428DD"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15-19</w:t>
            </w:r>
          </w:p>
        </w:tc>
        <w:tc>
          <w:tcPr>
            <w:tcW w:w="910" w:type="dxa"/>
            <w:tcBorders>
              <w:top w:val="nil"/>
              <w:left w:val="nil"/>
              <w:bottom w:val="nil"/>
              <w:right w:val="nil"/>
            </w:tcBorders>
            <w:shd w:val="clear" w:color="auto" w:fill="auto"/>
            <w:noWrap/>
            <w:vAlign w:val="center"/>
            <w:hideMark/>
          </w:tcPr>
          <w:p w14:paraId="70706B8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22.128</w:t>
            </w:r>
          </w:p>
        </w:tc>
        <w:tc>
          <w:tcPr>
            <w:tcW w:w="663" w:type="dxa"/>
            <w:tcBorders>
              <w:top w:val="nil"/>
              <w:left w:val="nil"/>
              <w:bottom w:val="nil"/>
              <w:right w:val="nil"/>
            </w:tcBorders>
            <w:shd w:val="clear" w:color="auto" w:fill="auto"/>
            <w:noWrap/>
            <w:vAlign w:val="center"/>
            <w:hideMark/>
          </w:tcPr>
          <w:p w14:paraId="23D9A0D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17,5</w:t>
            </w:r>
          </w:p>
        </w:tc>
        <w:tc>
          <w:tcPr>
            <w:tcW w:w="778" w:type="dxa"/>
            <w:tcBorders>
              <w:top w:val="nil"/>
              <w:left w:val="nil"/>
              <w:bottom w:val="nil"/>
              <w:right w:val="nil"/>
            </w:tcBorders>
            <w:shd w:val="clear" w:color="auto" w:fill="auto"/>
            <w:noWrap/>
            <w:vAlign w:val="bottom"/>
            <w:hideMark/>
          </w:tcPr>
          <w:p w14:paraId="6EFD062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2.606</w:t>
            </w:r>
          </w:p>
        </w:tc>
        <w:tc>
          <w:tcPr>
            <w:tcW w:w="663" w:type="dxa"/>
            <w:tcBorders>
              <w:top w:val="nil"/>
              <w:left w:val="nil"/>
              <w:bottom w:val="nil"/>
              <w:right w:val="nil"/>
            </w:tcBorders>
            <w:shd w:val="clear" w:color="auto" w:fill="auto"/>
            <w:noWrap/>
            <w:vAlign w:val="bottom"/>
            <w:hideMark/>
          </w:tcPr>
          <w:p w14:paraId="7BE1745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18,8</w:t>
            </w:r>
          </w:p>
        </w:tc>
        <w:tc>
          <w:tcPr>
            <w:tcW w:w="778" w:type="dxa"/>
            <w:tcBorders>
              <w:top w:val="nil"/>
              <w:left w:val="nil"/>
              <w:bottom w:val="nil"/>
              <w:right w:val="nil"/>
            </w:tcBorders>
            <w:shd w:val="clear" w:color="auto" w:fill="auto"/>
            <w:noWrap/>
            <w:vAlign w:val="center"/>
            <w:hideMark/>
          </w:tcPr>
          <w:p w14:paraId="1338D86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7.712</w:t>
            </w:r>
          </w:p>
        </w:tc>
        <w:tc>
          <w:tcPr>
            <w:tcW w:w="663" w:type="dxa"/>
            <w:tcBorders>
              <w:top w:val="nil"/>
              <w:left w:val="nil"/>
              <w:bottom w:val="nil"/>
              <w:right w:val="nil"/>
            </w:tcBorders>
            <w:shd w:val="clear" w:color="auto" w:fill="auto"/>
            <w:noWrap/>
            <w:vAlign w:val="center"/>
            <w:hideMark/>
          </w:tcPr>
          <w:p w14:paraId="06D2436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17,4</w:t>
            </w:r>
          </w:p>
        </w:tc>
        <w:tc>
          <w:tcPr>
            <w:tcW w:w="792" w:type="dxa"/>
            <w:tcBorders>
              <w:top w:val="nil"/>
              <w:left w:val="nil"/>
              <w:bottom w:val="nil"/>
              <w:right w:val="nil"/>
            </w:tcBorders>
            <w:shd w:val="clear" w:color="auto" w:fill="auto"/>
            <w:noWrap/>
            <w:vAlign w:val="center"/>
            <w:hideMark/>
          </w:tcPr>
          <w:p w14:paraId="4B6FABE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14.181</w:t>
            </w:r>
          </w:p>
        </w:tc>
        <w:tc>
          <w:tcPr>
            <w:tcW w:w="678" w:type="dxa"/>
            <w:tcBorders>
              <w:top w:val="nil"/>
              <w:left w:val="nil"/>
              <w:bottom w:val="nil"/>
              <w:right w:val="nil"/>
            </w:tcBorders>
            <w:shd w:val="clear" w:color="auto" w:fill="auto"/>
            <w:noWrap/>
            <w:vAlign w:val="center"/>
            <w:hideMark/>
          </w:tcPr>
          <w:p w14:paraId="16231B6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16,8</w:t>
            </w:r>
          </w:p>
        </w:tc>
      </w:tr>
      <w:tr w:rsidR="00F56AB8" w:rsidRPr="0026351E" w14:paraId="5E4898D3" w14:textId="77777777" w:rsidTr="00A43D99">
        <w:trPr>
          <w:trHeight w:val="110"/>
        </w:trPr>
        <w:tc>
          <w:tcPr>
            <w:tcW w:w="3182" w:type="dxa"/>
            <w:tcBorders>
              <w:top w:val="nil"/>
              <w:left w:val="nil"/>
              <w:bottom w:val="nil"/>
              <w:right w:val="nil"/>
            </w:tcBorders>
            <w:shd w:val="clear" w:color="auto" w:fill="auto"/>
            <w:noWrap/>
            <w:vAlign w:val="bottom"/>
            <w:hideMark/>
          </w:tcPr>
          <w:p w14:paraId="77E047A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20-24</w:t>
            </w:r>
          </w:p>
        </w:tc>
        <w:tc>
          <w:tcPr>
            <w:tcW w:w="910" w:type="dxa"/>
            <w:tcBorders>
              <w:top w:val="nil"/>
              <w:left w:val="nil"/>
              <w:bottom w:val="nil"/>
              <w:right w:val="nil"/>
            </w:tcBorders>
            <w:shd w:val="clear" w:color="auto" w:fill="auto"/>
            <w:noWrap/>
            <w:vAlign w:val="center"/>
            <w:hideMark/>
          </w:tcPr>
          <w:p w14:paraId="722A444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16.833</w:t>
            </w:r>
          </w:p>
        </w:tc>
        <w:tc>
          <w:tcPr>
            <w:tcW w:w="663" w:type="dxa"/>
            <w:tcBorders>
              <w:top w:val="nil"/>
              <w:left w:val="nil"/>
              <w:bottom w:val="nil"/>
              <w:right w:val="nil"/>
            </w:tcBorders>
            <w:shd w:val="clear" w:color="auto" w:fill="auto"/>
            <w:noWrap/>
            <w:vAlign w:val="center"/>
            <w:hideMark/>
          </w:tcPr>
          <w:p w14:paraId="5A8A845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13,3</w:t>
            </w:r>
          </w:p>
        </w:tc>
        <w:tc>
          <w:tcPr>
            <w:tcW w:w="778" w:type="dxa"/>
            <w:tcBorders>
              <w:top w:val="nil"/>
              <w:left w:val="nil"/>
              <w:bottom w:val="nil"/>
              <w:right w:val="nil"/>
            </w:tcBorders>
            <w:shd w:val="clear" w:color="auto" w:fill="auto"/>
            <w:noWrap/>
            <w:vAlign w:val="bottom"/>
            <w:hideMark/>
          </w:tcPr>
          <w:p w14:paraId="0F0456D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2.172</w:t>
            </w:r>
          </w:p>
        </w:tc>
        <w:tc>
          <w:tcPr>
            <w:tcW w:w="663" w:type="dxa"/>
            <w:tcBorders>
              <w:top w:val="nil"/>
              <w:left w:val="nil"/>
              <w:bottom w:val="nil"/>
              <w:right w:val="nil"/>
            </w:tcBorders>
            <w:shd w:val="clear" w:color="auto" w:fill="auto"/>
            <w:noWrap/>
            <w:vAlign w:val="bottom"/>
            <w:hideMark/>
          </w:tcPr>
          <w:p w14:paraId="3483A63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15,7</w:t>
            </w:r>
          </w:p>
        </w:tc>
        <w:tc>
          <w:tcPr>
            <w:tcW w:w="778" w:type="dxa"/>
            <w:tcBorders>
              <w:top w:val="nil"/>
              <w:left w:val="nil"/>
              <w:bottom w:val="nil"/>
              <w:right w:val="nil"/>
            </w:tcBorders>
            <w:shd w:val="clear" w:color="auto" w:fill="auto"/>
            <w:noWrap/>
            <w:vAlign w:val="center"/>
            <w:hideMark/>
          </w:tcPr>
          <w:p w14:paraId="398D0D8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6.293</w:t>
            </w:r>
          </w:p>
        </w:tc>
        <w:tc>
          <w:tcPr>
            <w:tcW w:w="663" w:type="dxa"/>
            <w:tcBorders>
              <w:top w:val="nil"/>
              <w:left w:val="nil"/>
              <w:bottom w:val="nil"/>
              <w:right w:val="nil"/>
            </w:tcBorders>
            <w:shd w:val="clear" w:color="auto" w:fill="auto"/>
            <w:noWrap/>
            <w:vAlign w:val="center"/>
            <w:hideMark/>
          </w:tcPr>
          <w:p w14:paraId="734C198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14,2</w:t>
            </w:r>
          </w:p>
        </w:tc>
        <w:tc>
          <w:tcPr>
            <w:tcW w:w="792" w:type="dxa"/>
            <w:tcBorders>
              <w:top w:val="nil"/>
              <w:left w:val="nil"/>
              <w:bottom w:val="nil"/>
              <w:right w:val="nil"/>
            </w:tcBorders>
            <w:shd w:val="clear" w:color="auto" w:fill="auto"/>
            <w:noWrap/>
            <w:vAlign w:val="center"/>
            <w:hideMark/>
          </w:tcPr>
          <w:p w14:paraId="497C400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12.537</w:t>
            </w:r>
          </w:p>
        </w:tc>
        <w:tc>
          <w:tcPr>
            <w:tcW w:w="678" w:type="dxa"/>
            <w:tcBorders>
              <w:top w:val="nil"/>
              <w:left w:val="nil"/>
              <w:bottom w:val="nil"/>
              <w:right w:val="nil"/>
            </w:tcBorders>
            <w:shd w:val="clear" w:color="auto" w:fill="auto"/>
            <w:noWrap/>
            <w:vAlign w:val="center"/>
            <w:hideMark/>
          </w:tcPr>
          <w:p w14:paraId="3EB26E9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14,9</w:t>
            </w:r>
          </w:p>
        </w:tc>
      </w:tr>
      <w:tr w:rsidR="00F56AB8" w:rsidRPr="0026351E" w14:paraId="3D8ECF27" w14:textId="77777777" w:rsidTr="00A43D99">
        <w:trPr>
          <w:trHeight w:val="212"/>
        </w:trPr>
        <w:tc>
          <w:tcPr>
            <w:tcW w:w="3182" w:type="dxa"/>
            <w:tcBorders>
              <w:top w:val="nil"/>
              <w:left w:val="nil"/>
              <w:bottom w:val="nil"/>
              <w:right w:val="nil"/>
            </w:tcBorders>
            <w:shd w:val="clear" w:color="auto" w:fill="auto"/>
            <w:noWrap/>
            <w:vAlign w:val="bottom"/>
            <w:hideMark/>
          </w:tcPr>
          <w:p w14:paraId="221BC2ED"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25-29</w:t>
            </w:r>
          </w:p>
        </w:tc>
        <w:tc>
          <w:tcPr>
            <w:tcW w:w="910" w:type="dxa"/>
            <w:tcBorders>
              <w:top w:val="nil"/>
              <w:left w:val="nil"/>
              <w:bottom w:val="nil"/>
              <w:right w:val="nil"/>
            </w:tcBorders>
            <w:shd w:val="clear" w:color="auto" w:fill="auto"/>
            <w:noWrap/>
            <w:vAlign w:val="center"/>
            <w:hideMark/>
          </w:tcPr>
          <w:p w14:paraId="1E11C3A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14.801</w:t>
            </w:r>
          </w:p>
        </w:tc>
        <w:tc>
          <w:tcPr>
            <w:tcW w:w="663" w:type="dxa"/>
            <w:tcBorders>
              <w:top w:val="nil"/>
              <w:left w:val="nil"/>
              <w:bottom w:val="nil"/>
              <w:right w:val="nil"/>
            </w:tcBorders>
            <w:shd w:val="clear" w:color="auto" w:fill="auto"/>
            <w:noWrap/>
            <w:vAlign w:val="center"/>
            <w:hideMark/>
          </w:tcPr>
          <w:p w14:paraId="2A8AE6E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11,7</w:t>
            </w:r>
          </w:p>
        </w:tc>
        <w:tc>
          <w:tcPr>
            <w:tcW w:w="778" w:type="dxa"/>
            <w:tcBorders>
              <w:top w:val="nil"/>
              <w:left w:val="nil"/>
              <w:bottom w:val="nil"/>
              <w:right w:val="nil"/>
            </w:tcBorders>
            <w:shd w:val="clear" w:color="auto" w:fill="auto"/>
            <w:noWrap/>
            <w:vAlign w:val="bottom"/>
            <w:hideMark/>
          </w:tcPr>
          <w:p w14:paraId="2DC92FF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1.641</w:t>
            </w:r>
          </w:p>
        </w:tc>
        <w:tc>
          <w:tcPr>
            <w:tcW w:w="663" w:type="dxa"/>
            <w:tcBorders>
              <w:top w:val="nil"/>
              <w:left w:val="nil"/>
              <w:bottom w:val="nil"/>
              <w:right w:val="nil"/>
            </w:tcBorders>
            <w:shd w:val="clear" w:color="auto" w:fill="auto"/>
            <w:noWrap/>
            <w:vAlign w:val="bottom"/>
            <w:hideMark/>
          </w:tcPr>
          <w:p w14:paraId="1A410C5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11,8</w:t>
            </w:r>
          </w:p>
        </w:tc>
        <w:tc>
          <w:tcPr>
            <w:tcW w:w="778" w:type="dxa"/>
            <w:tcBorders>
              <w:top w:val="nil"/>
              <w:left w:val="nil"/>
              <w:bottom w:val="nil"/>
              <w:right w:val="nil"/>
            </w:tcBorders>
            <w:shd w:val="clear" w:color="auto" w:fill="auto"/>
            <w:noWrap/>
            <w:vAlign w:val="center"/>
            <w:hideMark/>
          </w:tcPr>
          <w:p w14:paraId="4C832CA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5.518</w:t>
            </w:r>
          </w:p>
        </w:tc>
        <w:tc>
          <w:tcPr>
            <w:tcW w:w="663" w:type="dxa"/>
            <w:tcBorders>
              <w:top w:val="nil"/>
              <w:left w:val="nil"/>
              <w:bottom w:val="nil"/>
              <w:right w:val="nil"/>
            </w:tcBorders>
            <w:shd w:val="clear" w:color="auto" w:fill="auto"/>
            <w:noWrap/>
            <w:vAlign w:val="center"/>
            <w:hideMark/>
          </w:tcPr>
          <w:p w14:paraId="5F544A8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12,4</w:t>
            </w:r>
          </w:p>
        </w:tc>
        <w:tc>
          <w:tcPr>
            <w:tcW w:w="792" w:type="dxa"/>
            <w:tcBorders>
              <w:top w:val="nil"/>
              <w:left w:val="nil"/>
              <w:bottom w:val="nil"/>
              <w:right w:val="nil"/>
            </w:tcBorders>
            <w:shd w:val="clear" w:color="auto" w:fill="auto"/>
            <w:noWrap/>
            <w:vAlign w:val="center"/>
            <w:hideMark/>
          </w:tcPr>
          <w:p w14:paraId="3FBCB4D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10.604</w:t>
            </w:r>
          </w:p>
        </w:tc>
        <w:tc>
          <w:tcPr>
            <w:tcW w:w="678" w:type="dxa"/>
            <w:tcBorders>
              <w:top w:val="nil"/>
              <w:left w:val="nil"/>
              <w:bottom w:val="nil"/>
              <w:right w:val="nil"/>
            </w:tcBorders>
            <w:shd w:val="clear" w:color="auto" w:fill="auto"/>
            <w:noWrap/>
            <w:vAlign w:val="center"/>
            <w:hideMark/>
          </w:tcPr>
          <w:p w14:paraId="4571E5E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12,6</w:t>
            </w:r>
          </w:p>
        </w:tc>
      </w:tr>
      <w:tr w:rsidR="00F56AB8" w:rsidRPr="0026351E" w14:paraId="36672FCB" w14:textId="77777777" w:rsidTr="00A43D99">
        <w:trPr>
          <w:trHeight w:val="212"/>
        </w:trPr>
        <w:tc>
          <w:tcPr>
            <w:tcW w:w="3182" w:type="dxa"/>
            <w:tcBorders>
              <w:top w:val="nil"/>
              <w:left w:val="nil"/>
              <w:bottom w:val="nil"/>
              <w:right w:val="nil"/>
            </w:tcBorders>
            <w:shd w:val="clear" w:color="auto" w:fill="auto"/>
            <w:noWrap/>
            <w:vAlign w:val="bottom"/>
            <w:hideMark/>
          </w:tcPr>
          <w:p w14:paraId="2AADD007"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30-34</w:t>
            </w:r>
          </w:p>
        </w:tc>
        <w:tc>
          <w:tcPr>
            <w:tcW w:w="910" w:type="dxa"/>
            <w:tcBorders>
              <w:top w:val="nil"/>
              <w:left w:val="nil"/>
              <w:bottom w:val="nil"/>
              <w:right w:val="nil"/>
            </w:tcBorders>
            <w:shd w:val="clear" w:color="auto" w:fill="auto"/>
            <w:noWrap/>
            <w:vAlign w:val="center"/>
            <w:hideMark/>
          </w:tcPr>
          <w:p w14:paraId="6912739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13.950</w:t>
            </w:r>
          </w:p>
        </w:tc>
        <w:tc>
          <w:tcPr>
            <w:tcW w:w="663" w:type="dxa"/>
            <w:tcBorders>
              <w:top w:val="nil"/>
              <w:left w:val="nil"/>
              <w:bottom w:val="nil"/>
              <w:right w:val="nil"/>
            </w:tcBorders>
            <w:shd w:val="clear" w:color="auto" w:fill="auto"/>
            <w:noWrap/>
            <w:vAlign w:val="center"/>
            <w:hideMark/>
          </w:tcPr>
          <w:p w14:paraId="03EA041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11,0</w:t>
            </w:r>
          </w:p>
        </w:tc>
        <w:tc>
          <w:tcPr>
            <w:tcW w:w="778" w:type="dxa"/>
            <w:tcBorders>
              <w:top w:val="nil"/>
              <w:left w:val="nil"/>
              <w:bottom w:val="nil"/>
              <w:right w:val="nil"/>
            </w:tcBorders>
            <w:shd w:val="clear" w:color="auto" w:fill="auto"/>
            <w:noWrap/>
            <w:vAlign w:val="bottom"/>
            <w:hideMark/>
          </w:tcPr>
          <w:p w14:paraId="43AA8BD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1.406</w:t>
            </w:r>
          </w:p>
        </w:tc>
        <w:tc>
          <w:tcPr>
            <w:tcW w:w="663" w:type="dxa"/>
            <w:tcBorders>
              <w:top w:val="nil"/>
              <w:left w:val="nil"/>
              <w:bottom w:val="nil"/>
              <w:right w:val="nil"/>
            </w:tcBorders>
            <w:shd w:val="clear" w:color="auto" w:fill="auto"/>
            <w:noWrap/>
            <w:vAlign w:val="bottom"/>
            <w:hideMark/>
          </w:tcPr>
          <w:p w14:paraId="00C4840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10,1</w:t>
            </w:r>
          </w:p>
        </w:tc>
        <w:tc>
          <w:tcPr>
            <w:tcW w:w="778" w:type="dxa"/>
            <w:tcBorders>
              <w:top w:val="nil"/>
              <w:left w:val="nil"/>
              <w:bottom w:val="nil"/>
              <w:right w:val="nil"/>
            </w:tcBorders>
            <w:shd w:val="clear" w:color="auto" w:fill="auto"/>
            <w:noWrap/>
            <w:vAlign w:val="center"/>
            <w:hideMark/>
          </w:tcPr>
          <w:p w14:paraId="0E09420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4.708</w:t>
            </w:r>
          </w:p>
        </w:tc>
        <w:tc>
          <w:tcPr>
            <w:tcW w:w="663" w:type="dxa"/>
            <w:tcBorders>
              <w:top w:val="nil"/>
              <w:left w:val="nil"/>
              <w:bottom w:val="nil"/>
              <w:right w:val="nil"/>
            </w:tcBorders>
            <w:shd w:val="clear" w:color="auto" w:fill="auto"/>
            <w:noWrap/>
            <w:vAlign w:val="center"/>
            <w:hideMark/>
          </w:tcPr>
          <w:p w14:paraId="1437DA3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10,6</w:t>
            </w:r>
          </w:p>
        </w:tc>
        <w:tc>
          <w:tcPr>
            <w:tcW w:w="792" w:type="dxa"/>
            <w:tcBorders>
              <w:top w:val="nil"/>
              <w:left w:val="nil"/>
              <w:bottom w:val="nil"/>
              <w:right w:val="nil"/>
            </w:tcBorders>
            <w:shd w:val="clear" w:color="auto" w:fill="auto"/>
            <w:noWrap/>
            <w:vAlign w:val="center"/>
            <w:hideMark/>
          </w:tcPr>
          <w:p w14:paraId="3DBA7D9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9.815</w:t>
            </w:r>
          </w:p>
        </w:tc>
        <w:tc>
          <w:tcPr>
            <w:tcW w:w="678" w:type="dxa"/>
            <w:tcBorders>
              <w:top w:val="nil"/>
              <w:left w:val="nil"/>
              <w:bottom w:val="nil"/>
              <w:right w:val="nil"/>
            </w:tcBorders>
            <w:shd w:val="clear" w:color="auto" w:fill="auto"/>
            <w:noWrap/>
            <w:vAlign w:val="center"/>
            <w:hideMark/>
          </w:tcPr>
          <w:p w14:paraId="36715F7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11,6</w:t>
            </w:r>
          </w:p>
        </w:tc>
      </w:tr>
      <w:tr w:rsidR="00F56AB8" w:rsidRPr="0026351E" w14:paraId="59F260AD" w14:textId="77777777" w:rsidTr="00A43D99">
        <w:trPr>
          <w:trHeight w:val="212"/>
        </w:trPr>
        <w:tc>
          <w:tcPr>
            <w:tcW w:w="3182" w:type="dxa"/>
            <w:tcBorders>
              <w:top w:val="nil"/>
              <w:left w:val="nil"/>
              <w:bottom w:val="nil"/>
              <w:right w:val="nil"/>
            </w:tcBorders>
            <w:shd w:val="clear" w:color="auto" w:fill="auto"/>
            <w:noWrap/>
            <w:vAlign w:val="bottom"/>
            <w:hideMark/>
          </w:tcPr>
          <w:p w14:paraId="2FA14C00"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35-39</w:t>
            </w:r>
          </w:p>
        </w:tc>
        <w:tc>
          <w:tcPr>
            <w:tcW w:w="910" w:type="dxa"/>
            <w:tcBorders>
              <w:top w:val="nil"/>
              <w:left w:val="nil"/>
              <w:bottom w:val="nil"/>
              <w:right w:val="nil"/>
            </w:tcBorders>
            <w:shd w:val="clear" w:color="auto" w:fill="auto"/>
            <w:noWrap/>
            <w:vAlign w:val="center"/>
            <w:hideMark/>
          </w:tcPr>
          <w:p w14:paraId="59ED59E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12.413</w:t>
            </w:r>
          </w:p>
        </w:tc>
        <w:tc>
          <w:tcPr>
            <w:tcW w:w="663" w:type="dxa"/>
            <w:tcBorders>
              <w:top w:val="nil"/>
              <w:left w:val="nil"/>
              <w:bottom w:val="nil"/>
              <w:right w:val="nil"/>
            </w:tcBorders>
            <w:shd w:val="clear" w:color="auto" w:fill="auto"/>
            <w:noWrap/>
            <w:vAlign w:val="center"/>
            <w:hideMark/>
          </w:tcPr>
          <w:p w14:paraId="019E5B0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9,8</w:t>
            </w:r>
          </w:p>
        </w:tc>
        <w:tc>
          <w:tcPr>
            <w:tcW w:w="778" w:type="dxa"/>
            <w:tcBorders>
              <w:top w:val="nil"/>
              <w:left w:val="nil"/>
              <w:bottom w:val="nil"/>
              <w:right w:val="nil"/>
            </w:tcBorders>
            <w:shd w:val="clear" w:color="auto" w:fill="auto"/>
            <w:noWrap/>
            <w:vAlign w:val="bottom"/>
            <w:hideMark/>
          </w:tcPr>
          <w:p w14:paraId="3316847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1.202</w:t>
            </w:r>
          </w:p>
        </w:tc>
        <w:tc>
          <w:tcPr>
            <w:tcW w:w="663" w:type="dxa"/>
            <w:tcBorders>
              <w:top w:val="nil"/>
              <w:left w:val="nil"/>
              <w:bottom w:val="nil"/>
              <w:right w:val="nil"/>
            </w:tcBorders>
            <w:shd w:val="clear" w:color="auto" w:fill="auto"/>
            <w:noWrap/>
            <w:vAlign w:val="bottom"/>
            <w:hideMark/>
          </w:tcPr>
          <w:p w14:paraId="01E4A52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8,7</w:t>
            </w:r>
          </w:p>
        </w:tc>
        <w:tc>
          <w:tcPr>
            <w:tcW w:w="778" w:type="dxa"/>
            <w:tcBorders>
              <w:top w:val="nil"/>
              <w:left w:val="nil"/>
              <w:bottom w:val="nil"/>
              <w:right w:val="nil"/>
            </w:tcBorders>
            <w:shd w:val="clear" w:color="auto" w:fill="auto"/>
            <w:noWrap/>
            <w:vAlign w:val="center"/>
            <w:hideMark/>
          </w:tcPr>
          <w:p w14:paraId="3BA1431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4.430</w:t>
            </w:r>
          </w:p>
        </w:tc>
        <w:tc>
          <w:tcPr>
            <w:tcW w:w="663" w:type="dxa"/>
            <w:tcBorders>
              <w:top w:val="nil"/>
              <w:left w:val="nil"/>
              <w:bottom w:val="nil"/>
              <w:right w:val="nil"/>
            </w:tcBorders>
            <w:shd w:val="clear" w:color="auto" w:fill="auto"/>
            <w:noWrap/>
            <w:vAlign w:val="center"/>
            <w:hideMark/>
          </w:tcPr>
          <w:p w14:paraId="3497B11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10,0</w:t>
            </w:r>
          </w:p>
        </w:tc>
        <w:tc>
          <w:tcPr>
            <w:tcW w:w="792" w:type="dxa"/>
            <w:tcBorders>
              <w:top w:val="nil"/>
              <w:left w:val="nil"/>
              <w:bottom w:val="nil"/>
              <w:right w:val="nil"/>
            </w:tcBorders>
            <w:shd w:val="clear" w:color="auto" w:fill="auto"/>
            <w:noWrap/>
            <w:vAlign w:val="center"/>
            <w:hideMark/>
          </w:tcPr>
          <w:p w14:paraId="3A71D5D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8.487</w:t>
            </w:r>
          </w:p>
        </w:tc>
        <w:tc>
          <w:tcPr>
            <w:tcW w:w="678" w:type="dxa"/>
            <w:tcBorders>
              <w:top w:val="nil"/>
              <w:left w:val="nil"/>
              <w:bottom w:val="nil"/>
              <w:right w:val="nil"/>
            </w:tcBorders>
            <w:shd w:val="clear" w:color="auto" w:fill="auto"/>
            <w:noWrap/>
            <w:vAlign w:val="center"/>
            <w:hideMark/>
          </w:tcPr>
          <w:p w14:paraId="3C245C3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10,1</w:t>
            </w:r>
          </w:p>
        </w:tc>
      </w:tr>
      <w:tr w:rsidR="00F56AB8" w:rsidRPr="0026351E" w14:paraId="3241A4F6" w14:textId="77777777" w:rsidTr="00A43D99">
        <w:trPr>
          <w:trHeight w:val="212"/>
        </w:trPr>
        <w:tc>
          <w:tcPr>
            <w:tcW w:w="3182" w:type="dxa"/>
            <w:tcBorders>
              <w:top w:val="nil"/>
              <w:left w:val="nil"/>
              <w:bottom w:val="nil"/>
              <w:right w:val="nil"/>
            </w:tcBorders>
            <w:shd w:val="clear" w:color="auto" w:fill="auto"/>
            <w:noWrap/>
            <w:vAlign w:val="bottom"/>
            <w:hideMark/>
          </w:tcPr>
          <w:p w14:paraId="4273BD9D"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40-44</w:t>
            </w:r>
          </w:p>
        </w:tc>
        <w:tc>
          <w:tcPr>
            <w:tcW w:w="910" w:type="dxa"/>
            <w:tcBorders>
              <w:top w:val="nil"/>
              <w:left w:val="nil"/>
              <w:bottom w:val="nil"/>
              <w:right w:val="nil"/>
            </w:tcBorders>
            <w:shd w:val="clear" w:color="auto" w:fill="auto"/>
            <w:noWrap/>
            <w:vAlign w:val="center"/>
            <w:hideMark/>
          </w:tcPr>
          <w:p w14:paraId="6D3E180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11.668</w:t>
            </w:r>
          </w:p>
        </w:tc>
        <w:tc>
          <w:tcPr>
            <w:tcW w:w="663" w:type="dxa"/>
            <w:tcBorders>
              <w:top w:val="nil"/>
              <w:left w:val="nil"/>
              <w:bottom w:val="nil"/>
              <w:right w:val="nil"/>
            </w:tcBorders>
            <w:shd w:val="clear" w:color="auto" w:fill="auto"/>
            <w:noWrap/>
            <w:vAlign w:val="center"/>
            <w:hideMark/>
          </w:tcPr>
          <w:p w14:paraId="022CEF9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9,2</w:t>
            </w:r>
          </w:p>
        </w:tc>
        <w:tc>
          <w:tcPr>
            <w:tcW w:w="778" w:type="dxa"/>
            <w:tcBorders>
              <w:top w:val="nil"/>
              <w:left w:val="nil"/>
              <w:bottom w:val="nil"/>
              <w:right w:val="nil"/>
            </w:tcBorders>
            <w:shd w:val="clear" w:color="auto" w:fill="auto"/>
            <w:noWrap/>
            <w:vAlign w:val="bottom"/>
            <w:hideMark/>
          </w:tcPr>
          <w:p w14:paraId="10F0DB2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1.135</w:t>
            </w:r>
          </w:p>
        </w:tc>
        <w:tc>
          <w:tcPr>
            <w:tcW w:w="663" w:type="dxa"/>
            <w:tcBorders>
              <w:top w:val="nil"/>
              <w:left w:val="nil"/>
              <w:bottom w:val="nil"/>
              <w:right w:val="nil"/>
            </w:tcBorders>
            <w:shd w:val="clear" w:color="auto" w:fill="auto"/>
            <w:noWrap/>
            <w:vAlign w:val="bottom"/>
            <w:hideMark/>
          </w:tcPr>
          <w:p w14:paraId="0314832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8,2</w:t>
            </w:r>
          </w:p>
        </w:tc>
        <w:tc>
          <w:tcPr>
            <w:tcW w:w="778" w:type="dxa"/>
            <w:tcBorders>
              <w:top w:val="nil"/>
              <w:left w:val="nil"/>
              <w:bottom w:val="nil"/>
              <w:right w:val="nil"/>
            </w:tcBorders>
            <w:shd w:val="clear" w:color="auto" w:fill="auto"/>
            <w:noWrap/>
            <w:vAlign w:val="center"/>
            <w:hideMark/>
          </w:tcPr>
          <w:p w14:paraId="44F9003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4.010</w:t>
            </w:r>
          </w:p>
        </w:tc>
        <w:tc>
          <w:tcPr>
            <w:tcW w:w="663" w:type="dxa"/>
            <w:tcBorders>
              <w:top w:val="nil"/>
              <w:left w:val="nil"/>
              <w:bottom w:val="nil"/>
              <w:right w:val="nil"/>
            </w:tcBorders>
            <w:shd w:val="clear" w:color="auto" w:fill="auto"/>
            <w:noWrap/>
            <w:vAlign w:val="center"/>
            <w:hideMark/>
          </w:tcPr>
          <w:p w14:paraId="1F89C73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9,0</w:t>
            </w:r>
          </w:p>
        </w:tc>
        <w:tc>
          <w:tcPr>
            <w:tcW w:w="792" w:type="dxa"/>
            <w:tcBorders>
              <w:top w:val="nil"/>
              <w:left w:val="nil"/>
              <w:bottom w:val="nil"/>
              <w:right w:val="nil"/>
            </w:tcBorders>
            <w:shd w:val="clear" w:color="auto" w:fill="auto"/>
            <w:noWrap/>
            <w:vAlign w:val="center"/>
            <w:hideMark/>
          </w:tcPr>
          <w:p w14:paraId="03ABC71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7.338</w:t>
            </w:r>
          </w:p>
        </w:tc>
        <w:tc>
          <w:tcPr>
            <w:tcW w:w="678" w:type="dxa"/>
            <w:tcBorders>
              <w:top w:val="nil"/>
              <w:left w:val="nil"/>
              <w:bottom w:val="nil"/>
              <w:right w:val="nil"/>
            </w:tcBorders>
            <w:shd w:val="clear" w:color="auto" w:fill="auto"/>
            <w:noWrap/>
            <w:vAlign w:val="center"/>
            <w:hideMark/>
          </w:tcPr>
          <w:p w14:paraId="7002B0B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8,7</w:t>
            </w:r>
          </w:p>
        </w:tc>
      </w:tr>
      <w:tr w:rsidR="00F56AB8" w:rsidRPr="0026351E" w14:paraId="46F09C33" w14:textId="77777777" w:rsidTr="00A43D99">
        <w:trPr>
          <w:trHeight w:val="212"/>
        </w:trPr>
        <w:tc>
          <w:tcPr>
            <w:tcW w:w="3182" w:type="dxa"/>
            <w:tcBorders>
              <w:top w:val="nil"/>
              <w:left w:val="nil"/>
              <w:bottom w:val="nil"/>
              <w:right w:val="nil"/>
            </w:tcBorders>
            <w:shd w:val="clear" w:color="auto" w:fill="auto"/>
            <w:noWrap/>
            <w:vAlign w:val="bottom"/>
            <w:hideMark/>
          </w:tcPr>
          <w:p w14:paraId="1B62346E"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45-49</w:t>
            </w:r>
          </w:p>
        </w:tc>
        <w:tc>
          <w:tcPr>
            <w:tcW w:w="910" w:type="dxa"/>
            <w:tcBorders>
              <w:top w:val="nil"/>
              <w:left w:val="nil"/>
              <w:bottom w:val="nil"/>
              <w:right w:val="nil"/>
            </w:tcBorders>
            <w:shd w:val="clear" w:color="auto" w:fill="auto"/>
            <w:noWrap/>
            <w:vAlign w:val="center"/>
            <w:hideMark/>
          </w:tcPr>
          <w:p w14:paraId="2182293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10.556</w:t>
            </w:r>
          </w:p>
        </w:tc>
        <w:tc>
          <w:tcPr>
            <w:tcW w:w="663" w:type="dxa"/>
            <w:tcBorders>
              <w:top w:val="nil"/>
              <w:left w:val="nil"/>
              <w:bottom w:val="nil"/>
              <w:right w:val="nil"/>
            </w:tcBorders>
            <w:shd w:val="clear" w:color="auto" w:fill="auto"/>
            <w:noWrap/>
            <w:vAlign w:val="center"/>
            <w:hideMark/>
          </w:tcPr>
          <w:p w14:paraId="1974FBB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8,3</w:t>
            </w:r>
          </w:p>
        </w:tc>
        <w:tc>
          <w:tcPr>
            <w:tcW w:w="778" w:type="dxa"/>
            <w:tcBorders>
              <w:top w:val="nil"/>
              <w:left w:val="nil"/>
              <w:bottom w:val="nil"/>
              <w:right w:val="nil"/>
            </w:tcBorders>
            <w:shd w:val="clear" w:color="auto" w:fill="auto"/>
            <w:noWrap/>
            <w:vAlign w:val="bottom"/>
            <w:hideMark/>
          </w:tcPr>
          <w:p w14:paraId="37E9DDF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1.208</w:t>
            </w:r>
          </w:p>
        </w:tc>
        <w:tc>
          <w:tcPr>
            <w:tcW w:w="663" w:type="dxa"/>
            <w:tcBorders>
              <w:top w:val="nil"/>
              <w:left w:val="nil"/>
              <w:bottom w:val="nil"/>
              <w:right w:val="nil"/>
            </w:tcBorders>
            <w:shd w:val="clear" w:color="auto" w:fill="auto"/>
            <w:noWrap/>
            <w:vAlign w:val="bottom"/>
            <w:hideMark/>
          </w:tcPr>
          <w:p w14:paraId="21F647C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8,7</w:t>
            </w:r>
          </w:p>
        </w:tc>
        <w:tc>
          <w:tcPr>
            <w:tcW w:w="778" w:type="dxa"/>
            <w:tcBorders>
              <w:top w:val="nil"/>
              <w:left w:val="nil"/>
              <w:bottom w:val="nil"/>
              <w:right w:val="nil"/>
            </w:tcBorders>
            <w:shd w:val="clear" w:color="auto" w:fill="auto"/>
            <w:noWrap/>
            <w:vAlign w:val="center"/>
            <w:hideMark/>
          </w:tcPr>
          <w:p w14:paraId="002D0D8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3.418</w:t>
            </w:r>
          </w:p>
        </w:tc>
        <w:tc>
          <w:tcPr>
            <w:tcW w:w="663" w:type="dxa"/>
            <w:tcBorders>
              <w:top w:val="nil"/>
              <w:left w:val="nil"/>
              <w:bottom w:val="nil"/>
              <w:right w:val="nil"/>
            </w:tcBorders>
            <w:shd w:val="clear" w:color="auto" w:fill="auto"/>
            <w:noWrap/>
            <w:vAlign w:val="center"/>
            <w:hideMark/>
          </w:tcPr>
          <w:p w14:paraId="5B6C417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7,7</w:t>
            </w:r>
          </w:p>
        </w:tc>
        <w:tc>
          <w:tcPr>
            <w:tcW w:w="792" w:type="dxa"/>
            <w:tcBorders>
              <w:top w:val="nil"/>
              <w:left w:val="nil"/>
              <w:bottom w:val="nil"/>
              <w:right w:val="nil"/>
            </w:tcBorders>
            <w:shd w:val="clear" w:color="auto" w:fill="auto"/>
            <w:noWrap/>
            <w:vAlign w:val="center"/>
            <w:hideMark/>
          </w:tcPr>
          <w:p w14:paraId="63185B2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6.309</w:t>
            </w:r>
          </w:p>
        </w:tc>
        <w:tc>
          <w:tcPr>
            <w:tcW w:w="678" w:type="dxa"/>
            <w:tcBorders>
              <w:top w:val="nil"/>
              <w:left w:val="nil"/>
              <w:bottom w:val="nil"/>
              <w:right w:val="nil"/>
            </w:tcBorders>
            <w:shd w:val="clear" w:color="auto" w:fill="auto"/>
            <w:noWrap/>
            <w:vAlign w:val="center"/>
            <w:hideMark/>
          </w:tcPr>
          <w:p w14:paraId="386CF49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7,5</w:t>
            </w:r>
          </w:p>
        </w:tc>
      </w:tr>
      <w:tr w:rsidR="00F56AB8" w:rsidRPr="0026351E" w14:paraId="56EA3521" w14:textId="77777777" w:rsidTr="00A43D99">
        <w:trPr>
          <w:trHeight w:val="212"/>
        </w:trPr>
        <w:tc>
          <w:tcPr>
            <w:tcW w:w="3182" w:type="dxa"/>
            <w:tcBorders>
              <w:top w:val="nil"/>
              <w:left w:val="nil"/>
              <w:bottom w:val="nil"/>
              <w:right w:val="nil"/>
            </w:tcBorders>
            <w:shd w:val="clear" w:color="auto" w:fill="auto"/>
            <w:noWrap/>
            <w:vAlign w:val="bottom"/>
            <w:hideMark/>
          </w:tcPr>
          <w:p w14:paraId="17A52BB8"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50-54</w:t>
            </w:r>
          </w:p>
        </w:tc>
        <w:tc>
          <w:tcPr>
            <w:tcW w:w="910" w:type="dxa"/>
            <w:tcBorders>
              <w:top w:val="nil"/>
              <w:left w:val="nil"/>
              <w:bottom w:val="nil"/>
              <w:right w:val="nil"/>
            </w:tcBorders>
            <w:shd w:val="clear" w:color="auto" w:fill="auto"/>
            <w:noWrap/>
            <w:vAlign w:val="center"/>
            <w:hideMark/>
          </w:tcPr>
          <w:p w14:paraId="368AE77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9.273</w:t>
            </w:r>
          </w:p>
        </w:tc>
        <w:tc>
          <w:tcPr>
            <w:tcW w:w="663" w:type="dxa"/>
            <w:tcBorders>
              <w:top w:val="nil"/>
              <w:left w:val="nil"/>
              <w:bottom w:val="nil"/>
              <w:right w:val="nil"/>
            </w:tcBorders>
            <w:shd w:val="clear" w:color="auto" w:fill="auto"/>
            <w:noWrap/>
            <w:vAlign w:val="center"/>
            <w:hideMark/>
          </w:tcPr>
          <w:p w14:paraId="09DFA8B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7,3</w:t>
            </w:r>
          </w:p>
        </w:tc>
        <w:tc>
          <w:tcPr>
            <w:tcW w:w="778" w:type="dxa"/>
            <w:tcBorders>
              <w:top w:val="nil"/>
              <w:left w:val="nil"/>
              <w:bottom w:val="nil"/>
              <w:right w:val="nil"/>
            </w:tcBorders>
            <w:shd w:val="clear" w:color="auto" w:fill="auto"/>
            <w:noWrap/>
            <w:vAlign w:val="bottom"/>
            <w:hideMark/>
          </w:tcPr>
          <w:p w14:paraId="6458231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862</w:t>
            </w:r>
          </w:p>
        </w:tc>
        <w:tc>
          <w:tcPr>
            <w:tcW w:w="663" w:type="dxa"/>
            <w:tcBorders>
              <w:top w:val="nil"/>
              <w:left w:val="nil"/>
              <w:bottom w:val="nil"/>
              <w:right w:val="nil"/>
            </w:tcBorders>
            <w:shd w:val="clear" w:color="auto" w:fill="auto"/>
            <w:noWrap/>
            <w:vAlign w:val="bottom"/>
            <w:hideMark/>
          </w:tcPr>
          <w:p w14:paraId="2446DC1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6,2</w:t>
            </w:r>
          </w:p>
        </w:tc>
        <w:tc>
          <w:tcPr>
            <w:tcW w:w="778" w:type="dxa"/>
            <w:tcBorders>
              <w:top w:val="nil"/>
              <w:left w:val="nil"/>
              <w:bottom w:val="nil"/>
              <w:right w:val="nil"/>
            </w:tcBorders>
            <w:shd w:val="clear" w:color="auto" w:fill="auto"/>
            <w:noWrap/>
            <w:vAlign w:val="center"/>
            <w:hideMark/>
          </w:tcPr>
          <w:p w14:paraId="4D75EA5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2.960</w:t>
            </w:r>
          </w:p>
        </w:tc>
        <w:tc>
          <w:tcPr>
            <w:tcW w:w="663" w:type="dxa"/>
            <w:tcBorders>
              <w:top w:val="nil"/>
              <w:left w:val="nil"/>
              <w:bottom w:val="nil"/>
              <w:right w:val="nil"/>
            </w:tcBorders>
            <w:shd w:val="clear" w:color="auto" w:fill="auto"/>
            <w:noWrap/>
            <w:vAlign w:val="center"/>
            <w:hideMark/>
          </w:tcPr>
          <w:p w14:paraId="3FAC0E3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6,7</w:t>
            </w:r>
          </w:p>
        </w:tc>
        <w:tc>
          <w:tcPr>
            <w:tcW w:w="792" w:type="dxa"/>
            <w:tcBorders>
              <w:top w:val="nil"/>
              <w:left w:val="nil"/>
              <w:bottom w:val="nil"/>
              <w:right w:val="nil"/>
            </w:tcBorders>
            <w:shd w:val="clear" w:color="auto" w:fill="auto"/>
            <w:noWrap/>
            <w:vAlign w:val="center"/>
            <w:hideMark/>
          </w:tcPr>
          <w:p w14:paraId="46A9D1B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5.391</w:t>
            </w:r>
          </w:p>
        </w:tc>
        <w:tc>
          <w:tcPr>
            <w:tcW w:w="678" w:type="dxa"/>
            <w:tcBorders>
              <w:top w:val="nil"/>
              <w:left w:val="nil"/>
              <w:bottom w:val="nil"/>
              <w:right w:val="nil"/>
            </w:tcBorders>
            <w:shd w:val="clear" w:color="auto" w:fill="auto"/>
            <w:noWrap/>
            <w:vAlign w:val="center"/>
            <w:hideMark/>
          </w:tcPr>
          <w:p w14:paraId="7BDFE1E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6,4</w:t>
            </w:r>
          </w:p>
        </w:tc>
      </w:tr>
      <w:tr w:rsidR="00F56AB8" w:rsidRPr="0026351E" w14:paraId="2E172B49" w14:textId="77777777" w:rsidTr="00A43D99">
        <w:trPr>
          <w:trHeight w:val="212"/>
        </w:trPr>
        <w:tc>
          <w:tcPr>
            <w:tcW w:w="3182" w:type="dxa"/>
            <w:tcBorders>
              <w:top w:val="nil"/>
              <w:left w:val="nil"/>
              <w:right w:val="nil"/>
            </w:tcBorders>
            <w:shd w:val="clear" w:color="auto" w:fill="auto"/>
            <w:noWrap/>
            <w:vAlign w:val="bottom"/>
            <w:hideMark/>
          </w:tcPr>
          <w:p w14:paraId="72052780"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55-59</w:t>
            </w:r>
          </w:p>
        </w:tc>
        <w:tc>
          <w:tcPr>
            <w:tcW w:w="910" w:type="dxa"/>
            <w:tcBorders>
              <w:top w:val="nil"/>
              <w:left w:val="nil"/>
              <w:right w:val="nil"/>
            </w:tcBorders>
            <w:shd w:val="clear" w:color="auto" w:fill="auto"/>
            <w:noWrap/>
            <w:vAlign w:val="center"/>
            <w:hideMark/>
          </w:tcPr>
          <w:p w14:paraId="4AC944A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7.548</w:t>
            </w:r>
          </w:p>
        </w:tc>
        <w:tc>
          <w:tcPr>
            <w:tcW w:w="663" w:type="dxa"/>
            <w:tcBorders>
              <w:top w:val="nil"/>
              <w:left w:val="nil"/>
              <w:right w:val="nil"/>
            </w:tcBorders>
            <w:shd w:val="clear" w:color="auto" w:fill="auto"/>
            <w:noWrap/>
            <w:vAlign w:val="center"/>
            <w:hideMark/>
          </w:tcPr>
          <w:p w14:paraId="265B648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6,0</w:t>
            </w:r>
          </w:p>
        </w:tc>
        <w:tc>
          <w:tcPr>
            <w:tcW w:w="778" w:type="dxa"/>
            <w:tcBorders>
              <w:top w:val="nil"/>
              <w:left w:val="nil"/>
              <w:bottom w:val="nil"/>
              <w:right w:val="nil"/>
            </w:tcBorders>
            <w:shd w:val="clear" w:color="auto" w:fill="auto"/>
            <w:noWrap/>
            <w:vAlign w:val="bottom"/>
            <w:hideMark/>
          </w:tcPr>
          <w:p w14:paraId="1B2D63A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907</w:t>
            </w:r>
          </w:p>
        </w:tc>
        <w:tc>
          <w:tcPr>
            <w:tcW w:w="663" w:type="dxa"/>
            <w:tcBorders>
              <w:top w:val="nil"/>
              <w:left w:val="nil"/>
              <w:bottom w:val="nil"/>
              <w:right w:val="nil"/>
            </w:tcBorders>
            <w:shd w:val="clear" w:color="auto" w:fill="auto"/>
            <w:noWrap/>
            <w:vAlign w:val="bottom"/>
            <w:hideMark/>
          </w:tcPr>
          <w:p w14:paraId="375566E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6,5</w:t>
            </w:r>
          </w:p>
        </w:tc>
        <w:tc>
          <w:tcPr>
            <w:tcW w:w="778" w:type="dxa"/>
            <w:tcBorders>
              <w:top w:val="nil"/>
              <w:left w:val="nil"/>
              <w:bottom w:val="nil"/>
              <w:right w:val="nil"/>
            </w:tcBorders>
            <w:shd w:val="clear" w:color="auto" w:fill="auto"/>
            <w:noWrap/>
            <w:vAlign w:val="center"/>
            <w:hideMark/>
          </w:tcPr>
          <w:p w14:paraId="625A305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2.737</w:t>
            </w:r>
          </w:p>
        </w:tc>
        <w:tc>
          <w:tcPr>
            <w:tcW w:w="663" w:type="dxa"/>
            <w:tcBorders>
              <w:top w:val="nil"/>
              <w:left w:val="nil"/>
              <w:bottom w:val="nil"/>
              <w:right w:val="nil"/>
            </w:tcBorders>
            <w:shd w:val="clear" w:color="auto" w:fill="auto"/>
            <w:noWrap/>
            <w:vAlign w:val="center"/>
            <w:hideMark/>
          </w:tcPr>
          <w:p w14:paraId="38FE6EA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6,2</w:t>
            </w:r>
          </w:p>
        </w:tc>
        <w:tc>
          <w:tcPr>
            <w:tcW w:w="792" w:type="dxa"/>
            <w:tcBorders>
              <w:top w:val="nil"/>
              <w:left w:val="nil"/>
              <w:bottom w:val="nil"/>
              <w:right w:val="nil"/>
            </w:tcBorders>
            <w:shd w:val="clear" w:color="auto" w:fill="auto"/>
            <w:noWrap/>
            <w:vAlign w:val="center"/>
            <w:hideMark/>
          </w:tcPr>
          <w:p w14:paraId="13E8A53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4.982</w:t>
            </w:r>
          </w:p>
        </w:tc>
        <w:tc>
          <w:tcPr>
            <w:tcW w:w="678" w:type="dxa"/>
            <w:tcBorders>
              <w:top w:val="nil"/>
              <w:left w:val="nil"/>
              <w:bottom w:val="nil"/>
              <w:right w:val="nil"/>
            </w:tcBorders>
            <w:shd w:val="clear" w:color="auto" w:fill="auto"/>
            <w:noWrap/>
            <w:vAlign w:val="center"/>
            <w:hideMark/>
          </w:tcPr>
          <w:p w14:paraId="5F17C61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5,9</w:t>
            </w:r>
          </w:p>
        </w:tc>
      </w:tr>
      <w:tr w:rsidR="00F56AB8" w:rsidRPr="0026351E" w14:paraId="17B19D60" w14:textId="77777777" w:rsidTr="00A43D99">
        <w:trPr>
          <w:trHeight w:val="212"/>
        </w:trPr>
        <w:tc>
          <w:tcPr>
            <w:tcW w:w="3182" w:type="dxa"/>
            <w:tcBorders>
              <w:top w:val="nil"/>
              <w:left w:val="nil"/>
              <w:bottom w:val="nil"/>
              <w:right w:val="nil"/>
            </w:tcBorders>
            <w:shd w:val="clear" w:color="auto" w:fill="auto"/>
            <w:noWrap/>
            <w:vAlign w:val="bottom"/>
            <w:hideMark/>
          </w:tcPr>
          <w:p w14:paraId="49E45B92"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60-64</w:t>
            </w:r>
          </w:p>
        </w:tc>
        <w:tc>
          <w:tcPr>
            <w:tcW w:w="910" w:type="dxa"/>
            <w:tcBorders>
              <w:top w:val="nil"/>
              <w:left w:val="nil"/>
              <w:bottom w:val="nil"/>
              <w:right w:val="nil"/>
            </w:tcBorders>
            <w:shd w:val="clear" w:color="auto" w:fill="auto"/>
            <w:noWrap/>
            <w:vAlign w:val="center"/>
            <w:hideMark/>
          </w:tcPr>
          <w:p w14:paraId="5899D7E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7.556</w:t>
            </w:r>
          </w:p>
        </w:tc>
        <w:tc>
          <w:tcPr>
            <w:tcW w:w="663" w:type="dxa"/>
            <w:tcBorders>
              <w:top w:val="nil"/>
              <w:left w:val="nil"/>
              <w:bottom w:val="nil"/>
              <w:right w:val="nil"/>
            </w:tcBorders>
            <w:shd w:val="clear" w:color="auto" w:fill="auto"/>
            <w:noWrap/>
            <w:vAlign w:val="center"/>
            <w:hideMark/>
          </w:tcPr>
          <w:p w14:paraId="20FC163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6,0</w:t>
            </w:r>
          </w:p>
        </w:tc>
        <w:tc>
          <w:tcPr>
            <w:tcW w:w="778" w:type="dxa"/>
            <w:tcBorders>
              <w:top w:val="nil"/>
              <w:left w:val="nil"/>
              <w:bottom w:val="nil"/>
              <w:right w:val="nil"/>
            </w:tcBorders>
            <w:shd w:val="clear" w:color="auto" w:fill="auto"/>
            <w:noWrap/>
            <w:vAlign w:val="bottom"/>
            <w:hideMark/>
          </w:tcPr>
          <w:p w14:paraId="01ED851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717</w:t>
            </w:r>
          </w:p>
        </w:tc>
        <w:tc>
          <w:tcPr>
            <w:tcW w:w="663" w:type="dxa"/>
            <w:tcBorders>
              <w:top w:val="nil"/>
              <w:left w:val="nil"/>
              <w:bottom w:val="nil"/>
              <w:right w:val="nil"/>
            </w:tcBorders>
            <w:shd w:val="clear" w:color="auto" w:fill="auto"/>
            <w:noWrap/>
            <w:vAlign w:val="bottom"/>
            <w:hideMark/>
          </w:tcPr>
          <w:p w14:paraId="10178AE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hAnsi="Times New Roman" w:cs="Times New Roman"/>
                <w:color w:val="000000"/>
                <w:sz w:val="18"/>
                <w:szCs w:val="18"/>
              </w:rPr>
              <w:t>5,2</w:t>
            </w:r>
          </w:p>
        </w:tc>
        <w:tc>
          <w:tcPr>
            <w:tcW w:w="778" w:type="dxa"/>
            <w:tcBorders>
              <w:top w:val="nil"/>
              <w:left w:val="nil"/>
              <w:bottom w:val="nil"/>
              <w:right w:val="nil"/>
            </w:tcBorders>
            <w:shd w:val="clear" w:color="auto" w:fill="auto"/>
            <w:noWrap/>
            <w:vAlign w:val="center"/>
            <w:hideMark/>
          </w:tcPr>
          <w:p w14:paraId="7238F86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2.547</w:t>
            </w:r>
          </w:p>
        </w:tc>
        <w:tc>
          <w:tcPr>
            <w:tcW w:w="663" w:type="dxa"/>
            <w:tcBorders>
              <w:top w:val="nil"/>
              <w:left w:val="nil"/>
              <w:bottom w:val="nil"/>
              <w:right w:val="nil"/>
            </w:tcBorders>
            <w:shd w:val="clear" w:color="auto" w:fill="auto"/>
            <w:noWrap/>
            <w:vAlign w:val="center"/>
            <w:hideMark/>
          </w:tcPr>
          <w:p w14:paraId="0E9E0CD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5,7</w:t>
            </w:r>
          </w:p>
        </w:tc>
        <w:tc>
          <w:tcPr>
            <w:tcW w:w="792" w:type="dxa"/>
            <w:tcBorders>
              <w:top w:val="nil"/>
              <w:left w:val="nil"/>
              <w:bottom w:val="nil"/>
              <w:right w:val="nil"/>
            </w:tcBorders>
            <w:shd w:val="clear" w:color="auto" w:fill="auto"/>
            <w:noWrap/>
            <w:vAlign w:val="center"/>
            <w:hideMark/>
          </w:tcPr>
          <w:p w14:paraId="605E646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4.674</w:t>
            </w:r>
          </w:p>
        </w:tc>
        <w:tc>
          <w:tcPr>
            <w:tcW w:w="678" w:type="dxa"/>
            <w:tcBorders>
              <w:top w:val="nil"/>
              <w:left w:val="nil"/>
              <w:bottom w:val="nil"/>
              <w:right w:val="nil"/>
            </w:tcBorders>
            <w:shd w:val="clear" w:color="auto" w:fill="auto"/>
            <w:noWrap/>
            <w:vAlign w:val="center"/>
            <w:hideMark/>
          </w:tcPr>
          <w:p w14:paraId="203E78E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5,5</w:t>
            </w:r>
          </w:p>
        </w:tc>
      </w:tr>
      <w:tr w:rsidR="00F56AB8" w:rsidRPr="0026351E" w14:paraId="187F0504" w14:textId="77777777" w:rsidTr="00A43D99">
        <w:trPr>
          <w:trHeight w:val="212"/>
        </w:trPr>
        <w:tc>
          <w:tcPr>
            <w:tcW w:w="3182" w:type="dxa"/>
            <w:tcBorders>
              <w:top w:val="nil"/>
              <w:left w:val="nil"/>
              <w:bottom w:val="single" w:sz="4" w:space="0" w:color="auto"/>
              <w:right w:val="nil"/>
            </w:tcBorders>
            <w:shd w:val="clear" w:color="auto" w:fill="auto"/>
            <w:noWrap/>
            <w:vAlign w:val="bottom"/>
            <w:hideMark/>
          </w:tcPr>
          <w:p w14:paraId="13EF22BA"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910" w:type="dxa"/>
            <w:tcBorders>
              <w:top w:val="nil"/>
              <w:left w:val="nil"/>
              <w:bottom w:val="single" w:sz="4" w:space="0" w:color="auto"/>
              <w:right w:val="nil"/>
            </w:tcBorders>
            <w:shd w:val="clear" w:color="auto" w:fill="auto"/>
            <w:noWrap/>
            <w:vAlign w:val="center"/>
            <w:hideMark/>
          </w:tcPr>
          <w:p w14:paraId="5813EB8C"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126.726</w:t>
            </w:r>
          </w:p>
        </w:tc>
        <w:tc>
          <w:tcPr>
            <w:tcW w:w="663" w:type="dxa"/>
            <w:tcBorders>
              <w:top w:val="nil"/>
              <w:left w:val="nil"/>
              <w:bottom w:val="single" w:sz="4" w:space="0" w:color="auto"/>
              <w:right w:val="nil"/>
            </w:tcBorders>
            <w:shd w:val="clear" w:color="auto" w:fill="auto"/>
            <w:noWrap/>
            <w:vAlign w:val="center"/>
            <w:hideMark/>
          </w:tcPr>
          <w:p w14:paraId="0F40399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bottom"/>
            <w:hideMark/>
          </w:tcPr>
          <w:p w14:paraId="2DEF417C"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hAnsi="Times New Roman" w:cs="Times New Roman"/>
                <w:b/>
                <w:bCs/>
                <w:sz w:val="18"/>
                <w:szCs w:val="18"/>
              </w:rPr>
              <w:t>13.856</w:t>
            </w:r>
          </w:p>
        </w:tc>
        <w:tc>
          <w:tcPr>
            <w:tcW w:w="663" w:type="dxa"/>
            <w:tcBorders>
              <w:top w:val="nil"/>
              <w:left w:val="nil"/>
              <w:bottom w:val="single" w:sz="4" w:space="0" w:color="auto"/>
              <w:right w:val="nil"/>
            </w:tcBorders>
            <w:shd w:val="clear" w:color="auto" w:fill="auto"/>
            <w:noWrap/>
            <w:vAlign w:val="bottom"/>
            <w:hideMark/>
          </w:tcPr>
          <w:p w14:paraId="4EAFF8C7"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hAnsi="Times New Roman" w:cs="Times New Roman"/>
                <w:b/>
                <w:bCs/>
                <w:sz w:val="18"/>
                <w:szCs w:val="18"/>
              </w:rPr>
              <w:t>100,0</w:t>
            </w:r>
          </w:p>
        </w:tc>
        <w:tc>
          <w:tcPr>
            <w:tcW w:w="778" w:type="dxa"/>
            <w:tcBorders>
              <w:top w:val="nil"/>
              <w:left w:val="nil"/>
              <w:bottom w:val="single" w:sz="4" w:space="0" w:color="auto"/>
              <w:right w:val="nil"/>
            </w:tcBorders>
            <w:shd w:val="clear" w:color="auto" w:fill="auto"/>
            <w:noWrap/>
            <w:vAlign w:val="center"/>
            <w:hideMark/>
          </w:tcPr>
          <w:p w14:paraId="4FE7D61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44.333</w:t>
            </w:r>
          </w:p>
        </w:tc>
        <w:tc>
          <w:tcPr>
            <w:tcW w:w="663" w:type="dxa"/>
            <w:tcBorders>
              <w:top w:val="nil"/>
              <w:left w:val="nil"/>
              <w:bottom w:val="single" w:sz="4" w:space="0" w:color="auto"/>
              <w:right w:val="nil"/>
            </w:tcBorders>
            <w:shd w:val="clear" w:color="auto" w:fill="auto"/>
            <w:noWrap/>
            <w:vAlign w:val="center"/>
            <w:hideMark/>
          </w:tcPr>
          <w:p w14:paraId="0C0DFEF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92" w:type="dxa"/>
            <w:tcBorders>
              <w:top w:val="nil"/>
              <w:left w:val="nil"/>
              <w:bottom w:val="single" w:sz="4" w:space="0" w:color="auto"/>
              <w:right w:val="nil"/>
            </w:tcBorders>
            <w:shd w:val="clear" w:color="auto" w:fill="auto"/>
            <w:noWrap/>
            <w:vAlign w:val="center"/>
            <w:hideMark/>
          </w:tcPr>
          <w:p w14:paraId="0FFBEB55"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84.318</w:t>
            </w:r>
          </w:p>
        </w:tc>
        <w:tc>
          <w:tcPr>
            <w:tcW w:w="678" w:type="dxa"/>
            <w:tcBorders>
              <w:top w:val="nil"/>
              <w:left w:val="nil"/>
              <w:bottom w:val="single" w:sz="4" w:space="0" w:color="auto"/>
              <w:right w:val="nil"/>
            </w:tcBorders>
            <w:shd w:val="clear" w:color="auto" w:fill="auto"/>
            <w:noWrap/>
            <w:vAlign w:val="center"/>
            <w:hideMark/>
          </w:tcPr>
          <w:p w14:paraId="4E7FD0E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4321054A" w14:textId="77777777" w:rsidTr="00A43D99">
        <w:trPr>
          <w:trHeight w:val="212"/>
        </w:trPr>
        <w:tc>
          <w:tcPr>
            <w:tcW w:w="4092" w:type="dxa"/>
            <w:gridSpan w:val="2"/>
            <w:tcBorders>
              <w:top w:val="single" w:sz="4" w:space="0" w:color="auto"/>
              <w:left w:val="nil"/>
              <w:right w:val="nil"/>
            </w:tcBorders>
            <w:shd w:val="clear" w:color="auto" w:fill="auto"/>
            <w:noWrap/>
            <w:vAlign w:val="bottom"/>
            <w:hideMark/>
          </w:tcPr>
          <w:p w14:paraId="5BF03A07"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r w:rsidRPr="0026351E">
              <w:rPr>
                <w:rFonts w:ascii="Times New Roman" w:eastAsia="Times New Roman" w:hAnsi="Times New Roman" w:cs="Times New Roman"/>
                <w:i/>
                <w:iCs/>
                <w:sz w:val="18"/>
                <w:szCs w:val="18"/>
                <w:lang w:eastAsia="pt-BR"/>
              </w:rPr>
              <w:t>Nível de Instrução</w:t>
            </w:r>
          </w:p>
        </w:tc>
        <w:tc>
          <w:tcPr>
            <w:tcW w:w="663" w:type="dxa"/>
            <w:tcBorders>
              <w:top w:val="single" w:sz="4" w:space="0" w:color="auto"/>
              <w:left w:val="nil"/>
              <w:bottom w:val="nil"/>
              <w:right w:val="nil"/>
            </w:tcBorders>
            <w:shd w:val="clear" w:color="auto" w:fill="auto"/>
            <w:noWrap/>
            <w:vAlign w:val="center"/>
            <w:hideMark/>
          </w:tcPr>
          <w:p w14:paraId="29EEF4A3"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p>
        </w:tc>
        <w:tc>
          <w:tcPr>
            <w:tcW w:w="778" w:type="dxa"/>
            <w:tcBorders>
              <w:top w:val="nil"/>
              <w:left w:val="nil"/>
              <w:bottom w:val="nil"/>
              <w:right w:val="nil"/>
            </w:tcBorders>
            <w:shd w:val="clear" w:color="auto" w:fill="auto"/>
            <w:noWrap/>
            <w:vAlign w:val="center"/>
            <w:hideMark/>
          </w:tcPr>
          <w:p w14:paraId="4F2BDFB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center"/>
            <w:hideMark/>
          </w:tcPr>
          <w:p w14:paraId="61333D4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778" w:type="dxa"/>
            <w:tcBorders>
              <w:top w:val="nil"/>
              <w:left w:val="nil"/>
              <w:bottom w:val="nil"/>
              <w:right w:val="nil"/>
            </w:tcBorders>
            <w:shd w:val="clear" w:color="auto" w:fill="auto"/>
            <w:noWrap/>
            <w:vAlign w:val="center"/>
            <w:hideMark/>
          </w:tcPr>
          <w:p w14:paraId="05C2FB6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center"/>
            <w:hideMark/>
          </w:tcPr>
          <w:p w14:paraId="2432744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792" w:type="dxa"/>
            <w:tcBorders>
              <w:top w:val="nil"/>
              <w:left w:val="nil"/>
              <w:bottom w:val="nil"/>
              <w:right w:val="nil"/>
            </w:tcBorders>
            <w:shd w:val="clear" w:color="auto" w:fill="auto"/>
            <w:noWrap/>
            <w:vAlign w:val="center"/>
            <w:hideMark/>
          </w:tcPr>
          <w:p w14:paraId="3EA2CE6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78" w:type="dxa"/>
            <w:tcBorders>
              <w:top w:val="nil"/>
              <w:left w:val="nil"/>
              <w:bottom w:val="nil"/>
              <w:right w:val="nil"/>
            </w:tcBorders>
            <w:shd w:val="clear" w:color="auto" w:fill="auto"/>
            <w:noWrap/>
            <w:vAlign w:val="center"/>
            <w:hideMark/>
          </w:tcPr>
          <w:p w14:paraId="06D5621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r>
      <w:tr w:rsidR="00F56AB8" w:rsidRPr="0026351E" w14:paraId="1E314C44" w14:textId="77777777" w:rsidTr="00A43D99">
        <w:trPr>
          <w:trHeight w:val="212"/>
        </w:trPr>
        <w:tc>
          <w:tcPr>
            <w:tcW w:w="3182" w:type="dxa"/>
            <w:tcBorders>
              <w:left w:val="nil"/>
              <w:bottom w:val="nil"/>
              <w:right w:val="nil"/>
            </w:tcBorders>
            <w:shd w:val="clear" w:color="auto" w:fill="auto"/>
            <w:noWrap/>
            <w:vAlign w:val="bottom"/>
            <w:hideMark/>
          </w:tcPr>
          <w:p w14:paraId="64D4C82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Sem inst. e fund. </w:t>
            </w:r>
            <w:proofErr w:type="spellStart"/>
            <w:r w:rsidRPr="0026351E">
              <w:rPr>
                <w:rFonts w:ascii="Times New Roman" w:eastAsia="Times New Roman" w:hAnsi="Times New Roman" w:cs="Times New Roman"/>
                <w:sz w:val="18"/>
                <w:szCs w:val="18"/>
                <w:lang w:eastAsia="pt-BR"/>
              </w:rPr>
              <w:t>Incomp</w:t>
            </w:r>
            <w:proofErr w:type="spellEnd"/>
            <w:r w:rsidRPr="0026351E">
              <w:rPr>
                <w:rFonts w:ascii="Times New Roman" w:eastAsia="Times New Roman" w:hAnsi="Times New Roman" w:cs="Times New Roman"/>
                <w:sz w:val="18"/>
                <w:szCs w:val="18"/>
                <w:lang w:eastAsia="pt-BR"/>
              </w:rPr>
              <w:t>.</w:t>
            </w:r>
          </w:p>
        </w:tc>
        <w:tc>
          <w:tcPr>
            <w:tcW w:w="910" w:type="dxa"/>
            <w:tcBorders>
              <w:left w:val="nil"/>
              <w:bottom w:val="nil"/>
              <w:right w:val="nil"/>
            </w:tcBorders>
            <w:shd w:val="clear" w:color="auto" w:fill="auto"/>
            <w:noWrap/>
            <w:vAlign w:val="center"/>
            <w:hideMark/>
          </w:tcPr>
          <w:p w14:paraId="520FDCC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99.270</w:t>
            </w:r>
          </w:p>
        </w:tc>
        <w:tc>
          <w:tcPr>
            <w:tcW w:w="663" w:type="dxa"/>
            <w:tcBorders>
              <w:top w:val="nil"/>
              <w:left w:val="nil"/>
              <w:bottom w:val="nil"/>
              <w:right w:val="nil"/>
            </w:tcBorders>
            <w:shd w:val="clear" w:color="auto" w:fill="auto"/>
            <w:noWrap/>
            <w:vAlign w:val="center"/>
            <w:hideMark/>
          </w:tcPr>
          <w:p w14:paraId="4594CEB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78,3</w:t>
            </w:r>
          </w:p>
        </w:tc>
        <w:tc>
          <w:tcPr>
            <w:tcW w:w="778" w:type="dxa"/>
            <w:tcBorders>
              <w:top w:val="nil"/>
              <w:left w:val="nil"/>
              <w:bottom w:val="nil"/>
              <w:right w:val="nil"/>
            </w:tcBorders>
            <w:shd w:val="clear" w:color="auto" w:fill="auto"/>
            <w:noWrap/>
            <w:vAlign w:val="center"/>
            <w:hideMark/>
          </w:tcPr>
          <w:p w14:paraId="78CB7DA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9.805</w:t>
            </w:r>
          </w:p>
        </w:tc>
        <w:tc>
          <w:tcPr>
            <w:tcW w:w="663" w:type="dxa"/>
            <w:tcBorders>
              <w:top w:val="nil"/>
              <w:left w:val="nil"/>
              <w:bottom w:val="nil"/>
              <w:right w:val="nil"/>
            </w:tcBorders>
            <w:shd w:val="clear" w:color="auto" w:fill="auto"/>
            <w:noWrap/>
            <w:vAlign w:val="center"/>
            <w:hideMark/>
          </w:tcPr>
          <w:p w14:paraId="31A03F7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70,7</w:t>
            </w:r>
          </w:p>
        </w:tc>
        <w:tc>
          <w:tcPr>
            <w:tcW w:w="778" w:type="dxa"/>
            <w:tcBorders>
              <w:top w:val="nil"/>
              <w:left w:val="nil"/>
              <w:bottom w:val="nil"/>
              <w:right w:val="nil"/>
            </w:tcBorders>
            <w:shd w:val="clear" w:color="auto" w:fill="auto"/>
            <w:noWrap/>
            <w:vAlign w:val="center"/>
            <w:hideMark/>
          </w:tcPr>
          <w:p w14:paraId="6BAFA34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33.820</w:t>
            </w:r>
          </w:p>
        </w:tc>
        <w:tc>
          <w:tcPr>
            <w:tcW w:w="663" w:type="dxa"/>
            <w:tcBorders>
              <w:top w:val="nil"/>
              <w:left w:val="nil"/>
              <w:bottom w:val="nil"/>
              <w:right w:val="nil"/>
            </w:tcBorders>
            <w:shd w:val="clear" w:color="auto" w:fill="auto"/>
            <w:noWrap/>
            <w:vAlign w:val="center"/>
            <w:hideMark/>
          </w:tcPr>
          <w:p w14:paraId="4C18B07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76,3</w:t>
            </w:r>
          </w:p>
        </w:tc>
        <w:tc>
          <w:tcPr>
            <w:tcW w:w="792" w:type="dxa"/>
            <w:tcBorders>
              <w:top w:val="nil"/>
              <w:left w:val="nil"/>
              <w:bottom w:val="nil"/>
              <w:right w:val="nil"/>
            </w:tcBorders>
            <w:shd w:val="clear" w:color="auto" w:fill="auto"/>
            <w:noWrap/>
            <w:vAlign w:val="center"/>
            <w:hideMark/>
          </w:tcPr>
          <w:p w14:paraId="6A36A9D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63.897</w:t>
            </w:r>
          </w:p>
        </w:tc>
        <w:tc>
          <w:tcPr>
            <w:tcW w:w="678" w:type="dxa"/>
            <w:tcBorders>
              <w:top w:val="nil"/>
              <w:left w:val="nil"/>
              <w:bottom w:val="nil"/>
              <w:right w:val="nil"/>
            </w:tcBorders>
            <w:shd w:val="clear" w:color="auto" w:fill="auto"/>
            <w:noWrap/>
            <w:vAlign w:val="center"/>
            <w:hideMark/>
          </w:tcPr>
          <w:p w14:paraId="4E1F349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75,8</w:t>
            </w:r>
          </w:p>
        </w:tc>
      </w:tr>
      <w:tr w:rsidR="00F56AB8" w:rsidRPr="0026351E" w14:paraId="6A467780" w14:textId="77777777" w:rsidTr="00A43D99">
        <w:trPr>
          <w:trHeight w:val="212"/>
        </w:trPr>
        <w:tc>
          <w:tcPr>
            <w:tcW w:w="3182" w:type="dxa"/>
            <w:tcBorders>
              <w:top w:val="nil"/>
              <w:left w:val="nil"/>
              <w:bottom w:val="nil"/>
              <w:right w:val="nil"/>
            </w:tcBorders>
            <w:shd w:val="clear" w:color="auto" w:fill="auto"/>
            <w:noWrap/>
            <w:vAlign w:val="bottom"/>
            <w:hideMark/>
          </w:tcPr>
          <w:p w14:paraId="64478426"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Fund. Comp. e médio </w:t>
            </w:r>
            <w:proofErr w:type="spellStart"/>
            <w:r w:rsidRPr="0026351E">
              <w:rPr>
                <w:rFonts w:ascii="Times New Roman" w:eastAsia="Times New Roman" w:hAnsi="Times New Roman" w:cs="Times New Roman"/>
                <w:sz w:val="18"/>
                <w:szCs w:val="18"/>
                <w:lang w:eastAsia="pt-BR"/>
              </w:rPr>
              <w:t>incomp</w:t>
            </w:r>
            <w:proofErr w:type="spellEnd"/>
            <w:r w:rsidRPr="0026351E">
              <w:rPr>
                <w:rFonts w:ascii="Times New Roman" w:eastAsia="Times New Roman" w:hAnsi="Times New Roman" w:cs="Times New Roman"/>
                <w:sz w:val="18"/>
                <w:szCs w:val="18"/>
                <w:lang w:eastAsia="pt-BR"/>
              </w:rPr>
              <w:t>.</w:t>
            </w:r>
          </w:p>
        </w:tc>
        <w:tc>
          <w:tcPr>
            <w:tcW w:w="910" w:type="dxa"/>
            <w:tcBorders>
              <w:top w:val="nil"/>
              <w:left w:val="nil"/>
              <w:bottom w:val="nil"/>
              <w:right w:val="nil"/>
            </w:tcBorders>
            <w:shd w:val="clear" w:color="auto" w:fill="auto"/>
            <w:noWrap/>
            <w:vAlign w:val="center"/>
            <w:hideMark/>
          </w:tcPr>
          <w:p w14:paraId="26A58F8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16.378</w:t>
            </w:r>
          </w:p>
        </w:tc>
        <w:tc>
          <w:tcPr>
            <w:tcW w:w="663" w:type="dxa"/>
            <w:tcBorders>
              <w:top w:val="nil"/>
              <w:left w:val="nil"/>
              <w:bottom w:val="nil"/>
              <w:right w:val="nil"/>
            </w:tcBorders>
            <w:shd w:val="clear" w:color="auto" w:fill="auto"/>
            <w:noWrap/>
            <w:vAlign w:val="center"/>
            <w:hideMark/>
          </w:tcPr>
          <w:p w14:paraId="3880133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12,9</w:t>
            </w:r>
          </w:p>
        </w:tc>
        <w:tc>
          <w:tcPr>
            <w:tcW w:w="778" w:type="dxa"/>
            <w:tcBorders>
              <w:top w:val="nil"/>
              <w:left w:val="nil"/>
              <w:bottom w:val="nil"/>
              <w:right w:val="nil"/>
            </w:tcBorders>
            <w:shd w:val="clear" w:color="auto" w:fill="auto"/>
            <w:noWrap/>
            <w:vAlign w:val="center"/>
            <w:hideMark/>
          </w:tcPr>
          <w:p w14:paraId="246D473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2.086</w:t>
            </w:r>
          </w:p>
        </w:tc>
        <w:tc>
          <w:tcPr>
            <w:tcW w:w="663" w:type="dxa"/>
            <w:tcBorders>
              <w:top w:val="nil"/>
              <w:left w:val="nil"/>
              <w:bottom w:val="nil"/>
              <w:right w:val="nil"/>
            </w:tcBorders>
            <w:shd w:val="clear" w:color="auto" w:fill="auto"/>
            <w:noWrap/>
            <w:vAlign w:val="center"/>
            <w:hideMark/>
          </w:tcPr>
          <w:p w14:paraId="0F530CD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15,0</w:t>
            </w:r>
          </w:p>
        </w:tc>
        <w:tc>
          <w:tcPr>
            <w:tcW w:w="778" w:type="dxa"/>
            <w:tcBorders>
              <w:top w:val="nil"/>
              <w:left w:val="nil"/>
              <w:bottom w:val="nil"/>
              <w:right w:val="nil"/>
            </w:tcBorders>
            <w:shd w:val="clear" w:color="auto" w:fill="auto"/>
            <w:noWrap/>
            <w:vAlign w:val="center"/>
            <w:hideMark/>
          </w:tcPr>
          <w:p w14:paraId="001F41A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5.655</w:t>
            </w:r>
          </w:p>
        </w:tc>
        <w:tc>
          <w:tcPr>
            <w:tcW w:w="663" w:type="dxa"/>
            <w:tcBorders>
              <w:top w:val="nil"/>
              <w:left w:val="nil"/>
              <w:bottom w:val="nil"/>
              <w:right w:val="nil"/>
            </w:tcBorders>
            <w:shd w:val="clear" w:color="auto" w:fill="auto"/>
            <w:noWrap/>
            <w:vAlign w:val="center"/>
            <w:hideMark/>
          </w:tcPr>
          <w:p w14:paraId="4A25B4E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12,8</w:t>
            </w:r>
          </w:p>
        </w:tc>
        <w:tc>
          <w:tcPr>
            <w:tcW w:w="792" w:type="dxa"/>
            <w:tcBorders>
              <w:top w:val="nil"/>
              <w:left w:val="nil"/>
              <w:bottom w:val="nil"/>
              <w:right w:val="nil"/>
            </w:tcBorders>
            <w:shd w:val="clear" w:color="auto" w:fill="auto"/>
            <w:noWrap/>
            <w:vAlign w:val="center"/>
            <w:hideMark/>
          </w:tcPr>
          <w:p w14:paraId="239AB01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11.674</w:t>
            </w:r>
          </w:p>
        </w:tc>
        <w:tc>
          <w:tcPr>
            <w:tcW w:w="678" w:type="dxa"/>
            <w:tcBorders>
              <w:top w:val="nil"/>
              <w:left w:val="nil"/>
              <w:bottom w:val="nil"/>
              <w:right w:val="nil"/>
            </w:tcBorders>
            <w:shd w:val="clear" w:color="auto" w:fill="auto"/>
            <w:noWrap/>
            <w:vAlign w:val="center"/>
            <w:hideMark/>
          </w:tcPr>
          <w:p w14:paraId="0062D30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13,8</w:t>
            </w:r>
          </w:p>
        </w:tc>
      </w:tr>
      <w:tr w:rsidR="00F56AB8" w:rsidRPr="0026351E" w14:paraId="0D57EC94" w14:textId="77777777" w:rsidTr="00A43D99">
        <w:trPr>
          <w:trHeight w:val="212"/>
        </w:trPr>
        <w:tc>
          <w:tcPr>
            <w:tcW w:w="3182" w:type="dxa"/>
            <w:tcBorders>
              <w:top w:val="nil"/>
              <w:left w:val="nil"/>
              <w:bottom w:val="nil"/>
              <w:right w:val="nil"/>
            </w:tcBorders>
            <w:shd w:val="clear" w:color="auto" w:fill="auto"/>
            <w:noWrap/>
            <w:vAlign w:val="bottom"/>
            <w:hideMark/>
          </w:tcPr>
          <w:p w14:paraId="2C63600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Médio comp. e sup. </w:t>
            </w:r>
            <w:proofErr w:type="spellStart"/>
            <w:r w:rsidRPr="0026351E">
              <w:rPr>
                <w:rFonts w:ascii="Times New Roman" w:eastAsia="Times New Roman" w:hAnsi="Times New Roman" w:cs="Times New Roman"/>
                <w:sz w:val="18"/>
                <w:szCs w:val="18"/>
                <w:lang w:eastAsia="pt-BR"/>
              </w:rPr>
              <w:t>Incomp</w:t>
            </w:r>
            <w:proofErr w:type="spellEnd"/>
            <w:r w:rsidRPr="0026351E">
              <w:rPr>
                <w:rFonts w:ascii="Times New Roman" w:eastAsia="Times New Roman" w:hAnsi="Times New Roman" w:cs="Times New Roman"/>
                <w:sz w:val="18"/>
                <w:szCs w:val="18"/>
                <w:lang w:eastAsia="pt-BR"/>
              </w:rPr>
              <w:t>.</w:t>
            </w:r>
          </w:p>
        </w:tc>
        <w:tc>
          <w:tcPr>
            <w:tcW w:w="910" w:type="dxa"/>
            <w:tcBorders>
              <w:top w:val="nil"/>
              <w:left w:val="nil"/>
              <w:bottom w:val="nil"/>
              <w:right w:val="nil"/>
            </w:tcBorders>
            <w:shd w:val="clear" w:color="auto" w:fill="auto"/>
            <w:noWrap/>
            <w:vAlign w:val="center"/>
            <w:hideMark/>
          </w:tcPr>
          <w:p w14:paraId="7B682F2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9.763</w:t>
            </w:r>
          </w:p>
        </w:tc>
        <w:tc>
          <w:tcPr>
            <w:tcW w:w="663" w:type="dxa"/>
            <w:tcBorders>
              <w:top w:val="nil"/>
              <w:left w:val="nil"/>
              <w:bottom w:val="nil"/>
              <w:right w:val="nil"/>
            </w:tcBorders>
            <w:shd w:val="clear" w:color="auto" w:fill="auto"/>
            <w:noWrap/>
            <w:vAlign w:val="center"/>
            <w:hideMark/>
          </w:tcPr>
          <w:p w14:paraId="66E4FA7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7,7</w:t>
            </w:r>
          </w:p>
        </w:tc>
        <w:tc>
          <w:tcPr>
            <w:tcW w:w="778" w:type="dxa"/>
            <w:tcBorders>
              <w:top w:val="nil"/>
              <w:left w:val="nil"/>
              <w:bottom w:val="nil"/>
              <w:right w:val="nil"/>
            </w:tcBorders>
            <w:shd w:val="clear" w:color="auto" w:fill="auto"/>
            <w:noWrap/>
            <w:vAlign w:val="center"/>
            <w:hideMark/>
          </w:tcPr>
          <w:p w14:paraId="7969ECF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1.798</w:t>
            </w:r>
          </w:p>
        </w:tc>
        <w:tc>
          <w:tcPr>
            <w:tcW w:w="663" w:type="dxa"/>
            <w:tcBorders>
              <w:top w:val="nil"/>
              <w:left w:val="nil"/>
              <w:bottom w:val="nil"/>
              <w:right w:val="nil"/>
            </w:tcBorders>
            <w:shd w:val="clear" w:color="auto" w:fill="auto"/>
            <w:noWrap/>
            <w:vAlign w:val="center"/>
            <w:hideMark/>
          </w:tcPr>
          <w:p w14:paraId="6FB4A6F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13,0</w:t>
            </w:r>
          </w:p>
        </w:tc>
        <w:tc>
          <w:tcPr>
            <w:tcW w:w="778" w:type="dxa"/>
            <w:tcBorders>
              <w:top w:val="nil"/>
              <w:left w:val="nil"/>
              <w:bottom w:val="nil"/>
              <w:right w:val="nil"/>
            </w:tcBorders>
            <w:shd w:val="clear" w:color="auto" w:fill="auto"/>
            <w:noWrap/>
            <w:vAlign w:val="center"/>
            <w:hideMark/>
          </w:tcPr>
          <w:p w14:paraId="0076D0B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4.199</w:t>
            </w:r>
          </w:p>
        </w:tc>
        <w:tc>
          <w:tcPr>
            <w:tcW w:w="663" w:type="dxa"/>
            <w:tcBorders>
              <w:top w:val="nil"/>
              <w:left w:val="nil"/>
              <w:bottom w:val="nil"/>
              <w:right w:val="nil"/>
            </w:tcBorders>
            <w:shd w:val="clear" w:color="auto" w:fill="auto"/>
            <w:noWrap/>
            <w:vAlign w:val="center"/>
            <w:hideMark/>
          </w:tcPr>
          <w:p w14:paraId="6931B4C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9,5</w:t>
            </w:r>
          </w:p>
        </w:tc>
        <w:tc>
          <w:tcPr>
            <w:tcW w:w="792" w:type="dxa"/>
            <w:tcBorders>
              <w:top w:val="nil"/>
              <w:left w:val="nil"/>
              <w:bottom w:val="nil"/>
              <w:right w:val="nil"/>
            </w:tcBorders>
            <w:shd w:val="clear" w:color="auto" w:fill="auto"/>
            <w:noWrap/>
            <w:vAlign w:val="center"/>
            <w:hideMark/>
          </w:tcPr>
          <w:p w14:paraId="32F0136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7.631</w:t>
            </w:r>
          </w:p>
        </w:tc>
        <w:tc>
          <w:tcPr>
            <w:tcW w:w="678" w:type="dxa"/>
            <w:tcBorders>
              <w:top w:val="nil"/>
              <w:left w:val="nil"/>
              <w:bottom w:val="nil"/>
              <w:right w:val="nil"/>
            </w:tcBorders>
            <w:shd w:val="clear" w:color="auto" w:fill="auto"/>
            <w:noWrap/>
            <w:vAlign w:val="center"/>
            <w:hideMark/>
          </w:tcPr>
          <w:p w14:paraId="3F2519B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9,0</w:t>
            </w:r>
          </w:p>
        </w:tc>
      </w:tr>
      <w:tr w:rsidR="00F56AB8" w:rsidRPr="0026351E" w14:paraId="442C7A99" w14:textId="77777777" w:rsidTr="00A43D99">
        <w:trPr>
          <w:trHeight w:val="212"/>
        </w:trPr>
        <w:tc>
          <w:tcPr>
            <w:tcW w:w="3182" w:type="dxa"/>
            <w:tcBorders>
              <w:top w:val="nil"/>
              <w:left w:val="nil"/>
              <w:bottom w:val="nil"/>
              <w:right w:val="nil"/>
            </w:tcBorders>
            <w:shd w:val="clear" w:color="auto" w:fill="auto"/>
            <w:noWrap/>
            <w:vAlign w:val="bottom"/>
            <w:hideMark/>
          </w:tcPr>
          <w:p w14:paraId="011BA99C"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Superior completo</w:t>
            </w:r>
          </w:p>
        </w:tc>
        <w:tc>
          <w:tcPr>
            <w:tcW w:w="910" w:type="dxa"/>
            <w:tcBorders>
              <w:top w:val="nil"/>
              <w:left w:val="nil"/>
              <w:bottom w:val="nil"/>
              <w:right w:val="nil"/>
            </w:tcBorders>
            <w:shd w:val="clear" w:color="auto" w:fill="auto"/>
            <w:noWrap/>
            <w:vAlign w:val="center"/>
            <w:hideMark/>
          </w:tcPr>
          <w:p w14:paraId="1D466FD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562</w:t>
            </w:r>
          </w:p>
        </w:tc>
        <w:tc>
          <w:tcPr>
            <w:tcW w:w="663" w:type="dxa"/>
            <w:tcBorders>
              <w:top w:val="nil"/>
              <w:left w:val="nil"/>
              <w:bottom w:val="nil"/>
              <w:right w:val="nil"/>
            </w:tcBorders>
            <w:shd w:val="clear" w:color="auto" w:fill="auto"/>
            <w:noWrap/>
            <w:vAlign w:val="center"/>
            <w:hideMark/>
          </w:tcPr>
          <w:p w14:paraId="323E088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0,4</w:t>
            </w:r>
          </w:p>
        </w:tc>
        <w:tc>
          <w:tcPr>
            <w:tcW w:w="778" w:type="dxa"/>
            <w:tcBorders>
              <w:top w:val="nil"/>
              <w:left w:val="nil"/>
              <w:bottom w:val="nil"/>
              <w:right w:val="nil"/>
            </w:tcBorders>
            <w:shd w:val="clear" w:color="auto" w:fill="auto"/>
            <w:noWrap/>
            <w:vAlign w:val="center"/>
            <w:hideMark/>
          </w:tcPr>
          <w:p w14:paraId="10D97AC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108</w:t>
            </w:r>
          </w:p>
        </w:tc>
        <w:tc>
          <w:tcPr>
            <w:tcW w:w="663" w:type="dxa"/>
            <w:tcBorders>
              <w:top w:val="nil"/>
              <w:left w:val="nil"/>
              <w:bottom w:val="nil"/>
              <w:right w:val="nil"/>
            </w:tcBorders>
            <w:shd w:val="clear" w:color="auto" w:fill="auto"/>
            <w:noWrap/>
            <w:vAlign w:val="center"/>
            <w:hideMark/>
          </w:tcPr>
          <w:p w14:paraId="0247AC5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0,8</w:t>
            </w:r>
          </w:p>
        </w:tc>
        <w:tc>
          <w:tcPr>
            <w:tcW w:w="778" w:type="dxa"/>
            <w:tcBorders>
              <w:top w:val="nil"/>
              <w:left w:val="nil"/>
              <w:bottom w:val="nil"/>
              <w:right w:val="nil"/>
            </w:tcBorders>
            <w:shd w:val="clear" w:color="auto" w:fill="auto"/>
            <w:noWrap/>
            <w:vAlign w:val="center"/>
            <w:hideMark/>
          </w:tcPr>
          <w:p w14:paraId="12ABAD3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526</w:t>
            </w:r>
          </w:p>
        </w:tc>
        <w:tc>
          <w:tcPr>
            <w:tcW w:w="663" w:type="dxa"/>
            <w:tcBorders>
              <w:top w:val="nil"/>
              <w:left w:val="nil"/>
              <w:bottom w:val="nil"/>
              <w:right w:val="nil"/>
            </w:tcBorders>
            <w:shd w:val="clear" w:color="auto" w:fill="auto"/>
            <w:noWrap/>
            <w:vAlign w:val="center"/>
            <w:hideMark/>
          </w:tcPr>
          <w:p w14:paraId="5F1FB3E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w:t>
            </w:r>
          </w:p>
        </w:tc>
        <w:tc>
          <w:tcPr>
            <w:tcW w:w="792" w:type="dxa"/>
            <w:tcBorders>
              <w:top w:val="nil"/>
              <w:left w:val="nil"/>
              <w:bottom w:val="nil"/>
              <w:right w:val="nil"/>
            </w:tcBorders>
            <w:shd w:val="clear" w:color="auto" w:fill="auto"/>
            <w:noWrap/>
            <w:vAlign w:val="center"/>
            <w:hideMark/>
          </w:tcPr>
          <w:p w14:paraId="5E45E3F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645</w:t>
            </w:r>
          </w:p>
        </w:tc>
        <w:tc>
          <w:tcPr>
            <w:tcW w:w="678" w:type="dxa"/>
            <w:tcBorders>
              <w:top w:val="nil"/>
              <w:left w:val="nil"/>
              <w:bottom w:val="nil"/>
              <w:right w:val="nil"/>
            </w:tcBorders>
            <w:shd w:val="clear" w:color="auto" w:fill="auto"/>
            <w:noWrap/>
            <w:vAlign w:val="center"/>
            <w:hideMark/>
          </w:tcPr>
          <w:p w14:paraId="3A46AB7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0,8</w:t>
            </w:r>
          </w:p>
        </w:tc>
      </w:tr>
      <w:tr w:rsidR="00F56AB8" w:rsidRPr="0026351E" w14:paraId="3BCF8895" w14:textId="77777777" w:rsidTr="00A43D99">
        <w:trPr>
          <w:trHeight w:val="212"/>
        </w:trPr>
        <w:tc>
          <w:tcPr>
            <w:tcW w:w="3182" w:type="dxa"/>
            <w:tcBorders>
              <w:top w:val="nil"/>
              <w:left w:val="nil"/>
              <w:bottom w:val="nil"/>
              <w:right w:val="nil"/>
            </w:tcBorders>
            <w:shd w:val="clear" w:color="auto" w:fill="auto"/>
            <w:noWrap/>
            <w:vAlign w:val="bottom"/>
            <w:hideMark/>
          </w:tcPr>
          <w:p w14:paraId="79682A47"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Não determinado</w:t>
            </w:r>
          </w:p>
        </w:tc>
        <w:tc>
          <w:tcPr>
            <w:tcW w:w="910" w:type="dxa"/>
            <w:tcBorders>
              <w:top w:val="nil"/>
              <w:left w:val="nil"/>
              <w:bottom w:val="nil"/>
              <w:right w:val="nil"/>
            </w:tcBorders>
            <w:shd w:val="clear" w:color="auto" w:fill="auto"/>
            <w:noWrap/>
            <w:vAlign w:val="center"/>
            <w:hideMark/>
          </w:tcPr>
          <w:p w14:paraId="2C2AD8C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745</w:t>
            </w:r>
          </w:p>
        </w:tc>
        <w:tc>
          <w:tcPr>
            <w:tcW w:w="663" w:type="dxa"/>
            <w:tcBorders>
              <w:top w:val="nil"/>
              <w:left w:val="nil"/>
              <w:bottom w:val="nil"/>
              <w:right w:val="nil"/>
            </w:tcBorders>
            <w:shd w:val="clear" w:color="auto" w:fill="auto"/>
            <w:noWrap/>
            <w:vAlign w:val="center"/>
            <w:hideMark/>
          </w:tcPr>
          <w:p w14:paraId="02CC502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0,6</w:t>
            </w:r>
          </w:p>
        </w:tc>
        <w:tc>
          <w:tcPr>
            <w:tcW w:w="778" w:type="dxa"/>
            <w:tcBorders>
              <w:top w:val="nil"/>
              <w:left w:val="nil"/>
              <w:bottom w:val="nil"/>
              <w:right w:val="nil"/>
            </w:tcBorders>
            <w:shd w:val="clear" w:color="auto" w:fill="auto"/>
            <w:noWrap/>
            <w:vAlign w:val="center"/>
            <w:hideMark/>
          </w:tcPr>
          <w:p w14:paraId="732B783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67</w:t>
            </w:r>
          </w:p>
        </w:tc>
        <w:tc>
          <w:tcPr>
            <w:tcW w:w="663" w:type="dxa"/>
            <w:tcBorders>
              <w:top w:val="nil"/>
              <w:left w:val="nil"/>
              <w:bottom w:val="nil"/>
              <w:right w:val="nil"/>
            </w:tcBorders>
            <w:shd w:val="clear" w:color="auto" w:fill="auto"/>
            <w:noWrap/>
            <w:vAlign w:val="center"/>
            <w:hideMark/>
          </w:tcPr>
          <w:p w14:paraId="65AF37C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0,5</w:t>
            </w:r>
          </w:p>
        </w:tc>
        <w:tc>
          <w:tcPr>
            <w:tcW w:w="778" w:type="dxa"/>
            <w:tcBorders>
              <w:top w:val="nil"/>
              <w:left w:val="nil"/>
              <w:bottom w:val="nil"/>
              <w:right w:val="nil"/>
            </w:tcBorders>
            <w:shd w:val="clear" w:color="auto" w:fill="auto"/>
            <w:noWrap/>
            <w:vAlign w:val="center"/>
            <w:hideMark/>
          </w:tcPr>
          <w:p w14:paraId="0DFC032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131</w:t>
            </w:r>
          </w:p>
        </w:tc>
        <w:tc>
          <w:tcPr>
            <w:tcW w:w="663" w:type="dxa"/>
            <w:tcBorders>
              <w:top w:val="nil"/>
              <w:left w:val="nil"/>
              <w:bottom w:val="nil"/>
              <w:right w:val="nil"/>
            </w:tcBorders>
            <w:shd w:val="clear" w:color="auto" w:fill="auto"/>
            <w:noWrap/>
            <w:vAlign w:val="center"/>
            <w:hideMark/>
          </w:tcPr>
          <w:p w14:paraId="1811763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0,3</w:t>
            </w:r>
          </w:p>
        </w:tc>
        <w:tc>
          <w:tcPr>
            <w:tcW w:w="792" w:type="dxa"/>
            <w:tcBorders>
              <w:top w:val="nil"/>
              <w:left w:val="nil"/>
              <w:bottom w:val="nil"/>
              <w:right w:val="nil"/>
            </w:tcBorders>
            <w:shd w:val="clear" w:color="auto" w:fill="auto"/>
            <w:noWrap/>
            <w:vAlign w:val="center"/>
            <w:hideMark/>
          </w:tcPr>
          <w:p w14:paraId="70F0D24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475</w:t>
            </w:r>
          </w:p>
        </w:tc>
        <w:tc>
          <w:tcPr>
            <w:tcW w:w="678" w:type="dxa"/>
            <w:tcBorders>
              <w:top w:val="nil"/>
              <w:left w:val="nil"/>
              <w:bottom w:val="nil"/>
              <w:right w:val="nil"/>
            </w:tcBorders>
            <w:shd w:val="clear" w:color="auto" w:fill="auto"/>
            <w:noWrap/>
            <w:vAlign w:val="center"/>
            <w:hideMark/>
          </w:tcPr>
          <w:p w14:paraId="61C0C84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0,6</w:t>
            </w:r>
          </w:p>
        </w:tc>
      </w:tr>
      <w:tr w:rsidR="00F56AB8" w:rsidRPr="0026351E" w14:paraId="2A82C369" w14:textId="77777777" w:rsidTr="00A43D99">
        <w:trPr>
          <w:trHeight w:val="212"/>
        </w:trPr>
        <w:tc>
          <w:tcPr>
            <w:tcW w:w="3182" w:type="dxa"/>
            <w:tcBorders>
              <w:top w:val="nil"/>
              <w:left w:val="nil"/>
              <w:bottom w:val="single" w:sz="4" w:space="0" w:color="auto"/>
              <w:right w:val="nil"/>
            </w:tcBorders>
            <w:shd w:val="clear" w:color="auto" w:fill="auto"/>
            <w:noWrap/>
            <w:vAlign w:val="bottom"/>
            <w:hideMark/>
          </w:tcPr>
          <w:p w14:paraId="23B79898"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910" w:type="dxa"/>
            <w:tcBorders>
              <w:top w:val="nil"/>
              <w:left w:val="nil"/>
              <w:bottom w:val="single" w:sz="4" w:space="0" w:color="auto"/>
              <w:right w:val="nil"/>
            </w:tcBorders>
            <w:shd w:val="clear" w:color="auto" w:fill="auto"/>
            <w:noWrap/>
            <w:vAlign w:val="center"/>
            <w:hideMark/>
          </w:tcPr>
          <w:p w14:paraId="5565B83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126.718</w:t>
            </w:r>
          </w:p>
        </w:tc>
        <w:tc>
          <w:tcPr>
            <w:tcW w:w="663" w:type="dxa"/>
            <w:tcBorders>
              <w:top w:val="nil"/>
              <w:left w:val="nil"/>
              <w:bottom w:val="single" w:sz="4" w:space="0" w:color="auto"/>
              <w:right w:val="nil"/>
            </w:tcBorders>
            <w:shd w:val="clear" w:color="auto" w:fill="auto"/>
            <w:noWrap/>
            <w:vAlign w:val="center"/>
            <w:hideMark/>
          </w:tcPr>
          <w:p w14:paraId="3A59DEC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center"/>
            <w:hideMark/>
          </w:tcPr>
          <w:p w14:paraId="24C3E08B"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13.864</w:t>
            </w:r>
          </w:p>
        </w:tc>
        <w:tc>
          <w:tcPr>
            <w:tcW w:w="663" w:type="dxa"/>
            <w:tcBorders>
              <w:top w:val="nil"/>
              <w:left w:val="nil"/>
              <w:bottom w:val="single" w:sz="4" w:space="0" w:color="auto"/>
              <w:right w:val="nil"/>
            </w:tcBorders>
            <w:shd w:val="clear" w:color="auto" w:fill="auto"/>
            <w:noWrap/>
            <w:vAlign w:val="center"/>
            <w:hideMark/>
          </w:tcPr>
          <w:p w14:paraId="0989F816"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center"/>
            <w:hideMark/>
          </w:tcPr>
          <w:p w14:paraId="0CFF115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44.331</w:t>
            </w:r>
          </w:p>
        </w:tc>
        <w:tc>
          <w:tcPr>
            <w:tcW w:w="663" w:type="dxa"/>
            <w:tcBorders>
              <w:top w:val="nil"/>
              <w:left w:val="nil"/>
              <w:bottom w:val="single" w:sz="4" w:space="0" w:color="auto"/>
              <w:right w:val="nil"/>
            </w:tcBorders>
            <w:shd w:val="clear" w:color="auto" w:fill="auto"/>
            <w:noWrap/>
            <w:vAlign w:val="center"/>
            <w:hideMark/>
          </w:tcPr>
          <w:p w14:paraId="304872D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92" w:type="dxa"/>
            <w:tcBorders>
              <w:top w:val="nil"/>
              <w:left w:val="nil"/>
              <w:bottom w:val="single" w:sz="4" w:space="0" w:color="auto"/>
              <w:right w:val="nil"/>
            </w:tcBorders>
            <w:shd w:val="clear" w:color="auto" w:fill="auto"/>
            <w:noWrap/>
            <w:vAlign w:val="center"/>
            <w:hideMark/>
          </w:tcPr>
          <w:p w14:paraId="666BA70E"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84.322</w:t>
            </w:r>
          </w:p>
        </w:tc>
        <w:tc>
          <w:tcPr>
            <w:tcW w:w="678" w:type="dxa"/>
            <w:tcBorders>
              <w:top w:val="nil"/>
              <w:left w:val="nil"/>
              <w:bottom w:val="single" w:sz="4" w:space="0" w:color="auto"/>
              <w:right w:val="nil"/>
            </w:tcBorders>
            <w:shd w:val="clear" w:color="auto" w:fill="auto"/>
            <w:noWrap/>
            <w:vAlign w:val="center"/>
            <w:hideMark/>
          </w:tcPr>
          <w:p w14:paraId="4AF4C051"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40BD697B" w14:textId="77777777" w:rsidTr="00A43D99">
        <w:trPr>
          <w:trHeight w:val="212"/>
        </w:trPr>
        <w:tc>
          <w:tcPr>
            <w:tcW w:w="4092" w:type="dxa"/>
            <w:gridSpan w:val="2"/>
            <w:tcBorders>
              <w:top w:val="nil"/>
              <w:left w:val="nil"/>
              <w:bottom w:val="nil"/>
              <w:right w:val="nil"/>
            </w:tcBorders>
            <w:shd w:val="clear" w:color="auto" w:fill="auto"/>
            <w:noWrap/>
            <w:vAlign w:val="bottom"/>
            <w:hideMark/>
          </w:tcPr>
          <w:p w14:paraId="758F60C4"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r w:rsidRPr="0026351E">
              <w:rPr>
                <w:rFonts w:ascii="Times New Roman" w:eastAsia="Times New Roman" w:hAnsi="Times New Roman" w:cs="Times New Roman"/>
                <w:i/>
                <w:iCs/>
                <w:sz w:val="18"/>
                <w:szCs w:val="18"/>
                <w:lang w:eastAsia="pt-BR"/>
              </w:rPr>
              <w:t>Estado Civil</w:t>
            </w:r>
          </w:p>
        </w:tc>
        <w:tc>
          <w:tcPr>
            <w:tcW w:w="663" w:type="dxa"/>
            <w:tcBorders>
              <w:top w:val="nil"/>
              <w:left w:val="nil"/>
              <w:bottom w:val="nil"/>
              <w:right w:val="nil"/>
            </w:tcBorders>
            <w:shd w:val="clear" w:color="auto" w:fill="auto"/>
            <w:noWrap/>
            <w:vAlign w:val="center"/>
            <w:hideMark/>
          </w:tcPr>
          <w:p w14:paraId="1880464D"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p>
        </w:tc>
        <w:tc>
          <w:tcPr>
            <w:tcW w:w="778" w:type="dxa"/>
            <w:tcBorders>
              <w:top w:val="nil"/>
              <w:left w:val="nil"/>
              <w:bottom w:val="nil"/>
              <w:right w:val="nil"/>
            </w:tcBorders>
            <w:shd w:val="clear" w:color="auto" w:fill="auto"/>
            <w:noWrap/>
            <w:vAlign w:val="center"/>
            <w:hideMark/>
          </w:tcPr>
          <w:p w14:paraId="0C15BEA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center"/>
            <w:hideMark/>
          </w:tcPr>
          <w:p w14:paraId="393F0B5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778" w:type="dxa"/>
            <w:tcBorders>
              <w:top w:val="nil"/>
              <w:left w:val="nil"/>
              <w:bottom w:val="nil"/>
              <w:right w:val="nil"/>
            </w:tcBorders>
            <w:shd w:val="clear" w:color="auto" w:fill="auto"/>
            <w:noWrap/>
            <w:vAlign w:val="center"/>
            <w:hideMark/>
          </w:tcPr>
          <w:p w14:paraId="42A2F52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center"/>
            <w:hideMark/>
          </w:tcPr>
          <w:p w14:paraId="00A4A0C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792" w:type="dxa"/>
            <w:tcBorders>
              <w:top w:val="nil"/>
              <w:left w:val="nil"/>
              <w:bottom w:val="nil"/>
              <w:right w:val="nil"/>
            </w:tcBorders>
            <w:shd w:val="clear" w:color="auto" w:fill="auto"/>
            <w:noWrap/>
            <w:vAlign w:val="center"/>
            <w:hideMark/>
          </w:tcPr>
          <w:p w14:paraId="46B7EB0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78" w:type="dxa"/>
            <w:tcBorders>
              <w:top w:val="nil"/>
              <w:left w:val="nil"/>
              <w:bottom w:val="nil"/>
              <w:right w:val="nil"/>
            </w:tcBorders>
            <w:shd w:val="clear" w:color="auto" w:fill="auto"/>
            <w:noWrap/>
            <w:vAlign w:val="center"/>
            <w:hideMark/>
          </w:tcPr>
          <w:p w14:paraId="18C10A8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r>
      <w:tr w:rsidR="00F56AB8" w:rsidRPr="0026351E" w14:paraId="750F6BED" w14:textId="77777777" w:rsidTr="00A43D99">
        <w:trPr>
          <w:trHeight w:val="212"/>
        </w:trPr>
        <w:tc>
          <w:tcPr>
            <w:tcW w:w="3182" w:type="dxa"/>
            <w:tcBorders>
              <w:top w:val="nil"/>
              <w:left w:val="nil"/>
              <w:bottom w:val="nil"/>
              <w:right w:val="nil"/>
            </w:tcBorders>
            <w:shd w:val="clear" w:color="auto" w:fill="auto"/>
            <w:noWrap/>
            <w:vAlign w:val="bottom"/>
            <w:hideMark/>
          </w:tcPr>
          <w:p w14:paraId="3D84735E"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Casado(a)</w:t>
            </w:r>
          </w:p>
        </w:tc>
        <w:tc>
          <w:tcPr>
            <w:tcW w:w="910" w:type="dxa"/>
            <w:tcBorders>
              <w:top w:val="nil"/>
              <w:left w:val="nil"/>
              <w:bottom w:val="nil"/>
              <w:right w:val="nil"/>
            </w:tcBorders>
            <w:shd w:val="clear" w:color="auto" w:fill="auto"/>
            <w:noWrap/>
            <w:vAlign w:val="center"/>
            <w:hideMark/>
          </w:tcPr>
          <w:p w14:paraId="1D4AB54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48.404</w:t>
            </w:r>
          </w:p>
        </w:tc>
        <w:tc>
          <w:tcPr>
            <w:tcW w:w="663" w:type="dxa"/>
            <w:tcBorders>
              <w:top w:val="nil"/>
              <w:left w:val="nil"/>
              <w:bottom w:val="nil"/>
              <w:right w:val="nil"/>
            </w:tcBorders>
            <w:shd w:val="clear" w:color="auto" w:fill="auto"/>
            <w:noWrap/>
            <w:vAlign w:val="center"/>
            <w:hideMark/>
          </w:tcPr>
          <w:p w14:paraId="5618BC8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38,2</w:t>
            </w:r>
          </w:p>
        </w:tc>
        <w:tc>
          <w:tcPr>
            <w:tcW w:w="778" w:type="dxa"/>
            <w:tcBorders>
              <w:top w:val="nil"/>
              <w:left w:val="nil"/>
              <w:bottom w:val="nil"/>
              <w:right w:val="nil"/>
            </w:tcBorders>
            <w:shd w:val="clear" w:color="auto" w:fill="auto"/>
            <w:noWrap/>
            <w:vAlign w:val="center"/>
            <w:hideMark/>
          </w:tcPr>
          <w:p w14:paraId="0E067F0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4.528</w:t>
            </w:r>
          </w:p>
        </w:tc>
        <w:tc>
          <w:tcPr>
            <w:tcW w:w="663" w:type="dxa"/>
            <w:tcBorders>
              <w:top w:val="nil"/>
              <w:left w:val="nil"/>
              <w:bottom w:val="nil"/>
              <w:right w:val="nil"/>
            </w:tcBorders>
            <w:shd w:val="clear" w:color="auto" w:fill="auto"/>
            <w:noWrap/>
            <w:vAlign w:val="center"/>
            <w:hideMark/>
          </w:tcPr>
          <w:p w14:paraId="2A4441E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32,7</w:t>
            </w:r>
          </w:p>
        </w:tc>
        <w:tc>
          <w:tcPr>
            <w:tcW w:w="778" w:type="dxa"/>
            <w:tcBorders>
              <w:top w:val="nil"/>
              <w:left w:val="nil"/>
              <w:bottom w:val="nil"/>
              <w:right w:val="nil"/>
            </w:tcBorders>
            <w:shd w:val="clear" w:color="auto" w:fill="auto"/>
            <w:noWrap/>
            <w:vAlign w:val="center"/>
            <w:hideMark/>
          </w:tcPr>
          <w:p w14:paraId="17A024C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16.978</w:t>
            </w:r>
          </w:p>
        </w:tc>
        <w:tc>
          <w:tcPr>
            <w:tcW w:w="663" w:type="dxa"/>
            <w:tcBorders>
              <w:top w:val="nil"/>
              <w:left w:val="nil"/>
              <w:bottom w:val="nil"/>
              <w:right w:val="nil"/>
            </w:tcBorders>
            <w:shd w:val="clear" w:color="auto" w:fill="auto"/>
            <w:noWrap/>
            <w:vAlign w:val="center"/>
            <w:hideMark/>
          </w:tcPr>
          <w:p w14:paraId="75AF266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38,3</w:t>
            </w:r>
          </w:p>
        </w:tc>
        <w:tc>
          <w:tcPr>
            <w:tcW w:w="792" w:type="dxa"/>
            <w:tcBorders>
              <w:top w:val="nil"/>
              <w:left w:val="nil"/>
              <w:bottom w:val="nil"/>
              <w:right w:val="nil"/>
            </w:tcBorders>
            <w:shd w:val="clear" w:color="auto" w:fill="auto"/>
            <w:noWrap/>
            <w:vAlign w:val="center"/>
            <w:hideMark/>
          </w:tcPr>
          <w:p w14:paraId="5B60336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33.545</w:t>
            </w:r>
          </w:p>
        </w:tc>
        <w:tc>
          <w:tcPr>
            <w:tcW w:w="678" w:type="dxa"/>
            <w:tcBorders>
              <w:top w:val="nil"/>
              <w:left w:val="nil"/>
              <w:bottom w:val="nil"/>
              <w:right w:val="nil"/>
            </w:tcBorders>
            <w:shd w:val="clear" w:color="auto" w:fill="auto"/>
            <w:noWrap/>
            <w:vAlign w:val="center"/>
            <w:hideMark/>
          </w:tcPr>
          <w:p w14:paraId="14A0BA1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39,8</w:t>
            </w:r>
          </w:p>
        </w:tc>
      </w:tr>
      <w:tr w:rsidR="00F56AB8" w:rsidRPr="0026351E" w14:paraId="7A4A3FB2" w14:textId="77777777" w:rsidTr="00A43D99">
        <w:trPr>
          <w:trHeight w:val="212"/>
        </w:trPr>
        <w:tc>
          <w:tcPr>
            <w:tcW w:w="3182" w:type="dxa"/>
            <w:tcBorders>
              <w:top w:val="nil"/>
              <w:left w:val="nil"/>
              <w:bottom w:val="nil"/>
              <w:right w:val="nil"/>
            </w:tcBorders>
            <w:shd w:val="clear" w:color="auto" w:fill="auto"/>
            <w:noWrap/>
            <w:vAlign w:val="bottom"/>
            <w:hideMark/>
          </w:tcPr>
          <w:p w14:paraId="6BAC5B0E"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w:t>
            </w:r>
            <w:proofErr w:type="spellStart"/>
            <w:r w:rsidRPr="0026351E">
              <w:rPr>
                <w:rFonts w:ascii="Times New Roman" w:eastAsia="Times New Roman" w:hAnsi="Times New Roman" w:cs="Times New Roman"/>
                <w:sz w:val="18"/>
                <w:szCs w:val="18"/>
                <w:lang w:eastAsia="pt-BR"/>
              </w:rPr>
              <w:t>Desq</w:t>
            </w:r>
            <w:proofErr w:type="spellEnd"/>
            <w:r w:rsidRPr="0026351E">
              <w:rPr>
                <w:rFonts w:ascii="Times New Roman" w:eastAsia="Times New Roman" w:hAnsi="Times New Roman" w:cs="Times New Roman"/>
                <w:sz w:val="18"/>
                <w:szCs w:val="18"/>
                <w:lang w:eastAsia="pt-BR"/>
              </w:rPr>
              <w:t>.(a) ou sep.(a) jud.</w:t>
            </w:r>
          </w:p>
        </w:tc>
        <w:tc>
          <w:tcPr>
            <w:tcW w:w="910" w:type="dxa"/>
            <w:tcBorders>
              <w:top w:val="nil"/>
              <w:left w:val="nil"/>
              <w:bottom w:val="nil"/>
              <w:right w:val="nil"/>
            </w:tcBorders>
            <w:shd w:val="clear" w:color="auto" w:fill="auto"/>
            <w:noWrap/>
            <w:vAlign w:val="center"/>
            <w:hideMark/>
          </w:tcPr>
          <w:p w14:paraId="4E2E20F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781</w:t>
            </w:r>
          </w:p>
        </w:tc>
        <w:tc>
          <w:tcPr>
            <w:tcW w:w="663" w:type="dxa"/>
            <w:tcBorders>
              <w:top w:val="nil"/>
              <w:left w:val="nil"/>
              <w:bottom w:val="nil"/>
              <w:right w:val="nil"/>
            </w:tcBorders>
            <w:shd w:val="clear" w:color="auto" w:fill="auto"/>
            <w:noWrap/>
            <w:vAlign w:val="center"/>
            <w:hideMark/>
          </w:tcPr>
          <w:p w14:paraId="5AB2BD4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0,6</w:t>
            </w:r>
          </w:p>
        </w:tc>
        <w:tc>
          <w:tcPr>
            <w:tcW w:w="778" w:type="dxa"/>
            <w:tcBorders>
              <w:top w:val="nil"/>
              <w:left w:val="nil"/>
              <w:bottom w:val="nil"/>
              <w:right w:val="nil"/>
            </w:tcBorders>
            <w:shd w:val="clear" w:color="auto" w:fill="auto"/>
            <w:noWrap/>
            <w:vAlign w:val="center"/>
            <w:hideMark/>
          </w:tcPr>
          <w:p w14:paraId="1615279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57</w:t>
            </w:r>
          </w:p>
        </w:tc>
        <w:tc>
          <w:tcPr>
            <w:tcW w:w="663" w:type="dxa"/>
            <w:tcBorders>
              <w:top w:val="nil"/>
              <w:left w:val="nil"/>
              <w:bottom w:val="nil"/>
              <w:right w:val="nil"/>
            </w:tcBorders>
            <w:shd w:val="clear" w:color="auto" w:fill="auto"/>
            <w:noWrap/>
            <w:vAlign w:val="center"/>
            <w:hideMark/>
          </w:tcPr>
          <w:p w14:paraId="449B8B1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0,4</w:t>
            </w:r>
          </w:p>
        </w:tc>
        <w:tc>
          <w:tcPr>
            <w:tcW w:w="778" w:type="dxa"/>
            <w:tcBorders>
              <w:top w:val="nil"/>
              <w:left w:val="nil"/>
              <w:bottom w:val="nil"/>
              <w:right w:val="nil"/>
            </w:tcBorders>
            <w:shd w:val="clear" w:color="auto" w:fill="auto"/>
            <w:noWrap/>
            <w:vAlign w:val="center"/>
            <w:hideMark/>
          </w:tcPr>
          <w:p w14:paraId="1E32D72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322</w:t>
            </w:r>
          </w:p>
        </w:tc>
        <w:tc>
          <w:tcPr>
            <w:tcW w:w="663" w:type="dxa"/>
            <w:tcBorders>
              <w:top w:val="nil"/>
              <w:left w:val="nil"/>
              <w:bottom w:val="nil"/>
              <w:right w:val="nil"/>
            </w:tcBorders>
            <w:shd w:val="clear" w:color="auto" w:fill="auto"/>
            <w:noWrap/>
            <w:vAlign w:val="center"/>
            <w:hideMark/>
          </w:tcPr>
          <w:p w14:paraId="1F74D40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0,7</w:t>
            </w:r>
          </w:p>
        </w:tc>
        <w:tc>
          <w:tcPr>
            <w:tcW w:w="792" w:type="dxa"/>
            <w:tcBorders>
              <w:top w:val="nil"/>
              <w:left w:val="nil"/>
              <w:bottom w:val="nil"/>
              <w:right w:val="nil"/>
            </w:tcBorders>
            <w:shd w:val="clear" w:color="auto" w:fill="auto"/>
            <w:noWrap/>
            <w:vAlign w:val="center"/>
            <w:hideMark/>
          </w:tcPr>
          <w:p w14:paraId="5FF7CB3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582</w:t>
            </w:r>
          </w:p>
        </w:tc>
        <w:tc>
          <w:tcPr>
            <w:tcW w:w="678" w:type="dxa"/>
            <w:tcBorders>
              <w:top w:val="nil"/>
              <w:left w:val="nil"/>
              <w:bottom w:val="nil"/>
              <w:right w:val="nil"/>
            </w:tcBorders>
            <w:shd w:val="clear" w:color="auto" w:fill="auto"/>
            <w:noWrap/>
            <w:vAlign w:val="center"/>
            <w:hideMark/>
          </w:tcPr>
          <w:p w14:paraId="403CDF2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0,7</w:t>
            </w:r>
          </w:p>
        </w:tc>
      </w:tr>
      <w:tr w:rsidR="00F56AB8" w:rsidRPr="0026351E" w14:paraId="33E725BB" w14:textId="77777777" w:rsidTr="00A43D99">
        <w:trPr>
          <w:trHeight w:val="212"/>
        </w:trPr>
        <w:tc>
          <w:tcPr>
            <w:tcW w:w="3182" w:type="dxa"/>
            <w:tcBorders>
              <w:top w:val="nil"/>
              <w:left w:val="nil"/>
              <w:bottom w:val="nil"/>
              <w:right w:val="nil"/>
            </w:tcBorders>
            <w:shd w:val="clear" w:color="auto" w:fill="auto"/>
            <w:noWrap/>
            <w:vAlign w:val="bottom"/>
            <w:hideMark/>
          </w:tcPr>
          <w:p w14:paraId="0D7A9005"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Divorciado(a)</w:t>
            </w:r>
          </w:p>
        </w:tc>
        <w:tc>
          <w:tcPr>
            <w:tcW w:w="910" w:type="dxa"/>
            <w:tcBorders>
              <w:top w:val="nil"/>
              <w:left w:val="nil"/>
              <w:bottom w:val="nil"/>
              <w:right w:val="nil"/>
            </w:tcBorders>
            <w:shd w:val="clear" w:color="auto" w:fill="auto"/>
            <w:noWrap/>
            <w:vAlign w:val="center"/>
            <w:hideMark/>
          </w:tcPr>
          <w:p w14:paraId="31F3C92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930</w:t>
            </w:r>
          </w:p>
        </w:tc>
        <w:tc>
          <w:tcPr>
            <w:tcW w:w="663" w:type="dxa"/>
            <w:tcBorders>
              <w:top w:val="nil"/>
              <w:left w:val="nil"/>
              <w:bottom w:val="nil"/>
              <w:right w:val="nil"/>
            </w:tcBorders>
            <w:shd w:val="clear" w:color="auto" w:fill="auto"/>
            <w:noWrap/>
            <w:vAlign w:val="center"/>
            <w:hideMark/>
          </w:tcPr>
          <w:p w14:paraId="70781BD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0,7</w:t>
            </w:r>
          </w:p>
        </w:tc>
        <w:tc>
          <w:tcPr>
            <w:tcW w:w="778" w:type="dxa"/>
            <w:tcBorders>
              <w:top w:val="nil"/>
              <w:left w:val="nil"/>
              <w:bottom w:val="nil"/>
              <w:right w:val="nil"/>
            </w:tcBorders>
            <w:shd w:val="clear" w:color="auto" w:fill="auto"/>
            <w:noWrap/>
            <w:vAlign w:val="center"/>
            <w:hideMark/>
          </w:tcPr>
          <w:p w14:paraId="4AD0853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97</w:t>
            </w:r>
          </w:p>
        </w:tc>
        <w:tc>
          <w:tcPr>
            <w:tcW w:w="663" w:type="dxa"/>
            <w:tcBorders>
              <w:top w:val="nil"/>
              <w:left w:val="nil"/>
              <w:bottom w:val="nil"/>
              <w:right w:val="nil"/>
            </w:tcBorders>
            <w:shd w:val="clear" w:color="auto" w:fill="auto"/>
            <w:noWrap/>
            <w:vAlign w:val="center"/>
            <w:hideMark/>
          </w:tcPr>
          <w:p w14:paraId="3C9413F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0,7</w:t>
            </w:r>
          </w:p>
        </w:tc>
        <w:tc>
          <w:tcPr>
            <w:tcW w:w="778" w:type="dxa"/>
            <w:tcBorders>
              <w:top w:val="nil"/>
              <w:left w:val="nil"/>
              <w:bottom w:val="nil"/>
              <w:right w:val="nil"/>
            </w:tcBorders>
            <w:shd w:val="clear" w:color="auto" w:fill="auto"/>
            <w:noWrap/>
            <w:vAlign w:val="center"/>
            <w:hideMark/>
          </w:tcPr>
          <w:p w14:paraId="17CE6A9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489</w:t>
            </w:r>
          </w:p>
        </w:tc>
        <w:tc>
          <w:tcPr>
            <w:tcW w:w="663" w:type="dxa"/>
            <w:tcBorders>
              <w:top w:val="nil"/>
              <w:left w:val="nil"/>
              <w:bottom w:val="nil"/>
              <w:right w:val="nil"/>
            </w:tcBorders>
            <w:shd w:val="clear" w:color="auto" w:fill="auto"/>
            <w:noWrap/>
            <w:vAlign w:val="center"/>
            <w:hideMark/>
          </w:tcPr>
          <w:p w14:paraId="64DBA20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w:t>
            </w:r>
          </w:p>
        </w:tc>
        <w:tc>
          <w:tcPr>
            <w:tcW w:w="792" w:type="dxa"/>
            <w:tcBorders>
              <w:top w:val="nil"/>
              <w:left w:val="nil"/>
              <w:bottom w:val="nil"/>
              <w:right w:val="nil"/>
            </w:tcBorders>
            <w:shd w:val="clear" w:color="auto" w:fill="auto"/>
            <w:noWrap/>
            <w:vAlign w:val="center"/>
            <w:hideMark/>
          </w:tcPr>
          <w:p w14:paraId="58E3E6D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585</w:t>
            </w:r>
          </w:p>
        </w:tc>
        <w:tc>
          <w:tcPr>
            <w:tcW w:w="678" w:type="dxa"/>
            <w:tcBorders>
              <w:top w:val="nil"/>
              <w:left w:val="nil"/>
              <w:bottom w:val="nil"/>
              <w:right w:val="nil"/>
            </w:tcBorders>
            <w:shd w:val="clear" w:color="auto" w:fill="auto"/>
            <w:noWrap/>
            <w:vAlign w:val="center"/>
            <w:hideMark/>
          </w:tcPr>
          <w:p w14:paraId="3A1ADEE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0,7</w:t>
            </w:r>
          </w:p>
        </w:tc>
      </w:tr>
      <w:tr w:rsidR="00F56AB8" w:rsidRPr="0026351E" w14:paraId="6516860B" w14:textId="77777777" w:rsidTr="00A43D99">
        <w:trPr>
          <w:trHeight w:val="212"/>
        </w:trPr>
        <w:tc>
          <w:tcPr>
            <w:tcW w:w="3182" w:type="dxa"/>
            <w:tcBorders>
              <w:top w:val="nil"/>
              <w:left w:val="nil"/>
              <w:bottom w:val="nil"/>
              <w:right w:val="nil"/>
            </w:tcBorders>
            <w:shd w:val="clear" w:color="auto" w:fill="auto"/>
            <w:noWrap/>
            <w:vAlign w:val="bottom"/>
            <w:hideMark/>
          </w:tcPr>
          <w:p w14:paraId="459F4589"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Viúvo(a)</w:t>
            </w:r>
          </w:p>
        </w:tc>
        <w:tc>
          <w:tcPr>
            <w:tcW w:w="910" w:type="dxa"/>
            <w:tcBorders>
              <w:top w:val="nil"/>
              <w:left w:val="nil"/>
              <w:bottom w:val="nil"/>
              <w:right w:val="nil"/>
            </w:tcBorders>
            <w:shd w:val="clear" w:color="auto" w:fill="auto"/>
            <w:noWrap/>
            <w:vAlign w:val="center"/>
            <w:hideMark/>
          </w:tcPr>
          <w:p w14:paraId="0A3B610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2.264</w:t>
            </w:r>
          </w:p>
        </w:tc>
        <w:tc>
          <w:tcPr>
            <w:tcW w:w="663" w:type="dxa"/>
            <w:tcBorders>
              <w:top w:val="nil"/>
              <w:left w:val="nil"/>
              <w:bottom w:val="nil"/>
              <w:right w:val="nil"/>
            </w:tcBorders>
            <w:shd w:val="clear" w:color="auto" w:fill="auto"/>
            <w:noWrap/>
            <w:vAlign w:val="center"/>
            <w:hideMark/>
          </w:tcPr>
          <w:p w14:paraId="23051AB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1,8</w:t>
            </w:r>
          </w:p>
        </w:tc>
        <w:tc>
          <w:tcPr>
            <w:tcW w:w="778" w:type="dxa"/>
            <w:tcBorders>
              <w:top w:val="nil"/>
              <w:left w:val="nil"/>
              <w:bottom w:val="nil"/>
              <w:right w:val="nil"/>
            </w:tcBorders>
            <w:shd w:val="clear" w:color="auto" w:fill="auto"/>
            <w:noWrap/>
            <w:vAlign w:val="center"/>
            <w:hideMark/>
          </w:tcPr>
          <w:p w14:paraId="15DF810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181</w:t>
            </w:r>
          </w:p>
        </w:tc>
        <w:tc>
          <w:tcPr>
            <w:tcW w:w="663" w:type="dxa"/>
            <w:tcBorders>
              <w:top w:val="nil"/>
              <w:left w:val="nil"/>
              <w:bottom w:val="nil"/>
              <w:right w:val="nil"/>
            </w:tcBorders>
            <w:shd w:val="clear" w:color="auto" w:fill="auto"/>
            <w:noWrap/>
            <w:vAlign w:val="center"/>
            <w:hideMark/>
          </w:tcPr>
          <w:p w14:paraId="3A66B8F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w:t>
            </w:r>
          </w:p>
        </w:tc>
        <w:tc>
          <w:tcPr>
            <w:tcW w:w="778" w:type="dxa"/>
            <w:tcBorders>
              <w:top w:val="nil"/>
              <w:left w:val="nil"/>
              <w:bottom w:val="nil"/>
              <w:right w:val="nil"/>
            </w:tcBorders>
            <w:shd w:val="clear" w:color="auto" w:fill="auto"/>
            <w:noWrap/>
            <w:vAlign w:val="center"/>
            <w:hideMark/>
          </w:tcPr>
          <w:p w14:paraId="11D3F05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824</w:t>
            </w:r>
          </w:p>
        </w:tc>
        <w:tc>
          <w:tcPr>
            <w:tcW w:w="663" w:type="dxa"/>
            <w:tcBorders>
              <w:top w:val="nil"/>
              <w:left w:val="nil"/>
              <w:bottom w:val="nil"/>
              <w:right w:val="nil"/>
            </w:tcBorders>
            <w:shd w:val="clear" w:color="auto" w:fill="auto"/>
            <w:noWrap/>
            <w:vAlign w:val="center"/>
            <w:hideMark/>
          </w:tcPr>
          <w:p w14:paraId="0AB8346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1,9</w:t>
            </w:r>
          </w:p>
        </w:tc>
        <w:tc>
          <w:tcPr>
            <w:tcW w:w="792" w:type="dxa"/>
            <w:tcBorders>
              <w:top w:val="nil"/>
              <w:left w:val="nil"/>
              <w:bottom w:val="nil"/>
              <w:right w:val="nil"/>
            </w:tcBorders>
            <w:shd w:val="clear" w:color="auto" w:fill="auto"/>
            <w:noWrap/>
            <w:vAlign w:val="center"/>
            <w:hideMark/>
          </w:tcPr>
          <w:p w14:paraId="57BF952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1.848</w:t>
            </w:r>
          </w:p>
        </w:tc>
        <w:tc>
          <w:tcPr>
            <w:tcW w:w="678" w:type="dxa"/>
            <w:tcBorders>
              <w:top w:val="nil"/>
              <w:left w:val="nil"/>
              <w:bottom w:val="nil"/>
              <w:right w:val="nil"/>
            </w:tcBorders>
            <w:shd w:val="clear" w:color="auto" w:fill="auto"/>
            <w:noWrap/>
            <w:vAlign w:val="center"/>
            <w:hideMark/>
          </w:tcPr>
          <w:p w14:paraId="6BCAFB4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2,2</w:t>
            </w:r>
          </w:p>
        </w:tc>
      </w:tr>
      <w:tr w:rsidR="00F56AB8" w:rsidRPr="0026351E" w14:paraId="514A7186" w14:textId="77777777" w:rsidTr="00A43D99">
        <w:trPr>
          <w:trHeight w:val="212"/>
        </w:trPr>
        <w:tc>
          <w:tcPr>
            <w:tcW w:w="3182" w:type="dxa"/>
            <w:tcBorders>
              <w:top w:val="nil"/>
              <w:left w:val="nil"/>
              <w:bottom w:val="nil"/>
              <w:right w:val="nil"/>
            </w:tcBorders>
            <w:shd w:val="clear" w:color="auto" w:fill="auto"/>
            <w:noWrap/>
            <w:vAlign w:val="bottom"/>
            <w:hideMark/>
          </w:tcPr>
          <w:p w14:paraId="2C213721"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Solteiro(a)</w:t>
            </w:r>
          </w:p>
        </w:tc>
        <w:tc>
          <w:tcPr>
            <w:tcW w:w="910" w:type="dxa"/>
            <w:tcBorders>
              <w:top w:val="nil"/>
              <w:left w:val="nil"/>
              <w:bottom w:val="nil"/>
              <w:right w:val="nil"/>
            </w:tcBorders>
            <w:shd w:val="clear" w:color="auto" w:fill="auto"/>
            <w:noWrap/>
            <w:vAlign w:val="center"/>
            <w:hideMark/>
          </w:tcPr>
          <w:p w14:paraId="114CAC6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74.351</w:t>
            </w:r>
          </w:p>
        </w:tc>
        <w:tc>
          <w:tcPr>
            <w:tcW w:w="663" w:type="dxa"/>
            <w:tcBorders>
              <w:top w:val="nil"/>
              <w:left w:val="nil"/>
              <w:bottom w:val="nil"/>
              <w:right w:val="nil"/>
            </w:tcBorders>
            <w:shd w:val="clear" w:color="auto" w:fill="auto"/>
            <w:noWrap/>
            <w:vAlign w:val="center"/>
            <w:hideMark/>
          </w:tcPr>
          <w:p w14:paraId="457DD25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58,7</w:t>
            </w:r>
          </w:p>
        </w:tc>
        <w:tc>
          <w:tcPr>
            <w:tcW w:w="778" w:type="dxa"/>
            <w:tcBorders>
              <w:top w:val="nil"/>
              <w:left w:val="nil"/>
              <w:bottom w:val="nil"/>
              <w:right w:val="nil"/>
            </w:tcBorders>
            <w:shd w:val="clear" w:color="auto" w:fill="auto"/>
            <w:noWrap/>
            <w:vAlign w:val="center"/>
            <w:hideMark/>
          </w:tcPr>
          <w:p w14:paraId="06FB29E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9.000</w:t>
            </w:r>
          </w:p>
        </w:tc>
        <w:tc>
          <w:tcPr>
            <w:tcW w:w="663" w:type="dxa"/>
            <w:tcBorders>
              <w:top w:val="nil"/>
              <w:left w:val="nil"/>
              <w:bottom w:val="nil"/>
              <w:right w:val="nil"/>
            </w:tcBorders>
            <w:shd w:val="clear" w:color="auto" w:fill="auto"/>
            <w:noWrap/>
            <w:vAlign w:val="center"/>
            <w:hideMark/>
          </w:tcPr>
          <w:p w14:paraId="6C84262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64,9</w:t>
            </w:r>
          </w:p>
        </w:tc>
        <w:tc>
          <w:tcPr>
            <w:tcW w:w="778" w:type="dxa"/>
            <w:tcBorders>
              <w:top w:val="nil"/>
              <w:left w:val="nil"/>
              <w:bottom w:val="nil"/>
              <w:right w:val="nil"/>
            </w:tcBorders>
            <w:shd w:val="clear" w:color="auto" w:fill="auto"/>
            <w:noWrap/>
            <w:vAlign w:val="center"/>
            <w:hideMark/>
          </w:tcPr>
          <w:p w14:paraId="24B8F48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25.728</w:t>
            </w:r>
          </w:p>
        </w:tc>
        <w:tc>
          <w:tcPr>
            <w:tcW w:w="663" w:type="dxa"/>
            <w:tcBorders>
              <w:top w:val="nil"/>
              <w:left w:val="nil"/>
              <w:bottom w:val="nil"/>
              <w:right w:val="nil"/>
            </w:tcBorders>
            <w:shd w:val="clear" w:color="auto" w:fill="auto"/>
            <w:noWrap/>
            <w:vAlign w:val="center"/>
            <w:hideMark/>
          </w:tcPr>
          <w:p w14:paraId="6689757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58,0</w:t>
            </w:r>
          </w:p>
        </w:tc>
        <w:tc>
          <w:tcPr>
            <w:tcW w:w="792" w:type="dxa"/>
            <w:tcBorders>
              <w:top w:val="nil"/>
              <w:left w:val="nil"/>
              <w:bottom w:val="nil"/>
              <w:right w:val="nil"/>
            </w:tcBorders>
            <w:shd w:val="clear" w:color="auto" w:fill="auto"/>
            <w:noWrap/>
            <w:vAlign w:val="center"/>
            <w:hideMark/>
          </w:tcPr>
          <w:p w14:paraId="426B7C2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47.757</w:t>
            </w:r>
          </w:p>
        </w:tc>
        <w:tc>
          <w:tcPr>
            <w:tcW w:w="678" w:type="dxa"/>
            <w:tcBorders>
              <w:top w:val="nil"/>
              <w:left w:val="nil"/>
              <w:bottom w:val="nil"/>
              <w:right w:val="nil"/>
            </w:tcBorders>
            <w:shd w:val="clear" w:color="auto" w:fill="auto"/>
            <w:noWrap/>
            <w:vAlign w:val="center"/>
            <w:hideMark/>
          </w:tcPr>
          <w:p w14:paraId="30874AB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56,6</w:t>
            </w:r>
          </w:p>
        </w:tc>
      </w:tr>
      <w:tr w:rsidR="00F56AB8" w:rsidRPr="0026351E" w14:paraId="319347E0" w14:textId="77777777" w:rsidTr="00A43D99">
        <w:trPr>
          <w:trHeight w:val="212"/>
        </w:trPr>
        <w:tc>
          <w:tcPr>
            <w:tcW w:w="3182" w:type="dxa"/>
            <w:tcBorders>
              <w:top w:val="nil"/>
              <w:left w:val="nil"/>
              <w:bottom w:val="single" w:sz="4" w:space="0" w:color="auto"/>
              <w:right w:val="nil"/>
            </w:tcBorders>
            <w:shd w:val="clear" w:color="auto" w:fill="auto"/>
            <w:noWrap/>
            <w:vAlign w:val="bottom"/>
            <w:hideMark/>
          </w:tcPr>
          <w:p w14:paraId="2FF2051C"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910" w:type="dxa"/>
            <w:tcBorders>
              <w:top w:val="nil"/>
              <w:left w:val="nil"/>
              <w:bottom w:val="single" w:sz="4" w:space="0" w:color="auto"/>
              <w:right w:val="nil"/>
            </w:tcBorders>
            <w:shd w:val="clear" w:color="auto" w:fill="auto"/>
            <w:noWrap/>
            <w:vAlign w:val="center"/>
            <w:hideMark/>
          </w:tcPr>
          <w:p w14:paraId="72BADE6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126.730</w:t>
            </w:r>
          </w:p>
        </w:tc>
        <w:tc>
          <w:tcPr>
            <w:tcW w:w="663" w:type="dxa"/>
            <w:tcBorders>
              <w:top w:val="nil"/>
              <w:left w:val="nil"/>
              <w:bottom w:val="single" w:sz="4" w:space="0" w:color="auto"/>
              <w:right w:val="nil"/>
            </w:tcBorders>
            <w:shd w:val="clear" w:color="auto" w:fill="auto"/>
            <w:noWrap/>
            <w:vAlign w:val="center"/>
            <w:hideMark/>
          </w:tcPr>
          <w:p w14:paraId="05F42B4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center"/>
            <w:hideMark/>
          </w:tcPr>
          <w:p w14:paraId="032E273B"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13.863</w:t>
            </w:r>
          </w:p>
        </w:tc>
        <w:tc>
          <w:tcPr>
            <w:tcW w:w="663" w:type="dxa"/>
            <w:tcBorders>
              <w:top w:val="nil"/>
              <w:left w:val="nil"/>
              <w:bottom w:val="single" w:sz="4" w:space="0" w:color="auto"/>
              <w:right w:val="nil"/>
            </w:tcBorders>
            <w:shd w:val="clear" w:color="auto" w:fill="auto"/>
            <w:noWrap/>
            <w:vAlign w:val="center"/>
            <w:hideMark/>
          </w:tcPr>
          <w:p w14:paraId="1CA3B862"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center"/>
            <w:hideMark/>
          </w:tcPr>
          <w:p w14:paraId="4FE5590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44.341</w:t>
            </w:r>
          </w:p>
        </w:tc>
        <w:tc>
          <w:tcPr>
            <w:tcW w:w="663" w:type="dxa"/>
            <w:tcBorders>
              <w:top w:val="nil"/>
              <w:left w:val="nil"/>
              <w:bottom w:val="single" w:sz="4" w:space="0" w:color="auto"/>
              <w:right w:val="nil"/>
            </w:tcBorders>
            <w:shd w:val="clear" w:color="auto" w:fill="auto"/>
            <w:noWrap/>
            <w:vAlign w:val="center"/>
            <w:hideMark/>
          </w:tcPr>
          <w:p w14:paraId="2C962336"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92" w:type="dxa"/>
            <w:tcBorders>
              <w:top w:val="nil"/>
              <w:left w:val="nil"/>
              <w:bottom w:val="single" w:sz="4" w:space="0" w:color="auto"/>
              <w:right w:val="nil"/>
            </w:tcBorders>
            <w:shd w:val="clear" w:color="auto" w:fill="auto"/>
            <w:noWrap/>
            <w:vAlign w:val="center"/>
            <w:hideMark/>
          </w:tcPr>
          <w:p w14:paraId="16D1A02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84.317</w:t>
            </w:r>
          </w:p>
        </w:tc>
        <w:tc>
          <w:tcPr>
            <w:tcW w:w="678" w:type="dxa"/>
            <w:tcBorders>
              <w:top w:val="nil"/>
              <w:left w:val="nil"/>
              <w:bottom w:val="single" w:sz="4" w:space="0" w:color="auto"/>
              <w:right w:val="nil"/>
            </w:tcBorders>
            <w:shd w:val="clear" w:color="auto" w:fill="auto"/>
            <w:noWrap/>
            <w:vAlign w:val="center"/>
            <w:hideMark/>
          </w:tcPr>
          <w:p w14:paraId="02F9508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4DA663D6" w14:textId="77777777" w:rsidTr="00A43D99">
        <w:trPr>
          <w:trHeight w:val="212"/>
        </w:trPr>
        <w:tc>
          <w:tcPr>
            <w:tcW w:w="4755" w:type="dxa"/>
            <w:gridSpan w:val="3"/>
            <w:tcBorders>
              <w:top w:val="nil"/>
              <w:left w:val="nil"/>
              <w:bottom w:val="nil"/>
              <w:right w:val="nil"/>
            </w:tcBorders>
            <w:shd w:val="clear" w:color="auto" w:fill="auto"/>
            <w:noWrap/>
            <w:vAlign w:val="bottom"/>
            <w:hideMark/>
          </w:tcPr>
          <w:p w14:paraId="7A392761"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r w:rsidRPr="0026351E">
              <w:rPr>
                <w:rFonts w:ascii="Times New Roman" w:eastAsia="Times New Roman" w:hAnsi="Times New Roman" w:cs="Times New Roman"/>
                <w:i/>
                <w:iCs/>
                <w:sz w:val="18"/>
                <w:szCs w:val="18"/>
                <w:lang w:eastAsia="pt-BR"/>
              </w:rPr>
              <w:t>Tipo de composição familiar</w:t>
            </w:r>
          </w:p>
        </w:tc>
        <w:tc>
          <w:tcPr>
            <w:tcW w:w="778" w:type="dxa"/>
            <w:tcBorders>
              <w:top w:val="nil"/>
              <w:left w:val="nil"/>
              <w:bottom w:val="nil"/>
              <w:right w:val="nil"/>
            </w:tcBorders>
            <w:shd w:val="clear" w:color="auto" w:fill="auto"/>
            <w:noWrap/>
            <w:vAlign w:val="center"/>
            <w:hideMark/>
          </w:tcPr>
          <w:p w14:paraId="7DA89E42"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p>
        </w:tc>
        <w:tc>
          <w:tcPr>
            <w:tcW w:w="663" w:type="dxa"/>
            <w:tcBorders>
              <w:top w:val="nil"/>
              <w:left w:val="nil"/>
              <w:bottom w:val="nil"/>
              <w:right w:val="nil"/>
            </w:tcBorders>
            <w:shd w:val="clear" w:color="auto" w:fill="auto"/>
            <w:noWrap/>
            <w:vAlign w:val="center"/>
            <w:hideMark/>
          </w:tcPr>
          <w:p w14:paraId="48CC4B1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778" w:type="dxa"/>
            <w:tcBorders>
              <w:top w:val="nil"/>
              <w:left w:val="nil"/>
              <w:bottom w:val="nil"/>
              <w:right w:val="nil"/>
            </w:tcBorders>
            <w:shd w:val="clear" w:color="auto" w:fill="auto"/>
            <w:noWrap/>
            <w:vAlign w:val="center"/>
            <w:hideMark/>
          </w:tcPr>
          <w:p w14:paraId="606916E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3" w:type="dxa"/>
            <w:tcBorders>
              <w:top w:val="nil"/>
              <w:left w:val="nil"/>
              <w:bottom w:val="nil"/>
              <w:right w:val="nil"/>
            </w:tcBorders>
            <w:shd w:val="clear" w:color="auto" w:fill="auto"/>
            <w:noWrap/>
            <w:vAlign w:val="center"/>
            <w:hideMark/>
          </w:tcPr>
          <w:p w14:paraId="3AA0978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792" w:type="dxa"/>
            <w:tcBorders>
              <w:top w:val="nil"/>
              <w:left w:val="nil"/>
              <w:bottom w:val="nil"/>
              <w:right w:val="nil"/>
            </w:tcBorders>
            <w:shd w:val="clear" w:color="auto" w:fill="auto"/>
            <w:noWrap/>
            <w:vAlign w:val="center"/>
            <w:hideMark/>
          </w:tcPr>
          <w:p w14:paraId="3DE2CAD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78" w:type="dxa"/>
            <w:tcBorders>
              <w:top w:val="nil"/>
              <w:left w:val="nil"/>
              <w:bottom w:val="nil"/>
              <w:right w:val="nil"/>
            </w:tcBorders>
            <w:shd w:val="clear" w:color="auto" w:fill="auto"/>
            <w:noWrap/>
            <w:vAlign w:val="center"/>
            <w:hideMark/>
          </w:tcPr>
          <w:p w14:paraId="408BC8E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r>
      <w:tr w:rsidR="00F56AB8" w:rsidRPr="0026351E" w14:paraId="715AEB6B" w14:textId="77777777" w:rsidTr="00A43D99">
        <w:trPr>
          <w:trHeight w:val="212"/>
        </w:trPr>
        <w:tc>
          <w:tcPr>
            <w:tcW w:w="3182" w:type="dxa"/>
            <w:tcBorders>
              <w:top w:val="nil"/>
              <w:left w:val="nil"/>
              <w:bottom w:val="nil"/>
              <w:right w:val="nil"/>
            </w:tcBorders>
            <w:shd w:val="clear" w:color="auto" w:fill="auto"/>
            <w:noWrap/>
            <w:vAlign w:val="bottom"/>
            <w:hideMark/>
          </w:tcPr>
          <w:p w14:paraId="0350EB80"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Casal sem filho(s)</w:t>
            </w:r>
          </w:p>
        </w:tc>
        <w:tc>
          <w:tcPr>
            <w:tcW w:w="910" w:type="dxa"/>
            <w:tcBorders>
              <w:top w:val="nil"/>
              <w:left w:val="nil"/>
              <w:bottom w:val="nil"/>
              <w:right w:val="nil"/>
            </w:tcBorders>
            <w:shd w:val="clear" w:color="auto" w:fill="auto"/>
            <w:noWrap/>
            <w:vAlign w:val="center"/>
            <w:hideMark/>
          </w:tcPr>
          <w:p w14:paraId="5267506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10.244</w:t>
            </w:r>
          </w:p>
        </w:tc>
        <w:tc>
          <w:tcPr>
            <w:tcW w:w="663" w:type="dxa"/>
            <w:tcBorders>
              <w:top w:val="nil"/>
              <w:left w:val="nil"/>
              <w:bottom w:val="nil"/>
              <w:right w:val="nil"/>
            </w:tcBorders>
            <w:shd w:val="clear" w:color="auto" w:fill="auto"/>
            <w:noWrap/>
            <w:vAlign w:val="center"/>
            <w:hideMark/>
          </w:tcPr>
          <w:p w14:paraId="6084ADD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8,7</w:t>
            </w:r>
          </w:p>
        </w:tc>
        <w:tc>
          <w:tcPr>
            <w:tcW w:w="778" w:type="dxa"/>
            <w:tcBorders>
              <w:top w:val="nil"/>
              <w:left w:val="nil"/>
              <w:bottom w:val="nil"/>
              <w:right w:val="nil"/>
            </w:tcBorders>
            <w:shd w:val="clear" w:color="auto" w:fill="auto"/>
            <w:noWrap/>
            <w:vAlign w:val="center"/>
            <w:hideMark/>
          </w:tcPr>
          <w:p w14:paraId="5D0E6FA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1.131</w:t>
            </w:r>
          </w:p>
        </w:tc>
        <w:tc>
          <w:tcPr>
            <w:tcW w:w="663" w:type="dxa"/>
            <w:tcBorders>
              <w:top w:val="nil"/>
              <w:left w:val="nil"/>
              <w:bottom w:val="nil"/>
              <w:right w:val="nil"/>
            </w:tcBorders>
            <w:shd w:val="clear" w:color="auto" w:fill="auto"/>
            <w:noWrap/>
            <w:vAlign w:val="center"/>
            <w:hideMark/>
          </w:tcPr>
          <w:p w14:paraId="0DDDD28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7,1</w:t>
            </w:r>
          </w:p>
        </w:tc>
        <w:tc>
          <w:tcPr>
            <w:tcW w:w="778" w:type="dxa"/>
            <w:tcBorders>
              <w:top w:val="nil"/>
              <w:left w:val="nil"/>
              <w:bottom w:val="nil"/>
              <w:right w:val="nil"/>
            </w:tcBorders>
            <w:shd w:val="clear" w:color="auto" w:fill="auto"/>
            <w:noWrap/>
            <w:vAlign w:val="center"/>
            <w:hideMark/>
          </w:tcPr>
          <w:p w14:paraId="11E33B4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3.621</w:t>
            </w:r>
          </w:p>
        </w:tc>
        <w:tc>
          <w:tcPr>
            <w:tcW w:w="663" w:type="dxa"/>
            <w:tcBorders>
              <w:top w:val="nil"/>
              <w:left w:val="nil"/>
              <w:bottom w:val="nil"/>
              <w:right w:val="nil"/>
            </w:tcBorders>
            <w:shd w:val="clear" w:color="auto" w:fill="auto"/>
            <w:noWrap/>
            <w:vAlign w:val="center"/>
            <w:hideMark/>
          </w:tcPr>
          <w:p w14:paraId="5564B96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8,7</w:t>
            </w:r>
          </w:p>
        </w:tc>
        <w:tc>
          <w:tcPr>
            <w:tcW w:w="792" w:type="dxa"/>
            <w:tcBorders>
              <w:top w:val="nil"/>
              <w:left w:val="nil"/>
              <w:bottom w:val="nil"/>
              <w:right w:val="nil"/>
            </w:tcBorders>
            <w:shd w:val="clear" w:color="auto" w:fill="auto"/>
            <w:noWrap/>
            <w:vAlign w:val="center"/>
            <w:hideMark/>
          </w:tcPr>
          <w:p w14:paraId="142A66C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7.245</w:t>
            </w:r>
          </w:p>
        </w:tc>
        <w:tc>
          <w:tcPr>
            <w:tcW w:w="678" w:type="dxa"/>
            <w:tcBorders>
              <w:top w:val="nil"/>
              <w:left w:val="nil"/>
              <w:bottom w:val="nil"/>
              <w:right w:val="nil"/>
            </w:tcBorders>
            <w:shd w:val="clear" w:color="auto" w:fill="auto"/>
            <w:noWrap/>
            <w:vAlign w:val="center"/>
            <w:hideMark/>
          </w:tcPr>
          <w:p w14:paraId="39B50A5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9,2</w:t>
            </w:r>
          </w:p>
        </w:tc>
      </w:tr>
      <w:tr w:rsidR="00F56AB8" w:rsidRPr="0026351E" w14:paraId="017853C1" w14:textId="77777777" w:rsidTr="00A43D99">
        <w:trPr>
          <w:trHeight w:val="212"/>
        </w:trPr>
        <w:tc>
          <w:tcPr>
            <w:tcW w:w="3182" w:type="dxa"/>
            <w:tcBorders>
              <w:top w:val="nil"/>
              <w:left w:val="nil"/>
              <w:bottom w:val="nil"/>
              <w:right w:val="nil"/>
            </w:tcBorders>
            <w:shd w:val="clear" w:color="auto" w:fill="auto"/>
            <w:noWrap/>
            <w:vAlign w:val="bottom"/>
            <w:hideMark/>
          </w:tcPr>
          <w:p w14:paraId="48066813"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Casal sem filho(s) e com parente(s)</w:t>
            </w:r>
          </w:p>
        </w:tc>
        <w:tc>
          <w:tcPr>
            <w:tcW w:w="910" w:type="dxa"/>
            <w:tcBorders>
              <w:top w:val="nil"/>
              <w:left w:val="nil"/>
              <w:bottom w:val="nil"/>
              <w:right w:val="nil"/>
            </w:tcBorders>
            <w:shd w:val="clear" w:color="auto" w:fill="auto"/>
            <w:noWrap/>
            <w:vAlign w:val="center"/>
            <w:hideMark/>
          </w:tcPr>
          <w:p w14:paraId="38D372A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2.597</w:t>
            </w:r>
          </w:p>
        </w:tc>
        <w:tc>
          <w:tcPr>
            <w:tcW w:w="663" w:type="dxa"/>
            <w:tcBorders>
              <w:top w:val="nil"/>
              <w:left w:val="nil"/>
              <w:bottom w:val="nil"/>
              <w:right w:val="nil"/>
            </w:tcBorders>
            <w:shd w:val="clear" w:color="auto" w:fill="auto"/>
            <w:noWrap/>
            <w:vAlign w:val="center"/>
            <w:hideMark/>
          </w:tcPr>
          <w:p w14:paraId="22E22AA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2,2</w:t>
            </w:r>
          </w:p>
        </w:tc>
        <w:tc>
          <w:tcPr>
            <w:tcW w:w="778" w:type="dxa"/>
            <w:tcBorders>
              <w:top w:val="nil"/>
              <w:left w:val="nil"/>
              <w:bottom w:val="nil"/>
              <w:right w:val="nil"/>
            </w:tcBorders>
            <w:shd w:val="clear" w:color="auto" w:fill="auto"/>
            <w:noWrap/>
            <w:vAlign w:val="center"/>
            <w:hideMark/>
          </w:tcPr>
          <w:p w14:paraId="598B85D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295</w:t>
            </w:r>
          </w:p>
        </w:tc>
        <w:tc>
          <w:tcPr>
            <w:tcW w:w="663" w:type="dxa"/>
            <w:tcBorders>
              <w:top w:val="nil"/>
              <w:left w:val="nil"/>
              <w:bottom w:val="nil"/>
              <w:right w:val="nil"/>
            </w:tcBorders>
            <w:shd w:val="clear" w:color="auto" w:fill="auto"/>
            <w:noWrap/>
            <w:vAlign w:val="center"/>
            <w:hideMark/>
          </w:tcPr>
          <w:p w14:paraId="589B3B6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1,9</w:t>
            </w:r>
          </w:p>
        </w:tc>
        <w:tc>
          <w:tcPr>
            <w:tcW w:w="778" w:type="dxa"/>
            <w:tcBorders>
              <w:top w:val="nil"/>
              <w:left w:val="nil"/>
              <w:bottom w:val="nil"/>
              <w:right w:val="nil"/>
            </w:tcBorders>
            <w:shd w:val="clear" w:color="auto" w:fill="auto"/>
            <w:noWrap/>
            <w:vAlign w:val="center"/>
            <w:hideMark/>
          </w:tcPr>
          <w:p w14:paraId="564319F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1.012</w:t>
            </w:r>
          </w:p>
        </w:tc>
        <w:tc>
          <w:tcPr>
            <w:tcW w:w="663" w:type="dxa"/>
            <w:tcBorders>
              <w:top w:val="nil"/>
              <w:left w:val="nil"/>
              <w:bottom w:val="nil"/>
              <w:right w:val="nil"/>
            </w:tcBorders>
            <w:shd w:val="clear" w:color="auto" w:fill="auto"/>
            <w:noWrap/>
            <w:vAlign w:val="center"/>
            <w:hideMark/>
          </w:tcPr>
          <w:p w14:paraId="6747E50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2,4</w:t>
            </w:r>
          </w:p>
        </w:tc>
        <w:tc>
          <w:tcPr>
            <w:tcW w:w="792" w:type="dxa"/>
            <w:tcBorders>
              <w:top w:val="nil"/>
              <w:left w:val="nil"/>
              <w:bottom w:val="nil"/>
              <w:right w:val="nil"/>
            </w:tcBorders>
            <w:shd w:val="clear" w:color="auto" w:fill="auto"/>
            <w:noWrap/>
            <w:vAlign w:val="center"/>
            <w:hideMark/>
          </w:tcPr>
          <w:p w14:paraId="4C29541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1.602</w:t>
            </w:r>
          </w:p>
        </w:tc>
        <w:tc>
          <w:tcPr>
            <w:tcW w:w="678" w:type="dxa"/>
            <w:tcBorders>
              <w:top w:val="nil"/>
              <w:left w:val="nil"/>
              <w:bottom w:val="nil"/>
              <w:right w:val="nil"/>
            </w:tcBorders>
            <w:shd w:val="clear" w:color="auto" w:fill="auto"/>
            <w:noWrap/>
            <w:vAlign w:val="center"/>
            <w:hideMark/>
          </w:tcPr>
          <w:p w14:paraId="688CED4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w:t>
            </w:r>
          </w:p>
        </w:tc>
      </w:tr>
      <w:tr w:rsidR="00F56AB8" w:rsidRPr="0026351E" w14:paraId="61C5CABF" w14:textId="77777777" w:rsidTr="00A43D99">
        <w:trPr>
          <w:trHeight w:val="212"/>
        </w:trPr>
        <w:tc>
          <w:tcPr>
            <w:tcW w:w="3182" w:type="dxa"/>
            <w:tcBorders>
              <w:top w:val="nil"/>
              <w:left w:val="nil"/>
              <w:bottom w:val="nil"/>
              <w:right w:val="nil"/>
            </w:tcBorders>
            <w:shd w:val="clear" w:color="auto" w:fill="auto"/>
            <w:noWrap/>
            <w:vAlign w:val="bottom"/>
            <w:hideMark/>
          </w:tcPr>
          <w:p w14:paraId="0031D01C"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Casal com filho(s)</w:t>
            </w:r>
          </w:p>
        </w:tc>
        <w:tc>
          <w:tcPr>
            <w:tcW w:w="910" w:type="dxa"/>
            <w:tcBorders>
              <w:top w:val="nil"/>
              <w:left w:val="nil"/>
              <w:bottom w:val="nil"/>
              <w:right w:val="nil"/>
            </w:tcBorders>
            <w:shd w:val="clear" w:color="auto" w:fill="auto"/>
            <w:noWrap/>
            <w:vAlign w:val="center"/>
            <w:hideMark/>
          </w:tcPr>
          <w:p w14:paraId="1209701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78.169</w:t>
            </w:r>
          </w:p>
        </w:tc>
        <w:tc>
          <w:tcPr>
            <w:tcW w:w="663" w:type="dxa"/>
            <w:tcBorders>
              <w:top w:val="nil"/>
              <w:left w:val="nil"/>
              <w:bottom w:val="nil"/>
              <w:right w:val="nil"/>
            </w:tcBorders>
            <w:shd w:val="clear" w:color="auto" w:fill="auto"/>
            <w:noWrap/>
            <w:vAlign w:val="center"/>
            <w:hideMark/>
          </w:tcPr>
          <w:p w14:paraId="0F1E880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66,8</w:t>
            </w:r>
          </w:p>
        </w:tc>
        <w:tc>
          <w:tcPr>
            <w:tcW w:w="778" w:type="dxa"/>
            <w:tcBorders>
              <w:top w:val="nil"/>
              <w:left w:val="nil"/>
              <w:bottom w:val="nil"/>
              <w:right w:val="nil"/>
            </w:tcBorders>
            <w:shd w:val="clear" w:color="auto" w:fill="auto"/>
            <w:noWrap/>
            <w:vAlign w:val="center"/>
            <w:hideMark/>
          </w:tcPr>
          <w:p w14:paraId="2156065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8.925</w:t>
            </w:r>
          </w:p>
        </w:tc>
        <w:tc>
          <w:tcPr>
            <w:tcW w:w="663" w:type="dxa"/>
            <w:tcBorders>
              <w:top w:val="nil"/>
              <w:left w:val="nil"/>
              <w:bottom w:val="nil"/>
              <w:right w:val="nil"/>
            </w:tcBorders>
            <w:shd w:val="clear" w:color="auto" w:fill="auto"/>
            <w:noWrap/>
            <w:vAlign w:val="center"/>
            <w:hideMark/>
          </w:tcPr>
          <w:p w14:paraId="7C3DB9C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56,2</w:t>
            </w:r>
          </w:p>
        </w:tc>
        <w:tc>
          <w:tcPr>
            <w:tcW w:w="778" w:type="dxa"/>
            <w:tcBorders>
              <w:top w:val="nil"/>
              <w:left w:val="nil"/>
              <w:bottom w:val="nil"/>
              <w:right w:val="nil"/>
            </w:tcBorders>
            <w:shd w:val="clear" w:color="auto" w:fill="auto"/>
            <w:noWrap/>
            <w:vAlign w:val="center"/>
            <w:hideMark/>
          </w:tcPr>
          <w:p w14:paraId="670CEB6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27.790</w:t>
            </w:r>
          </w:p>
        </w:tc>
        <w:tc>
          <w:tcPr>
            <w:tcW w:w="663" w:type="dxa"/>
            <w:tcBorders>
              <w:top w:val="nil"/>
              <w:left w:val="nil"/>
              <w:bottom w:val="nil"/>
              <w:right w:val="nil"/>
            </w:tcBorders>
            <w:shd w:val="clear" w:color="auto" w:fill="auto"/>
            <w:noWrap/>
            <w:vAlign w:val="center"/>
            <w:hideMark/>
          </w:tcPr>
          <w:p w14:paraId="75AF754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66,7</w:t>
            </w:r>
          </w:p>
        </w:tc>
        <w:tc>
          <w:tcPr>
            <w:tcW w:w="792" w:type="dxa"/>
            <w:tcBorders>
              <w:top w:val="nil"/>
              <w:left w:val="nil"/>
              <w:bottom w:val="nil"/>
              <w:right w:val="nil"/>
            </w:tcBorders>
            <w:shd w:val="clear" w:color="auto" w:fill="auto"/>
            <w:noWrap/>
            <w:vAlign w:val="center"/>
            <w:hideMark/>
          </w:tcPr>
          <w:p w14:paraId="6734159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50.399</w:t>
            </w:r>
          </w:p>
        </w:tc>
        <w:tc>
          <w:tcPr>
            <w:tcW w:w="678" w:type="dxa"/>
            <w:tcBorders>
              <w:top w:val="nil"/>
              <w:left w:val="nil"/>
              <w:bottom w:val="nil"/>
              <w:right w:val="nil"/>
            </w:tcBorders>
            <w:shd w:val="clear" w:color="auto" w:fill="auto"/>
            <w:noWrap/>
            <w:vAlign w:val="center"/>
            <w:hideMark/>
          </w:tcPr>
          <w:p w14:paraId="542D1D3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64,2</w:t>
            </w:r>
          </w:p>
        </w:tc>
      </w:tr>
      <w:tr w:rsidR="00F56AB8" w:rsidRPr="0026351E" w14:paraId="13488AB5" w14:textId="77777777" w:rsidTr="00A43D99">
        <w:trPr>
          <w:trHeight w:val="212"/>
        </w:trPr>
        <w:tc>
          <w:tcPr>
            <w:tcW w:w="3182" w:type="dxa"/>
            <w:tcBorders>
              <w:top w:val="nil"/>
              <w:left w:val="nil"/>
              <w:bottom w:val="nil"/>
              <w:right w:val="nil"/>
            </w:tcBorders>
            <w:shd w:val="clear" w:color="auto" w:fill="auto"/>
            <w:noWrap/>
            <w:vAlign w:val="bottom"/>
            <w:hideMark/>
          </w:tcPr>
          <w:p w14:paraId="7BFFFB71"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Casal com filho(s) e com parente(s)</w:t>
            </w:r>
          </w:p>
        </w:tc>
        <w:tc>
          <w:tcPr>
            <w:tcW w:w="910" w:type="dxa"/>
            <w:tcBorders>
              <w:top w:val="nil"/>
              <w:left w:val="nil"/>
              <w:bottom w:val="nil"/>
              <w:right w:val="nil"/>
            </w:tcBorders>
            <w:shd w:val="clear" w:color="auto" w:fill="auto"/>
            <w:noWrap/>
            <w:vAlign w:val="center"/>
            <w:hideMark/>
          </w:tcPr>
          <w:p w14:paraId="265E1A2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9.961</w:t>
            </w:r>
          </w:p>
        </w:tc>
        <w:tc>
          <w:tcPr>
            <w:tcW w:w="663" w:type="dxa"/>
            <w:tcBorders>
              <w:top w:val="nil"/>
              <w:left w:val="nil"/>
              <w:bottom w:val="nil"/>
              <w:right w:val="nil"/>
            </w:tcBorders>
            <w:shd w:val="clear" w:color="auto" w:fill="auto"/>
            <w:noWrap/>
            <w:vAlign w:val="center"/>
            <w:hideMark/>
          </w:tcPr>
          <w:p w14:paraId="031D5C6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8,5</w:t>
            </w:r>
          </w:p>
        </w:tc>
        <w:tc>
          <w:tcPr>
            <w:tcW w:w="778" w:type="dxa"/>
            <w:tcBorders>
              <w:top w:val="nil"/>
              <w:left w:val="nil"/>
              <w:bottom w:val="nil"/>
              <w:right w:val="nil"/>
            </w:tcBorders>
            <w:shd w:val="clear" w:color="auto" w:fill="auto"/>
            <w:noWrap/>
            <w:vAlign w:val="center"/>
            <w:hideMark/>
          </w:tcPr>
          <w:p w14:paraId="186E8AE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1.101</w:t>
            </w:r>
          </w:p>
        </w:tc>
        <w:tc>
          <w:tcPr>
            <w:tcW w:w="663" w:type="dxa"/>
            <w:tcBorders>
              <w:top w:val="nil"/>
              <w:left w:val="nil"/>
              <w:bottom w:val="nil"/>
              <w:right w:val="nil"/>
            </w:tcBorders>
            <w:shd w:val="clear" w:color="auto" w:fill="auto"/>
            <w:noWrap/>
            <w:vAlign w:val="center"/>
            <w:hideMark/>
          </w:tcPr>
          <w:p w14:paraId="63D45FB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6,9</w:t>
            </w:r>
          </w:p>
        </w:tc>
        <w:tc>
          <w:tcPr>
            <w:tcW w:w="778" w:type="dxa"/>
            <w:tcBorders>
              <w:top w:val="nil"/>
              <w:left w:val="nil"/>
              <w:bottom w:val="nil"/>
              <w:right w:val="nil"/>
            </w:tcBorders>
            <w:shd w:val="clear" w:color="auto" w:fill="auto"/>
            <w:noWrap/>
            <w:vAlign w:val="center"/>
            <w:hideMark/>
          </w:tcPr>
          <w:p w14:paraId="6568FA7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3.278</w:t>
            </w:r>
          </w:p>
        </w:tc>
        <w:tc>
          <w:tcPr>
            <w:tcW w:w="663" w:type="dxa"/>
            <w:tcBorders>
              <w:top w:val="nil"/>
              <w:left w:val="nil"/>
              <w:bottom w:val="nil"/>
              <w:right w:val="nil"/>
            </w:tcBorders>
            <w:shd w:val="clear" w:color="auto" w:fill="auto"/>
            <w:noWrap/>
            <w:vAlign w:val="center"/>
            <w:hideMark/>
          </w:tcPr>
          <w:p w14:paraId="075DCBA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7,9</w:t>
            </w:r>
          </w:p>
        </w:tc>
        <w:tc>
          <w:tcPr>
            <w:tcW w:w="792" w:type="dxa"/>
            <w:tcBorders>
              <w:top w:val="nil"/>
              <w:left w:val="nil"/>
              <w:bottom w:val="nil"/>
              <w:right w:val="nil"/>
            </w:tcBorders>
            <w:shd w:val="clear" w:color="auto" w:fill="auto"/>
            <w:noWrap/>
            <w:vAlign w:val="center"/>
            <w:hideMark/>
          </w:tcPr>
          <w:p w14:paraId="3459808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6.969</w:t>
            </w:r>
          </w:p>
        </w:tc>
        <w:tc>
          <w:tcPr>
            <w:tcW w:w="678" w:type="dxa"/>
            <w:tcBorders>
              <w:top w:val="nil"/>
              <w:left w:val="nil"/>
              <w:bottom w:val="nil"/>
              <w:right w:val="nil"/>
            </w:tcBorders>
            <w:shd w:val="clear" w:color="auto" w:fill="auto"/>
            <w:noWrap/>
            <w:vAlign w:val="center"/>
            <w:hideMark/>
          </w:tcPr>
          <w:p w14:paraId="68A4BF3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8,9</w:t>
            </w:r>
          </w:p>
        </w:tc>
      </w:tr>
      <w:tr w:rsidR="00F56AB8" w:rsidRPr="0026351E" w14:paraId="206A707A" w14:textId="77777777" w:rsidTr="00A43D99">
        <w:trPr>
          <w:trHeight w:val="212"/>
        </w:trPr>
        <w:tc>
          <w:tcPr>
            <w:tcW w:w="3182" w:type="dxa"/>
            <w:tcBorders>
              <w:top w:val="nil"/>
              <w:left w:val="nil"/>
              <w:bottom w:val="nil"/>
              <w:right w:val="nil"/>
            </w:tcBorders>
            <w:shd w:val="clear" w:color="auto" w:fill="auto"/>
            <w:noWrap/>
            <w:vAlign w:val="bottom"/>
            <w:hideMark/>
          </w:tcPr>
          <w:p w14:paraId="60FE008B"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Mulher sem cônjuge com filho(s)</w:t>
            </w:r>
          </w:p>
        </w:tc>
        <w:tc>
          <w:tcPr>
            <w:tcW w:w="910" w:type="dxa"/>
            <w:tcBorders>
              <w:top w:val="nil"/>
              <w:left w:val="nil"/>
              <w:bottom w:val="nil"/>
              <w:right w:val="nil"/>
            </w:tcBorders>
            <w:shd w:val="clear" w:color="auto" w:fill="auto"/>
            <w:noWrap/>
            <w:vAlign w:val="center"/>
            <w:hideMark/>
          </w:tcPr>
          <w:p w14:paraId="0B67B69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7.812</w:t>
            </w:r>
          </w:p>
        </w:tc>
        <w:tc>
          <w:tcPr>
            <w:tcW w:w="663" w:type="dxa"/>
            <w:tcBorders>
              <w:top w:val="nil"/>
              <w:left w:val="nil"/>
              <w:bottom w:val="nil"/>
              <w:right w:val="nil"/>
            </w:tcBorders>
            <w:shd w:val="clear" w:color="auto" w:fill="auto"/>
            <w:noWrap/>
            <w:vAlign w:val="center"/>
            <w:hideMark/>
          </w:tcPr>
          <w:p w14:paraId="24D41CB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6,7</w:t>
            </w:r>
          </w:p>
        </w:tc>
        <w:tc>
          <w:tcPr>
            <w:tcW w:w="778" w:type="dxa"/>
            <w:tcBorders>
              <w:top w:val="nil"/>
              <w:left w:val="nil"/>
              <w:bottom w:val="nil"/>
              <w:right w:val="nil"/>
            </w:tcBorders>
            <w:shd w:val="clear" w:color="auto" w:fill="auto"/>
            <w:noWrap/>
            <w:vAlign w:val="center"/>
            <w:hideMark/>
          </w:tcPr>
          <w:p w14:paraId="785D6C5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512</w:t>
            </w:r>
          </w:p>
        </w:tc>
        <w:tc>
          <w:tcPr>
            <w:tcW w:w="663" w:type="dxa"/>
            <w:tcBorders>
              <w:top w:val="nil"/>
              <w:left w:val="nil"/>
              <w:bottom w:val="nil"/>
              <w:right w:val="nil"/>
            </w:tcBorders>
            <w:shd w:val="clear" w:color="auto" w:fill="auto"/>
            <w:noWrap/>
            <w:vAlign w:val="center"/>
            <w:hideMark/>
          </w:tcPr>
          <w:p w14:paraId="3313499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3,2</w:t>
            </w:r>
          </w:p>
        </w:tc>
        <w:tc>
          <w:tcPr>
            <w:tcW w:w="778" w:type="dxa"/>
            <w:tcBorders>
              <w:top w:val="nil"/>
              <w:left w:val="nil"/>
              <w:bottom w:val="nil"/>
              <w:right w:val="nil"/>
            </w:tcBorders>
            <w:shd w:val="clear" w:color="auto" w:fill="auto"/>
            <w:noWrap/>
            <w:vAlign w:val="center"/>
            <w:hideMark/>
          </w:tcPr>
          <w:p w14:paraId="05FAC7A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2.467</w:t>
            </w:r>
          </w:p>
        </w:tc>
        <w:tc>
          <w:tcPr>
            <w:tcW w:w="663" w:type="dxa"/>
            <w:tcBorders>
              <w:top w:val="nil"/>
              <w:left w:val="nil"/>
              <w:bottom w:val="nil"/>
              <w:right w:val="nil"/>
            </w:tcBorders>
            <w:shd w:val="clear" w:color="auto" w:fill="auto"/>
            <w:noWrap/>
            <w:vAlign w:val="center"/>
            <w:hideMark/>
          </w:tcPr>
          <w:p w14:paraId="00CA021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5,9</w:t>
            </w:r>
          </w:p>
        </w:tc>
        <w:tc>
          <w:tcPr>
            <w:tcW w:w="792" w:type="dxa"/>
            <w:tcBorders>
              <w:top w:val="nil"/>
              <w:left w:val="nil"/>
              <w:bottom w:val="nil"/>
              <w:right w:val="nil"/>
            </w:tcBorders>
            <w:shd w:val="clear" w:color="auto" w:fill="auto"/>
            <w:noWrap/>
            <w:vAlign w:val="center"/>
            <w:hideMark/>
          </w:tcPr>
          <w:p w14:paraId="60BE536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5.317</w:t>
            </w:r>
          </w:p>
        </w:tc>
        <w:tc>
          <w:tcPr>
            <w:tcW w:w="678" w:type="dxa"/>
            <w:tcBorders>
              <w:top w:val="nil"/>
              <w:left w:val="nil"/>
              <w:bottom w:val="nil"/>
              <w:right w:val="nil"/>
            </w:tcBorders>
            <w:shd w:val="clear" w:color="auto" w:fill="auto"/>
            <w:noWrap/>
            <w:vAlign w:val="center"/>
            <w:hideMark/>
          </w:tcPr>
          <w:p w14:paraId="0092F26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6,8</w:t>
            </w:r>
          </w:p>
        </w:tc>
      </w:tr>
      <w:tr w:rsidR="00F56AB8" w:rsidRPr="0026351E" w14:paraId="2669AD71" w14:textId="77777777" w:rsidTr="00A43D99">
        <w:trPr>
          <w:trHeight w:val="212"/>
        </w:trPr>
        <w:tc>
          <w:tcPr>
            <w:tcW w:w="3182" w:type="dxa"/>
            <w:tcBorders>
              <w:top w:val="nil"/>
              <w:left w:val="nil"/>
              <w:bottom w:val="nil"/>
              <w:right w:val="nil"/>
            </w:tcBorders>
            <w:shd w:val="clear" w:color="auto" w:fill="auto"/>
            <w:noWrap/>
            <w:vAlign w:val="bottom"/>
            <w:hideMark/>
          </w:tcPr>
          <w:p w14:paraId="2E69B2FE"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Mulher sem cônjuge com filho(s) e com parente(s)</w:t>
            </w:r>
          </w:p>
        </w:tc>
        <w:tc>
          <w:tcPr>
            <w:tcW w:w="910" w:type="dxa"/>
            <w:tcBorders>
              <w:top w:val="nil"/>
              <w:left w:val="nil"/>
              <w:bottom w:val="nil"/>
              <w:right w:val="nil"/>
            </w:tcBorders>
            <w:shd w:val="clear" w:color="auto" w:fill="auto"/>
            <w:noWrap/>
            <w:vAlign w:val="center"/>
            <w:hideMark/>
          </w:tcPr>
          <w:p w14:paraId="280481D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2.788</w:t>
            </w:r>
          </w:p>
        </w:tc>
        <w:tc>
          <w:tcPr>
            <w:tcW w:w="663" w:type="dxa"/>
            <w:tcBorders>
              <w:top w:val="nil"/>
              <w:left w:val="nil"/>
              <w:bottom w:val="nil"/>
              <w:right w:val="nil"/>
            </w:tcBorders>
            <w:shd w:val="clear" w:color="auto" w:fill="auto"/>
            <w:noWrap/>
            <w:vAlign w:val="center"/>
            <w:hideMark/>
          </w:tcPr>
          <w:p w14:paraId="4FF6FDB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2,4</w:t>
            </w:r>
          </w:p>
        </w:tc>
        <w:tc>
          <w:tcPr>
            <w:tcW w:w="778" w:type="dxa"/>
            <w:tcBorders>
              <w:top w:val="nil"/>
              <w:left w:val="nil"/>
              <w:bottom w:val="nil"/>
              <w:right w:val="nil"/>
            </w:tcBorders>
            <w:shd w:val="clear" w:color="auto" w:fill="auto"/>
            <w:noWrap/>
            <w:vAlign w:val="center"/>
            <w:hideMark/>
          </w:tcPr>
          <w:p w14:paraId="516F884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225</w:t>
            </w:r>
          </w:p>
        </w:tc>
        <w:tc>
          <w:tcPr>
            <w:tcW w:w="663" w:type="dxa"/>
            <w:tcBorders>
              <w:top w:val="nil"/>
              <w:left w:val="nil"/>
              <w:bottom w:val="nil"/>
              <w:right w:val="nil"/>
            </w:tcBorders>
            <w:shd w:val="clear" w:color="auto" w:fill="auto"/>
            <w:noWrap/>
            <w:vAlign w:val="center"/>
            <w:hideMark/>
          </w:tcPr>
          <w:p w14:paraId="3ECB7EC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w:t>
            </w:r>
          </w:p>
        </w:tc>
        <w:tc>
          <w:tcPr>
            <w:tcW w:w="778" w:type="dxa"/>
            <w:tcBorders>
              <w:top w:val="nil"/>
              <w:left w:val="nil"/>
              <w:bottom w:val="nil"/>
              <w:right w:val="nil"/>
            </w:tcBorders>
            <w:shd w:val="clear" w:color="auto" w:fill="auto"/>
            <w:noWrap/>
            <w:vAlign w:val="center"/>
            <w:hideMark/>
          </w:tcPr>
          <w:p w14:paraId="1FCA9B1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1.369</w:t>
            </w:r>
          </w:p>
        </w:tc>
        <w:tc>
          <w:tcPr>
            <w:tcW w:w="663" w:type="dxa"/>
            <w:tcBorders>
              <w:top w:val="nil"/>
              <w:left w:val="nil"/>
              <w:bottom w:val="nil"/>
              <w:right w:val="nil"/>
            </w:tcBorders>
            <w:shd w:val="clear" w:color="auto" w:fill="auto"/>
            <w:noWrap/>
            <w:vAlign w:val="center"/>
            <w:hideMark/>
          </w:tcPr>
          <w:p w14:paraId="3AAC873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3,3</w:t>
            </w:r>
          </w:p>
        </w:tc>
        <w:tc>
          <w:tcPr>
            <w:tcW w:w="792" w:type="dxa"/>
            <w:tcBorders>
              <w:top w:val="nil"/>
              <w:left w:val="nil"/>
              <w:bottom w:val="nil"/>
              <w:right w:val="nil"/>
            </w:tcBorders>
            <w:shd w:val="clear" w:color="auto" w:fill="auto"/>
            <w:noWrap/>
            <w:vAlign w:val="center"/>
            <w:hideMark/>
          </w:tcPr>
          <w:p w14:paraId="07CB215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2.597</w:t>
            </w:r>
          </w:p>
        </w:tc>
        <w:tc>
          <w:tcPr>
            <w:tcW w:w="678" w:type="dxa"/>
            <w:tcBorders>
              <w:top w:val="nil"/>
              <w:left w:val="nil"/>
              <w:bottom w:val="nil"/>
              <w:right w:val="nil"/>
            </w:tcBorders>
            <w:shd w:val="clear" w:color="auto" w:fill="auto"/>
            <w:noWrap/>
            <w:vAlign w:val="center"/>
            <w:hideMark/>
          </w:tcPr>
          <w:p w14:paraId="16CBE05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3,3</w:t>
            </w:r>
          </w:p>
        </w:tc>
      </w:tr>
      <w:tr w:rsidR="00F56AB8" w:rsidRPr="0026351E" w14:paraId="76601C4C" w14:textId="77777777" w:rsidTr="00A43D99">
        <w:trPr>
          <w:trHeight w:val="212"/>
        </w:trPr>
        <w:tc>
          <w:tcPr>
            <w:tcW w:w="3182" w:type="dxa"/>
            <w:tcBorders>
              <w:top w:val="nil"/>
              <w:left w:val="nil"/>
              <w:bottom w:val="nil"/>
              <w:right w:val="nil"/>
            </w:tcBorders>
            <w:shd w:val="clear" w:color="auto" w:fill="auto"/>
            <w:noWrap/>
            <w:vAlign w:val="bottom"/>
            <w:hideMark/>
          </w:tcPr>
          <w:p w14:paraId="3F2F80FF"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Homem sem cônjuge com filho(s)</w:t>
            </w:r>
          </w:p>
        </w:tc>
        <w:tc>
          <w:tcPr>
            <w:tcW w:w="910" w:type="dxa"/>
            <w:tcBorders>
              <w:top w:val="nil"/>
              <w:left w:val="nil"/>
              <w:bottom w:val="nil"/>
              <w:right w:val="nil"/>
            </w:tcBorders>
            <w:shd w:val="clear" w:color="auto" w:fill="auto"/>
            <w:noWrap/>
            <w:vAlign w:val="center"/>
            <w:hideMark/>
          </w:tcPr>
          <w:p w14:paraId="1C74924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1.997</w:t>
            </w:r>
          </w:p>
        </w:tc>
        <w:tc>
          <w:tcPr>
            <w:tcW w:w="663" w:type="dxa"/>
            <w:tcBorders>
              <w:top w:val="nil"/>
              <w:left w:val="nil"/>
              <w:bottom w:val="nil"/>
              <w:right w:val="nil"/>
            </w:tcBorders>
            <w:shd w:val="clear" w:color="auto" w:fill="auto"/>
            <w:noWrap/>
            <w:vAlign w:val="center"/>
            <w:hideMark/>
          </w:tcPr>
          <w:p w14:paraId="3F1C66E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1,7</w:t>
            </w:r>
          </w:p>
        </w:tc>
        <w:tc>
          <w:tcPr>
            <w:tcW w:w="778" w:type="dxa"/>
            <w:tcBorders>
              <w:top w:val="nil"/>
              <w:left w:val="nil"/>
              <w:bottom w:val="nil"/>
              <w:right w:val="nil"/>
            </w:tcBorders>
            <w:shd w:val="clear" w:color="auto" w:fill="auto"/>
            <w:noWrap/>
            <w:vAlign w:val="center"/>
            <w:hideMark/>
          </w:tcPr>
          <w:p w14:paraId="3FA3FC0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178</w:t>
            </w:r>
          </w:p>
        </w:tc>
        <w:tc>
          <w:tcPr>
            <w:tcW w:w="663" w:type="dxa"/>
            <w:tcBorders>
              <w:top w:val="nil"/>
              <w:left w:val="nil"/>
              <w:bottom w:val="nil"/>
              <w:right w:val="nil"/>
            </w:tcBorders>
            <w:shd w:val="clear" w:color="auto" w:fill="auto"/>
            <w:noWrap/>
            <w:vAlign w:val="center"/>
            <w:hideMark/>
          </w:tcPr>
          <w:p w14:paraId="1108E2D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w:t>
            </w:r>
          </w:p>
        </w:tc>
        <w:tc>
          <w:tcPr>
            <w:tcW w:w="778" w:type="dxa"/>
            <w:tcBorders>
              <w:top w:val="nil"/>
              <w:left w:val="nil"/>
              <w:bottom w:val="nil"/>
              <w:right w:val="nil"/>
            </w:tcBorders>
            <w:shd w:val="clear" w:color="auto" w:fill="auto"/>
            <w:noWrap/>
            <w:vAlign w:val="center"/>
            <w:hideMark/>
          </w:tcPr>
          <w:p w14:paraId="1CF3892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563</w:t>
            </w:r>
          </w:p>
        </w:tc>
        <w:tc>
          <w:tcPr>
            <w:tcW w:w="663" w:type="dxa"/>
            <w:tcBorders>
              <w:top w:val="nil"/>
              <w:left w:val="nil"/>
              <w:bottom w:val="nil"/>
              <w:right w:val="nil"/>
            </w:tcBorders>
            <w:shd w:val="clear" w:color="auto" w:fill="auto"/>
            <w:noWrap/>
            <w:vAlign w:val="center"/>
            <w:hideMark/>
          </w:tcPr>
          <w:p w14:paraId="45E193B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w:t>
            </w:r>
          </w:p>
        </w:tc>
        <w:tc>
          <w:tcPr>
            <w:tcW w:w="792" w:type="dxa"/>
            <w:tcBorders>
              <w:top w:val="nil"/>
              <w:left w:val="nil"/>
              <w:bottom w:val="nil"/>
              <w:right w:val="nil"/>
            </w:tcBorders>
            <w:shd w:val="clear" w:color="auto" w:fill="auto"/>
            <w:noWrap/>
            <w:vAlign w:val="center"/>
            <w:hideMark/>
          </w:tcPr>
          <w:p w14:paraId="79EC47D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1.205</w:t>
            </w:r>
          </w:p>
        </w:tc>
        <w:tc>
          <w:tcPr>
            <w:tcW w:w="678" w:type="dxa"/>
            <w:tcBorders>
              <w:top w:val="nil"/>
              <w:left w:val="nil"/>
              <w:bottom w:val="nil"/>
              <w:right w:val="nil"/>
            </w:tcBorders>
            <w:shd w:val="clear" w:color="auto" w:fill="auto"/>
            <w:noWrap/>
            <w:vAlign w:val="center"/>
            <w:hideMark/>
          </w:tcPr>
          <w:p w14:paraId="788DE39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1,5</w:t>
            </w:r>
          </w:p>
        </w:tc>
      </w:tr>
      <w:tr w:rsidR="00F56AB8" w:rsidRPr="0026351E" w14:paraId="2D09B78F" w14:textId="77777777" w:rsidTr="00A43D99">
        <w:trPr>
          <w:trHeight w:val="212"/>
        </w:trPr>
        <w:tc>
          <w:tcPr>
            <w:tcW w:w="3182" w:type="dxa"/>
            <w:tcBorders>
              <w:top w:val="nil"/>
              <w:left w:val="nil"/>
              <w:bottom w:val="nil"/>
              <w:right w:val="nil"/>
            </w:tcBorders>
            <w:shd w:val="clear" w:color="auto" w:fill="auto"/>
            <w:noWrap/>
            <w:vAlign w:val="bottom"/>
            <w:hideMark/>
          </w:tcPr>
          <w:p w14:paraId="602A7BBB"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Homem sem cônjuge com filho(s) e com parente(s)</w:t>
            </w:r>
          </w:p>
        </w:tc>
        <w:tc>
          <w:tcPr>
            <w:tcW w:w="910" w:type="dxa"/>
            <w:tcBorders>
              <w:top w:val="nil"/>
              <w:left w:val="nil"/>
              <w:bottom w:val="nil"/>
              <w:right w:val="nil"/>
            </w:tcBorders>
            <w:shd w:val="clear" w:color="auto" w:fill="auto"/>
            <w:noWrap/>
            <w:vAlign w:val="center"/>
            <w:hideMark/>
          </w:tcPr>
          <w:p w14:paraId="58D992F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539</w:t>
            </w:r>
          </w:p>
        </w:tc>
        <w:tc>
          <w:tcPr>
            <w:tcW w:w="663" w:type="dxa"/>
            <w:tcBorders>
              <w:top w:val="nil"/>
              <w:left w:val="nil"/>
              <w:bottom w:val="nil"/>
              <w:right w:val="nil"/>
            </w:tcBorders>
            <w:shd w:val="clear" w:color="auto" w:fill="auto"/>
            <w:noWrap/>
            <w:vAlign w:val="center"/>
            <w:hideMark/>
          </w:tcPr>
          <w:p w14:paraId="2DE80C5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0,5</w:t>
            </w:r>
          </w:p>
        </w:tc>
        <w:tc>
          <w:tcPr>
            <w:tcW w:w="778" w:type="dxa"/>
            <w:tcBorders>
              <w:top w:val="nil"/>
              <w:left w:val="nil"/>
              <w:bottom w:val="nil"/>
              <w:right w:val="nil"/>
            </w:tcBorders>
            <w:shd w:val="clear" w:color="auto" w:fill="auto"/>
            <w:noWrap/>
            <w:vAlign w:val="center"/>
            <w:hideMark/>
          </w:tcPr>
          <w:p w14:paraId="3A2EFE3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539</w:t>
            </w:r>
          </w:p>
        </w:tc>
        <w:tc>
          <w:tcPr>
            <w:tcW w:w="663" w:type="dxa"/>
            <w:tcBorders>
              <w:top w:val="nil"/>
              <w:left w:val="nil"/>
              <w:bottom w:val="nil"/>
              <w:right w:val="nil"/>
            </w:tcBorders>
            <w:shd w:val="clear" w:color="auto" w:fill="auto"/>
            <w:noWrap/>
            <w:vAlign w:val="center"/>
            <w:hideMark/>
          </w:tcPr>
          <w:p w14:paraId="37DB40D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3,4</w:t>
            </w:r>
          </w:p>
        </w:tc>
        <w:tc>
          <w:tcPr>
            <w:tcW w:w="778" w:type="dxa"/>
            <w:tcBorders>
              <w:top w:val="nil"/>
              <w:left w:val="nil"/>
              <w:bottom w:val="nil"/>
              <w:right w:val="nil"/>
            </w:tcBorders>
            <w:shd w:val="clear" w:color="auto" w:fill="auto"/>
            <w:noWrap/>
            <w:vAlign w:val="center"/>
            <w:hideMark/>
          </w:tcPr>
          <w:p w14:paraId="7152A50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369</w:t>
            </w:r>
          </w:p>
        </w:tc>
        <w:tc>
          <w:tcPr>
            <w:tcW w:w="663" w:type="dxa"/>
            <w:tcBorders>
              <w:top w:val="nil"/>
              <w:left w:val="nil"/>
              <w:bottom w:val="nil"/>
              <w:right w:val="nil"/>
            </w:tcBorders>
            <w:shd w:val="clear" w:color="auto" w:fill="auto"/>
            <w:noWrap/>
            <w:vAlign w:val="center"/>
            <w:hideMark/>
          </w:tcPr>
          <w:p w14:paraId="0A912D1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0,9</w:t>
            </w:r>
          </w:p>
        </w:tc>
        <w:tc>
          <w:tcPr>
            <w:tcW w:w="792" w:type="dxa"/>
            <w:tcBorders>
              <w:top w:val="nil"/>
              <w:left w:val="nil"/>
              <w:bottom w:val="nil"/>
              <w:right w:val="nil"/>
            </w:tcBorders>
            <w:shd w:val="clear" w:color="auto" w:fill="auto"/>
            <w:noWrap/>
            <w:vAlign w:val="center"/>
            <w:hideMark/>
          </w:tcPr>
          <w:p w14:paraId="7E7AE26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473</w:t>
            </w:r>
          </w:p>
        </w:tc>
        <w:tc>
          <w:tcPr>
            <w:tcW w:w="678" w:type="dxa"/>
            <w:tcBorders>
              <w:top w:val="nil"/>
              <w:left w:val="nil"/>
              <w:bottom w:val="nil"/>
              <w:right w:val="nil"/>
            </w:tcBorders>
            <w:shd w:val="clear" w:color="auto" w:fill="auto"/>
            <w:noWrap/>
            <w:vAlign w:val="center"/>
            <w:hideMark/>
          </w:tcPr>
          <w:p w14:paraId="4B4B911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0,6</w:t>
            </w:r>
          </w:p>
        </w:tc>
      </w:tr>
      <w:tr w:rsidR="00F56AB8" w:rsidRPr="0026351E" w14:paraId="25A6A7E0" w14:textId="77777777" w:rsidTr="00A43D99">
        <w:trPr>
          <w:trHeight w:val="212"/>
        </w:trPr>
        <w:tc>
          <w:tcPr>
            <w:tcW w:w="3182" w:type="dxa"/>
            <w:tcBorders>
              <w:top w:val="nil"/>
              <w:left w:val="nil"/>
              <w:bottom w:val="nil"/>
              <w:right w:val="nil"/>
            </w:tcBorders>
            <w:shd w:val="clear" w:color="auto" w:fill="auto"/>
            <w:noWrap/>
            <w:vAlign w:val="bottom"/>
            <w:hideMark/>
          </w:tcPr>
          <w:p w14:paraId="68D3B620"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Outro</w:t>
            </w:r>
          </w:p>
        </w:tc>
        <w:tc>
          <w:tcPr>
            <w:tcW w:w="910" w:type="dxa"/>
            <w:tcBorders>
              <w:top w:val="nil"/>
              <w:left w:val="nil"/>
              <w:bottom w:val="nil"/>
              <w:right w:val="nil"/>
            </w:tcBorders>
            <w:shd w:val="clear" w:color="auto" w:fill="auto"/>
            <w:noWrap/>
            <w:vAlign w:val="center"/>
            <w:hideMark/>
          </w:tcPr>
          <w:p w14:paraId="1CFEC6E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2.969</w:t>
            </w:r>
          </w:p>
        </w:tc>
        <w:tc>
          <w:tcPr>
            <w:tcW w:w="663" w:type="dxa"/>
            <w:tcBorders>
              <w:top w:val="nil"/>
              <w:left w:val="nil"/>
              <w:bottom w:val="nil"/>
              <w:right w:val="nil"/>
            </w:tcBorders>
            <w:shd w:val="clear" w:color="auto" w:fill="auto"/>
            <w:noWrap/>
            <w:vAlign w:val="center"/>
            <w:hideMark/>
          </w:tcPr>
          <w:p w14:paraId="7521B7F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2,5</w:t>
            </w:r>
          </w:p>
        </w:tc>
        <w:tc>
          <w:tcPr>
            <w:tcW w:w="778" w:type="dxa"/>
            <w:tcBorders>
              <w:top w:val="nil"/>
              <w:left w:val="nil"/>
              <w:bottom w:val="nil"/>
              <w:right w:val="nil"/>
            </w:tcBorders>
            <w:shd w:val="clear" w:color="auto" w:fill="auto"/>
            <w:noWrap/>
            <w:vAlign w:val="center"/>
            <w:hideMark/>
          </w:tcPr>
          <w:p w14:paraId="299AE74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2.969</w:t>
            </w:r>
          </w:p>
        </w:tc>
        <w:tc>
          <w:tcPr>
            <w:tcW w:w="663" w:type="dxa"/>
            <w:tcBorders>
              <w:top w:val="nil"/>
              <w:left w:val="nil"/>
              <w:bottom w:val="nil"/>
              <w:right w:val="nil"/>
            </w:tcBorders>
            <w:shd w:val="clear" w:color="auto" w:fill="auto"/>
            <w:noWrap/>
            <w:vAlign w:val="center"/>
            <w:hideMark/>
          </w:tcPr>
          <w:p w14:paraId="36A76E5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18,7</w:t>
            </w:r>
          </w:p>
        </w:tc>
        <w:tc>
          <w:tcPr>
            <w:tcW w:w="778" w:type="dxa"/>
            <w:tcBorders>
              <w:top w:val="nil"/>
              <w:left w:val="nil"/>
              <w:bottom w:val="nil"/>
              <w:right w:val="nil"/>
            </w:tcBorders>
            <w:shd w:val="clear" w:color="auto" w:fill="auto"/>
            <w:noWrap/>
            <w:vAlign w:val="center"/>
            <w:hideMark/>
          </w:tcPr>
          <w:p w14:paraId="504056B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1.187</w:t>
            </w:r>
          </w:p>
        </w:tc>
        <w:tc>
          <w:tcPr>
            <w:tcW w:w="663" w:type="dxa"/>
            <w:tcBorders>
              <w:top w:val="nil"/>
              <w:left w:val="nil"/>
              <w:bottom w:val="nil"/>
              <w:right w:val="nil"/>
            </w:tcBorders>
            <w:shd w:val="clear" w:color="auto" w:fill="auto"/>
            <w:noWrap/>
            <w:vAlign w:val="center"/>
            <w:hideMark/>
          </w:tcPr>
          <w:p w14:paraId="4F4ABDC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2,8</w:t>
            </w:r>
          </w:p>
        </w:tc>
        <w:tc>
          <w:tcPr>
            <w:tcW w:w="792" w:type="dxa"/>
            <w:tcBorders>
              <w:top w:val="nil"/>
              <w:left w:val="nil"/>
              <w:bottom w:val="nil"/>
              <w:right w:val="nil"/>
            </w:tcBorders>
            <w:shd w:val="clear" w:color="auto" w:fill="auto"/>
            <w:noWrap/>
            <w:vAlign w:val="center"/>
            <w:hideMark/>
          </w:tcPr>
          <w:p w14:paraId="015EA62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2.676</w:t>
            </w:r>
          </w:p>
        </w:tc>
        <w:tc>
          <w:tcPr>
            <w:tcW w:w="678" w:type="dxa"/>
            <w:tcBorders>
              <w:top w:val="nil"/>
              <w:left w:val="nil"/>
              <w:bottom w:val="nil"/>
              <w:right w:val="nil"/>
            </w:tcBorders>
            <w:shd w:val="clear" w:color="auto" w:fill="auto"/>
            <w:noWrap/>
            <w:vAlign w:val="center"/>
            <w:hideMark/>
          </w:tcPr>
          <w:p w14:paraId="2719D90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3,4</w:t>
            </w:r>
          </w:p>
        </w:tc>
      </w:tr>
      <w:tr w:rsidR="00F56AB8" w:rsidRPr="0026351E" w14:paraId="650FB9F8" w14:textId="77777777" w:rsidTr="0065406C">
        <w:trPr>
          <w:trHeight w:val="57"/>
        </w:trPr>
        <w:tc>
          <w:tcPr>
            <w:tcW w:w="3182" w:type="dxa"/>
            <w:tcBorders>
              <w:top w:val="nil"/>
              <w:left w:val="nil"/>
              <w:bottom w:val="single" w:sz="4" w:space="0" w:color="auto"/>
              <w:right w:val="nil"/>
            </w:tcBorders>
            <w:shd w:val="clear" w:color="auto" w:fill="auto"/>
            <w:noWrap/>
            <w:vAlign w:val="bottom"/>
            <w:hideMark/>
          </w:tcPr>
          <w:p w14:paraId="0582F74F"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910" w:type="dxa"/>
            <w:tcBorders>
              <w:top w:val="nil"/>
              <w:left w:val="nil"/>
              <w:bottom w:val="single" w:sz="4" w:space="0" w:color="auto"/>
              <w:right w:val="nil"/>
            </w:tcBorders>
            <w:shd w:val="clear" w:color="auto" w:fill="auto"/>
            <w:noWrap/>
            <w:vAlign w:val="center"/>
            <w:hideMark/>
          </w:tcPr>
          <w:p w14:paraId="0C565301"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117.076</w:t>
            </w:r>
          </w:p>
        </w:tc>
        <w:tc>
          <w:tcPr>
            <w:tcW w:w="663" w:type="dxa"/>
            <w:tcBorders>
              <w:top w:val="nil"/>
              <w:left w:val="nil"/>
              <w:bottom w:val="single" w:sz="4" w:space="0" w:color="auto"/>
              <w:right w:val="nil"/>
            </w:tcBorders>
            <w:shd w:val="clear" w:color="auto" w:fill="auto"/>
            <w:noWrap/>
            <w:vAlign w:val="center"/>
            <w:hideMark/>
          </w:tcPr>
          <w:p w14:paraId="66BAF928"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center"/>
            <w:hideMark/>
          </w:tcPr>
          <w:p w14:paraId="2DF5670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15.875</w:t>
            </w:r>
          </w:p>
        </w:tc>
        <w:tc>
          <w:tcPr>
            <w:tcW w:w="663" w:type="dxa"/>
            <w:tcBorders>
              <w:top w:val="nil"/>
              <w:left w:val="nil"/>
              <w:bottom w:val="single" w:sz="4" w:space="0" w:color="auto"/>
              <w:right w:val="nil"/>
            </w:tcBorders>
            <w:shd w:val="clear" w:color="auto" w:fill="auto"/>
            <w:noWrap/>
            <w:vAlign w:val="center"/>
            <w:hideMark/>
          </w:tcPr>
          <w:p w14:paraId="3A7E8ADA"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78" w:type="dxa"/>
            <w:tcBorders>
              <w:top w:val="nil"/>
              <w:left w:val="nil"/>
              <w:bottom w:val="single" w:sz="4" w:space="0" w:color="auto"/>
              <w:right w:val="nil"/>
            </w:tcBorders>
            <w:shd w:val="clear" w:color="auto" w:fill="auto"/>
            <w:noWrap/>
            <w:vAlign w:val="center"/>
            <w:hideMark/>
          </w:tcPr>
          <w:p w14:paraId="23A1AB15"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41.656</w:t>
            </w:r>
          </w:p>
        </w:tc>
        <w:tc>
          <w:tcPr>
            <w:tcW w:w="663" w:type="dxa"/>
            <w:tcBorders>
              <w:top w:val="nil"/>
              <w:left w:val="nil"/>
              <w:bottom w:val="single" w:sz="4" w:space="0" w:color="auto"/>
              <w:right w:val="nil"/>
            </w:tcBorders>
            <w:shd w:val="clear" w:color="auto" w:fill="auto"/>
            <w:noWrap/>
            <w:vAlign w:val="center"/>
            <w:hideMark/>
          </w:tcPr>
          <w:p w14:paraId="0C2D0EF6"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792" w:type="dxa"/>
            <w:tcBorders>
              <w:top w:val="nil"/>
              <w:left w:val="nil"/>
              <w:bottom w:val="single" w:sz="4" w:space="0" w:color="auto"/>
              <w:right w:val="nil"/>
            </w:tcBorders>
            <w:shd w:val="clear" w:color="auto" w:fill="auto"/>
            <w:noWrap/>
            <w:vAlign w:val="center"/>
            <w:hideMark/>
          </w:tcPr>
          <w:p w14:paraId="37A3AE0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78.483</w:t>
            </w:r>
          </w:p>
        </w:tc>
        <w:tc>
          <w:tcPr>
            <w:tcW w:w="678" w:type="dxa"/>
            <w:tcBorders>
              <w:top w:val="nil"/>
              <w:left w:val="nil"/>
              <w:bottom w:val="single" w:sz="4" w:space="0" w:color="auto"/>
              <w:right w:val="nil"/>
            </w:tcBorders>
            <w:shd w:val="clear" w:color="auto" w:fill="auto"/>
            <w:noWrap/>
            <w:vAlign w:val="center"/>
            <w:hideMark/>
          </w:tcPr>
          <w:p w14:paraId="1D5871BA"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bl>
    <w:p w14:paraId="275E5149" w14:textId="77777777" w:rsidR="00F56AB8" w:rsidRPr="0026351E" w:rsidRDefault="00F56AB8" w:rsidP="00F56AB8">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Fonte: IBGE, microdados da amostra do Censo Demográfico de 2010.</w:t>
      </w:r>
    </w:p>
    <w:p w14:paraId="68613077" w14:textId="77777777" w:rsidR="00F56AB8" w:rsidRPr="0026351E" w:rsidRDefault="00F56AB8" w:rsidP="00F56AB8">
      <w:pPr>
        <w:spacing w:after="0" w:line="360" w:lineRule="auto"/>
        <w:jc w:val="both"/>
        <w:rPr>
          <w:rFonts w:ascii="Times New Roman" w:hAnsi="Times New Roman" w:cs="Times New Roman"/>
          <w:sz w:val="24"/>
          <w:szCs w:val="24"/>
        </w:rPr>
      </w:pPr>
    </w:p>
    <w:p w14:paraId="738D21FD" w14:textId="1D80DCFC" w:rsidR="00F56AB8" w:rsidRPr="0026351E" w:rsidRDefault="00F56AB8" w:rsidP="00F56AB8">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tab/>
        <w:t xml:space="preserve">No mínimo 70% da população que nunca migrou antes e tem acesso a cisterna é sem instrução e possui ensino fundamental incompleto. Esse percentual é mais expressivo no grupo </w:t>
      </w:r>
      <w:r w:rsidRPr="0026351E">
        <w:rPr>
          <w:rFonts w:ascii="Times New Roman" w:hAnsi="Times New Roman" w:cs="Times New Roman"/>
          <w:sz w:val="24"/>
          <w:szCs w:val="24"/>
        </w:rPr>
        <w:lastRenderedPageBreak/>
        <w:t>Casa Nova (PI/BA), o qual registrou 78,3%. Todavia, à medida que se avança no nível de ensino a proporção de pessoas que nunca migrou se reduz expressivamente, o que sugere que há uma seletividade a imobilidade imposta pela qualificação</w:t>
      </w:r>
      <w:r w:rsidR="00451DA9">
        <w:rPr>
          <w:rFonts w:ascii="Times New Roman" w:hAnsi="Times New Roman" w:cs="Times New Roman"/>
          <w:sz w:val="24"/>
          <w:szCs w:val="24"/>
        </w:rPr>
        <w:t>, o que corrobora com Lee (1966) quando trata da seletividade migratória</w:t>
      </w:r>
      <w:r w:rsidR="00D964AE">
        <w:rPr>
          <w:rFonts w:ascii="Times New Roman" w:hAnsi="Times New Roman" w:cs="Times New Roman"/>
          <w:sz w:val="24"/>
          <w:szCs w:val="24"/>
        </w:rPr>
        <w:t>, assim como com outras abordagens teóricas que tratam da perspectiva sociológica da migração</w:t>
      </w:r>
      <w:r w:rsidR="00845A59">
        <w:rPr>
          <w:rFonts w:ascii="Times New Roman" w:hAnsi="Times New Roman" w:cs="Times New Roman"/>
          <w:sz w:val="24"/>
          <w:szCs w:val="24"/>
        </w:rPr>
        <w:t xml:space="preserve"> (FOZ, 2021)</w:t>
      </w:r>
      <w:r w:rsidRPr="0026351E">
        <w:rPr>
          <w:rFonts w:ascii="Times New Roman" w:hAnsi="Times New Roman" w:cs="Times New Roman"/>
          <w:sz w:val="24"/>
          <w:szCs w:val="24"/>
        </w:rPr>
        <w:t xml:space="preserve">. </w:t>
      </w:r>
    </w:p>
    <w:p w14:paraId="085DE22C" w14:textId="7AF9745C"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No que se refere ao estado civil, é notável a proporção de solteiros, seguido da proporção de casados</w:t>
      </w:r>
      <w:r w:rsidR="00845A59">
        <w:rPr>
          <w:rFonts w:ascii="Times New Roman" w:hAnsi="Times New Roman" w:cs="Times New Roman"/>
          <w:sz w:val="24"/>
          <w:szCs w:val="24"/>
        </w:rPr>
        <w:t xml:space="preserve">, o que vai de encontro com </w:t>
      </w:r>
      <w:proofErr w:type="spellStart"/>
      <w:r w:rsidR="00845A59">
        <w:rPr>
          <w:rFonts w:ascii="Times New Roman" w:hAnsi="Times New Roman" w:cs="Times New Roman"/>
          <w:sz w:val="24"/>
          <w:szCs w:val="24"/>
        </w:rPr>
        <w:t>Gru</w:t>
      </w:r>
      <w:r w:rsidR="00C869EE">
        <w:rPr>
          <w:rFonts w:ascii="Times New Roman" w:hAnsi="Times New Roman" w:cs="Times New Roman"/>
          <w:sz w:val="24"/>
          <w:szCs w:val="24"/>
        </w:rPr>
        <w:t>n</w:t>
      </w:r>
      <w:r w:rsidR="00845A59">
        <w:rPr>
          <w:rFonts w:ascii="Times New Roman" w:hAnsi="Times New Roman" w:cs="Times New Roman"/>
          <w:sz w:val="24"/>
          <w:szCs w:val="24"/>
        </w:rPr>
        <w:t>dy</w:t>
      </w:r>
      <w:proofErr w:type="spellEnd"/>
      <w:r w:rsidR="00845A59">
        <w:rPr>
          <w:rFonts w:ascii="Times New Roman" w:hAnsi="Times New Roman" w:cs="Times New Roman"/>
          <w:sz w:val="24"/>
          <w:szCs w:val="24"/>
        </w:rPr>
        <w:t xml:space="preserve"> (1992)</w:t>
      </w:r>
      <w:r w:rsidR="00C869EE">
        <w:rPr>
          <w:rFonts w:ascii="Times New Roman" w:hAnsi="Times New Roman" w:cs="Times New Roman"/>
          <w:sz w:val="24"/>
          <w:szCs w:val="24"/>
        </w:rPr>
        <w:t xml:space="preserve">, </w:t>
      </w:r>
      <w:r w:rsidR="00845A59">
        <w:rPr>
          <w:rFonts w:ascii="Times New Roman" w:hAnsi="Times New Roman" w:cs="Times New Roman"/>
          <w:sz w:val="24"/>
          <w:szCs w:val="24"/>
        </w:rPr>
        <w:t xml:space="preserve">que </w:t>
      </w:r>
      <w:r w:rsidR="00C869EE">
        <w:rPr>
          <w:rFonts w:ascii="Times New Roman" w:hAnsi="Times New Roman" w:cs="Times New Roman"/>
          <w:sz w:val="24"/>
          <w:szCs w:val="24"/>
        </w:rPr>
        <w:t xml:space="preserve">menciona que os </w:t>
      </w:r>
      <w:r w:rsidR="00845A59">
        <w:rPr>
          <w:rFonts w:ascii="Times New Roman" w:hAnsi="Times New Roman" w:cs="Times New Roman"/>
          <w:sz w:val="24"/>
          <w:szCs w:val="24"/>
        </w:rPr>
        <w:t>solteiros tem uma maior predisposição à migração</w:t>
      </w:r>
      <w:r w:rsidR="00C869EE">
        <w:rPr>
          <w:rFonts w:ascii="Times New Roman" w:hAnsi="Times New Roman" w:cs="Times New Roman"/>
          <w:sz w:val="24"/>
          <w:szCs w:val="24"/>
        </w:rPr>
        <w:t>, assim como os casados sem filhos</w:t>
      </w:r>
      <w:r w:rsidRPr="0026351E">
        <w:rPr>
          <w:rFonts w:ascii="Times New Roman" w:hAnsi="Times New Roman" w:cs="Times New Roman"/>
          <w:sz w:val="24"/>
          <w:szCs w:val="24"/>
        </w:rPr>
        <w:t>. É no cluster Campo Redondo onde se visualiza a maior proporção de pessoas que nunca migraram e que tem acesso a cisterna na condição de casado. As demais categorias do estado civil obtiveram participações ínfimas em todos os agrupamentos</w:t>
      </w:r>
      <w:r w:rsidR="00C869EE">
        <w:rPr>
          <w:rFonts w:ascii="Times New Roman" w:hAnsi="Times New Roman" w:cs="Times New Roman"/>
          <w:sz w:val="24"/>
          <w:szCs w:val="24"/>
        </w:rPr>
        <w:t>, sendo p</w:t>
      </w:r>
      <w:r w:rsidRPr="0026351E">
        <w:rPr>
          <w:rFonts w:ascii="Times New Roman" w:hAnsi="Times New Roman" w:cs="Times New Roman"/>
          <w:sz w:val="24"/>
          <w:szCs w:val="24"/>
        </w:rPr>
        <w:t xml:space="preserve">ossível conjecturar que a separação ou divorcio do parceiro(a) minimiza a força que as prende ao seu local de nascimento. </w:t>
      </w:r>
    </w:p>
    <w:p w14:paraId="14BA5DD2" w14:textId="4B6EDD6F"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Por fim, no que diz respeito ao tipo de composição familiar, a qual não considera as pessoas na condição de convivente, agregado(a), pensionista, empregado(a) doméstico(a) ou parente do empregado(a) doméstico(a), evidencia-se que o tipo de família predominante é composto por casal com filhos(as) em todos os grupos de </w:t>
      </w:r>
      <w:r w:rsidRPr="0026351E">
        <w:rPr>
          <w:rFonts w:ascii="Times New Roman" w:hAnsi="Times New Roman" w:cs="Times New Roman"/>
          <w:i/>
          <w:iCs/>
          <w:sz w:val="24"/>
          <w:szCs w:val="24"/>
        </w:rPr>
        <w:t>clusters</w:t>
      </w:r>
      <w:r w:rsidRPr="0026351E">
        <w:rPr>
          <w:rFonts w:ascii="Times New Roman" w:hAnsi="Times New Roman" w:cs="Times New Roman"/>
          <w:sz w:val="24"/>
          <w:szCs w:val="24"/>
        </w:rPr>
        <w:t xml:space="preserve">. </w:t>
      </w:r>
      <w:bookmarkStart w:id="7" w:name="_Hlk110242611"/>
      <w:r w:rsidR="00CD1D34">
        <w:rPr>
          <w:rFonts w:ascii="Times New Roman" w:hAnsi="Times New Roman" w:cs="Times New Roman"/>
          <w:sz w:val="24"/>
          <w:szCs w:val="24"/>
        </w:rPr>
        <w:t>Ter filhos</w:t>
      </w:r>
      <w:r w:rsidR="00C869EE">
        <w:rPr>
          <w:rFonts w:ascii="Times New Roman" w:hAnsi="Times New Roman" w:cs="Times New Roman"/>
          <w:sz w:val="24"/>
          <w:szCs w:val="24"/>
        </w:rPr>
        <w:t>, portanto,</w:t>
      </w:r>
      <w:r w:rsidR="00CD1D34">
        <w:rPr>
          <w:rFonts w:ascii="Times New Roman" w:hAnsi="Times New Roman" w:cs="Times New Roman"/>
          <w:sz w:val="24"/>
          <w:szCs w:val="24"/>
        </w:rPr>
        <w:t xml:space="preserve"> é um laço importante</w:t>
      </w:r>
      <w:r w:rsidR="00C869EE">
        <w:rPr>
          <w:rFonts w:ascii="Times New Roman" w:hAnsi="Times New Roman" w:cs="Times New Roman"/>
          <w:sz w:val="24"/>
          <w:szCs w:val="24"/>
        </w:rPr>
        <w:t xml:space="preserve"> que explica a imobilidade</w:t>
      </w:r>
      <w:r w:rsidR="00826736">
        <w:rPr>
          <w:rFonts w:ascii="Times New Roman" w:hAnsi="Times New Roman" w:cs="Times New Roman"/>
          <w:sz w:val="24"/>
          <w:szCs w:val="24"/>
        </w:rPr>
        <w:t>.</w:t>
      </w:r>
      <w:bookmarkEnd w:id="7"/>
    </w:p>
    <w:p w14:paraId="4CADFEBB" w14:textId="1332C94D" w:rsidR="00F56AB8" w:rsidRPr="0026351E" w:rsidRDefault="00F56AB8" w:rsidP="00F56AB8">
      <w:pPr>
        <w:spacing w:after="0" w:line="360" w:lineRule="auto"/>
        <w:jc w:val="both"/>
        <w:rPr>
          <w:rFonts w:ascii="Times New Roman" w:hAnsi="Times New Roman" w:cs="Times New Roman"/>
          <w:sz w:val="24"/>
          <w:szCs w:val="24"/>
          <w:u w:val="single"/>
        </w:rPr>
      </w:pPr>
      <w:r w:rsidRPr="0026351E">
        <w:rPr>
          <w:rFonts w:ascii="Times New Roman" w:hAnsi="Times New Roman" w:cs="Times New Roman"/>
          <w:sz w:val="24"/>
          <w:szCs w:val="24"/>
        </w:rPr>
        <w:tab/>
        <w:t>O que se pode concluir é que o perfil sociodemográfico é semelhante entre os subgrupos do agrupamento Alto-Alto. Ao voltar-se para os grupos de idade é possível notar que à medida que se avança a idade o volume de pessoas que nunca migrou tende a</w:t>
      </w:r>
      <w:r w:rsidR="00CD1D34">
        <w:rPr>
          <w:rFonts w:ascii="Times New Roman" w:hAnsi="Times New Roman" w:cs="Times New Roman"/>
          <w:sz w:val="24"/>
          <w:szCs w:val="24"/>
        </w:rPr>
        <w:t xml:space="preserve"> se</w:t>
      </w:r>
      <w:r w:rsidRPr="0026351E">
        <w:rPr>
          <w:rFonts w:ascii="Times New Roman" w:hAnsi="Times New Roman" w:cs="Times New Roman"/>
          <w:sz w:val="24"/>
          <w:szCs w:val="24"/>
        </w:rPr>
        <w:t xml:space="preserve"> reduzir. Essa redução </w:t>
      </w:r>
      <w:r w:rsidR="00E9781A">
        <w:rPr>
          <w:rFonts w:ascii="Times New Roman" w:hAnsi="Times New Roman" w:cs="Times New Roman"/>
          <w:sz w:val="24"/>
          <w:szCs w:val="24"/>
        </w:rPr>
        <w:t>pode estar</w:t>
      </w:r>
      <w:r w:rsidRPr="0026351E">
        <w:rPr>
          <w:rFonts w:ascii="Times New Roman" w:hAnsi="Times New Roman" w:cs="Times New Roman"/>
          <w:sz w:val="24"/>
          <w:szCs w:val="24"/>
        </w:rPr>
        <w:t xml:space="preserve"> associada ao ciclo de vida intrínseco a migração, o que leva a sugerir que ainda há um número significativo de jovens passíveis a migração nas áreas rurais. Por fim, ter baixa escolaridade, ser casado e ter filhos são características que se sobressaem na caracterização dos nunca migrantes que têm cisterna na residência. </w:t>
      </w:r>
    </w:p>
    <w:p w14:paraId="4A1223AD" w14:textId="14D992C4" w:rsidR="00F56AB8" w:rsidRDefault="00F56AB8" w:rsidP="00F56AB8">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tab/>
        <w:t xml:space="preserve">A Tabela 3, por sua vez, apresenta as variáveis socioeconômicas para os agrupamentos em estudo. O setor de atividade predominante em todos os grupos considerados é o ramo agrícola. Quanto a posição na ocupação, a maioria das pessoas encontram-se na categoria de trabalhadores na produção para o próprio consumo, estando logo depois os trabalhadores sem </w:t>
      </w:r>
      <w:r w:rsidRPr="0026351E">
        <w:rPr>
          <w:rFonts w:ascii="Times New Roman" w:hAnsi="Times New Roman" w:cs="Times New Roman"/>
          <w:sz w:val="24"/>
          <w:szCs w:val="24"/>
        </w:rPr>
        <w:lastRenderedPageBreak/>
        <w:t xml:space="preserve">carteira de trabalho assinada. O rendimento mensal familiar </w:t>
      </w:r>
      <w:r w:rsidRPr="0026351E">
        <w:rPr>
          <w:rFonts w:ascii="Times New Roman" w:hAnsi="Times New Roman" w:cs="Times New Roman"/>
          <w:i/>
          <w:iCs/>
          <w:sz w:val="24"/>
          <w:szCs w:val="24"/>
        </w:rPr>
        <w:t>per capita</w:t>
      </w:r>
      <w:r w:rsidRPr="0026351E">
        <w:rPr>
          <w:rFonts w:ascii="Times New Roman" w:hAnsi="Times New Roman" w:cs="Times New Roman"/>
          <w:sz w:val="24"/>
          <w:szCs w:val="24"/>
        </w:rPr>
        <w:t xml:space="preserve"> em salários mínimos registrado concentra-se na categoria de até ½ SM. </w:t>
      </w:r>
    </w:p>
    <w:p w14:paraId="79E01BDA" w14:textId="77777777" w:rsidR="006A141C" w:rsidRPr="0026351E" w:rsidRDefault="006A141C" w:rsidP="00F56AB8">
      <w:pPr>
        <w:spacing w:after="0" w:line="360" w:lineRule="auto"/>
        <w:jc w:val="both"/>
        <w:rPr>
          <w:rFonts w:ascii="Times New Roman" w:hAnsi="Times New Roman" w:cs="Times New Roman"/>
          <w:sz w:val="24"/>
          <w:szCs w:val="24"/>
        </w:rPr>
      </w:pPr>
    </w:p>
    <w:p w14:paraId="60FDCE65" w14:textId="6CFEBF3E" w:rsidR="00F56AB8" w:rsidRPr="0026351E" w:rsidRDefault="00F56AB8" w:rsidP="00A43D99">
      <w:pPr>
        <w:spacing w:after="0" w:line="240" w:lineRule="auto"/>
        <w:jc w:val="both"/>
        <w:rPr>
          <w:rFonts w:ascii="Times New Roman" w:hAnsi="Times New Roman" w:cs="Times New Roman"/>
          <w:b/>
          <w:bCs/>
          <w:sz w:val="24"/>
          <w:szCs w:val="24"/>
        </w:rPr>
      </w:pPr>
      <w:r w:rsidRPr="0026351E">
        <w:rPr>
          <w:rFonts w:ascii="Times New Roman" w:hAnsi="Times New Roman" w:cs="Times New Roman"/>
          <w:sz w:val="24"/>
          <w:szCs w:val="24"/>
        </w:rPr>
        <w:t xml:space="preserve"> </w:t>
      </w:r>
      <w:r w:rsidRPr="0026351E">
        <w:rPr>
          <w:rFonts w:ascii="Times New Roman" w:hAnsi="Times New Roman" w:cs="Times New Roman"/>
          <w:b/>
          <w:bCs/>
          <w:sz w:val="24"/>
          <w:szCs w:val="24"/>
        </w:rPr>
        <w:t xml:space="preserve">Tabela 3: Variáveis socioeconômicas do </w:t>
      </w:r>
      <w:r w:rsidRPr="0026351E">
        <w:rPr>
          <w:rFonts w:ascii="Times New Roman" w:eastAsia="Times New Roman" w:hAnsi="Times New Roman" w:cs="Times New Roman"/>
          <w:b/>
          <w:bCs/>
          <w:i/>
          <w:iCs/>
          <w:sz w:val="24"/>
          <w:szCs w:val="24"/>
          <w:lang w:eastAsia="pt-BR"/>
        </w:rPr>
        <w:t>Cluster</w:t>
      </w:r>
      <w:r w:rsidRPr="0026351E">
        <w:rPr>
          <w:rFonts w:ascii="Times New Roman" w:hAnsi="Times New Roman" w:cs="Times New Roman"/>
          <w:b/>
          <w:bCs/>
          <w:sz w:val="36"/>
          <w:szCs w:val="36"/>
        </w:rPr>
        <w:t xml:space="preserve"> </w:t>
      </w:r>
      <w:r w:rsidRPr="0026351E">
        <w:rPr>
          <w:rFonts w:ascii="Times New Roman" w:hAnsi="Times New Roman" w:cs="Times New Roman"/>
          <w:b/>
          <w:bCs/>
          <w:sz w:val="24"/>
          <w:szCs w:val="24"/>
        </w:rPr>
        <w:t>Alto-Alto - 2010</w:t>
      </w:r>
    </w:p>
    <w:tbl>
      <w:tblPr>
        <w:tblW w:w="9108" w:type="dxa"/>
        <w:tblCellMar>
          <w:left w:w="70" w:type="dxa"/>
          <w:right w:w="70" w:type="dxa"/>
        </w:tblCellMar>
        <w:tblLook w:val="04A0" w:firstRow="1" w:lastRow="0" w:firstColumn="1" w:lastColumn="0" w:noHBand="0" w:noVBand="1"/>
      </w:tblPr>
      <w:tblGrid>
        <w:gridCol w:w="2312"/>
        <w:gridCol w:w="1034"/>
        <w:gridCol w:w="663"/>
        <w:gridCol w:w="1034"/>
        <w:gridCol w:w="663"/>
        <w:gridCol w:w="1034"/>
        <w:gridCol w:w="663"/>
        <w:gridCol w:w="1034"/>
        <w:gridCol w:w="671"/>
      </w:tblGrid>
      <w:tr w:rsidR="00F56AB8" w:rsidRPr="0026351E" w14:paraId="4B4B03EE" w14:textId="77777777" w:rsidTr="00A43D99">
        <w:trPr>
          <w:trHeight w:val="206"/>
        </w:trPr>
        <w:tc>
          <w:tcPr>
            <w:tcW w:w="2312" w:type="dxa"/>
            <w:vMerge w:val="restart"/>
            <w:tcBorders>
              <w:top w:val="single" w:sz="4" w:space="0" w:color="auto"/>
              <w:left w:val="nil"/>
              <w:bottom w:val="single" w:sz="4" w:space="0" w:color="000000"/>
              <w:right w:val="single" w:sz="4" w:space="0" w:color="auto"/>
            </w:tcBorders>
            <w:shd w:val="clear" w:color="auto" w:fill="auto"/>
            <w:noWrap/>
            <w:vAlign w:val="center"/>
            <w:hideMark/>
          </w:tcPr>
          <w:p w14:paraId="03E3E2CB" w14:textId="77777777" w:rsidR="00F56AB8" w:rsidRPr="0026351E" w:rsidRDefault="00F56AB8" w:rsidP="00A43D99">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Variáveis Socioeconômicas</w:t>
            </w:r>
          </w:p>
        </w:tc>
        <w:tc>
          <w:tcPr>
            <w:tcW w:w="6795" w:type="dxa"/>
            <w:gridSpan w:val="8"/>
            <w:tcBorders>
              <w:top w:val="single" w:sz="4" w:space="0" w:color="auto"/>
              <w:left w:val="nil"/>
              <w:bottom w:val="single" w:sz="4" w:space="0" w:color="auto"/>
              <w:right w:val="nil"/>
            </w:tcBorders>
            <w:shd w:val="clear" w:color="auto" w:fill="auto"/>
            <w:noWrap/>
            <w:vAlign w:val="center"/>
            <w:hideMark/>
          </w:tcPr>
          <w:p w14:paraId="58804103" w14:textId="77777777" w:rsidR="00F56AB8" w:rsidRPr="0026351E" w:rsidRDefault="00F56AB8" w:rsidP="00A43D99">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i/>
                <w:iCs/>
                <w:sz w:val="18"/>
                <w:szCs w:val="18"/>
                <w:lang w:eastAsia="pt-BR"/>
              </w:rPr>
              <w:t>Cluster</w:t>
            </w:r>
            <w:r w:rsidRPr="0026351E">
              <w:rPr>
                <w:rFonts w:ascii="Times New Roman" w:eastAsia="Times New Roman" w:hAnsi="Times New Roman" w:cs="Times New Roman"/>
                <w:b/>
                <w:bCs/>
                <w:sz w:val="18"/>
                <w:szCs w:val="18"/>
                <w:lang w:eastAsia="pt-BR"/>
              </w:rPr>
              <w:t xml:space="preserve"> Alto-Alto</w:t>
            </w:r>
          </w:p>
        </w:tc>
      </w:tr>
      <w:tr w:rsidR="00F56AB8" w:rsidRPr="0026351E" w14:paraId="69FBB615" w14:textId="77777777" w:rsidTr="00A43D99">
        <w:trPr>
          <w:trHeight w:val="206"/>
        </w:trPr>
        <w:tc>
          <w:tcPr>
            <w:tcW w:w="2312" w:type="dxa"/>
            <w:vMerge/>
            <w:tcBorders>
              <w:top w:val="single" w:sz="4" w:space="0" w:color="auto"/>
              <w:left w:val="nil"/>
              <w:bottom w:val="single" w:sz="4" w:space="0" w:color="000000"/>
              <w:right w:val="single" w:sz="4" w:space="0" w:color="auto"/>
            </w:tcBorders>
            <w:vAlign w:val="center"/>
            <w:hideMark/>
          </w:tcPr>
          <w:p w14:paraId="17E29442"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p>
        </w:tc>
        <w:tc>
          <w:tcPr>
            <w:tcW w:w="169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A5E76C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color w:val="000000"/>
                <w:sz w:val="18"/>
                <w:szCs w:val="18"/>
                <w:lang w:eastAsia="pt-BR"/>
              </w:rPr>
              <w:t>Casa Nova</w:t>
            </w:r>
            <w:r w:rsidRPr="0026351E">
              <w:rPr>
                <w:rFonts w:ascii="Times New Roman" w:eastAsia="Times New Roman" w:hAnsi="Times New Roman" w:cs="Times New Roman"/>
                <w:b/>
                <w:bCs/>
                <w:color w:val="000000"/>
                <w:sz w:val="18"/>
                <w:szCs w:val="18"/>
                <w:lang w:eastAsia="pt-BR"/>
              </w:rPr>
              <w:br/>
              <w:t>(Cluster - Piauí/Bahia)</w:t>
            </w:r>
          </w:p>
        </w:tc>
        <w:tc>
          <w:tcPr>
            <w:tcW w:w="169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500739C"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color w:val="000000"/>
                <w:sz w:val="18"/>
                <w:szCs w:val="18"/>
                <w:lang w:eastAsia="pt-BR"/>
              </w:rPr>
              <w:t>Campo Redondo</w:t>
            </w:r>
            <w:r w:rsidRPr="0026351E">
              <w:rPr>
                <w:rFonts w:ascii="Times New Roman" w:eastAsia="Times New Roman" w:hAnsi="Times New Roman" w:cs="Times New Roman"/>
                <w:b/>
                <w:bCs/>
                <w:color w:val="000000"/>
                <w:sz w:val="18"/>
                <w:szCs w:val="18"/>
                <w:lang w:eastAsia="pt-BR"/>
              </w:rPr>
              <w:br/>
              <w:t>(Cluster - Rio Grande do Norte)</w:t>
            </w:r>
          </w:p>
        </w:tc>
        <w:tc>
          <w:tcPr>
            <w:tcW w:w="169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D5FF90B"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color w:val="000000"/>
                <w:sz w:val="18"/>
                <w:szCs w:val="18"/>
                <w:lang w:eastAsia="pt-BR"/>
              </w:rPr>
              <w:t xml:space="preserve">Barra de Santa Rosa </w:t>
            </w:r>
            <w:r w:rsidRPr="0026351E">
              <w:rPr>
                <w:rFonts w:ascii="Times New Roman" w:eastAsia="Times New Roman" w:hAnsi="Times New Roman" w:cs="Times New Roman"/>
                <w:b/>
                <w:bCs/>
                <w:color w:val="000000"/>
                <w:sz w:val="18"/>
                <w:szCs w:val="18"/>
                <w:lang w:eastAsia="pt-BR"/>
              </w:rPr>
              <w:br/>
              <w:t>(Cluster - Paraíba)</w:t>
            </w:r>
          </w:p>
        </w:tc>
        <w:tc>
          <w:tcPr>
            <w:tcW w:w="1703" w:type="dxa"/>
            <w:gridSpan w:val="2"/>
            <w:tcBorders>
              <w:top w:val="single" w:sz="4" w:space="0" w:color="auto"/>
              <w:left w:val="nil"/>
              <w:bottom w:val="nil"/>
              <w:right w:val="nil"/>
            </w:tcBorders>
            <w:shd w:val="clear" w:color="auto" w:fill="auto"/>
            <w:noWrap/>
            <w:vAlign w:val="center"/>
            <w:hideMark/>
          </w:tcPr>
          <w:p w14:paraId="25E1FEE1"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color w:val="000000"/>
                <w:sz w:val="18"/>
                <w:szCs w:val="18"/>
                <w:lang w:eastAsia="pt-BR"/>
              </w:rPr>
              <w:t xml:space="preserve">Araripina </w:t>
            </w:r>
            <w:r w:rsidRPr="0026351E">
              <w:rPr>
                <w:rFonts w:ascii="Times New Roman" w:eastAsia="Times New Roman" w:hAnsi="Times New Roman" w:cs="Times New Roman"/>
                <w:b/>
                <w:bCs/>
                <w:color w:val="000000"/>
                <w:sz w:val="18"/>
                <w:szCs w:val="18"/>
                <w:lang w:eastAsia="pt-BR"/>
              </w:rPr>
              <w:br/>
              <w:t>(Cluster - Pernambuco)</w:t>
            </w:r>
          </w:p>
        </w:tc>
      </w:tr>
      <w:tr w:rsidR="00F56AB8" w:rsidRPr="0026351E" w14:paraId="51E722B7" w14:textId="77777777" w:rsidTr="00A43D99">
        <w:trPr>
          <w:trHeight w:val="206"/>
        </w:trPr>
        <w:tc>
          <w:tcPr>
            <w:tcW w:w="2312" w:type="dxa"/>
            <w:vMerge/>
            <w:tcBorders>
              <w:top w:val="single" w:sz="4" w:space="0" w:color="auto"/>
              <w:left w:val="nil"/>
              <w:bottom w:val="single" w:sz="4" w:space="0" w:color="000000"/>
              <w:right w:val="single" w:sz="4" w:space="0" w:color="auto"/>
            </w:tcBorders>
            <w:vAlign w:val="center"/>
            <w:hideMark/>
          </w:tcPr>
          <w:p w14:paraId="7885343E"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p>
        </w:tc>
        <w:tc>
          <w:tcPr>
            <w:tcW w:w="1034" w:type="dxa"/>
            <w:tcBorders>
              <w:top w:val="nil"/>
              <w:left w:val="nil"/>
              <w:bottom w:val="single" w:sz="4" w:space="0" w:color="auto"/>
              <w:right w:val="single" w:sz="4" w:space="0" w:color="auto"/>
            </w:tcBorders>
            <w:shd w:val="clear" w:color="auto" w:fill="auto"/>
            <w:noWrap/>
            <w:vAlign w:val="center"/>
            <w:hideMark/>
          </w:tcPr>
          <w:p w14:paraId="29322EF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Absoluto</w:t>
            </w:r>
          </w:p>
        </w:tc>
        <w:tc>
          <w:tcPr>
            <w:tcW w:w="662" w:type="dxa"/>
            <w:tcBorders>
              <w:top w:val="nil"/>
              <w:left w:val="nil"/>
              <w:bottom w:val="single" w:sz="4" w:space="0" w:color="auto"/>
              <w:right w:val="single" w:sz="4" w:space="0" w:color="auto"/>
            </w:tcBorders>
            <w:shd w:val="clear" w:color="auto" w:fill="auto"/>
            <w:noWrap/>
            <w:vAlign w:val="center"/>
            <w:hideMark/>
          </w:tcPr>
          <w:p w14:paraId="05400702"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w:t>
            </w:r>
          </w:p>
        </w:tc>
        <w:tc>
          <w:tcPr>
            <w:tcW w:w="1034" w:type="dxa"/>
            <w:tcBorders>
              <w:top w:val="nil"/>
              <w:left w:val="nil"/>
              <w:bottom w:val="single" w:sz="4" w:space="0" w:color="auto"/>
              <w:right w:val="single" w:sz="4" w:space="0" w:color="auto"/>
            </w:tcBorders>
            <w:shd w:val="clear" w:color="auto" w:fill="auto"/>
            <w:noWrap/>
            <w:vAlign w:val="center"/>
            <w:hideMark/>
          </w:tcPr>
          <w:p w14:paraId="04598C55"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Absoluto</w:t>
            </w:r>
          </w:p>
        </w:tc>
        <w:tc>
          <w:tcPr>
            <w:tcW w:w="662" w:type="dxa"/>
            <w:tcBorders>
              <w:top w:val="nil"/>
              <w:left w:val="nil"/>
              <w:bottom w:val="single" w:sz="4" w:space="0" w:color="auto"/>
              <w:right w:val="single" w:sz="4" w:space="0" w:color="auto"/>
            </w:tcBorders>
            <w:shd w:val="clear" w:color="auto" w:fill="auto"/>
            <w:noWrap/>
            <w:vAlign w:val="center"/>
            <w:hideMark/>
          </w:tcPr>
          <w:p w14:paraId="7A69399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w:t>
            </w:r>
          </w:p>
        </w:tc>
        <w:tc>
          <w:tcPr>
            <w:tcW w:w="1034" w:type="dxa"/>
            <w:tcBorders>
              <w:top w:val="nil"/>
              <w:left w:val="nil"/>
              <w:bottom w:val="single" w:sz="4" w:space="0" w:color="auto"/>
              <w:right w:val="single" w:sz="4" w:space="0" w:color="auto"/>
            </w:tcBorders>
            <w:shd w:val="clear" w:color="auto" w:fill="auto"/>
            <w:noWrap/>
            <w:vAlign w:val="center"/>
            <w:hideMark/>
          </w:tcPr>
          <w:p w14:paraId="31D47110"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Absoluto</w:t>
            </w:r>
          </w:p>
        </w:tc>
        <w:tc>
          <w:tcPr>
            <w:tcW w:w="662" w:type="dxa"/>
            <w:tcBorders>
              <w:top w:val="nil"/>
              <w:left w:val="nil"/>
              <w:bottom w:val="single" w:sz="4" w:space="0" w:color="auto"/>
              <w:right w:val="nil"/>
            </w:tcBorders>
            <w:shd w:val="clear" w:color="auto" w:fill="auto"/>
            <w:noWrap/>
            <w:vAlign w:val="center"/>
            <w:hideMark/>
          </w:tcPr>
          <w:p w14:paraId="3E0246A8"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w:t>
            </w:r>
          </w:p>
        </w:tc>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D7EA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Absoluto</w:t>
            </w:r>
          </w:p>
        </w:tc>
        <w:tc>
          <w:tcPr>
            <w:tcW w:w="668" w:type="dxa"/>
            <w:tcBorders>
              <w:top w:val="single" w:sz="4" w:space="0" w:color="auto"/>
              <w:left w:val="nil"/>
              <w:bottom w:val="single" w:sz="4" w:space="0" w:color="auto"/>
              <w:right w:val="nil"/>
            </w:tcBorders>
            <w:shd w:val="clear" w:color="auto" w:fill="auto"/>
            <w:noWrap/>
            <w:vAlign w:val="center"/>
            <w:hideMark/>
          </w:tcPr>
          <w:p w14:paraId="35D1EFBE"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w:t>
            </w:r>
          </w:p>
        </w:tc>
      </w:tr>
      <w:tr w:rsidR="00F56AB8" w:rsidRPr="0026351E" w14:paraId="652DFF39" w14:textId="77777777" w:rsidTr="00A43D99">
        <w:trPr>
          <w:trHeight w:val="206"/>
        </w:trPr>
        <w:tc>
          <w:tcPr>
            <w:tcW w:w="2312" w:type="dxa"/>
            <w:tcBorders>
              <w:top w:val="nil"/>
              <w:left w:val="nil"/>
              <w:bottom w:val="nil"/>
              <w:right w:val="nil"/>
            </w:tcBorders>
            <w:shd w:val="clear" w:color="auto" w:fill="auto"/>
            <w:noWrap/>
            <w:vAlign w:val="center"/>
            <w:hideMark/>
          </w:tcPr>
          <w:p w14:paraId="2B2BA664"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r w:rsidRPr="0026351E">
              <w:rPr>
                <w:rFonts w:ascii="Times New Roman" w:eastAsia="Times New Roman" w:hAnsi="Times New Roman" w:cs="Times New Roman"/>
                <w:i/>
                <w:iCs/>
                <w:sz w:val="18"/>
                <w:szCs w:val="18"/>
                <w:lang w:eastAsia="pt-BR"/>
              </w:rPr>
              <w:t>Setor de Atividade</w:t>
            </w:r>
          </w:p>
        </w:tc>
        <w:tc>
          <w:tcPr>
            <w:tcW w:w="1034" w:type="dxa"/>
            <w:tcBorders>
              <w:top w:val="nil"/>
              <w:left w:val="nil"/>
              <w:bottom w:val="nil"/>
              <w:right w:val="nil"/>
            </w:tcBorders>
            <w:shd w:val="clear" w:color="auto" w:fill="auto"/>
            <w:noWrap/>
            <w:vAlign w:val="center"/>
            <w:hideMark/>
          </w:tcPr>
          <w:p w14:paraId="449B10FC"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p>
        </w:tc>
        <w:tc>
          <w:tcPr>
            <w:tcW w:w="662" w:type="dxa"/>
            <w:tcBorders>
              <w:top w:val="nil"/>
              <w:left w:val="nil"/>
              <w:bottom w:val="nil"/>
              <w:right w:val="nil"/>
            </w:tcBorders>
            <w:shd w:val="clear" w:color="auto" w:fill="auto"/>
            <w:noWrap/>
            <w:vAlign w:val="center"/>
            <w:hideMark/>
          </w:tcPr>
          <w:p w14:paraId="0BE7786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1034" w:type="dxa"/>
            <w:tcBorders>
              <w:top w:val="nil"/>
              <w:left w:val="nil"/>
              <w:bottom w:val="nil"/>
              <w:right w:val="nil"/>
            </w:tcBorders>
            <w:shd w:val="clear" w:color="auto" w:fill="auto"/>
            <w:noWrap/>
            <w:vAlign w:val="center"/>
            <w:hideMark/>
          </w:tcPr>
          <w:p w14:paraId="4A02CDA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2" w:type="dxa"/>
            <w:tcBorders>
              <w:top w:val="nil"/>
              <w:left w:val="nil"/>
              <w:bottom w:val="nil"/>
              <w:right w:val="nil"/>
            </w:tcBorders>
            <w:shd w:val="clear" w:color="auto" w:fill="auto"/>
            <w:noWrap/>
            <w:vAlign w:val="center"/>
            <w:hideMark/>
          </w:tcPr>
          <w:p w14:paraId="6897548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1034" w:type="dxa"/>
            <w:tcBorders>
              <w:top w:val="nil"/>
              <w:left w:val="nil"/>
              <w:bottom w:val="nil"/>
              <w:right w:val="nil"/>
            </w:tcBorders>
            <w:shd w:val="clear" w:color="auto" w:fill="auto"/>
            <w:noWrap/>
            <w:vAlign w:val="center"/>
            <w:hideMark/>
          </w:tcPr>
          <w:p w14:paraId="1092C45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2" w:type="dxa"/>
            <w:tcBorders>
              <w:top w:val="nil"/>
              <w:left w:val="nil"/>
              <w:bottom w:val="nil"/>
              <w:right w:val="nil"/>
            </w:tcBorders>
            <w:shd w:val="clear" w:color="auto" w:fill="auto"/>
            <w:noWrap/>
            <w:vAlign w:val="center"/>
            <w:hideMark/>
          </w:tcPr>
          <w:p w14:paraId="69831CC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1034" w:type="dxa"/>
            <w:tcBorders>
              <w:top w:val="nil"/>
              <w:left w:val="nil"/>
              <w:bottom w:val="nil"/>
              <w:right w:val="nil"/>
            </w:tcBorders>
            <w:shd w:val="clear" w:color="auto" w:fill="auto"/>
            <w:noWrap/>
            <w:vAlign w:val="center"/>
            <w:hideMark/>
          </w:tcPr>
          <w:p w14:paraId="65F358E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8" w:type="dxa"/>
            <w:tcBorders>
              <w:top w:val="nil"/>
              <w:left w:val="nil"/>
              <w:bottom w:val="nil"/>
              <w:right w:val="nil"/>
            </w:tcBorders>
            <w:shd w:val="clear" w:color="auto" w:fill="auto"/>
            <w:noWrap/>
            <w:vAlign w:val="center"/>
            <w:hideMark/>
          </w:tcPr>
          <w:p w14:paraId="43A67D9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r>
      <w:tr w:rsidR="00F56AB8" w:rsidRPr="0026351E" w14:paraId="56DA4415" w14:textId="77777777" w:rsidTr="00A43D99">
        <w:trPr>
          <w:trHeight w:val="206"/>
        </w:trPr>
        <w:tc>
          <w:tcPr>
            <w:tcW w:w="2312" w:type="dxa"/>
            <w:tcBorders>
              <w:top w:val="nil"/>
              <w:left w:val="nil"/>
              <w:bottom w:val="nil"/>
              <w:right w:val="nil"/>
            </w:tcBorders>
            <w:shd w:val="clear" w:color="auto" w:fill="auto"/>
            <w:noWrap/>
            <w:vAlign w:val="bottom"/>
            <w:hideMark/>
          </w:tcPr>
          <w:p w14:paraId="30A50BF8"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Agrícola</w:t>
            </w:r>
          </w:p>
        </w:tc>
        <w:tc>
          <w:tcPr>
            <w:tcW w:w="1034" w:type="dxa"/>
            <w:tcBorders>
              <w:top w:val="nil"/>
              <w:left w:val="nil"/>
              <w:bottom w:val="nil"/>
              <w:right w:val="nil"/>
            </w:tcBorders>
            <w:shd w:val="clear" w:color="auto" w:fill="auto"/>
            <w:noWrap/>
            <w:vAlign w:val="center"/>
            <w:hideMark/>
          </w:tcPr>
          <w:p w14:paraId="46C8EFE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53.277</w:t>
            </w:r>
          </w:p>
        </w:tc>
        <w:tc>
          <w:tcPr>
            <w:tcW w:w="662" w:type="dxa"/>
            <w:tcBorders>
              <w:top w:val="nil"/>
              <w:left w:val="nil"/>
              <w:bottom w:val="nil"/>
              <w:right w:val="nil"/>
            </w:tcBorders>
            <w:shd w:val="clear" w:color="auto" w:fill="auto"/>
            <w:noWrap/>
            <w:vAlign w:val="center"/>
            <w:hideMark/>
          </w:tcPr>
          <w:p w14:paraId="25A83D5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78,0</w:t>
            </w:r>
          </w:p>
        </w:tc>
        <w:tc>
          <w:tcPr>
            <w:tcW w:w="1034" w:type="dxa"/>
            <w:tcBorders>
              <w:top w:val="nil"/>
              <w:left w:val="nil"/>
              <w:bottom w:val="nil"/>
              <w:right w:val="nil"/>
            </w:tcBorders>
            <w:shd w:val="clear" w:color="auto" w:fill="auto"/>
            <w:noWrap/>
            <w:vAlign w:val="center"/>
            <w:hideMark/>
          </w:tcPr>
          <w:p w14:paraId="42463D4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4.972</w:t>
            </w:r>
          </w:p>
        </w:tc>
        <w:tc>
          <w:tcPr>
            <w:tcW w:w="662" w:type="dxa"/>
            <w:tcBorders>
              <w:top w:val="nil"/>
              <w:left w:val="nil"/>
              <w:bottom w:val="nil"/>
              <w:right w:val="nil"/>
            </w:tcBorders>
            <w:shd w:val="clear" w:color="auto" w:fill="auto"/>
            <w:noWrap/>
            <w:vAlign w:val="center"/>
            <w:hideMark/>
          </w:tcPr>
          <w:p w14:paraId="1BAA6EC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73,7</w:t>
            </w:r>
          </w:p>
        </w:tc>
        <w:tc>
          <w:tcPr>
            <w:tcW w:w="1034" w:type="dxa"/>
            <w:tcBorders>
              <w:top w:val="nil"/>
              <w:left w:val="nil"/>
              <w:bottom w:val="nil"/>
              <w:right w:val="nil"/>
            </w:tcBorders>
            <w:shd w:val="clear" w:color="auto" w:fill="auto"/>
            <w:noWrap/>
            <w:vAlign w:val="center"/>
            <w:hideMark/>
          </w:tcPr>
          <w:p w14:paraId="74682D1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18.358</w:t>
            </w:r>
          </w:p>
        </w:tc>
        <w:tc>
          <w:tcPr>
            <w:tcW w:w="662" w:type="dxa"/>
            <w:tcBorders>
              <w:top w:val="nil"/>
              <w:left w:val="nil"/>
              <w:bottom w:val="nil"/>
              <w:right w:val="nil"/>
            </w:tcBorders>
            <w:shd w:val="clear" w:color="auto" w:fill="auto"/>
            <w:noWrap/>
            <w:vAlign w:val="center"/>
            <w:hideMark/>
          </w:tcPr>
          <w:p w14:paraId="5B96CE0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73,7</w:t>
            </w:r>
          </w:p>
        </w:tc>
        <w:tc>
          <w:tcPr>
            <w:tcW w:w="1034" w:type="dxa"/>
            <w:tcBorders>
              <w:top w:val="nil"/>
              <w:left w:val="nil"/>
              <w:bottom w:val="nil"/>
              <w:right w:val="nil"/>
            </w:tcBorders>
            <w:shd w:val="clear" w:color="auto" w:fill="auto"/>
            <w:noWrap/>
            <w:vAlign w:val="center"/>
            <w:hideMark/>
          </w:tcPr>
          <w:p w14:paraId="436ADA5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31.703</w:t>
            </w:r>
          </w:p>
        </w:tc>
        <w:tc>
          <w:tcPr>
            <w:tcW w:w="668" w:type="dxa"/>
            <w:tcBorders>
              <w:top w:val="nil"/>
              <w:left w:val="nil"/>
              <w:bottom w:val="nil"/>
              <w:right w:val="nil"/>
            </w:tcBorders>
            <w:shd w:val="clear" w:color="auto" w:fill="auto"/>
            <w:noWrap/>
            <w:vAlign w:val="center"/>
            <w:hideMark/>
          </w:tcPr>
          <w:p w14:paraId="7547998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69,1</w:t>
            </w:r>
          </w:p>
        </w:tc>
      </w:tr>
      <w:tr w:rsidR="00F56AB8" w:rsidRPr="0026351E" w14:paraId="4B00D1A5" w14:textId="77777777" w:rsidTr="00A43D99">
        <w:trPr>
          <w:trHeight w:val="206"/>
        </w:trPr>
        <w:tc>
          <w:tcPr>
            <w:tcW w:w="2312" w:type="dxa"/>
            <w:tcBorders>
              <w:top w:val="nil"/>
              <w:left w:val="nil"/>
              <w:bottom w:val="nil"/>
              <w:right w:val="nil"/>
            </w:tcBorders>
            <w:shd w:val="clear" w:color="auto" w:fill="auto"/>
            <w:noWrap/>
            <w:vAlign w:val="bottom"/>
            <w:hideMark/>
          </w:tcPr>
          <w:p w14:paraId="0E72CAB3"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Indústria</w:t>
            </w:r>
          </w:p>
        </w:tc>
        <w:tc>
          <w:tcPr>
            <w:tcW w:w="1034" w:type="dxa"/>
            <w:tcBorders>
              <w:top w:val="nil"/>
              <w:left w:val="nil"/>
              <w:bottom w:val="nil"/>
              <w:right w:val="nil"/>
            </w:tcBorders>
            <w:shd w:val="clear" w:color="auto" w:fill="auto"/>
            <w:noWrap/>
            <w:vAlign w:val="center"/>
            <w:hideMark/>
          </w:tcPr>
          <w:p w14:paraId="64D6EC2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5.706</w:t>
            </w:r>
          </w:p>
        </w:tc>
        <w:tc>
          <w:tcPr>
            <w:tcW w:w="662" w:type="dxa"/>
            <w:tcBorders>
              <w:top w:val="nil"/>
              <w:left w:val="nil"/>
              <w:bottom w:val="nil"/>
              <w:right w:val="nil"/>
            </w:tcBorders>
            <w:shd w:val="clear" w:color="auto" w:fill="auto"/>
            <w:noWrap/>
            <w:vAlign w:val="center"/>
            <w:hideMark/>
          </w:tcPr>
          <w:p w14:paraId="242F483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8,4</w:t>
            </w:r>
          </w:p>
        </w:tc>
        <w:tc>
          <w:tcPr>
            <w:tcW w:w="1034" w:type="dxa"/>
            <w:tcBorders>
              <w:top w:val="nil"/>
              <w:left w:val="nil"/>
              <w:bottom w:val="nil"/>
              <w:right w:val="nil"/>
            </w:tcBorders>
            <w:shd w:val="clear" w:color="auto" w:fill="auto"/>
            <w:noWrap/>
            <w:vAlign w:val="center"/>
            <w:hideMark/>
          </w:tcPr>
          <w:p w14:paraId="44F19BC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508</w:t>
            </w:r>
          </w:p>
        </w:tc>
        <w:tc>
          <w:tcPr>
            <w:tcW w:w="662" w:type="dxa"/>
            <w:tcBorders>
              <w:top w:val="nil"/>
              <w:left w:val="nil"/>
              <w:bottom w:val="nil"/>
              <w:right w:val="nil"/>
            </w:tcBorders>
            <w:shd w:val="clear" w:color="auto" w:fill="auto"/>
            <w:noWrap/>
            <w:vAlign w:val="center"/>
            <w:hideMark/>
          </w:tcPr>
          <w:p w14:paraId="03F2E80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7,5</w:t>
            </w:r>
          </w:p>
        </w:tc>
        <w:tc>
          <w:tcPr>
            <w:tcW w:w="1034" w:type="dxa"/>
            <w:tcBorders>
              <w:top w:val="nil"/>
              <w:left w:val="nil"/>
              <w:bottom w:val="nil"/>
              <w:right w:val="nil"/>
            </w:tcBorders>
            <w:shd w:val="clear" w:color="auto" w:fill="auto"/>
            <w:noWrap/>
            <w:vAlign w:val="center"/>
            <w:hideMark/>
          </w:tcPr>
          <w:p w14:paraId="18BD401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2.422</w:t>
            </w:r>
          </w:p>
        </w:tc>
        <w:tc>
          <w:tcPr>
            <w:tcW w:w="662" w:type="dxa"/>
            <w:tcBorders>
              <w:top w:val="nil"/>
              <w:left w:val="nil"/>
              <w:bottom w:val="nil"/>
              <w:right w:val="nil"/>
            </w:tcBorders>
            <w:shd w:val="clear" w:color="auto" w:fill="auto"/>
            <w:noWrap/>
            <w:vAlign w:val="center"/>
            <w:hideMark/>
          </w:tcPr>
          <w:p w14:paraId="2F50BED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9,7</w:t>
            </w:r>
          </w:p>
        </w:tc>
        <w:tc>
          <w:tcPr>
            <w:tcW w:w="1034" w:type="dxa"/>
            <w:tcBorders>
              <w:top w:val="nil"/>
              <w:left w:val="nil"/>
              <w:bottom w:val="nil"/>
              <w:right w:val="nil"/>
            </w:tcBorders>
            <w:shd w:val="clear" w:color="auto" w:fill="auto"/>
            <w:noWrap/>
            <w:vAlign w:val="center"/>
            <w:hideMark/>
          </w:tcPr>
          <w:p w14:paraId="47B6546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6.469</w:t>
            </w:r>
          </w:p>
        </w:tc>
        <w:tc>
          <w:tcPr>
            <w:tcW w:w="668" w:type="dxa"/>
            <w:tcBorders>
              <w:top w:val="nil"/>
              <w:left w:val="nil"/>
              <w:bottom w:val="nil"/>
              <w:right w:val="nil"/>
            </w:tcBorders>
            <w:shd w:val="clear" w:color="auto" w:fill="auto"/>
            <w:noWrap/>
            <w:vAlign w:val="center"/>
            <w:hideMark/>
          </w:tcPr>
          <w:p w14:paraId="38D1283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14,1</w:t>
            </w:r>
          </w:p>
        </w:tc>
      </w:tr>
      <w:tr w:rsidR="00F56AB8" w:rsidRPr="0026351E" w14:paraId="6845BFF6" w14:textId="77777777" w:rsidTr="00A43D99">
        <w:trPr>
          <w:trHeight w:val="206"/>
        </w:trPr>
        <w:tc>
          <w:tcPr>
            <w:tcW w:w="2312" w:type="dxa"/>
            <w:tcBorders>
              <w:top w:val="nil"/>
              <w:left w:val="nil"/>
              <w:bottom w:val="nil"/>
              <w:right w:val="nil"/>
            </w:tcBorders>
            <w:shd w:val="clear" w:color="auto" w:fill="auto"/>
            <w:noWrap/>
            <w:vAlign w:val="bottom"/>
            <w:hideMark/>
          </w:tcPr>
          <w:p w14:paraId="797796F5"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Comércio e Serviços</w:t>
            </w:r>
          </w:p>
        </w:tc>
        <w:tc>
          <w:tcPr>
            <w:tcW w:w="1034" w:type="dxa"/>
            <w:tcBorders>
              <w:top w:val="nil"/>
              <w:left w:val="nil"/>
              <w:bottom w:val="nil"/>
              <w:right w:val="nil"/>
            </w:tcBorders>
            <w:shd w:val="clear" w:color="auto" w:fill="auto"/>
            <w:noWrap/>
            <w:vAlign w:val="center"/>
            <w:hideMark/>
          </w:tcPr>
          <w:p w14:paraId="7BE7240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8.242</w:t>
            </w:r>
          </w:p>
        </w:tc>
        <w:tc>
          <w:tcPr>
            <w:tcW w:w="662" w:type="dxa"/>
            <w:tcBorders>
              <w:top w:val="nil"/>
              <w:left w:val="nil"/>
              <w:bottom w:val="nil"/>
              <w:right w:val="nil"/>
            </w:tcBorders>
            <w:shd w:val="clear" w:color="auto" w:fill="auto"/>
            <w:noWrap/>
            <w:vAlign w:val="center"/>
            <w:hideMark/>
          </w:tcPr>
          <w:p w14:paraId="6D5EC1B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12,1</w:t>
            </w:r>
          </w:p>
        </w:tc>
        <w:tc>
          <w:tcPr>
            <w:tcW w:w="1034" w:type="dxa"/>
            <w:tcBorders>
              <w:top w:val="nil"/>
              <w:left w:val="nil"/>
              <w:bottom w:val="nil"/>
              <w:right w:val="nil"/>
            </w:tcBorders>
            <w:shd w:val="clear" w:color="auto" w:fill="auto"/>
            <w:noWrap/>
            <w:vAlign w:val="center"/>
            <w:hideMark/>
          </w:tcPr>
          <w:p w14:paraId="67397B5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1.099</w:t>
            </w:r>
          </w:p>
        </w:tc>
        <w:tc>
          <w:tcPr>
            <w:tcW w:w="662" w:type="dxa"/>
            <w:tcBorders>
              <w:top w:val="nil"/>
              <w:left w:val="nil"/>
              <w:bottom w:val="nil"/>
              <w:right w:val="nil"/>
            </w:tcBorders>
            <w:shd w:val="clear" w:color="auto" w:fill="auto"/>
            <w:noWrap/>
            <w:vAlign w:val="center"/>
            <w:hideMark/>
          </w:tcPr>
          <w:p w14:paraId="233DA2E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16,3</w:t>
            </w:r>
          </w:p>
        </w:tc>
        <w:tc>
          <w:tcPr>
            <w:tcW w:w="1034" w:type="dxa"/>
            <w:tcBorders>
              <w:top w:val="nil"/>
              <w:left w:val="nil"/>
              <w:bottom w:val="nil"/>
              <w:right w:val="nil"/>
            </w:tcBorders>
            <w:shd w:val="clear" w:color="auto" w:fill="auto"/>
            <w:noWrap/>
            <w:vAlign w:val="center"/>
            <w:hideMark/>
          </w:tcPr>
          <w:p w14:paraId="0EA054A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3.400</w:t>
            </w:r>
          </w:p>
        </w:tc>
        <w:tc>
          <w:tcPr>
            <w:tcW w:w="662" w:type="dxa"/>
            <w:tcBorders>
              <w:top w:val="nil"/>
              <w:left w:val="nil"/>
              <w:bottom w:val="nil"/>
              <w:right w:val="nil"/>
            </w:tcBorders>
            <w:shd w:val="clear" w:color="auto" w:fill="auto"/>
            <w:noWrap/>
            <w:vAlign w:val="center"/>
            <w:hideMark/>
          </w:tcPr>
          <w:p w14:paraId="37DBB25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13,7</w:t>
            </w:r>
          </w:p>
        </w:tc>
        <w:tc>
          <w:tcPr>
            <w:tcW w:w="1034" w:type="dxa"/>
            <w:tcBorders>
              <w:top w:val="nil"/>
              <w:left w:val="nil"/>
              <w:bottom w:val="nil"/>
              <w:right w:val="nil"/>
            </w:tcBorders>
            <w:shd w:val="clear" w:color="auto" w:fill="auto"/>
            <w:noWrap/>
            <w:vAlign w:val="center"/>
            <w:hideMark/>
          </w:tcPr>
          <w:p w14:paraId="0255147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6.685</w:t>
            </w:r>
          </w:p>
        </w:tc>
        <w:tc>
          <w:tcPr>
            <w:tcW w:w="668" w:type="dxa"/>
            <w:tcBorders>
              <w:top w:val="nil"/>
              <w:left w:val="nil"/>
              <w:bottom w:val="nil"/>
              <w:right w:val="nil"/>
            </w:tcBorders>
            <w:shd w:val="clear" w:color="auto" w:fill="auto"/>
            <w:noWrap/>
            <w:vAlign w:val="center"/>
            <w:hideMark/>
          </w:tcPr>
          <w:p w14:paraId="14FDD0F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14,6</w:t>
            </w:r>
          </w:p>
        </w:tc>
      </w:tr>
      <w:tr w:rsidR="00F56AB8" w:rsidRPr="0026351E" w14:paraId="657D7716" w14:textId="77777777" w:rsidTr="00A43D99">
        <w:trPr>
          <w:trHeight w:val="206"/>
        </w:trPr>
        <w:tc>
          <w:tcPr>
            <w:tcW w:w="2312" w:type="dxa"/>
            <w:tcBorders>
              <w:top w:val="nil"/>
              <w:left w:val="nil"/>
              <w:bottom w:val="nil"/>
              <w:right w:val="nil"/>
            </w:tcBorders>
            <w:shd w:val="clear" w:color="auto" w:fill="auto"/>
            <w:noWrap/>
            <w:vAlign w:val="bottom"/>
            <w:hideMark/>
          </w:tcPr>
          <w:p w14:paraId="56E22E5C"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Administração Pública</w:t>
            </w:r>
          </w:p>
        </w:tc>
        <w:tc>
          <w:tcPr>
            <w:tcW w:w="1034" w:type="dxa"/>
            <w:tcBorders>
              <w:top w:val="nil"/>
              <w:left w:val="nil"/>
              <w:bottom w:val="nil"/>
              <w:right w:val="nil"/>
            </w:tcBorders>
            <w:shd w:val="clear" w:color="auto" w:fill="auto"/>
            <w:noWrap/>
            <w:vAlign w:val="center"/>
            <w:hideMark/>
          </w:tcPr>
          <w:p w14:paraId="3E19722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1.061</w:t>
            </w:r>
          </w:p>
        </w:tc>
        <w:tc>
          <w:tcPr>
            <w:tcW w:w="662" w:type="dxa"/>
            <w:tcBorders>
              <w:top w:val="nil"/>
              <w:left w:val="nil"/>
              <w:bottom w:val="nil"/>
              <w:right w:val="nil"/>
            </w:tcBorders>
            <w:shd w:val="clear" w:color="auto" w:fill="auto"/>
            <w:noWrap/>
            <w:vAlign w:val="center"/>
            <w:hideMark/>
          </w:tcPr>
          <w:p w14:paraId="713C861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w:t>
            </w:r>
          </w:p>
        </w:tc>
        <w:tc>
          <w:tcPr>
            <w:tcW w:w="1034" w:type="dxa"/>
            <w:tcBorders>
              <w:top w:val="nil"/>
              <w:left w:val="nil"/>
              <w:bottom w:val="nil"/>
              <w:right w:val="nil"/>
            </w:tcBorders>
            <w:shd w:val="clear" w:color="auto" w:fill="auto"/>
            <w:noWrap/>
            <w:vAlign w:val="center"/>
            <w:hideMark/>
          </w:tcPr>
          <w:p w14:paraId="39F06D2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170</w:t>
            </w:r>
          </w:p>
        </w:tc>
        <w:tc>
          <w:tcPr>
            <w:tcW w:w="662" w:type="dxa"/>
            <w:tcBorders>
              <w:top w:val="nil"/>
              <w:left w:val="nil"/>
              <w:bottom w:val="nil"/>
              <w:right w:val="nil"/>
            </w:tcBorders>
            <w:shd w:val="clear" w:color="auto" w:fill="auto"/>
            <w:noWrap/>
            <w:vAlign w:val="center"/>
            <w:hideMark/>
          </w:tcPr>
          <w:p w14:paraId="5799554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2,5</w:t>
            </w:r>
          </w:p>
        </w:tc>
        <w:tc>
          <w:tcPr>
            <w:tcW w:w="1034" w:type="dxa"/>
            <w:tcBorders>
              <w:top w:val="nil"/>
              <w:left w:val="nil"/>
              <w:bottom w:val="nil"/>
              <w:right w:val="nil"/>
            </w:tcBorders>
            <w:shd w:val="clear" w:color="auto" w:fill="auto"/>
            <w:noWrap/>
            <w:vAlign w:val="center"/>
            <w:hideMark/>
          </w:tcPr>
          <w:p w14:paraId="306A51C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713</w:t>
            </w:r>
          </w:p>
        </w:tc>
        <w:tc>
          <w:tcPr>
            <w:tcW w:w="662" w:type="dxa"/>
            <w:tcBorders>
              <w:top w:val="nil"/>
              <w:left w:val="nil"/>
              <w:bottom w:val="nil"/>
              <w:right w:val="nil"/>
            </w:tcBorders>
            <w:shd w:val="clear" w:color="auto" w:fill="auto"/>
            <w:noWrap/>
            <w:vAlign w:val="center"/>
            <w:hideMark/>
          </w:tcPr>
          <w:p w14:paraId="79CFFAD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2,9</w:t>
            </w:r>
          </w:p>
        </w:tc>
        <w:tc>
          <w:tcPr>
            <w:tcW w:w="1034" w:type="dxa"/>
            <w:tcBorders>
              <w:top w:val="nil"/>
              <w:left w:val="nil"/>
              <w:bottom w:val="nil"/>
              <w:right w:val="nil"/>
            </w:tcBorders>
            <w:shd w:val="clear" w:color="auto" w:fill="auto"/>
            <w:noWrap/>
            <w:vAlign w:val="center"/>
            <w:hideMark/>
          </w:tcPr>
          <w:p w14:paraId="3AD7B34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999</w:t>
            </w:r>
          </w:p>
        </w:tc>
        <w:tc>
          <w:tcPr>
            <w:tcW w:w="668" w:type="dxa"/>
            <w:tcBorders>
              <w:top w:val="nil"/>
              <w:left w:val="nil"/>
              <w:bottom w:val="nil"/>
              <w:right w:val="nil"/>
            </w:tcBorders>
            <w:shd w:val="clear" w:color="auto" w:fill="auto"/>
            <w:noWrap/>
            <w:vAlign w:val="center"/>
            <w:hideMark/>
          </w:tcPr>
          <w:p w14:paraId="000546E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2,2</w:t>
            </w:r>
          </w:p>
        </w:tc>
      </w:tr>
      <w:tr w:rsidR="00F56AB8" w:rsidRPr="0026351E" w14:paraId="09270427" w14:textId="77777777" w:rsidTr="00A43D99">
        <w:trPr>
          <w:trHeight w:val="206"/>
        </w:trPr>
        <w:tc>
          <w:tcPr>
            <w:tcW w:w="2312" w:type="dxa"/>
            <w:tcBorders>
              <w:top w:val="nil"/>
              <w:left w:val="nil"/>
              <w:bottom w:val="single" w:sz="4" w:space="0" w:color="auto"/>
              <w:right w:val="nil"/>
            </w:tcBorders>
            <w:shd w:val="clear" w:color="auto" w:fill="auto"/>
            <w:noWrap/>
            <w:vAlign w:val="bottom"/>
            <w:hideMark/>
          </w:tcPr>
          <w:p w14:paraId="194E742B"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1034" w:type="dxa"/>
            <w:tcBorders>
              <w:top w:val="nil"/>
              <w:left w:val="nil"/>
              <w:bottom w:val="single" w:sz="4" w:space="0" w:color="auto"/>
              <w:right w:val="nil"/>
            </w:tcBorders>
            <w:shd w:val="clear" w:color="auto" w:fill="auto"/>
            <w:noWrap/>
            <w:vAlign w:val="center"/>
            <w:hideMark/>
          </w:tcPr>
          <w:p w14:paraId="71CB498B"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68.286</w:t>
            </w:r>
          </w:p>
        </w:tc>
        <w:tc>
          <w:tcPr>
            <w:tcW w:w="662" w:type="dxa"/>
            <w:tcBorders>
              <w:top w:val="nil"/>
              <w:left w:val="nil"/>
              <w:bottom w:val="single" w:sz="4" w:space="0" w:color="auto"/>
              <w:right w:val="nil"/>
            </w:tcBorders>
            <w:shd w:val="clear" w:color="auto" w:fill="auto"/>
            <w:noWrap/>
            <w:vAlign w:val="center"/>
            <w:hideMark/>
          </w:tcPr>
          <w:p w14:paraId="1ED154FB"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5FB5E1D8"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6.749</w:t>
            </w:r>
          </w:p>
        </w:tc>
        <w:tc>
          <w:tcPr>
            <w:tcW w:w="662" w:type="dxa"/>
            <w:tcBorders>
              <w:top w:val="nil"/>
              <w:left w:val="nil"/>
              <w:bottom w:val="single" w:sz="4" w:space="0" w:color="auto"/>
              <w:right w:val="nil"/>
            </w:tcBorders>
            <w:shd w:val="clear" w:color="auto" w:fill="auto"/>
            <w:noWrap/>
            <w:vAlign w:val="center"/>
            <w:hideMark/>
          </w:tcPr>
          <w:p w14:paraId="5FA6124E"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01191753"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24.893</w:t>
            </w:r>
          </w:p>
        </w:tc>
        <w:tc>
          <w:tcPr>
            <w:tcW w:w="662" w:type="dxa"/>
            <w:tcBorders>
              <w:top w:val="nil"/>
              <w:left w:val="nil"/>
              <w:bottom w:val="single" w:sz="4" w:space="0" w:color="auto"/>
              <w:right w:val="nil"/>
            </w:tcBorders>
            <w:shd w:val="clear" w:color="auto" w:fill="auto"/>
            <w:noWrap/>
            <w:vAlign w:val="center"/>
            <w:hideMark/>
          </w:tcPr>
          <w:p w14:paraId="3AA08E97"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3C8AFC9E"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45.856</w:t>
            </w:r>
          </w:p>
        </w:tc>
        <w:tc>
          <w:tcPr>
            <w:tcW w:w="668" w:type="dxa"/>
            <w:tcBorders>
              <w:top w:val="nil"/>
              <w:left w:val="nil"/>
              <w:bottom w:val="single" w:sz="4" w:space="0" w:color="auto"/>
              <w:right w:val="nil"/>
            </w:tcBorders>
            <w:shd w:val="clear" w:color="auto" w:fill="auto"/>
            <w:noWrap/>
            <w:vAlign w:val="center"/>
            <w:hideMark/>
          </w:tcPr>
          <w:p w14:paraId="3B09FC76"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01FAEFF9" w14:textId="77777777" w:rsidTr="00A43D99">
        <w:trPr>
          <w:trHeight w:val="206"/>
        </w:trPr>
        <w:tc>
          <w:tcPr>
            <w:tcW w:w="2312" w:type="dxa"/>
            <w:tcBorders>
              <w:top w:val="nil"/>
              <w:left w:val="nil"/>
              <w:bottom w:val="nil"/>
              <w:right w:val="nil"/>
            </w:tcBorders>
            <w:shd w:val="clear" w:color="auto" w:fill="auto"/>
            <w:noWrap/>
            <w:vAlign w:val="center"/>
            <w:hideMark/>
          </w:tcPr>
          <w:p w14:paraId="38D6F202"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r w:rsidRPr="0026351E">
              <w:rPr>
                <w:rFonts w:ascii="Times New Roman" w:eastAsia="Times New Roman" w:hAnsi="Times New Roman" w:cs="Times New Roman"/>
                <w:i/>
                <w:iCs/>
                <w:sz w:val="18"/>
                <w:szCs w:val="18"/>
                <w:lang w:eastAsia="pt-BR"/>
              </w:rPr>
              <w:t>Posição na ocupação</w:t>
            </w:r>
          </w:p>
        </w:tc>
        <w:tc>
          <w:tcPr>
            <w:tcW w:w="1034" w:type="dxa"/>
            <w:tcBorders>
              <w:top w:val="nil"/>
              <w:left w:val="nil"/>
              <w:bottom w:val="nil"/>
              <w:right w:val="nil"/>
            </w:tcBorders>
            <w:shd w:val="clear" w:color="auto" w:fill="auto"/>
            <w:noWrap/>
            <w:vAlign w:val="center"/>
            <w:hideMark/>
          </w:tcPr>
          <w:p w14:paraId="290F0627" w14:textId="77777777" w:rsidR="00F56AB8" w:rsidRPr="0026351E" w:rsidRDefault="00F56AB8" w:rsidP="00827FB4">
            <w:pPr>
              <w:spacing w:after="0" w:line="240" w:lineRule="auto"/>
              <w:rPr>
                <w:rFonts w:ascii="Times New Roman" w:eastAsia="Times New Roman" w:hAnsi="Times New Roman" w:cs="Times New Roman"/>
                <w:i/>
                <w:iCs/>
                <w:sz w:val="18"/>
                <w:szCs w:val="18"/>
                <w:lang w:eastAsia="pt-BR"/>
              </w:rPr>
            </w:pPr>
          </w:p>
        </w:tc>
        <w:tc>
          <w:tcPr>
            <w:tcW w:w="662" w:type="dxa"/>
            <w:tcBorders>
              <w:top w:val="nil"/>
              <w:left w:val="nil"/>
              <w:bottom w:val="nil"/>
              <w:right w:val="nil"/>
            </w:tcBorders>
            <w:shd w:val="clear" w:color="auto" w:fill="auto"/>
            <w:noWrap/>
            <w:vAlign w:val="center"/>
            <w:hideMark/>
          </w:tcPr>
          <w:p w14:paraId="406BCE5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1034" w:type="dxa"/>
            <w:tcBorders>
              <w:top w:val="nil"/>
              <w:left w:val="nil"/>
              <w:bottom w:val="nil"/>
              <w:right w:val="nil"/>
            </w:tcBorders>
            <w:shd w:val="clear" w:color="auto" w:fill="auto"/>
            <w:noWrap/>
            <w:vAlign w:val="center"/>
            <w:hideMark/>
          </w:tcPr>
          <w:p w14:paraId="02D71CE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2" w:type="dxa"/>
            <w:tcBorders>
              <w:top w:val="nil"/>
              <w:left w:val="nil"/>
              <w:bottom w:val="nil"/>
              <w:right w:val="nil"/>
            </w:tcBorders>
            <w:shd w:val="clear" w:color="auto" w:fill="auto"/>
            <w:noWrap/>
            <w:vAlign w:val="center"/>
            <w:hideMark/>
          </w:tcPr>
          <w:p w14:paraId="117D4A4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1034" w:type="dxa"/>
            <w:tcBorders>
              <w:top w:val="nil"/>
              <w:left w:val="nil"/>
              <w:bottom w:val="nil"/>
              <w:right w:val="nil"/>
            </w:tcBorders>
            <w:shd w:val="clear" w:color="auto" w:fill="auto"/>
            <w:noWrap/>
            <w:vAlign w:val="center"/>
            <w:hideMark/>
          </w:tcPr>
          <w:p w14:paraId="0E963BC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2" w:type="dxa"/>
            <w:tcBorders>
              <w:top w:val="nil"/>
              <w:left w:val="nil"/>
              <w:bottom w:val="nil"/>
              <w:right w:val="nil"/>
            </w:tcBorders>
            <w:shd w:val="clear" w:color="auto" w:fill="auto"/>
            <w:noWrap/>
            <w:vAlign w:val="center"/>
            <w:hideMark/>
          </w:tcPr>
          <w:p w14:paraId="34808A4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1034" w:type="dxa"/>
            <w:tcBorders>
              <w:top w:val="nil"/>
              <w:left w:val="nil"/>
              <w:bottom w:val="nil"/>
              <w:right w:val="nil"/>
            </w:tcBorders>
            <w:shd w:val="clear" w:color="auto" w:fill="auto"/>
            <w:noWrap/>
            <w:vAlign w:val="center"/>
            <w:hideMark/>
          </w:tcPr>
          <w:p w14:paraId="4244993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c>
          <w:tcPr>
            <w:tcW w:w="668" w:type="dxa"/>
            <w:tcBorders>
              <w:top w:val="nil"/>
              <w:left w:val="nil"/>
              <w:bottom w:val="nil"/>
              <w:right w:val="nil"/>
            </w:tcBorders>
            <w:shd w:val="clear" w:color="auto" w:fill="auto"/>
            <w:noWrap/>
            <w:vAlign w:val="center"/>
            <w:hideMark/>
          </w:tcPr>
          <w:p w14:paraId="5CB7606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p>
        </w:tc>
      </w:tr>
      <w:tr w:rsidR="00F56AB8" w:rsidRPr="0026351E" w14:paraId="6A580854" w14:textId="77777777" w:rsidTr="00A43D99">
        <w:trPr>
          <w:trHeight w:val="206"/>
        </w:trPr>
        <w:tc>
          <w:tcPr>
            <w:tcW w:w="2312" w:type="dxa"/>
            <w:tcBorders>
              <w:top w:val="nil"/>
              <w:left w:val="nil"/>
              <w:bottom w:val="nil"/>
              <w:right w:val="nil"/>
            </w:tcBorders>
            <w:shd w:val="clear" w:color="auto" w:fill="auto"/>
            <w:noWrap/>
            <w:vAlign w:val="bottom"/>
            <w:hideMark/>
          </w:tcPr>
          <w:p w14:paraId="12D4C3AE"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Empregados com carteira de trabalho assinada</w:t>
            </w:r>
          </w:p>
        </w:tc>
        <w:tc>
          <w:tcPr>
            <w:tcW w:w="1034" w:type="dxa"/>
            <w:tcBorders>
              <w:top w:val="nil"/>
              <w:left w:val="nil"/>
              <w:bottom w:val="nil"/>
              <w:right w:val="nil"/>
            </w:tcBorders>
            <w:shd w:val="clear" w:color="auto" w:fill="auto"/>
            <w:noWrap/>
            <w:vAlign w:val="center"/>
            <w:hideMark/>
          </w:tcPr>
          <w:p w14:paraId="0763A1B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5.933</w:t>
            </w:r>
          </w:p>
        </w:tc>
        <w:tc>
          <w:tcPr>
            <w:tcW w:w="662" w:type="dxa"/>
            <w:tcBorders>
              <w:top w:val="nil"/>
              <w:left w:val="nil"/>
              <w:bottom w:val="nil"/>
              <w:right w:val="nil"/>
            </w:tcBorders>
            <w:shd w:val="clear" w:color="auto" w:fill="auto"/>
            <w:noWrap/>
            <w:vAlign w:val="center"/>
            <w:hideMark/>
          </w:tcPr>
          <w:p w14:paraId="14408AA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8,5</w:t>
            </w:r>
          </w:p>
        </w:tc>
        <w:tc>
          <w:tcPr>
            <w:tcW w:w="1034" w:type="dxa"/>
            <w:tcBorders>
              <w:top w:val="nil"/>
              <w:left w:val="nil"/>
              <w:bottom w:val="nil"/>
              <w:right w:val="nil"/>
            </w:tcBorders>
            <w:shd w:val="clear" w:color="auto" w:fill="auto"/>
            <w:noWrap/>
            <w:vAlign w:val="center"/>
            <w:hideMark/>
          </w:tcPr>
          <w:p w14:paraId="0B131A7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897</w:t>
            </w:r>
          </w:p>
        </w:tc>
        <w:tc>
          <w:tcPr>
            <w:tcW w:w="662" w:type="dxa"/>
            <w:tcBorders>
              <w:top w:val="nil"/>
              <w:left w:val="nil"/>
              <w:bottom w:val="nil"/>
              <w:right w:val="nil"/>
            </w:tcBorders>
            <w:shd w:val="clear" w:color="auto" w:fill="auto"/>
            <w:noWrap/>
            <w:vAlign w:val="center"/>
            <w:hideMark/>
          </w:tcPr>
          <w:p w14:paraId="76EAB76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13,1</w:t>
            </w:r>
          </w:p>
        </w:tc>
        <w:tc>
          <w:tcPr>
            <w:tcW w:w="1034" w:type="dxa"/>
            <w:tcBorders>
              <w:top w:val="nil"/>
              <w:left w:val="nil"/>
              <w:bottom w:val="nil"/>
              <w:right w:val="nil"/>
            </w:tcBorders>
            <w:shd w:val="clear" w:color="auto" w:fill="auto"/>
            <w:noWrap/>
            <w:vAlign w:val="center"/>
            <w:hideMark/>
          </w:tcPr>
          <w:p w14:paraId="258B779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2.271</w:t>
            </w:r>
          </w:p>
        </w:tc>
        <w:tc>
          <w:tcPr>
            <w:tcW w:w="662" w:type="dxa"/>
            <w:tcBorders>
              <w:top w:val="nil"/>
              <w:left w:val="nil"/>
              <w:bottom w:val="nil"/>
              <w:right w:val="nil"/>
            </w:tcBorders>
            <w:shd w:val="clear" w:color="auto" w:fill="auto"/>
            <w:noWrap/>
            <w:vAlign w:val="center"/>
            <w:hideMark/>
          </w:tcPr>
          <w:p w14:paraId="7276942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8,9</w:t>
            </w:r>
          </w:p>
        </w:tc>
        <w:tc>
          <w:tcPr>
            <w:tcW w:w="1034" w:type="dxa"/>
            <w:tcBorders>
              <w:top w:val="nil"/>
              <w:left w:val="nil"/>
              <w:bottom w:val="nil"/>
              <w:right w:val="nil"/>
            </w:tcBorders>
            <w:shd w:val="clear" w:color="auto" w:fill="auto"/>
            <w:noWrap/>
            <w:vAlign w:val="center"/>
            <w:hideMark/>
          </w:tcPr>
          <w:p w14:paraId="4A1F330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4.111</w:t>
            </w:r>
          </w:p>
        </w:tc>
        <w:tc>
          <w:tcPr>
            <w:tcW w:w="668" w:type="dxa"/>
            <w:tcBorders>
              <w:top w:val="nil"/>
              <w:left w:val="nil"/>
              <w:bottom w:val="nil"/>
              <w:right w:val="nil"/>
            </w:tcBorders>
            <w:shd w:val="clear" w:color="auto" w:fill="auto"/>
            <w:noWrap/>
            <w:vAlign w:val="center"/>
            <w:hideMark/>
          </w:tcPr>
          <w:p w14:paraId="29F6564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8,8</w:t>
            </w:r>
          </w:p>
        </w:tc>
      </w:tr>
      <w:tr w:rsidR="00F56AB8" w:rsidRPr="0026351E" w14:paraId="7C580695" w14:textId="77777777" w:rsidTr="00A43D99">
        <w:trPr>
          <w:trHeight w:val="206"/>
        </w:trPr>
        <w:tc>
          <w:tcPr>
            <w:tcW w:w="2312" w:type="dxa"/>
            <w:tcBorders>
              <w:top w:val="nil"/>
              <w:left w:val="nil"/>
              <w:bottom w:val="nil"/>
              <w:right w:val="nil"/>
            </w:tcBorders>
            <w:shd w:val="clear" w:color="auto" w:fill="auto"/>
            <w:noWrap/>
            <w:vAlign w:val="bottom"/>
            <w:hideMark/>
          </w:tcPr>
          <w:p w14:paraId="4E445D00"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Militares e funcionários públicos estatutários</w:t>
            </w:r>
          </w:p>
        </w:tc>
        <w:tc>
          <w:tcPr>
            <w:tcW w:w="1034" w:type="dxa"/>
            <w:tcBorders>
              <w:top w:val="nil"/>
              <w:left w:val="nil"/>
              <w:bottom w:val="nil"/>
              <w:right w:val="nil"/>
            </w:tcBorders>
            <w:shd w:val="clear" w:color="auto" w:fill="auto"/>
            <w:noWrap/>
            <w:vAlign w:val="center"/>
            <w:hideMark/>
          </w:tcPr>
          <w:p w14:paraId="2FB0A4B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800</w:t>
            </w:r>
          </w:p>
        </w:tc>
        <w:tc>
          <w:tcPr>
            <w:tcW w:w="662" w:type="dxa"/>
            <w:tcBorders>
              <w:top w:val="nil"/>
              <w:left w:val="nil"/>
              <w:bottom w:val="nil"/>
              <w:right w:val="nil"/>
            </w:tcBorders>
            <w:shd w:val="clear" w:color="auto" w:fill="auto"/>
            <w:noWrap/>
            <w:vAlign w:val="center"/>
            <w:hideMark/>
          </w:tcPr>
          <w:p w14:paraId="26ABC08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w:t>
            </w:r>
          </w:p>
        </w:tc>
        <w:tc>
          <w:tcPr>
            <w:tcW w:w="1034" w:type="dxa"/>
            <w:tcBorders>
              <w:top w:val="nil"/>
              <w:left w:val="nil"/>
              <w:bottom w:val="nil"/>
              <w:right w:val="nil"/>
            </w:tcBorders>
            <w:shd w:val="clear" w:color="auto" w:fill="auto"/>
            <w:noWrap/>
            <w:vAlign w:val="center"/>
            <w:hideMark/>
          </w:tcPr>
          <w:p w14:paraId="260679F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72</w:t>
            </w:r>
          </w:p>
        </w:tc>
        <w:tc>
          <w:tcPr>
            <w:tcW w:w="662" w:type="dxa"/>
            <w:tcBorders>
              <w:top w:val="nil"/>
              <w:left w:val="nil"/>
              <w:bottom w:val="nil"/>
              <w:right w:val="nil"/>
            </w:tcBorders>
            <w:shd w:val="clear" w:color="auto" w:fill="auto"/>
            <w:noWrap/>
            <w:vAlign w:val="center"/>
            <w:hideMark/>
          </w:tcPr>
          <w:p w14:paraId="618136D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w:t>
            </w:r>
          </w:p>
        </w:tc>
        <w:tc>
          <w:tcPr>
            <w:tcW w:w="1034" w:type="dxa"/>
            <w:tcBorders>
              <w:top w:val="nil"/>
              <w:left w:val="nil"/>
              <w:bottom w:val="nil"/>
              <w:right w:val="nil"/>
            </w:tcBorders>
            <w:shd w:val="clear" w:color="auto" w:fill="auto"/>
            <w:noWrap/>
            <w:vAlign w:val="center"/>
            <w:hideMark/>
          </w:tcPr>
          <w:p w14:paraId="3522C97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720</w:t>
            </w:r>
          </w:p>
        </w:tc>
        <w:tc>
          <w:tcPr>
            <w:tcW w:w="662" w:type="dxa"/>
            <w:tcBorders>
              <w:top w:val="nil"/>
              <w:left w:val="nil"/>
              <w:bottom w:val="nil"/>
              <w:right w:val="nil"/>
            </w:tcBorders>
            <w:shd w:val="clear" w:color="auto" w:fill="auto"/>
            <w:noWrap/>
            <w:vAlign w:val="center"/>
            <w:hideMark/>
          </w:tcPr>
          <w:p w14:paraId="129722B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2,8</w:t>
            </w:r>
          </w:p>
        </w:tc>
        <w:tc>
          <w:tcPr>
            <w:tcW w:w="1034" w:type="dxa"/>
            <w:tcBorders>
              <w:top w:val="nil"/>
              <w:left w:val="nil"/>
              <w:bottom w:val="nil"/>
              <w:right w:val="nil"/>
            </w:tcBorders>
            <w:shd w:val="clear" w:color="auto" w:fill="auto"/>
            <w:noWrap/>
            <w:vAlign w:val="center"/>
            <w:hideMark/>
          </w:tcPr>
          <w:p w14:paraId="4B1B631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895</w:t>
            </w:r>
          </w:p>
        </w:tc>
        <w:tc>
          <w:tcPr>
            <w:tcW w:w="668" w:type="dxa"/>
            <w:tcBorders>
              <w:top w:val="nil"/>
              <w:left w:val="nil"/>
              <w:bottom w:val="nil"/>
              <w:right w:val="nil"/>
            </w:tcBorders>
            <w:shd w:val="clear" w:color="auto" w:fill="auto"/>
            <w:noWrap/>
            <w:vAlign w:val="center"/>
            <w:hideMark/>
          </w:tcPr>
          <w:p w14:paraId="74B5C51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1,9</w:t>
            </w:r>
          </w:p>
        </w:tc>
      </w:tr>
      <w:tr w:rsidR="00F56AB8" w:rsidRPr="0026351E" w14:paraId="07CA542C" w14:textId="77777777" w:rsidTr="00A43D99">
        <w:trPr>
          <w:trHeight w:val="206"/>
        </w:trPr>
        <w:tc>
          <w:tcPr>
            <w:tcW w:w="2312" w:type="dxa"/>
            <w:tcBorders>
              <w:top w:val="nil"/>
              <w:left w:val="nil"/>
              <w:bottom w:val="nil"/>
              <w:right w:val="nil"/>
            </w:tcBorders>
            <w:shd w:val="clear" w:color="auto" w:fill="auto"/>
            <w:noWrap/>
            <w:vAlign w:val="bottom"/>
            <w:hideMark/>
          </w:tcPr>
          <w:p w14:paraId="5801778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Empregados sem carteira de trabalho assinada</w:t>
            </w:r>
          </w:p>
        </w:tc>
        <w:tc>
          <w:tcPr>
            <w:tcW w:w="1034" w:type="dxa"/>
            <w:tcBorders>
              <w:top w:val="nil"/>
              <w:left w:val="nil"/>
              <w:bottom w:val="nil"/>
              <w:right w:val="nil"/>
            </w:tcBorders>
            <w:shd w:val="clear" w:color="auto" w:fill="auto"/>
            <w:noWrap/>
            <w:vAlign w:val="center"/>
            <w:hideMark/>
          </w:tcPr>
          <w:p w14:paraId="4B53DB4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18.672</w:t>
            </w:r>
          </w:p>
        </w:tc>
        <w:tc>
          <w:tcPr>
            <w:tcW w:w="662" w:type="dxa"/>
            <w:tcBorders>
              <w:top w:val="nil"/>
              <w:left w:val="nil"/>
              <w:bottom w:val="nil"/>
              <w:right w:val="nil"/>
            </w:tcBorders>
            <w:shd w:val="clear" w:color="auto" w:fill="auto"/>
            <w:noWrap/>
            <w:vAlign w:val="center"/>
            <w:hideMark/>
          </w:tcPr>
          <w:p w14:paraId="6B0EF23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26,8</w:t>
            </w:r>
          </w:p>
        </w:tc>
        <w:tc>
          <w:tcPr>
            <w:tcW w:w="1034" w:type="dxa"/>
            <w:tcBorders>
              <w:top w:val="nil"/>
              <w:left w:val="nil"/>
              <w:bottom w:val="nil"/>
              <w:right w:val="nil"/>
            </w:tcBorders>
            <w:shd w:val="clear" w:color="auto" w:fill="auto"/>
            <w:noWrap/>
            <w:vAlign w:val="center"/>
            <w:hideMark/>
          </w:tcPr>
          <w:p w14:paraId="376F7BF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1.314</w:t>
            </w:r>
          </w:p>
        </w:tc>
        <w:tc>
          <w:tcPr>
            <w:tcW w:w="662" w:type="dxa"/>
            <w:tcBorders>
              <w:top w:val="nil"/>
              <w:left w:val="nil"/>
              <w:bottom w:val="nil"/>
              <w:right w:val="nil"/>
            </w:tcBorders>
            <w:shd w:val="clear" w:color="auto" w:fill="auto"/>
            <w:noWrap/>
            <w:vAlign w:val="center"/>
            <w:hideMark/>
          </w:tcPr>
          <w:p w14:paraId="4AF3143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19,1</w:t>
            </w:r>
          </w:p>
        </w:tc>
        <w:tc>
          <w:tcPr>
            <w:tcW w:w="1034" w:type="dxa"/>
            <w:tcBorders>
              <w:top w:val="nil"/>
              <w:left w:val="nil"/>
              <w:bottom w:val="nil"/>
              <w:right w:val="nil"/>
            </w:tcBorders>
            <w:shd w:val="clear" w:color="auto" w:fill="auto"/>
            <w:noWrap/>
            <w:vAlign w:val="center"/>
            <w:hideMark/>
          </w:tcPr>
          <w:p w14:paraId="6A5C1E6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5.116</w:t>
            </w:r>
          </w:p>
        </w:tc>
        <w:tc>
          <w:tcPr>
            <w:tcW w:w="662" w:type="dxa"/>
            <w:tcBorders>
              <w:top w:val="nil"/>
              <w:left w:val="nil"/>
              <w:bottom w:val="nil"/>
              <w:right w:val="nil"/>
            </w:tcBorders>
            <w:shd w:val="clear" w:color="auto" w:fill="auto"/>
            <w:noWrap/>
            <w:vAlign w:val="center"/>
            <w:hideMark/>
          </w:tcPr>
          <w:p w14:paraId="6B07691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20,2</w:t>
            </w:r>
          </w:p>
        </w:tc>
        <w:tc>
          <w:tcPr>
            <w:tcW w:w="1034" w:type="dxa"/>
            <w:tcBorders>
              <w:top w:val="nil"/>
              <w:left w:val="nil"/>
              <w:bottom w:val="nil"/>
              <w:right w:val="nil"/>
            </w:tcBorders>
            <w:shd w:val="clear" w:color="auto" w:fill="auto"/>
            <w:noWrap/>
            <w:vAlign w:val="center"/>
            <w:hideMark/>
          </w:tcPr>
          <w:p w14:paraId="1657E4D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13.397</w:t>
            </w:r>
          </w:p>
        </w:tc>
        <w:tc>
          <w:tcPr>
            <w:tcW w:w="668" w:type="dxa"/>
            <w:tcBorders>
              <w:top w:val="nil"/>
              <w:left w:val="nil"/>
              <w:bottom w:val="nil"/>
              <w:right w:val="nil"/>
            </w:tcBorders>
            <w:shd w:val="clear" w:color="auto" w:fill="auto"/>
            <w:noWrap/>
            <w:vAlign w:val="center"/>
            <w:hideMark/>
          </w:tcPr>
          <w:p w14:paraId="44F1B57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28,5</w:t>
            </w:r>
          </w:p>
        </w:tc>
      </w:tr>
      <w:tr w:rsidR="00F56AB8" w:rsidRPr="0026351E" w14:paraId="687F6AD7" w14:textId="77777777" w:rsidTr="00A43D99">
        <w:trPr>
          <w:trHeight w:val="206"/>
        </w:trPr>
        <w:tc>
          <w:tcPr>
            <w:tcW w:w="2312" w:type="dxa"/>
            <w:tcBorders>
              <w:top w:val="nil"/>
              <w:left w:val="nil"/>
              <w:bottom w:val="nil"/>
              <w:right w:val="nil"/>
            </w:tcBorders>
            <w:shd w:val="clear" w:color="auto" w:fill="auto"/>
            <w:noWrap/>
            <w:vAlign w:val="bottom"/>
            <w:hideMark/>
          </w:tcPr>
          <w:p w14:paraId="780BBE39"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Conta própria</w:t>
            </w:r>
          </w:p>
        </w:tc>
        <w:tc>
          <w:tcPr>
            <w:tcW w:w="1034" w:type="dxa"/>
            <w:tcBorders>
              <w:top w:val="nil"/>
              <w:left w:val="nil"/>
              <w:bottom w:val="nil"/>
              <w:right w:val="nil"/>
            </w:tcBorders>
            <w:shd w:val="clear" w:color="auto" w:fill="auto"/>
            <w:noWrap/>
            <w:vAlign w:val="center"/>
            <w:hideMark/>
          </w:tcPr>
          <w:p w14:paraId="758D914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15.266</w:t>
            </w:r>
          </w:p>
        </w:tc>
        <w:tc>
          <w:tcPr>
            <w:tcW w:w="662" w:type="dxa"/>
            <w:tcBorders>
              <w:top w:val="nil"/>
              <w:left w:val="nil"/>
              <w:bottom w:val="nil"/>
              <w:right w:val="nil"/>
            </w:tcBorders>
            <w:shd w:val="clear" w:color="auto" w:fill="auto"/>
            <w:noWrap/>
            <w:vAlign w:val="center"/>
            <w:hideMark/>
          </w:tcPr>
          <w:p w14:paraId="530B6BA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21,9</w:t>
            </w:r>
          </w:p>
        </w:tc>
        <w:tc>
          <w:tcPr>
            <w:tcW w:w="1034" w:type="dxa"/>
            <w:tcBorders>
              <w:top w:val="nil"/>
              <w:left w:val="nil"/>
              <w:bottom w:val="nil"/>
              <w:right w:val="nil"/>
            </w:tcBorders>
            <w:shd w:val="clear" w:color="auto" w:fill="auto"/>
            <w:noWrap/>
            <w:vAlign w:val="center"/>
            <w:hideMark/>
          </w:tcPr>
          <w:p w14:paraId="782E6A5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1.043</w:t>
            </w:r>
          </w:p>
        </w:tc>
        <w:tc>
          <w:tcPr>
            <w:tcW w:w="662" w:type="dxa"/>
            <w:tcBorders>
              <w:top w:val="nil"/>
              <w:left w:val="nil"/>
              <w:bottom w:val="nil"/>
              <w:right w:val="nil"/>
            </w:tcBorders>
            <w:shd w:val="clear" w:color="auto" w:fill="auto"/>
            <w:noWrap/>
            <w:vAlign w:val="center"/>
            <w:hideMark/>
          </w:tcPr>
          <w:p w14:paraId="27B2890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15,2</w:t>
            </w:r>
          </w:p>
        </w:tc>
        <w:tc>
          <w:tcPr>
            <w:tcW w:w="1034" w:type="dxa"/>
            <w:tcBorders>
              <w:top w:val="nil"/>
              <w:left w:val="nil"/>
              <w:bottom w:val="nil"/>
              <w:right w:val="nil"/>
            </w:tcBorders>
            <w:shd w:val="clear" w:color="auto" w:fill="auto"/>
            <w:noWrap/>
            <w:vAlign w:val="center"/>
            <w:hideMark/>
          </w:tcPr>
          <w:p w14:paraId="073FFAC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5.043</w:t>
            </w:r>
          </w:p>
        </w:tc>
        <w:tc>
          <w:tcPr>
            <w:tcW w:w="662" w:type="dxa"/>
            <w:tcBorders>
              <w:top w:val="nil"/>
              <w:left w:val="nil"/>
              <w:bottom w:val="nil"/>
              <w:right w:val="nil"/>
            </w:tcBorders>
            <w:shd w:val="clear" w:color="auto" w:fill="auto"/>
            <w:noWrap/>
            <w:vAlign w:val="center"/>
            <w:hideMark/>
          </w:tcPr>
          <w:p w14:paraId="3C85973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19,9</w:t>
            </w:r>
          </w:p>
        </w:tc>
        <w:tc>
          <w:tcPr>
            <w:tcW w:w="1034" w:type="dxa"/>
            <w:tcBorders>
              <w:top w:val="nil"/>
              <w:left w:val="nil"/>
              <w:bottom w:val="nil"/>
              <w:right w:val="nil"/>
            </w:tcBorders>
            <w:shd w:val="clear" w:color="auto" w:fill="auto"/>
            <w:noWrap/>
            <w:vAlign w:val="center"/>
            <w:hideMark/>
          </w:tcPr>
          <w:p w14:paraId="6C05EAE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13.343</w:t>
            </w:r>
          </w:p>
        </w:tc>
        <w:tc>
          <w:tcPr>
            <w:tcW w:w="668" w:type="dxa"/>
            <w:tcBorders>
              <w:top w:val="nil"/>
              <w:left w:val="nil"/>
              <w:bottom w:val="nil"/>
              <w:right w:val="nil"/>
            </w:tcBorders>
            <w:shd w:val="clear" w:color="auto" w:fill="auto"/>
            <w:noWrap/>
            <w:vAlign w:val="center"/>
            <w:hideMark/>
          </w:tcPr>
          <w:p w14:paraId="3A123B7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28,4</w:t>
            </w:r>
          </w:p>
        </w:tc>
      </w:tr>
      <w:tr w:rsidR="00F56AB8" w:rsidRPr="0026351E" w14:paraId="11B2BC74" w14:textId="77777777" w:rsidTr="00A43D99">
        <w:trPr>
          <w:trHeight w:val="206"/>
        </w:trPr>
        <w:tc>
          <w:tcPr>
            <w:tcW w:w="2312" w:type="dxa"/>
            <w:tcBorders>
              <w:top w:val="nil"/>
              <w:left w:val="nil"/>
              <w:bottom w:val="nil"/>
              <w:right w:val="nil"/>
            </w:tcBorders>
            <w:shd w:val="clear" w:color="auto" w:fill="auto"/>
            <w:noWrap/>
            <w:vAlign w:val="bottom"/>
            <w:hideMark/>
          </w:tcPr>
          <w:p w14:paraId="7B329F8E"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Empregadores</w:t>
            </w:r>
          </w:p>
        </w:tc>
        <w:tc>
          <w:tcPr>
            <w:tcW w:w="1034" w:type="dxa"/>
            <w:tcBorders>
              <w:top w:val="nil"/>
              <w:left w:val="nil"/>
              <w:bottom w:val="nil"/>
              <w:right w:val="nil"/>
            </w:tcBorders>
            <w:shd w:val="clear" w:color="auto" w:fill="auto"/>
            <w:noWrap/>
            <w:vAlign w:val="center"/>
            <w:hideMark/>
          </w:tcPr>
          <w:p w14:paraId="6020088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56</w:t>
            </w:r>
          </w:p>
        </w:tc>
        <w:tc>
          <w:tcPr>
            <w:tcW w:w="662" w:type="dxa"/>
            <w:tcBorders>
              <w:top w:val="nil"/>
              <w:left w:val="nil"/>
              <w:bottom w:val="nil"/>
              <w:right w:val="nil"/>
            </w:tcBorders>
            <w:shd w:val="clear" w:color="auto" w:fill="auto"/>
            <w:noWrap/>
            <w:vAlign w:val="center"/>
            <w:hideMark/>
          </w:tcPr>
          <w:p w14:paraId="47F47D0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0,1</w:t>
            </w:r>
          </w:p>
        </w:tc>
        <w:tc>
          <w:tcPr>
            <w:tcW w:w="1034" w:type="dxa"/>
            <w:tcBorders>
              <w:top w:val="nil"/>
              <w:left w:val="nil"/>
              <w:bottom w:val="nil"/>
              <w:right w:val="nil"/>
            </w:tcBorders>
            <w:shd w:val="clear" w:color="auto" w:fill="auto"/>
            <w:noWrap/>
            <w:vAlign w:val="center"/>
            <w:hideMark/>
          </w:tcPr>
          <w:p w14:paraId="096C9EA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19</w:t>
            </w:r>
          </w:p>
        </w:tc>
        <w:tc>
          <w:tcPr>
            <w:tcW w:w="662" w:type="dxa"/>
            <w:tcBorders>
              <w:top w:val="nil"/>
              <w:left w:val="nil"/>
              <w:bottom w:val="nil"/>
              <w:right w:val="nil"/>
            </w:tcBorders>
            <w:shd w:val="clear" w:color="auto" w:fill="auto"/>
            <w:noWrap/>
            <w:vAlign w:val="center"/>
            <w:hideMark/>
          </w:tcPr>
          <w:p w14:paraId="270E455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0,3</w:t>
            </w:r>
          </w:p>
        </w:tc>
        <w:tc>
          <w:tcPr>
            <w:tcW w:w="1034" w:type="dxa"/>
            <w:tcBorders>
              <w:top w:val="nil"/>
              <w:left w:val="nil"/>
              <w:bottom w:val="nil"/>
              <w:right w:val="nil"/>
            </w:tcBorders>
            <w:shd w:val="clear" w:color="auto" w:fill="auto"/>
            <w:noWrap/>
            <w:vAlign w:val="center"/>
            <w:hideMark/>
          </w:tcPr>
          <w:p w14:paraId="698776B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w:t>
            </w:r>
          </w:p>
        </w:tc>
        <w:tc>
          <w:tcPr>
            <w:tcW w:w="662" w:type="dxa"/>
            <w:tcBorders>
              <w:top w:val="nil"/>
              <w:left w:val="nil"/>
              <w:bottom w:val="nil"/>
              <w:right w:val="nil"/>
            </w:tcBorders>
            <w:shd w:val="clear" w:color="auto" w:fill="auto"/>
            <w:noWrap/>
            <w:vAlign w:val="center"/>
            <w:hideMark/>
          </w:tcPr>
          <w:p w14:paraId="0CE34A3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0,1</w:t>
            </w:r>
          </w:p>
        </w:tc>
        <w:tc>
          <w:tcPr>
            <w:tcW w:w="1034" w:type="dxa"/>
            <w:tcBorders>
              <w:top w:val="nil"/>
              <w:left w:val="nil"/>
              <w:bottom w:val="nil"/>
              <w:right w:val="nil"/>
            </w:tcBorders>
            <w:shd w:val="clear" w:color="auto" w:fill="auto"/>
            <w:noWrap/>
            <w:vAlign w:val="center"/>
            <w:hideMark/>
          </w:tcPr>
          <w:p w14:paraId="06A1F44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139</w:t>
            </w:r>
          </w:p>
        </w:tc>
        <w:tc>
          <w:tcPr>
            <w:tcW w:w="668" w:type="dxa"/>
            <w:tcBorders>
              <w:top w:val="nil"/>
              <w:left w:val="nil"/>
              <w:bottom w:val="nil"/>
              <w:right w:val="nil"/>
            </w:tcBorders>
            <w:shd w:val="clear" w:color="auto" w:fill="auto"/>
            <w:noWrap/>
            <w:vAlign w:val="center"/>
            <w:hideMark/>
          </w:tcPr>
          <w:p w14:paraId="0E23E27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0,3</w:t>
            </w:r>
          </w:p>
        </w:tc>
      </w:tr>
      <w:tr w:rsidR="00F56AB8" w:rsidRPr="0026351E" w14:paraId="187C4193" w14:textId="77777777" w:rsidTr="00A43D99">
        <w:trPr>
          <w:trHeight w:val="206"/>
        </w:trPr>
        <w:tc>
          <w:tcPr>
            <w:tcW w:w="2312" w:type="dxa"/>
            <w:tcBorders>
              <w:top w:val="nil"/>
              <w:left w:val="nil"/>
              <w:bottom w:val="nil"/>
              <w:right w:val="nil"/>
            </w:tcBorders>
            <w:shd w:val="clear" w:color="auto" w:fill="auto"/>
            <w:noWrap/>
            <w:vAlign w:val="bottom"/>
            <w:hideMark/>
          </w:tcPr>
          <w:p w14:paraId="10F478D9"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Não remunerados</w:t>
            </w:r>
          </w:p>
        </w:tc>
        <w:tc>
          <w:tcPr>
            <w:tcW w:w="1034" w:type="dxa"/>
            <w:tcBorders>
              <w:top w:val="nil"/>
              <w:left w:val="nil"/>
              <w:bottom w:val="nil"/>
              <w:right w:val="nil"/>
            </w:tcBorders>
            <w:shd w:val="clear" w:color="auto" w:fill="auto"/>
            <w:noWrap/>
            <w:vAlign w:val="center"/>
            <w:hideMark/>
          </w:tcPr>
          <w:p w14:paraId="0DCCD3F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3.055</w:t>
            </w:r>
          </w:p>
        </w:tc>
        <w:tc>
          <w:tcPr>
            <w:tcW w:w="662" w:type="dxa"/>
            <w:tcBorders>
              <w:top w:val="nil"/>
              <w:left w:val="nil"/>
              <w:bottom w:val="nil"/>
              <w:right w:val="nil"/>
            </w:tcBorders>
            <w:shd w:val="clear" w:color="auto" w:fill="auto"/>
            <w:noWrap/>
            <w:vAlign w:val="center"/>
            <w:hideMark/>
          </w:tcPr>
          <w:p w14:paraId="05ED120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4,4</w:t>
            </w:r>
          </w:p>
        </w:tc>
        <w:tc>
          <w:tcPr>
            <w:tcW w:w="1034" w:type="dxa"/>
            <w:tcBorders>
              <w:top w:val="nil"/>
              <w:left w:val="nil"/>
              <w:bottom w:val="nil"/>
              <w:right w:val="nil"/>
            </w:tcBorders>
            <w:shd w:val="clear" w:color="auto" w:fill="auto"/>
            <w:noWrap/>
            <w:vAlign w:val="center"/>
            <w:hideMark/>
          </w:tcPr>
          <w:p w14:paraId="72D9B28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273</w:t>
            </w:r>
          </w:p>
        </w:tc>
        <w:tc>
          <w:tcPr>
            <w:tcW w:w="662" w:type="dxa"/>
            <w:tcBorders>
              <w:top w:val="nil"/>
              <w:left w:val="nil"/>
              <w:bottom w:val="nil"/>
              <w:right w:val="nil"/>
            </w:tcBorders>
            <w:shd w:val="clear" w:color="auto" w:fill="auto"/>
            <w:noWrap/>
            <w:vAlign w:val="center"/>
            <w:hideMark/>
          </w:tcPr>
          <w:p w14:paraId="24A35F1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4,0</w:t>
            </w:r>
          </w:p>
        </w:tc>
        <w:tc>
          <w:tcPr>
            <w:tcW w:w="1034" w:type="dxa"/>
            <w:tcBorders>
              <w:top w:val="nil"/>
              <w:left w:val="nil"/>
              <w:bottom w:val="nil"/>
              <w:right w:val="nil"/>
            </w:tcBorders>
            <w:shd w:val="clear" w:color="auto" w:fill="auto"/>
            <w:noWrap/>
            <w:vAlign w:val="center"/>
            <w:hideMark/>
          </w:tcPr>
          <w:p w14:paraId="2A83615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1.475</w:t>
            </w:r>
          </w:p>
        </w:tc>
        <w:tc>
          <w:tcPr>
            <w:tcW w:w="662" w:type="dxa"/>
            <w:tcBorders>
              <w:top w:val="nil"/>
              <w:left w:val="nil"/>
              <w:bottom w:val="nil"/>
              <w:right w:val="nil"/>
            </w:tcBorders>
            <w:shd w:val="clear" w:color="auto" w:fill="auto"/>
            <w:noWrap/>
            <w:vAlign w:val="center"/>
            <w:hideMark/>
          </w:tcPr>
          <w:p w14:paraId="0D3A806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5,8</w:t>
            </w:r>
          </w:p>
        </w:tc>
        <w:tc>
          <w:tcPr>
            <w:tcW w:w="1034" w:type="dxa"/>
            <w:tcBorders>
              <w:top w:val="nil"/>
              <w:left w:val="nil"/>
              <w:bottom w:val="nil"/>
              <w:right w:val="nil"/>
            </w:tcBorders>
            <w:shd w:val="clear" w:color="auto" w:fill="auto"/>
            <w:noWrap/>
            <w:vAlign w:val="center"/>
            <w:hideMark/>
          </w:tcPr>
          <w:p w14:paraId="185DC16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2.552</w:t>
            </w:r>
          </w:p>
        </w:tc>
        <w:tc>
          <w:tcPr>
            <w:tcW w:w="668" w:type="dxa"/>
            <w:tcBorders>
              <w:top w:val="nil"/>
              <w:left w:val="nil"/>
              <w:bottom w:val="nil"/>
              <w:right w:val="nil"/>
            </w:tcBorders>
            <w:shd w:val="clear" w:color="auto" w:fill="auto"/>
            <w:noWrap/>
            <w:vAlign w:val="center"/>
            <w:hideMark/>
          </w:tcPr>
          <w:p w14:paraId="5FD20E5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5,4</w:t>
            </w:r>
          </w:p>
        </w:tc>
      </w:tr>
      <w:tr w:rsidR="00F56AB8" w:rsidRPr="0026351E" w14:paraId="2DD61FF7" w14:textId="77777777" w:rsidTr="00A43D99">
        <w:trPr>
          <w:trHeight w:val="206"/>
        </w:trPr>
        <w:tc>
          <w:tcPr>
            <w:tcW w:w="2312" w:type="dxa"/>
            <w:tcBorders>
              <w:top w:val="nil"/>
              <w:left w:val="nil"/>
              <w:bottom w:val="nil"/>
              <w:right w:val="nil"/>
            </w:tcBorders>
            <w:shd w:val="clear" w:color="auto" w:fill="auto"/>
            <w:noWrap/>
            <w:vAlign w:val="bottom"/>
            <w:hideMark/>
          </w:tcPr>
          <w:p w14:paraId="71EC5973"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Trabalhadores na produção para o próprio consumo</w:t>
            </w:r>
          </w:p>
        </w:tc>
        <w:tc>
          <w:tcPr>
            <w:tcW w:w="1034" w:type="dxa"/>
            <w:tcBorders>
              <w:top w:val="nil"/>
              <w:left w:val="nil"/>
              <w:bottom w:val="nil"/>
              <w:right w:val="nil"/>
            </w:tcBorders>
            <w:shd w:val="clear" w:color="auto" w:fill="auto"/>
            <w:noWrap/>
            <w:vAlign w:val="center"/>
            <w:hideMark/>
          </w:tcPr>
          <w:p w14:paraId="133081B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26.015</w:t>
            </w:r>
          </w:p>
        </w:tc>
        <w:tc>
          <w:tcPr>
            <w:tcW w:w="662" w:type="dxa"/>
            <w:tcBorders>
              <w:top w:val="nil"/>
              <w:left w:val="nil"/>
              <w:bottom w:val="nil"/>
              <w:right w:val="nil"/>
            </w:tcBorders>
            <w:shd w:val="clear" w:color="auto" w:fill="auto"/>
            <w:noWrap/>
            <w:vAlign w:val="center"/>
            <w:hideMark/>
          </w:tcPr>
          <w:p w14:paraId="46EC595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37,3</w:t>
            </w:r>
          </w:p>
        </w:tc>
        <w:tc>
          <w:tcPr>
            <w:tcW w:w="1034" w:type="dxa"/>
            <w:tcBorders>
              <w:top w:val="nil"/>
              <w:left w:val="nil"/>
              <w:bottom w:val="nil"/>
              <w:right w:val="nil"/>
            </w:tcBorders>
            <w:shd w:val="clear" w:color="auto" w:fill="auto"/>
            <w:noWrap/>
            <w:vAlign w:val="center"/>
            <w:hideMark/>
          </w:tcPr>
          <w:p w14:paraId="742B2F1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3.245</w:t>
            </w:r>
          </w:p>
        </w:tc>
        <w:tc>
          <w:tcPr>
            <w:tcW w:w="662" w:type="dxa"/>
            <w:tcBorders>
              <w:top w:val="nil"/>
              <w:left w:val="nil"/>
              <w:bottom w:val="nil"/>
              <w:right w:val="nil"/>
            </w:tcBorders>
            <w:shd w:val="clear" w:color="auto" w:fill="auto"/>
            <w:noWrap/>
            <w:vAlign w:val="center"/>
            <w:hideMark/>
          </w:tcPr>
          <w:p w14:paraId="37BBA90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47,3</w:t>
            </w:r>
          </w:p>
        </w:tc>
        <w:tc>
          <w:tcPr>
            <w:tcW w:w="1034" w:type="dxa"/>
            <w:tcBorders>
              <w:top w:val="nil"/>
              <w:left w:val="nil"/>
              <w:bottom w:val="nil"/>
              <w:right w:val="nil"/>
            </w:tcBorders>
            <w:shd w:val="clear" w:color="auto" w:fill="auto"/>
            <w:noWrap/>
            <w:vAlign w:val="center"/>
            <w:hideMark/>
          </w:tcPr>
          <w:p w14:paraId="3550599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10.745</w:t>
            </w:r>
          </w:p>
        </w:tc>
        <w:tc>
          <w:tcPr>
            <w:tcW w:w="662" w:type="dxa"/>
            <w:tcBorders>
              <w:top w:val="nil"/>
              <w:left w:val="nil"/>
              <w:bottom w:val="nil"/>
              <w:right w:val="nil"/>
            </w:tcBorders>
            <w:shd w:val="clear" w:color="auto" w:fill="auto"/>
            <w:noWrap/>
            <w:vAlign w:val="center"/>
            <w:hideMark/>
          </w:tcPr>
          <w:p w14:paraId="668AE7B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42,3</w:t>
            </w:r>
          </w:p>
        </w:tc>
        <w:tc>
          <w:tcPr>
            <w:tcW w:w="1034" w:type="dxa"/>
            <w:tcBorders>
              <w:top w:val="nil"/>
              <w:left w:val="nil"/>
              <w:bottom w:val="nil"/>
              <w:right w:val="nil"/>
            </w:tcBorders>
            <w:shd w:val="clear" w:color="auto" w:fill="auto"/>
            <w:noWrap/>
            <w:vAlign w:val="center"/>
            <w:hideMark/>
          </w:tcPr>
          <w:p w14:paraId="79E7AE0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12.527</w:t>
            </w:r>
          </w:p>
        </w:tc>
        <w:tc>
          <w:tcPr>
            <w:tcW w:w="668" w:type="dxa"/>
            <w:tcBorders>
              <w:top w:val="nil"/>
              <w:left w:val="nil"/>
              <w:bottom w:val="nil"/>
              <w:right w:val="nil"/>
            </w:tcBorders>
            <w:shd w:val="clear" w:color="auto" w:fill="auto"/>
            <w:noWrap/>
            <w:vAlign w:val="center"/>
            <w:hideMark/>
          </w:tcPr>
          <w:p w14:paraId="480CCB0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26,7</w:t>
            </w:r>
          </w:p>
        </w:tc>
      </w:tr>
      <w:tr w:rsidR="00F56AB8" w:rsidRPr="0026351E" w14:paraId="3994F415" w14:textId="77777777" w:rsidTr="00A43D99">
        <w:trPr>
          <w:trHeight w:val="206"/>
        </w:trPr>
        <w:tc>
          <w:tcPr>
            <w:tcW w:w="2312" w:type="dxa"/>
            <w:tcBorders>
              <w:top w:val="nil"/>
              <w:left w:val="nil"/>
              <w:bottom w:val="single" w:sz="4" w:space="0" w:color="auto"/>
              <w:right w:val="nil"/>
            </w:tcBorders>
            <w:shd w:val="clear" w:color="auto" w:fill="auto"/>
            <w:noWrap/>
            <w:vAlign w:val="bottom"/>
            <w:hideMark/>
          </w:tcPr>
          <w:p w14:paraId="0A951EB3"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1034" w:type="dxa"/>
            <w:tcBorders>
              <w:top w:val="nil"/>
              <w:left w:val="nil"/>
              <w:bottom w:val="single" w:sz="4" w:space="0" w:color="auto"/>
              <w:right w:val="nil"/>
            </w:tcBorders>
            <w:shd w:val="clear" w:color="auto" w:fill="auto"/>
            <w:noWrap/>
            <w:vAlign w:val="center"/>
            <w:hideMark/>
          </w:tcPr>
          <w:p w14:paraId="15C775F2"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69.797</w:t>
            </w:r>
          </w:p>
        </w:tc>
        <w:tc>
          <w:tcPr>
            <w:tcW w:w="662" w:type="dxa"/>
            <w:tcBorders>
              <w:top w:val="nil"/>
              <w:left w:val="nil"/>
              <w:bottom w:val="single" w:sz="4" w:space="0" w:color="auto"/>
              <w:right w:val="nil"/>
            </w:tcBorders>
            <w:shd w:val="clear" w:color="auto" w:fill="auto"/>
            <w:noWrap/>
            <w:vAlign w:val="center"/>
            <w:hideMark/>
          </w:tcPr>
          <w:p w14:paraId="2004923E"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6A6B1961"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6.863</w:t>
            </w:r>
          </w:p>
        </w:tc>
        <w:tc>
          <w:tcPr>
            <w:tcW w:w="662" w:type="dxa"/>
            <w:tcBorders>
              <w:top w:val="nil"/>
              <w:left w:val="nil"/>
              <w:bottom w:val="single" w:sz="4" w:space="0" w:color="auto"/>
              <w:right w:val="nil"/>
            </w:tcBorders>
            <w:shd w:val="clear" w:color="auto" w:fill="auto"/>
            <w:noWrap/>
            <w:vAlign w:val="center"/>
            <w:hideMark/>
          </w:tcPr>
          <w:p w14:paraId="29B99BAC"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5095CB82"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25.386</w:t>
            </w:r>
          </w:p>
        </w:tc>
        <w:tc>
          <w:tcPr>
            <w:tcW w:w="662" w:type="dxa"/>
            <w:tcBorders>
              <w:top w:val="nil"/>
              <w:left w:val="nil"/>
              <w:bottom w:val="single" w:sz="4" w:space="0" w:color="auto"/>
              <w:right w:val="nil"/>
            </w:tcBorders>
            <w:shd w:val="clear" w:color="auto" w:fill="auto"/>
            <w:noWrap/>
            <w:vAlign w:val="center"/>
            <w:hideMark/>
          </w:tcPr>
          <w:p w14:paraId="1DAD12A5"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13B1044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46.964</w:t>
            </w:r>
          </w:p>
        </w:tc>
        <w:tc>
          <w:tcPr>
            <w:tcW w:w="668" w:type="dxa"/>
            <w:tcBorders>
              <w:top w:val="nil"/>
              <w:left w:val="nil"/>
              <w:bottom w:val="single" w:sz="4" w:space="0" w:color="auto"/>
              <w:right w:val="nil"/>
            </w:tcBorders>
            <w:shd w:val="clear" w:color="auto" w:fill="auto"/>
            <w:noWrap/>
            <w:vAlign w:val="center"/>
            <w:hideMark/>
          </w:tcPr>
          <w:p w14:paraId="08FEFF4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064B0D86" w14:textId="77777777" w:rsidTr="00A43D99">
        <w:trPr>
          <w:trHeight w:val="206"/>
        </w:trPr>
        <w:tc>
          <w:tcPr>
            <w:tcW w:w="9108" w:type="dxa"/>
            <w:gridSpan w:val="9"/>
            <w:tcBorders>
              <w:top w:val="nil"/>
              <w:left w:val="nil"/>
              <w:bottom w:val="nil"/>
              <w:right w:val="nil"/>
            </w:tcBorders>
            <w:shd w:val="clear" w:color="auto" w:fill="auto"/>
            <w:noWrap/>
            <w:vAlign w:val="center"/>
            <w:hideMark/>
          </w:tcPr>
          <w:p w14:paraId="22648B91"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i/>
                <w:iCs/>
                <w:sz w:val="18"/>
                <w:szCs w:val="18"/>
                <w:lang w:eastAsia="pt-BR"/>
              </w:rPr>
              <w:t>Rendimento Familiar em Salários Mínimos (SM)</w:t>
            </w:r>
          </w:p>
        </w:tc>
      </w:tr>
      <w:tr w:rsidR="00F56AB8" w:rsidRPr="0026351E" w14:paraId="77DC862A" w14:textId="77777777" w:rsidTr="00A43D99">
        <w:trPr>
          <w:trHeight w:val="206"/>
        </w:trPr>
        <w:tc>
          <w:tcPr>
            <w:tcW w:w="2312" w:type="dxa"/>
            <w:tcBorders>
              <w:top w:val="nil"/>
              <w:left w:val="nil"/>
              <w:bottom w:val="nil"/>
              <w:right w:val="nil"/>
            </w:tcBorders>
            <w:shd w:val="clear" w:color="auto" w:fill="auto"/>
            <w:noWrap/>
            <w:vAlign w:val="bottom"/>
            <w:hideMark/>
          </w:tcPr>
          <w:p w14:paraId="08528AF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Até meio SM</w:t>
            </w:r>
          </w:p>
        </w:tc>
        <w:tc>
          <w:tcPr>
            <w:tcW w:w="1034" w:type="dxa"/>
            <w:tcBorders>
              <w:top w:val="nil"/>
              <w:left w:val="nil"/>
              <w:bottom w:val="nil"/>
              <w:right w:val="nil"/>
            </w:tcBorders>
            <w:shd w:val="clear" w:color="auto" w:fill="auto"/>
            <w:noWrap/>
            <w:vAlign w:val="center"/>
            <w:hideMark/>
          </w:tcPr>
          <w:p w14:paraId="61AA3C4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97.954</w:t>
            </w:r>
          </w:p>
        </w:tc>
        <w:tc>
          <w:tcPr>
            <w:tcW w:w="662" w:type="dxa"/>
            <w:tcBorders>
              <w:top w:val="nil"/>
              <w:left w:val="nil"/>
              <w:bottom w:val="nil"/>
              <w:right w:val="nil"/>
            </w:tcBorders>
            <w:shd w:val="clear" w:color="auto" w:fill="auto"/>
            <w:noWrap/>
            <w:vAlign w:val="center"/>
            <w:hideMark/>
          </w:tcPr>
          <w:p w14:paraId="5AD6ACF5"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77,3</w:t>
            </w:r>
          </w:p>
        </w:tc>
        <w:tc>
          <w:tcPr>
            <w:tcW w:w="1034" w:type="dxa"/>
            <w:tcBorders>
              <w:top w:val="nil"/>
              <w:left w:val="nil"/>
              <w:bottom w:val="nil"/>
              <w:right w:val="nil"/>
            </w:tcBorders>
            <w:shd w:val="clear" w:color="auto" w:fill="auto"/>
            <w:noWrap/>
            <w:vAlign w:val="center"/>
            <w:hideMark/>
          </w:tcPr>
          <w:p w14:paraId="78B60BF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10.740</w:t>
            </w:r>
          </w:p>
        </w:tc>
        <w:tc>
          <w:tcPr>
            <w:tcW w:w="662" w:type="dxa"/>
            <w:tcBorders>
              <w:top w:val="nil"/>
              <w:left w:val="nil"/>
              <w:bottom w:val="nil"/>
              <w:right w:val="nil"/>
            </w:tcBorders>
            <w:shd w:val="clear" w:color="auto" w:fill="auto"/>
            <w:noWrap/>
            <w:vAlign w:val="center"/>
            <w:hideMark/>
          </w:tcPr>
          <w:p w14:paraId="7AF50DB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77,5</w:t>
            </w:r>
          </w:p>
        </w:tc>
        <w:tc>
          <w:tcPr>
            <w:tcW w:w="1034" w:type="dxa"/>
            <w:tcBorders>
              <w:top w:val="nil"/>
              <w:left w:val="nil"/>
              <w:bottom w:val="nil"/>
              <w:right w:val="nil"/>
            </w:tcBorders>
            <w:shd w:val="clear" w:color="auto" w:fill="auto"/>
            <w:noWrap/>
            <w:vAlign w:val="center"/>
            <w:hideMark/>
          </w:tcPr>
          <w:p w14:paraId="261B23E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33.969</w:t>
            </w:r>
          </w:p>
        </w:tc>
        <w:tc>
          <w:tcPr>
            <w:tcW w:w="662" w:type="dxa"/>
            <w:tcBorders>
              <w:top w:val="nil"/>
              <w:left w:val="nil"/>
              <w:bottom w:val="nil"/>
              <w:right w:val="nil"/>
            </w:tcBorders>
            <w:shd w:val="clear" w:color="auto" w:fill="auto"/>
            <w:noWrap/>
            <w:vAlign w:val="center"/>
            <w:hideMark/>
          </w:tcPr>
          <w:p w14:paraId="7A3E393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76,6</w:t>
            </w:r>
          </w:p>
        </w:tc>
        <w:tc>
          <w:tcPr>
            <w:tcW w:w="1034" w:type="dxa"/>
            <w:tcBorders>
              <w:top w:val="nil"/>
              <w:left w:val="nil"/>
              <w:bottom w:val="nil"/>
              <w:right w:val="nil"/>
            </w:tcBorders>
            <w:shd w:val="clear" w:color="auto" w:fill="auto"/>
            <w:noWrap/>
            <w:vAlign w:val="center"/>
            <w:hideMark/>
          </w:tcPr>
          <w:p w14:paraId="40254E4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62.511</w:t>
            </w:r>
          </w:p>
        </w:tc>
        <w:tc>
          <w:tcPr>
            <w:tcW w:w="668" w:type="dxa"/>
            <w:tcBorders>
              <w:top w:val="nil"/>
              <w:left w:val="nil"/>
              <w:bottom w:val="nil"/>
              <w:right w:val="nil"/>
            </w:tcBorders>
            <w:shd w:val="clear" w:color="auto" w:fill="auto"/>
            <w:noWrap/>
            <w:vAlign w:val="center"/>
            <w:hideMark/>
          </w:tcPr>
          <w:p w14:paraId="7238608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74,8</w:t>
            </w:r>
          </w:p>
        </w:tc>
      </w:tr>
      <w:tr w:rsidR="00F56AB8" w:rsidRPr="0026351E" w14:paraId="0D7FC723" w14:textId="77777777" w:rsidTr="00A43D99">
        <w:trPr>
          <w:trHeight w:val="206"/>
        </w:trPr>
        <w:tc>
          <w:tcPr>
            <w:tcW w:w="2312" w:type="dxa"/>
            <w:tcBorders>
              <w:top w:val="nil"/>
              <w:left w:val="nil"/>
              <w:bottom w:val="nil"/>
              <w:right w:val="nil"/>
            </w:tcBorders>
            <w:shd w:val="clear" w:color="auto" w:fill="auto"/>
            <w:noWrap/>
            <w:vAlign w:val="bottom"/>
            <w:hideMark/>
          </w:tcPr>
          <w:p w14:paraId="6213F929"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Mais de meio até 1 SM</w:t>
            </w:r>
          </w:p>
        </w:tc>
        <w:tc>
          <w:tcPr>
            <w:tcW w:w="1034" w:type="dxa"/>
            <w:tcBorders>
              <w:top w:val="nil"/>
              <w:left w:val="nil"/>
              <w:bottom w:val="nil"/>
              <w:right w:val="nil"/>
            </w:tcBorders>
            <w:shd w:val="clear" w:color="auto" w:fill="auto"/>
            <w:noWrap/>
            <w:vAlign w:val="center"/>
            <w:hideMark/>
          </w:tcPr>
          <w:p w14:paraId="334A762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23.767</w:t>
            </w:r>
          </w:p>
        </w:tc>
        <w:tc>
          <w:tcPr>
            <w:tcW w:w="662" w:type="dxa"/>
            <w:tcBorders>
              <w:top w:val="nil"/>
              <w:left w:val="nil"/>
              <w:bottom w:val="nil"/>
              <w:right w:val="nil"/>
            </w:tcBorders>
            <w:shd w:val="clear" w:color="auto" w:fill="auto"/>
            <w:noWrap/>
            <w:vAlign w:val="center"/>
            <w:hideMark/>
          </w:tcPr>
          <w:p w14:paraId="4AA2C0D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18,8</w:t>
            </w:r>
          </w:p>
        </w:tc>
        <w:tc>
          <w:tcPr>
            <w:tcW w:w="1034" w:type="dxa"/>
            <w:tcBorders>
              <w:top w:val="nil"/>
              <w:left w:val="nil"/>
              <w:bottom w:val="nil"/>
              <w:right w:val="nil"/>
            </w:tcBorders>
            <w:shd w:val="clear" w:color="auto" w:fill="auto"/>
            <w:noWrap/>
            <w:vAlign w:val="center"/>
            <w:hideMark/>
          </w:tcPr>
          <w:p w14:paraId="60CC73F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2.614</w:t>
            </w:r>
          </w:p>
        </w:tc>
        <w:tc>
          <w:tcPr>
            <w:tcW w:w="662" w:type="dxa"/>
            <w:tcBorders>
              <w:top w:val="nil"/>
              <w:left w:val="nil"/>
              <w:bottom w:val="nil"/>
              <w:right w:val="nil"/>
            </w:tcBorders>
            <w:shd w:val="clear" w:color="auto" w:fill="auto"/>
            <w:noWrap/>
            <w:vAlign w:val="center"/>
            <w:hideMark/>
          </w:tcPr>
          <w:p w14:paraId="1E8A64C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18,9</w:t>
            </w:r>
          </w:p>
        </w:tc>
        <w:tc>
          <w:tcPr>
            <w:tcW w:w="1034" w:type="dxa"/>
            <w:tcBorders>
              <w:top w:val="nil"/>
              <w:left w:val="nil"/>
              <w:bottom w:val="nil"/>
              <w:right w:val="nil"/>
            </w:tcBorders>
            <w:shd w:val="clear" w:color="auto" w:fill="auto"/>
            <w:noWrap/>
            <w:vAlign w:val="center"/>
            <w:hideMark/>
          </w:tcPr>
          <w:p w14:paraId="3E485AF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8.480</w:t>
            </w:r>
          </w:p>
        </w:tc>
        <w:tc>
          <w:tcPr>
            <w:tcW w:w="662" w:type="dxa"/>
            <w:tcBorders>
              <w:top w:val="nil"/>
              <w:left w:val="nil"/>
              <w:bottom w:val="nil"/>
              <w:right w:val="nil"/>
            </w:tcBorders>
            <w:shd w:val="clear" w:color="auto" w:fill="auto"/>
            <w:noWrap/>
            <w:vAlign w:val="center"/>
            <w:hideMark/>
          </w:tcPr>
          <w:p w14:paraId="78D7870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19,1</w:t>
            </w:r>
          </w:p>
        </w:tc>
        <w:tc>
          <w:tcPr>
            <w:tcW w:w="1034" w:type="dxa"/>
            <w:tcBorders>
              <w:top w:val="nil"/>
              <w:left w:val="nil"/>
              <w:bottom w:val="nil"/>
              <w:right w:val="nil"/>
            </w:tcBorders>
            <w:shd w:val="clear" w:color="auto" w:fill="auto"/>
            <w:noWrap/>
            <w:vAlign w:val="center"/>
            <w:hideMark/>
          </w:tcPr>
          <w:p w14:paraId="7F651A8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17.560</w:t>
            </w:r>
          </w:p>
        </w:tc>
        <w:tc>
          <w:tcPr>
            <w:tcW w:w="668" w:type="dxa"/>
            <w:tcBorders>
              <w:top w:val="nil"/>
              <w:left w:val="nil"/>
              <w:bottom w:val="nil"/>
              <w:right w:val="nil"/>
            </w:tcBorders>
            <w:shd w:val="clear" w:color="auto" w:fill="auto"/>
            <w:noWrap/>
            <w:vAlign w:val="center"/>
            <w:hideMark/>
          </w:tcPr>
          <w:p w14:paraId="64B84D7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21,0</w:t>
            </w:r>
          </w:p>
        </w:tc>
      </w:tr>
      <w:tr w:rsidR="00F56AB8" w:rsidRPr="0026351E" w14:paraId="50301813" w14:textId="77777777" w:rsidTr="00A43D99">
        <w:trPr>
          <w:trHeight w:val="206"/>
        </w:trPr>
        <w:tc>
          <w:tcPr>
            <w:tcW w:w="2312" w:type="dxa"/>
            <w:tcBorders>
              <w:top w:val="nil"/>
              <w:left w:val="nil"/>
              <w:bottom w:val="nil"/>
              <w:right w:val="nil"/>
            </w:tcBorders>
            <w:shd w:val="clear" w:color="auto" w:fill="auto"/>
            <w:noWrap/>
            <w:vAlign w:val="bottom"/>
            <w:hideMark/>
          </w:tcPr>
          <w:p w14:paraId="7A075072"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Mais de 1 até 2 SM</w:t>
            </w:r>
          </w:p>
        </w:tc>
        <w:tc>
          <w:tcPr>
            <w:tcW w:w="1034" w:type="dxa"/>
            <w:tcBorders>
              <w:top w:val="nil"/>
              <w:left w:val="nil"/>
              <w:bottom w:val="nil"/>
              <w:right w:val="nil"/>
            </w:tcBorders>
            <w:shd w:val="clear" w:color="auto" w:fill="auto"/>
            <w:noWrap/>
            <w:vAlign w:val="center"/>
            <w:hideMark/>
          </w:tcPr>
          <w:p w14:paraId="05A6113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4.461</w:t>
            </w:r>
          </w:p>
        </w:tc>
        <w:tc>
          <w:tcPr>
            <w:tcW w:w="662" w:type="dxa"/>
            <w:tcBorders>
              <w:top w:val="nil"/>
              <w:left w:val="nil"/>
              <w:bottom w:val="nil"/>
              <w:right w:val="nil"/>
            </w:tcBorders>
            <w:shd w:val="clear" w:color="auto" w:fill="auto"/>
            <w:noWrap/>
            <w:vAlign w:val="center"/>
            <w:hideMark/>
          </w:tcPr>
          <w:p w14:paraId="4EF0135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3,5</w:t>
            </w:r>
          </w:p>
        </w:tc>
        <w:tc>
          <w:tcPr>
            <w:tcW w:w="1034" w:type="dxa"/>
            <w:tcBorders>
              <w:top w:val="nil"/>
              <w:left w:val="nil"/>
              <w:bottom w:val="nil"/>
              <w:right w:val="nil"/>
            </w:tcBorders>
            <w:shd w:val="clear" w:color="auto" w:fill="auto"/>
            <w:noWrap/>
            <w:vAlign w:val="center"/>
            <w:hideMark/>
          </w:tcPr>
          <w:p w14:paraId="6B22198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442</w:t>
            </w:r>
          </w:p>
        </w:tc>
        <w:tc>
          <w:tcPr>
            <w:tcW w:w="662" w:type="dxa"/>
            <w:tcBorders>
              <w:top w:val="nil"/>
              <w:left w:val="nil"/>
              <w:bottom w:val="nil"/>
              <w:right w:val="nil"/>
            </w:tcBorders>
            <w:shd w:val="clear" w:color="auto" w:fill="auto"/>
            <w:noWrap/>
            <w:vAlign w:val="center"/>
            <w:hideMark/>
          </w:tcPr>
          <w:p w14:paraId="163A9A6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3,2</w:t>
            </w:r>
          </w:p>
        </w:tc>
        <w:tc>
          <w:tcPr>
            <w:tcW w:w="1034" w:type="dxa"/>
            <w:tcBorders>
              <w:top w:val="nil"/>
              <w:left w:val="nil"/>
              <w:bottom w:val="nil"/>
              <w:right w:val="nil"/>
            </w:tcBorders>
            <w:shd w:val="clear" w:color="auto" w:fill="auto"/>
            <w:noWrap/>
            <w:vAlign w:val="center"/>
            <w:hideMark/>
          </w:tcPr>
          <w:p w14:paraId="6143129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1.638</w:t>
            </w:r>
          </w:p>
        </w:tc>
        <w:tc>
          <w:tcPr>
            <w:tcW w:w="662" w:type="dxa"/>
            <w:tcBorders>
              <w:top w:val="nil"/>
              <w:left w:val="nil"/>
              <w:bottom w:val="nil"/>
              <w:right w:val="nil"/>
            </w:tcBorders>
            <w:shd w:val="clear" w:color="auto" w:fill="auto"/>
            <w:noWrap/>
            <w:vAlign w:val="center"/>
            <w:hideMark/>
          </w:tcPr>
          <w:p w14:paraId="652D70F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3,7</w:t>
            </w:r>
          </w:p>
        </w:tc>
        <w:tc>
          <w:tcPr>
            <w:tcW w:w="1034" w:type="dxa"/>
            <w:tcBorders>
              <w:top w:val="nil"/>
              <w:left w:val="nil"/>
              <w:bottom w:val="nil"/>
              <w:right w:val="nil"/>
            </w:tcBorders>
            <w:shd w:val="clear" w:color="auto" w:fill="auto"/>
            <w:noWrap/>
            <w:vAlign w:val="center"/>
            <w:hideMark/>
          </w:tcPr>
          <w:p w14:paraId="1B53977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2.950</w:t>
            </w:r>
          </w:p>
        </w:tc>
        <w:tc>
          <w:tcPr>
            <w:tcW w:w="668" w:type="dxa"/>
            <w:tcBorders>
              <w:top w:val="nil"/>
              <w:left w:val="nil"/>
              <w:bottom w:val="nil"/>
              <w:right w:val="nil"/>
            </w:tcBorders>
            <w:shd w:val="clear" w:color="auto" w:fill="auto"/>
            <w:noWrap/>
            <w:vAlign w:val="center"/>
            <w:hideMark/>
          </w:tcPr>
          <w:p w14:paraId="70E65AA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3,5</w:t>
            </w:r>
          </w:p>
        </w:tc>
      </w:tr>
      <w:tr w:rsidR="00F56AB8" w:rsidRPr="0026351E" w14:paraId="34EE7899" w14:textId="77777777" w:rsidTr="00A43D99">
        <w:trPr>
          <w:trHeight w:val="206"/>
        </w:trPr>
        <w:tc>
          <w:tcPr>
            <w:tcW w:w="2312" w:type="dxa"/>
            <w:tcBorders>
              <w:top w:val="nil"/>
              <w:left w:val="nil"/>
              <w:bottom w:val="nil"/>
              <w:right w:val="nil"/>
            </w:tcBorders>
            <w:shd w:val="clear" w:color="auto" w:fill="auto"/>
            <w:noWrap/>
            <w:vAlign w:val="bottom"/>
            <w:hideMark/>
          </w:tcPr>
          <w:p w14:paraId="60186A4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Mais de 2 até 3 SM</w:t>
            </w:r>
          </w:p>
        </w:tc>
        <w:tc>
          <w:tcPr>
            <w:tcW w:w="1034" w:type="dxa"/>
            <w:tcBorders>
              <w:top w:val="nil"/>
              <w:left w:val="nil"/>
              <w:bottom w:val="nil"/>
              <w:right w:val="nil"/>
            </w:tcBorders>
            <w:shd w:val="clear" w:color="auto" w:fill="auto"/>
            <w:noWrap/>
            <w:vAlign w:val="center"/>
            <w:hideMark/>
          </w:tcPr>
          <w:p w14:paraId="23B28D7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371</w:t>
            </w:r>
          </w:p>
        </w:tc>
        <w:tc>
          <w:tcPr>
            <w:tcW w:w="662" w:type="dxa"/>
            <w:tcBorders>
              <w:top w:val="nil"/>
              <w:left w:val="nil"/>
              <w:bottom w:val="nil"/>
              <w:right w:val="nil"/>
            </w:tcBorders>
            <w:shd w:val="clear" w:color="auto" w:fill="auto"/>
            <w:noWrap/>
            <w:vAlign w:val="center"/>
            <w:hideMark/>
          </w:tcPr>
          <w:p w14:paraId="13EA26B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0,3</w:t>
            </w:r>
          </w:p>
        </w:tc>
        <w:tc>
          <w:tcPr>
            <w:tcW w:w="1034" w:type="dxa"/>
            <w:tcBorders>
              <w:top w:val="nil"/>
              <w:left w:val="nil"/>
              <w:bottom w:val="nil"/>
              <w:right w:val="nil"/>
            </w:tcBorders>
            <w:shd w:val="clear" w:color="auto" w:fill="auto"/>
            <w:noWrap/>
            <w:vAlign w:val="center"/>
            <w:hideMark/>
          </w:tcPr>
          <w:p w14:paraId="18DBE01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50</w:t>
            </w:r>
          </w:p>
        </w:tc>
        <w:tc>
          <w:tcPr>
            <w:tcW w:w="662" w:type="dxa"/>
            <w:tcBorders>
              <w:top w:val="nil"/>
              <w:left w:val="nil"/>
              <w:bottom w:val="nil"/>
              <w:right w:val="nil"/>
            </w:tcBorders>
            <w:shd w:val="clear" w:color="auto" w:fill="auto"/>
            <w:noWrap/>
            <w:vAlign w:val="center"/>
            <w:hideMark/>
          </w:tcPr>
          <w:p w14:paraId="4630D99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0,4</w:t>
            </w:r>
          </w:p>
        </w:tc>
        <w:tc>
          <w:tcPr>
            <w:tcW w:w="1034" w:type="dxa"/>
            <w:tcBorders>
              <w:top w:val="nil"/>
              <w:left w:val="nil"/>
              <w:bottom w:val="nil"/>
              <w:right w:val="nil"/>
            </w:tcBorders>
            <w:shd w:val="clear" w:color="auto" w:fill="auto"/>
            <w:noWrap/>
            <w:vAlign w:val="center"/>
            <w:hideMark/>
          </w:tcPr>
          <w:p w14:paraId="5B18BD7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157</w:t>
            </w:r>
          </w:p>
        </w:tc>
        <w:tc>
          <w:tcPr>
            <w:tcW w:w="662" w:type="dxa"/>
            <w:tcBorders>
              <w:top w:val="nil"/>
              <w:left w:val="nil"/>
              <w:bottom w:val="nil"/>
              <w:right w:val="nil"/>
            </w:tcBorders>
            <w:shd w:val="clear" w:color="auto" w:fill="auto"/>
            <w:noWrap/>
            <w:vAlign w:val="center"/>
            <w:hideMark/>
          </w:tcPr>
          <w:p w14:paraId="5F2953D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0,4</w:t>
            </w:r>
          </w:p>
        </w:tc>
        <w:tc>
          <w:tcPr>
            <w:tcW w:w="1034" w:type="dxa"/>
            <w:tcBorders>
              <w:top w:val="nil"/>
              <w:left w:val="nil"/>
              <w:bottom w:val="nil"/>
              <w:right w:val="nil"/>
            </w:tcBorders>
            <w:shd w:val="clear" w:color="auto" w:fill="auto"/>
            <w:noWrap/>
            <w:vAlign w:val="center"/>
            <w:hideMark/>
          </w:tcPr>
          <w:p w14:paraId="4F83837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294</w:t>
            </w:r>
          </w:p>
        </w:tc>
        <w:tc>
          <w:tcPr>
            <w:tcW w:w="668" w:type="dxa"/>
            <w:tcBorders>
              <w:top w:val="nil"/>
              <w:left w:val="nil"/>
              <w:bottom w:val="nil"/>
              <w:right w:val="nil"/>
            </w:tcBorders>
            <w:shd w:val="clear" w:color="auto" w:fill="auto"/>
            <w:noWrap/>
            <w:vAlign w:val="center"/>
            <w:hideMark/>
          </w:tcPr>
          <w:p w14:paraId="0356D32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0,4</w:t>
            </w:r>
          </w:p>
        </w:tc>
      </w:tr>
      <w:tr w:rsidR="00F56AB8" w:rsidRPr="0026351E" w14:paraId="68D6256A" w14:textId="77777777" w:rsidTr="00A43D99">
        <w:trPr>
          <w:trHeight w:val="206"/>
        </w:trPr>
        <w:tc>
          <w:tcPr>
            <w:tcW w:w="2312" w:type="dxa"/>
            <w:tcBorders>
              <w:top w:val="nil"/>
              <w:left w:val="nil"/>
              <w:bottom w:val="nil"/>
              <w:right w:val="nil"/>
            </w:tcBorders>
            <w:shd w:val="clear" w:color="auto" w:fill="auto"/>
            <w:noWrap/>
            <w:vAlign w:val="bottom"/>
            <w:hideMark/>
          </w:tcPr>
          <w:p w14:paraId="3B9556BB"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Mais de 3 até 5 SM</w:t>
            </w:r>
          </w:p>
        </w:tc>
        <w:tc>
          <w:tcPr>
            <w:tcW w:w="1034" w:type="dxa"/>
            <w:tcBorders>
              <w:top w:val="nil"/>
              <w:left w:val="nil"/>
              <w:bottom w:val="nil"/>
              <w:right w:val="nil"/>
            </w:tcBorders>
            <w:shd w:val="clear" w:color="auto" w:fill="auto"/>
            <w:noWrap/>
            <w:vAlign w:val="center"/>
            <w:hideMark/>
          </w:tcPr>
          <w:p w14:paraId="6B2D12E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136</w:t>
            </w:r>
          </w:p>
        </w:tc>
        <w:tc>
          <w:tcPr>
            <w:tcW w:w="662" w:type="dxa"/>
            <w:tcBorders>
              <w:top w:val="nil"/>
              <w:left w:val="nil"/>
              <w:bottom w:val="nil"/>
              <w:right w:val="nil"/>
            </w:tcBorders>
            <w:shd w:val="clear" w:color="auto" w:fill="auto"/>
            <w:noWrap/>
            <w:vAlign w:val="center"/>
            <w:hideMark/>
          </w:tcPr>
          <w:p w14:paraId="3B3B395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0,1</w:t>
            </w:r>
          </w:p>
        </w:tc>
        <w:tc>
          <w:tcPr>
            <w:tcW w:w="1034" w:type="dxa"/>
            <w:tcBorders>
              <w:top w:val="nil"/>
              <w:left w:val="nil"/>
              <w:bottom w:val="nil"/>
              <w:right w:val="nil"/>
            </w:tcBorders>
            <w:shd w:val="clear" w:color="auto" w:fill="auto"/>
            <w:noWrap/>
            <w:vAlign w:val="center"/>
            <w:hideMark/>
          </w:tcPr>
          <w:p w14:paraId="6A14214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5</w:t>
            </w:r>
          </w:p>
        </w:tc>
        <w:tc>
          <w:tcPr>
            <w:tcW w:w="662" w:type="dxa"/>
            <w:tcBorders>
              <w:top w:val="nil"/>
              <w:left w:val="nil"/>
              <w:bottom w:val="nil"/>
              <w:right w:val="nil"/>
            </w:tcBorders>
            <w:shd w:val="clear" w:color="auto" w:fill="auto"/>
            <w:noWrap/>
            <w:vAlign w:val="center"/>
            <w:hideMark/>
          </w:tcPr>
          <w:p w14:paraId="214CF2F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0,0</w:t>
            </w:r>
          </w:p>
        </w:tc>
        <w:tc>
          <w:tcPr>
            <w:tcW w:w="1034" w:type="dxa"/>
            <w:tcBorders>
              <w:top w:val="nil"/>
              <w:left w:val="nil"/>
              <w:bottom w:val="nil"/>
              <w:right w:val="nil"/>
            </w:tcBorders>
            <w:shd w:val="clear" w:color="auto" w:fill="auto"/>
            <w:noWrap/>
            <w:vAlign w:val="center"/>
            <w:hideMark/>
          </w:tcPr>
          <w:p w14:paraId="2010B4B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42</w:t>
            </w:r>
          </w:p>
        </w:tc>
        <w:tc>
          <w:tcPr>
            <w:tcW w:w="662" w:type="dxa"/>
            <w:tcBorders>
              <w:top w:val="nil"/>
              <w:left w:val="nil"/>
              <w:bottom w:val="nil"/>
              <w:right w:val="nil"/>
            </w:tcBorders>
            <w:shd w:val="clear" w:color="auto" w:fill="auto"/>
            <w:noWrap/>
            <w:vAlign w:val="center"/>
            <w:hideMark/>
          </w:tcPr>
          <w:p w14:paraId="3BF2581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0,1</w:t>
            </w:r>
          </w:p>
        </w:tc>
        <w:tc>
          <w:tcPr>
            <w:tcW w:w="1034" w:type="dxa"/>
            <w:tcBorders>
              <w:top w:val="nil"/>
              <w:left w:val="nil"/>
              <w:bottom w:val="nil"/>
              <w:right w:val="nil"/>
            </w:tcBorders>
            <w:shd w:val="clear" w:color="auto" w:fill="auto"/>
            <w:noWrap/>
            <w:vAlign w:val="center"/>
            <w:hideMark/>
          </w:tcPr>
          <w:p w14:paraId="5B29D18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209</w:t>
            </w:r>
          </w:p>
        </w:tc>
        <w:tc>
          <w:tcPr>
            <w:tcW w:w="668" w:type="dxa"/>
            <w:tcBorders>
              <w:top w:val="nil"/>
              <w:left w:val="nil"/>
              <w:bottom w:val="nil"/>
              <w:right w:val="nil"/>
            </w:tcBorders>
            <w:shd w:val="clear" w:color="auto" w:fill="auto"/>
            <w:noWrap/>
            <w:vAlign w:val="center"/>
            <w:hideMark/>
          </w:tcPr>
          <w:p w14:paraId="6E5909B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0,3</w:t>
            </w:r>
          </w:p>
        </w:tc>
      </w:tr>
      <w:tr w:rsidR="00F56AB8" w:rsidRPr="0026351E" w14:paraId="52C39370" w14:textId="77777777" w:rsidTr="00A43D99">
        <w:trPr>
          <w:trHeight w:val="206"/>
        </w:trPr>
        <w:tc>
          <w:tcPr>
            <w:tcW w:w="2312" w:type="dxa"/>
            <w:tcBorders>
              <w:top w:val="nil"/>
              <w:left w:val="nil"/>
              <w:bottom w:val="nil"/>
              <w:right w:val="nil"/>
            </w:tcBorders>
            <w:shd w:val="clear" w:color="auto" w:fill="auto"/>
            <w:noWrap/>
            <w:vAlign w:val="bottom"/>
            <w:hideMark/>
          </w:tcPr>
          <w:p w14:paraId="7A664A6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Mais de 5 SM</w:t>
            </w:r>
          </w:p>
        </w:tc>
        <w:tc>
          <w:tcPr>
            <w:tcW w:w="1034" w:type="dxa"/>
            <w:tcBorders>
              <w:top w:val="nil"/>
              <w:left w:val="nil"/>
              <w:bottom w:val="nil"/>
              <w:right w:val="nil"/>
            </w:tcBorders>
            <w:shd w:val="clear" w:color="auto" w:fill="auto"/>
            <w:noWrap/>
            <w:vAlign w:val="center"/>
            <w:hideMark/>
          </w:tcPr>
          <w:p w14:paraId="4141CED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33</w:t>
            </w:r>
          </w:p>
        </w:tc>
        <w:tc>
          <w:tcPr>
            <w:tcW w:w="662" w:type="dxa"/>
            <w:tcBorders>
              <w:top w:val="nil"/>
              <w:left w:val="nil"/>
              <w:bottom w:val="nil"/>
              <w:right w:val="nil"/>
            </w:tcBorders>
            <w:shd w:val="clear" w:color="auto" w:fill="auto"/>
            <w:noWrap/>
            <w:vAlign w:val="center"/>
            <w:hideMark/>
          </w:tcPr>
          <w:p w14:paraId="14A85A7C"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0,0</w:t>
            </w:r>
          </w:p>
        </w:tc>
        <w:tc>
          <w:tcPr>
            <w:tcW w:w="1034" w:type="dxa"/>
            <w:tcBorders>
              <w:top w:val="nil"/>
              <w:left w:val="nil"/>
              <w:bottom w:val="nil"/>
              <w:right w:val="nil"/>
            </w:tcBorders>
            <w:shd w:val="clear" w:color="auto" w:fill="auto"/>
            <w:noWrap/>
            <w:vAlign w:val="center"/>
            <w:hideMark/>
          </w:tcPr>
          <w:p w14:paraId="19A3F4C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w:t>
            </w:r>
          </w:p>
        </w:tc>
        <w:tc>
          <w:tcPr>
            <w:tcW w:w="662" w:type="dxa"/>
            <w:tcBorders>
              <w:top w:val="nil"/>
              <w:left w:val="nil"/>
              <w:bottom w:val="nil"/>
              <w:right w:val="nil"/>
            </w:tcBorders>
            <w:shd w:val="clear" w:color="auto" w:fill="auto"/>
            <w:noWrap/>
            <w:vAlign w:val="center"/>
            <w:hideMark/>
          </w:tcPr>
          <w:p w14:paraId="41F1624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0,1</w:t>
            </w:r>
          </w:p>
        </w:tc>
        <w:tc>
          <w:tcPr>
            <w:tcW w:w="1034" w:type="dxa"/>
            <w:tcBorders>
              <w:top w:val="nil"/>
              <w:left w:val="nil"/>
              <w:bottom w:val="nil"/>
              <w:right w:val="nil"/>
            </w:tcBorders>
            <w:shd w:val="clear" w:color="auto" w:fill="auto"/>
            <w:noWrap/>
            <w:vAlign w:val="center"/>
            <w:hideMark/>
          </w:tcPr>
          <w:p w14:paraId="6455548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47</w:t>
            </w:r>
          </w:p>
        </w:tc>
        <w:tc>
          <w:tcPr>
            <w:tcW w:w="662" w:type="dxa"/>
            <w:tcBorders>
              <w:top w:val="nil"/>
              <w:left w:val="nil"/>
              <w:bottom w:val="nil"/>
              <w:right w:val="nil"/>
            </w:tcBorders>
            <w:shd w:val="clear" w:color="auto" w:fill="auto"/>
            <w:noWrap/>
            <w:vAlign w:val="center"/>
            <w:hideMark/>
          </w:tcPr>
          <w:p w14:paraId="3897B09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0,1</w:t>
            </w:r>
          </w:p>
        </w:tc>
        <w:tc>
          <w:tcPr>
            <w:tcW w:w="1034" w:type="dxa"/>
            <w:tcBorders>
              <w:top w:val="nil"/>
              <w:left w:val="nil"/>
              <w:bottom w:val="nil"/>
              <w:right w:val="nil"/>
            </w:tcBorders>
            <w:shd w:val="clear" w:color="auto" w:fill="auto"/>
            <w:noWrap/>
            <w:vAlign w:val="center"/>
            <w:hideMark/>
          </w:tcPr>
          <w:p w14:paraId="2E5EF8A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28</w:t>
            </w:r>
          </w:p>
        </w:tc>
        <w:tc>
          <w:tcPr>
            <w:tcW w:w="668" w:type="dxa"/>
            <w:tcBorders>
              <w:top w:val="nil"/>
              <w:left w:val="nil"/>
              <w:bottom w:val="nil"/>
              <w:right w:val="nil"/>
            </w:tcBorders>
            <w:shd w:val="clear" w:color="auto" w:fill="auto"/>
            <w:noWrap/>
            <w:vAlign w:val="center"/>
            <w:hideMark/>
          </w:tcPr>
          <w:p w14:paraId="0C772B4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0,0</w:t>
            </w:r>
          </w:p>
        </w:tc>
      </w:tr>
      <w:tr w:rsidR="00F56AB8" w:rsidRPr="0026351E" w14:paraId="642F3509" w14:textId="77777777" w:rsidTr="00A43D99">
        <w:trPr>
          <w:trHeight w:val="206"/>
        </w:trPr>
        <w:tc>
          <w:tcPr>
            <w:tcW w:w="2312" w:type="dxa"/>
            <w:tcBorders>
              <w:top w:val="nil"/>
              <w:left w:val="nil"/>
              <w:bottom w:val="single" w:sz="4" w:space="0" w:color="auto"/>
              <w:right w:val="nil"/>
            </w:tcBorders>
            <w:shd w:val="clear" w:color="auto" w:fill="auto"/>
            <w:noWrap/>
            <w:vAlign w:val="bottom"/>
            <w:hideMark/>
          </w:tcPr>
          <w:p w14:paraId="33FC1152"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1034" w:type="dxa"/>
            <w:tcBorders>
              <w:top w:val="nil"/>
              <w:left w:val="nil"/>
              <w:bottom w:val="single" w:sz="4" w:space="0" w:color="auto"/>
              <w:right w:val="nil"/>
            </w:tcBorders>
            <w:shd w:val="clear" w:color="auto" w:fill="auto"/>
            <w:noWrap/>
            <w:vAlign w:val="center"/>
            <w:hideMark/>
          </w:tcPr>
          <w:p w14:paraId="68314443"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126.722</w:t>
            </w:r>
          </w:p>
        </w:tc>
        <w:tc>
          <w:tcPr>
            <w:tcW w:w="662" w:type="dxa"/>
            <w:tcBorders>
              <w:top w:val="nil"/>
              <w:left w:val="nil"/>
              <w:bottom w:val="single" w:sz="4" w:space="0" w:color="auto"/>
              <w:right w:val="nil"/>
            </w:tcBorders>
            <w:shd w:val="clear" w:color="auto" w:fill="auto"/>
            <w:noWrap/>
            <w:vAlign w:val="center"/>
            <w:hideMark/>
          </w:tcPr>
          <w:p w14:paraId="4514B780"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46D07853"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13.861</w:t>
            </w:r>
          </w:p>
        </w:tc>
        <w:tc>
          <w:tcPr>
            <w:tcW w:w="662" w:type="dxa"/>
            <w:tcBorders>
              <w:top w:val="nil"/>
              <w:left w:val="nil"/>
              <w:bottom w:val="single" w:sz="4" w:space="0" w:color="auto"/>
              <w:right w:val="nil"/>
            </w:tcBorders>
            <w:shd w:val="clear" w:color="auto" w:fill="auto"/>
            <w:noWrap/>
            <w:vAlign w:val="center"/>
            <w:hideMark/>
          </w:tcPr>
          <w:p w14:paraId="46A4E54A"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3EFD1941"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44.333</w:t>
            </w:r>
          </w:p>
        </w:tc>
        <w:tc>
          <w:tcPr>
            <w:tcW w:w="662" w:type="dxa"/>
            <w:tcBorders>
              <w:top w:val="nil"/>
              <w:left w:val="nil"/>
              <w:bottom w:val="single" w:sz="4" w:space="0" w:color="auto"/>
              <w:right w:val="nil"/>
            </w:tcBorders>
            <w:shd w:val="clear" w:color="auto" w:fill="auto"/>
            <w:noWrap/>
            <w:vAlign w:val="center"/>
            <w:hideMark/>
          </w:tcPr>
          <w:p w14:paraId="0EBEB67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456BDE7C"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83.552</w:t>
            </w:r>
          </w:p>
        </w:tc>
        <w:tc>
          <w:tcPr>
            <w:tcW w:w="668" w:type="dxa"/>
            <w:tcBorders>
              <w:top w:val="nil"/>
              <w:left w:val="nil"/>
              <w:bottom w:val="single" w:sz="4" w:space="0" w:color="auto"/>
              <w:right w:val="nil"/>
            </w:tcBorders>
            <w:shd w:val="clear" w:color="auto" w:fill="auto"/>
            <w:noWrap/>
            <w:vAlign w:val="center"/>
            <w:hideMark/>
          </w:tcPr>
          <w:p w14:paraId="5643054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1AE5D1DC" w14:textId="77777777" w:rsidTr="00A43D99">
        <w:trPr>
          <w:trHeight w:val="206"/>
        </w:trPr>
        <w:tc>
          <w:tcPr>
            <w:tcW w:w="9108" w:type="dxa"/>
            <w:gridSpan w:val="9"/>
            <w:tcBorders>
              <w:top w:val="nil"/>
              <w:left w:val="nil"/>
              <w:bottom w:val="nil"/>
              <w:right w:val="nil"/>
            </w:tcBorders>
            <w:shd w:val="clear" w:color="auto" w:fill="auto"/>
            <w:noWrap/>
            <w:vAlign w:val="center"/>
            <w:hideMark/>
          </w:tcPr>
          <w:p w14:paraId="021280DA"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i/>
                <w:iCs/>
                <w:sz w:val="18"/>
                <w:szCs w:val="18"/>
                <w:lang w:eastAsia="pt-BR"/>
              </w:rPr>
              <w:t>Rendimento mensal habitual do PBF/PETI</w:t>
            </w:r>
          </w:p>
        </w:tc>
      </w:tr>
      <w:tr w:rsidR="00F56AB8" w:rsidRPr="0026351E" w14:paraId="6C354420" w14:textId="77777777" w:rsidTr="00A43D99">
        <w:trPr>
          <w:trHeight w:val="206"/>
        </w:trPr>
        <w:tc>
          <w:tcPr>
            <w:tcW w:w="2312" w:type="dxa"/>
            <w:tcBorders>
              <w:top w:val="nil"/>
              <w:left w:val="nil"/>
              <w:bottom w:val="nil"/>
              <w:right w:val="nil"/>
            </w:tcBorders>
            <w:shd w:val="clear" w:color="auto" w:fill="auto"/>
            <w:noWrap/>
            <w:vAlign w:val="bottom"/>
            <w:hideMark/>
          </w:tcPr>
          <w:p w14:paraId="7DB0B445"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Não</w:t>
            </w:r>
          </w:p>
        </w:tc>
        <w:tc>
          <w:tcPr>
            <w:tcW w:w="1034" w:type="dxa"/>
            <w:tcBorders>
              <w:top w:val="nil"/>
              <w:left w:val="nil"/>
              <w:bottom w:val="nil"/>
              <w:right w:val="nil"/>
            </w:tcBorders>
            <w:shd w:val="clear" w:color="auto" w:fill="auto"/>
            <w:noWrap/>
            <w:vAlign w:val="center"/>
            <w:hideMark/>
          </w:tcPr>
          <w:p w14:paraId="7F00B99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97.231</w:t>
            </w:r>
          </w:p>
        </w:tc>
        <w:tc>
          <w:tcPr>
            <w:tcW w:w="662" w:type="dxa"/>
            <w:tcBorders>
              <w:top w:val="nil"/>
              <w:left w:val="nil"/>
              <w:bottom w:val="nil"/>
              <w:right w:val="nil"/>
            </w:tcBorders>
            <w:shd w:val="clear" w:color="auto" w:fill="auto"/>
            <w:noWrap/>
            <w:vAlign w:val="center"/>
            <w:hideMark/>
          </w:tcPr>
          <w:p w14:paraId="59DDDAA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76,8</w:t>
            </w:r>
          </w:p>
        </w:tc>
        <w:tc>
          <w:tcPr>
            <w:tcW w:w="1034" w:type="dxa"/>
            <w:tcBorders>
              <w:top w:val="nil"/>
              <w:left w:val="nil"/>
              <w:bottom w:val="nil"/>
              <w:right w:val="nil"/>
            </w:tcBorders>
            <w:shd w:val="clear" w:color="auto" w:fill="auto"/>
            <w:noWrap/>
            <w:vAlign w:val="center"/>
            <w:hideMark/>
          </w:tcPr>
          <w:p w14:paraId="2F1A4D6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11.048</w:t>
            </w:r>
          </w:p>
        </w:tc>
        <w:tc>
          <w:tcPr>
            <w:tcW w:w="662" w:type="dxa"/>
            <w:tcBorders>
              <w:top w:val="nil"/>
              <w:left w:val="nil"/>
              <w:bottom w:val="nil"/>
              <w:right w:val="nil"/>
            </w:tcBorders>
            <w:shd w:val="clear" w:color="auto" w:fill="auto"/>
            <w:noWrap/>
            <w:vAlign w:val="center"/>
            <w:hideMark/>
          </w:tcPr>
          <w:p w14:paraId="1F18314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79,7</w:t>
            </w:r>
          </w:p>
        </w:tc>
        <w:tc>
          <w:tcPr>
            <w:tcW w:w="1034" w:type="dxa"/>
            <w:tcBorders>
              <w:top w:val="nil"/>
              <w:left w:val="nil"/>
              <w:bottom w:val="nil"/>
              <w:right w:val="nil"/>
            </w:tcBorders>
            <w:shd w:val="clear" w:color="auto" w:fill="auto"/>
            <w:noWrap/>
            <w:vAlign w:val="center"/>
            <w:hideMark/>
          </w:tcPr>
          <w:p w14:paraId="7E262D0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35.099</w:t>
            </w:r>
          </w:p>
        </w:tc>
        <w:tc>
          <w:tcPr>
            <w:tcW w:w="662" w:type="dxa"/>
            <w:tcBorders>
              <w:top w:val="nil"/>
              <w:left w:val="nil"/>
              <w:bottom w:val="nil"/>
              <w:right w:val="nil"/>
            </w:tcBorders>
            <w:shd w:val="clear" w:color="auto" w:fill="auto"/>
            <w:noWrap/>
            <w:vAlign w:val="center"/>
            <w:hideMark/>
          </w:tcPr>
          <w:p w14:paraId="1999678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79,2</w:t>
            </w:r>
          </w:p>
        </w:tc>
        <w:tc>
          <w:tcPr>
            <w:tcW w:w="1034" w:type="dxa"/>
            <w:tcBorders>
              <w:top w:val="nil"/>
              <w:left w:val="nil"/>
              <w:bottom w:val="nil"/>
              <w:right w:val="nil"/>
            </w:tcBorders>
            <w:shd w:val="clear" w:color="auto" w:fill="auto"/>
            <w:noWrap/>
            <w:vAlign w:val="center"/>
            <w:hideMark/>
          </w:tcPr>
          <w:p w14:paraId="2D24F90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66.845</w:t>
            </w:r>
          </w:p>
        </w:tc>
        <w:tc>
          <w:tcPr>
            <w:tcW w:w="668" w:type="dxa"/>
            <w:tcBorders>
              <w:top w:val="nil"/>
              <w:left w:val="nil"/>
              <w:bottom w:val="nil"/>
              <w:right w:val="nil"/>
            </w:tcBorders>
            <w:shd w:val="clear" w:color="auto" w:fill="auto"/>
            <w:noWrap/>
            <w:vAlign w:val="center"/>
            <w:hideMark/>
          </w:tcPr>
          <w:p w14:paraId="7E71BB8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79,3</w:t>
            </w:r>
          </w:p>
        </w:tc>
      </w:tr>
      <w:tr w:rsidR="00F56AB8" w:rsidRPr="0026351E" w14:paraId="2D55170E" w14:textId="77777777" w:rsidTr="00A43D99">
        <w:trPr>
          <w:trHeight w:val="206"/>
        </w:trPr>
        <w:tc>
          <w:tcPr>
            <w:tcW w:w="2312" w:type="dxa"/>
            <w:tcBorders>
              <w:top w:val="nil"/>
              <w:left w:val="nil"/>
              <w:bottom w:val="nil"/>
              <w:right w:val="nil"/>
            </w:tcBorders>
            <w:shd w:val="clear" w:color="auto" w:fill="auto"/>
            <w:noWrap/>
            <w:vAlign w:val="bottom"/>
            <w:hideMark/>
          </w:tcPr>
          <w:p w14:paraId="52835E1C"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Sim</w:t>
            </w:r>
          </w:p>
        </w:tc>
        <w:tc>
          <w:tcPr>
            <w:tcW w:w="1034" w:type="dxa"/>
            <w:tcBorders>
              <w:top w:val="nil"/>
              <w:left w:val="nil"/>
              <w:bottom w:val="nil"/>
              <w:right w:val="nil"/>
            </w:tcBorders>
            <w:shd w:val="clear" w:color="auto" w:fill="auto"/>
            <w:noWrap/>
            <w:vAlign w:val="center"/>
            <w:hideMark/>
          </w:tcPr>
          <w:p w14:paraId="14BE33F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29.407</w:t>
            </w:r>
          </w:p>
        </w:tc>
        <w:tc>
          <w:tcPr>
            <w:tcW w:w="662" w:type="dxa"/>
            <w:tcBorders>
              <w:top w:val="nil"/>
              <w:left w:val="nil"/>
              <w:bottom w:val="nil"/>
              <w:right w:val="nil"/>
            </w:tcBorders>
            <w:shd w:val="clear" w:color="auto" w:fill="auto"/>
            <w:noWrap/>
            <w:vAlign w:val="center"/>
            <w:hideMark/>
          </w:tcPr>
          <w:p w14:paraId="5FDC2B6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23,2</w:t>
            </w:r>
          </w:p>
        </w:tc>
        <w:tc>
          <w:tcPr>
            <w:tcW w:w="1034" w:type="dxa"/>
            <w:tcBorders>
              <w:top w:val="nil"/>
              <w:left w:val="nil"/>
              <w:bottom w:val="nil"/>
              <w:right w:val="nil"/>
            </w:tcBorders>
            <w:shd w:val="clear" w:color="auto" w:fill="auto"/>
            <w:noWrap/>
            <w:vAlign w:val="center"/>
            <w:hideMark/>
          </w:tcPr>
          <w:p w14:paraId="1C79C96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2.806</w:t>
            </w:r>
          </w:p>
        </w:tc>
        <w:tc>
          <w:tcPr>
            <w:tcW w:w="662" w:type="dxa"/>
            <w:tcBorders>
              <w:top w:val="nil"/>
              <w:left w:val="nil"/>
              <w:bottom w:val="nil"/>
              <w:right w:val="nil"/>
            </w:tcBorders>
            <w:shd w:val="clear" w:color="auto" w:fill="auto"/>
            <w:noWrap/>
            <w:vAlign w:val="center"/>
            <w:hideMark/>
          </w:tcPr>
          <w:p w14:paraId="072FB2E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20,3</w:t>
            </w:r>
          </w:p>
        </w:tc>
        <w:tc>
          <w:tcPr>
            <w:tcW w:w="1034" w:type="dxa"/>
            <w:tcBorders>
              <w:top w:val="nil"/>
              <w:left w:val="nil"/>
              <w:bottom w:val="nil"/>
              <w:right w:val="nil"/>
            </w:tcBorders>
            <w:shd w:val="clear" w:color="auto" w:fill="auto"/>
            <w:noWrap/>
            <w:vAlign w:val="center"/>
            <w:hideMark/>
          </w:tcPr>
          <w:p w14:paraId="4BF037B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9.204</w:t>
            </w:r>
          </w:p>
        </w:tc>
        <w:tc>
          <w:tcPr>
            <w:tcW w:w="662" w:type="dxa"/>
            <w:tcBorders>
              <w:top w:val="nil"/>
              <w:left w:val="nil"/>
              <w:bottom w:val="nil"/>
              <w:right w:val="nil"/>
            </w:tcBorders>
            <w:shd w:val="clear" w:color="auto" w:fill="auto"/>
            <w:noWrap/>
            <w:vAlign w:val="center"/>
            <w:hideMark/>
          </w:tcPr>
          <w:p w14:paraId="5997415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20,8</w:t>
            </w:r>
          </w:p>
        </w:tc>
        <w:tc>
          <w:tcPr>
            <w:tcW w:w="1034" w:type="dxa"/>
            <w:tcBorders>
              <w:top w:val="nil"/>
              <w:left w:val="nil"/>
              <w:bottom w:val="nil"/>
              <w:right w:val="nil"/>
            </w:tcBorders>
            <w:shd w:val="clear" w:color="auto" w:fill="auto"/>
            <w:noWrap/>
            <w:vAlign w:val="center"/>
            <w:hideMark/>
          </w:tcPr>
          <w:p w14:paraId="1AB2DE8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17.451</w:t>
            </w:r>
          </w:p>
        </w:tc>
        <w:tc>
          <w:tcPr>
            <w:tcW w:w="668" w:type="dxa"/>
            <w:tcBorders>
              <w:top w:val="nil"/>
              <w:left w:val="nil"/>
              <w:bottom w:val="nil"/>
              <w:right w:val="nil"/>
            </w:tcBorders>
            <w:shd w:val="clear" w:color="auto" w:fill="auto"/>
            <w:noWrap/>
            <w:vAlign w:val="center"/>
            <w:hideMark/>
          </w:tcPr>
          <w:p w14:paraId="5B10C4A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20,7</w:t>
            </w:r>
          </w:p>
        </w:tc>
      </w:tr>
      <w:tr w:rsidR="00F56AB8" w:rsidRPr="0026351E" w14:paraId="0701EC5F" w14:textId="77777777" w:rsidTr="00A43D99">
        <w:trPr>
          <w:trHeight w:val="206"/>
        </w:trPr>
        <w:tc>
          <w:tcPr>
            <w:tcW w:w="2312" w:type="dxa"/>
            <w:tcBorders>
              <w:top w:val="nil"/>
              <w:left w:val="nil"/>
              <w:bottom w:val="single" w:sz="4" w:space="0" w:color="auto"/>
              <w:right w:val="nil"/>
            </w:tcBorders>
            <w:shd w:val="clear" w:color="auto" w:fill="auto"/>
            <w:noWrap/>
            <w:vAlign w:val="bottom"/>
            <w:hideMark/>
          </w:tcPr>
          <w:p w14:paraId="34624C81"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1034" w:type="dxa"/>
            <w:tcBorders>
              <w:top w:val="nil"/>
              <w:left w:val="nil"/>
              <w:bottom w:val="single" w:sz="4" w:space="0" w:color="auto"/>
              <w:right w:val="nil"/>
            </w:tcBorders>
            <w:shd w:val="clear" w:color="auto" w:fill="auto"/>
            <w:noWrap/>
            <w:vAlign w:val="center"/>
            <w:hideMark/>
          </w:tcPr>
          <w:p w14:paraId="3A1DB13A"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126.638</w:t>
            </w:r>
          </w:p>
        </w:tc>
        <w:tc>
          <w:tcPr>
            <w:tcW w:w="662" w:type="dxa"/>
            <w:tcBorders>
              <w:top w:val="nil"/>
              <w:left w:val="nil"/>
              <w:bottom w:val="single" w:sz="4" w:space="0" w:color="auto"/>
              <w:right w:val="nil"/>
            </w:tcBorders>
            <w:shd w:val="clear" w:color="auto" w:fill="auto"/>
            <w:noWrap/>
            <w:vAlign w:val="center"/>
            <w:hideMark/>
          </w:tcPr>
          <w:p w14:paraId="2024D90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40A6F560"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13.854</w:t>
            </w:r>
          </w:p>
        </w:tc>
        <w:tc>
          <w:tcPr>
            <w:tcW w:w="662" w:type="dxa"/>
            <w:tcBorders>
              <w:top w:val="nil"/>
              <w:left w:val="nil"/>
              <w:bottom w:val="single" w:sz="4" w:space="0" w:color="auto"/>
              <w:right w:val="nil"/>
            </w:tcBorders>
            <w:shd w:val="clear" w:color="auto" w:fill="auto"/>
            <w:noWrap/>
            <w:vAlign w:val="center"/>
            <w:hideMark/>
          </w:tcPr>
          <w:p w14:paraId="60204C2C"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52172E31"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44.303</w:t>
            </w:r>
          </w:p>
        </w:tc>
        <w:tc>
          <w:tcPr>
            <w:tcW w:w="662" w:type="dxa"/>
            <w:tcBorders>
              <w:top w:val="nil"/>
              <w:left w:val="nil"/>
              <w:bottom w:val="single" w:sz="4" w:space="0" w:color="auto"/>
              <w:right w:val="nil"/>
            </w:tcBorders>
            <w:shd w:val="clear" w:color="auto" w:fill="auto"/>
            <w:noWrap/>
            <w:vAlign w:val="center"/>
            <w:hideMark/>
          </w:tcPr>
          <w:p w14:paraId="5E53F17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5562DF4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84.296</w:t>
            </w:r>
          </w:p>
        </w:tc>
        <w:tc>
          <w:tcPr>
            <w:tcW w:w="668" w:type="dxa"/>
            <w:tcBorders>
              <w:top w:val="nil"/>
              <w:left w:val="nil"/>
              <w:bottom w:val="single" w:sz="4" w:space="0" w:color="auto"/>
              <w:right w:val="nil"/>
            </w:tcBorders>
            <w:shd w:val="clear" w:color="auto" w:fill="auto"/>
            <w:noWrap/>
            <w:vAlign w:val="center"/>
            <w:hideMark/>
          </w:tcPr>
          <w:p w14:paraId="4D1DB051"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70F21493" w14:textId="77777777" w:rsidTr="00A43D99">
        <w:trPr>
          <w:trHeight w:val="206"/>
        </w:trPr>
        <w:tc>
          <w:tcPr>
            <w:tcW w:w="9108" w:type="dxa"/>
            <w:gridSpan w:val="9"/>
            <w:tcBorders>
              <w:top w:val="nil"/>
              <w:left w:val="nil"/>
              <w:bottom w:val="nil"/>
              <w:right w:val="nil"/>
            </w:tcBorders>
            <w:shd w:val="clear" w:color="auto" w:fill="auto"/>
            <w:noWrap/>
            <w:vAlign w:val="center"/>
            <w:hideMark/>
          </w:tcPr>
          <w:p w14:paraId="6FD59CED"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i/>
                <w:iCs/>
                <w:sz w:val="18"/>
                <w:szCs w:val="18"/>
                <w:lang w:eastAsia="pt-BR"/>
              </w:rPr>
              <w:t>Rendimento mensal habitual de outros programas sociais ou transferências</w:t>
            </w:r>
          </w:p>
        </w:tc>
      </w:tr>
      <w:tr w:rsidR="00F56AB8" w:rsidRPr="0026351E" w14:paraId="608C3F91" w14:textId="77777777" w:rsidTr="00A43D99">
        <w:trPr>
          <w:trHeight w:val="206"/>
        </w:trPr>
        <w:tc>
          <w:tcPr>
            <w:tcW w:w="2312" w:type="dxa"/>
            <w:tcBorders>
              <w:top w:val="nil"/>
              <w:left w:val="nil"/>
              <w:bottom w:val="nil"/>
              <w:right w:val="nil"/>
            </w:tcBorders>
            <w:shd w:val="clear" w:color="auto" w:fill="auto"/>
            <w:noWrap/>
            <w:vAlign w:val="bottom"/>
            <w:hideMark/>
          </w:tcPr>
          <w:p w14:paraId="120C3B93"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Não</w:t>
            </w:r>
          </w:p>
        </w:tc>
        <w:tc>
          <w:tcPr>
            <w:tcW w:w="1034" w:type="dxa"/>
            <w:tcBorders>
              <w:top w:val="nil"/>
              <w:left w:val="nil"/>
              <w:bottom w:val="nil"/>
              <w:right w:val="nil"/>
            </w:tcBorders>
            <w:shd w:val="clear" w:color="auto" w:fill="auto"/>
            <w:noWrap/>
            <w:vAlign w:val="center"/>
            <w:hideMark/>
          </w:tcPr>
          <w:p w14:paraId="7A5626B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125.078</w:t>
            </w:r>
          </w:p>
        </w:tc>
        <w:tc>
          <w:tcPr>
            <w:tcW w:w="662" w:type="dxa"/>
            <w:tcBorders>
              <w:top w:val="nil"/>
              <w:left w:val="nil"/>
              <w:bottom w:val="nil"/>
              <w:right w:val="nil"/>
            </w:tcBorders>
            <w:shd w:val="clear" w:color="auto" w:fill="auto"/>
            <w:noWrap/>
            <w:vAlign w:val="center"/>
            <w:hideMark/>
          </w:tcPr>
          <w:p w14:paraId="5618B3D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98,8</w:t>
            </w:r>
          </w:p>
        </w:tc>
        <w:tc>
          <w:tcPr>
            <w:tcW w:w="1034" w:type="dxa"/>
            <w:tcBorders>
              <w:top w:val="nil"/>
              <w:left w:val="nil"/>
              <w:bottom w:val="nil"/>
              <w:right w:val="nil"/>
            </w:tcBorders>
            <w:shd w:val="clear" w:color="auto" w:fill="auto"/>
            <w:noWrap/>
            <w:vAlign w:val="center"/>
            <w:hideMark/>
          </w:tcPr>
          <w:p w14:paraId="0CB82C2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13.586</w:t>
            </w:r>
          </w:p>
        </w:tc>
        <w:tc>
          <w:tcPr>
            <w:tcW w:w="662" w:type="dxa"/>
            <w:tcBorders>
              <w:top w:val="nil"/>
              <w:left w:val="nil"/>
              <w:bottom w:val="nil"/>
              <w:right w:val="nil"/>
            </w:tcBorders>
            <w:shd w:val="clear" w:color="auto" w:fill="auto"/>
            <w:noWrap/>
            <w:vAlign w:val="center"/>
            <w:hideMark/>
          </w:tcPr>
          <w:p w14:paraId="1081AC7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98,0</w:t>
            </w:r>
          </w:p>
        </w:tc>
        <w:tc>
          <w:tcPr>
            <w:tcW w:w="1034" w:type="dxa"/>
            <w:tcBorders>
              <w:top w:val="nil"/>
              <w:left w:val="nil"/>
              <w:bottom w:val="nil"/>
              <w:right w:val="nil"/>
            </w:tcBorders>
            <w:shd w:val="clear" w:color="auto" w:fill="auto"/>
            <w:noWrap/>
            <w:vAlign w:val="center"/>
            <w:hideMark/>
          </w:tcPr>
          <w:p w14:paraId="59C2B0E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43.219</w:t>
            </w:r>
          </w:p>
        </w:tc>
        <w:tc>
          <w:tcPr>
            <w:tcW w:w="662" w:type="dxa"/>
            <w:tcBorders>
              <w:top w:val="nil"/>
              <w:left w:val="nil"/>
              <w:bottom w:val="nil"/>
              <w:right w:val="nil"/>
            </w:tcBorders>
            <w:shd w:val="clear" w:color="auto" w:fill="auto"/>
            <w:noWrap/>
            <w:vAlign w:val="center"/>
            <w:hideMark/>
          </w:tcPr>
          <w:p w14:paraId="1D08FC3D"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97,6</w:t>
            </w:r>
          </w:p>
        </w:tc>
        <w:tc>
          <w:tcPr>
            <w:tcW w:w="1034" w:type="dxa"/>
            <w:tcBorders>
              <w:top w:val="nil"/>
              <w:left w:val="nil"/>
              <w:bottom w:val="nil"/>
              <w:right w:val="nil"/>
            </w:tcBorders>
            <w:shd w:val="clear" w:color="auto" w:fill="auto"/>
            <w:noWrap/>
            <w:vAlign w:val="center"/>
            <w:hideMark/>
          </w:tcPr>
          <w:p w14:paraId="7CC168B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83.373</w:t>
            </w:r>
          </w:p>
        </w:tc>
        <w:tc>
          <w:tcPr>
            <w:tcW w:w="668" w:type="dxa"/>
            <w:tcBorders>
              <w:top w:val="nil"/>
              <w:left w:val="nil"/>
              <w:bottom w:val="nil"/>
              <w:right w:val="nil"/>
            </w:tcBorders>
            <w:shd w:val="clear" w:color="auto" w:fill="auto"/>
            <w:noWrap/>
            <w:vAlign w:val="center"/>
            <w:hideMark/>
          </w:tcPr>
          <w:p w14:paraId="22DBAD18"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98,9</w:t>
            </w:r>
          </w:p>
        </w:tc>
      </w:tr>
      <w:tr w:rsidR="00F56AB8" w:rsidRPr="0026351E" w14:paraId="7DDBD195" w14:textId="77777777" w:rsidTr="00A43D99">
        <w:trPr>
          <w:trHeight w:val="206"/>
        </w:trPr>
        <w:tc>
          <w:tcPr>
            <w:tcW w:w="2312" w:type="dxa"/>
            <w:tcBorders>
              <w:top w:val="nil"/>
              <w:left w:val="nil"/>
              <w:bottom w:val="nil"/>
              <w:right w:val="nil"/>
            </w:tcBorders>
            <w:shd w:val="clear" w:color="auto" w:fill="auto"/>
            <w:noWrap/>
            <w:vAlign w:val="bottom"/>
            <w:hideMark/>
          </w:tcPr>
          <w:p w14:paraId="7F6F934F"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Sim</w:t>
            </w:r>
          </w:p>
        </w:tc>
        <w:tc>
          <w:tcPr>
            <w:tcW w:w="1034" w:type="dxa"/>
            <w:tcBorders>
              <w:top w:val="nil"/>
              <w:left w:val="nil"/>
              <w:bottom w:val="nil"/>
              <w:right w:val="nil"/>
            </w:tcBorders>
            <w:shd w:val="clear" w:color="auto" w:fill="auto"/>
            <w:noWrap/>
            <w:vAlign w:val="center"/>
            <w:hideMark/>
          </w:tcPr>
          <w:p w14:paraId="767344A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1.558</w:t>
            </w:r>
          </w:p>
        </w:tc>
        <w:tc>
          <w:tcPr>
            <w:tcW w:w="662" w:type="dxa"/>
            <w:tcBorders>
              <w:top w:val="nil"/>
              <w:left w:val="nil"/>
              <w:bottom w:val="nil"/>
              <w:right w:val="nil"/>
            </w:tcBorders>
            <w:shd w:val="clear" w:color="auto" w:fill="auto"/>
            <w:noWrap/>
            <w:vAlign w:val="center"/>
            <w:hideMark/>
          </w:tcPr>
          <w:p w14:paraId="3F1D4D0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w:t>
            </w:r>
          </w:p>
        </w:tc>
        <w:tc>
          <w:tcPr>
            <w:tcW w:w="1034" w:type="dxa"/>
            <w:tcBorders>
              <w:top w:val="nil"/>
              <w:left w:val="nil"/>
              <w:bottom w:val="nil"/>
              <w:right w:val="nil"/>
            </w:tcBorders>
            <w:shd w:val="clear" w:color="auto" w:fill="auto"/>
            <w:noWrap/>
            <w:vAlign w:val="center"/>
            <w:hideMark/>
          </w:tcPr>
          <w:p w14:paraId="6220CC5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271</w:t>
            </w:r>
          </w:p>
        </w:tc>
        <w:tc>
          <w:tcPr>
            <w:tcW w:w="662" w:type="dxa"/>
            <w:tcBorders>
              <w:top w:val="nil"/>
              <w:left w:val="nil"/>
              <w:bottom w:val="nil"/>
              <w:right w:val="nil"/>
            </w:tcBorders>
            <w:shd w:val="clear" w:color="auto" w:fill="auto"/>
            <w:noWrap/>
            <w:vAlign w:val="center"/>
            <w:hideMark/>
          </w:tcPr>
          <w:p w14:paraId="1F4C652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2,0</w:t>
            </w:r>
          </w:p>
        </w:tc>
        <w:tc>
          <w:tcPr>
            <w:tcW w:w="1034" w:type="dxa"/>
            <w:tcBorders>
              <w:top w:val="nil"/>
              <w:left w:val="nil"/>
              <w:bottom w:val="nil"/>
              <w:right w:val="nil"/>
            </w:tcBorders>
            <w:shd w:val="clear" w:color="auto" w:fill="auto"/>
            <w:noWrap/>
            <w:vAlign w:val="center"/>
            <w:hideMark/>
          </w:tcPr>
          <w:p w14:paraId="50D03A9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1.080</w:t>
            </w:r>
          </w:p>
        </w:tc>
        <w:tc>
          <w:tcPr>
            <w:tcW w:w="662" w:type="dxa"/>
            <w:tcBorders>
              <w:top w:val="nil"/>
              <w:left w:val="nil"/>
              <w:bottom w:val="nil"/>
              <w:right w:val="nil"/>
            </w:tcBorders>
            <w:shd w:val="clear" w:color="auto" w:fill="auto"/>
            <w:noWrap/>
            <w:vAlign w:val="center"/>
            <w:hideMark/>
          </w:tcPr>
          <w:p w14:paraId="5F64950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2,4</w:t>
            </w:r>
          </w:p>
        </w:tc>
        <w:tc>
          <w:tcPr>
            <w:tcW w:w="1034" w:type="dxa"/>
            <w:tcBorders>
              <w:top w:val="nil"/>
              <w:left w:val="nil"/>
              <w:bottom w:val="nil"/>
              <w:right w:val="nil"/>
            </w:tcBorders>
            <w:shd w:val="clear" w:color="auto" w:fill="auto"/>
            <w:noWrap/>
            <w:vAlign w:val="center"/>
            <w:hideMark/>
          </w:tcPr>
          <w:p w14:paraId="30B56BF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915</w:t>
            </w:r>
          </w:p>
        </w:tc>
        <w:tc>
          <w:tcPr>
            <w:tcW w:w="668" w:type="dxa"/>
            <w:tcBorders>
              <w:top w:val="nil"/>
              <w:left w:val="nil"/>
              <w:bottom w:val="nil"/>
              <w:right w:val="nil"/>
            </w:tcBorders>
            <w:shd w:val="clear" w:color="auto" w:fill="auto"/>
            <w:noWrap/>
            <w:vAlign w:val="center"/>
            <w:hideMark/>
          </w:tcPr>
          <w:p w14:paraId="3AFC587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w:t>
            </w:r>
          </w:p>
        </w:tc>
      </w:tr>
      <w:tr w:rsidR="00F56AB8" w:rsidRPr="0026351E" w14:paraId="3AE7E564" w14:textId="77777777" w:rsidTr="00A43D99">
        <w:trPr>
          <w:trHeight w:val="206"/>
        </w:trPr>
        <w:tc>
          <w:tcPr>
            <w:tcW w:w="2312" w:type="dxa"/>
            <w:tcBorders>
              <w:top w:val="nil"/>
              <w:left w:val="nil"/>
              <w:bottom w:val="single" w:sz="4" w:space="0" w:color="auto"/>
              <w:right w:val="nil"/>
            </w:tcBorders>
            <w:shd w:val="clear" w:color="auto" w:fill="auto"/>
            <w:noWrap/>
            <w:vAlign w:val="bottom"/>
            <w:hideMark/>
          </w:tcPr>
          <w:p w14:paraId="75042BF9"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1034" w:type="dxa"/>
            <w:tcBorders>
              <w:top w:val="nil"/>
              <w:left w:val="nil"/>
              <w:bottom w:val="single" w:sz="4" w:space="0" w:color="auto"/>
              <w:right w:val="nil"/>
            </w:tcBorders>
            <w:shd w:val="clear" w:color="auto" w:fill="auto"/>
            <w:noWrap/>
            <w:vAlign w:val="center"/>
            <w:hideMark/>
          </w:tcPr>
          <w:p w14:paraId="3C17F08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126.636</w:t>
            </w:r>
          </w:p>
        </w:tc>
        <w:tc>
          <w:tcPr>
            <w:tcW w:w="662" w:type="dxa"/>
            <w:tcBorders>
              <w:top w:val="nil"/>
              <w:left w:val="nil"/>
              <w:bottom w:val="single" w:sz="4" w:space="0" w:color="auto"/>
              <w:right w:val="nil"/>
            </w:tcBorders>
            <w:shd w:val="clear" w:color="auto" w:fill="auto"/>
            <w:noWrap/>
            <w:vAlign w:val="center"/>
            <w:hideMark/>
          </w:tcPr>
          <w:p w14:paraId="7D747696"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77F6541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13.857</w:t>
            </w:r>
          </w:p>
        </w:tc>
        <w:tc>
          <w:tcPr>
            <w:tcW w:w="662" w:type="dxa"/>
            <w:tcBorders>
              <w:top w:val="nil"/>
              <w:left w:val="nil"/>
              <w:bottom w:val="single" w:sz="4" w:space="0" w:color="auto"/>
              <w:right w:val="nil"/>
            </w:tcBorders>
            <w:shd w:val="clear" w:color="auto" w:fill="auto"/>
            <w:noWrap/>
            <w:vAlign w:val="center"/>
            <w:hideMark/>
          </w:tcPr>
          <w:p w14:paraId="40061E60"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45C81F1E"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44.299</w:t>
            </w:r>
          </w:p>
        </w:tc>
        <w:tc>
          <w:tcPr>
            <w:tcW w:w="662" w:type="dxa"/>
            <w:tcBorders>
              <w:top w:val="nil"/>
              <w:left w:val="nil"/>
              <w:bottom w:val="single" w:sz="4" w:space="0" w:color="auto"/>
              <w:right w:val="nil"/>
            </w:tcBorders>
            <w:shd w:val="clear" w:color="auto" w:fill="auto"/>
            <w:noWrap/>
            <w:vAlign w:val="center"/>
            <w:hideMark/>
          </w:tcPr>
          <w:p w14:paraId="295E9E5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2DEE0EC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84.288</w:t>
            </w:r>
          </w:p>
        </w:tc>
        <w:tc>
          <w:tcPr>
            <w:tcW w:w="668" w:type="dxa"/>
            <w:tcBorders>
              <w:top w:val="nil"/>
              <w:left w:val="nil"/>
              <w:bottom w:val="single" w:sz="4" w:space="0" w:color="auto"/>
              <w:right w:val="nil"/>
            </w:tcBorders>
            <w:shd w:val="clear" w:color="auto" w:fill="auto"/>
            <w:noWrap/>
            <w:vAlign w:val="center"/>
            <w:hideMark/>
          </w:tcPr>
          <w:p w14:paraId="20BAD772"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r w:rsidR="00F56AB8" w:rsidRPr="0026351E" w14:paraId="61C214B3" w14:textId="77777777" w:rsidTr="00A43D99">
        <w:trPr>
          <w:trHeight w:val="206"/>
        </w:trPr>
        <w:tc>
          <w:tcPr>
            <w:tcW w:w="9108" w:type="dxa"/>
            <w:gridSpan w:val="9"/>
            <w:tcBorders>
              <w:top w:val="nil"/>
              <w:left w:val="nil"/>
              <w:bottom w:val="nil"/>
              <w:right w:val="nil"/>
            </w:tcBorders>
            <w:shd w:val="clear" w:color="auto" w:fill="auto"/>
            <w:noWrap/>
            <w:vAlign w:val="bottom"/>
            <w:hideMark/>
          </w:tcPr>
          <w:p w14:paraId="6D57F0E9"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Rendimento mensal habitual de aposentadoria ou pensão</w:t>
            </w:r>
          </w:p>
        </w:tc>
      </w:tr>
      <w:tr w:rsidR="00F56AB8" w:rsidRPr="0026351E" w14:paraId="59FD92D0" w14:textId="77777777" w:rsidTr="00A43D99">
        <w:trPr>
          <w:trHeight w:val="206"/>
        </w:trPr>
        <w:tc>
          <w:tcPr>
            <w:tcW w:w="2312" w:type="dxa"/>
            <w:tcBorders>
              <w:top w:val="nil"/>
              <w:left w:val="nil"/>
              <w:bottom w:val="nil"/>
              <w:right w:val="nil"/>
            </w:tcBorders>
            <w:shd w:val="clear" w:color="auto" w:fill="auto"/>
            <w:noWrap/>
            <w:vAlign w:val="bottom"/>
            <w:hideMark/>
          </w:tcPr>
          <w:p w14:paraId="6DA1132E"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Não</w:t>
            </w:r>
          </w:p>
        </w:tc>
        <w:tc>
          <w:tcPr>
            <w:tcW w:w="1034" w:type="dxa"/>
            <w:tcBorders>
              <w:top w:val="nil"/>
              <w:left w:val="nil"/>
              <w:bottom w:val="nil"/>
              <w:right w:val="nil"/>
            </w:tcBorders>
            <w:shd w:val="clear" w:color="auto" w:fill="auto"/>
            <w:noWrap/>
            <w:vAlign w:val="center"/>
            <w:hideMark/>
          </w:tcPr>
          <w:p w14:paraId="5769CB17"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113.435</w:t>
            </w:r>
          </w:p>
        </w:tc>
        <w:tc>
          <w:tcPr>
            <w:tcW w:w="662" w:type="dxa"/>
            <w:tcBorders>
              <w:top w:val="nil"/>
              <w:left w:val="nil"/>
              <w:bottom w:val="nil"/>
              <w:right w:val="nil"/>
            </w:tcBorders>
            <w:shd w:val="clear" w:color="auto" w:fill="auto"/>
            <w:noWrap/>
            <w:vAlign w:val="center"/>
            <w:hideMark/>
          </w:tcPr>
          <w:p w14:paraId="10A1031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89,6</w:t>
            </w:r>
          </w:p>
        </w:tc>
        <w:tc>
          <w:tcPr>
            <w:tcW w:w="1034" w:type="dxa"/>
            <w:tcBorders>
              <w:top w:val="nil"/>
              <w:left w:val="nil"/>
              <w:bottom w:val="nil"/>
              <w:right w:val="nil"/>
            </w:tcBorders>
            <w:shd w:val="clear" w:color="auto" w:fill="auto"/>
            <w:noWrap/>
            <w:vAlign w:val="center"/>
            <w:hideMark/>
          </w:tcPr>
          <w:p w14:paraId="0C00DCC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12.363</w:t>
            </w:r>
          </w:p>
        </w:tc>
        <w:tc>
          <w:tcPr>
            <w:tcW w:w="662" w:type="dxa"/>
            <w:tcBorders>
              <w:top w:val="nil"/>
              <w:left w:val="nil"/>
              <w:bottom w:val="nil"/>
              <w:right w:val="nil"/>
            </w:tcBorders>
            <w:shd w:val="clear" w:color="auto" w:fill="auto"/>
            <w:noWrap/>
            <w:vAlign w:val="center"/>
            <w:hideMark/>
          </w:tcPr>
          <w:p w14:paraId="182394F1"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89,2</w:t>
            </w:r>
          </w:p>
        </w:tc>
        <w:tc>
          <w:tcPr>
            <w:tcW w:w="1034" w:type="dxa"/>
            <w:tcBorders>
              <w:top w:val="nil"/>
              <w:left w:val="nil"/>
              <w:bottom w:val="nil"/>
              <w:right w:val="nil"/>
            </w:tcBorders>
            <w:shd w:val="clear" w:color="auto" w:fill="auto"/>
            <w:noWrap/>
            <w:vAlign w:val="center"/>
            <w:hideMark/>
          </w:tcPr>
          <w:p w14:paraId="2815ADA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39.331</w:t>
            </w:r>
          </w:p>
        </w:tc>
        <w:tc>
          <w:tcPr>
            <w:tcW w:w="662" w:type="dxa"/>
            <w:tcBorders>
              <w:top w:val="nil"/>
              <w:left w:val="nil"/>
              <w:bottom w:val="nil"/>
              <w:right w:val="nil"/>
            </w:tcBorders>
            <w:shd w:val="clear" w:color="auto" w:fill="auto"/>
            <w:noWrap/>
            <w:vAlign w:val="center"/>
            <w:hideMark/>
          </w:tcPr>
          <w:p w14:paraId="62B4B4A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88,8</w:t>
            </w:r>
          </w:p>
        </w:tc>
        <w:tc>
          <w:tcPr>
            <w:tcW w:w="1034" w:type="dxa"/>
            <w:tcBorders>
              <w:top w:val="nil"/>
              <w:left w:val="nil"/>
              <w:bottom w:val="nil"/>
              <w:right w:val="nil"/>
            </w:tcBorders>
            <w:shd w:val="clear" w:color="auto" w:fill="auto"/>
            <w:noWrap/>
            <w:vAlign w:val="center"/>
            <w:hideMark/>
          </w:tcPr>
          <w:p w14:paraId="4983D066"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75.145</w:t>
            </w:r>
          </w:p>
        </w:tc>
        <w:tc>
          <w:tcPr>
            <w:tcW w:w="668" w:type="dxa"/>
            <w:tcBorders>
              <w:top w:val="nil"/>
              <w:left w:val="nil"/>
              <w:bottom w:val="nil"/>
              <w:right w:val="nil"/>
            </w:tcBorders>
            <w:shd w:val="clear" w:color="auto" w:fill="auto"/>
            <w:noWrap/>
            <w:vAlign w:val="center"/>
            <w:hideMark/>
          </w:tcPr>
          <w:p w14:paraId="60DEAF72"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89,1</w:t>
            </w:r>
          </w:p>
        </w:tc>
      </w:tr>
      <w:tr w:rsidR="00F56AB8" w:rsidRPr="0026351E" w14:paraId="234C9AB4" w14:textId="77777777" w:rsidTr="00A43D99">
        <w:trPr>
          <w:trHeight w:val="206"/>
        </w:trPr>
        <w:tc>
          <w:tcPr>
            <w:tcW w:w="2312" w:type="dxa"/>
            <w:tcBorders>
              <w:top w:val="nil"/>
              <w:left w:val="nil"/>
              <w:bottom w:val="nil"/>
              <w:right w:val="nil"/>
            </w:tcBorders>
            <w:shd w:val="clear" w:color="auto" w:fill="auto"/>
            <w:noWrap/>
            <w:vAlign w:val="bottom"/>
            <w:hideMark/>
          </w:tcPr>
          <w:p w14:paraId="6FF60CB4" w14:textId="77777777" w:rsidR="00F56AB8" w:rsidRPr="0026351E" w:rsidRDefault="00F56AB8" w:rsidP="00827FB4">
            <w:pPr>
              <w:spacing w:after="0" w:line="240" w:lineRule="auto"/>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 xml:space="preserve"> Sim</w:t>
            </w:r>
          </w:p>
        </w:tc>
        <w:tc>
          <w:tcPr>
            <w:tcW w:w="1034" w:type="dxa"/>
            <w:tcBorders>
              <w:top w:val="nil"/>
              <w:left w:val="nil"/>
              <w:bottom w:val="nil"/>
              <w:right w:val="nil"/>
            </w:tcBorders>
            <w:shd w:val="clear" w:color="auto" w:fill="auto"/>
            <w:noWrap/>
            <w:vAlign w:val="center"/>
            <w:hideMark/>
          </w:tcPr>
          <w:p w14:paraId="4D5238BF"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13.203</w:t>
            </w:r>
          </w:p>
        </w:tc>
        <w:tc>
          <w:tcPr>
            <w:tcW w:w="662" w:type="dxa"/>
            <w:tcBorders>
              <w:top w:val="nil"/>
              <w:left w:val="nil"/>
              <w:bottom w:val="nil"/>
              <w:right w:val="nil"/>
            </w:tcBorders>
            <w:shd w:val="clear" w:color="auto" w:fill="auto"/>
            <w:noWrap/>
            <w:vAlign w:val="center"/>
            <w:hideMark/>
          </w:tcPr>
          <w:p w14:paraId="6657CBD4"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10,4</w:t>
            </w:r>
          </w:p>
        </w:tc>
        <w:tc>
          <w:tcPr>
            <w:tcW w:w="1034" w:type="dxa"/>
            <w:tcBorders>
              <w:top w:val="nil"/>
              <w:left w:val="nil"/>
              <w:bottom w:val="nil"/>
              <w:right w:val="nil"/>
            </w:tcBorders>
            <w:shd w:val="clear" w:color="auto" w:fill="auto"/>
            <w:noWrap/>
            <w:vAlign w:val="center"/>
            <w:hideMark/>
          </w:tcPr>
          <w:p w14:paraId="5133790E"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1.494</w:t>
            </w:r>
          </w:p>
        </w:tc>
        <w:tc>
          <w:tcPr>
            <w:tcW w:w="662" w:type="dxa"/>
            <w:tcBorders>
              <w:top w:val="nil"/>
              <w:left w:val="nil"/>
              <w:bottom w:val="nil"/>
              <w:right w:val="nil"/>
            </w:tcBorders>
            <w:shd w:val="clear" w:color="auto" w:fill="auto"/>
            <w:noWrap/>
            <w:vAlign w:val="center"/>
            <w:hideMark/>
          </w:tcPr>
          <w:p w14:paraId="3EB7DD49"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10,8</w:t>
            </w:r>
          </w:p>
        </w:tc>
        <w:tc>
          <w:tcPr>
            <w:tcW w:w="1034" w:type="dxa"/>
            <w:tcBorders>
              <w:top w:val="nil"/>
              <w:left w:val="nil"/>
              <w:bottom w:val="nil"/>
              <w:right w:val="nil"/>
            </w:tcBorders>
            <w:shd w:val="clear" w:color="auto" w:fill="auto"/>
            <w:noWrap/>
            <w:vAlign w:val="center"/>
            <w:hideMark/>
          </w:tcPr>
          <w:p w14:paraId="2EB11323"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4.971</w:t>
            </w:r>
          </w:p>
        </w:tc>
        <w:tc>
          <w:tcPr>
            <w:tcW w:w="662" w:type="dxa"/>
            <w:tcBorders>
              <w:top w:val="nil"/>
              <w:left w:val="nil"/>
              <w:bottom w:val="nil"/>
              <w:right w:val="nil"/>
            </w:tcBorders>
            <w:shd w:val="clear" w:color="auto" w:fill="auto"/>
            <w:noWrap/>
            <w:vAlign w:val="center"/>
            <w:hideMark/>
          </w:tcPr>
          <w:p w14:paraId="5A37E27B"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11,2</w:t>
            </w:r>
          </w:p>
        </w:tc>
        <w:tc>
          <w:tcPr>
            <w:tcW w:w="1034" w:type="dxa"/>
            <w:tcBorders>
              <w:top w:val="nil"/>
              <w:left w:val="nil"/>
              <w:bottom w:val="nil"/>
              <w:right w:val="nil"/>
            </w:tcBorders>
            <w:shd w:val="clear" w:color="auto" w:fill="auto"/>
            <w:noWrap/>
            <w:vAlign w:val="center"/>
            <w:hideMark/>
          </w:tcPr>
          <w:p w14:paraId="2CF86E70"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9.147</w:t>
            </w:r>
          </w:p>
        </w:tc>
        <w:tc>
          <w:tcPr>
            <w:tcW w:w="668" w:type="dxa"/>
            <w:tcBorders>
              <w:top w:val="nil"/>
              <w:left w:val="nil"/>
              <w:bottom w:val="nil"/>
              <w:right w:val="nil"/>
            </w:tcBorders>
            <w:shd w:val="clear" w:color="auto" w:fill="auto"/>
            <w:noWrap/>
            <w:vAlign w:val="center"/>
            <w:hideMark/>
          </w:tcPr>
          <w:p w14:paraId="51B18BCA" w14:textId="77777777" w:rsidR="00F56AB8" w:rsidRPr="0026351E" w:rsidRDefault="00F56AB8" w:rsidP="00827FB4">
            <w:pPr>
              <w:spacing w:after="0" w:line="240" w:lineRule="auto"/>
              <w:jc w:val="center"/>
              <w:rPr>
                <w:rFonts w:ascii="Times New Roman" w:eastAsia="Times New Roman" w:hAnsi="Times New Roman" w:cs="Times New Roman"/>
                <w:sz w:val="18"/>
                <w:szCs w:val="18"/>
                <w:lang w:eastAsia="pt-BR"/>
              </w:rPr>
            </w:pPr>
            <w:r w:rsidRPr="0026351E">
              <w:rPr>
                <w:rFonts w:ascii="Times New Roman" w:eastAsia="Times New Roman" w:hAnsi="Times New Roman" w:cs="Times New Roman"/>
                <w:sz w:val="18"/>
                <w:szCs w:val="18"/>
                <w:lang w:eastAsia="pt-BR"/>
              </w:rPr>
              <w:t>10,9</w:t>
            </w:r>
          </w:p>
        </w:tc>
      </w:tr>
      <w:tr w:rsidR="00F56AB8" w:rsidRPr="0026351E" w14:paraId="0FAAF3EE" w14:textId="77777777" w:rsidTr="00A43D99">
        <w:trPr>
          <w:trHeight w:val="206"/>
        </w:trPr>
        <w:tc>
          <w:tcPr>
            <w:tcW w:w="2312" w:type="dxa"/>
            <w:tcBorders>
              <w:top w:val="nil"/>
              <w:left w:val="nil"/>
              <w:bottom w:val="single" w:sz="4" w:space="0" w:color="auto"/>
              <w:right w:val="nil"/>
            </w:tcBorders>
            <w:shd w:val="clear" w:color="auto" w:fill="auto"/>
            <w:noWrap/>
            <w:vAlign w:val="bottom"/>
            <w:hideMark/>
          </w:tcPr>
          <w:p w14:paraId="4CD7A875" w14:textId="77777777" w:rsidR="00F56AB8" w:rsidRPr="0026351E" w:rsidRDefault="00F56AB8" w:rsidP="00827FB4">
            <w:pPr>
              <w:spacing w:after="0" w:line="240" w:lineRule="auto"/>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Total</w:t>
            </w:r>
          </w:p>
        </w:tc>
        <w:tc>
          <w:tcPr>
            <w:tcW w:w="1034" w:type="dxa"/>
            <w:tcBorders>
              <w:top w:val="nil"/>
              <w:left w:val="nil"/>
              <w:bottom w:val="single" w:sz="4" w:space="0" w:color="auto"/>
              <w:right w:val="nil"/>
            </w:tcBorders>
            <w:shd w:val="clear" w:color="auto" w:fill="auto"/>
            <w:noWrap/>
            <w:vAlign w:val="center"/>
            <w:hideMark/>
          </w:tcPr>
          <w:p w14:paraId="08666BC5"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126.638</w:t>
            </w:r>
          </w:p>
        </w:tc>
        <w:tc>
          <w:tcPr>
            <w:tcW w:w="662" w:type="dxa"/>
            <w:tcBorders>
              <w:top w:val="nil"/>
              <w:left w:val="nil"/>
              <w:bottom w:val="single" w:sz="4" w:space="0" w:color="auto"/>
              <w:right w:val="nil"/>
            </w:tcBorders>
            <w:shd w:val="clear" w:color="auto" w:fill="auto"/>
            <w:noWrap/>
            <w:vAlign w:val="center"/>
            <w:hideMark/>
          </w:tcPr>
          <w:p w14:paraId="5C41212F"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49A2DFE4"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13.857</w:t>
            </w:r>
          </w:p>
        </w:tc>
        <w:tc>
          <w:tcPr>
            <w:tcW w:w="662" w:type="dxa"/>
            <w:tcBorders>
              <w:top w:val="nil"/>
              <w:left w:val="nil"/>
              <w:bottom w:val="single" w:sz="4" w:space="0" w:color="auto"/>
              <w:right w:val="nil"/>
            </w:tcBorders>
            <w:shd w:val="clear" w:color="auto" w:fill="auto"/>
            <w:noWrap/>
            <w:vAlign w:val="center"/>
            <w:hideMark/>
          </w:tcPr>
          <w:p w14:paraId="0874032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65AA848D"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44.302</w:t>
            </w:r>
          </w:p>
        </w:tc>
        <w:tc>
          <w:tcPr>
            <w:tcW w:w="662" w:type="dxa"/>
            <w:tcBorders>
              <w:top w:val="nil"/>
              <w:left w:val="nil"/>
              <w:bottom w:val="single" w:sz="4" w:space="0" w:color="auto"/>
              <w:right w:val="nil"/>
            </w:tcBorders>
            <w:shd w:val="clear" w:color="auto" w:fill="auto"/>
            <w:noWrap/>
            <w:vAlign w:val="center"/>
            <w:hideMark/>
          </w:tcPr>
          <w:p w14:paraId="59ABFFB2"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c>
          <w:tcPr>
            <w:tcW w:w="1034" w:type="dxa"/>
            <w:tcBorders>
              <w:top w:val="nil"/>
              <w:left w:val="nil"/>
              <w:bottom w:val="single" w:sz="4" w:space="0" w:color="auto"/>
              <w:right w:val="nil"/>
            </w:tcBorders>
            <w:shd w:val="clear" w:color="auto" w:fill="auto"/>
            <w:noWrap/>
            <w:vAlign w:val="center"/>
            <w:hideMark/>
          </w:tcPr>
          <w:p w14:paraId="367D2DC6"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84.292</w:t>
            </w:r>
          </w:p>
        </w:tc>
        <w:tc>
          <w:tcPr>
            <w:tcW w:w="668" w:type="dxa"/>
            <w:tcBorders>
              <w:top w:val="nil"/>
              <w:left w:val="nil"/>
              <w:bottom w:val="single" w:sz="4" w:space="0" w:color="auto"/>
              <w:right w:val="nil"/>
            </w:tcBorders>
            <w:shd w:val="clear" w:color="auto" w:fill="auto"/>
            <w:noWrap/>
            <w:vAlign w:val="center"/>
            <w:hideMark/>
          </w:tcPr>
          <w:p w14:paraId="7B51E429" w14:textId="77777777" w:rsidR="00F56AB8" w:rsidRPr="0026351E" w:rsidRDefault="00F56AB8" w:rsidP="00827FB4">
            <w:pPr>
              <w:spacing w:after="0" w:line="240" w:lineRule="auto"/>
              <w:jc w:val="center"/>
              <w:rPr>
                <w:rFonts w:ascii="Times New Roman" w:eastAsia="Times New Roman" w:hAnsi="Times New Roman" w:cs="Times New Roman"/>
                <w:b/>
                <w:bCs/>
                <w:sz w:val="18"/>
                <w:szCs w:val="18"/>
                <w:lang w:eastAsia="pt-BR"/>
              </w:rPr>
            </w:pPr>
            <w:r w:rsidRPr="0026351E">
              <w:rPr>
                <w:rFonts w:ascii="Times New Roman" w:eastAsia="Times New Roman" w:hAnsi="Times New Roman" w:cs="Times New Roman"/>
                <w:b/>
                <w:bCs/>
                <w:sz w:val="18"/>
                <w:szCs w:val="18"/>
                <w:lang w:eastAsia="pt-BR"/>
              </w:rPr>
              <w:t>100,0</w:t>
            </w:r>
          </w:p>
        </w:tc>
      </w:tr>
    </w:tbl>
    <w:p w14:paraId="2C5CAED4" w14:textId="36EBFD8D" w:rsidR="00F56AB8" w:rsidRDefault="00F56AB8" w:rsidP="00F56AB8">
      <w:pPr>
        <w:spacing w:after="0" w:line="360" w:lineRule="auto"/>
        <w:jc w:val="both"/>
        <w:rPr>
          <w:rFonts w:ascii="Times New Roman" w:hAnsi="Times New Roman" w:cs="Times New Roman"/>
          <w:sz w:val="20"/>
          <w:szCs w:val="20"/>
        </w:rPr>
      </w:pPr>
      <w:r w:rsidRPr="0026351E">
        <w:rPr>
          <w:rFonts w:ascii="Times New Roman" w:hAnsi="Times New Roman" w:cs="Times New Roman"/>
          <w:sz w:val="20"/>
          <w:szCs w:val="20"/>
        </w:rPr>
        <w:t>Fonte: IBGE, microdados da amostra do Censo Demográfico de 2010.</w:t>
      </w:r>
    </w:p>
    <w:p w14:paraId="166ACC89" w14:textId="77777777" w:rsidR="003C1F5B" w:rsidRPr="0026351E" w:rsidRDefault="003C1F5B" w:rsidP="00F56AB8">
      <w:pPr>
        <w:spacing w:after="0" w:line="360" w:lineRule="auto"/>
        <w:jc w:val="both"/>
        <w:rPr>
          <w:rFonts w:ascii="Times New Roman" w:hAnsi="Times New Roman" w:cs="Times New Roman"/>
          <w:sz w:val="20"/>
          <w:szCs w:val="20"/>
        </w:rPr>
      </w:pPr>
    </w:p>
    <w:p w14:paraId="2BB5D6E1" w14:textId="49D84B33" w:rsidR="00F56AB8" w:rsidRPr="0026351E" w:rsidRDefault="00F56AB8" w:rsidP="0065406C">
      <w:pPr>
        <w:spacing w:after="0" w:line="360" w:lineRule="auto"/>
        <w:jc w:val="both"/>
        <w:rPr>
          <w:rFonts w:ascii="Times New Roman" w:hAnsi="Times New Roman" w:cs="Times New Roman"/>
          <w:sz w:val="24"/>
          <w:szCs w:val="24"/>
        </w:rPr>
      </w:pPr>
      <w:r w:rsidRPr="0026351E">
        <w:rPr>
          <w:rFonts w:ascii="Times New Roman" w:hAnsi="Times New Roman" w:cs="Times New Roman"/>
          <w:sz w:val="24"/>
          <w:szCs w:val="24"/>
        </w:rPr>
        <w:tab/>
        <w:t xml:space="preserve">No intuito de verificar a existência de algum capital social, por meio da assistência governamental, buscou-se destacar as fontes de renda provenientes de programas sociais e de </w:t>
      </w:r>
      <w:r w:rsidRPr="0026351E">
        <w:rPr>
          <w:rFonts w:ascii="Times New Roman" w:hAnsi="Times New Roman" w:cs="Times New Roman"/>
          <w:sz w:val="24"/>
          <w:szCs w:val="24"/>
        </w:rPr>
        <w:lastRenderedPageBreak/>
        <w:t>outras formas de transferência de recursos, bem como se recebe aposentadoria ou pensão de instituto de previdência oficial. De modo geral, cerca de 80% não recebe rendimento mensal habitual do PBF/PETI. As condições são ainda mais precárias quando se observa o rendimento mensal habitual de outros programas sociais, em que a proporção gira em torno dos 98%. Quanto as aposentadorias ou pensões, em média, 89% não recebe habitualmente esse tipo de benefício.</w:t>
      </w:r>
    </w:p>
    <w:p w14:paraId="7A014F20" w14:textId="0D76AD32"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Portanto, as condições socioeconômicas da população rural que nunca migrou e que possui cisterna em casa é bastante precária. A principal atividade econômica é a agricultura, a qual é significativamente vulnerável aos períodos de estiagem e, especialmente, as secas extremas. Além do rendimento familiar ser muito baixo, a cobertura de programas sociais de transferência de renda ainda parece necessitar de maior impulso, visto que parte expressiva da população residente no rural </w:t>
      </w:r>
      <w:r w:rsidR="00180744">
        <w:rPr>
          <w:rFonts w:ascii="Times New Roman" w:hAnsi="Times New Roman" w:cs="Times New Roman"/>
          <w:sz w:val="24"/>
          <w:szCs w:val="24"/>
        </w:rPr>
        <w:t xml:space="preserve">que nunca migrou </w:t>
      </w:r>
      <w:r w:rsidRPr="0026351E">
        <w:rPr>
          <w:rFonts w:ascii="Times New Roman" w:hAnsi="Times New Roman" w:cs="Times New Roman"/>
          <w:sz w:val="24"/>
          <w:szCs w:val="24"/>
        </w:rPr>
        <w:t xml:space="preserve">dos municípios da Caatinga registrou não ter acesso a essa fonte de rendimento. </w:t>
      </w:r>
    </w:p>
    <w:p w14:paraId="1F457337" w14:textId="6C5CBEA9"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Em suma, na distribuição espacial dada pelo Índice Local de Moran, evidenciou-se aglomerados, com significância estatística, com valores altos de pessoas que nunca migraram, bem como aglomerados com valores altos de pessoas que tem acesso a cisterna. Apesar do Índice Global de Moran ter se mostrado muito baixo para a correlação espacial bivariada, é possível conjecturar, haja visto as zonas estatisticamente significativas do agrupamento Alto-Alto</w:t>
      </w:r>
      <w:r w:rsidR="006C5F91">
        <w:rPr>
          <w:rFonts w:ascii="Times New Roman" w:hAnsi="Times New Roman" w:cs="Times New Roman"/>
          <w:sz w:val="24"/>
          <w:szCs w:val="24"/>
        </w:rPr>
        <w:t xml:space="preserve"> </w:t>
      </w:r>
      <w:r w:rsidR="00C93039">
        <w:rPr>
          <w:rFonts w:ascii="Times New Roman" w:hAnsi="Times New Roman" w:cs="Times New Roman"/>
          <w:sz w:val="24"/>
          <w:szCs w:val="24"/>
        </w:rPr>
        <w:t>d</w:t>
      </w:r>
      <w:r w:rsidR="006C5F91">
        <w:rPr>
          <w:rFonts w:ascii="Times New Roman" w:hAnsi="Times New Roman" w:cs="Times New Roman"/>
          <w:sz w:val="24"/>
          <w:szCs w:val="24"/>
        </w:rPr>
        <w:t>o Índice Local</w:t>
      </w:r>
      <w:r w:rsidRPr="0026351E">
        <w:rPr>
          <w:rFonts w:ascii="Times New Roman" w:hAnsi="Times New Roman" w:cs="Times New Roman"/>
          <w:sz w:val="24"/>
          <w:szCs w:val="24"/>
        </w:rPr>
        <w:t xml:space="preserve">, que o </w:t>
      </w:r>
      <w:r w:rsidR="00C93039">
        <w:rPr>
          <w:rFonts w:ascii="Times New Roman" w:hAnsi="Times New Roman" w:cs="Times New Roman"/>
          <w:sz w:val="24"/>
          <w:szCs w:val="24"/>
        </w:rPr>
        <w:t>P</w:t>
      </w:r>
      <w:r w:rsidRPr="0026351E">
        <w:rPr>
          <w:rFonts w:ascii="Times New Roman" w:hAnsi="Times New Roman" w:cs="Times New Roman"/>
          <w:sz w:val="24"/>
          <w:szCs w:val="24"/>
        </w:rPr>
        <w:t xml:space="preserve">rograma </w:t>
      </w:r>
      <w:r w:rsidR="00C93039">
        <w:rPr>
          <w:rFonts w:ascii="Times New Roman" w:hAnsi="Times New Roman" w:cs="Times New Roman"/>
          <w:sz w:val="24"/>
          <w:szCs w:val="24"/>
        </w:rPr>
        <w:t xml:space="preserve">Cisternas </w:t>
      </w:r>
      <w:r w:rsidRPr="0026351E">
        <w:rPr>
          <w:rFonts w:ascii="Times New Roman" w:hAnsi="Times New Roman" w:cs="Times New Roman"/>
          <w:sz w:val="24"/>
          <w:szCs w:val="24"/>
        </w:rPr>
        <w:t xml:space="preserve">tem seu peso na decisão do sertanejo nunca ter migrado do rural. </w:t>
      </w:r>
    </w:p>
    <w:p w14:paraId="4661D0BC" w14:textId="77777777"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 xml:space="preserve">Deve-se reconhecer que há outros fatores que podem ter contribuído para um maior número de sertanejos não lançar mão da estratégia de migrar. Assim, é importante reconhecer e mencionar que a sinergia com outros programas se soma a essa decisão, que por aumentar a capacidade de resiliência torna a migração apenas mais uma dentre as estratégias de respostas disponíveis. Isso mostra, portanto, que a permanência pode ser resultado tanto de fatores ligados a uma dinâmica mais macro, como a ampliação de políticas sociais que melhorem o acesso a cisterna para conviver com a seca, quanto por fatores relativos ao próprio indivíduo ou família, os quais implicam na decisão de ficar. Contudo, a permanência da população rural nos municípios da Caatinga parece estar condicionada a uma mescla de fatores positivos e </w:t>
      </w:r>
      <w:r w:rsidRPr="0026351E">
        <w:rPr>
          <w:rFonts w:ascii="Times New Roman" w:hAnsi="Times New Roman" w:cs="Times New Roman"/>
          <w:sz w:val="24"/>
          <w:szCs w:val="24"/>
        </w:rPr>
        <w:lastRenderedPageBreak/>
        <w:t xml:space="preserve">negativos, e que aqueles mais favoráveis ajudam a amenizar e a lidar com aqueles que impõe limitações. </w:t>
      </w:r>
    </w:p>
    <w:p w14:paraId="31918846" w14:textId="21D53329" w:rsidR="00F56AB8" w:rsidRPr="0026351E" w:rsidRDefault="00F56AB8" w:rsidP="00F56AB8">
      <w:pPr>
        <w:spacing w:after="0" w:line="360" w:lineRule="auto"/>
        <w:ind w:firstLine="708"/>
        <w:jc w:val="both"/>
        <w:rPr>
          <w:rFonts w:ascii="Times New Roman" w:hAnsi="Times New Roman" w:cs="Times New Roman"/>
          <w:sz w:val="24"/>
          <w:szCs w:val="24"/>
        </w:rPr>
      </w:pPr>
      <w:r w:rsidRPr="0026351E">
        <w:rPr>
          <w:rFonts w:ascii="Times New Roman" w:hAnsi="Times New Roman" w:cs="Times New Roman"/>
          <w:sz w:val="24"/>
          <w:szCs w:val="24"/>
        </w:rPr>
        <w:t>Embora o método aqui adotado, assim como a base de dados, não permita uma associação causal direta, os resultados obtidos deram pistas relevantes sobre a importância das políticas públicas na formação da resiliência em espaços marcados por uma evidente sobreposição de vulnerabilidades. Dessa forma, para entender melhor as relações entre a imobilidade e políticas públicas é necessário informações que possibilitem uma melhor visualização dessa associação de forma mais clara, o que se leva a sugerir o uso de bases de dados longitudinais</w:t>
      </w:r>
      <w:r w:rsidR="00C93039">
        <w:rPr>
          <w:rFonts w:ascii="Times New Roman" w:hAnsi="Times New Roman" w:cs="Times New Roman"/>
          <w:sz w:val="24"/>
          <w:szCs w:val="24"/>
        </w:rPr>
        <w:t xml:space="preserve"> ou mesmo pesquisas </w:t>
      </w:r>
      <w:r w:rsidR="00C93039" w:rsidRPr="00C93039">
        <w:rPr>
          <w:rFonts w:ascii="Times New Roman" w:hAnsi="Times New Roman" w:cs="Times New Roman"/>
          <w:i/>
          <w:iCs/>
          <w:sz w:val="24"/>
          <w:szCs w:val="24"/>
        </w:rPr>
        <w:t>in loco</w:t>
      </w:r>
      <w:r w:rsidRPr="0026351E">
        <w:rPr>
          <w:rFonts w:ascii="Times New Roman" w:hAnsi="Times New Roman" w:cs="Times New Roman"/>
          <w:sz w:val="24"/>
          <w:szCs w:val="24"/>
        </w:rPr>
        <w:t xml:space="preserve">. </w:t>
      </w:r>
    </w:p>
    <w:p w14:paraId="5F7618E3" w14:textId="77777777" w:rsidR="00695FD3" w:rsidRPr="0026351E" w:rsidRDefault="00695FD3" w:rsidP="002B7519">
      <w:pPr>
        <w:spacing w:after="0" w:line="360" w:lineRule="auto"/>
        <w:jc w:val="both"/>
        <w:rPr>
          <w:rFonts w:ascii="Times New Roman" w:hAnsi="Times New Roman" w:cs="Times New Roman"/>
          <w:b/>
          <w:bCs/>
          <w:sz w:val="24"/>
          <w:szCs w:val="24"/>
        </w:rPr>
      </w:pPr>
    </w:p>
    <w:p w14:paraId="50A5A66A" w14:textId="77777777" w:rsidR="00695FD3" w:rsidRPr="00942090" w:rsidRDefault="00667C57" w:rsidP="002B7519">
      <w:pPr>
        <w:spacing w:after="0" w:line="360" w:lineRule="auto"/>
        <w:jc w:val="both"/>
        <w:rPr>
          <w:rFonts w:ascii="Times New Roman" w:hAnsi="Times New Roman" w:cs="Times New Roman"/>
          <w:b/>
          <w:bCs/>
          <w:sz w:val="24"/>
          <w:szCs w:val="24"/>
          <w:lang w:val="en-US"/>
        </w:rPr>
      </w:pPr>
      <w:r w:rsidRPr="00942090">
        <w:rPr>
          <w:rFonts w:ascii="Times New Roman" w:hAnsi="Times New Roman" w:cs="Times New Roman"/>
          <w:b/>
          <w:bCs/>
          <w:sz w:val="24"/>
          <w:szCs w:val="24"/>
          <w:lang w:val="en-US"/>
        </w:rPr>
        <w:t>REFERÊNCIAS</w:t>
      </w:r>
    </w:p>
    <w:p w14:paraId="027FBBF9" w14:textId="77777777" w:rsidR="00E24F27" w:rsidRDefault="00E24F27" w:rsidP="00E24F27">
      <w:pPr>
        <w:adjustRightInd w:val="0"/>
        <w:spacing w:after="0" w:line="240" w:lineRule="auto"/>
        <w:jc w:val="both"/>
        <w:rPr>
          <w:rFonts w:ascii="Arial" w:hAnsi="Arial" w:cs="Arial"/>
          <w:sz w:val="24"/>
          <w:szCs w:val="24"/>
          <w:lang w:val="en-US"/>
        </w:rPr>
      </w:pPr>
    </w:p>
    <w:p w14:paraId="7DEE0433" w14:textId="2CBA4F44" w:rsidR="00695FD3" w:rsidRPr="00942090" w:rsidRDefault="00E24F27" w:rsidP="00E24F27">
      <w:pPr>
        <w:adjustRightInd w:val="0"/>
        <w:spacing w:after="0" w:line="240" w:lineRule="auto"/>
        <w:jc w:val="both"/>
        <w:rPr>
          <w:rFonts w:ascii="Times New Roman" w:hAnsi="Times New Roman" w:cs="Times New Roman"/>
          <w:sz w:val="24"/>
          <w:szCs w:val="24"/>
        </w:rPr>
      </w:pPr>
      <w:r w:rsidRPr="00E24F27">
        <w:rPr>
          <w:rFonts w:ascii="Times New Roman" w:hAnsi="Times New Roman" w:cs="Times New Roman"/>
          <w:sz w:val="24"/>
          <w:szCs w:val="24"/>
          <w:lang w:val="en-US"/>
        </w:rPr>
        <w:t xml:space="preserve">ABREU, A. </w:t>
      </w:r>
      <w:r w:rsidRPr="00E24F27">
        <w:rPr>
          <w:rFonts w:ascii="Times New Roman" w:hAnsi="Times New Roman" w:cs="Times New Roman"/>
          <w:b/>
          <w:bCs/>
          <w:sz w:val="24"/>
          <w:szCs w:val="24"/>
          <w:lang w:val="en-US"/>
        </w:rPr>
        <w:t>The New Economics of Labor Migration: Beware of Neoclassicals Bearing Gifts</w:t>
      </w:r>
      <w:r w:rsidRPr="00E24F27">
        <w:rPr>
          <w:rFonts w:ascii="Times New Roman" w:hAnsi="Times New Roman" w:cs="Times New Roman"/>
          <w:sz w:val="24"/>
          <w:szCs w:val="24"/>
          <w:lang w:val="en-US"/>
        </w:rPr>
        <w:t xml:space="preserve">. </w:t>
      </w:r>
      <w:proofErr w:type="spellStart"/>
      <w:r w:rsidRPr="00942090">
        <w:rPr>
          <w:rStyle w:val="journaltitle"/>
          <w:rFonts w:ascii="Times New Roman" w:hAnsi="Times New Roman"/>
          <w:sz w:val="24"/>
          <w:szCs w:val="24"/>
        </w:rPr>
        <w:t>Forum</w:t>
      </w:r>
      <w:proofErr w:type="spellEnd"/>
      <w:r w:rsidRPr="00942090">
        <w:rPr>
          <w:rStyle w:val="journaltitle"/>
          <w:rFonts w:ascii="Times New Roman" w:hAnsi="Times New Roman"/>
          <w:sz w:val="24"/>
          <w:szCs w:val="24"/>
        </w:rPr>
        <w:t xml:space="preserve"> for Social Economics, 2010.</w:t>
      </w:r>
    </w:p>
    <w:p w14:paraId="4B984C77" w14:textId="77777777" w:rsidR="00E24F27" w:rsidRPr="00942090" w:rsidRDefault="00E24F27" w:rsidP="00E24F27">
      <w:pPr>
        <w:adjustRightInd w:val="0"/>
        <w:spacing w:after="0" w:line="240" w:lineRule="auto"/>
        <w:jc w:val="both"/>
        <w:rPr>
          <w:rFonts w:ascii="Arial" w:hAnsi="Arial" w:cs="Arial"/>
          <w:sz w:val="24"/>
          <w:szCs w:val="24"/>
        </w:rPr>
      </w:pPr>
    </w:p>
    <w:p w14:paraId="10345D02" w14:textId="77777777" w:rsidR="0026351E" w:rsidRPr="00942090"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ALMEIDA, E. </w:t>
      </w:r>
      <w:r w:rsidRPr="0026351E">
        <w:rPr>
          <w:rFonts w:ascii="Times New Roman" w:hAnsi="Times New Roman" w:cs="Times New Roman"/>
          <w:b/>
          <w:bCs/>
          <w:sz w:val="24"/>
          <w:szCs w:val="24"/>
        </w:rPr>
        <w:t>Econometria espacial aplicada</w:t>
      </w:r>
      <w:r w:rsidRPr="0026351E">
        <w:rPr>
          <w:rFonts w:ascii="Times New Roman" w:hAnsi="Times New Roman" w:cs="Times New Roman"/>
          <w:sz w:val="24"/>
          <w:szCs w:val="24"/>
        </w:rPr>
        <w:t xml:space="preserve">. </w:t>
      </w:r>
      <w:r w:rsidRPr="00942090">
        <w:rPr>
          <w:rFonts w:ascii="Times New Roman" w:hAnsi="Times New Roman" w:cs="Times New Roman"/>
          <w:sz w:val="24"/>
          <w:szCs w:val="24"/>
        </w:rPr>
        <w:t>Alínea: Campinas - SP, 2012.</w:t>
      </w:r>
    </w:p>
    <w:p w14:paraId="43E0D8DD" w14:textId="77777777" w:rsidR="0026351E" w:rsidRPr="00942090" w:rsidRDefault="0026351E" w:rsidP="0026351E">
      <w:pPr>
        <w:spacing w:after="0" w:line="240" w:lineRule="auto"/>
        <w:jc w:val="both"/>
        <w:rPr>
          <w:rFonts w:ascii="Times New Roman" w:hAnsi="Times New Roman" w:cs="Times New Roman"/>
          <w:sz w:val="24"/>
          <w:szCs w:val="24"/>
        </w:rPr>
      </w:pPr>
    </w:p>
    <w:p w14:paraId="23EC6689" w14:textId="77777777" w:rsidR="0026351E" w:rsidRPr="0026351E" w:rsidRDefault="0026351E" w:rsidP="0026351E">
      <w:pPr>
        <w:spacing w:after="0" w:line="240" w:lineRule="auto"/>
        <w:jc w:val="both"/>
        <w:rPr>
          <w:rFonts w:ascii="Times New Roman" w:hAnsi="Times New Roman" w:cs="Times New Roman"/>
          <w:sz w:val="24"/>
          <w:szCs w:val="24"/>
          <w:lang w:val="en-US"/>
        </w:rPr>
      </w:pPr>
      <w:r w:rsidRPr="0026351E">
        <w:rPr>
          <w:rFonts w:ascii="Times New Roman" w:hAnsi="Times New Roman" w:cs="Times New Roman"/>
          <w:sz w:val="24"/>
          <w:szCs w:val="24"/>
          <w:lang w:val="en-US"/>
        </w:rPr>
        <w:t xml:space="preserve">ANSELIN, L. Local indicators of spatial association (LISA). </w:t>
      </w:r>
      <w:r w:rsidRPr="0026351E">
        <w:rPr>
          <w:rFonts w:ascii="Times New Roman" w:hAnsi="Times New Roman" w:cs="Times New Roman"/>
          <w:b/>
          <w:bCs/>
          <w:sz w:val="24"/>
          <w:szCs w:val="24"/>
          <w:lang w:val="en-US"/>
        </w:rPr>
        <w:t>Geographical Analysis</w:t>
      </w:r>
      <w:r w:rsidRPr="0026351E">
        <w:rPr>
          <w:rFonts w:ascii="Times New Roman" w:hAnsi="Times New Roman" w:cs="Times New Roman"/>
          <w:sz w:val="24"/>
          <w:szCs w:val="24"/>
          <w:lang w:val="en-US"/>
        </w:rPr>
        <w:t>, v. 27, n. 2, p. 93-115, 1995.</w:t>
      </w:r>
    </w:p>
    <w:p w14:paraId="3F265DDA" w14:textId="77777777" w:rsidR="0026351E" w:rsidRPr="0026351E" w:rsidRDefault="0026351E" w:rsidP="0026351E">
      <w:pPr>
        <w:spacing w:after="0" w:line="240" w:lineRule="auto"/>
        <w:jc w:val="both"/>
        <w:rPr>
          <w:rFonts w:ascii="Times New Roman" w:hAnsi="Times New Roman" w:cs="Times New Roman"/>
          <w:sz w:val="24"/>
          <w:szCs w:val="24"/>
          <w:lang w:val="en-US"/>
        </w:rPr>
      </w:pPr>
    </w:p>
    <w:p w14:paraId="3DEB43FF" w14:textId="77777777"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lang w:val="en-US"/>
        </w:rPr>
        <w:t xml:space="preserve">ANSELIN, L.; SYABRI, I.; KHO, Y. </w:t>
      </w:r>
      <w:proofErr w:type="spellStart"/>
      <w:r w:rsidRPr="0026351E">
        <w:rPr>
          <w:rFonts w:ascii="Times New Roman" w:hAnsi="Times New Roman" w:cs="Times New Roman"/>
          <w:sz w:val="24"/>
          <w:szCs w:val="24"/>
          <w:lang w:val="en-US"/>
        </w:rPr>
        <w:t>GeoDa</w:t>
      </w:r>
      <w:proofErr w:type="spellEnd"/>
      <w:r w:rsidRPr="0026351E">
        <w:rPr>
          <w:rFonts w:ascii="Times New Roman" w:hAnsi="Times New Roman" w:cs="Times New Roman"/>
          <w:sz w:val="24"/>
          <w:szCs w:val="24"/>
          <w:lang w:val="en-US"/>
        </w:rPr>
        <w:t xml:space="preserve">: an introduction to spatial data analysis. </w:t>
      </w:r>
      <w:proofErr w:type="spellStart"/>
      <w:r w:rsidRPr="0026351E">
        <w:rPr>
          <w:rFonts w:ascii="Times New Roman" w:hAnsi="Times New Roman" w:cs="Times New Roman"/>
          <w:b/>
          <w:bCs/>
          <w:sz w:val="24"/>
          <w:szCs w:val="24"/>
        </w:rPr>
        <w:t>Geographical</w:t>
      </w:r>
      <w:proofErr w:type="spellEnd"/>
      <w:r w:rsidRPr="0026351E">
        <w:rPr>
          <w:rFonts w:ascii="Times New Roman" w:hAnsi="Times New Roman" w:cs="Times New Roman"/>
          <w:b/>
          <w:bCs/>
          <w:sz w:val="24"/>
          <w:szCs w:val="24"/>
        </w:rPr>
        <w:t xml:space="preserve"> </w:t>
      </w:r>
      <w:proofErr w:type="spellStart"/>
      <w:r w:rsidRPr="0026351E">
        <w:rPr>
          <w:rFonts w:ascii="Times New Roman" w:hAnsi="Times New Roman" w:cs="Times New Roman"/>
          <w:b/>
          <w:bCs/>
          <w:sz w:val="24"/>
          <w:szCs w:val="24"/>
        </w:rPr>
        <w:t>Analysis</w:t>
      </w:r>
      <w:proofErr w:type="spellEnd"/>
      <w:r w:rsidRPr="0026351E">
        <w:rPr>
          <w:rFonts w:ascii="Times New Roman" w:hAnsi="Times New Roman" w:cs="Times New Roman"/>
          <w:sz w:val="24"/>
          <w:szCs w:val="24"/>
        </w:rPr>
        <w:t xml:space="preserve">, v.38, n.1, p.5-22, Jan. 2006. </w:t>
      </w:r>
    </w:p>
    <w:p w14:paraId="059C5246" w14:textId="77777777" w:rsidR="0026351E" w:rsidRPr="0026351E" w:rsidRDefault="0026351E" w:rsidP="0026351E">
      <w:pPr>
        <w:spacing w:after="0" w:line="240" w:lineRule="auto"/>
        <w:jc w:val="both"/>
        <w:rPr>
          <w:rFonts w:ascii="Times New Roman" w:hAnsi="Times New Roman" w:cs="Times New Roman"/>
          <w:sz w:val="24"/>
          <w:szCs w:val="24"/>
        </w:rPr>
      </w:pPr>
    </w:p>
    <w:p w14:paraId="590D0997" w14:textId="2D4A8723"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ASA. Articulação do Semiárido Brasileiro. </w:t>
      </w:r>
      <w:r w:rsidRPr="0026351E">
        <w:rPr>
          <w:rFonts w:ascii="Times New Roman" w:hAnsi="Times New Roman" w:cs="Times New Roman"/>
          <w:b/>
          <w:bCs/>
          <w:sz w:val="24"/>
          <w:szCs w:val="24"/>
        </w:rPr>
        <w:t>Programa Um Milhão de Cisternas</w:t>
      </w:r>
      <w:r w:rsidRPr="0026351E">
        <w:rPr>
          <w:rFonts w:ascii="Times New Roman" w:hAnsi="Times New Roman" w:cs="Times New Roman"/>
          <w:sz w:val="24"/>
          <w:szCs w:val="24"/>
        </w:rPr>
        <w:t>. Disponível em: http://www.asabrasil.org.br/acoes/p1mc. Acesso em:</w:t>
      </w:r>
      <w:r w:rsidR="00AE15C3">
        <w:rPr>
          <w:rFonts w:ascii="Times New Roman" w:hAnsi="Times New Roman" w:cs="Times New Roman"/>
          <w:sz w:val="24"/>
          <w:szCs w:val="24"/>
        </w:rPr>
        <w:t xml:space="preserve"> 01 </w:t>
      </w:r>
      <w:r w:rsidR="005917BC">
        <w:rPr>
          <w:rFonts w:ascii="Times New Roman" w:hAnsi="Times New Roman" w:cs="Times New Roman"/>
          <w:sz w:val="24"/>
          <w:szCs w:val="24"/>
        </w:rPr>
        <w:t>de agosto de 2022</w:t>
      </w:r>
      <w:r w:rsidRPr="0026351E">
        <w:rPr>
          <w:rFonts w:ascii="Times New Roman" w:hAnsi="Times New Roman" w:cs="Times New Roman"/>
          <w:sz w:val="24"/>
          <w:szCs w:val="24"/>
        </w:rPr>
        <w:t xml:space="preserve">. </w:t>
      </w:r>
    </w:p>
    <w:p w14:paraId="6435CE9A" w14:textId="77777777" w:rsidR="0026351E" w:rsidRPr="0026351E" w:rsidRDefault="0026351E" w:rsidP="0026351E">
      <w:pPr>
        <w:spacing w:after="0" w:line="240" w:lineRule="auto"/>
        <w:jc w:val="both"/>
        <w:rPr>
          <w:rFonts w:ascii="Times New Roman" w:hAnsi="Times New Roman" w:cs="Times New Roman"/>
          <w:sz w:val="24"/>
          <w:szCs w:val="24"/>
        </w:rPr>
      </w:pPr>
    </w:p>
    <w:p w14:paraId="7F43E799" w14:textId="77777777"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BAENINGER, R. Migrações Internas no Brasil no século 21: entre o local e o global. </w:t>
      </w:r>
      <w:r w:rsidRPr="0026351E">
        <w:rPr>
          <w:rFonts w:ascii="Times New Roman" w:hAnsi="Times New Roman" w:cs="Times New Roman"/>
          <w:i/>
          <w:sz w:val="24"/>
          <w:szCs w:val="24"/>
        </w:rPr>
        <w:t>In</w:t>
      </w:r>
      <w:r w:rsidRPr="0026351E">
        <w:rPr>
          <w:rFonts w:ascii="Times New Roman" w:hAnsi="Times New Roman" w:cs="Times New Roman"/>
          <w:sz w:val="24"/>
          <w:szCs w:val="24"/>
        </w:rPr>
        <w:t xml:space="preserve">: </w:t>
      </w:r>
      <w:r w:rsidRPr="0026351E">
        <w:rPr>
          <w:rFonts w:ascii="Times New Roman" w:hAnsi="Times New Roman" w:cs="Times New Roman"/>
          <w:b/>
          <w:sz w:val="24"/>
          <w:szCs w:val="24"/>
        </w:rPr>
        <w:t xml:space="preserve">XVIII Encontro Nacional de Estudos Populacionais - ABEP, </w:t>
      </w:r>
      <w:r w:rsidRPr="0026351E">
        <w:rPr>
          <w:rFonts w:ascii="Times New Roman" w:hAnsi="Times New Roman" w:cs="Times New Roman"/>
          <w:sz w:val="24"/>
          <w:szCs w:val="24"/>
        </w:rPr>
        <w:t>2012, Águas de Lindóia. Campinas _ SP: ABEP, 2012. v. 1. p. 99-123.</w:t>
      </w:r>
    </w:p>
    <w:p w14:paraId="6B18C9DF" w14:textId="7BFCBC35" w:rsidR="0026351E" w:rsidRDefault="0026351E" w:rsidP="0026351E">
      <w:pPr>
        <w:spacing w:after="0" w:line="240" w:lineRule="auto"/>
        <w:jc w:val="both"/>
        <w:rPr>
          <w:rFonts w:ascii="Times New Roman" w:hAnsi="Times New Roman" w:cs="Times New Roman"/>
          <w:sz w:val="24"/>
          <w:szCs w:val="24"/>
        </w:rPr>
      </w:pPr>
    </w:p>
    <w:p w14:paraId="369DD786" w14:textId="7F06552F" w:rsidR="0026351E" w:rsidRPr="0026351E" w:rsidRDefault="00165F4E" w:rsidP="002635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BARROS, A. R.; MAGALHÃES, A. M.; OLIVEIRA, A.; CORREIA, R. </w:t>
      </w:r>
      <w:r w:rsidRPr="00CF0C40">
        <w:rPr>
          <w:rFonts w:ascii="Times New Roman" w:hAnsi="Times New Roman" w:cs="Times New Roman"/>
          <w:b/>
          <w:bCs/>
          <w:sz w:val="24"/>
          <w:szCs w:val="24"/>
        </w:rPr>
        <w:t>Pesquisa de Avalição de Impacto do Programa P1+2</w:t>
      </w:r>
      <w:r>
        <w:rPr>
          <w:rFonts w:ascii="Times New Roman" w:hAnsi="Times New Roman" w:cs="Times New Roman"/>
          <w:sz w:val="24"/>
          <w:szCs w:val="24"/>
        </w:rPr>
        <w:t xml:space="preserve"> – Linha de base. Brasília – DF: Secretaria de </w:t>
      </w:r>
      <w:r w:rsidRPr="00A6774C">
        <w:rPr>
          <w:rFonts w:ascii="Times New Roman" w:hAnsi="Times New Roman" w:cs="Times New Roman"/>
          <w:sz w:val="24"/>
          <w:szCs w:val="24"/>
        </w:rPr>
        <w:t xml:space="preserve">Avaliação e Gestão da Informação – SAGI, 2012. Disponível em: </w:t>
      </w:r>
      <w:hyperlink r:id="rId17" w:history="1">
        <w:r w:rsidR="00CF0C40" w:rsidRPr="00A6774C">
          <w:rPr>
            <w:rStyle w:val="Hyperlink"/>
            <w:rFonts w:ascii="Times New Roman" w:hAnsi="Times New Roman" w:cs="Times New Roman"/>
            <w:color w:val="auto"/>
            <w:sz w:val="24"/>
            <w:szCs w:val="24"/>
            <w:u w:val="none"/>
          </w:rPr>
          <w:t>https://aplicacoes.mds.gov.br/sagi/pesquisas/lista-s.php?e=1&amp;stk=ano&amp;i=2012</w:t>
        </w:r>
      </w:hyperlink>
      <w:r w:rsidR="00CF0C40" w:rsidRPr="00A6774C">
        <w:rPr>
          <w:rFonts w:ascii="Times New Roman" w:hAnsi="Times New Roman" w:cs="Times New Roman"/>
          <w:sz w:val="24"/>
          <w:szCs w:val="24"/>
        </w:rPr>
        <w:t xml:space="preserve">. Acesso em: 15 de agosto de 2022. </w:t>
      </w:r>
    </w:p>
    <w:p w14:paraId="0FB38BC5" w14:textId="77777777" w:rsidR="003C1F5B" w:rsidRDefault="003C1F5B" w:rsidP="0026351E">
      <w:pPr>
        <w:spacing w:after="0" w:line="240" w:lineRule="auto"/>
        <w:jc w:val="both"/>
        <w:rPr>
          <w:rFonts w:ascii="Times New Roman" w:hAnsi="Times New Roman" w:cs="Times New Roman"/>
          <w:sz w:val="24"/>
          <w:szCs w:val="24"/>
        </w:rPr>
      </w:pPr>
    </w:p>
    <w:p w14:paraId="6062070B" w14:textId="1A357418"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BRITO, F. </w:t>
      </w:r>
      <w:r w:rsidRPr="0026351E">
        <w:rPr>
          <w:rFonts w:ascii="Times New Roman" w:hAnsi="Times New Roman" w:cs="Times New Roman"/>
          <w:b/>
          <w:bCs/>
          <w:sz w:val="24"/>
          <w:szCs w:val="24"/>
        </w:rPr>
        <w:t>Minas e o Nordeste</w:t>
      </w:r>
      <w:r w:rsidRPr="0026351E">
        <w:rPr>
          <w:rFonts w:ascii="Times New Roman" w:hAnsi="Times New Roman" w:cs="Times New Roman"/>
          <w:sz w:val="24"/>
          <w:szCs w:val="24"/>
        </w:rPr>
        <w:t>: Perspectivas migratórias dos dois grandes reservatórios de força de trabalho. II Encontro Nacional sobre Migração. p. 169-186. 1999.</w:t>
      </w:r>
    </w:p>
    <w:p w14:paraId="5FFC90E8" w14:textId="77777777"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lastRenderedPageBreak/>
        <w:t xml:space="preserve">CÂMARA, G.; CARVALHO, M. S. CRUZ, O. G.; CORREA, V. Análise Espacial de Áreas. </w:t>
      </w:r>
      <w:r w:rsidRPr="0026351E">
        <w:rPr>
          <w:rFonts w:ascii="Times New Roman" w:hAnsi="Times New Roman" w:cs="Times New Roman"/>
          <w:i/>
          <w:iCs/>
          <w:sz w:val="24"/>
          <w:szCs w:val="24"/>
        </w:rPr>
        <w:t>In</w:t>
      </w:r>
      <w:r w:rsidRPr="0026351E">
        <w:rPr>
          <w:rFonts w:ascii="Times New Roman" w:hAnsi="Times New Roman" w:cs="Times New Roman"/>
          <w:sz w:val="24"/>
          <w:szCs w:val="24"/>
        </w:rPr>
        <w:t xml:space="preserve">: FUCKS, S.; CARVALHO, M. S.; Gilberto CÄMARA, G.; MONTEIO, A. M. V. (Org.). </w:t>
      </w:r>
      <w:r w:rsidRPr="0026351E">
        <w:rPr>
          <w:rFonts w:ascii="Times New Roman" w:hAnsi="Times New Roman" w:cs="Times New Roman"/>
          <w:b/>
          <w:bCs/>
          <w:sz w:val="24"/>
          <w:szCs w:val="24"/>
        </w:rPr>
        <w:t>Análise Espacial de Dados Geográficos</w:t>
      </w:r>
      <w:r w:rsidRPr="0026351E">
        <w:rPr>
          <w:rFonts w:ascii="Times New Roman" w:hAnsi="Times New Roman" w:cs="Times New Roman"/>
          <w:sz w:val="24"/>
          <w:szCs w:val="24"/>
        </w:rPr>
        <w:t xml:space="preserve">. </w:t>
      </w:r>
      <w:proofErr w:type="spellStart"/>
      <w:r w:rsidRPr="0026351E">
        <w:rPr>
          <w:rFonts w:ascii="Times New Roman" w:hAnsi="Times New Roman" w:cs="Times New Roman"/>
          <w:sz w:val="24"/>
          <w:szCs w:val="24"/>
        </w:rPr>
        <w:t>Brasilia</w:t>
      </w:r>
      <w:proofErr w:type="spellEnd"/>
      <w:r w:rsidRPr="0026351E">
        <w:rPr>
          <w:rFonts w:ascii="Times New Roman" w:hAnsi="Times New Roman" w:cs="Times New Roman"/>
          <w:sz w:val="24"/>
          <w:szCs w:val="24"/>
        </w:rPr>
        <w:t>: EMBRAPA, 2004, p. 157-206.</w:t>
      </w:r>
    </w:p>
    <w:p w14:paraId="774FFC81" w14:textId="77777777" w:rsidR="0026351E" w:rsidRPr="0026351E" w:rsidRDefault="0026351E" w:rsidP="0026351E">
      <w:pPr>
        <w:spacing w:after="0" w:line="240" w:lineRule="auto"/>
        <w:jc w:val="both"/>
        <w:rPr>
          <w:rFonts w:ascii="Times New Roman" w:hAnsi="Times New Roman" w:cs="Times New Roman"/>
          <w:sz w:val="24"/>
          <w:szCs w:val="24"/>
        </w:rPr>
      </w:pPr>
    </w:p>
    <w:p w14:paraId="4D9400E1" w14:textId="667D4F57"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CAMARANO, A. A.; ABRAMOVAY, R. </w:t>
      </w:r>
      <w:r w:rsidRPr="0026351E">
        <w:rPr>
          <w:rFonts w:ascii="Times New Roman" w:hAnsi="Times New Roman" w:cs="Times New Roman"/>
          <w:b/>
          <w:bCs/>
          <w:sz w:val="24"/>
          <w:szCs w:val="24"/>
        </w:rPr>
        <w:t xml:space="preserve">Êxodo Rural, Envelhecimento e </w:t>
      </w:r>
      <w:proofErr w:type="spellStart"/>
      <w:r w:rsidRPr="0026351E">
        <w:rPr>
          <w:rFonts w:ascii="Times New Roman" w:hAnsi="Times New Roman" w:cs="Times New Roman"/>
          <w:b/>
          <w:bCs/>
          <w:sz w:val="24"/>
          <w:szCs w:val="24"/>
        </w:rPr>
        <w:t>Masculinização</w:t>
      </w:r>
      <w:proofErr w:type="spellEnd"/>
      <w:r w:rsidRPr="0026351E">
        <w:rPr>
          <w:rFonts w:ascii="Times New Roman" w:hAnsi="Times New Roman" w:cs="Times New Roman"/>
          <w:b/>
          <w:bCs/>
          <w:sz w:val="24"/>
          <w:szCs w:val="24"/>
        </w:rPr>
        <w:t xml:space="preserve"> no Brasil</w:t>
      </w:r>
      <w:r w:rsidRPr="0026351E">
        <w:rPr>
          <w:rFonts w:ascii="Times New Roman" w:hAnsi="Times New Roman" w:cs="Times New Roman"/>
          <w:sz w:val="24"/>
          <w:szCs w:val="24"/>
        </w:rPr>
        <w:t>: Panorama dos Últimos 50 Anos. Texto para discussão nº 621. Rio de Janeiro – RJ. 1999.</w:t>
      </w:r>
    </w:p>
    <w:p w14:paraId="41F289C9" w14:textId="77777777" w:rsidR="0026351E" w:rsidRPr="0026351E" w:rsidRDefault="0026351E" w:rsidP="0026351E">
      <w:pPr>
        <w:spacing w:after="0" w:line="240" w:lineRule="auto"/>
        <w:jc w:val="both"/>
        <w:rPr>
          <w:rFonts w:ascii="Times New Roman" w:hAnsi="Times New Roman" w:cs="Times New Roman"/>
          <w:sz w:val="24"/>
          <w:szCs w:val="24"/>
        </w:rPr>
      </w:pPr>
    </w:p>
    <w:p w14:paraId="109CB9E4" w14:textId="77777777"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CAMPOS, M. Uma questão de imobilidade: onde vivem os brasileiros que nunca migraram. </w:t>
      </w:r>
      <w:r w:rsidRPr="0026351E">
        <w:rPr>
          <w:rFonts w:ascii="Times New Roman" w:hAnsi="Times New Roman" w:cs="Times New Roman"/>
          <w:i/>
          <w:iCs/>
          <w:sz w:val="24"/>
          <w:szCs w:val="24"/>
        </w:rPr>
        <w:t>In:</w:t>
      </w:r>
      <w:r w:rsidRPr="0026351E">
        <w:rPr>
          <w:rFonts w:ascii="Times New Roman" w:hAnsi="Times New Roman" w:cs="Times New Roman"/>
          <w:sz w:val="24"/>
          <w:szCs w:val="24"/>
        </w:rPr>
        <w:t xml:space="preserve"> </w:t>
      </w:r>
      <w:r w:rsidRPr="0026351E">
        <w:rPr>
          <w:rFonts w:ascii="Times New Roman" w:hAnsi="Times New Roman" w:cs="Times New Roman"/>
          <w:b/>
          <w:bCs/>
          <w:sz w:val="24"/>
          <w:szCs w:val="24"/>
        </w:rPr>
        <w:t>XIX Encontro Nacional de Estudos Populacionais (ABEP)</w:t>
      </w:r>
      <w:r w:rsidRPr="0026351E">
        <w:rPr>
          <w:rFonts w:ascii="Times New Roman" w:hAnsi="Times New Roman" w:cs="Times New Roman"/>
          <w:sz w:val="24"/>
          <w:szCs w:val="24"/>
        </w:rPr>
        <w:t>. São Pedro/SP, 2014.</w:t>
      </w:r>
    </w:p>
    <w:p w14:paraId="67941972" w14:textId="77777777" w:rsidR="0026351E" w:rsidRPr="0026351E" w:rsidRDefault="0026351E" w:rsidP="0026351E">
      <w:pPr>
        <w:spacing w:after="0" w:line="240" w:lineRule="auto"/>
        <w:jc w:val="both"/>
        <w:rPr>
          <w:rFonts w:ascii="Times New Roman" w:hAnsi="Times New Roman" w:cs="Times New Roman"/>
          <w:sz w:val="24"/>
          <w:szCs w:val="24"/>
        </w:rPr>
      </w:pPr>
    </w:p>
    <w:p w14:paraId="37A11E67" w14:textId="77777777"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CAMPELLO, T. Prefácio. </w:t>
      </w:r>
      <w:r w:rsidRPr="0026351E">
        <w:rPr>
          <w:rFonts w:ascii="Times New Roman" w:hAnsi="Times New Roman" w:cs="Times New Roman"/>
          <w:i/>
          <w:iCs/>
          <w:sz w:val="24"/>
          <w:szCs w:val="24"/>
        </w:rPr>
        <w:t>In</w:t>
      </w:r>
      <w:r w:rsidRPr="0026351E">
        <w:rPr>
          <w:rFonts w:ascii="Times New Roman" w:hAnsi="Times New Roman" w:cs="Times New Roman"/>
          <w:sz w:val="24"/>
          <w:szCs w:val="24"/>
        </w:rPr>
        <w:t xml:space="preserve">: JANNUZZY, P. M.; FALCÃO, T.; CASTRO, I.; CAMPOS, A. </w:t>
      </w:r>
      <w:r w:rsidRPr="0026351E">
        <w:rPr>
          <w:rFonts w:ascii="Times New Roman" w:hAnsi="Times New Roman" w:cs="Times New Roman"/>
          <w:b/>
          <w:bCs/>
          <w:sz w:val="24"/>
          <w:szCs w:val="24"/>
        </w:rPr>
        <w:t>Brasil Sem Miséria</w:t>
      </w:r>
      <w:r w:rsidRPr="0026351E">
        <w:rPr>
          <w:rFonts w:ascii="Times New Roman" w:hAnsi="Times New Roman" w:cs="Times New Roman"/>
          <w:sz w:val="24"/>
          <w:szCs w:val="24"/>
        </w:rPr>
        <w:t>: Resultados, Institucionalidades e Desafios. Cadernos de Estudos - Desenvolvimento Social em Debate. N. 25 (2016). Brasília, DF: Ministério do Desenvolvimento Social e Combate à Fome; Secretaria de Avaliação e Gestão da Informação. 296p. 2016.</w:t>
      </w:r>
    </w:p>
    <w:p w14:paraId="3B183627" w14:textId="77777777" w:rsidR="0026351E" w:rsidRPr="0026351E" w:rsidRDefault="0026351E" w:rsidP="0026351E">
      <w:pPr>
        <w:spacing w:after="0" w:line="240" w:lineRule="auto"/>
        <w:jc w:val="both"/>
        <w:rPr>
          <w:rFonts w:ascii="Times New Roman" w:hAnsi="Times New Roman" w:cs="Times New Roman"/>
          <w:sz w:val="24"/>
          <w:szCs w:val="24"/>
        </w:rPr>
      </w:pPr>
    </w:p>
    <w:p w14:paraId="2AE23CC1" w14:textId="77777777"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CASTRO, C. N. </w:t>
      </w:r>
      <w:r w:rsidRPr="0026351E">
        <w:rPr>
          <w:rFonts w:ascii="Times New Roman" w:hAnsi="Times New Roman" w:cs="Times New Roman"/>
          <w:b/>
          <w:bCs/>
          <w:sz w:val="24"/>
          <w:szCs w:val="24"/>
        </w:rPr>
        <w:t>Transposição do Rio São Francisco</w:t>
      </w:r>
      <w:r w:rsidRPr="0026351E">
        <w:rPr>
          <w:rFonts w:ascii="Times New Roman" w:hAnsi="Times New Roman" w:cs="Times New Roman"/>
          <w:sz w:val="24"/>
          <w:szCs w:val="24"/>
        </w:rPr>
        <w:t>: análise de oportunidade do projeto. Texto para Discussão (IPEA), v. 1577, p. 1-60, 2011.</w:t>
      </w:r>
    </w:p>
    <w:p w14:paraId="44416FA3" w14:textId="77777777" w:rsidR="0026351E" w:rsidRPr="0026351E" w:rsidRDefault="0026351E" w:rsidP="0026351E">
      <w:pPr>
        <w:spacing w:after="0" w:line="240" w:lineRule="auto"/>
        <w:jc w:val="both"/>
        <w:rPr>
          <w:rFonts w:ascii="Times New Roman" w:hAnsi="Times New Roman" w:cs="Times New Roman"/>
          <w:sz w:val="24"/>
          <w:szCs w:val="24"/>
        </w:rPr>
      </w:pPr>
    </w:p>
    <w:p w14:paraId="1D648A8C" w14:textId="77777777" w:rsidR="0026351E" w:rsidRPr="00576065" w:rsidRDefault="0026351E" w:rsidP="0026351E">
      <w:pPr>
        <w:spacing w:after="0" w:line="240" w:lineRule="auto"/>
        <w:jc w:val="both"/>
        <w:rPr>
          <w:rFonts w:ascii="Times New Roman" w:hAnsi="Times New Roman" w:cs="Times New Roman"/>
          <w:color w:val="000000" w:themeColor="text1"/>
          <w:sz w:val="24"/>
          <w:szCs w:val="24"/>
        </w:rPr>
      </w:pPr>
      <w:r w:rsidRPr="0026351E">
        <w:rPr>
          <w:rFonts w:ascii="Times New Roman" w:hAnsi="Times New Roman" w:cs="Times New Roman"/>
          <w:sz w:val="24"/>
          <w:szCs w:val="24"/>
        </w:rPr>
        <w:t xml:space="preserve">COSTA, P. V. M. </w:t>
      </w:r>
      <w:r w:rsidRPr="0026351E">
        <w:rPr>
          <w:rFonts w:ascii="Times New Roman" w:hAnsi="Times New Roman" w:cs="Times New Roman"/>
          <w:b/>
          <w:bCs/>
          <w:sz w:val="24"/>
          <w:szCs w:val="24"/>
        </w:rPr>
        <w:t>Migrações e trabalho no rural urbano brasileiro</w:t>
      </w:r>
      <w:r w:rsidRPr="0026351E">
        <w:rPr>
          <w:rFonts w:ascii="Times New Roman" w:hAnsi="Times New Roman" w:cs="Times New Roman"/>
          <w:sz w:val="24"/>
          <w:szCs w:val="24"/>
        </w:rPr>
        <w:t xml:space="preserve">: uma análise </w:t>
      </w:r>
      <w:r w:rsidRPr="0026351E">
        <w:rPr>
          <w:rFonts w:ascii="Times New Roman" w:hAnsi="Times New Roman" w:cs="Times New Roman"/>
          <w:color w:val="000000" w:themeColor="text1"/>
          <w:sz w:val="24"/>
          <w:szCs w:val="24"/>
        </w:rPr>
        <w:t xml:space="preserve">recente (1995, 2005 e 2015). Monografia (Graduação em Economia). Crato/CE: Universidade Regional </w:t>
      </w:r>
      <w:r w:rsidRPr="00576065">
        <w:rPr>
          <w:rFonts w:ascii="Times New Roman" w:hAnsi="Times New Roman" w:cs="Times New Roman"/>
          <w:color w:val="000000" w:themeColor="text1"/>
          <w:sz w:val="24"/>
          <w:szCs w:val="24"/>
        </w:rPr>
        <w:t>do Cariri – URCA, 2017.</w:t>
      </w:r>
    </w:p>
    <w:p w14:paraId="3523D787" w14:textId="50B378B3" w:rsidR="0026351E" w:rsidRPr="00576065" w:rsidRDefault="0026351E" w:rsidP="0026351E">
      <w:pPr>
        <w:spacing w:after="0" w:line="240" w:lineRule="auto"/>
        <w:jc w:val="both"/>
        <w:rPr>
          <w:rFonts w:ascii="Times New Roman" w:hAnsi="Times New Roman" w:cs="Times New Roman"/>
          <w:sz w:val="24"/>
          <w:szCs w:val="24"/>
        </w:rPr>
      </w:pPr>
    </w:p>
    <w:p w14:paraId="0734D698" w14:textId="77777777" w:rsidR="00576065" w:rsidRPr="00576065" w:rsidRDefault="00576065" w:rsidP="00576065">
      <w:pPr>
        <w:spacing w:after="0" w:line="240" w:lineRule="auto"/>
        <w:jc w:val="both"/>
        <w:rPr>
          <w:rFonts w:ascii="Times New Roman" w:hAnsi="Times New Roman" w:cs="Times New Roman"/>
          <w:sz w:val="24"/>
          <w:szCs w:val="24"/>
          <w:lang w:val="en-US"/>
        </w:rPr>
      </w:pPr>
      <w:bookmarkStart w:id="8" w:name="_Hlk110244050"/>
      <w:r w:rsidRPr="00576065">
        <w:rPr>
          <w:rFonts w:ascii="Times New Roman" w:hAnsi="Times New Roman" w:cs="Times New Roman"/>
          <w:sz w:val="24"/>
          <w:szCs w:val="24"/>
          <w:lang w:val="en-US"/>
        </w:rPr>
        <w:t xml:space="preserve">CUNDILL, G. et al. Toward a climate mobilities research agenda: Intersectionality, immobility, and policy responses, </w:t>
      </w:r>
      <w:r w:rsidRPr="00576065">
        <w:rPr>
          <w:rFonts w:ascii="Times New Roman" w:hAnsi="Times New Roman" w:cs="Times New Roman"/>
          <w:b/>
          <w:sz w:val="24"/>
          <w:szCs w:val="24"/>
          <w:lang w:val="en-US"/>
        </w:rPr>
        <w:t>Global Environmental Change</w:t>
      </w:r>
      <w:r w:rsidRPr="00576065">
        <w:rPr>
          <w:rFonts w:ascii="Times New Roman" w:hAnsi="Times New Roman" w:cs="Times New Roman"/>
          <w:sz w:val="24"/>
          <w:szCs w:val="24"/>
          <w:lang w:val="en-US"/>
        </w:rPr>
        <w:t xml:space="preserve">, Volume 69, 2021. </w:t>
      </w:r>
    </w:p>
    <w:bookmarkEnd w:id="8"/>
    <w:p w14:paraId="14CC931F" w14:textId="77777777" w:rsidR="00576065" w:rsidRPr="00576065" w:rsidRDefault="00576065" w:rsidP="0026351E">
      <w:pPr>
        <w:spacing w:after="0" w:line="240" w:lineRule="auto"/>
        <w:jc w:val="both"/>
        <w:rPr>
          <w:rFonts w:ascii="Times New Roman" w:hAnsi="Times New Roman" w:cs="Times New Roman"/>
          <w:sz w:val="24"/>
          <w:szCs w:val="24"/>
          <w:lang w:val="en-US"/>
        </w:rPr>
      </w:pPr>
    </w:p>
    <w:p w14:paraId="50814313" w14:textId="77777777" w:rsidR="00BE5155" w:rsidRPr="00BE5155" w:rsidRDefault="00BE5155" w:rsidP="00BE5155">
      <w:pPr>
        <w:adjustRightInd w:val="0"/>
        <w:spacing w:after="0" w:line="240" w:lineRule="auto"/>
        <w:jc w:val="both"/>
        <w:rPr>
          <w:rFonts w:ascii="Times New Roman" w:hAnsi="Times New Roman" w:cs="Times New Roman"/>
          <w:sz w:val="24"/>
          <w:szCs w:val="24"/>
        </w:rPr>
      </w:pPr>
      <w:r w:rsidRPr="00576065">
        <w:rPr>
          <w:rFonts w:ascii="Times New Roman" w:hAnsi="Times New Roman" w:cs="Times New Roman"/>
          <w:sz w:val="24"/>
          <w:szCs w:val="24"/>
          <w:lang w:val="en-US"/>
        </w:rPr>
        <w:t>DE HAAS</w:t>
      </w:r>
      <w:r w:rsidRPr="00BE5155">
        <w:rPr>
          <w:rFonts w:ascii="Times New Roman" w:hAnsi="Times New Roman" w:cs="Times New Roman"/>
          <w:sz w:val="24"/>
          <w:szCs w:val="24"/>
          <w:lang w:val="en-US"/>
        </w:rPr>
        <w:t xml:space="preserve">, H. Migration and development: a theoretical perspective. </w:t>
      </w:r>
      <w:proofErr w:type="spellStart"/>
      <w:r w:rsidRPr="00BE5155">
        <w:rPr>
          <w:rFonts w:ascii="Times New Roman" w:hAnsi="Times New Roman" w:cs="Times New Roman"/>
          <w:b/>
          <w:bCs/>
          <w:sz w:val="24"/>
          <w:szCs w:val="24"/>
        </w:rPr>
        <w:t>International</w:t>
      </w:r>
      <w:proofErr w:type="spellEnd"/>
      <w:r w:rsidRPr="00BE5155">
        <w:rPr>
          <w:rFonts w:ascii="Times New Roman" w:hAnsi="Times New Roman" w:cs="Times New Roman"/>
          <w:b/>
          <w:bCs/>
          <w:sz w:val="24"/>
          <w:szCs w:val="24"/>
        </w:rPr>
        <w:t xml:space="preserve"> </w:t>
      </w:r>
      <w:proofErr w:type="spellStart"/>
      <w:r w:rsidRPr="00BE5155">
        <w:rPr>
          <w:rFonts w:ascii="Times New Roman" w:hAnsi="Times New Roman" w:cs="Times New Roman"/>
          <w:b/>
          <w:bCs/>
          <w:sz w:val="24"/>
          <w:szCs w:val="24"/>
        </w:rPr>
        <w:t>Migration</w:t>
      </w:r>
      <w:proofErr w:type="spellEnd"/>
      <w:r w:rsidRPr="00BE5155">
        <w:rPr>
          <w:rFonts w:ascii="Times New Roman" w:hAnsi="Times New Roman" w:cs="Times New Roman"/>
          <w:b/>
          <w:bCs/>
          <w:sz w:val="24"/>
          <w:szCs w:val="24"/>
        </w:rPr>
        <w:t xml:space="preserve"> Review</w:t>
      </w:r>
      <w:r w:rsidRPr="00BE5155">
        <w:rPr>
          <w:rFonts w:ascii="Times New Roman" w:hAnsi="Times New Roman" w:cs="Times New Roman"/>
          <w:sz w:val="24"/>
          <w:szCs w:val="24"/>
        </w:rPr>
        <w:t xml:space="preserve">. v.44, ,n.1, p.227-264, 2010. </w:t>
      </w:r>
    </w:p>
    <w:p w14:paraId="0417EC07" w14:textId="633E603C" w:rsidR="00BE5155" w:rsidRDefault="00BE5155" w:rsidP="0026351E">
      <w:pPr>
        <w:spacing w:after="0" w:line="240" w:lineRule="auto"/>
        <w:jc w:val="both"/>
        <w:rPr>
          <w:rFonts w:ascii="Times New Roman" w:hAnsi="Times New Roman" w:cs="Times New Roman"/>
          <w:sz w:val="24"/>
          <w:szCs w:val="24"/>
        </w:rPr>
      </w:pPr>
    </w:p>
    <w:p w14:paraId="59FC8621" w14:textId="29231BA1" w:rsidR="00352C3D" w:rsidRDefault="00352C3D" w:rsidP="002635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FOZ, GRUPO DE. Mobilidade e Migração</w:t>
      </w:r>
      <w:r w:rsidR="00BC0D4D">
        <w:rPr>
          <w:rFonts w:ascii="Times New Roman" w:hAnsi="Times New Roman" w:cs="Times New Roman"/>
          <w:sz w:val="24"/>
          <w:szCs w:val="24"/>
        </w:rPr>
        <w:t xml:space="preserve">. </w:t>
      </w:r>
      <w:r>
        <w:rPr>
          <w:rFonts w:ascii="Times New Roman" w:hAnsi="Times New Roman" w:cs="Times New Roman"/>
          <w:sz w:val="24"/>
          <w:szCs w:val="24"/>
        </w:rPr>
        <w:t xml:space="preserve">In: FOZ, GRUPO DE. </w:t>
      </w:r>
      <w:r w:rsidRPr="00D75D1E">
        <w:rPr>
          <w:rFonts w:ascii="Times New Roman" w:hAnsi="Times New Roman" w:cs="Times New Roman"/>
          <w:b/>
          <w:bCs/>
          <w:sz w:val="24"/>
          <w:szCs w:val="24"/>
        </w:rPr>
        <w:t>Métodos demográficos</w:t>
      </w:r>
      <w:r w:rsidRPr="00352C3D">
        <w:rPr>
          <w:rFonts w:ascii="Times New Roman" w:hAnsi="Times New Roman" w:cs="Times New Roman"/>
          <w:sz w:val="24"/>
          <w:szCs w:val="24"/>
        </w:rPr>
        <w:t xml:space="preserve">: uma visão desde os países de língua portuguesa / Grupo de Foz -- São Paulo: </w:t>
      </w:r>
      <w:proofErr w:type="spellStart"/>
      <w:r w:rsidRPr="00352C3D">
        <w:rPr>
          <w:rFonts w:ascii="Times New Roman" w:hAnsi="Times New Roman" w:cs="Times New Roman"/>
          <w:sz w:val="24"/>
          <w:szCs w:val="24"/>
        </w:rPr>
        <w:t>Blucher</w:t>
      </w:r>
      <w:proofErr w:type="spellEnd"/>
      <w:r w:rsidRPr="00352C3D">
        <w:rPr>
          <w:rFonts w:ascii="Times New Roman" w:hAnsi="Times New Roman" w:cs="Times New Roman"/>
          <w:sz w:val="24"/>
          <w:szCs w:val="24"/>
        </w:rPr>
        <w:t xml:space="preserve">, 2021. </w:t>
      </w:r>
      <w:r w:rsidR="00D75D1E">
        <w:rPr>
          <w:rFonts w:ascii="Times New Roman" w:hAnsi="Times New Roman" w:cs="Times New Roman"/>
          <w:sz w:val="24"/>
          <w:szCs w:val="24"/>
        </w:rPr>
        <w:t xml:space="preserve">p. 399-446. </w:t>
      </w:r>
    </w:p>
    <w:p w14:paraId="42E7A609" w14:textId="77777777" w:rsidR="00D75D1E" w:rsidRDefault="00D75D1E" w:rsidP="0026351E">
      <w:pPr>
        <w:spacing w:after="0" w:line="240" w:lineRule="auto"/>
        <w:jc w:val="both"/>
        <w:rPr>
          <w:rFonts w:ascii="Times New Roman" w:hAnsi="Times New Roman" w:cs="Times New Roman"/>
          <w:sz w:val="24"/>
          <w:szCs w:val="24"/>
        </w:rPr>
      </w:pPr>
    </w:p>
    <w:p w14:paraId="2DFFC79A" w14:textId="324A0A45" w:rsidR="0052786F" w:rsidRPr="00942090" w:rsidRDefault="0052786F" w:rsidP="0026351E">
      <w:pPr>
        <w:spacing w:after="0" w:line="240" w:lineRule="auto"/>
        <w:jc w:val="both"/>
        <w:rPr>
          <w:rFonts w:ascii="Times New Roman" w:hAnsi="Times New Roman" w:cs="Times New Roman"/>
          <w:sz w:val="24"/>
          <w:szCs w:val="24"/>
          <w:lang w:val="en-US"/>
        </w:rPr>
      </w:pPr>
      <w:bookmarkStart w:id="9" w:name="_Hlk110243989"/>
      <w:r>
        <w:rPr>
          <w:rFonts w:ascii="Times New Roman" w:hAnsi="Times New Roman" w:cs="Times New Roman"/>
          <w:sz w:val="24"/>
          <w:szCs w:val="24"/>
        </w:rPr>
        <w:t xml:space="preserve">GARCIA, F. </w:t>
      </w:r>
      <w:r w:rsidRPr="0052786F">
        <w:rPr>
          <w:rFonts w:ascii="Times New Roman" w:hAnsi="Times New Roman" w:cs="Times New Roman"/>
          <w:b/>
          <w:bCs/>
          <w:sz w:val="24"/>
          <w:szCs w:val="24"/>
        </w:rPr>
        <w:t>A seca de 1877-1879</w:t>
      </w:r>
      <w:r>
        <w:rPr>
          <w:rFonts w:ascii="Times New Roman" w:hAnsi="Times New Roman" w:cs="Times New Roman"/>
          <w:sz w:val="24"/>
          <w:szCs w:val="24"/>
        </w:rPr>
        <w:t xml:space="preserve">. Fortaleza em Fotos, 15 nov. 2010. Disponível em: </w:t>
      </w:r>
      <w:hyperlink r:id="rId18" w:history="1">
        <w:r w:rsidRPr="006D0AAC">
          <w:rPr>
            <w:rStyle w:val="Hyperlink"/>
            <w:rFonts w:ascii="Times New Roman" w:hAnsi="Times New Roman" w:cs="Times New Roman"/>
            <w:color w:val="auto"/>
            <w:sz w:val="24"/>
            <w:szCs w:val="24"/>
            <w:u w:val="none"/>
          </w:rPr>
          <w:t>http://www.fortalezaemfotos.com.br/2010/11/seca-de-1877-1879.html</w:t>
        </w:r>
      </w:hyperlink>
      <w:r w:rsidRPr="006D0AAC">
        <w:rPr>
          <w:rFonts w:ascii="Times New Roman" w:hAnsi="Times New Roman" w:cs="Times New Roman"/>
          <w:sz w:val="24"/>
          <w:szCs w:val="24"/>
        </w:rPr>
        <w:t xml:space="preserve">. </w:t>
      </w:r>
      <w:proofErr w:type="spellStart"/>
      <w:r w:rsidRPr="00942090">
        <w:rPr>
          <w:rFonts w:ascii="Times New Roman" w:hAnsi="Times New Roman" w:cs="Times New Roman"/>
          <w:sz w:val="24"/>
          <w:szCs w:val="24"/>
          <w:lang w:val="en-US"/>
        </w:rPr>
        <w:t>Acesso</w:t>
      </w:r>
      <w:proofErr w:type="spellEnd"/>
      <w:r w:rsidRPr="00942090">
        <w:rPr>
          <w:rFonts w:ascii="Times New Roman" w:hAnsi="Times New Roman" w:cs="Times New Roman"/>
          <w:sz w:val="24"/>
          <w:szCs w:val="24"/>
          <w:lang w:val="en-US"/>
        </w:rPr>
        <w:t xml:space="preserve"> </w:t>
      </w:r>
      <w:proofErr w:type="spellStart"/>
      <w:r w:rsidRPr="00942090">
        <w:rPr>
          <w:rFonts w:ascii="Times New Roman" w:hAnsi="Times New Roman" w:cs="Times New Roman"/>
          <w:sz w:val="24"/>
          <w:szCs w:val="24"/>
          <w:lang w:val="en-US"/>
        </w:rPr>
        <w:t>em</w:t>
      </w:r>
      <w:proofErr w:type="spellEnd"/>
      <w:r w:rsidRPr="00942090">
        <w:rPr>
          <w:rFonts w:ascii="Times New Roman" w:hAnsi="Times New Roman" w:cs="Times New Roman"/>
          <w:sz w:val="24"/>
          <w:szCs w:val="24"/>
          <w:lang w:val="en-US"/>
        </w:rPr>
        <w:t xml:space="preserve">: </w:t>
      </w:r>
      <w:r w:rsidR="00CF0C40">
        <w:rPr>
          <w:rFonts w:ascii="Times New Roman" w:hAnsi="Times New Roman" w:cs="Times New Roman"/>
          <w:sz w:val="24"/>
          <w:szCs w:val="24"/>
          <w:lang w:val="en-US"/>
        </w:rPr>
        <w:t xml:space="preserve">15 de </w:t>
      </w:r>
      <w:proofErr w:type="spellStart"/>
      <w:r w:rsidR="00CF0C40">
        <w:rPr>
          <w:rFonts w:ascii="Times New Roman" w:hAnsi="Times New Roman" w:cs="Times New Roman"/>
          <w:sz w:val="24"/>
          <w:szCs w:val="24"/>
          <w:lang w:val="en-US"/>
        </w:rPr>
        <w:t>agosto</w:t>
      </w:r>
      <w:proofErr w:type="spellEnd"/>
      <w:r w:rsidR="00CF0C40">
        <w:rPr>
          <w:rFonts w:ascii="Times New Roman" w:hAnsi="Times New Roman" w:cs="Times New Roman"/>
          <w:sz w:val="24"/>
          <w:szCs w:val="24"/>
          <w:lang w:val="en-US"/>
        </w:rPr>
        <w:t xml:space="preserve"> de</w:t>
      </w:r>
      <w:r w:rsidRPr="00942090">
        <w:rPr>
          <w:rFonts w:ascii="Times New Roman" w:hAnsi="Times New Roman" w:cs="Times New Roman"/>
          <w:sz w:val="24"/>
          <w:szCs w:val="24"/>
          <w:lang w:val="en-US"/>
        </w:rPr>
        <w:t xml:space="preserve"> 2022. </w:t>
      </w:r>
    </w:p>
    <w:bookmarkEnd w:id="9"/>
    <w:p w14:paraId="3513B782" w14:textId="3E12C549" w:rsidR="0052786F" w:rsidRDefault="0052786F" w:rsidP="0026351E">
      <w:pPr>
        <w:spacing w:after="0" w:line="240" w:lineRule="auto"/>
        <w:jc w:val="both"/>
        <w:rPr>
          <w:rFonts w:ascii="Times New Roman" w:hAnsi="Times New Roman" w:cs="Times New Roman"/>
          <w:sz w:val="24"/>
          <w:szCs w:val="24"/>
          <w:lang w:val="en-US"/>
        </w:rPr>
      </w:pPr>
    </w:p>
    <w:p w14:paraId="712747CD" w14:textId="1A64A8A7" w:rsidR="00DA2536" w:rsidRDefault="00DA2536" w:rsidP="0026351E">
      <w:pPr>
        <w:spacing w:after="0" w:line="240" w:lineRule="auto"/>
        <w:jc w:val="both"/>
        <w:rPr>
          <w:rFonts w:ascii="Times New Roman" w:hAnsi="Times New Roman" w:cs="Times New Roman"/>
          <w:sz w:val="24"/>
          <w:szCs w:val="24"/>
          <w:lang w:val="en-US"/>
        </w:rPr>
      </w:pPr>
      <w:r w:rsidRPr="00DA2536">
        <w:rPr>
          <w:rFonts w:ascii="Times New Roman" w:hAnsi="Times New Roman" w:cs="Times New Roman"/>
          <w:sz w:val="24"/>
          <w:szCs w:val="24"/>
          <w:lang w:val="en-US"/>
        </w:rPr>
        <w:t xml:space="preserve">GRUNDY, </w:t>
      </w:r>
      <w:r>
        <w:rPr>
          <w:rFonts w:ascii="Times New Roman" w:hAnsi="Times New Roman" w:cs="Times New Roman"/>
          <w:sz w:val="24"/>
          <w:szCs w:val="24"/>
          <w:lang w:val="en-US"/>
        </w:rPr>
        <w:t>E.</w:t>
      </w:r>
      <w:r w:rsidRPr="00DA2536">
        <w:rPr>
          <w:rFonts w:ascii="Times New Roman" w:hAnsi="Times New Roman" w:cs="Times New Roman"/>
          <w:sz w:val="24"/>
          <w:szCs w:val="24"/>
          <w:lang w:val="en-US"/>
        </w:rPr>
        <w:t xml:space="preserve">. The Household Dimension in Migration Research. </w:t>
      </w:r>
      <w:r>
        <w:rPr>
          <w:rFonts w:ascii="Times New Roman" w:hAnsi="Times New Roman" w:cs="Times New Roman"/>
          <w:sz w:val="24"/>
          <w:szCs w:val="24"/>
          <w:lang w:val="en-US"/>
        </w:rPr>
        <w:t>In</w:t>
      </w:r>
      <w:r w:rsidRPr="00DA2536">
        <w:rPr>
          <w:rFonts w:ascii="Times New Roman" w:hAnsi="Times New Roman" w:cs="Times New Roman"/>
          <w:sz w:val="24"/>
          <w:szCs w:val="24"/>
          <w:lang w:val="en-US"/>
        </w:rPr>
        <w:t xml:space="preserve">: Tony Champion e Tony Fielding (orgs.). </w:t>
      </w:r>
      <w:r w:rsidRPr="00DA2536">
        <w:rPr>
          <w:rFonts w:ascii="Times New Roman" w:hAnsi="Times New Roman" w:cs="Times New Roman"/>
          <w:b/>
          <w:bCs/>
          <w:sz w:val="24"/>
          <w:szCs w:val="24"/>
          <w:lang w:val="en-US"/>
        </w:rPr>
        <w:t>Migration Processes and Patterns</w:t>
      </w:r>
      <w:r w:rsidRPr="00DA2536">
        <w:rPr>
          <w:rFonts w:ascii="Times New Roman" w:hAnsi="Times New Roman" w:cs="Times New Roman"/>
          <w:sz w:val="24"/>
          <w:szCs w:val="24"/>
          <w:lang w:val="en-US"/>
        </w:rPr>
        <w:t xml:space="preserve"> - Vol. I: Research Progress and Prospects. </w:t>
      </w:r>
      <w:proofErr w:type="spellStart"/>
      <w:r w:rsidRPr="00DA2536">
        <w:rPr>
          <w:rFonts w:ascii="Times New Roman" w:hAnsi="Times New Roman" w:cs="Times New Roman"/>
          <w:sz w:val="24"/>
          <w:szCs w:val="24"/>
          <w:lang w:val="en-US"/>
        </w:rPr>
        <w:t>Londres</w:t>
      </w:r>
      <w:proofErr w:type="spellEnd"/>
      <w:r w:rsidRPr="00DA2536">
        <w:rPr>
          <w:rFonts w:ascii="Times New Roman" w:hAnsi="Times New Roman" w:cs="Times New Roman"/>
          <w:sz w:val="24"/>
          <w:szCs w:val="24"/>
          <w:lang w:val="en-US"/>
        </w:rPr>
        <w:t>, Belhaven Press: 165-174</w:t>
      </w:r>
      <w:r>
        <w:rPr>
          <w:rFonts w:ascii="Times New Roman" w:hAnsi="Times New Roman" w:cs="Times New Roman"/>
          <w:sz w:val="24"/>
          <w:szCs w:val="24"/>
          <w:lang w:val="en-US"/>
        </w:rPr>
        <w:t xml:space="preserve">. </w:t>
      </w:r>
      <w:r w:rsidRPr="00DA2536">
        <w:rPr>
          <w:rFonts w:ascii="Times New Roman" w:hAnsi="Times New Roman" w:cs="Times New Roman"/>
          <w:sz w:val="24"/>
          <w:szCs w:val="24"/>
          <w:lang w:val="en-US"/>
        </w:rPr>
        <w:t>1992.</w:t>
      </w:r>
    </w:p>
    <w:p w14:paraId="44083EB8" w14:textId="77777777" w:rsidR="00DA2536" w:rsidRPr="00942090" w:rsidRDefault="00DA2536" w:rsidP="0026351E">
      <w:pPr>
        <w:spacing w:after="0" w:line="240" w:lineRule="auto"/>
        <w:jc w:val="both"/>
        <w:rPr>
          <w:rFonts w:ascii="Times New Roman" w:hAnsi="Times New Roman" w:cs="Times New Roman"/>
          <w:sz w:val="24"/>
          <w:szCs w:val="24"/>
          <w:lang w:val="en-US"/>
        </w:rPr>
      </w:pPr>
    </w:p>
    <w:p w14:paraId="3B103880" w14:textId="77777777" w:rsidR="0026351E" w:rsidRPr="00BE5155" w:rsidRDefault="0026351E" w:rsidP="0026351E">
      <w:pPr>
        <w:spacing w:after="0" w:line="240" w:lineRule="auto"/>
        <w:jc w:val="both"/>
        <w:rPr>
          <w:rFonts w:ascii="Times New Roman" w:hAnsi="Times New Roman" w:cs="Times New Roman"/>
          <w:color w:val="000000" w:themeColor="text1"/>
          <w:sz w:val="24"/>
          <w:szCs w:val="24"/>
          <w:lang w:val="en-US"/>
        </w:rPr>
      </w:pPr>
      <w:r w:rsidRPr="00BE5155">
        <w:rPr>
          <w:rFonts w:ascii="Times New Roman" w:hAnsi="Times New Roman" w:cs="Times New Roman"/>
          <w:sz w:val="24"/>
          <w:szCs w:val="24"/>
          <w:lang w:val="en-US"/>
        </w:rPr>
        <w:t xml:space="preserve">HOERDER, D. </w:t>
      </w:r>
      <w:r w:rsidRPr="00BE5155">
        <w:rPr>
          <w:rFonts w:ascii="Times New Roman" w:hAnsi="Times New Roman" w:cs="Times New Roman"/>
          <w:b/>
          <w:sz w:val="24"/>
          <w:szCs w:val="24"/>
          <w:lang w:val="en-US"/>
        </w:rPr>
        <w:t>Cultures in Contact: World Migrations in the Second Millennium</w:t>
      </w:r>
      <w:r w:rsidRPr="00BE5155">
        <w:rPr>
          <w:rFonts w:ascii="Times New Roman" w:hAnsi="Times New Roman" w:cs="Times New Roman"/>
          <w:sz w:val="24"/>
          <w:szCs w:val="24"/>
          <w:lang w:val="en-US"/>
        </w:rPr>
        <w:t xml:space="preserve">, </w:t>
      </w:r>
      <w:proofErr w:type="spellStart"/>
      <w:r w:rsidRPr="00BE5155">
        <w:rPr>
          <w:rFonts w:ascii="Times New Roman" w:hAnsi="Times New Roman" w:cs="Times New Roman"/>
          <w:sz w:val="24"/>
          <w:szCs w:val="24"/>
          <w:lang w:val="en-US"/>
        </w:rPr>
        <w:t>capítulo</w:t>
      </w:r>
      <w:proofErr w:type="spellEnd"/>
      <w:r w:rsidRPr="00BE5155">
        <w:rPr>
          <w:rFonts w:ascii="Times New Roman" w:hAnsi="Times New Roman" w:cs="Times New Roman"/>
          <w:sz w:val="24"/>
          <w:szCs w:val="24"/>
          <w:lang w:val="en-US"/>
        </w:rPr>
        <w:t xml:space="preserve"> 1, Duke University Press, London, 2002.</w:t>
      </w:r>
    </w:p>
    <w:p w14:paraId="785453E6" w14:textId="458DBE68" w:rsidR="0026351E" w:rsidRDefault="0026351E" w:rsidP="0026351E">
      <w:pPr>
        <w:spacing w:after="0" w:line="240" w:lineRule="auto"/>
        <w:jc w:val="both"/>
        <w:rPr>
          <w:rFonts w:ascii="Times New Roman" w:hAnsi="Times New Roman" w:cs="Times New Roman"/>
          <w:sz w:val="24"/>
          <w:szCs w:val="24"/>
          <w:lang w:val="en-US"/>
        </w:rPr>
      </w:pPr>
    </w:p>
    <w:p w14:paraId="69CE8341" w14:textId="6A618C8E" w:rsidR="0052786F" w:rsidRPr="00942090" w:rsidRDefault="0052786F" w:rsidP="0026351E">
      <w:pPr>
        <w:spacing w:after="0" w:line="240" w:lineRule="auto"/>
        <w:jc w:val="both"/>
        <w:rPr>
          <w:rFonts w:ascii="Times New Roman" w:hAnsi="Times New Roman" w:cs="Times New Roman"/>
          <w:sz w:val="24"/>
          <w:szCs w:val="24"/>
          <w:lang w:val="en-US"/>
        </w:rPr>
      </w:pPr>
      <w:bookmarkStart w:id="10" w:name="_Hlk110244092"/>
      <w:r w:rsidRPr="0052786F">
        <w:rPr>
          <w:rFonts w:ascii="Times New Roman" w:hAnsi="Times New Roman" w:cs="Times New Roman"/>
          <w:sz w:val="24"/>
          <w:szCs w:val="24"/>
        </w:rPr>
        <w:t>LEITE, P. S.; NOGUEIRA, F</w:t>
      </w:r>
      <w:r>
        <w:rPr>
          <w:rFonts w:ascii="Times New Roman" w:hAnsi="Times New Roman" w:cs="Times New Roman"/>
          <w:sz w:val="24"/>
          <w:szCs w:val="24"/>
        </w:rPr>
        <w:t xml:space="preserve">. A. </w:t>
      </w:r>
      <w:r w:rsidRPr="00D9057E">
        <w:rPr>
          <w:rFonts w:ascii="Times New Roman" w:hAnsi="Times New Roman" w:cs="Times New Roman"/>
          <w:b/>
          <w:bCs/>
          <w:sz w:val="24"/>
          <w:szCs w:val="24"/>
        </w:rPr>
        <w:t>Soluções para as secas</w:t>
      </w:r>
      <w:r>
        <w:rPr>
          <w:rFonts w:ascii="Times New Roman" w:hAnsi="Times New Roman" w:cs="Times New Roman"/>
          <w:sz w:val="24"/>
          <w:szCs w:val="24"/>
        </w:rPr>
        <w:t xml:space="preserve">. </w:t>
      </w:r>
      <w:r w:rsidR="00D9057E" w:rsidRPr="00942090">
        <w:rPr>
          <w:rFonts w:ascii="Times New Roman" w:hAnsi="Times New Roman" w:cs="Times New Roman"/>
          <w:sz w:val="24"/>
          <w:szCs w:val="24"/>
          <w:lang w:val="en-US"/>
        </w:rPr>
        <w:t xml:space="preserve">Fortaleza – CE: HBM Shopping das </w:t>
      </w:r>
      <w:proofErr w:type="spellStart"/>
      <w:r w:rsidR="00D9057E" w:rsidRPr="00942090">
        <w:rPr>
          <w:rFonts w:ascii="Times New Roman" w:hAnsi="Times New Roman" w:cs="Times New Roman"/>
          <w:sz w:val="24"/>
          <w:szCs w:val="24"/>
          <w:lang w:val="en-US"/>
        </w:rPr>
        <w:t>Cópias</w:t>
      </w:r>
      <w:proofErr w:type="spellEnd"/>
      <w:r w:rsidR="00D9057E" w:rsidRPr="00942090">
        <w:rPr>
          <w:rFonts w:ascii="Times New Roman" w:hAnsi="Times New Roman" w:cs="Times New Roman"/>
          <w:sz w:val="24"/>
          <w:szCs w:val="24"/>
          <w:lang w:val="en-US"/>
        </w:rPr>
        <w:t xml:space="preserve">, 130p., 2017. </w:t>
      </w:r>
    </w:p>
    <w:bookmarkEnd w:id="10"/>
    <w:p w14:paraId="187591D1" w14:textId="77777777" w:rsidR="0052786F" w:rsidRPr="00942090" w:rsidRDefault="0052786F" w:rsidP="0026351E">
      <w:pPr>
        <w:spacing w:after="0" w:line="240" w:lineRule="auto"/>
        <w:jc w:val="both"/>
        <w:rPr>
          <w:rFonts w:ascii="Times New Roman" w:hAnsi="Times New Roman" w:cs="Times New Roman"/>
          <w:sz w:val="24"/>
          <w:szCs w:val="24"/>
          <w:lang w:val="en-US"/>
        </w:rPr>
      </w:pPr>
    </w:p>
    <w:p w14:paraId="562390BF" w14:textId="77777777" w:rsidR="0026351E" w:rsidRPr="0026351E" w:rsidRDefault="0026351E" w:rsidP="0026351E">
      <w:pPr>
        <w:spacing w:after="0" w:line="240" w:lineRule="auto"/>
        <w:jc w:val="both"/>
        <w:rPr>
          <w:rFonts w:ascii="Times New Roman" w:hAnsi="Times New Roman" w:cs="Times New Roman"/>
          <w:sz w:val="24"/>
          <w:szCs w:val="24"/>
          <w:lang w:val="en-US"/>
        </w:rPr>
      </w:pPr>
      <w:r w:rsidRPr="0026351E">
        <w:rPr>
          <w:rFonts w:ascii="Times New Roman" w:hAnsi="Times New Roman" w:cs="Times New Roman"/>
          <w:sz w:val="24"/>
          <w:szCs w:val="24"/>
          <w:lang w:val="en-US"/>
        </w:rPr>
        <w:t xml:space="preserve">LEE, E. S. A Theory of Migration. </w:t>
      </w:r>
      <w:r w:rsidRPr="0026351E">
        <w:rPr>
          <w:rFonts w:ascii="Times New Roman" w:hAnsi="Times New Roman" w:cs="Times New Roman"/>
          <w:b/>
          <w:bCs/>
          <w:sz w:val="24"/>
          <w:szCs w:val="24"/>
          <w:lang w:val="en-US"/>
        </w:rPr>
        <w:t>Demography</w:t>
      </w:r>
      <w:r w:rsidRPr="0026351E">
        <w:rPr>
          <w:rFonts w:ascii="Times New Roman" w:hAnsi="Times New Roman" w:cs="Times New Roman"/>
          <w:sz w:val="24"/>
          <w:szCs w:val="24"/>
          <w:lang w:val="en-US"/>
        </w:rPr>
        <w:t>, Vol. 3, No. 1. (1966), pp. 47-57.</w:t>
      </w:r>
    </w:p>
    <w:p w14:paraId="2D74C255" w14:textId="77777777" w:rsidR="0026351E" w:rsidRPr="0026351E" w:rsidRDefault="0026351E" w:rsidP="0026351E">
      <w:pPr>
        <w:spacing w:after="0" w:line="240" w:lineRule="auto"/>
        <w:jc w:val="both"/>
        <w:rPr>
          <w:rFonts w:ascii="Times New Roman" w:hAnsi="Times New Roman" w:cs="Times New Roman"/>
          <w:sz w:val="24"/>
          <w:szCs w:val="24"/>
          <w:lang w:val="en-US"/>
        </w:rPr>
      </w:pPr>
    </w:p>
    <w:p w14:paraId="735013A3" w14:textId="77777777" w:rsidR="0026351E" w:rsidRPr="0087487E" w:rsidRDefault="0026351E" w:rsidP="0026351E">
      <w:pPr>
        <w:spacing w:after="0" w:line="240" w:lineRule="auto"/>
        <w:jc w:val="both"/>
        <w:rPr>
          <w:rFonts w:ascii="Times New Roman" w:hAnsi="Times New Roman" w:cs="Times New Roman"/>
          <w:sz w:val="24"/>
          <w:szCs w:val="24"/>
          <w:lang w:val="en-US"/>
        </w:rPr>
      </w:pPr>
      <w:r w:rsidRPr="0026351E">
        <w:rPr>
          <w:rFonts w:ascii="Times New Roman" w:hAnsi="Times New Roman" w:cs="Times New Roman"/>
          <w:sz w:val="24"/>
          <w:szCs w:val="24"/>
          <w:lang w:val="en-US"/>
        </w:rPr>
        <w:t xml:space="preserve">LOGAN, J. R. Challenger of Spatial Thinking. </w:t>
      </w:r>
      <w:r w:rsidRPr="0026351E">
        <w:rPr>
          <w:rFonts w:ascii="Times New Roman" w:hAnsi="Times New Roman" w:cs="Times New Roman"/>
          <w:i/>
          <w:iCs/>
          <w:sz w:val="24"/>
          <w:szCs w:val="24"/>
          <w:lang w:val="en-US"/>
        </w:rPr>
        <w:t>In</w:t>
      </w:r>
      <w:r w:rsidRPr="0026351E">
        <w:rPr>
          <w:rFonts w:ascii="Times New Roman" w:hAnsi="Times New Roman" w:cs="Times New Roman"/>
          <w:sz w:val="24"/>
          <w:szCs w:val="24"/>
          <w:lang w:val="en-US"/>
        </w:rPr>
        <w:t xml:space="preserve">: HOWELL, F. M.; PORTER, J. R.; MATTHEWS, S. A. (Eds.) </w:t>
      </w:r>
      <w:r w:rsidRPr="0026351E">
        <w:rPr>
          <w:rFonts w:ascii="Times New Roman" w:hAnsi="Times New Roman" w:cs="Times New Roman"/>
          <w:b/>
          <w:bCs/>
          <w:sz w:val="24"/>
          <w:szCs w:val="24"/>
          <w:lang w:val="en-US"/>
        </w:rPr>
        <w:t>Recapturing Space</w:t>
      </w:r>
      <w:r w:rsidRPr="0026351E">
        <w:rPr>
          <w:rFonts w:ascii="Times New Roman" w:hAnsi="Times New Roman" w:cs="Times New Roman"/>
          <w:sz w:val="24"/>
          <w:szCs w:val="24"/>
          <w:lang w:val="en-US"/>
        </w:rPr>
        <w:t xml:space="preserve">: New Middle-Range Theory in Spatial Demography. </w:t>
      </w:r>
      <w:r w:rsidRPr="0087487E">
        <w:rPr>
          <w:rFonts w:ascii="Times New Roman" w:hAnsi="Times New Roman" w:cs="Times New Roman"/>
          <w:sz w:val="24"/>
          <w:szCs w:val="24"/>
          <w:lang w:val="en-US"/>
        </w:rPr>
        <w:t>Springer, 2016. p. 11-36.</w:t>
      </w:r>
    </w:p>
    <w:p w14:paraId="620E4F78" w14:textId="136DD004" w:rsidR="0026351E" w:rsidRDefault="0026351E" w:rsidP="0026351E">
      <w:pPr>
        <w:spacing w:after="0" w:line="240" w:lineRule="auto"/>
        <w:jc w:val="both"/>
        <w:rPr>
          <w:rFonts w:ascii="Times New Roman" w:hAnsi="Times New Roman" w:cs="Times New Roman"/>
          <w:sz w:val="24"/>
          <w:szCs w:val="24"/>
          <w:lang w:val="en-US"/>
        </w:rPr>
      </w:pPr>
    </w:p>
    <w:p w14:paraId="4A55D242" w14:textId="77777777" w:rsidR="00BE5155" w:rsidRPr="00CF4540" w:rsidRDefault="00BE5155" w:rsidP="00BE5155">
      <w:pPr>
        <w:adjustRightInd w:val="0"/>
        <w:spacing w:after="0" w:line="240" w:lineRule="auto"/>
        <w:jc w:val="both"/>
        <w:rPr>
          <w:rFonts w:ascii="Times New Roman" w:hAnsi="Times New Roman" w:cs="Times New Roman"/>
          <w:sz w:val="24"/>
          <w:szCs w:val="24"/>
          <w:lang w:val="en-US"/>
        </w:rPr>
      </w:pPr>
      <w:r w:rsidRPr="00BE5155">
        <w:rPr>
          <w:rFonts w:ascii="Times New Roman" w:hAnsi="Times New Roman" w:cs="Times New Roman"/>
          <w:sz w:val="24"/>
          <w:szCs w:val="24"/>
          <w:lang w:val="en-US"/>
        </w:rPr>
        <w:t xml:space="preserve">MASSEY, D., J. ARANGO, et al. Theories of International Migration: a Review and Appraisal. </w:t>
      </w:r>
      <w:r w:rsidRPr="00CF4540">
        <w:rPr>
          <w:rFonts w:ascii="Times New Roman" w:hAnsi="Times New Roman" w:cs="Times New Roman"/>
          <w:b/>
          <w:bCs/>
          <w:sz w:val="24"/>
          <w:szCs w:val="24"/>
          <w:lang w:val="en-US"/>
        </w:rPr>
        <w:t xml:space="preserve">Population and Development  Review. </w:t>
      </w:r>
      <w:r w:rsidRPr="00CF4540">
        <w:rPr>
          <w:rFonts w:ascii="Times New Roman" w:hAnsi="Times New Roman" w:cs="Times New Roman"/>
          <w:sz w:val="24"/>
          <w:szCs w:val="24"/>
          <w:lang w:val="en-US"/>
        </w:rPr>
        <w:t xml:space="preserve">v.19, n.3, p.431-466, 1993. </w:t>
      </w:r>
    </w:p>
    <w:p w14:paraId="2172C0A9" w14:textId="77777777" w:rsidR="00BE5155" w:rsidRPr="00CF4540" w:rsidRDefault="00BE5155" w:rsidP="0026351E">
      <w:pPr>
        <w:spacing w:after="0" w:line="240" w:lineRule="auto"/>
        <w:jc w:val="both"/>
        <w:rPr>
          <w:rFonts w:ascii="Times New Roman" w:hAnsi="Times New Roman" w:cs="Times New Roman"/>
          <w:sz w:val="24"/>
          <w:szCs w:val="24"/>
          <w:lang w:val="en-US"/>
        </w:rPr>
      </w:pPr>
    </w:p>
    <w:p w14:paraId="5A0BA727" w14:textId="77777777" w:rsidR="0026351E" w:rsidRPr="0026351E" w:rsidRDefault="0026351E" w:rsidP="0026351E">
      <w:pPr>
        <w:spacing w:after="0" w:line="240" w:lineRule="auto"/>
        <w:jc w:val="both"/>
        <w:rPr>
          <w:rFonts w:ascii="Times New Roman" w:hAnsi="Times New Roman" w:cs="Times New Roman"/>
          <w:sz w:val="24"/>
          <w:szCs w:val="24"/>
        </w:rPr>
      </w:pPr>
      <w:r w:rsidRPr="0026351E">
        <w:rPr>
          <w:rFonts w:ascii="Times New Roman" w:hAnsi="Times New Roman" w:cs="Times New Roman"/>
          <w:sz w:val="24"/>
          <w:szCs w:val="24"/>
        </w:rPr>
        <w:t xml:space="preserve">OJIMA, R.; MARTINE, G. Resgates sobre População e Ambiente: breve análise da dinâmica demográfica e a urbanização nos biomas brasileiros. </w:t>
      </w:r>
      <w:proofErr w:type="spellStart"/>
      <w:r w:rsidRPr="0026351E">
        <w:rPr>
          <w:rFonts w:ascii="Times New Roman" w:hAnsi="Times New Roman" w:cs="Times New Roman"/>
          <w:sz w:val="24"/>
          <w:szCs w:val="24"/>
        </w:rPr>
        <w:t>Idéias</w:t>
      </w:r>
      <w:proofErr w:type="spellEnd"/>
      <w:r w:rsidRPr="0026351E">
        <w:rPr>
          <w:rFonts w:ascii="Times New Roman" w:hAnsi="Times New Roman" w:cs="Times New Roman"/>
          <w:sz w:val="24"/>
          <w:szCs w:val="24"/>
        </w:rPr>
        <w:t xml:space="preserve"> - </w:t>
      </w:r>
      <w:r w:rsidRPr="0026351E">
        <w:rPr>
          <w:rFonts w:ascii="Times New Roman" w:hAnsi="Times New Roman" w:cs="Times New Roman"/>
          <w:b/>
          <w:bCs/>
          <w:sz w:val="24"/>
          <w:szCs w:val="24"/>
        </w:rPr>
        <w:t>Revista do Instituto de Filosofia e Ciências Humanas da UNICAMP</w:t>
      </w:r>
      <w:r w:rsidRPr="0026351E">
        <w:rPr>
          <w:rFonts w:ascii="Times New Roman" w:hAnsi="Times New Roman" w:cs="Times New Roman"/>
          <w:sz w:val="24"/>
          <w:szCs w:val="24"/>
        </w:rPr>
        <w:t>, v. 1, p. 55-70, 2012.</w:t>
      </w:r>
    </w:p>
    <w:p w14:paraId="0C1866FA" w14:textId="77777777" w:rsidR="0026351E" w:rsidRPr="0026351E" w:rsidRDefault="0026351E" w:rsidP="0026351E">
      <w:pPr>
        <w:spacing w:after="0" w:line="240" w:lineRule="auto"/>
        <w:jc w:val="both"/>
        <w:rPr>
          <w:rFonts w:ascii="Times New Roman" w:hAnsi="Times New Roman" w:cs="Times New Roman"/>
          <w:sz w:val="24"/>
          <w:szCs w:val="24"/>
        </w:rPr>
      </w:pPr>
    </w:p>
    <w:p w14:paraId="1F333633" w14:textId="56D0B54A" w:rsidR="0026351E" w:rsidRPr="00C82E58" w:rsidRDefault="0026351E" w:rsidP="0026351E">
      <w:pPr>
        <w:spacing w:after="0" w:line="240" w:lineRule="auto"/>
        <w:jc w:val="both"/>
        <w:rPr>
          <w:rFonts w:ascii="Times New Roman" w:hAnsi="Times New Roman" w:cs="Times New Roman"/>
          <w:sz w:val="24"/>
          <w:szCs w:val="24"/>
          <w:shd w:val="clear" w:color="auto" w:fill="FFFFFF"/>
        </w:rPr>
      </w:pPr>
      <w:r w:rsidRPr="0034418A">
        <w:rPr>
          <w:rFonts w:ascii="Times New Roman" w:hAnsi="Times New Roman" w:cs="Times New Roman"/>
          <w:sz w:val="24"/>
          <w:szCs w:val="24"/>
          <w:bdr w:val="none" w:sz="0" w:space="0" w:color="auto" w:frame="1"/>
          <w:shd w:val="clear" w:color="auto" w:fill="FFFFFF"/>
        </w:rPr>
        <w:t>RIGOTTI, J. I. R.</w:t>
      </w:r>
      <w:r w:rsidRPr="0026351E">
        <w:rPr>
          <w:rFonts w:ascii="Times New Roman" w:hAnsi="Times New Roman" w:cs="Times New Roman"/>
          <w:sz w:val="24"/>
          <w:szCs w:val="24"/>
          <w:shd w:val="clear" w:color="auto" w:fill="FFFFFF"/>
        </w:rPr>
        <w:t> ; </w:t>
      </w:r>
      <w:r w:rsidRPr="0034418A">
        <w:rPr>
          <w:rFonts w:ascii="Times New Roman" w:hAnsi="Times New Roman" w:cs="Times New Roman"/>
          <w:sz w:val="24"/>
          <w:szCs w:val="24"/>
          <w:bdr w:val="none" w:sz="0" w:space="0" w:color="auto" w:frame="1"/>
        </w:rPr>
        <w:t>CAMPOS, J.</w:t>
      </w:r>
      <w:r w:rsidRPr="0026351E">
        <w:rPr>
          <w:rFonts w:ascii="Times New Roman" w:hAnsi="Times New Roman" w:cs="Times New Roman"/>
          <w:sz w:val="24"/>
          <w:szCs w:val="24"/>
          <w:shd w:val="clear" w:color="auto" w:fill="FFFFFF"/>
        </w:rPr>
        <w:t xml:space="preserve"> ; HADAD, R. M. . </w:t>
      </w:r>
      <w:r w:rsidRPr="0026351E">
        <w:rPr>
          <w:rFonts w:ascii="Times New Roman" w:hAnsi="Times New Roman" w:cs="Times New Roman"/>
          <w:b/>
          <w:bCs/>
          <w:sz w:val="24"/>
          <w:szCs w:val="24"/>
          <w:shd w:val="clear" w:color="auto" w:fill="FFFFFF"/>
        </w:rPr>
        <w:t>Migrações internas no Brasil</w:t>
      </w:r>
      <w:r w:rsidRPr="0026351E">
        <w:rPr>
          <w:rFonts w:ascii="Times New Roman" w:hAnsi="Times New Roman" w:cs="Times New Roman"/>
          <w:sz w:val="24"/>
          <w:szCs w:val="24"/>
          <w:shd w:val="clear" w:color="auto" w:fill="FFFFFF"/>
        </w:rPr>
        <w:t>: (</w:t>
      </w:r>
      <w:proofErr w:type="spellStart"/>
      <w:r w:rsidRPr="0026351E">
        <w:rPr>
          <w:rFonts w:ascii="Times New Roman" w:hAnsi="Times New Roman" w:cs="Times New Roman"/>
          <w:sz w:val="24"/>
          <w:szCs w:val="24"/>
          <w:shd w:val="clear" w:color="auto" w:fill="FFFFFF"/>
        </w:rPr>
        <w:t>des</w:t>
      </w:r>
      <w:proofErr w:type="spellEnd"/>
      <w:r w:rsidRPr="0026351E">
        <w:rPr>
          <w:rFonts w:ascii="Times New Roman" w:hAnsi="Times New Roman" w:cs="Times New Roman"/>
          <w:sz w:val="24"/>
          <w:szCs w:val="24"/>
          <w:shd w:val="clear" w:color="auto" w:fill="FFFFFF"/>
        </w:rPr>
        <w:t xml:space="preserve">)continuidades regionais à luz do Censo Demográfico 2010. </w:t>
      </w:r>
      <w:r w:rsidRPr="00C82E58">
        <w:rPr>
          <w:rFonts w:ascii="Times New Roman" w:hAnsi="Times New Roman" w:cs="Times New Roman"/>
          <w:sz w:val="24"/>
          <w:szCs w:val="24"/>
          <w:shd w:val="clear" w:color="auto" w:fill="FFFFFF"/>
        </w:rPr>
        <w:t xml:space="preserve">Revista </w:t>
      </w:r>
      <w:proofErr w:type="spellStart"/>
      <w:r w:rsidRPr="00C82E58">
        <w:rPr>
          <w:rFonts w:ascii="Times New Roman" w:hAnsi="Times New Roman" w:cs="Times New Roman"/>
          <w:sz w:val="24"/>
          <w:szCs w:val="24"/>
          <w:shd w:val="clear" w:color="auto" w:fill="FFFFFF"/>
        </w:rPr>
        <w:t>GEOgrafias</w:t>
      </w:r>
      <w:proofErr w:type="spellEnd"/>
      <w:r w:rsidRPr="00C82E58">
        <w:rPr>
          <w:rFonts w:ascii="Times New Roman" w:hAnsi="Times New Roman" w:cs="Times New Roman"/>
          <w:sz w:val="24"/>
          <w:szCs w:val="24"/>
          <w:shd w:val="clear" w:color="auto" w:fill="FFFFFF"/>
        </w:rPr>
        <w:t xml:space="preserve">, v. </w:t>
      </w:r>
      <w:proofErr w:type="spellStart"/>
      <w:r w:rsidRPr="00C82E58">
        <w:rPr>
          <w:rFonts w:ascii="Times New Roman" w:hAnsi="Times New Roman" w:cs="Times New Roman"/>
          <w:sz w:val="24"/>
          <w:szCs w:val="24"/>
          <w:shd w:val="clear" w:color="auto" w:fill="FFFFFF"/>
        </w:rPr>
        <w:t>il</w:t>
      </w:r>
      <w:proofErr w:type="spellEnd"/>
      <w:r w:rsidRPr="00C82E58">
        <w:rPr>
          <w:rFonts w:ascii="Times New Roman" w:hAnsi="Times New Roman" w:cs="Times New Roman"/>
          <w:sz w:val="24"/>
          <w:szCs w:val="24"/>
          <w:shd w:val="clear" w:color="auto" w:fill="FFFFFF"/>
        </w:rPr>
        <w:t>, p. 8-24, 2017.</w:t>
      </w:r>
    </w:p>
    <w:p w14:paraId="0AB310E8" w14:textId="4435C13E" w:rsidR="0026351E" w:rsidRPr="00C82E58" w:rsidRDefault="0026351E" w:rsidP="0026351E">
      <w:pPr>
        <w:spacing w:after="0" w:line="240" w:lineRule="auto"/>
        <w:jc w:val="both"/>
        <w:rPr>
          <w:rFonts w:ascii="Times New Roman" w:hAnsi="Times New Roman" w:cs="Times New Roman"/>
          <w:sz w:val="24"/>
          <w:szCs w:val="24"/>
        </w:rPr>
      </w:pPr>
    </w:p>
    <w:p w14:paraId="5D4352E5" w14:textId="550D4F17" w:rsidR="00DA2536" w:rsidRDefault="0034418A" w:rsidP="0026351E">
      <w:pPr>
        <w:spacing w:after="0" w:line="240" w:lineRule="auto"/>
        <w:jc w:val="both"/>
        <w:rPr>
          <w:rFonts w:ascii="Times New Roman" w:hAnsi="Times New Roman" w:cs="Times New Roman"/>
          <w:sz w:val="24"/>
          <w:szCs w:val="24"/>
          <w:lang w:val="en-US"/>
        </w:rPr>
      </w:pPr>
      <w:r w:rsidRPr="00DA2536">
        <w:rPr>
          <w:rFonts w:ascii="Times New Roman" w:hAnsi="Times New Roman" w:cs="Times New Roman"/>
          <w:sz w:val="24"/>
          <w:szCs w:val="24"/>
        </w:rPr>
        <w:t>SALES</w:t>
      </w:r>
      <w:r w:rsidR="00DA2536" w:rsidRPr="00DA2536">
        <w:rPr>
          <w:rFonts w:ascii="Times New Roman" w:hAnsi="Times New Roman" w:cs="Times New Roman"/>
          <w:sz w:val="24"/>
          <w:szCs w:val="24"/>
        </w:rPr>
        <w:t>, T</w:t>
      </w:r>
      <w:r>
        <w:rPr>
          <w:rFonts w:ascii="Times New Roman" w:hAnsi="Times New Roman" w:cs="Times New Roman"/>
          <w:sz w:val="24"/>
          <w:szCs w:val="24"/>
        </w:rPr>
        <w:t>.</w:t>
      </w:r>
      <w:r w:rsidR="00DA2536" w:rsidRPr="00DA2536">
        <w:rPr>
          <w:rFonts w:ascii="Times New Roman" w:hAnsi="Times New Roman" w:cs="Times New Roman"/>
          <w:sz w:val="24"/>
          <w:szCs w:val="24"/>
        </w:rPr>
        <w:t xml:space="preserve">. </w:t>
      </w:r>
      <w:r w:rsidR="00DA2536" w:rsidRPr="0034418A">
        <w:rPr>
          <w:rFonts w:ascii="Times New Roman" w:hAnsi="Times New Roman" w:cs="Times New Roman"/>
          <w:b/>
          <w:bCs/>
          <w:sz w:val="24"/>
          <w:szCs w:val="24"/>
        </w:rPr>
        <w:t>Brasileiros Longe de Casa</w:t>
      </w:r>
      <w:r w:rsidR="00DA2536" w:rsidRPr="00DA2536">
        <w:rPr>
          <w:rFonts w:ascii="Times New Roman" w:hAnsi="Times New Roman" w:cs="Times New Roman"/>
          <w:sz w:val="24"/>
          <w:szCs w:val="24"/>
        </w:rPr>
        <w:t xml:space="preserve">. </w:t>
      </w:r>
      <w:r w:rsidR="00DA2536" w:rsidRPr="00DA2536">
        <w:rPr>
          <w:rFonts w:ascii="Times New Roman" w:hAnsi="Times New Roman" w:cs="Times New Roman"/>
          <w:sz w:val="24"/>
          <w:szCs w:val="24"/>
          <w:lang w:val="en-US"/>
        </w:rPr>
        <w:t>São Paulo, Cortez</w:t>
      </w:r>
      <w:r w:rsidR="00DA2536" w:rsidRPr="00C82E58">
        <w:rPr>
          <w:rFonts w:ascii="Times New Roman" w:hAnsi="Times New Roman" w:cs="Times New Roman"/>
          <w:sz w:val="24"/>
          <w:szCs w:val="24"/>
          <w:lang w:val="en-US"/>
        </w:rPr>
        <w:t>. 1999</w:t>
      </w:r>
      <w:r w:rsidR="00DA2536" w:rsidRPr="00DA2536">
        <w:rPr>
          <w:rFonts w:ascii="Times New Roman" w:hAnsi="Times New Roman" w:cs="Times New Roman"/>
          <w:sz w:val="24"/>
          <w:szCs w:val="24"/>
          <w:lang w:val="en-US"/>
        </w:rPr>
        <w:t>.</w:t>
      </w:r>
    </w:p>
    <w:p w14:paraId="74783FD5" w14:textId="77777777" w:rsidR="00DA2536" w:rsidRPr="0026351E" w:rsidRDefault="00DA2536" w:rsidP="0026351E">
      <w:pPr>
        <w:spacing w:after="0" w:line="240" w:lineRule="auto"/>
        <w:jc w:val="both"/>
        <w:rPr>
          <w:rFonts w:ascii="Times New Roman" w:hAnsi="Times New Roman" w:cs="Times New Roman"/>
          <w:sz w:val="24"/>
          <w:szCs w:val="24"/>
          <w:lang w:val="en-US"/>
        </w:rPr>
      </w:pPr>
    </w:p>
    <w:p w14:paraId="4011CE46" w14:textId="35F01CF6" w:rsidR="00695FD3" w:rsidRDefault="0026351E" w:rsidP="0026351E">
      <w:pPr>
        <w:spacing w:after="0" w:line="240" w:lineRule="auto"/>
        <w:jc w:val="both"/>
        <w:rPr>
          <w:rFonts w:ascii="Times New Roman" w:hAnsi="Times New Roman" w:cs="Times New Roman"/>
          <w:sz w:val="24"/>
          <w:szCs w:val="24"/>
          <w:lang w:val="en-US"/>
        </w:rPr>
      </w:pPr>
      <w:r w:rsidRPr="0026351E">
        <w:rPr>
          <w:rFonts w:ascii="Times New Roman" w:hAnsi="Times New Roman" w:cs="Times New Roman"/>
          <w:sz w:val="24"/>
          <w:szCs w:val="24"/>
          <w:lang w:val="en-US"/>
        </w:rPr>
        <w:t xml:space="preserve">SJAASTAD, L., A. </w:t>
      </w:r>
      <w:r w:rsidRPr="0026351E">
        <w:rPr>
          <w:rFonts w:ascii="Times New Roman" w:hAnsi="Times New Roman" w:cs="Times New Roman"/>
          <w:b/>
          <w:sz w:val="24"/>
          <w:szCs w:val="24"/>
          <w:lang w:val="en-US"/>
        </w:rPr>
        <w:t>The Costs and Returns of Human Migration</w:t>
      </w:r>
      <w:r w:rsidRPr="0026351E">
        <w:rPr>
          <w:rFonts w:ascii="Times New Roman" w:hAnsi="Times New Roman" w:cs="Times New Roman"/>
          <w:sz w:val="24"/>
          <w:szCs w:val="24"/>
          <w:lang w:val="en-US"/>
        </w:rPr>
        <w:t>. Journal of Political Economy, Vol. 70, No. 5, Part 2: Investment in Human Beings (Oct., 1962), pp. 80-93.</w:t>
      </w:r>
    </w:p>
    <w:p w14:paraId="5793EAB3" w14:textId="609FACFE" w:rsidR="00BE5155" w:rsidRDefault="00BE5155" w:rsidP="0026351E">
      <w:pPr>
        <w:spacing w:after="0" w:line="240" w:lineRule="auto"/>
        <w:jc w:val="both"/>
        <w:rPr>
          <w:rFonts w:ascii="Times New Roman" w:hAnsi="Times New Roman" w:cs="Times New Roman"/>
          <w:sz w:val="24"/>
          <w:szCs w:val="24"/>
          <w:lang w:val="en-US"/>
        </w:rPr>
      </w:pPr>
    </w:p>
    <w:p w14:paraId="201067EA" w14:textId="77777777" w:rsidR="00BE5155" w:rsidRPr="00BE5155" w:rsidRDefault="00BE5155" w:rsidP="00BE5155">
      <w:pPr>
        <w:spacing w:after="0" w:line="240" w:lineRule="auto"/>
        <w:jc w:val="both"/>
        <w:rPr>
          <w:rFonts w:ascii="Times New Roman" w:hAnsi="Times New Roman" w:cs="Times New Roman"/>
          <w:sz w:val="24"/>
          <w:szCs w:val="24"/>
          <w:lang w:val="en-US"/>
        </w:rPr>
      </w:pPr>
      <w:r w:rsidRPr="00BE5155">
        <w:rPr>
          <w:rFonts w:ascii="Times New Roman" w:hAnsi="Times New Roman" w:cs="Times New Roman"/>
          <w:sz w:val="24"/>
          <w:szCs w:val="24"/>
          <w:lang w:val="en-US"/>
        </w:rPr>
        <w:t xml:space="preserve">WOOD, C. H. Equilibrium and Historical-Structural Perspectives on Migration. </w:t>
      </w:r>
      <w:r w:rsidRPr="00BE5155">
        <w:rPr>
          <w:rFonts w:ascii="Times New Roman" w:hAnsi="Times New Roman" w:cs="Times New Roman"/>
          <w:b/>
          <w:bCs/>
          <w:sz w:val="24"/>
          <w:szCs w:val="24"/>
          <w:lang w:val="en-US"/>
        </w:rPr>
        <w:t xml:space="preserve">International Migration Review. </w:t>
      </w:r>
      <w:r w:rsidRPr="00BE5155">
        <w:rPr>
          <w:rFonts w:ascii="Times New Roman" w:hAnsi="Times New Roman" w:cs="Times New Roman"/>
          <w:sz w:val="24"/>
          <w:szCs w:val="24"/>
          <w:lang w:val="en-US"/>
        </w:rPr>
        <w:t>v.</w:t>
      </w:r>
      <w:r w:rsidRPr="00BE5155">
        <w:rPr>
          <w:rFonts w:ascii="Times New Roman" w:hAnsi="Times New Roman" w:cs="Times New Roman"/>
          <w:bCs/>
          <w:sz w:val="24"/>
          <w:szCs w:val="24"/>
          <w:lang w:val="en-US"/>
        </w:rPr>
        <w:t xml:space="preserve">16 </w:t>
      </w:r>
      <w:r w:rsidRPr="00BE5155">
        <w:rPr>
          <w:rFonts w:ascii="Times New Roman" w:hAnsi="Times New Roman" w:cs="Times New Roman"/>
          <w:sz w:val="24"/>
          <w:szCs w:val="24"/>
          <w:lang w:val="en-US"/>
        </w:rPr>
        <w:t>(2, Special Issue: Theory and Methods in Migration and Ethnic Research). 1982.</w:t>
      </w:r>
    </w:p>
    <w:p w14:paraId="68BC6F8D" w14:textId="77777777" w:rsidR="00BE5155" w:rsidRPr="0087487E" w:rsidRDefault="00BE5155" w:rsidP="0026351E">
      <w:pPr>
        <w:spacing w:after="0" w:line="240" w:lineRule="auto"/>
        <w:jc w:val="both"/>
        <w:rPr>
          <w:rFonts w:ascii="Times New Roman" w:hAnsi="Times New Roman" w:cs="Times New Roman"/>
          <w:sz w:val="24"/>
          <w:szCs w:val="24"/>
          <w:lang w:val="en-US"/>
        </w:rPr>
      </w:pPr>
    </w:p>
    <w:sectPr w:rsidR="00BE5155" w:rsidRPr="0087487E">
      <w:headerReference w:type="default" r:id="rId19"/>
      <w:footerReference w:type="default" r:id="rId20"/>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89F13" w14:textId="77777777" w:rsidR="00B7070D" w:rsidRDefault="00B7070D">
      <w:pPr>
        <w:spacing w:line="240" w:lineRule="auto"/>
      </w:pPr>
      <w:r>
        <w:separator/>
      </w:r>
    </w:p>
  </w:endnote>
  <w:endnote w:type="continuationSeparator" w:id="0">
    <w:p w14:paraId="187E3CB2" w14:textId="77777777" w:rsidR="00B7070D" w:rsidRDefault="00B707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roman"/>
    <w:notTrueType/>
    <w:pitch w:val="default"/>
  </w:font>
  <w:font w:name="WordVisiCarriageReturn_MSFontSe">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F252" w14:textId="77777777" w:rsidR="00695FD3" w:rsidRDefault="00667C57">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73F2D8D8" wp14:editId="4675D758">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wpsCustomData="http://www.wps.cn/officeDocument/2013/wpsCustomData">
          <w:pict w14:anchorId="2F6E87D9">
            <v:line id="_x0000_s1026" style="position:absolute;left:0pt;margin-left:-43.15pt;margin-top:12pt;height:0.75pt;width:512.25pt;mso-position-horizontal-relative:margin;z-index:-251655168;mso-width-relative:page;mso-height-relative:page;" coordsize="21600,21600" o:spid="_x0000_s1026" filled="f" stroked="t" o:spt="2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2A351007" w14:textId="77777777" w:rsidR="00695FD3" w:rsidRDefault="00695FD3">
    <w:pPr>
      <w:pStyle w:val="Rodap"/>
      <w:jc w:val="both"/>
      <w:rPr>
        <w:rFonts w:ascii="Times New Roman" w:hAnsi="Times New Roman" w:cs="Times New Roman"/>
        <w:sz w:val="20"/>
        <w:szCs w:val="20"/>
      </w:rPr>
    </w:pPr>
  </w:p>
  <w:p w14:paraId="50B4A705" w14:textId="77777777" w:rsidR="00695FD3" w:rsidRDefault="00667C57">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3D7859C9" w14:textId="77777777" w:rsidR="00695FD3" w:rsidRDefault="00695FD3">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A359B" w14:textId="77777777" w:rsidR="00B7070D" w:rsidRDefault="00B7070D">
      <w:pPr>
        <w:spacing w:after="0"/>
      </w:pPr>
      <w:r>
        <w:separator/>
      </w:r>
    </w:p>
  </w:footnote>
  <w:footnote w:type="continuationSeparator" w:id="0">
    <w:p w14:paraId="64B45E44" w14:textId="77777777" w:rsidR="00B7070D" w:rsidRDefault="00B7070D">
      <w:pPr>
        <w:spacing w:after="0"/>
      </w:pPr>
      <w:r>
        <w:continuationSeparator/>
      </w:r>
    </w:p>
  </w:footnote>
  <w:footnote w:id="1">
    <w:p w14:paraId="115A6448" w14:textId="6A228336" w:rsidR="00C83638" w:rsidRPr="00C83638" w:rsidRDefault="00C83638" w:rsidP="00C83638">
      <w:pPr>
        <w:pStyle w:val="Textodenotaderodap"/>
        <w:jc w:val="both"/>
        <w:rPr>
          <w:rFonts w:ascii="Times New Roman" w:hAnsi="Times New Roman" w:cs="Times New Roman"/>
        </w:rPr>
      </w:pPr>
      <w:r>
        <w:rPr>
          <w:rStyle w:val="Refdenotaderodap"/>
        </w:rPr>
        <w:t>*</w:t>
      </w:r>
      <w:r>
        <w:t xml:space="preserve"> </w:t>
      </w:r>
      <w:r w:rsidRPr="00C83638">
        <w:rPr>
          <w:rFonts w:ascii="Times New Roman" w:hAnsi="Times New Roman" w:cs="Times New Roman"/>
        </w:rPr>
        <w:t>O presente trabalho foi realizado com apoio da Coordenação de Aperfeiçoamento de Pessoal de Nível Superior - Brasil (CAPES) - Código de Financiamento 001.</w:t>
      </w:r>
      <w:r w:rsidRPr="00C83638">
        <w:t xml:space="preserve">  </w:t>
      </w:r>
    </w:p>
  </w:footnote>
  <w:footnote w:id="2">
    <w:p w14:paraId="3076D250" w14:textId="77777777" w:rsidR="00BF68CE" w:rsidRDefault="00BF68CE" w:rsidP="00BF68CE">
      <w:pPr>
        <w:pStyle w:val="Textodenotaderodap"/>
        <w:jc w:val="both"/>
      </w:pPr>
      <w:r>
        <w:rPr>
          <w:rStyle w:val="Refdenotaderodap"/>
        </w:rPr>
        <w:footnoteRef/>
      </w:r>
      <w:r>
        <w:t xml:space="preserve"> </w:t>
      </w:r>
      <w:r w:rsidRPr="003A62F4">
        <w:rPr>
          <w:rFonts w:ascii="Times New Roman" w:hAnsi="Times New Roman" w:cs="Times New Roman"/>
        </w:rPr>
        <w:t>A área do município que não faz parte do bioma Caatinga foi excluída. Esse procedimento foi realizado através da ferramenta interseção do QGIS.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F6BE8" w14:textId="77777777" w:rsidR="00695FD3" w:rsidRDefault="00667C57">
    <w:pPr>
      <w:pStyle w:val="Cabealho"/>
      <w:jc w:val="center"/>
    </w:pPr>
    <w:r>
      <w:rPr>
        <w:noProof/>
      </w:rPr>
      <mc:AlternateContent>
        <mc:Choice Requires="wps">
          <w:drawing>
            <wp:anchor distT="0" distB="0" distL="114300" distR="114300" simplePos="0" relativeHeight="251660288" behindDoc="1" locked="0" layoutInCell="1" allowOverlap="1" wp14:anchorId="17B22C10" wp14:editId="295131EA">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psCustomData="http://www.wps.cn/officeDocument/2013/wpsCustomData">
          <w:pict w14:anchorId="334AE27E">
            <v:line id="_x0000_s1026" style="position:absolute;left:0pt;margin-left:-39pt;margin-top:76.45pt;height:0.75pt;width:512.25pt;z-index:-251656192;mso-width-relative:page;mso-height-relative:page;" coordsize="21600,21600" o:spid="_x0000_s1026" filled="f" stroked="t" o:spt="2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2AF49827" wp14:editId="047DE836">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psCustomData="http://www.wps.cn/officeDocument/2013/wpsCustomData">
          <w:pict w14:anchorId="26679371">
            <v:rect id="_x0000_s1026" style="height:24pt;width:24pt;" coordsize="21600,21600" o:spid="_x0000_s1026" filled="f" stroked="f" o:spt="1"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6D422380" wp14:editId="1D58D512">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7C0B4260" w14:textId="77777777" w:rsidR="00695FD3" w:rsidRDefault="00695FD3">
    <w:pPr>
      <w:pStyle w:val="Cabealho"/>
      <w:jc w:val="center"/>
    </w:pPr>
  </w:p>
  <w:p w14:paraId="56FE4553" w14:textId="77777777" w:rsidR="00695FD3" w:rsidRDefault="00695FD3">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14528"/>
    <w:multiLevelType w:val="hybridMultilevel"/>
    <w:tmpl w:val="9E244902"/>
    <w:lvl w:ilvl="0" w:tplc="EC9E1E8E">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16D63DBB"/>
    <w:multiLevelType w:val="hybridMultilevel"/>
    <w:tmpl w:val="A7DE9412"/>
    <w:lvl w:ilvl="0" w:tplc="12D828C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4393D2F"/>
    <w:multiLevelType w:val="hybridMultilevel"/>
    <w:tmpl w:val="066EE7B6"/>
    <w:lvl w:ilvl="0" w:tplc="DFFED8C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3D176E"/>
    <w:multiLevelType w:val="hybridMultilevel"/>
    <w:tmpl w:val="704C9C82"/>
    <w:lvl w:ilvl="0" w:tplc="DA26646E">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D066697"/>
    <w:multiLevelType w:val="hybridMultilevel"/>
    <w:tmpl w:val="38E28294"/>
    <w:lvl w:ilvl="0" w:tplc="01A09D8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3340087"/>
    <w:multiLevelType w:val="hybridMultilevel"/>
    <w:tmpl w:val="53348D32"/>
    <w:lvl w:ilvl="0" w:tplc="4E800BC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ACA1C93"/>
    <w:multiLevelType w:val="hybridMultilevel"/>
    <w:tmpl w:val="53F6756E"/>
    <w:lvl w:ilvl="0" w:tplc="FD287D8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06320802">
    <w:abstractNumId w:val="2"/>
  </w:num>
  <w:num w:numId="2" w16cid:durableId="1239098752">
    <w:abstractNumId w:val="1"/>
  </w:num>
  <w:num w:numId="3" w16cid:durableId="1420368729">
    <w:abstractNumId w:val="6"/>
  </w:num>
  <w:num w:numId="4" w16cid:durableId="1462962227">
    <w:abstractNumId w:val="5"/>
  </w:num>
  <w:num w:numId="5" w16cid:durableId="758405681">
    <w:abstractNumId w:val="3"/>
  </w:num>
  <w:num w:numId="6" w16cid:durableId="1151479408">
    <w:abstractNumId w:val="4"/>
  </w:num>
  <w:num w:numId="7" w16cid:durableId="712460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3FCC"/>
    <w:rsid w:val="000115B0"/>
    <w:rsid w:val="000172AB"/>
    <w:rsid w:val="00030C87"/>
    <w:rsid w:val="00036C01"/>
    <w:rsid w:val="00040200"/>
    <w:rsid w:val="000802C6"/>
    <w:rsid w:val="00080332"/>
    <w:rsid w:val="000958D2"/>
    <w:rsid w:val="00095DC3"/>
    <w:rsid w:val="000A65FB"/>
    <w:rsid w:val="000E08D0"/>
    <w:rsid w:val="000F17EB"/>
    <w:rsid w:val="000F2C33"/>
    <w:rsid w:val="00100817"/>
    <w:rsid w:val="00103BBF"/>
    <w:rsid w:val="00106BED"/>
    <w:rsid w:val="00122E3B"/>
    <w:rsid w:val="00135A94"/>
    <w:rsid w:val="00154CDE"/>
    <w:rsid w:val="00165F4E"/>
    <w:rsid w:val="001721A5"/>
    <w:rsid w:val="0017619A"/>
    <w:rsid w:val="00180331"/>
    <w:rsid w:val="00180744"/>
    <w:rsid w:val="001855BE"/>
    <w:rsid w:val="0019340E"/>
    <w:rsid w:val="001A02CF"/>
    <w:rsid w:val="001A56EF"/>
    <w:rsid w:val="001B1A50"/>
    <w:rsid w:val="001B5FEF"/>
    <w:rsid w:val="001E4CA2"/>
    <w:rsid w:val="001F057F"/>
    <w:rsid w:val="002058D9"/>
    <w:rsid w:val="002059BA"/>
    <w:rsid w:val="00206A92"/>
    <w:rsid w:val="0021141C"/>
    <w:rsid w:val="00214CE2"/>
    <w:rsid w:val="002247D6"/>
    <w:rsid w:val="00230C89"/>
    <w:rsid w:val="0023482A"/>
    <w:rsid w:val="00235582"/>
    <w:rsid w:val="00241841"/>
    <w:rsid w:val="00255C43"/>
    <w:rsid w:val="00255DE6"/>
    <w:rsid w:val="00257324"/>
    <w:rsid w:val="0026351E"/>
    <w:rsid w:val="00276D04"/>
    <w:rsid w:val="0028543A"/>
    <w:rsid w:val="00293C87"/>
    <w:rsid w:val="002A0706"/>
    <w:rsid w:val="002A1F78"/>
    <w:rsid w:val="002A6D1E"/>
    <w:rsid w:val="002B163B"/>
    <w:rsid w:val="002B6153"/>
    <w:rsid w:val="002B7519"/>
    <w:rsid w:val="002B7AD0"/>
    <w:rsid w:val="002C0A38"/>
    <w:rsid w:val="002C14C4"/>
    <w:rsid w:val="002C5549"/>
    <w:rsid w:val="002D0ABF"/>
    <w:rsid w:val="002D3512"/>
    <w:rsid w:val="002D471B"/>
    <w:rsid w:val="002D7F27"/>
    <w:rsid w:val="002E1416"/>
    <w:rsid w:val="002E3A81"/>
    <w:rsid w:val="002F5375"/>
    <w:rsid w:val="00323660"/>
    <w:rsid w:val="0034418A"/>
    <w:rsid w:val="0034698E"/>
    <w:rsid w:val="00346B67"/>
    <w:rsid w:val="00352C3D"/>
    <w:rsid w:val="0035498B"/>
    <w:rsid w:val="00354A19"/>
    <w:rsid w:val="0036312A"/>
    <w:rsid w:val="00372870"/>
    <w:rsid w:val="003949EE"/>
    <w:rsid w:val="003A4B62"/>
    <w:rsid w:val="003A62F4"/>
    <w:rsid w:val="003B3658"/>
    <w:rsid w:val="003B60ED"/>
    <w:rsid w:val="003C1F5B"/>
    <w:rsid w:val="003C4DF4"/>
    <w:rsid w:val="003D0C58"/>
    <w:rsid w:val="003D51D6"/>
    <w:rsid w:val="003E209E"/>
    <w:rsid w:val="003F0E8A"/>
    <w:rsid w:val="003F2CC9"/>
    <w:rsid w:val="003F671D"/>
    <w:rsid w:val="003F7874"/>
    <w:rsid w:val="004020FC"/>
    <w:rsid w:val="00402806"/>
    <w:rsid w:val="00402B25"/>
    <w:rsid w:val="00430E45"/>
    <w:rsid w:val="0044231A"/>
    <w:rsid w:val="00451DA9"/>
    <w:rsid w:val="00487878"/>
    <w:rsid w:val="0049508B"/>
    <w:rsid w:val="004D292A"/>
    <w:rsid w:val="004E1978"/>
    <w:rsid w:val="00503182"/>
    <w:rsid w:val="00507F7E"/>
    <w:rsid w:val="00510F45"/>
    <w:rsid w:val="00515B82"/>
    <w:rsid w:val="0052279C"/>
    <w:rsid w:val="0052786F"/>
    <w:rsid w:val="00531118"/>
    <w:rsid w:val="005313AA"/>
    <w:rsid w:val="00537195"/>
    <w:rsid w:val="00537F06"/>
    <w:rsid w:val="005470FC"/>
    <w:rsid w:val="00561BC1"/>
    <w:rsid w:val="00567F51"/>
    <w:rsid w:val="00576065"/>
    <w:rsid w:val="00583BE1"/>
    <w:rsid w:val="00585875"/>
    <w:rsid w:val="005917BC"/>
    <w:rsid w:val="005A2A18"/>
    <w:rsid w:val="005B1F25"/>
    <w:rsid w:val="005C0957"/>
    <w:rsid w:val="005D1F0E"/>
    <w:rsid w:val="005D4F67"/>
    <w:rsid w:val="005D5342"/>
    <w:rsid w:val="005D775F"/>
    <w:rsid w:val="005E3CE5"/>
    <w:rsid w:val="005F0178"/>
    <w:rsid w:val="006167C6"/>
    <w:rsid w:val="006435D0"/>
    <w:rsid w:val="00650FFF"/>
    <w:rsid w:val="00652901"/>
    <w:rsid w:val="00653514"/>
    <w:rsid w:val="0065406C"/>
    <w:rsid w:val="006554D9"/>
    <w:rsid w:val="00667C57"/>
    <w:rsid w:val="00677701"/>
    <w:rsid w:val="00685276"/>
    <w:rsid w:val="0068673C"/>
    <w:rsid w:val="00691569"/>
    <w:rsid w:val="00691AF6"/>
    <w:rsid w:val="00695FD3"/>
    <w:rsid w:val="006A141C"/>
    <w:rsid w:val="006A4485"/>
    <w:rsid w:val="006A53A2"/>
    <w:rsid w:val="006B14B0"/>
    <w:rsid w:val="006B1B84"/>
    <w:rsid w:val="006B25F4"/>
    <w:rsid w:val="006C32DB"/>
    <w:rsid w:val="006C5F91"/>
    <w:rsid w:val="006D0AAC"/>
    <w:rsid w:val="006E678D"/>
    <w:rsid w:val="006E6CC0"/>
    <w:rsid w:val="006F665B"/>
    <w:rsid w:val="007056C7"/>
    <w:rsid w:val="0070781D"/>
    <w:rsid w:val="00724E72"/>
    <w:rsid w:val="00733FA3"/>
    <w:rsid w:val="00735E19"/>
    <w:rsid w:val="00747DE3"/>
    <w:rsid w:val="007559C2"/>
    <w:rsid w:val="00757981"/>
    <w:rsid w:val="00770BFC"/>
    <w:rsid w:val="0078020C"/>
    <w:rsid w:val="00787C60"/>
    <w:rsid w:val="00797164"/>
    <w:rsid w:val="00797B8B"/>
    <w:rsid w:val="007A082B"/>
    <w:rsid w:val="007A3A8D"/>
    <w:rsid w:val="007C2013"/>
    <w:rsid w:val="007C3EAC"/>
    <w:rsid w:val="007E0C93"/>
    <w:rsid w:val="007E415F"/>
    <w:rsid w:val="007F6F8F"/>
    <w:rsid w:val="00800809"/>
    <w:rsid w:val="00814EE9"/>
    <w:rsid w:val="008150E9"/>
    <w:rsid w:val="00817B63"/>
    <w:rsid w:val="0082059E"/>
    <w:rsid w:val="00826736"/>
    <w:rsid w:val="0084281B"/>
    <w:rsid w:val="00845A59"/>
    <w:rsid w:val="00851CE1"/>
    <w:rsid w:val="00854B12"/>
    <w:rsid w:val="00855013"/>
    <w:rsid w:val="0085799B"/>
    <w:rsid w:val="00865892"/>
    <w:rsid w:val="00870838"/>
    <w:rsid w:val="0087487E"/>
    <w:rsid w:val="008776DC"/>
    <w:rsid w:val="008821B0"/>
    <w:rsid w:val="008869A8"/>
    <w:rsid w:val="008B25F8"/>
    <w:rsid w:val="008C69A9"/>
    <w:rsid w:val="008C728F"/>
    <w:rsid w:val="008D3A95"/>
    <w:rsid w:val="008D7F80"/>
    <w:rsid w:val="00900243"/>
    <w:rsid w:val="009050BA"/>
    <w:rsid w:val="009148AF"/>
    <w:rsid w:val="009361BE"/>
    <w:rsid w:val="00942090"/>
    <w:rsid w:val="0095465C"/>
    <w:rsid w:val="00956198"/>
    <w:rsid w:val="00961169"/>
    <w:rsid w:val="00961534"/>
    <w:rsid w:val="009677E4"/>
    <w:rsid w:val="00981E5F"/>
    <w:rsid w:val="00982573"/>
    <w:rsid w:val="009926B9"/>
    <w:rsid w:val="00992A92"/>
    <w:rsid w:val="009C312B"/>
    <w:rsid w:val="009E4156"/>
    <w:rsid w:val="009F167A"/>
    <w:rsid w:val="009F579F"/>
    <w:rsid w:val="009F74BF"/>
    <w:rsid w:val="00A017CC"/>
    <w:rsid w:val="00A01F2C"/>
    <w:rsid w:val="00A059F1"/>
    <w:rsid w:val="00A0703A"/>
    <w:rsid w:val="00A12BDF"/>
    <w:rsid w:val="00A20034"/>
    <w:rsid w:val="00A20360"/>
    <w:rsid w:val="00A21649"/>
    <w:rsid w:val="00A26548"/>
    <w:rsid w:val="00A30B9C"/>
    <w:rsid w:val="00A34856"/>
    <w:rsid w:val="00A40391"/>
    <w:rsid w:val="00A42EFC"/>
    <w:rsid w:val="00A43D99"/>
    <w:rsid w:val="00A455C1"/>
    <w:rsid w:val="00A561CC"/>
    <w:rsid w:val="00A5701F"/>
    <w:rsid w:val="00A6774C"/>
    <w:rsid w:val="00A67B7D"/>
    <w:rsid w:val="00A87538"/>
    <w:rsid w:val="00A93D2F"/>
    <w:rsid w:val="00A9461B"/>
    <w:rsid w:val="00AA5EFD"/>
    <w:rsid w:val="00AC4B48"/>
    <w:rsid w:val="00AD1C5A"/>
    <w:rsid w:val="00AD7D57"/>
    <w:rsid w:val="00AE15C3"/>
    <w:rsid w:val="00AF383D"/>
    <w:rsid w:val="00B066A5"/>
    <w:rsid w:val="00B150ED"/>
    <w:rsid w:val="00B15C67"/>
    <w:rsid w:val="00B254FD"/>
    <w:rsid w:val="00B339DF"/>
    <w:rsid w:val="00B36C2A"/>
    <w:rsid w:val="00B46A9E"/>
    <w:rsid w:val="00B471E0"/>
    <w:rsid w:val="00B50FAF"/>
    <w:rsid w:val="00B5151D"/>
    <w:rsid w:val="00B52F26"/>
    <w:rsid w:val="00B7070D"/>
    <w:rsid w:val="00B70D7E"/>
    <w:rsid w:val="00B70E0C"/>
    <w:rsid w:val="00B759A5"/>
    <w:rsid w:val="00B85512"/>
    <w:rsid w:val="00B86D2C"/>
    <w:rsid w:val="00BA1D81"/>
    <w:rsid w:val="00BB23B8"/>
    <w:rsid w:val="00BB2438"/>
    <w:rsid w:val="00BB2AD1"/>
    <w:rsid w:val="00BB5F34"/>
    <w:rsid w:val="00BC0D4D"/>
    <w:rsid w:val="00BC6D50"/>
    <w:rsid w:val="00BC7F03"/>
    <w:rsid w:val="00BD06EF"/>
    <w:rsid w:val="00BE108D"/>
    <w:rsid w:val="00BE5155"/>
    <w:rsid w:val="00BE59F5"/>
    <w:rsid w:val="00BF2C93"/>
    <w:rsid w:val="00BF68CE"/>
    <w:rsid w:val="00C06545"/>
    <w:rsid w:val="00C1183A"/>
    <w:rsid w:val="00C175F9"/>
    <w:rsid w:val="00C24991"/>
    <w:rsid w:val="00C34DAE"/>
    <w:rsid w:val="00C374BF"/>
    <w:rsid w:val="00C472B2"/>
    <w:rsid w:val="00C479D0"/>
    <w:rsid w:val="00C51121"/>
    <w:rsid w:val="00C5205D"/>
    <w:rsid w:val="00C61E85"/>
    <w:rsid w:val="00C63199"/>
    <w:rsid w:val="00C664EC"/>
    <w:rsid w:val="00C722F1"/>
    <w:rsid w:val="00C82E58"/>
    <w:rsid w:val="00C83638"/>
    <w:rsid w:val="00C84C45"/>
    <w:rsid w:val="00C869EE"/>
    <w:rsid w:val="00C87973"/>
    <w:rsid w:val="00C87D78"/>
    <w:rsid w:val="00C87F92"/>
    <w:rsid w:val="00C93039"/>
    <w:rsid w:val="00C9428A"/>
    <w:rsid w:val="00C9511F"/>
    <w:rsid w:val="00CA238F"/>
    <w:rsid w:val="00CA297A"/>
    <w:rsid w:val="00CB1A23"/>
    <w:rsid w:val="00CC0041"/>
    <w:rsid w:val="00CC0AE4"/>
    <w:rsid w:val="00CC365D"/>
    <w:rsid w:val="00CD1D34"/>
    <w:rsid w:val="00CE13FD"/>
    <w:rsid w:val="00CE7593"/>
    <w:rsid w:val="00CF0C40"/>
    <w:rsid w:val="00CF0D0A"/>
    <w:rsid w:val="00CF4540"/>
    <w:rsid w:val="00CF5B8F"/>
    <w:rsid w:val="00D15425"/>
    <w:rsid w:val="00D231D2"/>
    <w:rsid w:val="00D274A9"/>
    <w:rsid w:val="00D374A2"/>
    <w:rsid w:val="00D52296"/>
    <w:rsid w:val="00D60F41"/>
    <w:rsid w:val="00D63876"/>
    <w:rsid w:val="00D66A1C"/>
    <w:rsid w:val="00D75D1E"/>
    <w:rsid w:val="00D80E7C"/>
    <w:rsid w:val="00D8599F"/>
    <w:rsid w:val="00D8681A"/>
    <w:rsid w:val="00D9057E"/>
    <w:rsid w:val="00D93ADB"/>
    <w:rsid w:val="00D964AE"/>
    <w:rsid w:val="00DA2536"/>
    <w:rsid w:val="00DA3A48"/>
    <w:rsid w:val="00DB6D35"/>
    <w:rsid w:val="00DC369C"/>
    <w:rsid w:val="00DC4261"/>
    <w:rsid w:val="00DC5991"/>
    <w:rsid w:val="00DD6758"/>
    <w:rsid w:val="00DD6E84"/>
    <w:rsid w:val="00DD72D4"/>
    <w:rsid w:val="00DE43F2"/>
    <w:rsid w:val="00DE5A4E"/>
    <w:rsid w:val="00E0385B"/>
    <w:rsid w:val="00E0456C"/>
    <w:rsid w:val="00E06E19"/>
    <w:rsid w:val="00E135C6"/>
    <w:rsid w:val="00E163B7"/>
    <w:rsid w:val="00E22787"/>
    <w:rsid w:val="00E24F27"/>
    <w:rsid w:val="00E2726A"/>
    <w:rsid w:val="00E4173A"/>
    <w:rsid w:val="00E46301"/>
    <w:rsid w:val="00E50039"/>
    <w:rsid w:val="00E5013B"/>
    <w:rsid w:val="00E51769"/>
    <w:rsid w:val="00E54515"/>
    <w:rsid w:val="00E61911"/>
    <w:rsid w:val="00E74C4A"/>
    <w:rsid w:val="00E83BD3"/>
    <w:rsid w:val="00E9541F"/>
    <w:rsid w:val="00E9781A"/>
    <w:rsid w:val="00EA188C"/>
    <w:rsid w:val="00EA7DD1"/>
    <w:rsid w:val="00ED64DE"/>
    <w:rsid w:val="00EF0A25"/>
    <w:rsid w:val="00EF4BB3"/>
    <w:rsid w:val="00F049F1"/>
    <w:rsid w:val="00F10C09"/>
    <w:rsid w:val="00F1463D"/>
    <w:rsid w:val="00F455AE"/>
    <w:rsid w:val="00F46115"/>
    <w:rsid w:val="00F50CEA"/>
    <w:rsid w:val="00F5306F"/>
    <w:rsid w:val="00F54650"/>
    <w:rsid w:val="00F56AB8"/>
    <w:rsid w:val="00F574D6"/>
    <w:rsid w:val="00F620D2"/>
    <w:rsid w:val="00F63D5C"/>
    <w:rsid w:val="00F71422"/>
    <w:rsid w:val="00F7798B"/>
    <w:rsid w:val="00F77BC4"/>
    <w:rsid w:val="00F831AF"/>
    <w:rsid w:val="00F92A56"/>
    <w:rsid w:val="00F949B5"/>
    <w:rsid w:val="00F972C3"/>
    <w:rsid w:val="00FA3CCA"/>
    <w:rsid w:val="00FA7151"/>
    <w:rsid w:val="00FB06B3"/>
    <w:rsid w:val="00FB6D59"/>
    <w:rsid w:val="00FC4F7E"/>
    <w:rsid w:val="00FD2799"/>
    <w:rsid w:val="00FD5D99"/>
    <w:rsid w:val="00FE759F"/>
    <w:rsid w:val="00FF00DD"/>
    <w:rsid w:val="00FF2309"/>
    <w:rsid w:val="00FF3555"/>
    <w:rsid w:val="44379C23"/>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4CEF1"/>
  <w15:docId w15:val="{E9C2FBC0-0658-3D45-B371-C587DE20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375"/>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Hyperlink">
    <w:name w:val="Hyperlink"/>
    <w:basedOn w:val="Fontepargpadro"/>
    <w:uiPriority w:val="99"/>
    <w:unhideWhenUsed/>
    <w:rPr>
      <w:color w:val="0563C1" w:themeColor="hyperlink"/>
      <w:u w:val="single"/>
    </w:rPr>
  </w:style>
  <w:style w:type="table" w:styleId="Tabelacomgrade">
    <w:name w:val="Table Grid"/>
    <w:basedOn w:val="Tabela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lang w:eastAsia="en-US"/>
    </w:rPr>
  </w:style>
  <w:style w:type="character" w:styleId="Refdecomentrio">
    <w:name w:val="annotation reference"/>
    <w:basedOn w:val="Fontepargpadro"/>
    <w:uiPriority w:val="99"/>
    <w:semiHidden/>
    <w:unhideWhenUsed/>
    <w:rPr>
      <w:sz w:val="16"/>
      <w:szCs w:val="16"/>
    </w:rPr>
  </w:style>
  <w:style w:type="character" w:styleId="TextodoEspaoReservado">
    <w:name w:val="Placeholder Text"/>
    <w:basedOn w:val="Fontepargpadro"/>
    <w:uiPriority w:val="99"/>
    <w:semiHidden/>
    <w:rsid w:val="00BD06EF"/>
    <w:rPr>
      <w:color w:val="808080"/>
    </w:rPr>
  </w:style>
  <w:style w:type="character" w:customStyle="1" w:styleId="font181">
    <w:name w:val="font181"/>
    <w:basedOn w:val="Fontepargpadro"/>
    <w:rsid w:val="001855BE"/>
    <w:rPr>
      <w:rFonts w:ascii="Calibri" w:hAnsi="Calibri" w:cs="Calibri" w:hint="default"/>
      <w:b w:val="0"/>
      <w:bCs w:val="0"/>
      <w:i w:val="0"/>
      <w:iCs w:val="0"/>
      <w:strike w:val="0"/>
      <w:dstrike w:val="0"/>
      <w:color w:val="000000"/>
      <w:sz w:val="20"/>
      <w:szCs w:val="20"/>
      <w:u w:val="none"/>
      <w:effect w:val="none"/>
    </w:rPr>
  </w:style>
  <w:style w:type="character" w:customStyle="1" w:styleId="font201">
    <w:name w:val="font201"/>
    <w:basedOn w:val="Fontepargpadro"/>
    <w:rsid w:val="001855BE"/>
    <w:rPr>
      <w:rFonts w:ascii="WordVisiCarriageReturn_MSFontSe" w:hAnsi="WordVisiCarriageReturn_MSFontSe" w:hint="default"/>
      <w:b w:val="0"/>
      <w:bCs w:val="0"/>
      <w:i w:val="0"/>
      <w:iCs w:val="0"/>
      <w:strike w:val="0"/>
      <w:dstrike w:val="0"/>
      <w:color w:val="000000"/>
      <w:sz w:val="20"/>
      <w:szCs w:val="20"/>
      <w:u w:val="none"/>
      <w:effect w:val="none"/>
    </w:rPr>
  </w:style>
  <w:style w:type="character" w:customStyle="1" w:styleId="font191">
    <w:name w:val="font191"/>
    <w:basedOn w:val="Fontepargpadro"/>
    <w:rsid w:val="001855BE"/>
    <w:rPr>
      <w:rFonts w:ascii="Calibri" w:hAnsi="Calibri" w:cs="Calibri" w:hint="default"/>
      <w:b/>
      <w:bCs/>
      <w:i w:val="0"/>
      <w:iCs w:val="0"/>
      <w:strike w:val="0"/>
      <w:dstrike w:val="0"/>
      <w:color w:val="000000"/>
      <w:sz w:val="20"/>
      <w:szCs w:val="20"/>
      <w:u w:val="none"/>
      <w:effect w:val="none"/>
    </w:rPr>
  </w:style>
  <w:style w:type="paragraph" w:styleId="Textodenotaderodap">
    <w:name w:val="footnote text"/>
    <w:basedOn w:val="Normal"/>
    <w:link w:val="TextodenotaderodapChar"/>
    <w:uiPriority w:val="99"/>
    <w:semiHidden/>
    <w:unhideWhenUsed/>
    <w:rsid w:val="00BF68C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F68CE"/>
    <w:rPr>
      <w:lang w:eastAsia="en-US"/>
    </w:rPr>
  </w:style>
  <w:style w:type="paragraph" w:styleId="PargrafodaLista">
    <w:name w:val="List Paragraph"/>
    <w:basedOn w:val="Normal"/>
    <w:uiPriority w:val="34"/>
    <w:qFormat/>
    <w:rsid w:val="00BF68CE"/>
    <w:pPr>
      <w:spacing w:line="256" w:lineRule="auto"/>
      <w:ind w:left="720"/>
      <w:contextualSpacing/>
    </w:pPr>
  </w:style>
  <w:style w:type="character" w:styleId="Refdenotaderodap">
    <w:name w:val="footnote reference"/>
    <w:basedOn w:val="Fontepargpadro"/>
    <w:uiPriority w:val="99"/>
    <w:semiHidden/>
    <w:unhideWhenUsed/>
    <w:rsid w:val="00BF68CE"/>
    <w:rPr>
      <w:vertAlign w:val="superscript"/>
    </w:rPr>
  </w:style>
  <w:style w:type="paragraph" w:styleId="NormalWeb">
    <w:name w:val="Normal (Web)"/>
    <w:basedOn w:val="Normal"/>
    <w:uiPriority w:val="99"/>
    <w:unhideWhenUsed/>
    <w:rsid w:val="00F56AB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Reviso">
    <w:name w:val="Revision"/>
    <w:hidden/>
    <w:uiPriority w:val="99"/>
    <w:semiHidden/>
    <w:rsid w:val="00F56AB8"/>
    <w:rPr>
      <w:sz w:val="22"/>
      <w:szCs w:val="22"/>
      <w:lang w:eastAsia="en-US"/>
    </w:rPr>
  </w:style>
  <w:style w:type="paragraph" w:styleId="Assuntodocomentrio">
    <w:name w:val="annotation subject"/>
    <w:basedOn w:val="Textodecomentrio"/>
    <w:next w:val="Textodecomentrio"/>
    <w:link w:val="AssuntodocomentrioChar"/>
    <w:uiPriority w:val="99"/>
    <w:semiHidden/>
    <w:unhideWhenUsed/>
    <w:rsid w:val="00F56AB8"/>
    <w:rPr>
      <w:b/>
      <w:bCs/>
    </w:rPr>
  </w:style>
  <w:style w:type="character" w:customStyle="1" w:styleId="AssuntodocomentrioChar">
    <w:name w:val="Assunto do comentário Char"/>
    <w:basedOn w:val="TextodecomentrioChar"/>
    <w:link w:val="Assuntodocomentrio"/>
    <w:uiPriority w:val="99"/>
    <w:semiHidden/>
    <w:rsid w:val="00F56AB8"/>
    <w:rPr>
      <w:b/>
      <w:bCs/>
      <w:lang w:eastAsia="en-US"/>
    </w:rPr>
  </w:style>
  <w:style w:type="paragraph" w:styleId="Bibliografia">
    <w:name w:val="Bibliography"/>
    <w:basedOn w:val="Normal"/>
    <w:next w:val="Normal"/>
    <w:uiPriority w:val="37"/>
    <w:semiHidden/>
    <w:unhideWhenUsed/>
    <w:rsid w:val="00F56AB8"/>
  </w:style>
  <w:style w:type="character" w:styleId="MenoPendente">
    <w:name w:val="Unresolved Mention"/>
    <w:basedOn w:val="Fontepargpadro"/>
    <w:uiPriority w:val="99"/>
    <w:semiHidden/>
    <w:unhideWhenUsed/>
    <w:rsid w:val="00F56AB8"/>
    <w:rPr>
      <w:color w:val="605E5C"/>
      <w:shd w:val="clear" w:color="auto" w:fill="E1DFDD"/>
    </w:rPr>
  </w:style>
  <w:style w:type="character" w:customStyle="1" w:styleId="journaltitle">
    <w:name w:val="journaltitle"/>
    <w:basedOn w:val="Fontepargpadro"/>
    <w:uiPriority w:val="99"/>
    <w:rsid w:val="00F56AB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434">
      <w:bodyDiv w:val="1"/>
      <w:marLeft w:val="0"/>
      <w:marRight w:val="0"/>
      <w:marTop w:val="0"/>
      <w:marBottom w:val="0"/>
      <w:divBdr>
        <w:top w:val="none" w:sz="0" w:space="0" w:color="auto"/>
        <w:left w:val="none" w:sz="0" w:space="0" w:color="auto"/>
        <w:bottom w:val="none" w:sz="0" w:space="0" w:color="auto"/>
        <w:right w:val="none" w:sz="0" w:space="0" w:color="auto"/>
      </w:divBdr>
    </w:div>
    <w:div w:id="163740661">
      <w:bodyDiv w:val="1"/>
      <w:marLeft w:val="0"/>
      <w:marRight w:val="0"/>
      <w:marTop w:val="0"/>
      <w:marBottom w:val="0"/>
      <w:divBdr>
        <w:top w:val="none" w:sz="0" w:space="0" w:color="auto"/>
        <w:left w:val="none" w:sz="0" w:space="0" w:color="auto"/>
        <w:bottom w:val="none" w:sz="0" w:space="0" w:color="auto"/>
        <w:right w:val="none" w:sz="0" w:space="0" w:color="auto"/>
      </w:divBdr>
    </w:div>
    <w:div w:id="220291500">
      <w:bodyDiv w:val="1"/>
      <w:marLeft w:val="0"/>
      <w:marRight w:val="0"/>
      <w:marTop w:val="0"/>
      <w:marBottom w:val="0"/>
      <w:divBdr>
        <w:top w:val="none" w:sz="0" w:space="0" w:color="auto"/>
        <w:left w:val="none" w:sz="0" w:space="0" w:color="auto"/>
        <w:bottom w:val="none" w:sz="0" w:space="0" w:color="auto"/>
        <w:right w:val="none" w:sz="0" w:space="0" w:color="auto"/>
      </w:divBdr>
    </w:div>
    <w:div w:id="220406306">
      <w:bodyDiv w:val="1"/>
      <w:marLeft w:val="0"/>
      <w:marRight w:val="0"/>
      <w:marTop w:val="0"/>
      <w:marBottom w:val="0"/>
      <w:divBdr>
        <w:top w:val="none" w:sz="0" w:space="0" w:color="auto"/>
        <w:left w:val="none" w:sz="0" w:space="0" w:color="auto"/>
        <w:bottom w:val="none" w:sz="0" w:space="0" w:color="auto"/>
        <w:right w:val="none" w:sz="0" w:space="0" w:color="auto"/>
      </w:divBdr>
    </w:div>
    <w:div w:id="1191526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fortalezaemfotos.com.br/2010/11/seca-de-1877-1879.html"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aplicacoes.mds.gov.br/sagi/pesquisas/lista-s.php?e=1&amp;stk=ano&amp;i=2012"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8293</TotalTime>
  <Pages>25</Pages>
  <Words>8073</Words>
  <Characters>43598</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revision>152</cp:revision>
  <dcterms:created xsi:type="dcterms:W3CDTF">2022-05-20T13:04:00Z</dcterms:created>
  <dcterms:modified xsi:type="dcterms:W3CDTF">2022-08-15T23:01:00Z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