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CFF29" w14:textId="3027A9E1" w:rsidR="00695FD3" w:rsidRPr="006F42E1" w:rsidRDefault="00BD260A" w:rsidP="00FC03B5">
      <w:pPr>
        <w:pStyle w:val="Corpodetexto3"/>
        <w:spacing w:line="360" w:lineRule="auto"/>
      </w:pPr>
      <w:r w:rsidRPr="006F42E1">
        <w:t>PROJEÇÃO POPULACIONAL EM PEQUENAS ÁREAS:</w:t>
      </w:r>
    </w:p>
    <w:p w14:paraId="39F02627" w14:textId="6BB66823" w:rsidR="00695FD3" w:rsidRPr="006F42E1" w:rsidRDefault="00BD260A" w:rsidP="00FC03B5">
      <w:pPr>
        <w:pStyle w:val="Corpodetexto3"/>
        <w:spacing w:line="360" w:lineRule="auto"/>
      </w:pPr>
      <w:r>
        <w:t>T</w:t>
      </w:r>
      <w:r w:rsidRPr="006F42E1">
        <w:t>RAN</w:t>
      </w:r>
      <w:r>
        <w:t>S</w:t>
      </w:r>
      <w:r w:rsidRPr="006F42E1">
        <w:t xml:space="preserve">FORMAÇÕES DEMOGRÁFICAS NA </w:t>
      </w:r>
      <w:r>
        <w:t>M</w:t>
      </w:r>
      <w:r w:rsidRPr="006F42E1">
        <w:t xml:space="preserve">ICRORREGIÃO DO </w:t>
      </w:r>
      <w:r>
        <w:t>C</w:t>
      </w:r>
      <w:r w:rsidRPr="006F42E1">
        <w:t>ARIRI ATÉ 2050</w:t>
      </w:r>
      <w:r w:rsidR="008404E7" w:rsidRPr="006F42E1">
        <w:rPr>
          <w:rStyle w:val="Refdenotaderodap"/>
        </w:rPr>
        <w:footnoteReference w:customMarkFollows="1" w:id="2"/>
        <w:t>*</w:t>
      </w:r>
    </w:p>
    <w:p w14:paraId="4CF46A34" w14:textId="77777777" w:rsidR="00695FD3" w:rsidRPr="006F42E1" w:rsidRDefault="00695FD3" w:rsidP="00FC03B5">
      <w:pPr>
        <w:spacing w:after="0" w:line="360" w:lineRule="auto"/>
        <w:jc w:val="center"/>
        <w:rPr>
          <w:rFonts w:ascii="Times New Roman" w:hAnsi="Times New Roman" w:cs="Times New Roman"/>
          <w:sz w:val="28"/>
          <w:szCs w:val="28"/>
        </w:rPr>
      </w:pPr>
    </w:p>
    <w:p w14:paraId="579B2408" w14:textId="77777777" w:rsidR="00695FD3" w:rsidRPr="006F42E1" w:rsidRDefault="00667C57" w:rsidP="004D16E5">
      <w:pPr>
        <w:pStyle w:val="Ttulo"/>
        <w:jc w:val="both"/>
        <w:rPr>
          <w:rFonts w:ascii="Times New Roman" w:hAnsi="Times New Roman"/>
          <w:sz w:val="24"/>
          <w:lang w:val="pt-BR"/>
        </w:rPr>
      </w:pPr>
      <w:r w:rsidRPr="006F42E1">
        <w:rPr>
          <w:rFonts w:ascii="Times New Roman" w:hAnsi="Times New Roman"/>
          <w:sz w:val="24"/>
          <w:lang w:val="pt-BR"/>
        </w:rPr>
        <w:t>RESUMO</w:t>
      </w:r>
    </w:p>
    <w:p w14:paraId="6BBFB113" w14:textId="30304BE3" w:rsidR="00695FD3" w:rsidRPr="006F42E1" w:rsidRDefault="517C960D" w:rsidP="0D80FB5F">
      <w:pPr>
        <w:spacing w:after="0" w:line="24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Conhecer a população desde seu tamanho, distribuição, até características gerais, como sexo e idade, tem grande importância </w:t>
      </w:r>
      <w:r w:rsidR="00FB778C">
        <w:rPr>
          <w:rFonts w:ascii="Times New Roman" w:hAnsi="Times New Roman" w:cs="Times New Roman"/>
          <w:sz w:val="24"/>
          <w:szCs w:val="24"/>
        </w:rPr>
        <w:t>pel</w:t>
      </w:r>
      <w:r w:rsidRPr="006F42E1">
        <w:rPr>
          <w:rFonts w:ascii="Times New Roman" w:hAnsi="Times New Roman" w:cs="Times New Roman"/>
          <w:sz w:val="24"/>
          <w:szCs w:val="24"/>
        </w:rPr>
        <w:t xml:space="preserve">os subsídios que fornece ao planejamento e desenvolvimento de políticas públicas, especialmente </w:t>
      </w:r>
      <w:r w:rsidR="006F3B1E">
        <w:rPr>
          <w:rFonts w:ascii="Times New Roman" w:hAnsi="Times New Roman" w:cs="Times New Roman"/>
          <w:sz w:val="24"/>
          <w:szCs w:val="24"/>
        </w:rPr>
        <w:t>em</w:t>
      </w:r>
      <w:r w:rsidRPr="006F42E1">
        <w:rPr>
          <w:rFonts w:ascii="Times New Roman" w:hAnsi="Times New Roman" w:cs="Times New Roman"/>
          <w:sz w:val="24"/>
          <w:szCs w:val="24"/>
        </w:rPr>
        <w:t xml:space="preserve"> </w:t>
      </w:r>
      <w:r w:rsidR="00D5180F">
        <w:rPr>
          <w:rFonts w:ascii="Times New Roman" w:hAnsi="Times New Roman" w:cs="Times New Roman"/>
          <w:sz w:val="24"/>
          <w:szCs w:val="24"/>
        </w:rPr>
        <w:t>recorte</w:t>
      </w:r>
      <w:r w:rsidR="00E840EA">
        <w:rPr>
          <w:rFonts w:ascii="Times New Roman" w:hAnsi="Times New Roman" w:cs="Times New Roman"/>
          <w:sz w:val="24"/>
          <w:szCs w:val="24"/>
        </w:rPr>
        <w:t xml:space="preserve">s </w:t>
      </w:r>
      <w:r w:rsidR="00E456A7">
        <w:rPr>
          <w:rFonts w:ascii="Times New Roman" w:hAnsi="Times New Roman" w:cs="Times New Roman"/>
          <w:sz w:val="24"/>
          <w:szCs w:val="24"/>
        </w:rPr>
        <w:t>específico</w:t>
      </w:r>
      <w:r w:rsidRPr="006F42E1">
        <w:rPr>
          <w:rFonts w:ascii="Times New Roman" w:hAnsi="Times New Roman" w:cs="Times New Roman"/>
          <w:sz w:val="24"/>
          <w:szCs w:val="24"/>
        </w:rPr>
        <w:t>s. Uma vez que podemos observar sua evolução e projetá-la adiante a partir dos indicadores, teoria e métodos demográficos, o objetivo d</w:t>
      </w:r>
      <w:r w:rsidR="00965618">
        <w:rPr>
          <w:rFonts w:ascii="Times New Roman" w:hAnsi="Times New Roman" w:cs="Times New Roman"/>
          <w:sz w:val="24"/>
          <w:szCs w:val="24"/>
        </w:rPr>
        <w:t>o</w:t>
      </w:r>
      <w:r w:rsidRPr="006F42E1">
        <w:rPr>
          <w:rFonts w:ascii="Times New Roman" w:hAnsi="Times New Roman" w:cs="Times New Roman"/>
          <w:sz w:val="24"/>
          <w:szCs w:val="24"/>
        </w:rPr>
        <w:t xml:space="preserve"> trabalho é projetar a população da Microrregião do Cariri por sexo e grupos de idade até 2050, mas antes avaliando as possibilidades metodológicas diante da necessidade de atenção a análise de dados em pequenas áreas. A principal fonte de </w:t>
      </w:r>
      <w:r w:rsidR="009C6C44">
        <w:rPr>
          <w:rFonts w:ascii="Times New Roman" w:hAnsi="Times New Roman" w:cs="Times New Roman"/>
          <w:sz w:val="24"/>
          <w:szCs w:val="24"/>
        </w:rPr>
        <w:t>informaçõe</w:t>
      </w:r>
      <w:r w:rsidRPr="006F42E1">
        <w:rPr>
          <w:rFonts w:ascii="Times New Roman" w:hAnsi="Times New Roman" w:cs="Times New Roman"/>
          <w:sz w:val="24"/>
          <w:szCs w:val="24"/>
        </w:rPr>
        <w:t xml:space="preserve">s </w:t>
      </w:r>
      <w:r w:rsidR="00AC00A2">
        <w:rPr>
          <w:rFonts w:ascii="Times New Roman" w:hAnsi="Times New Roman" w:cs="Times New Roman"/>
          <w:sz w:val="24"/>
          <w:szCs w:val="24"/>
        </w:rPr>
        <w:t>é o IBGE</w:t>
      </w:r>
      <w:r w:rsidR="00B75F0B">
        <w:rPr>
          <w:rFonts w:ascii="Times New Roman" w:hAnsi="Times New Roman" w:cs="Times New Roman"/>
          <w:sz w:val="24"/>
          <w:szCs w:val="24"/>
        </w:rPr>
        <w:t xml:space="preserve">, incluindo os </w:t>
      </w:r>
      <w:r w:rsidR="0046105C">
        <w:rPr>
          <w:rFonts w:ascii="Times New Roman" w:hAnsi="Times New Roman" w:cs="Times New Roman"/>
          <w:sz w:val="24"/>
          <w:szCs w:val="24"/>
        </w:rPr>
        <w:t>d</w:t>
      </w:r>
      <w:r w:rsidR="009C6C44" w:rsidRPr="006F42E1">
        <w:rPr>
          <w:rFonts w:ascii="Times New Roman" w:hAnsi="Times New Roman" w:cs="Times New Roman"/>
          <w:sz w:val="24"/>
          <w:szCs w:val="24"/>
        </w:rPr>
        <w:t xml:space="preserve">ados censitários de 1991, 2000 e 2010 e </w:t>
      </w:r>
      <w:r w:rsidR="00B75F0B">
        <w:rPr>
          <w:rFonts w:ascii="Times New Roman" w:hAnsi="Times New Roman" w:cs="Times New Roman"/>
          <w:sz w:val="24"/>
          <w:szCs w:val="24"/>
        </w:rPr>
        <w:t xml:space="preserve">as revisões </w:t>
      </w:r>
      <w:r w:rsidR="000C2BAD">
        <w:rPr>
          <w:rFonts w:ascii="Times New Roman" w:hAnsi="Times New Roman" w:cs="Times New Roman"/>
          <w:sz w:val="24"/>
          <w:szCs w:val="24"/>
        </w:rPr>
        <w:t xml:space="preserve">de </w:t>
      </w:r>
      <w:r w:rsidR="000C2BAD" w:rsidRPr="006F42E1">
        <w:rPr>
          <w:rFonts w:ascii="Times New Roman" w:hAnsi="Times New Roman" w:cs="Times New Roman"/>
          <w:sz w:val="24"/>
          <w:szCs w:val="24"/>
        </w:rPr>
        <w:t>2013 e 2018</w:t>
      </w:r>
      <w:r w:rsidR="000C2BAD">
        <w:rPr>
          <w:rFonts w:ascii="Times New Roman" w:hAnsi="Times New Roman" w:cs="Times New Roman"/>
          <w:sz w:val="24"/>
          <w:szCs w:val="24"/>
        </w:rPr>
        <w:t xml:space="preserve"> da </w:t>
      </w:r>
      <w:r w:rsidR="0046105C">
        <w:rPr>
          <w:rFonts w:ascii="Times New Roman" w:hAnsi="Times New Roman" w:cs="Times New Roman"/>
          <w:sz w:val="24"/>
          <w:szCs w:val="24"/>
        </w:rPr>
        <w:t>projeç</w:t>
      </w:r>
      <w:r w:rsidR="000C2BAD">
        <w:rPr>
          <w:rFonts w:ascii="Times New Roman" w:hAnsi="Times New Roman" w:cs="Times New Roman"/>
          <w:sz w:val="24"/>
          <w:szCs w:val="24"/>
        </w:rPr>
        <w:t>ão populacional</w:t>
      </w:r>
      <w:r w:rsidRPr="006F42E1">
        <w:rPr>
          <w:rFonts w:ascii="Times New Roman" w:hAnsi="Times New Roman" w:cs="Times New Roman"/>
          <w:sz w:val="24"/>
          <w:szCs w:val="24"/>
        </w:rPr>
        <w:t xml:space="preserve">. Os resultados mostram que em 2050 a Microrregião do Cariri já se aproxima de um decrescimento populacional, com grandes mudanças </w:t>
      </w:r>
      <w:r w:rsidR="0004607F">
        <w:rPr>
          <w:rFonts w:ascii="Times New Roman" w:hAnsi="Times New Roman" w:cs="Times New Roman"/>
          <w:sz w:val="24"/>
          <w:szCs w:val="24"/>
        </w:rPr>
        <w:t>n</w:t>
      </w:r>
      <w:r w:rsidRPr="006F42E1">
        <w:rPr>
          <w:rFonts w:ascii="Times New Roman" w:hAnsi="Times New Roman" w:cs="Times New Roman"/>
          <w:sz w:val="24"/>
          <w:szCs w:val="24"/>
        </w:rPr>
        <w:t xml:space="preserve">a estrutura etária no sentido de uma população mais envelhecida, cujo peso se acentua sobre a população em idade ativa. </w:t>
      </w:r>
    </w:p>
    <w:p w14:paraId="34DC20A3" w14:textId="305E0BBC" w:rsidR="00695FD3" w:rsidRPr="006F42E1" w:rsidRDefault="517C960D" w:rsidP="0D80FB5F">
      <w:pPr>
        <w:spacing w:after="0" w:line="240" w:lineRule="auto"/>
        <w:jc w:val="both"/>
        <w:rPr>
          <w:rFonts w:ascii="Times New Roman" w:hAnsi="Times New Roman" w:cs="Times New Roman"/>
          <w:sz w:val="24"/>
          <w:szCs w:val="24"/>
        </w:rPr>
      </w:pPr>
      <w:r w:rsidRPr="006F42E1">
        <w:rPr>
          <w:rFonts w:ascii="Times New Roman" w:hAnsi="Times New Roman" w:cs="Times New Roman"/>
          <w:b/>
          <w:bCs/>
          <w:sz w:val="24"/>
          <w:szCs w:val="24"/>
        </w:rPr>
        <w:t>Palavras-chave</w:t>
      </w:r>
      <w:r w:rsidRPr="006F42E1">
        <w:rPr>
          <w:rFonts w:ascii="Times New Roman" w:hAnsi="Times New Roman" w:cs="Times New Roman"/>
          <w:sz w:val="24"/>
          <w:szCs w:val="24"/>
        </w:rPr>
        <w:t xml:space="preserve">: Transição demográfica; Projeção populacional; Microrregião do Cariri. </w:t>
      </w:r>
    </w:p>
    <w:p w14:paraId="7BDCCE06" w14:textId="77777777" w:rsidR="00695FD3" w:rsidRPr="006F42E1" w:rsidRDefault="00695FD3" w:rsidP="002B7519">
      <w:pPr>
        <w:spacing w:after="0" w:line="360" w:lineRule="auto"/>
        <w:jc w:val="both"/>
        <w:rPr>
          <w:rFonts w:ascii="Times New Roman" w:hAnsi="Times New Roman" w:cs="Times New Roman"/>
          <w:sz w:val="24"/>
          <w:szCs w:val="24"/>
        </w:rPr>
      </w:pPr>
    </w:p>
    <w:p w14:paraId="60D8C0F3" w14:textId="4AC4F259" w:rsidR="00695FD3" w:rsidRPr="006F42E1" w:rsidRDefault="006703BC" w:rsidP="002B7519">
      <w:pPr>
        <w:spacing w:after="0" w:line="360" w:lineRule="auto"/>
        <w:jc w:val="both"/>
        <w:rPr>
          <w:rFonts w:ascii="Times New Roman" w:hAnsi="Times New Roman" w:cs="Times New Roman"/>
          <w:sz w:val="24"/>
          <w:szCs w:val="24"/>
        </w:rPr>
      </w:pPr>
      <w:r w:rsidRPr="006F42E1">
        <w:rPr>
          <w:rFonts w:ascii="Times New Roman" w:hAnsi="Times New Roman" w:cs="Times New Roman"/>
          <w:b/>
          <w:bCs/>
          <w:sz w:val="24"/>
          <w:szCs w:val="24"/>
        </w:rPr>
        <w:t>S</w:t>
      </w:r>
      <w:r w:rsidR="00667C57" w:rsidRPr="006F42E1">
        <w:rPr>
          <w:rFonts w:ascii="Times New Roman" w:hAnsi="Times New Roman" w:cs="Times New Roman"/>
          <w:b/>
          <w:bCs/>
          <w:sz w:val="24"/>
          <w:szCs w:val="24"/>
        </w:rPr>
        <w:t>T N</w:t>
      </w:r>
      <w:r w:rsidR="00EC7C0B" w:rsidRPr="006F42E1">
        <w:rPr>
          <w:rFonts w:ascii="Times New Roman" w:hAnsi="Times New Roman" w:cs="Times New Roman"/>
          <w:b/>
          <w:bCs/>
          <w:sz w:val="24"/>
          <w:szCs w:val="24"/>
        </w:rPr>
        <w:t>º</w:t>
      </w:r>
      <w:r w:rsidR="00667C57" w:rsidRPr="006F42E1">
        <w:rPr>
          <w:rFonts w:ascii="Times New Roman" w:hAnsi="Times New Roman" w:cs="Times New Roman"/>
          <w:b/>
          <w:bCs/>
          <w:sz w:val="24"/>
          <w:szCs w:val="24"/>
        </w:rPr>
        <w:t xml:space="preserve"> </w:t>
      </w:r>
      <w:r w:rsidR="00EC7C0B" w:rsidRPr="006F42E1">
        <w:rPr>
          <w:rFonts w:ascii="Times New Roman" w:hAnsi="Times New Roman" w:cs="Times New Roman"/>
          <w:b/>
          <w:bCs/>
          <w:sz w:val="24"/>
          <w:szCs w:val="24"/>
        </w:rPr>
        <w:t>5</w:t>
      </w:r>
      <w:r w:rsidR="00667C57" w:rsidRPr="006F42E1">
        <w:rPr>
          <w:rFonts w:ascii="Times New Roman" w:hAnsi="Times New Roman" w:cs="Times New Roman"/>
          <w:b/>
          <w:bCs/>
          <w:sz w:val="24"/>
          <w:szCs w:val="24"/>
        </w:rPr>
        <w:t xml:space="preserve">: </w:t>
      </w:r>
      <w:r w:rsidR="00EC7C0B" w:rsidRPr="006F42E1">
        <w:rPr>
          <w:rFonts w:ascii="Times New Roman" w:hAnsi="Times New Roman" w:cs="Times New Roman"/>
          <w:b/>
          <w:bCs/>
          <w:sz w:val="24"/>
          <w:szCs w:val="24"/>
        </w:rPr>
        <w:t>Ambiente, Populações e Desenvolvimento</w:t>
      </w:r>
    </w:p>
    <w:p w14:paraId="766F2562" w14:textId="77777777" w:rsidR="00695FD3" w:rsidRPr="006F42E1" w:rsidRDefault="00695FD3" w:rsidP="002B7519">
      <w:pPr>
        <w:spacing w:after="0" w:line="360" w:lineRule="auto"/>
        <w:jc w:val="both"/>
        <w:rPr>
          <w:rFonts w:ascii="Times New Roman" w:hAnsi="Times New Roman" w:cs="Times New Roman"/>
          <w:sz w:val="24"/>
          <w:szCs w:val="24"/>
        </w:rPr>
      </w:pPr>
    </w:p>
    <w:p w14:paraId="20FA0B27" w14:textId="77777777" w:rsidR="00695FD3" w:rsidRPr="006F42E1" w:rsidRDefault="44379C23" w:rsidP="44379C23">
      <w:pPr>
        <w:spacing w:after="0" w:line="360" w:lineRule="auto"/>
        <w:jc w:val="both"/>
        <w:rPr>
          <w:rFonts w:ascii="Times New Roman" w:hAnsi="Times New Roman" w:cs="Times New Roman"/>
          <w:b/>
          <w:bCs/>
          <w:sz w:val="24"/>
          <w:szCs w:val="24"/>
        </w:rPr>
      </w:pPr>
      <w:r w:rsidRPr="006F42E1">
        <w:rPr>
          <w:rFonts w:ascii="Times New Roman" w:hAnsi="Times New Roman" w:cs="Times New Roman"/>
          <w:b/>
          <w:bCs/>
          <w:sz w:val="24"/>
          <w:szCs w:val="24"/>
        </w:rPr>
        <w:t>1 INTRODUÇÃO</w:t>
      </w:r>
    </w:p>
    <w:p w14:paraId="72EDC1B7" w14:textId="707F7836" w:rsidR="44379C23" w:rsidRPr="006F42E1" w:rsidRDefault="44379C23" w:rsidP="44379C23">
      <w:pPr>
        <w:spacing w:after="0" w:line="360" w:lineRule="auto"/>
        <w:jc w:val="both"/>
      </w:pPr>
    </w:p>
    <w:p w14:paraId="393D2E7D" w14:textId="29672476" w:rsidR="00383B17" w:rsidRPr="006F42E1" w:rsidRDefault="00A21649" w:rsidP="44379C23">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383B17" w:rsidRPr="006F42E1">
        <w:rPr>
          <w:rFonts w:ascii="Times New Roman" w:hAnsi="Times New Roman" w:cs="Times New Roman"/>
          <w:sz w:val="24"/>
          <w:szCs w:val="24"/>
        </w:rPr>
        <w:t>Sabe-se que muitas “questões sociais são influenciadas por fatores demográficos e as políticas implementadas para lidar com elas necessariamente precisam tomar (e nem sempre tomam) esses fatores em consideração” (FOZ, 2021</w:t>
      </w:r>
      <w:r w:rsidR="002B76B5" w:rsidRPr="006F42E1">
        <w:rPr>
          <w:rFonts w:ascii="Times New Roman" w:hAnsi="Times New Roman" w:cs="Times New Roman"/>
          <w:sz w:val="24"/>
          <w:szCs w:val="24"/>
        </w:rPr>
        <w:t>a</w:t>
      </w:r>
      <w:r w:rsidR="00383B17" w:rsidRPr="006F42E1">
        <w:rPr>
          <w:rFonts w:ascii="Times New Roman" w:hAnsi="Times New Roman" w:cs="Times New Roman"/>
          <w:sz w:val="24"/>
          <w:szCs w:val="24"/>
        </w:rPr>
        <w:t>, p.77). Isto é, ter em vista aspectos como a</w:t>
      </w:r>
      <w:r w:rsidR="67781064" w:rsidRPr="006F42E1">
        <w:rPr>
          <w:rFonts w:ascii="Times New Roman" w:hAnsi="Times New Roman" w:cs="Times New Roman"/>
          <w:sz w:val="24"/>
          <w:szCs w:val="24"/>
        </w:rPr>
        <w:t xml:space="preserve"> redução da população jovem, o aumento da população em idade ativa e o envelhecimento populacional pode contribuir para a eficiência de políticas nos campos da educação, mercado de trabalho, saúde e seguridade social (BRITO, 2007)</w:t>
      </w:r>
      <w:r w:rsidR="00871F1F" w:rsidRPr="006F42E1">
        <w:rPr>
          <w:rFonts w:ascii="Times New Roman" w:hAnsi="Times New Roman" w:cs="Times New Roman"/>
          <w:sz w:val="24"/>
          <w:szCs w:val="24"/>
        </w:rPr>
        <w:t xml:space="preserve">. </w:t>
      </w:r>
    </w:p>
    <w:p w14:paraId="20DD2A5A" w14:textId="7EE7F57A" w:rsidR="00C34DAE" w:rsidRPr="006F42E1" w:rsidRDefault="00383B17" w:rsidP="007E4BC3">
      <w:pPr>
        <w:spacing w:after="0" w:line="360" w:lineRule="auto"/>
        <w:jc w:val="both"/>
        <w:rPr>
          <w:rFonts w:ascii="Times New Roman" w:eastAsia="Times New Roman" w:hAnsi="Times New Roman" w:cs="Times New Roman"/>
          <w:sz w:val="24"/>
          <w:szCs w:val="24"/>
        </w:rPr>
      </w:pPr>
      <w:r w:rsidRPr="006F42E1">
        <w:rPr>
          <w:rFonts w:ascii="Times New Roman" w:hAnsi="Times New Roman" w:cs="Times New Roman"/>
          <w:sz w:val="24"/>
          <w:szCs w:val="24"/>
        </w:rPr>
        <w:tab/>
      </w:r>
      <w:r w:rsidR="00BA1D81" w:rsidRPr="006F42E1">
        <w:rPr>
          <w:rFonts w:ascii="Times New Roman" w:hAnsi="Times New Roman" w:cs="Times New Roman"/>
          <w:sz w:val="24"/>
          <w:szCs w:val="24"/>
        </w:rPr>
        <w:t xml:space="preserve">Uma das grandes áreas da demografia, </w:t>
      </w:r>
      <w:r w:rsidR="009148AF" w:rsidRPr="006F42E1">
        <w:rPr>
          <w:rFonts w:ascii="Times New Roman" w:hAnsi="Times New Roman" w:cs="Times New Roman"/>
          <w:sz w:val="24"/>
          <w:szCs w:val="24"/>
        </w:rPr>
        <w:t>estud</w:t>
      </w:r>
      <w:r w:rsidR="002247D6" w:rsidRPr="006F42E1">
        <w:rPr>
          <w:rFonts w:ascii="Times New Roman" w:hAnsi="Times New Roman" w:cs="Times New Roman"/>
          <w:sz w:val="24"/>
          <w:szCs w:val="24"/>
        </w:rPr>
        <w:t>o d</w:t>
      </w:r>
      <w:r w:rsidR="009148AF" w:rsidRPr="006F42E1">
        <w:rPr>
          <w:rFonts w:ascii="Times New Roman" w:hAnsi="Times New Roman" w:cs="Times New Roman"/>
          <w:sz w:val="24"/>
          <w:szCs w:val="24"/>
        </w:rPr>
        <w:t xml:space="preserve">as populações humanas no que toca ao seu tamanho, </w:t>
      </w:r>
      <w:r w:rsidR="00561BC1" w:rsidRPr="006F42E1">
        <w:rPr>
          <w:rFonts w:ascii="Times New Roman" w:hAnsi="Times New Roman" w:cs="Times New Roman"/>
          <w:sz w:val="24"/>
          <w:szCs w:val="24"/>
        </w:rPr>
        <w:t>distribuição</w:t>
      </w:r>
      <w:r w:rsidR="00A561CC" w:rsidRPr="006F42E1">
        <w:rPr>
          <w:rFonts w:ascii="Times New Roman" w:hAnsi="Times New Roman" w:cs="Times New Roman"/>
          <w:sz w:val="24"/>
          <w:szCs w:val="24"/>
        </w:rPr>
        <w:t xml:space="preserve">, </w:t>
      </w:r>
      <w:r w:rsidR="009148AF" w:rsidRPr="006F42E1">
        <w:rPr>
          <w:rFonts w:ascii="Times New Roman" w:hAnsi="Times New Roman" w:cs="Times New Roman"/>
          <w:sz w:val="24"/>
          <w:szCs w:val="24"/>
        </w:rPr>
        <w:t>composição e transformações</w:t>
      </w:r>
      <w:r w:rsidR="00A561CC" w:rsidRPr="006F42E1">
        <w:rPr>
          <w:rFonts w:ascii="Times New Roman" w:hAnsi="Times New Roman" w:cs="Times New Roman"/>
          <w:sz w:val="24"/>
          <w:szCs w:val="24"/>
        </w:rPr>
        <w:t xml:space="preserve"> ao longo do tempo</w:t>
      </w:r>
      <w:r w:rsidR="00BA1D81" w:rsidRPr="006F42E1">
        <w:rPr>
          <w:rFonts w:ascii="Times New Roman" w:hAnsi="Times New Roman" w:cs="Times New Roman"/>
          <w:sz w:val="24"/>
          <w:szCs w:val="24"/>
        </w:rPr>
        <w:t>, são as projeções demográficas,</w:t>
      </w:r>
      <w:r w:rsidR="00413153" w:rsidRPr="006F42E1">
        <w:rPr>
          <w:rFonts w:ascii="Times New Roman" w:hAnsi="Times New Roman" w:cs="Times New Roman"/>
          <w:sz w:val="24"/>
          <w:szCs w:val="24"/>
        </w:rPr>
        <w:t xml:space="preserve"> que são </w:t>
      </w:r>
      <w:r w:rsidR="005D4F67" w:rsidRPr="006F42E1">
        <w:rPr>
          <w:rFonts w:ascii="Times New Roman" w:hAnsi="Times New Roman" w:cs="Times New Roman"/>
          <w:sz w:val="24"/>
          <w:szCs w:val="24"/>
        </w:rPr>
        <w:t>de grande utilidade e repercussão prática</w:t>
      </w:r>
      <w:r w:rsidR="009148AF" w:rsidRPr="006F42E1">
        <w:rPr>
          <w:rFonts w:ascii="Times New Roman" w:hAnsi="Times New Roman" w:cs="Times New Roman"/>
          <w:sz w:val="24"/>
          <w:szCs w:val="24"/>
        </w:rPr>
        <w:t>.</w:t>
      </w:r>
      <w:r w:rsidR="00E74C4A" w:rsidRPr="006F42E1">
        <w:rPr>
          <w:rFonts w:ascii="Times New Roman" w:hAnsi="Times New Roman" w:cs="Times New Roman"/>
          <w:sz w:val="24"/>
          <w:szCs w:val="24"/>
        </w:rPr>
        <w:t xml:space="preserve"> </w:t>
      </w:r>
      <w:r w:rsidR="007E4BC3" w:rsidRPr="006F42E1">
        <w:rPr>
          <w:rFonts w:ascii="Times New Roman" w:hAnsi="Times New Roman" w:cs="Times New Roman"/>
          <w:sz w:val="24"/>
          <w:szCs w:val="24"/>
        </w:rPr>
        <w:t>Isto porque p</w:t>
      </w:r>
      <w:r w:rsidR="009E4156" w:rsidRPr="006F42E1">
        <w:rPr>
          <w:rFonts w:ascii="Times New Roman" w:hAnsi="Times New Roman" w:cs="Times New Roman"/>
          <w:sz w:val="24"/>
          <w:szCs w:val="24"/>
        </w:rPr>
        <w:t>r</w:t>
      </w:r>
      <w:r w:rsidR="005E3CE5" w:rsidRPr="006F42E1">
        <w:rPr>
          <w:rFonts w:ascii="Times New Roman" w:hAnsi="Times New Roman" w:cs="Times New Roman"/>
          <w:sz w:val="24"/>
          <w:szCs w:val="24"/>
        </w:rPr>
        <w:t>ev</w:t>
      </w:r>
      <w:r w:rsidR="00800809" w:rsidRPr="006F42E1">
        <w:rPr>
          <w:rFonts w:ascii="Times New Roman" w:hAnsi="Times New Roman" w:cs="Times New Roman"/>
          <w:sz w:val="24"/>
          <w:szCs w:val="24"/>
        </w:rPr>
        <w:t>er</w:t>
      </w:r>
      <w:r w:rsidR="005E3CE5" w:rsidRPr="006F42E1">
        <w:rPr>
          <w:rFonts w:ascii="Times New Roman" w:hAnsi="Times New Roman" w:cs="Times New Roman"/>
          <w:sz w:val="24"/>
          <w:szCs w:val="24"/>
        </w:rPr>
        <w:t xml:space="preserve"> </w:t>
      </w:r>
      <w:r w:rsidR="0070781D" w:rsidRPr="006F42E1">
        <w:rPr>
          <w:rFonts w:ascii="Times New Roman" w:hAnsi="Times New Roman" w:cs="Times New Roman"/>
          <w:sz w:val="24"/>
          <w:szCs w:val="24"/>
        </w:rPr>
        <w:t xml:space="preserve">as </w:t>
      </w:r>
      <w:r w:rsidR="0070781D" w:rsidRPr="006F42E1">
        <w:rPr>
          <w:rFonts w:ascii="Times New Roman" w:hAnsi="Times New Roman" w:cs="Times New Roman"/>
          <w:sz w:val="24"/>
          <w:szCs w:val="24"/>
        </w:rPr>
        <w:lastRenderedPageBreak/>
        <w:t xml:space="preserve">mudanças na composição da população a partir </w:t>
      </w:r>
      <w:r w:rsidR="00E61911" w:rsidRPr="006F42E1">
        <w:rPr>
          <w:rFonts w:ascii="Times New Roman" w:hAnsi="Times New Roman" w:cs="Times New Roman"/>
          <w:sz w:val="24"/>
          <w:szCs w:val="24"/>
        </w:rPr>
        <w:t>do momento</w:t>
      </w:r>
      <w:r w:rsidR="0070781D" w:rsidRPr="006F42E1">
        <w:rPr>
          <w:rFonts w:ascii="Times New Roman" w:hAnsi="Times New Roman" w:cs="Times New Roman"/>
          <w:sz w:val="24"/>
          <w:szCs w:val="24"/>
        </w:rPr>
        <w:t xml:space="preserve"> atual</w:t>
      </w:r>
      <w:r w:rsidR="00E61911" w:rsidRPr="006F42E1">
        <w:rPr>
          <w:rFonts w:ascii="Times New Roman" w:hAnsi="Times New Roman" w:cs="Times New Roman"/>
          <w:sz w:val="24"/>
          <w:szCs w:val="24"/>
        </w:rPr>
        <w:t xml:space="preserve"> </w:t>
      </w:r>
      <w:r w:rsidR="007E4BC3" w:rsidRPr="006F42E1">
        <w:rPr>
          <w:rFonts w:ascii="Times New Roman" w:hAnsi="Times New Roman" w:cs="Times New Roman"/>
          <w:sz w:val="24"/>
          <w:szCs w:val="24"/>
        </w:rPr>
        <w:t xml:space="preserve">não apenas </w:t>
      </w:r>
      <w:r w:rsidR="00E61911" w:rsidRPr="006F42E1">
        <w:rPr>
          <w:rFonts w:ascii="Times New Roman" w:hAnsi="Times New Roman" w:cs="Times New Roman"/>
          <w:sz w:val="24"/>
          <w:szCs w:val="24"/>
        </w:rPr>
        <w:t>t</w:t>
      </w:r>
      <w:r w:rsidR="00180331" w:rsidRPr="006F42E1">
        <w:rPr>
          <w:rFonts w:ascii="Times New Roman" w:hAnsi="Times New Roman" w:cs="Times New Roman"/>
          <w:sz w:val="24"/>
          <w:szCs w:val="24"/>
        </w:rPr>
        <w:t>e</w:t>
      </w:r>
      <w:r w:rsidR="00E61911" w:rsidRPr="006F42E1">
        <w:rPr>
          <w:rFonts w:ascii="Times New Roman" w:hAnsi="Times New Roman" w:cs="Times New Roman"/>
          <w:sz w:val="24"/>
          <w:szCs w:val="24"/>
        </w:rPr>
        <w:t xml:space="preserve">m a funcionalidade de </w:t>
      </w:r>
      <w:r w:rsidR="008D3A95" w:rsidRPr="006F42E1">
        <w:rPr>
          <w:rFonts w:ascii="Times New Roman" w:hAnsi="Times New Roman" w:cs="Times New Roman"/>
          <w:sz w:val="24"/>
          <w:szCs w:val="24"/>
        </w:rPr>
        <w:t xml:space="preserve">dar suporte ao planejamento de políticas e investimentos, </w:t>
      </w:r>
      <w:r w:rsidR="00494239" w:rsidRPr="006F42E1">
        <w:rPr>
          <w:rFonts w:ascii="Times New Roman" w:hAnsi="Times New Roman" w:cs="Times New Roman"/>
          <w:sz w:val="24"/>
          <w:szCs w:val="24"/>
        </w:rPr>
        <w:t xml:space="preserve">mas </w:t>
      </w:r>
      <w:r w:rsidR="00C0017F" w:rsidRPr="006F42E1">
        <w:rPr>
          <w:rFonts w:ascii="Times New Roman" w:hAnsi="Times New Roman" w:cs="Times New Roman"/>
          <w:sz w:val="24"/>
          <w:szCs w:val="24"/>
        </w:rPr>
        <w:t>fornece</w:t>
      </w:r>
      <w:r w:rsidR="00F574D6" w:rsidRPr="006F42E1">
        <w:rPr>
          <w:rFonts w:ascii="Times New Roman" w:hAnsi="Times New Roman" w:cs="Times New Roman"/>
          <w:sz w:val="24"/>
          <w:szCs w:val="24"/>
        </w:rPr>
        <w:t xml:space="preserve"> insumos para a projeção de outra</w:t>
      </w:r>
      <w:r w:rsidR="002D471B" w:rsidRPr="006F42E1">
        <w:rPr>
          <w:rFonts w:ascii="Times New Roman" w:hAnsi="Times New Roman" w:cs="Times New Roman"/>
          <w:sz w:val="24"/>
          <w:szCs w:val="24"/>
        </w:rPr>
        <w:t>s</w:t>
      </w:r>
      <w:r w:rsidR="00F574D6" w:rsidRPr="006F42E1">
        <w:rPr>
          <w:rFonts w:ascii="Times New Roman" w:hAnsi="Times New Roman" w:cs="Times New Roman"/>
          <w:sz w:val="24"/>
          <w:szCs w:val="24"/>
        </w:rPr>
        <w:t xml:space="preserve"> variáveis</w:t>
      </w:r>
      <w:r w:rsidR="00100817" w:rsidRPr="006F42E1">
        <w:rPr>
          <w:rFonts w:ascii="Times New Roman" w:hAnsi="Times New Roman" w:cs="Times New Roman"/>
          <w:sz w:val="24"/>
          <w:szCs w:val="24"/>
        </w:rPr>
        <w:t xml:space="preserve">. Assim, </w:t>
      </w:r>
      <w:r w:rsidR="003F0E8A" w:rsidRPr="006F42E1">
        <w:rPr>
          <w:rFonts w:ascii="Times New Roman" w:hAnsi="Times New Roman" w:cs="Times New Roman"/>
          <w:sz w:val="24"/>
          <w:szCs w:val="24"/>
        </w:rPr>
        <w:t>su</w:t>
      </w:r>
      <w:r w:rsidR="00100817" w:rsidRPr="006F42E1">
        <w:rPr>
          <w:rFonts w:ascii="Times New Roman" w:hAnsi="Times New Roman" w:cs="Times New Roman"/>
          <w:sz w:val="24"/>
          <w:szCs w:val="24"/>
        </w:rPr>
        <w:t>a</w:t>
      </w:r>
      <w:r w:rsidR="007F6F8F" w:rsidRPr="006F42E1">
        <w:rPr>
          <w:rFonts w:ascii="Times New Roman" w:hAnsi="Times New Roman" w:cs="Times New Roman"/>
          <w:sz w:val="24"/>
          <w:szCs w:val="24"/>
        </w:rPr>
        <w:t xml:space="preserve"> aplicação mais direta são as projeções d</w:t>
      </w:r>
      <w:r w:rsidR="003F0E8A" w:rsidRPr="006F42E1">
        <w:rPr>
          <w:rFonts w:ascii="Times New Roman" w:hAnsi="Times New Roman" w:cs="Times New Roman"/>
          <w:sz w:val="24"/>
          <w:szCs w:val="24"/>
        </w:rPr>
        <w:t>a</w:t>
      </w:r>
      <w:r w:rsidR="007F6F8F" w:rsidRPr="006F42E1">
        <w:rPr>
          <w:rFonts w:ascii="Times New Roman" w:hAnsi="Times New Roman" w:cs="Times New Roman"/>
          <w:sz w:val="24"/>
          <w:szCs w:val="24"/>
        </w:rPr>
        <w:t xml:space="preserve"> populaç</w:t>
      </w:r>
      <w:r w:rsidR="003F0E8A" w:rsidRPr="006F42E1">
        <w:rPr>
          <w:rFonts w:ascii="Times New Roman" w:hAnsi="Times New Roman" w:cs="Times New Roman"/>
          <w:sz w:val="24"/>
          <w:szCs w:val="24"/>
        </w:rPr>
        <w:t>ão</w:t>
      </w:r>
      <w:r w:rsidR="007F6F8F" w:rsidRPr="006F42E1">
        <w:rPr>
          <w:rFonts w:ascii="Times New Roman" w:hAnsi="Times New Roman" w:cs="Times New Roman"/>
          <w:sz w:val="24"/>
          <w:szCs w:val="24"/>
        </w:rPr>
        <w:t xml:space="preserve"> naciona</w:t>
      </w:r>
      <w:r w:rsidR="003F0E8A" w:rsidRPr="006F42E1">
        <w:rPr>
          <w:rFonts w:ascii="Times New Roman" w:hAnsi="Times New Roman" w:cs="Times New Roman"/>
          <w:sz w:val="24"/>
          <w:szCs w:val="24"/>
        </w:rPr>
        <w:t>l</w:t>
      </w:r>
      <w:r w:rsidR="00100817" w:rsidRPr="006F42E1">
        <w:rPr>
          <w:rFonts w:ascii="Times New Roman" w:hAnsi="Times New Roman" w:cs="Times New Roman"/>
          <w:sz w:val="24"/>
          <w:szCs w:val="24"/>
        </w:rPr>
        <w:t>,</w:t>
      </w:r>
      <w:r w:rsidR="007F6F8F" w:rsidRPr="006F42E1">
        <w:rPr>
          <w:rFonts w:ascii="Times New Roman" w:hAnsi="Times New Roman" w:cs="Times New Roman"/>
          <w:sz w:val="24"/>
          <w:szCs w:val="24"/>
        </w:rPr>
        <w:t xml:space="preserve"> </w:t>
      </w:r>
      <w:r w:rsidR="00A26548" w:rsidRPr="006F42E1">
        <w:rPr>
          <w:rFonts w:ascii="Times New Roman" w:hAnsi="Times New Roman" w:cs="Times New Roman"/>
          <w:sz w:val="24"/>
          <w:szCs w:val="24"/>
        </w:rPr>
        <w:t xml:space="preserve">mas </w:t>
      </w:r>
      <w:r w:rsidR="007F6F8F" w:rsidRPr="006F42E1">
        <w:rPr>
          <w:rFonts w:ascii="Times New Roman" w:hAnsi="Times New Roman" w:cs="Times New Roman"/>
          <w:sz w:val="24"/>
          <w:szCs w:val="24"/>
        </w:rPr>
        <w:t xml:space="preserve">também há </w:t>
      </w:r>
      <w:r w:rsidR="003F0E8A" w:rsidRPr="006F42E1">
        <w:rPr>
          <w:rFonts w:ascii="Times New Roman" w:hAnsi="Times New Roman" w:cs="Times New Roman"/>
          <w:sz w:val="24"/>
          <w:szCs w:val="24"/>
        </w:rPr>
        <w:t>contribuições</w:t>
      </w:r>
      <w:r w:rsidR="007F6F8F" w:rsidRPr="006F42E1">
        <w:rPr>
          <w:rFonts w:ascii="Times New Roman" w:hAnsi="Times New Roman" w:cs="Times New Roman"/>
          <w:sz w:val="24"/>
          <w:szCs w:val="24"/>
        </w:rPr>
        <w:t xml:space="preserve"> para prognósticos em outras áreas</w:t>
      </w:r>
      <w:r w:rsidR="007B7B1C" w:rsidRPr="006F42E1">
        <w:rPr>
          <w:rFonts w:ascii="Times New Roman" w:hAnsi="Times New Roman" w:cs="Times New Roman"/>
          <w:sz w:val="24"/>
          <w:szCs w:val="24"/>
        </w:rPr>
        <w:t xml:space="preserve"> como as colocadas anteriormente</w:t>
      </w:r>
      <w:r w:rsidR="00D231D2" w:rsidRPr="006F42E1">
        <w:rPr>
          <w:rFonts w:ascii="Times New Roman" w:hAnsi="Times New Roman" w:cs="Times New Roman"/>
          <w:sz w:val="24"/>
          <w:szCs w:val="24"/>
        </w:rPr>
        <w:t>, pois “</w:t>
      </w:r>
      <w:r w:rsidR="007F6F8F" w:rsidRPr="006F42E1">
        <w:rPr>
          <w:rFonts w:ascii="Times New Roman" w:hAnsi="Times New Roman" w:cs="Times New Roman"/>
          <w:sz w:val="24"/>
          <w:szCs w:val="24"/>
        </w:rPr>
        <w:t>geralmente existe um elemento demográfico nas projeções da matrícula escolar, do mercado de trabalho, da demanda por serviços médicos ou da evolução no longo prazo da demanda por diferentes produtos de consumo</w:t>
      </w:r>
      <w:r w:rsidR="009F579F" w:rsidRPr="006F42E1">
        <w:rPr>
          <w:rFonts w:ascii="Times New Roman" w:hAnsi="Times New Roman" w:cs="Times New Roman"/>
          <w:sz w:val="24"/>
          <w:szCs w:val="24"/>
        </w:rPr>
        <w:t>” (FOZ</w:t>
      </w:r>
      <w:r w:rsidR="009E4156" w:rsidRPr="006F42E1">
        <w:rPr>
          <w:rFonts w:ascii="Times New Roman" w:hAnsi="Times New Roman" w:cs="Times New Roman"/>
          <w:sz w:val="24"/>
          <w:szCs w:val="24"/>
        </w:rPr>
        <w:t>, 2021</w:t>
      </w:r>
      <w:r w:rsidR="002B76B5" w:rsidRPr="006F42E1">
        <w:rPr>
          <w:rFonts w:ascii="Times New Roman" w:hAnsi="Times New Roman" w:cs="Times New Roman"/>
          <w:sz w:val="24"/>
          <w:szCs w:val="24"/>
        </w:rPr>
        <w:t>b</w:t>
      </w:r>
      <w:r w:rsidR="009E4156" w:rsidRPr="006F42E1">
        <w:rPr>
          <w:rFonts w:ascii="Times New Roman" w:hAnsi="Times New Roman" w:cs="Times New Roman"/>
          <w:sz w:val="24"/>
          <w:szCs w:val="24"/>
        </w:rPr>
        <w:t>, p.26</w:t>
      </w:r>
      <w:r w:rsidR="009F579F" w:rsidRPr="006F42E1">
        <w:rPr>
          <w:rFonts w:ascii="Times New Roman" w:hAnsi="Times New Roman" w:cs="Times New Roman"/>
          <w:sz w:val="24"/>
          <w:szCs w:val="24"/>
        </w:rPr>
        <w:t>)</w:t>
      </w:r>
      <w:r w:rsidR="007F6F8F" w:rsidRPr="006F42E1">
        <w:rPr>
          <w:rFonts w:ascii="Times New Roman" w:hAnsi="Times New Roman" w:cs="Times New Roman"/>
          <w:sz w:val="24"/>
          <w:szCs w:val="24"/>
        </w:rPr>
        <w:t xml:space="preserve">. </w:t>
      </w:r>
    </w:p>
    <w:p w14:paraId="315FB3C3" w14:textId="46BDE0FE" w:rsidR="44379C23" w:rsidRPr="006F42E1" w:rsidRDefault="009F579F" w:rsidP="517C960D">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2B163B" w:rsidRPr="006F42E1">
        <w:rPr>
          <w:rFonts w:ascii="Times New Roman" w:hAnsi="Times New Roman" w:cs="Times New Roman"/>
          <w:sz w:val="24"/>
          <w:szCs w:val="24"/>
        </w:rPr>
        <w:t xml:space="preserve">Contudo, se deve ter em mente que </w:t>
      </w:r>
      <w:r w:rsidR="00A455C1" w:rsidRPr="006F42E1">
        <w:rPr>
          <w:rFonts w:ascii="Times New Roman" w:hAnsi="Times New Roman" w:cs="Times New Roman"/>
          <w:sz w:val="24"/>
          <w:szCs w:val="24"/>
        </w:rPr>
        <w:t>quanto maior for o</w:t>
      </w:r>
      <w:r w:rsidR="00CB1A23" w:rsidRPr="006F42E1">
        <w:rPr>
          <w:rFonts w:ascii="Times New Roman" w:hAnsi="Times New Roman" w:cs="Times New Roman"/>
          <w:sz w:val="24"/>
          <w:szCs w:val="24"/>
        </w:rPr>
        <w:t xml:space="preserve"> prazo da projeção ou seu nível de desagregação</w:t>
      </w:r>
      <w:r w:rsidR="00E2726A" w:rsidRPr="006F42E1">
        <w:rPr>
          <w:rFonts w:ascii="Times New Roman" w:hAnsi="Times New Roman" w:cs="Times New Roman"/>
          <w:sz w:val="24"/>
          <w:szCs w:val="24"/>
        </w:rPr>
        <w:t xml:space="preserve"> </w:t>
      </w:r>
      <w:r w:rsidR="00CB1A23" w:rsidRPr="006F42E1">
        <w:rPr>
          <w:rFonts w:ascii="Times New Roman" w:hAnsi="Times New Roman" w:cs="Times New Roman"/>
          <w:sz w:val="24"/>
          <w:szCs w:val="24"/>
        </w:rPr>
        <w:t>geográfica</w:t>
      </w:r>
      <w:r w:rsidR="0019340E" w:rsidRPr="006F42E1">
        <w:rPr>
          <w:rFonts w:ascii="Times New Roman" w:hAnsi="Times New Roman" w:cs="Times New Roman"/>
          <w:sz w:val="24"/>
          <w:szCs w:val="24"/>
        </w:rPr>
        <w:t xml:space="preserve">, menos </w:t>
      </w:r>
      <w:r w:rsidR="00CB1A23" w:rsidRPr="006F42E1">
        <w:rPr>
          <w:rFonts w:ascii="Times New Roman" w:hAnsi="Times New Roman" w:cs="Times New Roman"/>
          <w:sz w:val="24"/>
          <w:szCs w:val="24"/>
        </w:rPr>
        <w:t>precis</w:t>
      </w:r>
      <w:r w:rsidR="0019340E" w:rsidRPr="006F42E1">
        <w:rPr>
          <w:rFonts w:ascii="Times New Roman" w:hAnsi="Times New Roman" w:cs="Times New Roman"/>
          <w:sz w:val="24"/>
          <w:szCs w:val="24"/>
        </w:rPr>
        <w:t>os</w:t>
      </w:r>
      <w:r w:rsidR="00CB1A23" w:rsidRPr="006F42E1">
        <w:rPr>
          <w:rFonts w:ascii="Times New Roman" w:hAnsi="Times New Roman" w:cs="Times New Roman"/>
          <w:sz w:val="24"/>
          <w:szCs w:val="24"/>
        </w:rPr>
        <w:t xml:space="preserve"> </w:t>
      </w:r>
      <w:r w:rsidR="0019340E" w:rsidRPr="006F42E1">
        <w:rPr>
          <w:rFonts w:ascii="Times New Roman" w:hAnsi="Times New Roman" w:cs="Times New Roman"/>
          <w:sz w:val="24"/>
          <w:szCs w:val="24"/>
        </w:rPr>
        <w:t>serão os resultados obtidos</w:t>
      </w:r>
      <w:r w:rsidR="00CB1A23" w:rsidRPr="006F42E1">
        <w:rPr>
          <w:rFonts w:ascii="Times New Roman" w:hAnsi="Times New Roman" w:cs="Times New Roman"/>
          <w:sz w:val="24"/>
          <w:szCs w:val="24"/>
        </w:rPr>
        <w:t xml:space="preserve"> </w:t>
      </w:r>
      <w:r w:rsidR="00003FCC" w:rsidRPr="006F42E1">
        <w:rPr>
          <w:rFonts w:ascii="Times New Roman" w:hAnsi="Times New Roman" w:cs="Times New Roman"/>
          <w:sz w:val="24"/>
          <w:szCs w:val="24"/>
        </w:rPr>
        <w:t>(</w:t>
      </w:r>
      <w:r w:rsidR="517C960D" w:rsidRPr="006F42E1">
        <w:rPr>
          <w:rFonts w:ascii="Times New Roman" w:hAnsi="Times New Roman" w:cs="Times New Roman"/>
          <w:sz w:val="24"/>
          <w:szCs w:val="24"/>
        </w:rPr>
        <w:t>FOZ, 2021b</w:t>
      </w:r>
      <w:r w:rsidR="00003FCC" w:rsidRPr="006F42E1">
        <w:rPr>
          <w:rFonts w:ascii="Times New Roman" w:hAnsi="Times New Roman" w:cs="Times New Roman"/>
          <w:sz w:val="24"/>
          <w:szCs w:val="24"/>
        </w:rPr>
        <w:t>)</w:t>
      </w:r>
      <w:r w:rsidR="0021141C" w:rsidRPr="006F42E1">
        <w:rPr>
          <w:rFonts w:ascii="Times New Roman" w:hAnsi="Times New Roman" w:cs="Times New Roman"/>
          <w:sz w:val="24"/>
          <w:szCs w:val="24"/>
        </w:rPr>
        <w:t xml:space="preserve">. </w:t>
      </w:r>
      <w:r w:rsidR="009926B9" w:rsidRPr="006F42E1">
        <w:rPr>
          <w:rFonts w:ascii="Times New Roman" w:hAnsi="Times New Roman" w:cs="Times New Roman"/>
          <w:sz w:val="24"/>
          <w:szCs w:val="24"/>
        </w:rPr>
        <w:t xml:space="preserve">Especificamente no que se refere a desagregação espacial de dados, </w:t>
      </w:r>
      <w:r w:rsidR="002B7AD0" w:rsidRPr="006F42E1">
        <w:rPr>
          <w:rFonts w:ascii="Times New Roman" w:hAnsi="Times New Roman" w:cs="Times New Roman"/>
          <w:sz w:val="24"/>
          <w:szCs w:val="24"/>
        </w:rPr>
        <w:t>a</w:t>
      </w:r>
      <w:r w:rsidR="006E678D" w:rsidRPr="006F42E1">
        <w:rPr>
          <w:rFonts w:ascii="Times New Roman" w:hAnsi="Times New Roman" w:cs="Times New Roman"/>
          <w:sz w:val="24"/>
          <w:szCs w:val="24"/>
        </w:rPr>
        <w:t xml:space="preserve"> complexidade que </w:t>
      </w:r>
      <w:r w:rsidR="002B7AD0" w:rsidRPr="006F42E1">
        <w:rPr>
          <w:rFonts w:ascii="Times New Roman" w:hAnsi="Times New Roman" w:cs="Times New Roman"/>
          <w:sz w:val="24"/>
          <w:szCs w:val="24"/>
        </w:rPr>
        <w:t xml:space="preserve">a </w:t>
      </w:r>
      <w:r w:rsidR="006E678D" w:rsidRPr="006F42E1">
        <w:rPr>
          <w:rFonts w:ascii="Times New Roman" w:hAnsi="Times New Roman" w:cs="Times New Roman"/>
          <w:sz w:val="24"/>
          <w:szCs w:val="24"/>
        </w:rPr>
        <w:t>acompanha abrange diversas estimativas e indicadores</w:t>
      </w:r>
      <w:r w:rsidR="002B7AD0" w:rsidRPr="006F42E1">
        <w:rPr>
          <w:rFonts w:ascii="Times New Roman" w:hAnsi="Times New Roman" w:cs="Times New Roman"/>
          <w:sz w:val="24"/>
          <w:szCs w:val="24"/>
        </w:rPr>
        <w:t xml:space="preserve"> além dos demográficos, nos qua</w:t>
      </w:r>
      <w:r w:rsidR="00C374BF" w:rsidRPr="006F42E1">
        <w:rPr>
          <w:rFonts w:ascii="Times New Roman" w:hAnsi="Times New Roman" w:cs="Times New Roman"/>
          <w:sz w:val="24"/>
          <w:szCs w:val="24"/>
        </w:rPr>
        <w:t>is</w:t>
      </w:r>
      <w:r w:rsidR="00EE2660" w:rsidRPr="006F42E1">
        <w:rPr>
          <w:rFonts w:ascii="Times New Roman" w:hAnsi="Times New Roman" w:cs="Times New Roman"/>
          <w:sz w:val="24"/>
          <w:szCs w:val="24"/>
        </w:rPr>
        <w:t>,</w:t>
      </w:r>
      <w:r w:rsidR="00C374BF" w:rsidRPr="006F42E1">
        <w:rPr>
          <w:rFonts w:ascii="Times New Roman" w:hAnsi="Times New Roman" w:cs="Times New Roman"/>
          <w:sz w:val="24"/>
          <w:szCs w:val="24"/>
        </w:rPr>
        <w:t xml:space="preserve"> </w:t>
      </w:r>
      <w:r w:rsidR="00EE2660" w:rsidRPr="006F42E1">
        <w:rPr>
          <w:rFonts w:ascii="Times New Roman" w:hAnsi="Times New Roman" w:cs="Times New Roman"/>
          <w:sz w:val="24"/>
          <w:szCs w:val="24"/>
        </w:rPr>
        <w:t>por se tratar de pequenas áreas,</w:t>
      </w:r>
      <w:r w:rsidR="00C374BF" w:rsidRPr="006F42E1">
        <w:rPr>
          <w:rFonts w:ascii="Times New Roman" w:hAnsi="Times New Roman" w:cs="Times New Roman"/>
          <w:sz w:val="24"/>
          <w:szCs w:val="24"/>
        </w:rPr>
        <w:t xml:space="preserve"> os pequenos números </w:t>
      </w:r>
      <w:r w:rsidR="003E209E" w:rsidRPr="006F42E1">
        <w:rPr>
          <w:rFonts w:ascii="Times New Roman" w:hAnsi="Times New Roman" w:cs="Times New Roman"/>
          <w:sz w:val="24"/>
          <w:szCs w:val="24"/>
        </w:rPr>
        <w:t xml:space="preserve">produzem variações </w:t>
      </w:r>
      <w:r w:rsidR="00F831AF" w:rsidRPr="006F42E1">
        <w:rPr>
          <w:rFonts w:ascii="Times New Roman" w:hAnsi="Times New Roman" w:cs="Times New Roman"/>
          <w:sz w:val="24"/>
          <w:szCs w:val="24"/>
        </w:rPr>
        <w:t xml:space="preserve">que não são representativas </w:t>
      </w:r>
      <w:r w:rsidR="002A67A6" w:rsidRPr="006F42E1">
        <w:rPr>
          <w:rFonts w:ascii="Times New Roman" w:hAnsi="Times New Roman" w:cs="Times New Roman"/>
          <w:sz w:val="24"/>
          <w:szCs w:val="24"/>
        </w:rPr>
        <w:t>da realidade</w:t>
      </w:r>
      <w:r w:rsidR="00623E42" w:rsidRPr="006F42E1">
        <w:rPr>
          <w:rFonts w:ascii="Times New Roman" w:hAnsi="Times New Roman" w:cs="Times New Roman"/>
          <w:sz w:val="24"/>
          <w:szCs w:val="24"/>
        </w:rPr>
        <w:t>. Entende-se por ‘pequena área’</w:t>
      </w:r>
      <w:r w:rsidR="005D7D87" w:rsidRPr="006F42E1">
        <w:rPr>
          <w:rFonts w:ascii="Times New Roman" w:hAnsi="Times New Roman" w:cs="Times New Roman"/>
          <w:sz w:val="24"/>
          <w:szCs w:val="24"/>
        </w:rPr>
        <w:t xml:space="preserve"> uma</w:t>
      </w:r>
      <w:r w:rsidR="44379C23" w:rsidRPr="006F42E1">
        <w:rPr>
          <w:rFonts w:ascii="Times New Roman" w:hAnsi="Times New Roman" w:cs="Times New Roman"/>
          <w:sz w:val="24"/>
          <w:szCs w:val="24"/>
        </w:rPr>
        <w:t xml:space="preserve"> área geográfica de interesse </w:t>
      </w:r>
      <w:r w:rsidR="008C4F81" w:rsidRPr="006F42E1">
        <w:rPr>
          <w:rFonts w:ascii="Times New Roman" w:hAnsi="Times New Roman" w:cs="Times New Roman"/>
          <w:sz w:val="24"/>
          <w:szCs w:val="24"/>
        </w:rPr>
        <w:t>em que</w:t>
      </w:r>
      <w:r w:rsidR="44379C23" w:rsidRPr="006F42E1">
        <w:rPr>
          <w:rFonts w:ascii="Times New Roman" w:hAnsi="Times New Roman" w:cs="Times New Roman"/>
          <w:sz w:val="24"/>
          <w:szCs w:val="24"/>
        </w:rPr>
        <w:t xml:space="preserve"> a variabilidade de estimativas utilizando </w:t>
      </w:r>
      <w:r w:rsidR="000B1CFC" w:rsidRPr="006F42E1">
        <w:rPr>
          <w:rFonts w:ascii="Times New Roman" w:hAnsi="Times New Roman" w:cs="Times New Roman"/>
          <w:sz w:val="24"/>
          <w:szCs w:val="24"/>
        </w:rPr>
        <w:t xml:space="preserve">seus </w:t>
      </w:r>
      <w:r w:rsidR="44379C23" w:rsidRPr="006F42E1">
        <w:rPr>
          <w:rFonts w:ascii="Times New Roman" w:hAnsi="Times New Roman" w:cs="Times New Roman"/>
          <w:sz w:val="24"/>
          <w:szCs w:val="24"/>
        </w:rPr>
        <w:t xml:space="preserve">dados produz desvios padrões </w:t>
      </w:r>
      <w:r w:rsidR="00623E42" w:rsidRPr="006F42E1">
        <w:rPr>
          <w:rFonts w:ascii="Times New Roman" w:hAnsi="Times New Roman" w:cs="Times New Roman"/>
          <w:sz w:val="24"/>
          <w:szCs w:val="24"/>
        </w:rPr>
        <w:t>muito elevados,</w:t>
      </w:r>
      <w:r w:rsidR="44379C23" w:rsidRPr="006F42E1">
        <w:rPr>
          <w:rFonts w:ascii="Times New Roman" w:hAnsi="Times New Roman" w:cs="Times New Roman"/>
          <w:sz w:val="24"/>
          <w:szCs w:val="24"/>
        </w:rPr>
        <w:t xml:space="preserve"> devido</w:t>
      </w:r>
      <w:r w:rsidR="007D6C1C" w:rsidRPr="006F42E1">
        <w:rPr>
          <w:rFonts w:ascii="Times New Roman" w:hAnsi="Times New Roman" w:cs="Times New Roman"/>
          <w:sz w:val="24"/>
          <w:szCs w:val="24"/>
        </w:rPr>
        <w:t xml:space="preserve"> à pequena população, que implica em um</w:t>
      </w:r>
      <w:r w:rsidR="44379C23" w:rsidRPr="006F42E1">
        <w:rPr>
          <w:rFonts w:ascii="Times New Roman" w:hAnsi="Times New Roman" w:cs="Times New Roman"/>
          <w:sz w:val="24"/>
          <w:szCs w:val="24"/>
        </w:rPr>
        <w:t xml:space="preserve"> pequeno número de pessoas em risco na área</w:t>
      </w:r>
      <w:r w:rsidR="00310CE7" w:rsidRPr="006F42E1">
        <w:rPr>
          <w:rFonts w:ascii="Times New Roman" w:hAnsi="Times New Roman" w:cs="Times New Roman"/>
          <w:sz w:val="24"/>
          <w:szCs w:val="24"/>
        </w:rPr>
        <w:t xml:space="preserve"> e em certa </w:t>
      </w:r>
      <w:r w:rsidR="44379C23" w:rsidRPr="006F42E1">
        <w:rPr>
          <w:rFonts w:ascii="Times New Roman" w:hAnsi="Times New Roman" w:cs="Times New Roman"/>
          <w:sz w:val="24"/>
          <w:szCs w:val="24"/>
        </w:rPr>
        <w:t xml:space="preserve">raridade </w:t>
      </w:r>
      <w:r w:rsidR="00310CE7" w:rsidRPr="006F42E1">
        <w:rPr>
          <w:rFonts w:ascii="Times New Roman" w:hAnsi="Times New Roman" w:cs="Times New Roman"/>
          <w:sz w:val="24"/>
          <w:szCs w:val="24"/>
        </w:rPr>
        <w:t>n</w:t>
      </w:r>
      <w:r w:rsidR="44379C23" w:rsidRPr="006F42E1">
        <w:rPr>
          <w:rFonts w:ascii="Times New Roman" w:hAnsi="Times New Roman" w:cs="Times New Roman"/>
          <w:sz w:val="24"/>
          <w:szCs w:val="24"/>
        </w:rPr>
        <w:t>os eventos estudado</w:t>
      </w:r>
      <w:r w:rsidR="00E0293E" w:rsidRPr="006F42E1">
        <w:rPr>
          <w:rFonts w:ascii="Times New Roman" w:hAnsi="Times New Roman" w:cs="Times New Roman"/>
          <w:sz w:val="24"/>
          <w:szCs w:val="24"/>
        </w:rPr>
        <w:t>s</w:t>
      </w:r>
      <w:r w:rsidR="44379C23" w:rsidRPr="006F42E1">
        <w:rPr>
          <w:rFonts w:ascii="Times New Roman" w:hAnsi="Times New Roman" w:cs="Times New Roman"/>
          <w:sz w:val="24"/>
          <w:szCs w:val="24"/>
        </w:rPr>
        <w:t xml:space="preserve"> </w:t>
      </w:r>
      <w:r w:rsidR="00E0293E" w:rsidRPr="006F42E1">
        <w:rPr>
          <w:rFonts w:ascii="Times New Roman" w:hAnsi="Times New Roman" w:cs="Times New Roman"/>
          <w:sz w:val="24"/>
          <w:szCs w:val="24"/>
        </w:rPr>
        <w:t>(</w:t>
      </w:r>
      <w:r w:rsidR="44379C23" w:rsidRPr="006F42E1">
        <w:rPr>
          <w:rFonts w:ascii="Times New Roman" w:hAnsi="Times New Roman" w:cs="Times New Roman"/>
          <w:sz w:val="24"/>
          <w:szCs w:val="24"/>
        </w:rPr>
        <w:t>ASSUNÇÃO</w:t>
      </w:r>
      <w:r w:rsidR="00E0293E" w:rsidRPr="006F42E1">
        <w:rPr>
          <w:rFonts w:ascii="Times New Roman" w:hAnsi="Times New Roman" w:cs="Times New Roman"/>
          <w:sz w:val="24"/>
          <w:szCs w:val="24"/>
        </w:rPr>
        <w:t>;</w:t>
      </w:r>
      <w:r w:rsidR="44379C23" w:rsidRPr="006F42E1">
        <w:rPr>
          <w:rFonts w:ascii="Times New Roman" w:hAnsi="Times New Roman" w:cs="Times New Roman"/>
          <w:sz w:val="24"/>
          <w:szCs w:val="24"/>
        </w:rPr>
        <w:t xml:space="preserve"> POTTER</w:t>
      </w:r>
      <w:r w:rsidR="00E0293E" w:rsidRPr="006F42E1">
        <w:rPr>
          <w:rFonts w:ascii="Times New Roman" w:hAnsi="Times New Roman" w:cs="Times New Roman"/>
          <w:sz w:val="24"/>
          <w:szCs w:val="24"/>
        </w:rPr>
        <w:t>;</w:t>
      </w:r>
      <w:r w:rsidR="44379C23" w:rsidRPr="006F42E1">
        <w:rPr>
          <w:rFonts w:ascii="Times New Roman" w:hAnsi="Times New Roman" w:cs="Times New Roman"/>
          <w:sz w:val="24"/>
          <w:szCs w:val="24"/>
        </w:rPr>
        <w:t xml:space="preserve"> CAVENAGHI, 1998</w:t>
      </w:r>
      <w:r w:rsidR="00E0293E" w:rsidRPr="006F42E1">
        <w:rPr>
          <w:rFonts w:ascii="Times New Roman" w:hAnsi="Times New Roman" w:cs="Times New Roman"/>
          <w:sz w:val="24"/>
          <w:szCs w:val="24"/>
        </w:rPr>
        <w:t>).</w:t>
      </w:r>
      <w:r w:rsidR="44379C23" w:rsidRPr="006F42E1">
        <w:rPr>
          <w:rFonts w:ascii="Times New Roman" w:hAnsi="Times New Roman" w:cs="Times New Roman"/>
          <w:sz w:val="24"/>
          <w:szCs w:val="24"/>
        </w:rPr>
        <w:t xml:space="preserve"> </w:t>
      </w:r>
    </w:p>
    <w:p w14:paraId="4A0FB403" w14:textId="26738C34" w:rsidR="0048452E" w:rsidRPr="006F42E1" w:rsidRDefault="002059BA" w:rsidP="002B7519">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515B82" w:rsidRPr="006F42E1">
        <w:rPr>
          <w:rFonts w:ascii="Times New Roman" w:hAnsi="Times New Roman" w:cs="Times New Roman"/>
          <w:sz w:val="24"/>
          <w:szCs w:val="24"/>
        </w:rPr>
        <w:t xml:space="preserve">Se por um lado a </w:t>
      </w:r>
      <w:r w:rsidR="00DC369C" w:rsidRPr="006F42E1">
        <w:rPr>
          <w:rFonts w:ascii="Times New Roman" w:hAnsi="Times New Roman" w:cs="Times New Roman"/>
          <w:sz w:val="24"/>
          <w:szCs w:val="24"/>
        </w:rPr>
        <w:t xml:space="preserve">precisão </w:t>
      </w:r>
      <w:r w:rsidR="005533ED" w:rsidRPr="006F42E1">
        <w:rPr>
          <w:rFonts w:ascii="Times New Roman" w:hAnsi="Times New Roman" w:cs="Times New Roman"/>
          <w:sz w:val="24"/>
          <w:szCs w:val="24"/>
        </w:rPr>
        <w:t xml:space="preserve">de estimativas e previsões </w:t>
      </w:r>
      <w:r w:rsidR="00DC369C" w:rsidRPr="006F42E1">
        <w:rPr>
          <w:rFonts w:ascii="Times New Roman" w:hAnsi="Times New Roman" w:cs="Times New Roman"/>
          <w:sz w:val="24"/>
          <w:szCs w:val="24"/>
        </w:rPr>
        <w:t xml:space="preserve">diminui </w:t>
      </w:r>
      <w:r w:rsidR="005533ED" w:rsidRPr="006F42E1">
        <w:rPr>
          <w:rFonts w:ascii="Times New Roman" w:hAnsi="Times New Roman" w:cs="Times New Roman"/>
          <w:sz w:val="24"/>
          <w:szCs w:val="24"/>
        </w:rPr>
        <w:t xml:space="preserve">em </w:t>
      </w:r>
      <w:r w:rsidR="00DC369C" w:rsidRPr="006F42E1">
        <w:rPr>
          <w:rFonts w:ascii="Times New Roman" w:hAnsi="Times New Roman" w:cs="Times New Roman"/>
          <w:sz w:val="24"/>
          <w:szCs w:val="24"/>
        </w:rPr>
        <w:t>pequenas áreas, por outro se demanda cada vez mais estudos focalizados</w:t>
      </w:r>
      <w:r w:rsidR="005533ED" w:rsidRPr="006F42E1">
        <w:rPr>
          <w:rFonts w:ascii="Times New Roman" w:hAnsi="Times New Roman" w:cs="Times New Roman"/>
          <w:sz w:val="24"/>
          <w:szCs w:val="24"/>
        </w:rPr>
        <w:t xml:space="preserve"> e atentos à </w:t>
      </w:r>
      <w:r w:rsidR="00DC462F" w:rsidRPr="006F42E1">
        <w:rPr>
          <w:rFonts w:ascii="Times New Roman" w:hAnsi="Times New Roman" w:cs="Times New Roman"/>
          <w:sz w:val="24"/>
          <w:szCs w:val="24"/>
        </w:rPr>
        <w:t>dinâmicas e</w:t>
      </w:r>
      <w:r w:rsidR="005533ED" w:rsidRPr="006F42E1">
        <w:rPr>
          <w:rFonts w:ascii="Times New Roman" w:hAnsi="Times New Roman" w:cs="Times New Roman"/>
          <w:sz w:val="24"/>
          <w:szCs w:val="24"/>
        </w:rPr>
        <w:t xml:space="preserve"> especificidades</w:t>
      </w:r>
      <w:r w:rsidR="00DC369C" w:rsidRPr="006F42E1">
        <w:rPr>
          <w:rFonts w:ascii="Times New Roman" w:hAnsi="Times New Roman" w:cs="Times New Roman"/>
          <w:sz w:val="24"/>
          <w:szCs w:val="24"/>
        </w:rPr>
        <w:t xml:space="preserve"> </w:t>
      </w:r>
      <w:r w:rsidR="00DC462F" w:rsidRPr="006F42E1">
        <w:rPr>
          <w:rFonts w:ascii="Times New Roman" w:hAnsi="Times New Roman" w:cs="Times New Roman"/>
          <w:sz w:val="24"/>
          <w:szCs w:val="24"/>
        </w:rPr>
        <w:t>locais,</w:t>
      </w:r>
      <w:r w:rsidR="00AD1C5A" w:rsidRPr="006F42E1">
        <w:rPr>
          <w:rFonts w:ascii="Times New Roman" w:hAnsi="Times New Roman" w:cs="Times New Roman"/>
          <w:sz w:val="24"/>
          <w:szCs w:val="24"/>
        </w:rPr>
        <w:t xml:space="preserve"> dando relevância a análises que explorem as possibilidades para projeções em pequenas áreas</w:t>
      </w:r>
      <w:r w:rsidR="00DC462F" w:rsidRPr="006F42E1">
        <w:rPr>
          <w:rFonts w:ascii="Times New Roman" w:hAnsi="Times New Roman" w:cs="Times New Roman"/>
          <w:sz w:val="24"/>
          <w:szCs w:val="24"/>
        </w:rPr>
        <w:t xml:space="preserve">. </w:t>
      </w:r>
      <w:r w:rsidR="0053351C" w:rsidRPr="006F42E1">
        <w:rPr>
          <w:rFonts w:ascii="Times New Roman" w:hAnsi="Times New Roman" w:cs="Times New Roman"/>
          <w:sz w:val="24"/>
          <w:szCs w:val="24"/>
        </w:rPr>
        <w:t>Isso se soma a</w:t>
      </w:r>
      <w:r w:rsidR="00136AF1" w:rsidRPr="006F42E1">
        <w:rPr>
          <w:rFonts w:ascii="Times New Roman" w:hAnsi="Times New Roman" w:cs="Times New Roman"/>
          <w:sz w:val="24"/>
          <w:szCs w:val="24"/>
        </w:rPr>
        <w:t xml:space="preserve"> </w:t>
      </w:r>
      <w:r w:rsidR="00296357" w:rsidRPr="006F42E1">
        <w:rPr>
          <w:rFonts w:ascii="Times New Roman" w:hAnsi="Times New Roman" w:cs="Times New Roman"/>
          <w:sz w:val="24"/>
          <w:szCs w:val="24"/>
        </w:rPr>
        <w:t>import</w:t>
      </w:r>
      <w:r w:rsidR="0053351C" w:rsidRPr="006F42E1">
        <w:rPr>
          <w:rFonts w:ascii="Times New Roman" w:hAnsi="Times New Roman" w:cs="Times New Roman"/>
          <w:sz w:val="24"/>
          <w:szCs w:val="24"/>
        </w:rPr>
        <w:t>ância de</w:t>
      </w:r>
      <w:r w:rsidR="00296357" w:rsidRPr="006F42E1">
        <w:rPr>
          <w:rFonts w:ascii="Times New Roman" w:hAnsi="Times New Roman" w:cs="Times New Roman"/>
          <w:sz w:val="24"/>
          <w:szCs w:val="24"/>
        </w:rPr>
        <w:t xml:space="preserve"> conhecer e acompanhar as transformações demográficas </w:t>
      </w:r>
      <w:r w:rsidR="00AE2FBC" w:rsidRPr="006F42E1">
        <w:rPr>
          <w:rFonts w:ascii="Times New Roman" w:hAnsi="Times New Roman" w:cs="Times New Roman"/>
          <w:sz w:val="24"/>
          <w:szCs w:val="24"/>
        </w:rPr>
        <w:t xml:space="preserve">nesses recortes, </w:t>
      </w:r>
      <w:r w:rsidR="00296357" w:rsidRPr="006F42E1">
        <w:rPr>
          <w:rFonts w:ascii="Times New Roman" w:hAnsi="Times New Roman" w:cs="Times New Roman"/>
          <w:sz w:val="24"/>
          <w:szCs w:val="24"/>
        </w:rPr>
        <w:t xml:space="preserve">com foco </w:t>
      </w:r>
      <w:r w:rsidR="00AE2FBC" w:rsidRPr="006F42E1">
        <w:rPr>
          <w:rFonts w:ascii="Times New Roman" w:hAnsi="Times New Roman" w:cs="Times New Roman"/>
          <w:sz w:val="24"/>
          <w:szCs w:val="24"/>
        </w:rPr>
        <w:t>no tamanho, distribuição e cara</w:t>
      </w:r>
      <w:r w:rsidR="001011F1" w:rsidRPr="006F42E1">
        <w:rPr>
          <w:rFonts w:ascii="Times New Roman" w:hAnsi="Times New Roman" w:cs="Times New Roman"/>
          <w:sz w:val="24"/>
          <w:szCs w:val="24"/>
        </w:rPr>
        <w:t>c</w:t>
      </w:r>
      <w:r w:rsidR="00AE2FBC" w:rsidRPr="006F42E1">
        <w:rPr>
          <w:rFonts w:ascii="Times New Roman" w:hAnsi="Times New Roman" w:cs="Times New Roman"/>
          <w:sz w:val="24"/>
          <w:szCs w:val="24"/>
        </w:rPr>
        <w:t xml:space="preserve">terísticas da população. </w:t>
      </w:r>
    </w:p>
    <w:p w14:paraId="70195D98" w14:textId="76B30524" w:rsidR="006A4485" w:rsidRPr="006F42E1" w:rsidRDefault="006C4D8D" w:rsidP="002B7519">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 xml:space="preserve">Neste </w:t>
      </w:r>
      <w:r w:rsidR="00A12705" w:rsidRPr="006F42E1">
        <w:rPr>
          <w:rFonts w:ascii="Times New Roman" w:hAnsi="Times New Roman" w:cs="Times New Roman"/>
          <w:sz w:val="24"/>
          <w:szCs w:val="24"/>
        </w:rPr>
        <w:t>trabalho, o foco são as microrregiões cearenses</w:t>
      </w:r>
      <w:r w:rsidR="00BE5FD6" w:rsidRPr="006F42E1">
        <w:rPr>
          <w:rFonts w:ascii="Times New Roman" w:hAnsi="Times New Roman" w:cs="Times New Roman"/>
          <w:sz w:val="24"/>
          <w:szCs w:val="24"/>
        </w:rPr>
        <w:t>, mais precisamente</w:t>
      </w:r>
      <w:r w:rsidR="004C2645" w:rsidRPr="006F42E1">
        <w:rPr>
          <w:rFonts w:ascii="Times New Roman" w:hAnsi="Times New Roman" w:cs="Times New Roman"/>
          <w:sz w:val="24"/>
          <w:szCs w:val="24"/>
        </w:rPr>
        <w:t xml:space="preserve"> </w:t>
      </w:r>
      <w:r w:rsidR="00BE5FD6" w:rsidRPr="006F42E1">
        <w:rPr>
          <w:rFonts w:ascii="Times New Roman" w:hAnsi="Times New Roman" w:cs="Times New Roman"/>
          <w:sz w:val="24"/>
          <w:szCs w:val="24"/>
        </w:rPr>
        <w:t>a</w:t>
      </w:r>
      <w:r w:rsidR="004C2645" w:rsidRPr="006F42E1">
        <w:rPr>
          <w:rFonts w:ascii="Times New Roman" w:hAnsi="Times New Roman" w:cs="Times New Roman"/>
          <w:sz w:val="24"/>
          <w:szCs w:val="24"/>
        </w:rPr>
        <w:t xml:space="preserve"> Microrregião do Cariri</w:t>
      </w:r>
      <w:r w:rsidR="00A12705" w:rsidRPr="006F42E1">
        <w:rPr>
          <w:rFonts w:ascii="Times New Roman" w:hAnsi="Times New Roman" w:cs="Times New Roman"/>
          <w:sz w:val="24"/>
          <w:szCs w:val="24"/>
        </w:rPr>
        <w:t xml:space="preserve">. </w:t>
      </w:r>
      <w:r w:rsidR="006A4485" w:rsidRPr="006F42E1">
        <w:rPr>
          <w:rFonts w:ascii="Times New Roman" w:hAnsi="Times New Roman" w:cs="Times New Roman"/>
          <w:sz w:val="24"/>
          <w:szCs w:val="24"/>
        </w:rPr>
        <w:t xml:space="preserve">Diante da utilidade das projeções e, por outro lado, das dificuldades quando se trata de pequenos recortes, inicialmente se compara diferentes métodos de projeção populacional e, a partir desse comparativo, é projetada a população dessa </w:t>
      </w:r>
      <w:r w:rsidR="00485922" w:rsidRPr="006F42E1">
        <w:rPr>
          <w:rFonts w:ascii="Times New Roman" w:hAnsi="Times New Roman" w:cs="Times New Roman"/>
          <w:sz w:val="24"/>
          <w:szCs w:val="24"/>
        </w:rPr>
        <w:t xml:space="preserve">microrregião </w:t>
      </w:r>
      <w:r w:rsidR="006A4485" w:rsidRPr="006F42E1">
        <w:rPr>
          <w:rFonts w:ascii="Times New Roman" w:hAnsi="Times New Roman" w:cs="Times New Roman"/>
          <w:sz w:val="24"/>
          <w:szCs w:val="24"/>
        </w:rPr>
        <w:t>até 2050</w:t>
      </w:r>
      <w:r w:rsidR="00B63FE4" w:rsidRPr="006F42E1">
        <w:rPr>
          <w:rFonts w:ascii="Times New Roman" w:hAnsi="Times New Roman" w:cs="Times New Roman"/>
          <w:sz w:val="24"/>
          <w:szCs w:val="24"/>
        </w:rPr>
        <w:t>, analisando seu crescimento</w:t>
      </w:r>
      <w:r w:rsidR="00225673" w:rsidRPr="006F42E1">
        <w:rPr>
          <w:rFonts w:ascii="Times New Roman" w:hAnsi="Times New Roman" w:cs="Times New Roman"/>
          <w:sz w:val="24"/>
          <w:szCs w:val="24"/>
        </w:rPr>
        <w:t xml:space="preserve"> e transformações na</w:t>
      </w:r>
      <w:r w:rsidR="00B63FE4" w:rsidRPr="006F42E1">
        <w:rPr>
          <w:rFonts w:ascii="Times New Roman" w:hAnsi="Times New Roman" w:cs="Times New Roman"/>
          <w:sz w:val="24"/>
          <w:szCs w:val="24"/>
        </w:rPr>
        <w:t xml:space="preserve"> estrutura etária</w:t>
      </w:r>
      <w:r w:rsidR="00225673" w:rsidRPr="006F42E1">
        <w:rPr>
          <w:rFonts w:ascii="Times New Roman" w:hAnsi="Times New Roman" w:cs="Times New Roman"/>
          <w:sz w:val="24"/>
          <w:szCs w:val="24"/>
        </w:rPr>
        <w:t xml:space="preserve"> a partir de indicadores demográficos</w:t>
      </w:r>
      <w:r w:rsidR="006A4485" w:rsidRPr="006F42E1">
        <w:rPr>
          <w:rFonts w:ascii="Times New Roman" w:hAnsi="Times New Roman" w:cs="Times New Roman"/>
          <w:sz w:val="24"/>
          <w:szCs w:val="24"/>
        </w:rPr>
        <w:t xml:space="preserve">. </w:t>
      </w:r>
    </w:p>
    <w:p w14:paraId="4832E030" w14:textId="2F6DF6D6" w:rsidR="00695FD3" w:rsidRPr="006F42E1" w:rsidRDefault="00961169" w:rsidP="517C960D">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225673" w:rsidRPr="006F42E1">
        <w:rPr>
          <w:rFonts w:ascii="Times New Roman" w:hAnsi="Times New Roman" w:cs="Times New Roman"/>
          <w:sz w:val="24"/>
          <w:szCs w:val="24"/>
        </w:rPr>
        <w:t>Após esta introdução, segue</w:t>
      </w:r>
      <w:r w:rsidR="00A429AC" w:rsidRPr="006F42E1">
        <w:rPr>
          <w:rFonts w:ascii="Times New Roman" w:hAnsi="Times New Roman" w:cs="Times New Roman"/>
          <w:sz w:val="24"/>
          <w:szCs w:val="24"/>
        </w:rPr>
        <w:t xml:space="preserve">m-se os aspectos metodológicos, onde </w:t>
      </w:r>
      <w:r w:rsidR="00BC0028" w:rsidRPr="006F42E1">
        <w:rPr>
          <w:rFonts w:ascii="Times New Roman" w:hAnsi="Times New Roman" w:cs="Times New Roman"/>
          <w:sz w:val="24"/>
          <w:szCs w:val="24"/>
        </w:rPr>
        <w:t>são</w:t>
      </w:r>
      <w:r w:rsidR="008A78F3" w:rsidRPr="006F42E1">
        <w:rPr>
          <w:rFonts w:ascii="Times New Roman" w:hAnsi="Times New Roman" w:cs="Times New Roman"/>
          <w:sz w:val="24"/>
          <w:szCs w:val="24"/>
        </w:rPr>
        <w:t xml:space="preserve"> melhor</w:t>
      </w:r>
      <w:r w:rsidR="006A7E8C" w:rsidRPr="006F42E1">
        <w:rPr>
          <w:rFonts w:ascii="Times New Roman" w:hAnsi="Times New Roman" w:cs="Times New Roman"/>
          <w:sz w:val="24"/>
          <w:szCs w:val="24"/>
        </w:rPr>
        <w:t xml:space="preserve"> apresentad</w:t>
      </w:r>
      <w:r w:rsidR="00BC0028" w:rsidRPr="006F42E1">
        <w:rPr>
          <w:rFonts w:ascii="Times New Roman" w:hAnsi="Times New Roman" w:cs="Times New Roman"/>
          <w:sz w:val="24"/>
          <w:szCs w:val="24"/>
        </w:rPr>
        <w:t>as</w:t>
      </w:r>
      <w:r w:rsidR="008A78F3" w:rsidRPr="006F42E1">
        <w:rPr>
          <w:rFonts w:ascii="Times New Roman" w:hAnsi="Times New Roman" w:cs="Times New Roman"/>
          <w:sz w:val="24"/>
          <w:szCs w:val="24"/>
        </w:rPr>
        <w:t xml:space="preserve"> </w:t>
      </w:r>
      <w:r w:rsidR="00BC0028" w:rsidRPr="006F42E1">
        <w:rPr>
          <w:rFonts w:ascii="Times New Roman" w:hAnsi="Times New Roman" w:cs="Times New Roman"/>
          <w:sz w:val="24"/>
          <w:szCs w:val="24"/>
        </w:rPr>
        <w:t xml:space="preserve">as áreas em estudo, </w:t>
      </w:r>
      <w:r w:rsidR="005059D6" w:rsidRPr="006F42E1">
        <w:rPr>
          <w:rFonts w:ascii="Times New Roman" w:hAnsi="Times New Roman" w:cs="Times New Roman"/>
          <w:sz w:val="24"/>
          <w:szCs w:val="24"/>
        </w:rPr>
        <w:t xml:space="preserve">são apontadas as fontes de dados </w:t>
      </w:r>
      <w:r w:rsidR="00735897" w:rsidRPr="006F42E1">
        <w:rPr>
          <w:rFonts w:ascii="Times New Roman" w:hAnsi="Times New Roman" w:cs="Times New Roman"/>
          <w:sz w:val="24"/>
          <w:szCs w:val="24"/>
        </w:rPr>
        <w:t xml:space="preserve">utilizados e é </w:t>
      </w:r>
      <w:r w:rsidR="00A429AC" w:rsidRPr="006F42E1">
        <w:rPr>
          <w:rFonts w:ascii="Times New Roman" w:hAnsi="Times New Roman" w:cs="Times New Roman"/>
          <w:sz w:val="24"/>
          <w:szCs w:val="24"/>
        </w:rPr>
        <w:t xml:space="preserve">descrita </w:t>
      </w:r>
      <w:r w:rsidR="0097763F" w:rsidRPr="006F42E1">
        <w:rPr>
          <w:rFonts w:ascii="Times New Roman" w:hAnsi="Times New Roman" w:cs="Times New Roman"/>
          <w:sz w:val="24"/>
          <w:szCs w:val="24"/>
        </w:rPr>
        <w:t xml:space="preserve">a ideia </w:t>
      </w:r>
      <w:r w:rsidR="0097763F" w:rsidRPr="006F42E1">
        <w:rPr>
          <w:rFonts w:ascii="Times New Roman" w:hAnsi="Times New Roman" w:cs="Times New Roman"/>
          <w:sz w:val="24"/>
          <w:szCs w:val="24"/>
        </w:rPr>
        <w:lastRenderedPageBreak/>
        <w:t xml:space="preserve">geral dos métodos </w:t>
      </w:r>
      <w:r w:rsidR="00735897" w:rsidRPr="006F42E1">
        <w:rPr>
          <w:rFonts w:ascii="Times New Roman" w:hAnsi="Times New Roman" w:cs="Times New Roman"/>
          <w:sz w:val="24"/>
          <w:szCs w:val="24"/>
        </w:rPr>
        <w:t xml:space="preserve">de projeção </w:t>
      </w:r>
      <w:r w:rsidR="0097763F" w:rsidRPr="006F42E1">
        <w:rPr>
          <w:rFonts w:ascii="Times New Roman" w:hAnsi="Times New Roman" w:cs="Times New Roman"/>
          <w:sz w:val="24"/>
          <w:szCs w:val="24"/>
        </w:rPr>
        <w:t>considerados</w:t>
      </w:r>
      <w:r w:rsidR="00735897" w:rsidRPr="006F42E1">
        <w:rPr>
          <w:rFonts w:ascii="Times New Roman" w:hAnsi="Times New Roman" w:cs="Times New Roman"/>
          <w:sz w:val="24"/>
          <w:szCs w:val="24"/>
        </w:rPr>
        <w:t xml:space="preserve">. Em seguida, </w:t>
      </w:r>
      <w:r w:rsidR="002A47EB" w:rsidRPr="006F42E1">
        <w:rPr>
          <w:rFonts w:ascii="Times New Roman" w:hAnsi="Times New Roman" w:cs="Times New Roman"/>
          <w:sz w:val="24"/>
          <w:szCs w:val="24"/>
        </w:rPr>
        <w:t>o referencial traz</w:t>
      </w:r>
      <w:r w:rsidR="002A4454" w:rsidRPr="006F42E1">
        <w:rPr>
          <w:rFonts w:ascii="Times New Roman" w:hAnsi="Times New Roman" w:cs="Times New Roman"/>
          <w:sz w:val="24"/>
          <w:szCs w:val="24"/>
        </w:rPr>
        <w:t xml:space="preserve"> </w:t>
      </w:r>
      <w:r w:rsidR="00E12F38" w:rsidRPr="006F42E1">
        <w:rPr>
          <w:rFonts w:ascii="Times New Roman" w:hAnsi="Times New Roman" w:cs="Times New Roman"/>
          <w:sz w:val="24"/>
          <w:szCs w:val="24"/>
        </w:rPr>
        <w:t>uma breve descrição d</w:t>
      </w:r>
      <w:r w:rsidR="00C044AF" w:rsidRPr="006F42E1">
        <w:rPr>
          <w:rFonts w:ascii="Times New Roman" w:hAnsi="Times New Roman" w:cs="Times New Roman"/>
          <w:sz w:val="24"/>
          <w:szCs w:val="24"/>
        </w:rPr>
        <w:t>a teoria da transição demográfica e</w:t>
      </w:r>
      <w:r w:rsidR="002A47EB" w:rsidRPr="006F42E1">
        <w:rPr>
          <w:rFonts w:ascii="Times New Roman" w:hAnsi="Times New Roman" w:cs="Times New Roman"/>
          <w:sz w:val="24"/>
          <w:szCs w:val="24"/>
        </w:rPr>
        <w:t xml:space="preserve"> </w:t>
      </w:r>
      <w:r w:rsidR="00E12F38" w:rsidRPr="006F42E1">
        <w:rPr>
          <w:rFonts w:ascii="Times New Roman" w:hAnsi="Times New Roman" w:cs="Times New Roman"/>
          <w:sz w:val="24"/>
          <w:szCs w:val="24"/>
        </w:rPr>
        <w:t xml:space="preserve">apresentação de sua evolução </w:t>
      </w:r>
      <w:r w:rsidR="00DB2070" w:rsidRPr="006F42E1">
        <w:rPr>
          <w:rFonts w:ascii="Times New Roman" w:hAnsi="Times New Roman" w:cs="Times New Roman"/>
          <w:sz w:val="24"/>
          <w:szCs w:val="24"/>
        </w:rPr>
        <w:t>no Ceará. Tal referencial é tomado</w:t>
      </w:r>
      <w:r w:rsidR="00C66CCC" w:rsidRPr="006F42E1">
        <w:rPr>
          <w:rFonts w:ascii="Times New Roman" w:hAnsi="Times New Roman" w:cs="Times New Roman"/>
          <w:sz w:val="24"/>
          <w:szCs w:val="24"/>
        </w:rPr>
        <w:t xml:space="preserve"> como base para análise e discussão da evolução demográfica</w:t>
      </w:r>
      <w:r w:rsidR="00237845" w:rsidRPr="006F42E1">
        <w:rPr>
          <w:rFonts w:ascii="Times New Roman" w:hAnsi="Times New Roman" w:cs="Times New Roman"/>
          <w:sz w:val="24"/>
          <w:szCs w:val="24"/>
        </w:rPr>
        <w:t xml:space="preserve"> da Microrregião do Cariri, a partir dos resultados da projeção que são apresentados na seção seguinte</w:t>
      </w:r>
      <w:r w:rsidR="005E3BD6" w:rsidRPr="006F42E1">
        <w:rPr>
          <w:rFonts w:ascii="Times New Roman" w:hAnsi="Times New Roman" w:cs="Times New Roman"/>
          <w:sz w:val="24"/>
          <w:szCs w:val="24"/>
        </w:rPr>
        <w:t xml:space="preserve">. </w:t>
      </w:r>
    </w:p>
    <w:p w14:paraId="1D1C4B38" w14:textId="41657D96" w:rsidR="44379C23" w:rsidRPr="006F42E1" w:rsidRDefault="44379C23" w:rsidP="44379C23">
      <w:pPr>
        <w:spacing w:after="0" w:line="360" w:lineRule="auto"/>
        <w:jc w:val="both"/>
        <w:rPr>
          <w:rFonts w:ascii="Times New Roman" w:hAnsi="Times New Roman" w:cs="Times New Roman"/>
          <w:sz w:val="24"/>
          <w:szCs w:val="24"/>
        </w:rPr>
      </w:pPr>
    </w:p>
    <w:p w14:paraId="2A863B8A" w14:textId="66B5B286" w:rsidR="00C24991" w:rsidRPr="006F42E1" w:rsidRDefault="517C960D" w:rsidP="48537D1E">
      <w:pPr>
        <w:spacing w:after="0" w:line="360" w:lineRule="auto"/>
        <w:jc w:val="both"/>
        <w:rPr>
          <w:rFonts w:ascii="Times New Roman" w:hAnsi="Times New Roman" w:cs="Times New Roman"/>
          <w:b/>
          <w:bCs/>
          <w:sz w:val="24"/>
          <w:szCs w:val="24"/>
          <w:highlight w:val="yellow"/>
        </w:rPr>
      </w:pPr>
      <w:r w:rsidRPr="006F42E1">
        <w:rPr>
          <w:rFonts w:ascii="Times New Roman" w:hAnsi="Times New Roman" w:cs="Times New Roman"/>
          <w:b/>
          <w:bCs/>
          <w:sz w:val="24"/>
          <w:szCs w:val="24"/>
        </w:rPr>
        <w:t>2 ASPECTOS METODOLÓGICOS</w:t>
      </w:r>
    </w:p>
    <w:p w14:paraId="36E45B26" w14:textId="0A00B964" w:rsidR="48537D1E" w:rsidRPr="006F42E1" w:rsidRDefault="48537D1E" w:rsidP="48537D1E">
      <w:pPr>
        <w:spacing w:after="0" w:line="360" w:lineRule="auto"/>
        <w:jc w:val="both"/>
        <w:rPr>
          <w:rFonts w:ascii="Times New Roman" w:hAnsi="Times New Roman" w:cs="Times New Roman"/>
          <w:b/>
          <w:bCs/>
          <w:sz w:val="24"/>
          <w:szCs w:val="24"/>
        </w:rPr>
      </w:pPr>
    </w:p>
    <w:p w14:paraId="7EED66AF" w14:textId="129D20C9" w:rsidR="00F54650" w:rsidRPr="006F42E1" w:rsidRDefault="00DE5A4E" w:rsidP="48537D1E">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BF2C93" w:rsidRPr="006F42E1">
        <w:rPr>
          <w:rFonts w:ascii="Times New Roman" w:hAnsi="Times New Roman" w:cs="Times New Roman"/>
          <w:sz w:val="24"/>
          <w:szCs w:val="24"/>
        </w:rPr>
        <w:t>A área de estudo do trabalho, a Microrregião do Cariri, é uma das</w:t>
      </w:r>
      <w:r w:rsidR="00402806" w:rsidRPr="006F42E1">
        <w:rPr>
          <w:rFonts w:ascii="Times New Roman" w:hAnsi="Times New Roman" w:cs="Times New Roman"/>
          <w:sz w:val="24"/>
          <w:szCs w:val="24"/>
        </w:rPr>
        <w:t xml:space="preserve"> 33</w:t>
      </w:r>
      <w:r w:rsidR="00B52F26" w:rsidRPr="006F42E1">
        <w:rPr>
          <w:rFonts w:ascii="Times New Roman" w:hAnsi="Times New Roman" w:cs="Times New Roman"/>
          <w:sz w:val="24"/>
          <w:szCs w:val="24"/>
        </w:rPr>
        <w:t xml:space="preserve"> microrregiões d</w:t>
      </w:r>
      <w:r w:rsidR="00BF2C93" w:rsidRPr="006F42E1">
        <w:rPr>
          <w:rFonts w:ascii="Times New Roman" w:hAnsi="Times New Roman" w:cs="Times New Roman"/>
          <w:sz w:val="24"/>
          <w:szCs w:val="24"/>
        </w:rPr>
        <w:t xml:space="preserve">o estado do </w:t>
      </w:r>
      <w:r w:rsidR="00B52F26" w:rsidRPr="006F42E1">
        <w:rPr>
          <w:rFonts w:ascii="Times New Roman" w:hAnsi="Times New Roman" w:cs="Times New Roman"/>
          <w:sz w:val="24"/>
          <w:szCs w:val="24"/>
        </w:rPr>
        <w:t xml:space="preserve">Ceará. A Microrregião do Cariri </w:t>
      </w:r>
      <w:r w:rsidR="00FE759F" w:rsidRPr="006F42E1">
        <w:rPr>
          <w:rFonts w:ascii="Times New Roman" w:hAnsi="Times New Roman" w:cs="Times New Roman"/>
          <w:sz w:val="24"/>
          <w:szCs w:val="24"/>
        </w:rPr>
        <w:t xml:space="preserve">localiza-se no sul do estado, é composta por 8 municípios (Crato, Juazeiro do Norte, Barbalha, Missão Velha, Nova Olinda, Santana do Cariri, Porteiras e Jardim) (Figura 1) e é responsável por 6,32% da população cearense, conforme o Censo Demográfico de 2010.  </w:t>
      </w:r>
    </w:p>
    <w:p w14:paraId="42B1BEE5" w14:textId="6F2446AF" w:rsidR="007A07DB" w:rsidRPr="006F42E1" w:rsidRDefault="002C2C86" w:rsidP="004E63F9">
      <w:pPr>
        <w:spacing w:after="0" w:line="360" w:lineRule="auto"/>
        <w:ind w:firstLine="708"/>
        <w:jc w:val="both"/>
        <w:rPr>
          <w:rFonts w:ascii="Times New Roman" w:hAnsi="Times New Roman" w:cs="Times New Roman"/>
          <w:sz w:val="24"/>
          <w:szCs w:val="24"/>
        </w:rPr>
      </w:pPr>
      <w:r w:rsidRPr="006F42E1">
        <w:rPr>
          <w:rFonts w:ascii="Times New Roman" w:hAnsi="Times New Roman" w:cs="Times New Roman"/>
          <w:sz w:val="24"/>
          <w:szCs w:val="24"/>
        </w:rPr>
        <w:t xml:space="preserve">Quanto aos dados utilizados, estes são provenientes dos Censos Demográficos de 1991, 2000 e 2010, sendo extraídos do Sistema IBGE de Recuperação Automática (SIDRA), mas utilizou-se também estimativas intercensitárias coletadas no DATASUS. Também são utilizadas as revisões de 2013 e 2018 das projeções de população do IBGE, incluindo os indicadores implícitos à projeção, como os da fecundidade e as tábuas de vida projetadas. Os métodos de projeção que serão empregados tomam como base essas informações passadas, tornando difícil considerar os efeitos de eventos inesperados, como é o caso da pandemia de Covid-19, muito embora esta tenha trazido impactos sobre o tamanho e composição populacional via mortalidade, principalmente, mas também fecundidade e migração. </w:t>
      </w:r>
    </w:p>
    <w:p w14:paraId="0E0F65CE" w14:textId="77777777" w:rsidR="004E63F9" w:rsidRPr="006F42E1" w:rsidRDefault="004E63F9" w:rsidP="004E63F9">
      <w:pPr>
        <w:spacing w:after="0" w:line="360" w:lineRule="auto"/>
        <w:jc w:val="both"/>
        <w:rPr>
          <w:rFonts w:ascii="Times New Roman" w:hAnsi="Times New Roman" w:cs="Times New Roman"/>
          <w:sz w:val="24"/>
          <w:szCs w:val="24"/>
        </w:rPr>
      </w:pPr>
    </w:p>
    <w:p w14:paraId="56A5B7B6" w14:textId="77777777" w:rsidR="007A07DB" w:rsidRPr="006F42E1" w:rsidRDefault="007A07DB" w:rsidP="48537D1E">
      <w:pPr>
        <w:spacing w:after="0" w:line="360" w:lineRule="auto"/>
        <w:jc w:val="both"/>
        <w:rPr>
          <w:rFonts w:ascii="Times New Roman" w:hAnsi="Times New Roman" w:cs="Times New Roman"/>
          <w:sz w:val="24"/>
          <w:szCs w:val="24"/>
        </w:rPr>
      </w:pPr>
    </w:p>
    <w:p w14:paraId="597C194F" w14:textId="77777777" w:rsidR="007A07DB" w:rsidRDefault="007A07DB" w:rsidP="48537D1E">
      <w:pPr>
        <w:spacing w:after="0" w:line="360" w:lineRule="auto"/>
        <w:jc w:val="both"/>
        <w:rPr>
          <w:rFonts w:ascii="Times New Roman" w:hAnsi="Times New Roman" w:cs="Times New Roman"/>
          <w:sz w:val="24"/>
          <w:szCs w:val="24"/>
        </w:rPr>
      </w:pPr>
    </w:p>
    <w:p w14:paraId="0C70DFB7" w14:textId="77777777" w:rsidR="001800DF" w:rsidRDefault="001800DF" w:rsidP="48537D1E">
      <w:pPr>
        <w:spacing w:after="0" w:line="360" w:lineRule="auto"/>
        <w:jc w:val="both"/>
        <w:rPr>
          <w:rFonts w:ascii="Times New Roman" w:hAnsi="Times New Roman" w:cs="Times New Roman"/>
          <w:sz w:val="24"/>
          <w:szCs w:val="24"/>
        </w:rPr>
      </w:pPr>
    </w:p>
    <w:p w14:paraId="69F277F8" w14:textId="77777777" w:rsidR="001800DF" w:rsidRDefault="001800DF" w:rsidP="48537D1E">
      <w:pPr>
        <w:spacing w:after="0" w:line="360" w:lineRule="auto"/>
        <w:jc w:val="both"/>
        <w:rPr>
          <w:rFonts w:ascii="Times New Roman" w:hAnsi="Times New Roman" w:cs="Times New Roman"/>
          <w:sz w:val="24"/>
          <w:szCs w:val="24"/>
        </w:rPr>
      </w:pPr>
    </w:p>
    <w:p w14:paraId="64CB7431" w14:textId="77777777" w:rsidR="001800DF" w:rsidRDefault="001800DF" w:rsidP="48537D1E">
      <w:pPr>
        <w:spacing w:after="0" w:line="360" w:lineRule="auto"/>
        <w:jc w:val="both"/>
        <w:rPr>
          <w:rFonts w:ascii="Times New Roman" w:hAnsi="Times New Roman" w:cs="Times New Roman"/>
          <w:sz w:val="24"/>
          <w:szCs w:val="24"/>
        </w:rPr>
      </w:pPr>
    </w:p>
    <w:p w14:paraId="55D85E1A" w14:textId="77777777" w:rsidR="001800DF" w:rsidRPr="006F42E1" w:rsidRDefault="001800DF" w:rsidP="48537D1E">
      <w:pPr>
        <w:spacing w:after="0" w:line="360" w:lineRule="auto"/>
        <w:jc w:val="both"/>
        <w:rPr>
          <w:rFonts w:ascii="Times New Roman" w:hAnsi="Times New Roman" w:cs="Times New Roman"/>
          <w:sz w:val="24"/>
          <w:szCs w:val="24"/>
        </w:rPr>
      </w:pPr>
    </w:p>
    <w:p w14:paraId="0B6DC3B0" w14:textId="77777777" w:rsidR="007A07DB" w:rsidRPr="006F42E1" w:rsidRDefault="007A07DB" w:rsidP="48537D1E">
      <w:pPr>
        <w:spacing w:after="0" w:line="360" w:lineRule="auto"/>
        <w:jc w:val="both"/>
        <w:rPr>
          <w:rFonts w:ascii="Times New Roman" w:hAnsi="Times New Roman" w:cs="Times New Roman"/>
          <w:sz w:val="24"/>
          <w:szCs w:val="24"/>
        </w:rPr>
      </w:pPr>
    </w:p>
    <w:p w14:paraId="0E344E64" w14:textId="51987EE2" w:rsidR="27BFD05E" w:rsidRPr="006F42E1" w:rsidRDefault="4A458FD2" w:rsidP="43CF6635">
      <w:pPr>
        <w:spacing w:after="0" w:line="240" w:lineRule="auto"/>
        <w:jc w:val="both"/>
        <w:rPr>
          <w:rFonts w:ascii="Times New Roman" w:eastAsia="Times New Roman" w:hAnsi="Times New Roman" w:cs="Times New Roman"/>
          <w:b/>
          <w:bCs/>
          <w:sz w:val="24"/>
          <w:szCs w:val="24"/>
        </w:rPr>
      </w:pPr>
      <w:r w:rsidRPr="006F42E1">
        <w:rPr>
          <w:rFonts w:ascii="Times New Roman" w:eastAsia="Times New Roman" w:hAnsi="Times New Roman" w:cs="Times New Roman"/>
          <w:b/>
          <w:bCs/>
          <w:sz w:val="24"/>
          <w:szCs w:val="24"/>
        </w:rPr>
        <w:lastRenderedPageBreak/>
        <w:t xml:space="preserve">Figura 1 - Disposição das microrregiões do estado do Ceará </w:t>
      </w:r>
    </w:p>
    <w:p w14:paraId="3FD7879D" w14:textId="4317E5E9" w:rsidR="27BFD05E" w:rsidRPr="006F42E1" w:rsidRDefault="00E043F9" w:rsidP="48537D1E">
      <w:pPr>
        <w:spacing w:after="0" w:line="240" w:lineRule="auto"/>
        <w:jc w:val="center"/>
      </w:pPr>
      <w:r w:rsidRPr="006F42E1">
        <w:rPr>
          <w:noProof/>
        </w:rPr>
        <w:drawing>
          <wp:inline distT="0" distB="0" distL="0" distR="0" wp14:anchorId="2A6580F2" wp14:editId="5F371245">
            <wp:extent cx="4572000" cy="3838575"/>
            <wp:effectExtent l="0" t="0" r="0" b="0"/>
            <wp:docPr id="48820429" name="Imagem 4882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0" cy="3838575"/>
                    </a:xfrm>
                    <a:prstGeom prst="rect">
                      <a:avLst/>
                    </a:prstGeom>
                  </pic:spPr>
                </pic:pic>
              </a:graphicData>
            </a:graphic>
          </wp:inline>
        </w:drawing>
      </w:r>
    </w:p>
    <w:p w14:paraId="65D8D359" w14:textId="1DCD4532" w:rsidR="27BFD05E" w:rsidRPr="006F42E1" w:rsidRDefault="517C960D" w:rsidP="27BFD05E">
      <w:pPr>
        <w:spacing w:after="0" w:line="240" w:lineRule="auto"/>
        <w:jc w:val="both"/>
      </w:pPr>
      <w:r w:rsidRPr="006F42E1">
        <w:rPr>
          <w:rFonts w:ascii="Times New Roman" w:eastAsia="Times New Roman" w:hAnsi="Times New Roman" w:cs="Times New Roman"/>
          <w:sz w:val="20"/>
          <w:szCs w:val="20"/>
        </w:rPr>
        <w:t>Fonte: IBGE, malha digital da sinopse do Censo Demográfico de 2010.</w:t>
      </w:r>
    </w:p>
    <w:p w14:paraId="4C4937BB" w14:textId="2BA8148E" w:rsidR="517C960D" w:rsidRPr="006F42E1" w:rsidRDefault="517C960D" w:rsidP="517C960D">
      <w:pPr>
        <w:spacing w:after="0" w:line="360" w:lineRule="auto"/>
        <w:jc w:val="both"/>
        <w:rPr>
          <w:rFonts w:ascii="Times New Roman" w:hAnsi="Times New Roman" w:cs="Times New Roman"/>
          <w:sz w:val="24"/>
          <w:szCs w:val="24"/>
        </w:rPr>
      </w:pPr>
    </w:p>
    <w:p w14:paraId="273B172A" w14:textId="3D267817" w:rsidR="005C0957" w:rsidRPr="006F42E1" w:rsidRDefault="00C24991" w:rsidP="517C960D">
      <w:pPr>
        <w:spacing w:after="0" w:line="360" w:lineRule="auto"/>
        <w:ind w:firstLine="708"/>
        <w:jc w:val="both"/>
        <w:rPr>
          <w:rFonts w:ascii="Times New Roman" w:hAnsi="Times New Roman" w:cs="Times New Roman"/>
          <w:sz w:val="24"/>
          <w:szCs w:val="24"/>
        </w:rPr>
      </w:pPr>
      <w:r w:rsidRPr="006F42E1">
        <w:rPr>
          <w:rFonts w:ascii="Times New Roman" w:hAnsi="Times New Roman" w:cs="Times New Roman"/>
          <w:sz w:val="24"/>
          <w:szCs w:val="24"/>
        </w:rPr>
        <w:t>Sobre os m</w:t>
      </w:r>
      <w:r w:rsidR="002B6153" w:rsidRPr="006F42E1">
        <w:rPr>
          <w:rFonts w:ascii="Times New Roman" w:hAnsi="Times New Roman" w:cs="Times New Roman"/>
          <w:sz w:val="24"/>
          <w:szCs w:val="24"/>
        </w:rPr>
        <w:t>étodos considerados</w:t>
      </w:r>
      <w:r w:rsidR="00FE115C" w:rsidRPr="006F42E1">
        <w:rPr>
          <w:rFonts w:ascii="Times New Roman" w:hAnsi="Times New Roman" w:cs="Times New Roman"/>
          <w:sz w:val="24"/>
          <w:szCs w:val="24"/>
        </w:rPr>
        <w:t xml:space="preserve">, cabe </w:t>
      </w:r>
      <w:r w:rsidR="00F62675" w:rsidRPr="006F42E1">
        <w:rPr>
          <w:rFonts w:ascii="Times New Roman" w:hAnsi="Times New Roman" w:cs="Times New Roman"/>
          <w:sz w:val="24"/>
          <w:szCs w:val="24"/>
        </w:rPr>
        <w:t>apresentar a ideia geral, bem como as principais vantagens e desvantagens</w:t>
      </w:r>
      <w:r w:rsidR="00C7315E" w:rsidRPr="006F42E1">
        <w:rPr>
          <w:rFonts w:ascii="Times New Roman" w:hAnsi="Times New Roman" w:cs="Times New Roman"/>
          <w:sz w:val="24"/>
          <w:szCs w:val="24"/>
        </w:rPr>
        <w:t xml:space="preserve">, tendo como base o </w:t>
      </w:r>
      <w:r w:rsidR="004241EB" w:rsidRPr="006F42E1">
        <w:rPr>
          <w:rFonts w:ascii="Times New Roman" w:hAnsi="Times New Roman" w:cs="Times New Roman"/>
          <w:sz w:val="24"/>
          <w:szCs w:val="24"/>
        </w:rPr>
        <w:t xml:space="preserve">capítulo </w:t>
      </w:r>
      <w:r w:rsidR="00B55EC3" w:rsidRPr="006F42E1">
        <w:rPr>
          <w:rFonts w:ascii="Times New Roman" w:hAnsi="Times New Roman" w:cs="Times New Roman"/>
          <w:sz w:val="24"/>
          <w:szCs w:val="24"/>
        </w:rPr>
        <w:t xml:space="preserve">sobre </w:t>
      </w:r>
      <w:r w:rsidR="004241EB" w:rsidRPr="006F42E1">
        <w:rPr>
          <w:rFonts w:ascii="Times New Roman" w:hAnsi="Times New Roman" w:cs="Times New Roman"/>
          <w:sz w:val="24"/>
          <w:szCs w:val="24"/>
        </w:rPr>
        <w:t xml:space="preserve">Projeções e Cenários Demográficos do livro </w:t>
      </w:r>
      <w:r w:rsidR="000A289D" w:rsidRPr="006F42E1">
        <w:rPr>
          <w:rFonts w:ascii="Times New Roman" w:hAnsi="Times New Roman" w:cs="Times New Roman"/>
          <w:sz w:val="24"/>
          <w:szCs w:val="24"/>
        </w:rPr>
        <w:t>“</w:t>
      </w:r>
      <w:r w:rsidR="009B7D18" w:rsidRPr="006F42E1">
        <w:rPr>
          <w:rFonts w:ascii="Times New Roman" w:hAnsi="Times New Roman" w:cs="Times New Roman"/>
          <w:sz w:val="24"/>
          <w:szCs w:val="24"/>
        </w:rPr>
        <w:t xml:space="preserve">Métodos </w:t>
      </w:r>
      <w:r w:rsidR="000A289D" w:rsidRPr="006F42E1">
        <w:rPr>
          <w:rFonts w:ascii="Times New Roman" w:hAnsi="Times New Roman" w:cs="Times New Roman"/>
          <w:sz w:val="24"/>
          <w:szCs w:val="24"/>
        </w:rPr>
        <w:t>D</w:t>
      </w:r>
      <w:r w:rsidR="009B7D18" w:rsidRPr="006F42E1">
        <w:rPr>
          <w:rFonts w:ascii="Times New Roman" w:hAnsi="Times New Roman" w:cs="Times New Roman"/>
          <w:sz w:val="24"/>
          <w:szCs w:val="24"/>
        </w:rPr>
        <w:t>emográficos: uma visão desde os países de língua portuguesa</w:t>
      </w:r>
      <w:r w:rsidR="000A289D" w:rsidRPr="006F42E1">
        <w:rPr>
          <w:rFonts w:ascii="Times New Roman" w:hAnsi="Times New Roman" w:cs="Times New Roman"/>
          <w:sz w:val="24"/>
          <w:szCs w:val="24"/>
        </w:rPr>
        <w:t>” publicado pelo Grupo de Foz (FOZ</w:t>
      </w:r>
      <w:r w:rsidR="00B55EC3" w:rsidRPr="006F42E1">
        <w:rPr>
          <w:rFonts w:ascii="Times New Roman" w:hAnsi="Times New Roman" w:cs="Times New Roman"/>
          <w:sz w:val="24"/>
          <w:szCs w:val="24"/>
        </w:rPr>
        <w:t>, 2021</w:t>
      </w:r>
      <w:r w:rsidR="002B76B5" w:rsidRPr="006F42E1">
        <w:rPr>
          <w:rFonts w:ascii="Times New Roman" w:hAnsi="Times New Roman" w:cs="Times New Roman"/>
          <w:sz w:val="24"/>
          <w:szCs w:val="24"/>
        </w:rPr>
        <w:t>c</w:t>
      </w:r>
      <w:r w:rsidR="00B55EC3" w:rsidRPr="006F42E1">
        <w:rPr>
          <w:rFonts w:ascii="Times New Roman" w:hAnsi="Times New Roman" w:cs="Times New Roman"/>
          <w:sz w:val="24"/>
          <w:szCs w:val="24"/>
        </w:rPr>
        <w:t>)</w:t>
      </w:r>
      <w:r w:rsidR="00270FF1" w:rsidRPr="006F42E1">
        <w:rPr>
          <w:rFonts w:ascii="Times New Roman" w:hAnsi="Times New Roman" w:cs="Times New Roman"/>
          <w:sz w:val="24"/>
          <w:szCs w:val="24"/>
        </w:rPr>
        <w:t xml:space="preserve">. </w:t>
      </w:r>
      <w:r w:rsidR="005C0957" w:rsidRPr="006F42E1">
        <w:rPr>
          <w:rFonts w:ascii="Times New Roman" w:hAnsi="Times New Roman" w:cs="Times New Roman"/>
          <w:sz w:val="24"/>
          <w:szCs w:val="24"/>
        </w:rPr>
        <w:t xml:space="preserve">Como ponto de partida para a projeção da população em pequenas áreas, como microrregiões, tem-se métodos </w:t>
      </w:r>
      <w:r w:rsidR="00211EC0" w:rsidRPr="006F42E1">
        <w:rPr>
          <w:rFonts w:ascii="Times New Roman" w:hAnsi="Times New Roman" w:cs="Times New Roman"/>
          <w:sz w:val="24"/>
          <w:szCs w:val="24"/>
        </w:rPr>
        <w:t xml:space="preserve">relativamente </w:t>
      </w:r>
      <w:r w:rsidR="005C0957" w:rsidRPr="006F42E1">
        <w:rPr>
          <w:rFonts w:ascii="Times New Roman" w:hAnsi="Times New Roman" w:cs="Times New Roman"/>
          <w:sz w:val="24"/>
          <w:szCs w:val="24"/>
        </w:rPr>
        <w:t xml:space="preserve">simples de distribuição do crescimento, também conhecidos como </w:t>
      </w:r>
      <w:r w:rsidR="005C0957" w:rsidRPr="006F42E1">
        <w:rPr>
          <w:rFonts w:ascii="Times New Roman" w:hAnsi="Times New Roman" w:cs="Times New Roman"/>
          <w:i/>
          <w:iCs/>
          <w:sz w:val="24"/>
          <w:szCs w:val="24"/>
        </w:rPr>
        <w:t>‘shift share’</w:t>
      </w:r>
      <w:r w:rsidR="005C0957" w:rsidRPr="006F42E1">
        <w:rPr>
          <w:rFonts w:ascii="Times New Roman" w:hAnsi="Times New Roman" w:cs="Times New Roman"/>
          <w:sz w:val="24"/>
          <w:szCs w:val="24"/>
        </w:rPr>
        <w:t xml:space="preserve">, que podem ser utilizados quando o objetivo é projetar a população total a partir da projeção já realizada para uma área maior. </w:t>
      </w:r>
    </w:p>
    <w:p w14:paraId="53303D7C" w14:textId="4B74412C" w:rsidR="27BFD05E" w:rsidRPr="006F42E1" w:rsidRDefault="0CE28008" w:rsidP="0CE28008">
      <w:pPr>
        <w:spacing w:after="0" w:line="360" w:lineRule="auto"/>
        <w:ind w:firstLine="708"/>
        <w:jc w:val="both"/>
        <w:rPr>
          <w:rFonts w:ascii="Times New Roman" w:eastAsia="Times New Roman" w:hAnsi="Times New Roman" w:cs="Times New Roman"/>
          <w:sz w:val="24"/>
          <w:szCs w:val="24"/>
        </w:rPr>
      </w:pPr>
      <w:r w:rsidRPr="006F42E1">
        <w:rPr>
          <w:rFonts w:ascii="Times New Roman" w:hAnsi="Times New Roman" w:cs="Times New Roman"/>
          <w:sz w:val="24"/>
          <w:szCs w:val="24"/>
        </w:rPr>
        <w:t xml:space="preserve">Dentre eles, o método de Distribuição Constante do Crescimento (DCC) e o de Distribuição Proporcional da Mudança de Crescimento (DPMC) possibilitam a projeção da </w:t>
      </w:r>
      <w:r w:rsidRPr="006F42E1">
        <w:rPr>
          <w:rFonts w:ascii="Times New Roman" w:eastAsia="Times New Roman" w:hAnsi="Times New Roman" w:cs="Times New Roman"/>
          <w:sz w:val="24"/>
          <w:szCs w:val="24"/>
        </w:rPr>
        <w:t xml:space="preserve">população </w:t>
      </w:r>
      <w:r w:rsidR="00530740" w:rsidRPr="006F42E1">
        <w:rPr>
          <w:rFonts w:ascii="Times New Roman" w:eastAsia="Times New Roman" w:hAnsi="Times New Roman" w:cs="Times New Roman"/>
          <w:sz w:val="24"/>
          <w:szCs w:val="24"/>
        </w:rPr>
        <w:t xml:space="preserve">total </w:t>
      </w:r>
      <w:r w:rsidRPr="006F42E1">
        <w:rPr>
          <w:rFonts w:ascii="Times New Roman" w:eastAsia="Times New Roman" w:hAnsi="Times New Roman" w:cs="Times New Roman"/>
          <w:sz w:val="24"/>
          <w:szCs w:val="24"/>
        </w:rPr>
        <w:t>de cada microrregião (P</w:t>
      </w:r>
      <w:r w:rsidRPr="006F42E1">
        <w:rPr>
          <w:rFonts w:ascii="Times New Roman" w:eastAsia="Times New Roman" w:hAnsi="Times New Roman" w:cs="Times New Roman"/>
          <w:sz w:val="24"/>
          <w:szCs w:val="24"/>
          <w:vertAlign w:val="subscript"/>
        </w:rPr>
        <w:t>i</w:t>
      </w:r>
      <w:r w:rsidRPr="006F42E1">
        <w:rPr>
          <w:rFonts w:ascii="Times New Roman" w:eastAsia="Times New Roman" w:hAnsi="Times New Roman" w:cs="Times New Roman"/>
          <w:sz w:val="24"/>
          <w:szCs w:val="24"/>
        </w:rPr>
        <w:t>) para o tempo de projeção (t</w:t>
      </w:r>
      <w:r w:rsidRPr="006F42E1">
        <w:rPr>
          <w:rFonts w:ascii="Times New Roman" w:eastAsia="Times New Roman" w:hAnsi="Times New Roman" w:cs="Times New Roman"/>
          <w:sz w:val="24"/>
          <w:szCs w:val="24"/>
          <w:vertAlign w:val="subscript"/>
        </w:rPr>
        <w:t>p</w:t>
      </w:r>
      <w:r w:rsidRPr="006F42E1">
        <w:rPr>
          <w:rFonts w:ascii="Times New Roman" w:eastAsia="Times New Roman" w:hAnsi="Times New Roman" w:cs="Times New Roman"/>
          <w:sz w:val="24"/>
          <w:szCs w:val="24"/>
        </w:rPr>
        <w:t>) por meio das seguintes, e respectivas, equações:</w:t>
      </w:r>
    </w:p>
    <w:p w14:paraId="179DFEEF" w14:textId="3B0AF3FC" w:rsidR="00E043F9" w:rsidRPr="006F42E1" w:rsidRDefault="00000000" w:rsidP="00E043F9">
      <w:pPr>
        <w:spacing w:after="0" w:line="360" w:lineRule="auto"/>
        <w:jc w:val="both"/>
        <w:rPr>
          <w:rFonts w:ascii="Times New Roman" w:hAnsi="Times New Roman" w:cs="Times New Roman"/>
          <w:sz w:val="24"/>
          <w:szCs w:val="24"/>
        </w:rPr>
      </w:pPr>
      <m:oMathPara>
        <m:oMathParaPr>
          <m:jc m:val="right"/>
        </m:oMathPara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t+∆t</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e>
              </m:d>
              <m:r>
                <w:rPr>
                  <w:rFonts w:ascii="Cambria Math" w:hAnsi="Cambria Math" w:cs="Times New Roman"/>
                  <w:sz w:val="24"/>
                  <w:szCs w:val="24"/>
                </w:rPr>
                <m:t xml:space="preserve"> - P</m:t>
              </m:r>
              <m:d>
                <m:dPr>
                  <m:ctrlPr>
                    <w:rPr>
                      <w:rFonts w:ascii="Cambria Math" w:hAnsi="Cambria Math" w:cs="Times New Roman"/>
                      <w:i/>
                      <w:sz w:val="24"/>
                      <w:szCs w:val="24"/>
                    </w:rPr>
                  </m:ctrlPr>
                </m:dPr>
                <m:e>
                  <m:r>
                    <w:rPr>
                      <w:rFonts w:ascii="Cambria Math" w:hAnsi="Cambria Math" w:cs="Times New Roman"/>
                      <w:sz w:val="24"/>
                      <w:szCs w:val="24"/>
                    </w:rPr>
                    <m:t>t+∆t</m:t>
                  </m:r>
                </m:e>
              </m:d>
            </m:e>
          </m:d>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t+∆t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t</m:t>
                  </m:r>
                </m:e>
              </m:d>
            </m:num>
            <m:den>
              <w:bookmarkStart w:id="0" w:name="_Hlk109821104"/>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t+∆t</m:t>
                  </m:r>
                </m:e>
              </m:d>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t</m:t>
                  </m:r>
                </m:e>
              </m:d>
              <w:bookmarkEnd w:id="0"/>
            </m:den>
          </m:f>
          <m:r>
            <w:rPr>
              <w:rFonts w:ascii="Cambria Math" w:hAnsi="Cambria Math" w:cs="Times New Roman"/>
              <w:sz w:val="24"/>
              <w:szCs w:val="24"/>
            </w:rPr>
            <m:t xml:space="preserve">                    (1)</m:t>
          </m:r>
        </m:oMath>
      </m:oMathPara>
    </w:p>
    <w:p w14:paraId="1162959F" w14:textId="77777777" w:rsidR="00E043F9" w:rsidRPr="006F42E1" w:rsidRDefault="00E043F9" w:rsidP="67C595EE">
      <w:pPr>
        <w:spacing w:after="0" w:line="360" w:lineRule="auto"/>
        <w:jc w:val="both"/>
        <w:rPr>
          <w:rFonts w:ascii="Times New Roman" w:hAnsi="Times New Roman" w:cs="Times New Roman"/>
          <w:sz w:val="24"/>
          <w:szCs w:val="24"/>
        </w:rPr>
      </w:pPr>
    </w:p>
    <w:p w14:paraId="792415AA" w14:textId="00F4221B" w:rsidR="67C595EE" w:rsidRPr="006F42E1" w:rsidRDefault="0D80FB5F" w:rsidP="67C595EE">
      <w:pPr>
        <w:spacing w:after="0" w:line="360" w:lineRule="auto"/>
        <w:jc w:val="both"/>
        <w:rPr>
          <w:rFonts w:ascii="Times New Roman" w:hAnsi="Times New Roman" w:cs="Times New Roman"/>
          <w:sz w:val="24"/>
          <w:szCs w:val="24"/>
        </w:rPr>
      </w:pPr>
      <w:bookmarkStart w:id="1" w:name="_Hlk109823480"/>
      <w:r w:rsidRPr="006F42E1">
        <w:rPr>
          <w:rFonts w:ascii="Times New Roman" w:hAnsi="Times New Roman" w:cs="Times New Roman"/>
          <w:sz w:val="24"/>
          <w:szCs w:val="24"/>
        </w:rPr>
        <w:t xml:space="preserve">Onde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t+∆t</m:t>
            </m:r>
          </m:e>
        </m:d>
      </m:oMath>
      <w:r w:rsidRPr="006F42E1">
        <w:rPr>
          <w:rFonts w:ascii="Times New Roman" w:hAnsi="Times New Roman" w:cs="Times New Roman"/>
          <w:sz w:val="24"/>
          <w:szCs w:val="24"/>
        </w:rPr>
        <w:t xml:space="preserve"> é a </w:t>
      </w:r>
      <w:r w:rsidR="008C7E6B" w:rsidRPr="006F42E1">
        <w:rPr>
          <w:rFonts w:ascii="Times New Roman" w:hAnsi="Times New Roman" w:cs="Times New Roman"/>
          <w:sz w:val="24"/>
          <w:szCs w:val="24"/>
        </w:rPr>
        <w:t xml:space="preserve">população </w:t>
      </w:r>
      <w:r w:rsidR="00821900" w:rsidRPr="006F42E1">
        <w:rPr>
          <w:rFonts w:ascii="Times New Roman" w:hAnsi="Times New Roman" w:cs="Times New Roman"/>
          <w:sz w:val="24"/>
          <w:szCs w:val="24"/>
        </w:rPr>
        <w:t xml:space="preserve">de cada pequena área i </w:t>
      </w:r>
      <w:r w:rsidR="00530740" w:rsidRPr="006F42E1">
        <w:rPr>
          <w:rFonts w:ascii="Times New Roman" w:hAnsi="Times New Roman" w:cs="Times New Roman"/>
          <w:sz w:val="24"/>
          <w:szCs w:val="24"/>
        </w:rPr>
        <w:t xml:space="preserve">no último </w:t>
      </w:r>
      <w:r w:rsidR="004E651B" w:rsidRPr="006F42E1">
        <w:rPr>
          <w:rFonts w:ascii="Times New Roman" w:hAnsi="Times New Roman" w:cs="Times New Roman"/>
          <w:sz w:val="24"/>
          <w:szCs w:val="24"/>
        </w:rPr>
        <w:t>Censo Demográfico (20</w:t>
      </w:r>
      <w:r w:rsidR="00FD3293" w:rsidRPr="006F42E1">
        <w:rPr>
          <w:rFonts w:ascii="Times New Roman" w:hAnsi="Times New Roman" w:cs="Times New Roman"/>
          <w:sz w:val="24"/>
          <w:szCs w:val="24"/>
        </w:rPr>
        <w:t>00</w:t>
      </w:r>
      <w:r w:rsidR="004B61C3" w:rsidRPr="006F42E1">
        <w:rPr>
          <w:rFonts w:ascii="Times New Roman" w:hAnsi="Times New Roman" w:cs="Times New Roman"/>
          <w:sz w:val="24"/>
          <w:szCs w:val="24"/>
        </w:rPr>
        <w:t xml:space="preserve">, supondo a primeira projeção para </w:t>
      </w:r>
      <w:r w:rsidR="009773DB" w:rsidRPr="006F42E1">
        <w:rPr>
          <w:rFonts w:ascii="Times New Roman" w:hAnsi="Times New Roman" w:cs="Times New Roman"/>
          <w:sz w:val="24"/>
          <w:szCs w:val="24"/>
        </w:rPr>
        <w:t>2010</w:t>
      </w:r>
      <w:r w:rsidR="004E651B" w:rsidRPr="006F42E1">
        <w:rPr>
          <w:rFonts w:ascii="Times New Roman" w:hAnsi="Times New Roman" w:cs="Times New Roman"/>
          <w:sz w:val="24"/>
          <w:szCs w:val="24"/>
        </w:rPr>
        <w:t>),</w:t>
      </w:r>
      <w:bookmarkEnd w:id="1"/>
      <w:r w:rsidR="004E651B" w:rsidRPr="006F42E1">
        <w:rPr>
          <w:rFonts w:ascii="Times New Roman" w:hAnsi="Times New Roman" w:cs="Times New Roman"/>
          <w:sz w:val="24"/>
          <w:szCs w:val="24"/>
        </w:rPr>
        <w:t xml:space="preserve"> </w:t>
      </w:r>
      <w:bookmarkStart w:id="2" w:name="_Hlk109823829"/>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e>
        </m:d>
        <m:r>
          <w:rPr>
            <w:rFonts w:ascii="Cambria Math" w:hAnsi="Cambria Math" w:cs="Times New Roman"/>
            <w:sz w:val="24"/>
            <w:szCs w:val="24"/>
          </w:rPr>
          <m:t xml:space="preserve"> - P</m:t>
        </m:r>
        <m:d>
          <m:dPr>
            <m:ctrlPr>
              <w:rPr>
                <w:rFonts w:ascii="Cambria Math" w:hAnsi="Cambria Math" w:cs="Times New Roman"/>
                <w:i/>
                <w:sz w:val="24"/>
                <w:szCs w:val="24"/>
              </w:rPr>
            </m:ctrlPr>
          </m:dPr>
          <m:e>
            <m:r>
              <w:rPr>
                <w:rFonts w:ascii="Cambria Math" w:hAnsi="Cambria Math" w:cs="Times New Roman"/>
                <w:sz w:val="24"/>
                <w:szCs w:val="24"/>
              </w:rPr>
              <m:t>t+∆t</m:t>
            </m:r>
          </m:e>
        </m:d>
      </m:oMath>
      <w:r w:rsidR="00454232" w:rsidRPr="006F42E1">
        <w:rPr>
          <w:rFonts w:ascii="Times New Roman" w:eastAsiaTheme="minorEastAsia" w:hAnsi="Times New Roman" w:cs="Times New Roman"/>
          <w:sz w:val="24"/>
          <w:szCs w:val="24"/>
        </w:rPr>
        <w:t xml:space="preserve"> </w:t>
      </w:r>
      <w:r w:rsidRPr="006F42E1">
        <w:rPr>
          <w:rFonts w:ascii="Times New Roman" w:hAnsi="Times New Roman" w:cs="Times New Roman"/>
          <w:sz w:val="24"/>
          <w:szCs w:val="24"/>
        </w:rPr>
        <w:t xml:space="preserve">representa o crescimento </w:t>
      </w:r>
      <w:r w:rsidR="00205C6D" w:rsidRPr="006F42E1">
        <w:rPr>
          <w:rFonts w:ascii="Times New Roman" w:hAnsi="Times New Roman" w:cs="Times New Roman"/>
          <w:sz w:val="24"/>
          <w:szCs w:val="24"/>
        </w:rPr>
        <w:t xml:space="preserve">da </w:t>
      </w:r>
      <w:r w:rsidR="00550CAA" w:rsidRPr="006F42E1">
        <w:rPr>
          <w:rFonts w:ascii="Times New Roman" w:hAnsi="Times New Roman" w:cs="Times New Roman"/>
          <w:sz w:val="24"/>
          <w:szCs w:val="24"/>
        </w:rPr>
        <w:t xml:space="preserve">área maior (Ceará) </w:t>
      </w:r>
      <w:r w:rsidRPr="006F42E1">
        <w:rPr>
          <w:rFonts w:ascii="Times New Roman" w:hAnsi="Times New Roman" w:cs="Times New Roman"/>
          <w:sz w:val="24"/>
          <w:szCs w:val="24"/>
        </w:rPr>
        <w:t xml:space="preserve">entre </w:t>
      </w:r>
      <w:r w:rsidR="00D61CAB" w:rsidRPr="006F42E1">
        <w:rPr>
          <w:rFonts w:ascii="Times New Roman" w:hAnsi="Times New Roman" w:cs="Times New Roman"/>
          <w:sz w:val="24"/>
          <w:szCs w:val="24"/>
        </w:rPr>
        <w:t>20</w:t>
      </w:r>
      <w:r w:rsidR="00FD3293" w:rsidRPr="006F42E1">
        <w:rPr>
          <w:rFonts w:ascii="Times New Roman" w:hAnsi="Times New Roman" w:cs="Times New Roman"/>
          <w:sz w:val="24"/>
          <w:szCs w:val="24"/>
        </w:rPr>
        <w:t>00</w:t>
      </w:r>
      <w:r w:rsidR="00D61CAB" w:rsidRPr="006F42E1">
        <w:rPr>
          <w:rFonts w:ascii="Times New Roman" w:hAnsi="Times New Roman" w:cs="Times New Roman"/>
          <w:sz w:val="24"/>
          <w:szCs w:val="24"/>
        </w:rPr>
        <w:t xml:space="preserve"> (</w:t>
      </w:r>
      <w:r w:rsidR="00F51D00" w:rsidRPr="006F42E1">
        <w:rPr>
          <w:rFonts w:ascii="Times New Roman" w:hAnsi="Times New Roman" w:cs="Times New Roman"/>
          <w:sz w:val="24"/>
          <w:szCs w:val="24"/>
        </w:rPr>
        <w:t>t</w:t>
      </w:r>
      <w:r w:rsidR="00D61CAB" w:rsidRPr="006F42E1">
        <w:rPr>
          <w:rFonts w:ascii="Times New Roman" w:hAnsi="Times New Roman" w:cs="Times New Roman"/>
          <w:sz w:val="24"/>
          <w:szCs w:val="24"/>
        </w:rPr>
        <w:t>+∆t</w:t>
      </w:r>
      <w:r w:rsidR="00F51D00" w:rsidRPr="006F42E1">
        <w:rPr>
          <w:rFonts w:ascii="Times New Roman" w:hAnsi="Times New Roman" w:cs="Times New Roman"/>
          <w:sz w:val="24"/>
          <w:szCs w:val="24"/>
        </w:rPr>
        <w:t>)</w:t>
      </w:r>
      <w:r w:rsidR="00550CAA" w:rsidRPr="006F42E1">
        <w:rPr>
          <w:rFonts w:ascii="Times New Roman" w:hAnsi="Times New Roman" w:cs="Times New Roman"/>
          <w:sz w:val="24"/>
          <w:szCs w:val="24"/>
        </w:rPr>
        <w:t xml:space="preserve"> e </w:t>
      </w:r>
      <w:r w:rsidRPr="006F42E1">
        <w:rPr>
          <w:rFonts w:ascii="Times New Roman" w:hAnsi="Times New Roman" w:cs="Times New Roman"/>
          <w:sz w:val="24"/>
          <w:szCs w:val="24"/>
        </w:rPr>
        <w:t>o tempo de projeção</w:t>
      </w:r>
      <w:r w:rsidR="008944FA" w:rsidRPr="006F42E1">
        <w:rPr>
          <w:rFonts w:ascii="Times New Roman" w:hAnsi="Times New Roman" w:cs="Times New Roman"/>
          <w:sz w:val="24"/>
          <w:szCs w:val="24"/>
        </w:rPr>
        <w:t xml:space="preserve"> que é 20</w:t>
      </w:r>
      <w:r w:rsidR="00FD3293" w:rsidRPr="006F42E1">
        <w:rPr>
          <w:rFonts w:ascii="Times New Roman" w:hAnsi="Times New Roman" w:cs="Times New Roman"/>
          <w:sz w:val="24"/>
          <w:szCs w:val="24"/>
        </w:rPr>
        <w:t>10</w:t>
      </w:r>
      <w:r w:rsidRPr="006F42E1">
        <w:rPr>
          <w:rFonts w:ascii="Times New Roman" w:hAnsi="Times New Roman" w:cs="Times New Roman"/>
          <w:sz w:val="24"/>
          <w:szCs w:val="24"/>
        </w:rPr>
        <w:t xml:space="preserve"> (t</w:t>
      </w:r>
      <w:r w:rsidRPr="006F42E1">
        <w:rPr>
          <w:rFonts w:ascii="Times New Roman" w:hAnsi="Times New Roman" w:cs="Times New Roman"/>
          <w:sz w:val="24"/>
          <w:szCs w:val="24"/>
          <w:vertAlign w:val="subscript"/>
        </w:rPr>
        <w:t>p</w:t>
      </w:r>
      <w:r w:rsidRPr="006F42E1">
        <w:rPr>
          <w:rFonts w:ascii="Times New Roman" w:hAnsi="Times New Roman" w:cs="Times New Roman"/>
          <w:sz w:val="24"/>
          <w:szCs w:val="24"/>
        </w:rPr>
        <w:t>)</w:t>
      </w:r>
      <w:r w:rsidR="00CC2471" w:rsidRPr="006F42E1">
        <w:rPr>
          <w:rFonts w:ascii="Times New Roman" w:hAnsi="Times New Roman" w:cs="Times New Roman"/>
          <w:sz w:val="24"/>
          <w:szCs w:val="24"/>
        </w:rPr>
        <w:t xml:space="preserve"> </w:t>
      </w:r>
      <w:bookmarkEnd w:id="2"/>
      <w:r w:rsidR="00CC2471" w:rsidRPr="006F42E1">
        <w:rPr>
          <w:rFonts w:ascii="Times New Roman" w:hAnsi="Times New Roman" w:cs="Times New Roman"/>
          <w:sz w:val="24"/>
          <w:szCs w:val="24"/>
        </w:rPr>
        <w:t>e</w:t>
      </w:r>
      <w:r w:rsidRPr="006F42E1">
        <w:rPr>
          <w:rFonts w:ascii="Times New Roman" w:hAnsi="Times New Roman" w:cs="Times New Roman"/>
          <w:sz w:val="24"/>
          <w:szCs w:val="24"/>
        </w:rPr>
        <w:t xml:space="preserve"> </w:t>
      </w:r>
      <w:r w:rsidR="00E21054" w:rsidRPr="006F42E1">
        <w:rPr>
          <w:rFonts w:ascii="Times New Roman" w:hAnsi="Times New Roman" w:cs="Times New Roman"/>
          <w:sz w:val="24"/>
          <w:szCs w:val="24"/>
        </w:rPr>
        <w:t xml:space="preserve">a fração que </w:t>
      </w:r>
      <w:r w:rsidR="00C56910" w:rsidRPr="006F42E1">
        <w:rPr>
          <w:rFonts w:ascii="Times New Roman" w:hAnsi="Times New Roman" w:cs="Times New Roman"/>
          <w:sz w:val="24"/>
          <w:szCs w:val="24"/>
        </w:rPr>
        <w:t xml:space="preserve">o </w:t>
      </w:r>
      <w:r w:rsidR="00E21054" w:rsidRPr="006F42E1">
        <w:rPr>
          <w:rFonts w:ascii="Times New Roman" w:hAnsi="Times New Roman" w:cs="Times New Roman"/>
          <w:sz w:val="24"/>
          <w:szCs w:val="24"/>
        </w:rPr>
        <w:t xml:space="preserve">multiplica </w:t>
      </w:r>
      <w:r w:rsidRPr="006F42E1">
        <w:rPr>
          <w:rFonts w:ascii="Times New Roman" w:hAnsi="Times New Roman" w:cs="Times New Roman"/>
          <w:sz w:val="24"/>
          <w:szCs w:val="24"/>
        </w:rPr>
        <w:t xml:space="preserve">diz respeito </w:t>
      </w:r>
      <w:r w:rsidR="00C56910" w:rsidRPr="006F42E1">
        <w:rPr>
          <w:rFonts w:ascii="Times New Roman" w:hAnsi="Times New Roman" w:cs="Times New Roman"/>
          <w:sz w:val="24"/>
          <w:szCs w:val="24"/>
        </w:rPr>
        <w:t>ao</w:t>
      </w:r>
      <w:r w:rsidRPr="006F42E1">
        <w:rPr>
          <w:rFonts w:ascii="Times New Roman" w:hAnsi="Times New Roman" w:cs="Times New Roman"/>
          <w:sz w:val="24"/>
          <w:szCs w:val="24"/>
        </w:rPr>
        <w:t xml:space="preserve"> crescimento da área menor em relação a</w:t>
      </w:r>
      <w:r w:rsidR="00C56910" w:rsidRPr="006F42E1">
        <w:rPr>
          <w:rFonts w:ascii="Times New Roman" w:hAnsi="Times New Roman" w:cs="Times New Roman"/>
          <w:sz w:val="24"/>
          <w:szCs w:val="24"/>
        </w:rPr>
        <w:t>o da</w:t>
      </w:r>
      <w:r w:rsidRPr="006F42E1">
        <w:rPr>
          <w:rFonts w:ascii="Times New Roman" w:hAnsi="Times New Roman" w:cs="Times New Roman"/>
          <w:sz w:val="24"/>
          <w:szCs w:val="24"/>
        </w:rPr>
        <w:t xml:space="preserve"> área maior</w:t>
      </w:r>
      <w:r w:rsidR="00C56910" w:rsidRPr="006F42E1">
        <w:rPr>
          <w:rFonts w:ascii="Times New Roman" w:hAnsi="Times New Roman" w:cs="Times New Roman"/>
          <w:sz w:val="24"/>
          <w:szCs w:val="24"/>
        </w:rPr>
        <w:t xml:space="preserve"> entre os </w:t>
      </w:r>
      <w:r w:rsidR="00897C52" w:rsidRPr="006F42E1">
        <w:rPr>
          <w:rFonts w:ascii="Times New Roman" w:hAnsi="Times New Roman" w:cs="Times New Roman"/>
          <w:sz w:val="24"/>
          <w:szCs w:val="24"/>
        </w:rPr>
        <w:t xml:space="preserve">dois últimos </w:t>
      </w:r>
      <w:r w:rsidR="00C56910" w:rsidRPr="006F42E1">
        <w:rPr>
          <w:rFonts w:ascii="Times New Roman" w:hAnsi="Times New Roman" w:cs="Times New Roman"/>
          <w:sz w:val="24"/>
          <w:szCs w:val="24"/>
        </w:rPr>
        <w:t>Censo</w:t>
      </w:r>
      <w:r w:rsidR="00897C52" w:rsidRPr="006F42E1">
        <w:rPr>
          <w:rFonts w:ascii="Times New Roman" w:hAnsi="Times New Roman" w:cs="Times New Roman"/>
          <w:sz w:val="24"/>
          <w:szCs w:val="24"/>
        </w:rPr>
        <w:t>s (</w:t>
      </w:r>
      <w:r w:rsidR="00FD3293" w:rsidRPr="006F42E1">
        <w:rPr>
          <w:rFonts w:ascii="Times New Roman" w:hAnsi="Times New Roman" w:cs="Times New Roman"/>
          <w:sz w:val="24"/>
          <w:szCs w:val="24"/>
        </w:rPr>
        <w:t>1991</w:t>
      </w:r>
      <w:r w:rsidR="00897C52" w:rsidRPr="006F42E1">
        <w:rPr>
          <w:rFonts w:ascii="Times New Roman" w:hAnsi="Times New Roman" w:cs="Times New Roman"/>
          <w:sz w:val="24"/>
          <w:szCs w:val="24"/>
        </w:rPr>
        <w:t xml:space="preserve"> e 20</w:t>
      </w:r>
      <w:r w:rsidR="00FD3293" w:rsidRPr="006F42E1">
        <w:rPr>
          <w:rFonts w:ascii="Times New Roman" w:hAnsi="Times New Roman" w:cs="Times New Roman"/>
          <w:sz w:val="24"/>
          <w:szCs w:val="24"/>
        </w:rPr>
        <w:t>00</w:t>
      </w:r>
      <w:r w:rsidR="00897C52" w:rsidRPr="006F42E1">
        <w:rPr>
          <w:rFonts w:ascii="Times New Roman" w:hAnsi="Times New Roman" w:cs="Times New Roman"/>
          <w:sz w:val="24"/>
          <w:szCs w:val="24"/>
        </w:rPr>
        <w:t>)</w:t>
      </w:r>
      <w:r w:rsidRPr="006F42E1">
        <w:rPr>
          <w:rFonts w:ascii="Times New Roman" w:hAnsi="Times New Roman" w:cs="Times New Roman"/>
          <w:sz w:val="24"/>
          <w:szCs w:val="24"/>
        </w:rPr>
        <w:t xml:space="preserve">. </w:t>
      </w:r>
      <w:r w:rsidR="00E6265E" w:rsidRPr="006F42E1">
        <w:rPr>
          <w:rFonts w:ascii="Times New Roman" w:hAnsi="Times New Roman" w:cs="Times New Roman"/>
          <w:sz w:val="24"/>
          <w:szCs w:val="24"/>
        </w:rPr>
        <w:t>E p</w:t>
      </w:r>
      <w:r w:rsidR="67C595EE" w:rsidRPr="006F42E1">
        <w:rPr>
          <w:rFonts w:ascii="Times New Roman" w:hAnsi="Times New Roman" w:cs="Times New Roman"/>
          <w:sz w:val="24"/>
          <w:szCs w:val="24"/>
        </w:rPr>
        <w:t>ara o DPCM aplica</w:t>
      </w:r>
      <w:r w:rsidR="00897C52" w:rsidRPr="006F42E1">
        <w:rPr>
          <w:rFonts w:ascii="Times New Roman" w:hAnsi="Times New Roman" w:cs="Times New Roman"/>
          <w:sz w:val="24"/>
          <w:szCs w:val="24"/>
        </w:rPr>
        <w:t>-se</w:t>
      </w:r>
      <w:r w:rsidR="00E6265E" w:rsidRPr="006F42E1">
        <w:rPr>
          <w:rFonts w:ascii="Times New Roman" w:hAnsi="Times New Roman" w:cs="Times New Roman"/>
          <w:sz w:val="24"/>
          <w:szCs w:val="24"/>
        </w:rPr>
        <w:t xml:space="preserve">: </w:t>
      </w:r>
      <w:r w:rsidR="67C595EE" w:rsidRPr="006F42E1">
        <w:rPr>
          <w:rFonts w:ascii="Times New Roman" w:hAnsi="Times New Roman" w:cs="Times New Roman"/>
          <w:sz w:val="24"/>
          <w:szCs w:val="24"/>
        </w:rPr>
        <w:t xml:space="preserve"> </w:t>
      </w:r>
    </w:p>
    <w:p w14:paraId="4D981126" w14:textId="06A71B70" w:rsidR="67C595EE" w:rsidRPr="006F42E1" w:rsidRDefault="67C595EE" w:rsidP="67C595EE">
      <w:pPr>
        <w:spacing w:after="0" w:line="360" w:lineRule="auto"/>
        <w:jc w:val="both"/>
        <w:rPr>
          <w:rFonts w:ascii="Times New Roman" w:hAnsi="Times New Roman" w:cs="Times New Roman"/>
          <w:sz w:val="24"/>
          <w:szCs w:val="24"/>
        </w:rPr>
      </w:pPr>
    </w:p>
    <w:p w14:paraId="0E12AB63" w14:textId="4891FA35" w:rsidR="00E043F9" w:rsidRPr="006F42E1" w:rsidRDefault="00000000" w:rsidP="00E043F9">
      <w:pPr>
        <w:spacing w:after="0" w:line="360" w:lineRule="auto"/>
        <w:jc w:val="both"/>
        <w:rPr>
          <w:rFonts w:ascii="Times New Roman" w:hAnsi="Times New Roman" w:cs="Times New Roman"/>
          <w:sz w:val="18"/>
          <w:szCs w:val="18"/>
        </w:rPr>
      </w:pPr>
      <m:oMathPara>
        <m:oMathParaPr>
          <m:jc m:val="right"/>
        </m:oMathParaPr>
        <m:oMath>
          <m:sSub>
            <m:sSubPr>
              <m:ctrlPr>
                <w:rPr>
                  <w:rFonts w:ascii="Cambria Math" w:hAnsi="Cambria Math" w:cs="Times New Roman"/>
                  <w:i/>
                  <w:sz w:val="18"/>
                  <w:szCs w:val="18"/>
                </w:rPr>
              </m:ctrlPr>
            </m:sSubPr>
            <m:e>
              <m:r>
                <w:rPr>
                  <w:rFonts w:ascii="Cambria Math" w:hAnsi="Cambria Math" w:cs="Times New Roman"/>
                  <w:sz w:val="18"/>
                  <w:szCs w:val="18"/>
                </w:rPr>
                <m:t>P</m:t>
              </m:r>
            </m:e>
            <m:sub>
              <m:r>
                <w:rPr>
                  <w:rFonts w:ascii="Cambria Math" w:hAnsi="Cambria Math" w:cs="Times New Roman"/>
                  <w:sz w:val="18"/>
                  <w:szCs w:val="18"/>
                </w:rPr>
                <m:t>i</m:t>
              </m:r>
            </m:sub>
          </m:sSub>
          <m:d>
            <m:dPr>
              <m:ctrlPr>
                <w:rPr>
                  <w:rFonts w:ascii="Cambria Math" w:hAnsi="Cambria Math" w:cs="Times New Roman"/>
                  <w:i/>
                  <w:sz w:val="18"/>
                  <w:szCs w:val="18"/>
                </w:rPr>
              </m:ctrlPr>
            </m:dPr>
            <m:e>
              <m:sSub>
                <m:sSubPr>
                  <m:ctrlPr>
                    <w:rPr>
                      <w:rFonts w:ascii="Cambria Math" w:hAnsi="Cambria Math" w:cs="Times New Roman"/>
                      <w:i/>
                      <w:sz w:val="18"/>
                      <w:szCs w:val="18"/>
                    </w:rPr>
                  </m:ctrlPr>
                </m:sSubPr>
                <m:e>
                  <m:r>
                    <w:rPr>
                      <w:rFonts w:ascii="Cambria Math" w:hAnsi="Cambria Math" w:cs="Times New Roman"/>
                      <w:sz w:val="18"/>
                      <w:szCs w:val="18"/>
                    </w:rPr>
                    <m:t>t</m:t>
                  </m:r>
                </m:e>
                <m:sub>
                  <m:r>
                    <w:rPr>
                      <w:rFonts w:ascii="Cambria Math" w:hAnsi="Cambria Math" w:cs="Times New Roman"/>
                      <w:sz w:val="18"/>
                      <w:szCs w:val="18"/>
                    </w:rPr>
                    <m:t>p</m:t>
                  </m:r>
                </m:sub>
              </m:sSub>
            </m:e>
          </m:d>
          <m:r>
            <w:rPr>
              <w:rFonts w:ascii="Cambria Math" w:hAnsi="Cambria Math" w:cs="Times New Roman"/>
              <w:sz w:val="18"/>
              <w:szCs w:val="18"/>
            </w:rPr>
            <m:t xml:space="preserve">= </m:t>
          </m:r>
          <m:sSub>
            <m:sSubPr>
              <m:ctrlPr>
                <w:rPr>
                  <w:rFonts w:ascii="Cambria Math" w:hAnsi="Cambria Math" w:cs="Times New Roman"/>
                  <w:i/>
                  <w:sz w:val="18"/>
                  <w:szCs w:val="18"/>
                </w:rPr>
              </m:ctrlPr>
            </m:sSubPr>
            <m:e>
              <m:r>
                <w:rPr>
                  <w:rFonts w:ascii="Cambria Math" w:hAnsi="Cambria Math" w:cs="Times New Roman"/>
                  <w:sz w:val="18"/>
                  <w:szCs w:val="18"/>
                </w:rPr>
                <m:t>P</m:t>
              </m:r>
            </m:e>
            <m:sub>
              <m:r>
                <w:rPr>
                  <w:rFonts w:ascii="Cambria Math" w:hAnsi="Cambria Math" w:cs="Times New Roman"/>
                  <w:sz w:val="18"/>
                  <w:szCs w:val="18"/>
                </w:rPr>
                <m:t>i</m:t>
              </m:r>
            </m:sub>
          </m:sSub>
          <m:d>
            <m:dPr>
              <m:ctrlPr>
                <w:rPr>
                  <w:rFonts w:ascii="Cambria Math" w:hAnsi="Cambria Math" w:cs="Times New Roman"/>
                  <w:i/>
                  <w:sz w:val="18"/>
                  <w:szCs w:val="18"/>
                </w:rPr>
              </m:ctrlPr>
            </m:dPr>
            <m:e>
              <m:r>
                <w:rPr>
                  <w:rFonts w:ascii="Cambria Math" w:hAnsi="Cambria Math" w:cs="Times New Roman"/>
                  <w:sz w:val="18"/>
                  <w:szCs w:val="18"/>
                </w:rPr>
                <m:t>t+∆t</m:t>
              </m:r>
            </m:e>
          </m:d>
          <m:r>
            <w:rPr>
              <w:rFonts w:ascii="Cambria Math" w:hAnsi="Cambria Math" w:cs="Times New Roman"/>
              <w:sz w:val="18"/>
              <w:szCs w:val="18"/>
            </w:rPr>
            <m:t>+</m:t>
          </m:r>
          <m:d>
            <m:dPr>
              <m:ctrlPr>
                <w:rPr>
                  <w:rFonts w:ascii="Cambria Math" w:hAnsi="Cambria Math" w:cs="Times New Roman"/>
                  <w:i/>
                  <w:sz w:val="18"/>
                  <w:szCs w:val="18"/>
                </w:rPr>
              </m:ctrlPr>
            </m:dPr>
            <m:e>
              <m:sSub>
                <m:sSubPr>
                  <m:ctrlPr>
                    <w:rPr>
                      <w:rFonts w:ascii="Cambria Math" w:hAnsi="Cambria Math" w:cs="Times New Roman"/>
                      <w:i/>
                      <w:sz w:val="18"/>
                      <w:szCs w:val="18"/>
                    </w:rPr>
                  </m:ctrlPr>
                </m:sSubPr>
                <m:e>
                  <m:r>
                    <w:rPr>
                      <w:rFonts w:ascii="Cambria Math" w:hAnsi="Cambria Math" w:cs="Times New Roman"/>
                      <w:sz w:val="18"/>
                      <w:szCs w:val="18"/>
                    </w:rPr>
                    <m:t>P</m:t>
                  </m:r>
                </m:e>
                <m:sub>
                  <m:r>
                    <w:rPr>
                      <w:rFonts w:ascii="Cambria Math" w:hAnsi="Cambria Math" w:cs="Times New Roman"/>
                      <w:sz w:val="18"/>
                      <w:szCs w:val="18"/>
                    </w:rPr>
                    <m:t>i</m:t>
                  </m:r>
                </m:sub>
              </m:sSub>
              <m:d>
                <m:dPr>
                  <m:ctrlPr>
                    <w:rPr>
                      <w:rFonts w:ascii="Cambria Math" w:hAnsi="Cambria Math" w:cs="Times New Roman"/>
                      <w:i/>
                      <w:sz w:val="18"/>
                      <w:szCs w:val="18"/>
                    </w:rPr>
                  </m:ctrlPr>
                </m:dPr>
                <m:e>
                  <m:r>
                    <w:rPr>
                      <w:rFonts w:ascii="Cambria Math" w:hAnsi="Cambria Math" w:cs="Times New Roman"/>
                      <w:sz w:val="18"/>
                      <w:szCs w:val="18"/>
                    </w:rPr>
                    <m:t>t+∆t</m:t>
                  </m:r>
                </m:e>
              </m:d>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P</m:t>
                  </m:r>
                </m:e>
                <m:sub>
                  <m:r>
                    <w:rPr>
                      <w:rFonts w:ascii="Cambria Math" w:hAnsi="Cambria Math" w:cs="Times New Roman"/>
                      <w:sz w:val="18"/>
                      <w:szCs w:val="18"/>
                    </w:rPr>
                    <m:t>i</m:t>
                  </m:r>
                </m:sub>
              </m:sSub>
              <m:r>
                <w:rPr>
                  <w:rFonts w:ascii="Cambria Math" w:hAnsi="Cambria Math" w:cs="Times New Roman"/>
                  <w:sz w:val="18"/>
                  <w:szCs w:val="18"/>
                </w:rPr>
                <m:t>(t)</m:t>
              </m:r>
            </m:e>
          </m:d>
          <m:r>
            <w:rPr>
              <w:rFonts w:ascii="Cambria Math" w:hAnsi="Cambria Math" w:cs="Times New Roman"/>
              <w:sz w:val="18"/>
              <w:szCs w:val="18"/>
            </w:rPr>
            <m:t>+</m:t>
          </m:r>
          <m:f>
            <m:fPr>
              <m:ctrlPr>
                <w:rPr>
                  <w:rFonts w:ascii="Cambria Math" w:hAnsi="Cambria Math" w:cs="Times New Roman"/>
                  <w:i/>
                  <w:sz w:val="18"/>
                  <w:szCs w:val="18"/>
                </w:rPr>
              </m:ctrlPr>
            </m:fPr>
            <m:num>
              <m:sSub>
                <m:sSubPr>
                  <m:ctrlPr>
                    <w:rPr>
                      <w:rFonts w:ascii="Cambria Math" w:hAnsi="Cambria Math" w:cs="Times New Roman"/>
                      <w:i/>
                      <w:sz w:val="18"/>
                      <w:szCs w:val="18"/>
                    </w:rPr>
                  </m:ctrlPr>
                </m:sSubPr>
                <m:e>
                  <m:r>
                    <w:rPr>
                      <w:rFonts w:ascii="Cambria Math" w:hAnsi="Cambria Math" w:cs="Times New Roman"/>
                      <w:sz w:val="18"/>
                      <w:szCs w:val="18"/>
                    </w:rPr>
                    <m:t>P</m:t>
                  </m:r>
                </m:e>
                <m:sub>
                  <m:r>
                    <w:rPr>
                      <w:rFonts w:ascii="Cambria Math" w:hAnsi="Cambria Math" w:cs="Times New Roman"/>
                      <w:sz w:val="18"/>
                      <w:szCs w:val="18"/>
                    </w:rPr>
                    <m:t>i</m:t>
                  </m:r>
                </m:sub>
              </m:sSub>
              <m:d>
                <m:dPr>
                  <m:ctrlPr>
                    <w:rPr>
                      <w:rFonts w:ascii="Cambria Math" w:hAnsi="Cambria Math" w:cs="Times New Roman"/>
                      <w:i/>
                      <w:sz w:val="18"/>
                      <w:szCs w:val="18"/>
                    </w:rPr>
                  </m:ctrlPr>
                </m:dPr>
                <m:e>
                  <m:r>
                    <w:rPr>
                      <w:rFonts w:ascii="Cambria Math" w:hAnsi="Cambria Math" w:cs="Times New Roman"/>
                      <w:sz w:val="18"/>
                      <w:szCs w:val="18"/>
                    </w:rPr>
                    <m:t>t+∆t</m:t>
                  </m:r>
                </m:e>
              </m:d>
            </m:num>
            <m:den>
              <m:r>
                <w:rPr>
                  <w:rFonts w:ascii="Cambria Math" w:hAnsi="Cambria Math" w:cs="Times New Roman"/>
                  <w:sz w:val="18"/>
                  <w:szCs w:val="18"/>
                </w:rPr>
                <m:t>P</m:t>
              </m:r>
              <m:d>
                <m:dPr>
                  <m:ctrlPr>
                    <w:rPr>
                      <w:rFonts w:ascii="Cambria Math" w:hAnsi="Cambria Math" w:cs="Times New Roman"/>
                      <w:i/>
                      <w:sz w:val="18"/>
                      <w:szCs w:val="18"/>
                    </w:rPr>
                  </m:ctrlPr>
                </m:dPr>
                <m:e>
                  <m:r>
                    <w:rPr>
                      <w:rFonts w:ascii="Cambria Math" w:hAnsi="Cambria Math" w:cs="Times New Roman"/>
                      <w:sz w:val="18"/>
                      <w:szCs w:val="18"/>
                    </w:rPr>
                    <m:t>t+∆t</m:t>
                  </m:r>
                </m:e>
              </m:d>
            </m:den>
          </m:f>
          <m:r>
            <w:rPr>
              <w:rFonts w:ascii="Cambria Math" w:hAnsi="Cambria Math" w:cs="Times New Roman"/>
              <w:sz w:val="18"/>
              <w:szCs w:val="18"/>
            </w:rPr>
            <m:t xml:space="preserve"> </m:t>
          </m:r>
          <m:d>
            <m:dPr>
              <m:ctrlPr>
                <w:rPr>
                  <w:rFonts w:ascii="Cambria Math" w:hAnsi="Cambria Math" w:cs="Times New Roman"/>
                  <w:i/>
                  <w:sz w:val="18"/>
                  <w:szCs w:val="18"/>
                </w:rPr>
              </m:ctrlPr>
            </m:dPr>
            <m:e>
              <m:d>
                <m:dPr>
                  <m:ctrlPr>
                    <w:rPr>
                      <w:rFonts w:ascii="Cambria Math" w:hAnsi="Cambria Math" w:cs="Times New Roman"/>
                      <w:i/>
                      <w:sz w:val="18"/>
                      <w:szCs w:val="18"/>
                    </w:rPr>
                  </m:ctrlPr>
                </m:dPr>
                <m:e>
                  <m:r>
                    <w:rPr>
                      <w:rFonts w:ascii="Cambria Math" w:hAnsi="Cambria Math" w:cs="Times New Roman"/>
                      <w:sz w:val="18"/>
                      <w:szCs w:val="18"/>
                    </w:rPr>
                    <m:t>P</m:t>
                  </m:r>
                  <m:d>
                    <m:dPr>
                      <m:ctrlPr>
                        <w:rPr>
                          <w:rFonts w:ascii="Cambria Math" w:hAnsi="Cambria Math" w:cs="Times New Roman"/>
                          <w:i/>
                          <w:sz w:val="18"/>
                          <w:szCs w:val="18"/>
                        </w:rPr>
                      </m:ctrlPr>
                    </m:dPr>
                    <m:e>
                      <m:sSub>
                        <m:sSubPr>
                          <m:ctrlPr>
                            <w:rPr>
                              <w:rFonts w:ascii="Cambria Math" w:hAnsi="Cambria Math" w:cs="Times New Roman"/>
                              <w:i/>
                              <w:sz w:val="18"/>
                              <w:szCs w:val="18"/>
                            </w:rPr>
                          </m:ctrlPr>
                        </m:sSubPr>
                        <m:e>
                          <m:r>
                            <w:rPr>
                              <w:rFonts w:ascii="Cambria Math" w:hAnsi="Cambria Math" w:cs="Times New Roman"/>
                              <w:sz w:val="18"/>
                              <w:szCs w:val="18"/>
                            </w:rPr>
                            <m:t>t</m:t>
                          </m:r>
                        </m:e>
                        <m:sub>
                          <m:r>
                            <w:rPr>
                              <w:rFonts w:ascii="Cambria Math" w:hAnsi="Cambria Math" w:cs="Times New Roman"/>
                              <w:sz w:val="18"/>
                              <w:szCs w:val="18"/>
                            </w:rPr>
                            <m:t>p</m:t>
                          </m:r>
                        </m:sub>
                      </m:sSub>
                    </m:e>
                  </m:d>
                  <m:r>
                    <w:rPr>
                      <w:rFonts w:ascii="Cambria Math" w:hAnsi="Cambria Math" w:cs="Times New Roman"/>
                      <w:sz w:val="18"/>
                      <w:szCs w:val="18"/>
                    </w:rPr>
                    <m:t>-P(t+∆t)</m:t>
                  </m:r>
                </m:e>
              </m:d>
              <m:r>
                <w:rPr>
                  <w:rFonts w:ascii="Cambria Math" w:hAnsi="Cambria Math" w:cs="Times New Roman"/>
                  <w:sz w:val="18"/>
                  <w:szCs w:val="18"/>
                </w:rPr>
                <m:t>-</m:t>
              </m:r>
              <m:d>
                <m:dPr>
                  <m:ctrlPr>
                    <w:rPr>
                      <w:rFonts w:ascii="Cambria Math" w:hAnsi="Cambria Math" w:cs="Times New Roman"/>
                      <w:i/>
                      <w:sz w:val="18"/>
                      <w:szCs w:val="18"/>
                    </w:rPr>
                  </m:ctrlPr>
                </m:dPr>
                <m:e>
                  <m:r>
                    <w:rPr>
                      <w:rFonts w:ascii="Cambria Math" w:hAnsi="Cambria Math" w:cs="Times New Roman"/>
                      <w:sz w:val="18"/>
                      <w:szCs w:val="18"/>
                    </w:rPr>
                    <m:t>P</m:t>
                  </m:r>
                  <m:d>
                    <m:dPr>
                      <m:ctrlPr>
                        <w:rPr>
                          <w:rFonts w:ascii="Cambria Math" w:hAnsi="Cambria Math" w:cs="Times New Roman"/>
                          <w:i/>
                          <w:sz w:val="18"/>
                          <w:szCs w:val="18"/>
                        </w:rPr>
                      </m:ctrlPr>
                    </m:dPr>
                    <m:e>
                      <m:r>
                        <w:rPr>
                          <w:rFonts w:ascii="Cambria Math" w:hAnsi="Cambria Math" w:cs="Times New Roman"/>
                          <w:sz w:val="18"/>
                          <w:szCs w:val="18"/>
                        </w:rPr>
                        <m:t>t+∆t</m:t>
                      </m:r>
                    </m:e>
                  </m:d>
                  <m:r>
                    <w:rPr>
                      <w:rFonts w:ascii="Cambria Math" w:hAnsi="Cambria Math" w:cs="Times New Roman"/>
                      <w:sz w:val="18"/>
                      <w:szCs w:val="18"/>
                    </w:rPr>
                    <m:t>-P</m:t>
                  </m:r>
                  <m:d>
                    <m:dPr>
                      <m:ctrlPr>
                        <w:rPr>
                          <w:rFonts w:ascii="Cambria Math" w:hAnsi="Cambria Math" w:cs="Times New Roman"/>
                          <w:i/>
                          <w:sz w:val="18"/>
                          <w:szCs w:val="18"/>
                        </w:rPr>
                      </m:ctrlPr>
                    </m:dPr>
                    <m:e>
                      <m:r>
                        <w:rPr>
                          <w:rFonts w:ascii="Cambria Math" w:hAnsi="Cambria Math" w:cs="Times New Roman"/>
                          <w:sz w:val="18"/>
                          <w:szCs w:val="18"/>
                        </w:rPr>
                        <m:t>t</m:t>
                      </m:r>
                    </m:e>
                  </m:d>
                </m:e>
              </m:d>
            </m:e>
          </m:d>
          <m:r>
            <w:rPr>
              <w:rFonts w:ascii="Cambria Math" w:hAnsi="Cambria Math" w:cs="Times New Roman"/>
              <w:sz w:val="18"/>
              <w:szCs w:val="18"/>
            </w:rPr>
            <m:t xml:space="preserve">          (2)</m:t>
          </m:r>
        </m:oMath>
      </m:oMathPara>
    </w:p>
    <w:p w14:paraId="542FA03F" w14:textId="77777777" w:rsidR="00E6265E" w:rsidRPr="006F42E1" w:rsidRDefault="00E6265E" w:rsidP="67C595EE">
      <w:pPr>
        <w:spacing w:after="0" w:line="360" w:lineRule="auto"/>
        <w:jc w:val="both"/>
        <w:rPr>
          <w:rFonts w:ascii="Times New Roman" w:hAnsi="Times New Roman" w:cs="Times New Roman"/>
          <w:sz w:val="24"/>
          <w:szCs w:val="24"/>
        </w:rPr>
      </w:pPr>
    </w:p>
    <w:p w14:paraId="7D45B866" w14:textId="74400C41" w:rsidR="00E043F9" w:rsidRPr="006F42E1" w:rsidRDefault="0001503B" w:rsidP="67C595EE">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Onde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t+∆t</m:t>
            </m:r>
          </m:e>
        </m:d>
      </m:oMath>
      <w:r w:rsidRPr="006F42E1">
        <w:rPr>
          <w:rFonts w:ascii="Times New Roman" w:hAnsi="Times New Roman" w:cs="Times New Roman"/>
          <w:sz w:val="24"/>
          <w:szCs w:val="24"/>
        </w:rPr>
        <w:t xml:space="preserve"> é a população de cada pequena área i no último Censo</w:t>
      </w:r>
      <w:r w:rsidR="00914F1E" w:rsidRPr="006F42E1">
        <w:rPr>
          <w:rFonts w:ascii="Times New Roman" w:hAnsi="Times New Roman" w:cs="Times New Roman"/>
          <w:sz w:val="24"/>
          <w:szCs w:val="24"/>
        </w:rPr>
        <w:t>,</w:t>
      </w:r>
      <w:r w:rsidR="001A65EC" w:rsidRPr="006F42E1">
        <w:rPr>
          <w:rFonts w:ascii="Times New Roman" w:hAnsi="Times New Roman" w:cs="Times New Roman"/>
          <w:sz w:val="24"/>
          <w:szCs w:val="24"/>
        </w:rPr>
        <w:t xml:space="preserve"> a diferença</w:t>
      </w:r>
      <w:r w:rsidR="00217C9B" w:rsidRPr="006F42E1">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t+∆t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t</m:t>
            </m:r>
          </m:e>
        </m:d>
      </m:oMath>
      <w:r w:rsidR="001A65EC" w:rsidRPr="006F42E1">
        <w:rPr>
          <w:rFonts w:ascii="Times New Roman" w:eastAsiaTheme="minorEastAsia" w:hAnsi="Times New Roman" w:cs="Times New Roman"/>
          <w:sz w:val="24"/>
          <w:szCs w:val="24"/>
        </w:rPr>
        <w:t xml:space="preserve"> </w:t>
      </w:r>
      <w:r w:rsidR="001A65EC" w:rsidRPr="006F42E1">
        <w:rPr>
          <w:rFonts w:ascii="Times New Roman" w:hAnsi="Times New Roman" w:cs="Times New Roman"/>
          <w:sz w:val="24"/>
          <w:szCs w:val="24"/>
        </w:rPr>
        <w:t xml:space="preserve">representa </w:t>
      </w:r>
      <w:r w:rsidR="00BA3C80" w:rsidRPr="006F42E1">
        <w:rPr>
          <w:rFonts w:ascii="Times New Roman" w:hAnsi="Times New Roman" w:cs="Times New Roman"/>
          <w:sz w:val="24"/>
          <w:szCs w:val="24"/>
        </w:rPr>
        <w:t>seu</w:t>
      </w:r>
      <w:r w:rsidR="001A65EC" w:rsidRPr="006F42E1">
        <w:rPr>
          <w:rFonts w:ascii="Times New Roman" w:hAnsi="Times New Roman" w:cs="Times New Roman"/>
          <w:sz w:val="24"/>
          <w:szCs w:val="24"/>
        </w:rPr>
        <w:t xml:space="preserve"> crescimento entre </w:t>
      </w:r>
      <w:r w:rsidR="00133366" w:rsidRPr="006F42E1">
        <w:rPr>
          <w:rFonts w:ascii="Times New Roman" w:hAnsi="Times New Roman" w:cs="Times New Roman"/>
          <w:sz w:val="24"/>
          <w:szCs w:val="24"/>
        </w:rPr>
        <w:t>1991</w:t>
      </w:r>
      <w:r w:rsidR="001A65EC" w:rsidRPr="006F42E1">
        <w:rPr>
          <w:rFonts w:ascii="Times New Roman" w:hAnsi="Times New Roman" w:cs="Times New Roman"/>
          <w:sz w:val="24"/>
          <w:szCs w:val="24"/>
        </w:rPr>
        <w:t xml:space="preserve"> e </w:t>
      </w:r>
      <w:r w:rsidR="00BA3C80" w:rsidRPr="006F42E1">
        <w:rPr>
          <w:rFonts w:ascii="Times New Roman" w:hAnsi="Times New Roman" w:cs="Times New Roman"/>
          <w:sz w:val="24"/>
          <w:szCs w:val="24"/>
        </w:rPr>
        <w:t>20</w:t>
      </w:r>
      <w:r w:rsidR="00133366" w:rsidRPr="006F42E1">
        <w:rPr>
          <w:rFonts w:ascii="Times New Roman" w:hAnsi="Times New Roman" w:cs="Times New Roman"/>
          <w:sz w:val="24"/>
          <w:szCs w:val="24"/>
        </w:rPr>
        <w:t>00</w:t>
      </w:r>
      <w:r w:rsidR="00BA3C80" w:rsidRPr="006F42E1">
        <w:rPr>
          <w:rFonts w:ascii="Times New Roman" w:hAnsi="Times New Roman" w:cs="Times New Roman"/>
          <w:sz w:val="24"/>
          <w:szCs w:val="24"/>
        </w:rPr>
        <w:t xml:space="preserve">, </w:t>
      </w:r>
      <w:r w:rsidR="00914F1E" w:rsidRPr="006F42E1">
        <w:rPr>
          <w:rFonts w:ascii="Times New Roman" w:hAnsi="Times New Roman" w:cs="Times New Roman"/>
          <w:sz w:val="24"/>
          <w:szCs w:val="24"/>
        </w:rPr>
        <w:t xml:space="preserve">e </w:t>
      </w:r>
      <w:r w:rsidR="00217C9B" w:rsidRPr="006F42E1">
        <w:rPr>
          <w:rFonts w:ascii="Times New Roman" w:hAnsi="Times New Roman" w:cs="Times New Roman"/>
          <w:sz w:val="24"/>
          <w:szCs w:val="24"/>
        </w:rPr>
        <w:t>a proporção</w:t>
      </w:r>
      <w:r w:rsidR="007A54E9" w:rsidRPr="006F42E1">
        <w:rPr>
          <w:rFonts w:ascii="Times New Roman" w:hAnsi="Times New Roman" w:cs="Times New Roman"/>
          <w:sz w:val="24"/>
          <w:szCs w:val="24"/>
        </w:rPr>
        <w:t xml:space="preserve"> populacional de cada pequena área em relação </w:t>
      </w:r>
      <w:r w:rsidR="00914F1E" w:rsidRPr="006F42E1">
        <w:rPr>
          <w:rFonts w:ascii="Times New Roman" w:hAnsi="Times New Roman" w:cs="Times New Roman"/>
          <w:sz w:val="24"/>
          <w:szCs w:val="24"/>
        </w:rPr>
        <w:t>à</w:t>
      </w:r>
      <w:r w:rsidR="007A54E9" w:rsidRPr="006F42E1">
        <w:rPr>
          <w:rFonts w:ascii="Times New Roman" w:hAnsi="Times New Roman" w:cs="Times New Roman"/>
          <w:sz w:val="24"/>
          <w:szCs w:val="24"/>
        </w:rPr>
        <w:t xml:space="preserve"> maior </w:t>
      </w:r>
      <w:r w:rsidR="009A5D56" w:rsidRPr="006F42E1">
        <w:rPr>
          <w:rFonts w:ascii="Times New Roman" w:hAnsi="Times New Roman" w:cs="Times New Roman"/>
          <w:sz w:val="24"/>
          <w:szCs w:val="24"/>
        </w:rPr>
        <w:t xml:space="preserve">é aplicada </w:t>
      </w:r>
      <w:r w:rsidR="00914F1E" w:rsidRPr="006F42E1">
        <w:rPr>
          <w:rFonts w:ascii="Times New Roman" w:hAnsi="Times New Roman" w:cs="Times New Roman"/>
          <w:sz w:val="24"/>
          <w:szCs w:val="24"/>
        </w:rPr>
        <w:t>na</w:t>
      </w:r>
      <w:r w:rsidR="009A5D56" w:rsidRPr="006F42E1">
        <w:rPr>
          <w:rFonts w:ascii="Times New Roman" w:hAnsi="Times New Roman" w:cs="Times New Roman"/>
          <w:sz w:val="24"/>
          <w:szCs w:val="24"/>
        </w:rPr>
        <w:t xml:space="preserve"> mudança de crescimento</w:t>
      </w:r>
      <w:r w:rsidR="00DD76AC" w:rsidRPr="006F42E1">
        <w:rPr>
          <w:rFonts w:ascii="Times New Roman" w:hAnsi="Times New Roman" w:cs="Times New Roman"/>
          <w:sz w:val="24"/>
          <w:szCs w:val="24"/>
        </w:rPr>
        <w:t xml:space="preserve">, isto é, na diferença entre os crescimentos </w:t>
      </w:r>
      <w:r w:rsidR="00D93A4A" w:rsidRPr="006F42E1">
        <w:rPr>
          <w:rFonts w:ascii="Times New Roman" w:hAnsi="Times New Roman" w:cs="Times New Roman"/>
          <w:sz w:val="24"/>
          <w:szCs w:val="24"/>
        </w:rPr>
        <w:t>de 20</w:t>
      </w:r>
      <w:r w:rsidR="00133366" w:rsidRPr="006F42E1">
        <w:rPr>
          <w:rFonts w:ascii="Times New Roman" w:hAnsi="Times New Roman" w:cs="Times New Roman"/>
          <w:sz w:val="24"/>
          <w:szCs w:val="24"/>
        </w:rPr>
        <w:t>0</w:t>
      </w:r>
      <w:r w:rsidR="00D93A4A" w:rsidRPr="006F42E1">
        <w:rPr>
          <w:rFonts w:ascii="Times New Roman" w:hAnsi="Times New Roman" w:cs="Times New Roman"/>
          <w:sz w:val="24"/>
          <w:szCs w:val="24"/>
        </w:rPr>
        <w:t>0</w:t>
      </w:r>
      <w:r w:rsidR="00CA62E6" w:rsidRPr="006F42E1">
        <w:rPr>
          <w:rFonts w:ascii="Times New Roman" w:hAnsi="Times New Roman" w:cs="Times New Roman"/>
          <w:sz w:val="24"/>
          <w:szCs w:val="24"/>
        </w:rPr>
        <w:t xml:space="preserve"> (t+</w:t>
      </w:r>
      <w:r w:rsidR="00CA62E6" w:rsidRPr="006F42E1">
        <w:rPr>
          <w:rFonts w:ascii="Bookman Old Style" w:hAnsi="Bookman Old Style" w:cs="Times New Roman"/>
          <w:sz w:val="24"/>
          <w:szCs w:val="24"/>
        </w:rPr>
        <w:t>Δ</w:t>
      </w:r>
      <w:r w:rsidR="00CA62E6" w:rsidRPr="006F42E1">
        <w:rPr>
          <w:rFonts w:ascii="Times New Roman" w:hAnsi="Times New Roman" w:cs="Times New Roman"/>
          <w:sz w:val="24"/>
          <w:szCs w:val="24"/>
        </w:rPr>
        <w:t>t)</w:t>
      </w:r>
      <w:r w:rsidR="00D93A4A" w:rsidRPr="006F42E1">
        <w:rPr>
          <w:rFonts w:ascii="Times New Roman" w:hAnsi="Times New Roman" w:cs="Times New Roman"/>
          <w:sz w:val="24"/>
          <w:szCs w:val="24"/>
        </w:rPr>
        <w:t xml:space="preserve"> até a projeção</w:t>
      </w:r>
      <w:r w:rsidR="00CA62E6" w:rsidRPr="006F42E1">
        <w:rPr>
          <w:rFonts w:ascii="Times New Roman" w:hAnsi="Times New Roman" w:cs="Times New Roman"/>
          <w:sz w:val="24"/>
          <w:szCs w:val="24"/>
        </w:rPr>
        <w:t xml:space="preserve"> (t</w:t>
      </w:r>
      <w:r w:rsidR="00CA62E6" w:rsidRPr="006F42E1">
        <w:rPr>
          <w:rFonts w:ascii="Times New Roman" w:hAnsi="Times New Roman" w:cs="Times New Roman"/>
          <w:sz w:val="24"/>
          <w:szCs w:val="24"/>
          <w:vertAlign w:val="subscript"/>
        </w:rPr>
        <w:t>p</w:t>
      </w:r>
      <w:r w:rsidR="00CA62E6" w:rsidRPr="006F42E1">
        <w:rPr>
          <w:rFonts w:ascii="Times New Roman" w:hAnsi="Times New Roman" w:cs="Times New Roman"/>
          <w:sz w:val="24"/>
          <w:szCs w:val="24"/>
        </w:rPr>
        <w:t>)</w:t>
      </w:r>
      <w:r w:rsidR="00BA626F" w:rsidRPr="006F42E1">
        <w:rPr>
          <w:rFonts w:ascii="Times New Roman" w:hAnsi="Times New Roman" w:cs="Times New Roman"/>
          <w:sz w:val="24"/>
          <w:szCs w:val="24"/>
        </w:rPr>
        <w:t xml:space="preserve">, que é </w:t>
      </w:r>
      <w:r w:rsidR="004426F7" w:rsidRPr="006F42E1">
        <w:rPr>
          <w:rFonts w:ascii="Times New Roman" w:hAnsi="Times New Roman" w:cs="Times New Roman"/>
          <w:sz w:val="24"/>
          <w:szCs w:val="24"/>
        </w:rPr>
        <w:t>2010,</w:t>
      </w:r>
      <w:r w:rsidR="00D93A4A" w:rsidRPr="006F42E1">
        <w:rPr>
          <w:rFonts w:ascii="Times New Roman" w:hAnsi="Times New Roman" w:cs="Times New Roman"/>
          <w:sz w:val="24"/>
          <w:szCs w:val="24"/>
        </w:rPr>
        <w:t xml:space="preserve"> e de </w:t>
      </w:r>
      <w:r w:rsidR="00664955" w:rsidRPr="006F42E1">
        <w:rPr>
          <w:rFonts w:ascii="Times New Roman" w:hAnsi="Times New Roman" w:cs="Times New Roman"/>
          <w:sz w:val="24"/>
          <w:szCs w:val="24"/>
        </w:rPr>
        <w:t>1991</w:t>
      </w:r>
      <w:r w:rsidR="00CA62E6" w:rsidRPr="006F42E1">
        <w:rPr>
          <w:rFonts w:ascii="Times New Roman" w:hAnsi="Times New Roman" w:cs="Times New Roman"/>
          <w:sz w:val="24"/>
          <w:szCs w:val="24"/>
        </w:rPr>
        <w:t xml:space="preserve"> (t) até 20</w:t>
      </w:r>
      <w:r w:rsidR="00664955" w:rsidRPr="006F42E1">
        <w:rPr>
          <w:rFonts w:ascii="Times New Roman" w:hAnsi="Times New Roman" w:cs="Times New Roman"/>
          <w:sz w:val="24"/>
          <w:szCs w:val="24"/>
        </w:rPr>
        <w:t>0</w:t>
      </w:r>
      <w:r w:rsidR="00CA62E6" w:rsidRPr="006F42E1">
        <w:rPr>
          <w:rFonts w:ascii="Times New Roman" w:hAnsi="Times New Roman" w:cs="Times New Roman"/>
          <w:sz w:val="24"/>
          <w:szCs w:val="24"/>
        </w:rPr>
        <w:t xml:space="preserve">0. </w:t>
      </w:r>
    </w:p>
    <w:p w14:paraId="4451F187" w14:textId="23B43A03" w:rsidR="008C70AF" w:rsidRPr="006F42E1" w:rsidRDefault="517C960D" w:rsidP="0CE28008">
      <w:pPr>
        <w:spacing w:after="0" w:line="360" w:lineRule="auto"/>
        <w:ind w:firstLine="708"/>
        <w:jc w:val="both"/>
        <w:rPr>
          <w:rFonts w:ascii="Times New Roman" w:hAnsi="Times New Roman" w:cs="Times New Roman"/>
          <w:sz w:val="24"/>
          <w:szCs w:val="24"/>
        </w:rPr>
      </w:pPr>
      <w:r w:rsidRPr="006F42E1">
        <w:rPr>
          <w:rFonts w:ascii="Times New Roman" w:hAnsi="Times New Roman" w:cs="Times New Roman"/>
          <w:sz w:val="24"/>
          <w:szCs w:val="24"/>
        </w:rPr>
        <w:t xml:space="preserve">Ambos têm como vantagem a consistência, a cada período, entre a soma das populações menores e a projeção que se tem para a área maior. Por outro lado, não são ideais para projeções em longo prazo e os resultados obtidos pelo DCC podem não ser satisfatórios quando se tem mudanças bruscas na população da área maior ou quando as populações menores não variam em um mesmo sentido entre os últimos Censos. Embora essa última limitação seja contornável, projetando separadamente as áreas que cresceram e as que decresceram, o DPMC não conta com esse inconveniente, se tornando melhor opção nesse caso (MADEIRA; SIMÕES, 1972; FOZ, 2021c). </w:t>
      </w:r>
    </w:p>
    <w:p w14:paraId="568DF467" w14:textId="368DA1D6" w:rsidR="0CE28008" w:rsidRPr="006F42E1" w:rsidRDefault="517C960D" w:rsidP="517C960D">
      <w:pPr>
        <w:spacing w:after="0" w:line="360" w:lineRule="auto"/>
        <w:ind w:firstLine="708"/>
        <w:jc w:val="both"/>
        <w:rPr>
          <w:rFonts w:ascii="Times New Roman" w:hAnsi="Times New Roman" w:cs="Times New Roman"/>
          <w:sz w:val="24"/>
          <w:szCs w:val="24"/>
          <w:highlight w:val="yellow"/>
        </w:rPr>
      </w:pPr>
      <w:r w:rsidRPr="006F42E1">
        <w:rPr>
          <w:rFonts w:ascii="Times New Roman" w:hAnsi="Times New Roman" w:cs="Times New Roman"/>
          <w:sz w:val="24"/>
          <w:szCs w:val="24"/>
        </w:rPr>
        <w:t xml:space="preserve">No entanto, é importante mencionar que quando as áreas menores crescem no mesmo sentido e não há previsão de tendência de reversão de crescimento no futuro, a projeção pelo método DCC é bem consistente, por isso foi utilizado por muitos anos pelo IBGE para projetar a população municipal do Brasil. Para o DPMC o inconveniente fica por conta da inconsistência </w:t>
      </w:r>
      <w:r w:rsidRPr="006F42E1">
        <w:rPr>
          <w:rFonts w:ascii="Times New Roman" w:hAnsi="Times New Roman" w:cs="Times New Roman"/>
          <w:sz w:val="24"/>
          <w:szCs w:val="24"/>
        </w:rPr>
        <w:lastRenderedPageBreak/>
        <w:t xml:space="preserve">entre os resultados ao projetar diretamente para o ponto desejado ou, alternativamente, para intervalos decenais ou quinquenais até o horizonte de projeção. </w:t>
      </w:r>
    </w:p>
    <w:p w14:paraId="334242CA" w14:textId="34527DD5" w:rsidR="008C70AF" w:rsidRPr="006F42E1" w:rsidRDefault="005C0957" w:rsidP="0BEF875E">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Outras opções ‘</w:t>
      </w:r>
      <w:r w:rsidRPr="006F42E1">
        <w:rPr>
          <w:rFonts w:ascii="Times New Roman" w:hAnsi="Times New Roman" w:cs="Times New Roman"/>
          <w:i/>
          <w:iCs/>
          <w:sz w:val="24"/>
          <w:szCs w:val="24"/>
        </w:rPr>
        <w:t>shift share</w:t>
      </w:r>
      <w:r w:rsidRPr="006F42E1">
        <w:rPr>
          <w:rFonts w:ascii="Times New Roman" w:hAnsi="Times New Roman" w:cs="Times New Roman"/>
          <w:sz w:val="24"/>
          <w:szCs w:val="24"/>
        </w:rPr>
        <w:t xml:space="preserve">’ são os Métodos das Razões. Nesse caso, uma alternativa é fazer uma extrapolação </w:t>
      </w:r>
      <w:r w:rsidR="00902221" w:rsidRPr="006F42E1">
        <w:rPr>
          <w:rFonts w:ascii="Times New Roman" w:hAnsi="Times New Roman" w:cs="Times New Roman"/>
          <w:sz w:val="24"/>
          <w:szCs w:val="24"/>
        </w:rPr>
        <w:t xml:space="preserve">geométrica ou </w:t>
      </w:r>
      <w:r w:rsidRPr="006F42E1">
        <w:rPr>
          <w:rFonts w:ascii="Times New Roman" w:hAnsi="Times New Roman" w:cs="Times New Roman"/>
          <w:sz w:val="24"/>
          <w:szCs w:val="24"/>
        </w:rPr>
        <w:t xml:space="preserve">exponencial (MR-EXP) da população das pequenas áreas, mas é necessário normalizar os resultados </w:t>
      </w:r>
      <w:r w:rsidR="000D48F6" w:rsidRPr="006F42E1">
        <w:rPr>
          <w:rFonts w:ascii="Times New Roman" w:hAnsi="Times New Roman" w:cs="Times New Roman"/>
          <w:sz w:val="24"/>
          <w:szCs w:val="24"/>
        </w:rPr>
        <w:t xml:space="preserve">obtidos </w:t>
      </w:r>
      <w:r w:rsidRPr="006F42E1">
        <w:rPr>
          <w:rFonts w:ascii="Times New Roman" w:hAnsi="Times New Roman" w:cs="Times New Roman"/>
          <w:sz w:val="24"/>
          <w:szCs w:val="24"/>
        </w:rPr>
        <w:t xml:space="preserve">para que sejam consistentes com a extrapolação </w:t>
      </w:r>
      <w:r w:rsidR="000D48F6" w:rsidRPr="006F42E1">
        <w:rPr>
          <w:rFonts w:ascii="Times New Roman" w:hAnsi="Times New Roman" w:cs="Times New Roman"/>
          <w:sz w:val="24"/>
          <w:szCs w:val="24"/>
        </w:rPr>
        <w:t xml:space="preserve">feita </w:t>
      </w:r>
      <w:r w:rsidRPr="006F42E1">
        <w:rPr>
          <w:rFonts w:ascii="Times New Roman" w:hAnsi="Times New Roman" w:cs="Times New Roman"/>
          <w:sz w:val="24"/>
          <w:szCs w:val="24"/>
        </w:rPr>
        <w:t>para a área maior. Para isso aplica-se uma proporção, de cada pequena área em relação a soma de todas, sobre a população extrapolada para a área maior</w:t>
      </w:r>
      <w:r w:rsidR="00992D23" w:rsidRPr="006F42E1">
        <w:rPr>
          <w:rFonts w:ascii="Times New Roman" w:hAnsi="Times New Roman" w:cs="Times New Roman"/>
          <w:sz w:val="24"/>
          <w:szCs w:val="24"/>
        </w:rPr>
        <w:t>, conforme a equação 3</w:t>
      </w:r>
      <w:r w:rsidRPr="006F42E1">
        <w:rPr>
          <w:rFonts w:ascii="Times New Roman" w:hAnsi="Times New Roman" w:cs="Times New Roman"/>
          <w:sz w:val="24"/>
          <w:szCs w:val="24"/>
        </w:rPr>
        <w:t xml:space="preserve">. </w:t>
      </w:r>
    </w:p>
    <w:p w14:paraId="40DD07AF" w14:textId="77777777" w:rsidR="008C70AF" w:rsidRPr="006F42E1" w:rsidRDefault="008C70AF" w:rsidP="0BEF875E">
      <w:pPr>
        <w:spacing w:after="0" w:line="360" w:lineRule="auto"/>
        <w:jc w:val="both"/>
        <w:rPr>
          <w:rFonts w:ascii="Times New Roman" w:hAnsi="Times New Roman" w:cs="Times New Roman"/>
          <w:sz w:val="24"/>
          <w:szCs w:val="24"/>
        </w:rPr>
      </w:pPr>
    </w:p>
    <w:p w14:paraId="180D8734" w14:textId="6FDBEFF9" w:rsidR="008C70AF" w:rsidRPr="006F42E1" w:rsidRDefault="00000000" w:rsidP="008C70AF">
      <w:pPr>
        <w:spacing w:after="0" w:line="360" w:lineRule="auto"/>
        <w:jc w:val="both"/>
        <w:rPr>
          <w:rFonts w:ascii="Times New Roman" w:hAnsi="Times New Roman" w:cs="Times New Roman"/>
          <w:sz w:val="24"/>
          <w:szCs w:val="24"/>
        </w:rPr>
      </w:pPr>
      <m:oMathPara>
        <m:oMathParaPr>
          <m:jc m:val="right"/>
        </m:oMathPara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18"/>
                      <w:szCs w:val="18"/>
                    </w:rPr>
                    <m:t>t+∆t</m:t>
                  </m:r>
                </m:e>
              </m:d>
              <m:r>
                <w:rPr>
                  <w:rFonts w:ascii="Cambria Math" w:hAnsi="Cambria Math" w:cs="Times New Roman"/>
                  <w:sz w:val="24"/>
                  <w:szCs w:val="24"/>
                </w:rPr>
                <m:t xml:space="preserve"> </m:t>
              </m:r>
              <m:r>
                <m:rPr>
                  <m:sty m:val="p"/>
                </m:rPr>
                <w:rPr>
                  <w:rFonts w:ascii="Cambria Math" w:hAnsi="Cambria Math" w:cs="Times New Roman"/>
                  <w:sz w:val="24"/>
                  <w:szCs w:val="24"/>
                </w:rPr>
                <m:t>exp</m:t>
              </m:r>
              <m:d>
                <m:dPr>
                  <m:ctrlPr>
                    <w:rPr>
                      <w:rFonts w:ascii="Cambria Math" w:hAnsi="Cambria Math" w:cs="Times New Roman"/>
                      <w:i/>
                      <w:sz w:val="24"/>
                      <w:szCs w:val="24"/>
                    </w:rPr>
                  </m:ctrlPr>
                </m:dPr>
                <m:e>
                  <m:r>
                    <w:rPr>
                      <w:rFonts w:ascii="Cambria Math" w:hAnsi="Cambria Math" w:cs="Times New Roman"/>
                      <w:sz w:val="24"/>
                      <w:szCs w:val="24"/>
                    </w:rPr>
                    <m:t>r*</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r>
                        <w:rPr>
                          <w:rFonts w:ascii="Cambria Math" w:hAnsi="Cambria Math" w:cs="Times New Roman"/>
                          <w:sz w:val="24"/>
                          <w:szCs w:val="24"/>
                        </w:rPr>
                        <m:t xml:space="preserve"> - t+∆t</m:t>
                      </m:r>
                    </m:e>
                  </m:d>
                </m:e>
              </m:d>
            </m:num>
            <m:den>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18"/>
                          <w:szCs w:val="18"/>
                        </w:rPr>
                        <m:t>t+∆t</m:t>
                      </m:r>
                    </m:e>
                  </m:d>
                  <m:r>
                    <m:rPr>
                      <m:sty m:val="p"/>
                    </m:rPr>
                    <w:rPr>
                      <w:rFonts w:ascii="Cambria Math" w:hAnsi="Cambria Math" w:cs="Times New Roman"/>
                      <w:sz w:val="24"/>
                      <w:szCs w:val="24"/>
                    </w:rPr>
                    <m:t xml:space="preserve"> exp</m:t>
                  </m:r>
                  <m:d>
                    <m:dPr>
                      <m:ctrlPr>
                        <w:rPr>
                          <w:rFonts w:ascii="Cambria Math" w:hAnsi="Cambria Math" w:cs="Times New Roman"/>
                          <w:i/>
                          <w:sz w:val="24"/>
                          <w:szCs w:val="24"/>
                        </w:rPr>
                      </m:ctrlPr>
                    </m:dPr>
                    <m:e>
                      <m:r>
                        <w:rPr>
                          <w:rFonts w:ascii="Cambria Math" w:hAnsi="Cambria Math" w:cs="Times New Roman"/>
                          <w:sz w:val="24"/>
                          <w:szCs w:val="24"/>
                        </w:rPr>
                        <m:t>r*</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r>
                            <w:rPr>
                              <w:rFonts w:ascii="Cambria Math" w:hAnsi="Cambria Math" w:cs="Times New Roman"/>
                              <w:sz w:val="24"/>
                              <w:szCs w:val="24"/>
                            </w:rPr>
                            <m:t xml:space="preserve"> - t+∆t</m:t>
                          </m:r>
                        </m:e>
                      </m:d>
                    </m:e>
                  </m:d>
                </m:e>
              </m:nary>
            </m:den>
          </m:f>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P(t</m:t>
              </m:r>
            </m:e>
            <m:sub>
              <m:r>
                <w:rPr>
                  <w:rFonts w:ascii="Cambria Math" w:hAnsi="Cambria Math" w:cs="Times New Roman"/>
                  <w:sz w:val="24"/>
                  <w:szCs w:val="24"/>
                </w:rPr>
                <m:t>p</m:t>
              </m:r>
            </m:sub>
          </m:sSub>
          <m:r>
            <w:rPr>
              <w:rFonts w:ascii="Cambria Math" w:hAnsi="Cambria Math" w:cs="Times New Roman"/>
              <w:sz w:val="24"/>
              <w:szCs w:val="24"/>
            </w:rPr>
            <m:t>)                         (3)</m:t>
          </m:r>
        </m:oMath>
      </m:oMathPara>
    </w:p>
    <w:p w14:paraId="604D7EFD" w14:textId="77777777" w:rsidR="008C70AF" w:rsidRPr="006F42E1" w:rsidRDefault="008C70AF" w:rsidP="0BEF875E">
      <w:pPr>
        <w:spacing w:after="0" w:line="360" w:lineRule="auto"/>
        <w:jc w:val="both"/>
        <w:rPr>
          <w:rFonts w:ascii="Times New Roman" w:hAnsi="Times New Roman" w:cs="Times New Roman"/>
          <w:sz w:val="24"/>
          <w:szCs w:val="24"/>
        </w:rPr>
      </w:pPr>
    </w:p>
    <w:p w14:paraId="36ED24D4" w14:textId="2C5C9BB0" w:rsidR="00AF6B98" w:rsidRPr="006F42E1" w:rsidRDefault="008C70AF" w:rsidP="0BEF875E">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5C0957" w:rsidRPr="006F42E1">
        <w:rPr>
          <w:rFonts w:ascii="Times New Roman" w:hAnsi="Times New Roman" w:cs="Times New Roman"/>
          <w:sz w:val="24"/>
          <w:szCs w:val="24"/>
        </w:rPr>
        <w:t xml:space="preserve">Outra </w:t>
      </w:r>
      <w:r w:rsidRPr="006F42E1">
        <w:rPr>
          <w:rFonts w:ascii="Times New Roman" w:hAnsi="Times New Roman" w:cs="Times New Roman"/>
          <w:sz w:val="24"/>
          <w:szCs w:val="24"/>
        </w:rPr>
        <w:t xml:space="preserve">alternativa </w:t>
      </w:r>
      <w:r w:rsidR="005C0957" w:rsidRPr="006F42E1">
        <w:rPr>
          <w:rFonts w:ascii="Times New Roman" w:hAnsi="Times New Roman" w:cs="Times New Roman"/>
          <w:sz w:val="24"/>
          <w:szCs w:val="24"/>
        </w:rPr>
        <w:t xml:space="preserve">é </w:t>
      </w:r>
      <w:r w:rsidRPr="006F42E1">
        <w:rPr>
          <w:rFonts w:ascii="Times New Roman" w:hAnsi="Times New Roman" w:cs="Times New Roman"/>
          <w:sz w:val="24"/>
          <w:szCs w:val="24"/>
        </w:rPr>
        <w:t xml:space="preserve">o Método das Razões com </w:t>
      </w:r>
      <w:r w:rsidR="005C0957" w:rsidRPr="006F42E1">
        <w:rPr>
          <w:rFonts w:ascii="Times New Roman" w:hAnsi="Times New Roman" w:cs="Times New Roman"/>
          <w:sz w:val="24"/>
          <w:szCs w:val="24"/>
        </w:rPr>
        <w:t>logística (MR-LOG), em que a ideia</w:t>
      </w:r>
      <w:r w:rsidR="001D1ADF" w:rsidRPr="006F42E1">
        <w:rPr>
          <w:rFonts w:ascii="Times New Roman" w:hAnsi="Times New Roman" w:cs="Times New Roman"/>
          <w:sz w:val="24"/>
          <w:szCs w:val="24"/>
        </w:rPr>
        <w:t xml:space="preserve"> é</w:t>
      </w:r>
      <w:r w:rsidR="005C0957" w:rsidRPr="006F42E1">
        <w:rPr>
          <w:rFonts w:ascii="Times New Roman" w:hAnsi="Times New Roman" w:cs="Times New Roman"/>
          <w:sz w:val="24"/>
          <w:szCs w:val="24"/>
        </w:rPr>
        <w:t xml:space="preserve"> projetar não a população diretamente, mas a participação</w:t>
      </w:r>
      <w:r w:rsidR="00F22D23" w:rsidRPr="006F42E1">
        <w:rPr>
          <w:rFonts w:ascii="Times New Roman" w:hAnsi="Times New Roman" w:cs="Times New Roman"/>
          <w:sz w:val="24"/>
          <w:szCs w:val="24"/>
        </w:rPr>
        <w:t xml:space="preserve"> </w:t>
      </w:r>
      <w:r w:rsidR="00AF6B98" w:rsidRPr="006F42E1">
        <w:rPr>
          <w:rFonts w:ascii="Times New Roman" w:hAnsi="Times New Roman" w:cs="Times New Roman"/>
          <w:sz w:val="24"/>
          <w:szCs w:val="24"/>
        </w:rPr>
        <w:t>(</w:t>
      </w:r>
      <w:r w:rsidR="00AF6B98" w:rsidRPr="006F42E1">
        <w:rPr>
          <w:rFonts w:ascii="Times New Roman" w:hAnsi="Times New Roman" w:cs="Times New Roman"/>
          <w:i/>
          <w:iCs/>
          <w:sz w:val="24"/>
          <w:szCs w:val="24"/>
        </w:rPr>
        <w:t>p</w:t>
      </w:r>
      <w:r w:rsidR="00AF6B98" w:rsidRPr="006F42E1">
        <w:rPr>
          <w:rFonts w:ascii="Times New Roman" w:hAnsi="Times New Roman" w:cs="Times New Roman"/>
          <w:i/>
          <w:iCs/>
          <w:sz w:val="24"/>
          <w:szCs w:val="24"/>
          <w:vertAlign w:val="subscript"/>
        </w:rPr>
        <w:t>i</w:t>
      </w:r>
      <w:r w:rsidR="00AF6B98" w:rsidRPr="006F42E1">
        <w:rPr>
          <w:rFonts w:ascii="Times New Roman" w:hAnsi="Times New Roman" w:cs="Times New Roman"/>
          <w:sz w:val="24"/>
          <w:szCs w:val="24"/>
        </w:rPr>
        <w:t xml:space="preserve">) </w:t>
      </w:r>
      <w:r w:rsidR="005C0957" w:rsidRPr="006F42E1">
        <w:rPr>
          <w:rFonts w:ascii="Times New Roman" w:hAnsi="Times New Roman" w:cs="Times New Roman"/>
          <w:sz w:val="24"/>
          <w:szCs w:val="24"/>
        </w:rPr>
        <w:t>das áreas menores na maior e, posteriormente, aplicar essas razões projetadas sobre a população projetada da área maior</w:t>
      </w:r>
      <w:r w:rsidRPr="006F42E1">
        <w:rPr>
          <w:rFonts w:ascii="Times New Roman" w:hAnsi="Times New Roman" w:cs="Times New Roman"/>
          <w:sz w:val="24"/>
          <w:szCs w:val="24"/>
        </w:rPr>
        <w:t xml:space="preserve">, para </w:t>
      </w:r>
      <w:r w:rsidR="00733209" w:rsidRPr="006F42E1">
        <w:rPr>
          <w:rFonts w:ascii="Times New Roman" w:hAnsi="Times New Roman" w:cs="Times New Roman"/>
          <w:sz w:val="24"/>
          <w:szCs w:val="24"/>
        </w:rPr>
        <w:t>a</w:t>
      </w:r>
      <w:r w:rsidR="005C0957" w:rsidRPr="006F42E1">
        <w:rPr>
          <w:rFonts w:ascii="Times New Roman" w:hAnsi="Times New Roman" w:cs="Times New Roman"/>
          <w:sz w:val="24"/>
          <w:szCs w:val="24"/>
        </w:rPr>
        <w:t>ssim</w:t>
      </w:r>
      <w:r w:rsidR="00733209" w:rsidRPr="006F42E1">
        <w:rPr>
          <w:rFonts w:ascii="Times New Roman" w:hAnsi="Times New Roman" w:cs="Times New Roman"/>
          <w:sz w:val="24"/>
          <w:szCs w:val="24"/>
        </w:rPr>
        <w:t xml:space="preserve"> se</w:t>
      </w:r>
      <w:r w:rsidR="005C0957" w:rsidRPr="006F42E1">
        <w:rPr>
          <w:rFonts w:ascii="Times New Roman" w:hAnsi="Times New Roman" w:cs="Times New Roman"/>
          <w:sz w:val="24"/>
          <w:szCs w:val="24"/>
        </w:rPr>
        <w:t xml:space="preserve"> obt</w:t>
      </w:r>
      <w:r w:rsidRPr="006F42E1">
        <w:rPr>
          <w:rFonts w:ascii="Times New Roman" w:hAnsi="Times New Roman" w:cs="Times New Roman"/>
          <w:sz w:val="24"/>
          <w:szCs w:val="24"/>
        </w:rPr>
        <w:t xml:space="preserve">er </w:t>
      </w:r>
      <w:r w:rsidR="005C0957" w:rsidRPr="006F42E1">
        <w:rPr>
          <w:rFonts w:ascii="Times New Roman" w:hAnsi="Times New Roman" w:cs="Times New Roman"/>
          <w:sz w:val="24"/>
          <w:szCs w:val="24"/>
        </w:rPr>
        <w:t xml:space="preserve">a população projetada das áreas menores em termos absolutos. No processo de aplicação do método devem ser definidos limites, inferior e superior, para essas razões, </w:t>
      </w:r>
      <w:r w:rsidR="00733209" w:rsidRPr="006F42E1">
        <w:rPr>
          <w:rFonts w:ascii="Times New Roman" w:hAnsi="Times New Roman" w:cs="Times New Roman"/>
          <w:sz w:val="24"/>
          <w:szCs w:val="24"/>
        </w:rPr>
        <w:t xml:space="preserve">no intuito de </w:t>
      </w:r>
      <w:r w:rsidR="005C0957" w:rsidRPr="006F42E1">
        <w:rPr>
          <w:rFonts w:ascii="Times New Roman" w:hAnsi="Times New Roman" w:cs="Times New Roman"/>
          <w:sz w:val="24"/>
          <w:szCs w:val="24"/>
        </w:rPr>
        <w:t>limita</w:t>
      </w:r>
      <w:r w:rsidRPr="006F42E1">
        <w:rPr>
          <w:rFonts w:ascii="Times New Roman" w:hAnsi="Times New Roman" w:cs="Times New Roman"/>
          <w:sz w:val="24"/>
          <w:szCs w:val="24"/>
        </w:rPr>
        <w:t>r</w:t>
      </w:r>
      <w:r w:rsidR="005C0957" w:rsidRPr="006F42E1">
        <w:rPr>
          <w:rFonts w:ascii="Times New Roman" w:hAnsi="Times New Roman" w:cs="Times New Roman"/>
          <w:sz w:val="24"/>
          <w:szCs w:val="24"/>
        </w:rPr>
        <w:t xml:space="preserve"> o decrescimento ou crescimento exagerado de algumas áreas em detrimento das demais, </w:t>
      </w:r>
      <w:r w:rsidRPr="006F42E1">
        <w:rPr>
          <w:rFonts w:ascii="Times New Roman" w:hAnsi="Times New Roman" w:cs="Times New Roman"/>
          <w:sz w:val="24"/>
          <w:szCs w:val="24"/>
        </w:rPr>
        <w:t>impondo um</w:t>
      </w:r>
      <w:r w:rsidR="005C0957" w:rsidRPr="006F42E1">
        <w:rPr>
          <w:rFonts w:ascii="Times New Roman" w:hAnsi="Times New Roman" w:cs="Times New Roman"/>
          <w:sz w:val="24"/>
          <w:szCs w:val="24"/>
        </w:rPr>
        <w:t xml:space="preserve"> comportamento logístic</w:t>
      </w:r>
      <w:r w:rsidRPr="006F42E1">
        <w:rPr>
          <w:rFonts w:ascii="Times New Roman" w:hAnsi="Times New Roman" w:cs="Times New Roman"/>
          <w:sz w:val="24"/>
          <w:szCs w:val="24"/>
        </w:rPr>
        <w:t>o ao crescimento de cada área</w:t>
      </w:r>
      <w:r w:rsidR="005C0957" w:rsidRPr="006F42E1">
        <w:rPr>
          <w:rFonts w:ascii="Times New Roman" w:hAnsi="Times New Roman" w:cs="Times New Roman"/>
          <w:sz w:val="24"/>
          <w:szCs w:val="24"/>
        </w:rPr>
        <w:t>.</w:t>
      </w:r>
      <w:r w:rsidR="00E3727B" w:rsidRPr="006F42E1">
        <w:rPr>
          <w:rFonts w:ascii="Times New Roman" w:hAnsi="Times New Roman" w:cs="Times New Roman"/>
          <w:sz w:val="24"/>
          <w:szCs w:val="24"/>
        </w:rPr>
        <w:t xml:space="preserve"> </w:t>
      </w:r>
    </w:p>
    <w:p w14:paraId="5E0234A5" w14:textId="4B22F4F9" w:rsidR="005C0957" w:rsidRPr="006F42E1" w:rsidRDefault="00AF6B98" w:rsidP="0BEF875E">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E258A9" w:rsidRPr="006F42E1">
        <w:rPr>
          <w:rFonts w:ascii="Times New Roman" w:hAnsi="Times New Roman" w:cs="Times New Roman"/>
          <w:sz w:val="24"/>
          <w:szCs w:val="24"/>
        </w:rPr>
        <w:t xml:space="preserve">Normalizando as proporções </w:t>
      </w:r>
      <w:r w:rsidR="001A68A3" w:rsidRPr="006F42E1">
        <w:rPr>
          <w:rFonts w:ascii="Times New Roman" w:hAnsi="Times New Roman" w:cs="Times New Roman"/>
          <w:sz w:val="24"/>
          <w:szCs w:val="24"/>
        </w:rPr>
        <w:t>de população nos Censos base</w:t>
      </w:r>
      <w:r w:rsidR="00992101" w:rsidRPr="006F42E1">
        <w:rPr>
          <w:rFonts w:ascii="Times New Roman" w:hAnsi="Times New Roman" w:cs="Times New Roman"/>
          <w:sz w:val="24"/>
          <w:szCs w:val="24"/>
        </w:rPr>
        <w:t xml:space="preserve"> </w:t>
      </w:r>
      <w:r w:rsidR="00BE33CE" w:rsidRPr="006F42E1">
        <w:rPr>
          <w:rFonts w:ascii="Times New Roman" w:hAnsi="Times New Roman" w:cs="Times New Roman"/>
          <w:sz w:val="24"/>
          <w:szCs w:val="24"/>
        </w:rPr>
        <w:t>dentro d</w:t>
      </w:r>
      <w:r w:rsidR="00992101" w:rsidRPr="006F42E1">
        <w:rPr>
          <w:rFonts w:ascii="Times New Roman" w:hAnsi="Times New Roman" w:cs="Times New Roman"/>
          <w:sz w:val="24"/>
          <w:szCs w:val="24"/>
        </w:rPr>
        <w:t>os limite</w:t>
      </w:r>
      <w:r w:rsidR="004D0DDE" w:rsidRPr="006F42E1">
        <w:rPr>
          <w:rFonts w:ascii="Times New Roman" w:hAnsi="Times New Roman" w:cs="Times New Roman"/>
          <w:sz w:val="24"/>
          <w:szCs w:val="24"/>
        </w:rPr>
        <w:t>s</w:t>
      </w:r>
      <w:r w:rsidR="00992101" w:rsidRPr="006F42E1">
        <w:rPr>
          <w:rFonts w:ascii="Times New Roman" w:hAnsi="Times New Roman" w:cs="Times New Roman"/>
          <w:sz w:val="24"/>
          <w:szCs w:val="24"/>
        </w:rPr>
        <w:t xml:space="preserve"> atribuídos</w:t>
      </w:r>
      <w:r w:rsidR="00CC01F4" w:rsidRPr="006F42E1">
        <w:rPr>
          <w:rFonts w:ascii="Times New Roman" w:hAnsi="Times New Roman" w:cs="Times New Roman"/>
          <w:sz w:val="24"/>
          <w:szCs w:val="24"/>
        </w:rPr>
        <w:t xml:space="preserve"> (0,0</w:t>
      </w:r>
      <w:r w:rsidR="004D0DDE" w:rsidRPr="006F42E1">
        <w:rPr>
          <w:rFonts w:ascii="Times New Roman" w:hAnsi="Times New Roman" w:cs="Times New Roman"/>
          <w:sz w:val="24"/>
          <w:szCs w:val="24"/>
        </w:rPr>
        <w:t xml:space="preserve">02 e 0,65, </w:t>
      </w:r>
      <w:r w:rsidR="00B3215D" w:rsidRPr="006F42E1">
        <w:rPr>
          <w:rFonts w:ascii="Times New Roman" w:hAnsi="Times New Roman" w:cs="Times New Roman"/>
          <w:sz w:val="24"/>
          <w:szCs w:val="24"/>
        </w:rPr>
        <w:t>a partir do que se observou nos últimos Censos)</w:t>
      </w:r>
      <w:r w:rsidR="001A68A3" w:rsidRPr="006F42E1">
        <w:rPr>
          <w:rFonts w:ascii="Times New Roman" w:hAnsi="Times New Roman" w:cs="Times New Roman"/>
          <w:sz w:val="24"/>
          <w:szCs w:val="24"/>
        </w:rPr>
        <w:t xml:space="preserve">, e </w:t>
      </w:r>
      <w:r w:rsidR="00AE120C" w:rsidRPr="006F42E1">
        <w:rPr>
          <w:rFonts w:ascii="Times New Roman" w:hAnsi="Times New Roman" w:cs="Times New Roman"/>
          <w:sz w:val="24"/>
          <w:szCs w:val="24"/>
        </w:rPr>
        <w:t xml:space="preserve">depois </w:t>
      </w:r>
      <w:r w:rsidR="001A68A3" w:rsidRPr="006F42E1">
        <w:rPr>
          <w:rFonts w:ascii="Times New Roman" w:hAnsi="Times New Roman" w:cs="Times New Roman"/>
          <w:sz w:val="24"/>
          <w:szCs w:val="24"/>
        </w:rPr>
        <w:t>linearizando</w:t>
      </w:r>
      <w:r w:rsidR="00AE120C" w:rsidRPr="006F42E1">
        <w:rPr>
          <w:rFonts w:ascii="Times New Roman" w:hAnsi="Times New Roman" w:cs="Times New Roman"/>
          <w:sz w:val="24"/>
          <w:szCs w:val="24"/>
        </w:rPr>
        <w:t xml:space="preserve">-as por meio de uma transformação logital, </w:t>
      </w:r>
      <w:r w:rsidR="00F2358C" w:rsidRPr="006F42E1">
        <w:rPr>
          <w:rFonts w:ascii="Times New Roman" w:hAnsi="Times New Roman" w:cs="Times New Roman"/>
          <w:sz w:val="24"/>
          <w:szCs w:val="24"/>
        </w:rPr>
        <w:t>projeta</w:t>
      </w:r>
      <w:r w:rsidR="00AE120C" w:rsidRPr="006F42E1">
        <w:rPr>
          <w:rFonts w:ascii="Times New Roman" w:hAnsi="Times New Roman" w:cs="Times New Roman"/>
          <w:sz w:val="24"/>
          <w:szCs w:val="24"/>
        </w:rPr>
        <w:t xml:space="preserve">-se </w:t>
      </w:r>
      <w:r w:rsidR="00F2358C" w:rsidRPr="006F42E1">
        <w:rPr>
          <w:rFonts w:ascii="Times New Roman" w:hAnsi="Times New Roman" w:cs="Times New Roman"/>
          <w:sz w:val="24"/>
          <w:szCs w:val="24"/>
        </w:rPr>
        <w:t>esse</w:t>
      </w:r>
      <w:r w:rsidR="00AE120C" w:rsidRPr="006F42E1">
        <w:rPr>
          <w:rFonts w:ascii="Times New Roman" w:hAnsi="Times New Roman" w:cs="Times New Roman"/>
          <w:sz w:val="24"/>
          <w:szCs w:val="24"/>
        </w:rPr>
        <w:t>s logitos no tempo</w:t>
      </w:r>
      <w:r w:rsidR="00535C62" w:rsidRPr="006F42E1">
        <w:rPr>
          <w:rFonts w:ascii="Times New Roman" w:hAnsi="Times New Roman" w:cs="Times New Roman"/>
          <w:sz w:val="24"/>
          <w:szCs w:val="24"/>
        </w:rPr>
        <w:t xml:space="preserve"> </w:t>
      </w:r>
      <w:r w:rsidR="00975B33" w:rsidRPr="006F42E1">
        <w:rPr>
          <w:rFonts w:ascii="Times New Roman" w:hAnsi="Times New Roman" w:cs="Times New Roman"/>
          <w:sz w:val="24"/>
          <w:szCs w:val="24"/>
        </w:rPr>
        <w:t>segundo a equação</w:t>
      </w:r>
      <w:r w:rsidR="00F2358C" w:rsidRPr="006F42E1">
        <w:rPr>
          <w:rFonts w:ascii="Times New Roman" w:hAnsi="Times New Roman" w:cs="Times New Roman"/>
          <w:sz w:val="24"/>
          <w:szCs w:val="24"/>
        </w:rPr>
        <w:t xml:space="preserve"> 4</w:t>
      </w:r>
      <w:r w:rsidR="00A57A7C" w:rsidRPr="006F42E1">
        <w:rPr>
          <w:rFonts w:ascii="Times New Roman" w:hAnsi="Times New Roman" w:cs="Times New Roman"/>
          <w:sz w:val="24"/>
          <w:szCs w:val="24"/>
        </w:rPr>
        <w:t xml:space="preserve">. </w:t>
      </w:r>
    </w:p>
    <w:p w14:paraId="248824C1" w14:textId="01C3C9B0" w:rsidR="0BEF875E" w:rsidRPr="006F42E1" w:rsidRDefault="0BEF875E" w:rsidP="0BEF875E">
      <w:pPr>
        <w:spacing w:after="0" w:line="360" w:lineRule="auto"/>
        <w:jc w:val="both"/>
        <w:rPr>
          <w:rFonts w:ascii="Times New Roman" w:hAnsi="Times New Roman" w:cs="Times New Roman"/>
          <w:sz w:val="24"/>
          <w:szCs w:val="24"/>
        </w:rPr>
      </w:pPr>
    </w:p>
    <w:p w14:paraId="756F81C2" w14:textId="3F65CA2E" w:rsidR="00E043F9" w:rsidRPr="006F42E1" w:rsidRDefault="00B146CE" w:rsidP="00E043F9">
      <w:pPr>
        <w:spacing w:after="0" w:line="360" w:lineRule="auto"/>
        <w:jc w:val="both"/>
        <w:rPr>
          <w:rFonts w:ascii="Times New Roman" w:hAnsi="Times New Roman" w:cs="Times New Roman"/>
          <w:sz w:val="24"/>
          <w:szCs w:val="24"/>
        </w:rPr>
      </w:pPr>
      <m:oMathPara>
        <m:oMathParaPr>
          <m:jc m:val="right"/>
        </m:oMathParaPr>
        <m:oMath>
          <m:r>
            <w:rPr>
              <w:rFonts w:ascii="Cambria Math" w:hAnsi="Cambria Math" w:cs="Times New Roman"/>
              <w:sz w:val="24"/>
              <w:szCs w:val="24"/>
            </w:rPr>
            <m:t>logito</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e>
              </m:d>
            </m:e>
          </m:d>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 xml:space="preserve">t+∆t - </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e>
              </m:d>
              <m:r>
                <w:rPr>
                  <w:rFonts w:ascii="Cambria Math" w:hAnsi="Cambria Math" w:cs="Times New Roman"/>
                  <w:sz w:val="24"/>
                  <w:szCs w:val="24"/>
                </w:rPr>
                <m:t>logito</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t</m:t>
                      </m:r>
                    </m:e>
                  </m:d>
                </m:e>
              </m:d>
              <m:r>
                <w:rPr>
                  <w:rFonts w:ascii="Cambria Math" w:hAnsi="Cambria Math" w:cs="Times New Roman"/>
                  <w:sz w:val="24"/>
                  <w:szCs w:val="24"/>
                </w:rPr>
                <m:t xml:space="preserve"> + </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r>
                    <w:rPr>
                      <w:rFonts w:ascii="Cambria Math" w:hAnsi="Cambria Math" w:cs="Times New Roman"/>
                      <w:sz w:val="24"/>
                      <w:szCs w:val="24"/>
                    </w:rPr>
                    <m:t>-t</m:t>
                  </m:r>
                </m:e>
              </m:d>
              <m:r>
                <w:rPr>
                  <w:rFonts w:ascii="Cambria Math" w:hAnsi="Cambria Math" w:cs="Times New Roman"/>
                  <w:sz w:val="24"/>
                  <w:szCs w:val="24"/>
                </w:rPr>
                <m:t>logito</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t+∆t</m:t>
                      </m:r>
                    </m:e>
                  </m:d>
                </m:e>
              </m:d>
              <m:r>
                <w:rPr>
                  <w:rFonts w:ascii="Cambria Math" w:hAnsi="Cambria Math" w:cs="Times New Roman"/>
                  <w:sz w:val="24"/>
                  <w:szCs w:val="24"/>
                </w:rPr>
                <m:t xml:space="preserve"> </m:t>
              </m:r>
            </m:num>
            <m:den>
              <m:r>
                <w:rPr>
                  <w:rFonts w:ascii="Cambria Math" w:hAnsi="Cambria Math" w:cs="Times New Roman"/>
                  <w:sz w:val="24"/>
                  <w:szCs w:val="24"/>
                </w:rPr>
                <m:t>∆t</m:t>
              </m:r>
            </m:den>
          </m:f>
          <m:r>
            <w:rPr>
              <w:rFonts w:ascii="Cambria Math" w:hAnsi="Cambria Math" w:cs="Times New Roman"/>
              <w:sz w:val="24"/>
              <w:szCs w:val="24"/>
            </w:rPr>
            <m:t xml:space="preserve">     (4)</m:t>
          </m:r>
        </m:oMath>
      </m:oMathPara>
    </w:p>
    <w:p w14:paraId="39D6E281" w14:textId="77777777" w:rsidR="00236EFC" w:rsidRPr="006F42E1" w:rsidRDefault="00236EFC" w:rsidP="00E043F9">
      <w:pPr>
        <w:spacing w:after="0" w:line="360" w:lineRule="auto"/>
        <w:jc w:val="both"/>
        <w:rPr>
          <w:rFonts w:ascii="Times New Roman" w:hAnsi="Times New Roman" w:cs="Times New Roman"/>
          <w:sz w:val="24"/>
          <w:szCs w:val="24"/>
        </w:rPr>
      </w:pPr>
    </w:p>
    <w:p w14:paraId="51D1D335" w14:textId="08E55D86" w:rsidR="00E043F9" w:rsidRPr="006F42E1" w:rsidRDefault="00236EFC" w:rsidP="00E043F9">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Em seguida, deve-se fazer as transformações inversas (da linearização e normalização) para voltar às proporções de população, agora projetadas, e aplicar tais proporções na projeção </w:t>
      </w:r>
      <w:r w:rsidR="00CA6B47" w:rsidRPr="006F42E1">
        <w:rPr>
          <w:rFonts w:ascii="Times New Roman" w:hAnsi="Times New Roman" w:cs="Times New Roman"/>
          <w:sz w:val="24"/>
          <w:szCs w:val="24"/>
        </w:rPr>
        <w:t>tida para a</w:t>
      </w:r>
      <w:r w:rsidRPr="006F42E1">
        <w:rPr>
          <w:rFonts w:ascii="Times New Roman" w:hAnsi="Times New Roman" w:cs="Times New Roman"/>
          <w:sz w:val="24"/>
          <w:szCs w:val="24"/>
        </w:rPr>
        <w:t xml:space="preserve"> área maior, o que pode ser feito por meio da equação 5.</w:t>
      </w:r>
    </w:p>
    <w:p w14:paraId="79A06919" w14:textId="38149FE6" w:rsidR="00E043F9" w:rsidRPr="006F42E1" w:rsidRDefault="00000000" w:rsidP="00E043F9">
      <w:pPr>
        <w:spacing w:after="0" w:line="360" w:lineRule="auto"/>
        <w:jc w:val="both"/>
        <w:rPr>
          <w:rFonts w:ascii="Times New Roman" w:hAnsi="Times New Roman" w:cs="Times New Roman"/>
          <w:sz w:val="24"/>
          <w:szCs w:val="24"/>
        </w:rPr>
      </w:pPr>
      <m:oMathPara>
        <m:oMathParaPr>
          <m:jc m:val="right"/>
        </m:oMathPara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I+</m:t>
              </m:r>
              <m:f>
                <m:fPr>
                  <m:ctrlPr>
                    <w:rPr>
                      <w:rFonts w:ascii="Cambria Math" w:hAnsi="Cambria Math" w:cs="Times New Roman"/>
                      <w:i/>
                      <w:sz w:val="24"/>
                      <w:szCs w:val="24"/>
                    </w:rPr>
                  </m:ctrlPr>
                </m:fPr>
                <m:num>
                  <m:r>
                    <w:rPr>
                      <w:rFonts w:ascii="Cambria Math" w:hAnsi="Cambria Math" w:cs="Times New Roman"/>
                      <w:sz w:val="24"/>
                      <w:szCs w:val="24"/>
                    </w:rPr>
                    <m:t>S-I</m:t>
                  </m:r>
                </m:num>
                <m:den>
                  <m:r>
                    <w:rPr>
                      <w:rFonts w:ascii="Cambria Math" w:hAnsi="Cambria Math" w:cs="Times New Roman"/>
                      <w:sz w:val="24"/>
                      <w:szCs w:val="24"/>
                    </w:rPr>
                    <m:t>1+exp</m:t>
                  </m:r>
                  <m:d>
                    <m:dPr>
                      <m:ctrlPr>
                        <w:rPr>
                          <w:rFonts w:ascii="Cambria Math" w:hAnsi="Cambria Math" w:cs="Times New Roman"/>
                          <w:i/>
                          <w:sz w:val="24"/>
                          <w:szCs w:val="24"/>
                        </w:rPr>
                      </m:ctrlPr>
                    </m:dPr>
                    <m:e>
                      <m:r>
                        <w:rPr>
                          <w:rFonts w:ascii="Cambria Math" w:hAnsi="Cambria Math" w:cs="Times New Roman"/>
                          <w:sz w:val="24"/>
                          <w:szCs w:val="24"/>
                        </w:rPr>
                        <m:t>2logito</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e>
                          </m:d>
                        </m:e>
                      </m:d>
                    </m:e>
                  </m:d>
                </m:den>
              </m:f>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e>
          </m:d>
          <m:r>
            <w:rPr>
              <w:rFonts w:ascii="Cambria Math" w:hAnsi="Cambria Math" w:cs="Times New Roman"/>
              <w:sz w:val="24"/>
              <w:szCs w:val="24"/>
            </w:rPr>
            <m:t xml:space="preserve">                                (5)</m:t>
          </m:r>
        </m:oMath>
      </m:oMathPara>
    </w:p>
    <w:p w14:paraId="4A60FBCB" w14:textId="77777777" w:rsidR="00E043F9" w:rsidRPr="006F42E1" w:rsidRDefault="00E043F9" w:rsidP="00E043F9">
      <w:pPr>
        <w:spacing w:after="0" w:line="360" w:lineRule="auto"/>
        <w:jc w:val="both"/>
        <w:rPr>
          <w:rFonts w:ascii="Times New Roman" w:hAnsi="Times New Roman" w:cs="Times New Roman"/>
          <w:sz w:val="24"/>
          <w:szCs w:val="24"/>
        </w:rPr>
      </w:pPr>
    </w:p>
    <w:p w14:paraId="6E0DE242" w14:textId="0F1B8618" w:rsidR="005C0957" w:rsidRPr="006F42E1" w:rsidRDefault="005C0957" w:rsidP="002B7519">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 xml:space="preserve">Para além dos métodos anteriores, de tipo </w:t>
      </w:r>
      <w:r w:rsidR="009F6FA6" w:rsidRPr="006F42E1">
        <w:rPr>
          <w:rFonts w:ascii="Times New Roman" w:hAnsi="Times New Roman" w:cs="Times New Roman"/>
          <w:i/>
          <w:iCs/>
          <w:sz w:val="24"/>
          <w:szCs w:val="24"/>
        </w:rPr>
        <w:t>‘shift share’</w:t>
      </w:r>
      <w:r w:rsidRPr="006F42E1">
        <w:rPr>
          <w:rFonts w:ascii="Times New Roman" w:hAnsi="Times New Roman" w:cs="Times New Roman"/>
          <w:sz w:val="24"/>
          <w:szCs w:val="24"/>
        </w:rPr>
        <w:t xml:space="preserve">, há os métodos de séries temporais, a exemplo do modelo de Holt, para séries com tendência linear, e do ARIMA (Autorregressivo Integrado de Médias Móveis), para séries estacionárias. Suas principais desvantagens em relação aos </w:t>
      </w:r>
      <w:r w:rsidR="00956428" w:rsidRPr="006F42E1">
        <w:rPr>
          <w:rFonts w:ascii="Times New Roman" w:hAnsi="Times New Roman" w:cs="Times New Roman"/>
          <w:sz w:val="24"/>
          <w:szCs w:val="24"/>
        </w:rPr>
        <w:t xml:space="preserve">métodos </w:t>
      </w:r>
      <w:r w:rsidR="00BB6FA4" w:rsidRPr="006F42E1">
        <w:rPr>
          <w:rFonts w:ascii="Times New Roman" w:hAnsi="Times New Roman" w:cs="Times New Roman"/>
          <w:i/>
          <w:iCs/>
          <w:sz w:val="24"/>
          <w:szCs w:val="24"/>
        </w:rPr>
        <w:t>‘shift share’</w:t>
      </w:r>
      <w:r w:rsidRPr="006F42E1">
        <w:rPr>
          <w:rFonts w:ascii="Times New Roman" w:hAnsi="Times New Roman" w:cs="Times New Roman"/>
          <w:sz w:val="24"/>
          <w:szCs w:val="24"/>
        </w:rPr>
        <w:t xml:space="preserve"> são a necessidade de uma série de observações no tempo, o que pode tornar a aplicação menos simples, e ainda o fato de que não é assegurada a consistência entre a projeção que se tem para a área maior e a soma das populações projetadas para as áreas menores. Por outro lado, há a vantagem de fornecerem um intervalo de confiança, dando à previsão uma medida de incerteza. Outra potencialidade de ambos é a possibilidade de considerar a sazonalidade. </w:t>
      </w:r>
      <w:r w:rsidR="00CD4EC4" w:rsidRPr="006F42E1">
        <w:rPr>
          <w:rFonts w:ascii="Times New Roman" w:hAnsi="Times New Roman" w:cs="Times New Roman"/>
          <w:sz w:val="24"/>
          <w:szCs w:val="24"/>
        </w:rPr>
        <w:t>Para esses, utilizou-se a linguagem de progra</w:t>
      </w:r>
      <w:r w:rsidR="003806E1" w:rsidRPr="006F42E1">
        <w:rPr>
          <w:rFonts w:ascii="Times New Roman" w:hAnsi="Times New Roman" w:cs="Times New Roman"/>
          <w:sz w:val="24"/>
          <w:szCs w:val="24"/>
        </w:rPr>
        <w:t>mação</w:t>
      </w:r>
      <w:r w:rsidR="00CD4EC4" w:rsidRPr="006F42E1">
        <w:rPr>
          <w:rFonts w:ascii="Times New Roman" w:hAnsi="Times New Roman" w:cs="Times New Roman"/>
          <w:sz w:val="24"/>
          <w:szCs w:val="24"/>
        </w:rPr>
        <w:t xml:space="preserve"> R</w:t>
      </w:r>
      <w:r w:rsidR="003806E1" w:rsidRPr="006F42E1">
        <w:rPr>
          <w:rFonts w:ascii="Times New Roman" w:hAnsi="Times New Roman" w:cs="Times New Roman"/>
          <w:sz w:val="24"/>
          <w:szCs w:val="24"/>
        </w:rPr>
        <w:t xml:space="preserve">, </w:t>
      </w:r>
      <w:r w:rsidR="00BD407C" w:rsidRPr="006F42E1">
        <w:rPr>
          <w:rFonts w:ascii="Times New Roman" w:hAnsi="Times New Roman" w:cs="Times New Roman"/>
          <w:sz w:val="24"/>
          <w:szCs w:val="24"/>
        </w:rPr>
        <w:t>sendo principais</w:t>
      </w:r>
      <w:r w:rsidR="003806E1" w:rsidRPr="006F42E1">
        <w:rPr>
          <w:rFonts w:ascii="Times New Roman" w:hAnsi="Times New Roman" w:cs="Times New Roman"/>
          <w:sz w:val="24"/>
          <w:szCs w:val="24"/>
        </w:rPr>
        <w:t xml:space="preserve"> os pacotes estatísticos </w:t>
      </w:r>
      <w:r w:rsidR="00BB0949" w:rsidRPr="006F42E1">
        <w:rPr>
          <w:rFonts w:ascii="Times New Roman" w:hAnsi="Times New Roman" w:cs="Times New Roman"/>
          <w:i/>
          <w:iCs/>
          <w:sz w:val="24"/>
          <w:szCs w:val="24"/>
        </w:rPr>
        <w:t>tseries</w:t>
      </w:r>
      <w:r w:rsidR="00BB0949" w:rsidRPr="006F42E1">
        <w:rPr>
          <w:rFonts w:ascii="Times New Roman" w:hAnsi="Times New Roman" w:cs="Times New Roman"/>
          <w:sz w:val="24"/>
          <w:szCs w:val="24"/>
        </w:rPr>
        <w:t xml:space="preserve">, </w:t>
      </w:r>
      <w:r w:rsidR="00AF2921" w:rsidRPr="006F42E1">
        <w:rPr>
          <w:rFonts w:ascii="Times New Roman" w:hAnsi="Times New Roman" w:cs="Times New Roman"/>
          <w:i/>
          <w:iCs/>
          <w:sz w:val="24"/>
          <w:szCs w:val="24"/>
        </w:rPr>
        <w:t>forecast</w:t>
      </w:r>
      <w:r w:rsidR="006A3590" w:rsidRPr="006F42E1">
        <w:rPr>
          <w:rFonts w:ascii="Times New Roman" w:hAnsi="Times New Roman" w:cs="Times New Roman"/>
          <w:sz w:val="24"/>
          <w:szCs w:val="24"/>
        </w:rPr>
        <w:t xml:space="preserve"> e </w:t>
      </w:r>
      <w:r w:rsidR="006A3590" w:rsidRPr="006F42E1">
        <w:rPr>
          <w:rFonts w:ascii="Times New Roman" w:hAnsi="Times New Roman" w:cs="Times New Roman"/>
          <w:i/>
          <w:iCs/>
          <w:sz w:val="24"/>
          <w:szCs w:val="24"/>
        </w:rPr>
        <w:t>Arima</w:t>
      </w:r>
      <w:r w:rsidR="00BD407C" w:rsidRPr="006F42E1">
        <w:rPr>
          <w:rFonts w:ascii="Times New Roman" w:hAnsi="Times New Roman" w:cs="Times New Roman"/>
          <w:sz w:val="24"/>
          <w:szCs w:val="24"/>
        </w:rPr>
        <w:t xml:space="preserve">. </w:t>
      </w:r>
    </w:p>
    <w:p w14:paraId="239A6A0E" w14:textId="7A102B0E" w:rsidR="00C54C81" w:rsidRPr="006F42E1" w:rsidRDefault="005C0957" w:rsidP="517C960D">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 xml:space="preserve">Embora a projeção pelos métodos anteriores possa ser feita separadamente por sexo, não permitem projetar a população por idade. </w:t>
      </w:r>
      <w:r w:rsidR="004609BF" w:rsidRPr="006F42E1">
        <w:rPr>
          <w:rFonts w:ascii="Times New Roman" w:hAnsi="Times New Roman" w:cs="Times New Roman"/>
          <w:sz w:val="24"/>
          <w:szCs w:val="24"/>
        </w:rPr>
        <w:t>P</w:t>
      </w:r>
      <w:r w:rsidRPr="006F42E1">
        <w:rPr>
          <w:rFonts w:ascii="Times New Roman" w:hAnsi="Times New Roman" w:cs="Times New Roman"/>
          <w:sz w:val="24"/>
          <w:szCs w:val="24"/>
        </w:rPr>
        <w:t>ara projetar a estrutura etária da população de pequenas áreas tem-se o método de Relação de Coortes</w:t>
      </w:r>
      <w:r w:rsidR="00B506EC" w:rsidRPr="006F42E1">
        <w:rPr>
          <w:rFonts w:ascii="Times New Roman" w:hAnsi="Times New Roman" w:cs="Times New Roman"/>
          <w:sz w:val="24"/>
          <w:szCs w:val="24"/>
        </w:rPr>
        <w:t xml:space="preserve"> (DUCHESNE,</w:t>
      </w:r>
      <w:r w:rsidR="000E1DF0" w:rsidRPr="006F42E1">
        <w:rPr>
          <w:rFonts w:ascii="Times New Roman" w:hAnsi="Times New Roman" w:cs="Times New Roman"/>
          <w:sz w:val="24"/>
          <w:szCs w:val="24"/>
        </w:rPr>
        <w:t xml:space="preserve"> 1987</w:t>
      </w:r>
      <w:r w:rsidR="00B506EC" w:rsidRPr="006F42E1">
        <w:rPr>
          <w:rFonts w:ascii="Times New Roman" w:hAnsi="Times New Roman" w:cs="Times New Roman"/>
          <w:sz w:val="24"/>
          <w:szCs w:val="24"/>
        </w:rPr>
        <w:t>), que inclusive consegue incorporar</w:t>
      </w:r>
      <w:r w:rsidR="517C960D" w:rsidRPr="006F42E1">
        <w:rPr>
          <w:rFonts w:ascii="Times New Roman" w:hAnsi="Times New Roman" w:cs="Times New Roman"/>
          <w:sz w:val="24"/>
          <w:szCs w:val="24"/>
        </w:rPr>
        <w:t>, mesmo que indiretamente, algumas nuances do comportamento das componentes demográficas (FREIRE; GONZAGA; GOMES, 2019)</w:t>
      </w:r>
      <w:r w:rsidRPr="006F42E1">
        <w:rPr>
          <w:rFonts w:ascii="Times New Roman" w:hAnsi="Times New Roman" w:cs="Times New Roman"/>
          <w:sz w:val="24"/>
          <w:szCs w:val="24"/>
        </w:rPr>
        <w:t>. Para aplicá-lo é necessário dispor, para os dois últimos censos, da população de cada pequena área desagregada não somente por sexo, mas também por idade; e da projeção quinquenal, para a área maior, da população por sexo e grupos quinquenais de idade, incluindo as relações de sobrevivência ao nascimento por sexo, a taxa de fecundidade total e uma estrutura por idade dessa fecundidade (DUCHESNE, 1987; FOZ, 2021</w:t>
      </w:r>
      <w:r w:rsidR="002B76B5" w:rsidRPr="006F42E1">
        <w:rPr>
          <w:rFonts w:ascii="Times New Roman" w:hAnsi="Times New Roman" w:cs="Times New Roman"/>
          <w:sz w:val="24"/>
          <w:szCs w:val="24"/>
        </w:rPr>
        <w:t>c</w:t>
      </w:r>
      <w:r w:rsidRPr="006F42E1">
        <w:rPr>
          <w:rFonts w:ascii="Times New Roman" w:hAnsi="Times New Roman" w:cs="Times New Roman"/>
          <w:sz w:val="24"/>
          <w:szCs w:val="24"/>
        </w:rPr>
        <w:t xml:space="preserve">). Segundo Duchesne (1987), deve-se atentar para o tamanho das pequenas áreas, que sendo muito pequenas podem demandar cuidados na análise, e ainda entender que a incerteza dos resultados cresce à medida que se amplia o período de projeção, sendo recomendável sua utilização para o médio prazo. </w:t>
      </w:r>
    </w:p>
    <w:p w14:paraId="22B55334" w14:textId="347DE791" w:rsidR="00DD1EDC" w:rsidRPr="006F42E1" w:rsidRDefault="00DD1EDC" w:rsidP="002B7519">
      <w:pPr>
        <w:spacing w:after="0" w:line="360" w:lineRule="auto"/>
        <w:jc w:val="both"/>
        <w:rPr>
          <w:rFonts w:ascii="Times New Roman" w:hAnsi="Times New Roman" w:cs="Times New Roman"/>
          <w:sz w:val="24"/>
          <w:szCs w:val="24"/>
          <w:u w:val="single"/>
        </w:rPr>
      </w:pPr>
      <w:r w:rsidRPr="006F42E1">
        <w:rPr>
          <w:rFonts w:ascii="Times New Roman" w:hAnsi="Times New Roman" w:cs="Times New Roman"/>
          <w:sz w:val="24"/>
          <w:szCs w:val="24"/>
        </w:rPr>
        <w:tab/>
        <w:t xml:space="preserve">Metodologicamente, a projeção é feita </w:t>
      </w:r>
      <w:r w:rsidR="00B17B21" w:rsidRPr="006F42E1">
        <w:rPr>
          <w:rFonts w:ascii="Times New Roman" w:hAnsi="Times New Roman" w:cs="Times New Roman"/>
          <w:sz w:val="24"/>
          <w:szCs w:val="24"/>
        </w:rPr>
        <w:t xml:space="preserve">sempre </w:t>
      </w:r>
      <w:r w:rsidRPr="006F42E1">
        <w:rPr>
          <w:rFonts w:ascii="Times New Roman" w:hAnsi="Times New Roman" w:cs="Times New Roman"/>
          <w:sz w:val="24"/>
          <w:szCs w:val="24"/>
        </w:rPr>
        <w:t>em três partes: i) para os menores de 5 anos; ii) para os grupos etários intermediários; e iii) para o grupo etário aberto</w:t>
      </w:r>
      <w:r w:rsidR="003B2FE8" w:rsidRPr="006F42E1">
        <w:rPr>
          <w:rFonts w:ascii="Times New Roman" w:hAnsi="Times New Roman" w:cs="Times New Roman"/>
          <w:sz w:val="24"/>
          <w:szCs w:val="24"/>
        </w:rPr>
        <w:t xml:space="preserve">. Isto é, tem-se </w:t>
      </w:r>
      <w:r w:rsidR="003B2FE8" w:rsidRPr="006F42E1">
        <w:rPr>
          <w:rFonts w:ascii="Times New Roman" w:hAnsi="Times New Roman" w:cs="Times New Roman"/>
          <w:sz w:val="24"/>
          <w:szCs w:val="24"/>
        </w:rPr>
        <w:lastRenderedPageBreak/>
        <w:t>uma fórmula mais ge</w:t>
      </w:r>
      <w:r w:rsidR="008D3E9A" w:rsidRPr="006F42E1">
        <w:rPr>
          <w:rFonts w:ascii="Times New Roman" w:hAnsi="Times New Roman" w:cs="Times New Roman"/>
          <w:sz w:val="24"/>
          <w:szCs w:val="24"/>
        </w:rPr>
        <w:t>ral</w:t>
      </w:r>
      <w:r w:rsidR="0086720A" w:rsidRPr="006F42E1">
        <w:rPr>
          <w:rFonts w:ascii="Times New Roman" w:hAnsi="Times New Roman" w:cs="Times New Roman"/>
          <w:sz w:val="24"/>
          <w:szCs w:val="24"/>
        </w:rPr>
        <w:t xml:space="preserve"> (Figura 2)</w:t>
      </w:r>
      <w:r w:rsidR="008D3E9A" w:rsidRPr="006F42E1">
        <w:rPr>
          <w:rFonts w:ascii="Times New Roman" w:hAnsi="Times New Roman" w:cs="Times New Roman"/>
          <w:sz w:val="24"/>
          <w:szCs w:val="24"/>
        </w:rPr>
        <w:t xml:space="preserve"> a ser aplicada em todos os grupos intermediários</w:t>
      </w:r>
      <w:r w:rsidR="0012723E" w:rsidRPr="006F42E1">
        <w:rPr>
          <w:rFonts w:ascii="Times New Roman" w:hAnsi="Times New Roman" w:cs="Times New Roman"/>
          <w:sz w:val="24"/>
          <w:szCs w:val="24"/>
        </w:rPr>
        <w:t xml:space="preserve">, </w:t>
      </w:r>
      <w:r w:rsidR="001D0453" w:rsidRPr="006F42E1">
        <w:rPr>
          <w:rFonts w:ascii="Times New Roman" w:hAnsi="Times New Roman" w:cs="Times New Roman"/>
          <w:sz w:val="24"/>
          <w:szCs w:val="24"/>
        </w:rPr>
        <w:t xml:space="preserve">mas </w:t>
      </w:r>
      <w:r w:rsidR="0012723E" w:rsidRPr="006F42E1">
        <w:rPr>
          <w:rFonts w:ascii="Times New Roman" w:hAnsi="Times New Roman" w:cs="Times New Roman"/>
          <w:sz w:val="24"/>
          <w:szCs w:val="24"/>
        </w:rPr>
        <w:t xml:space="preserve">que demanda </w:t>
      </w:r>
      <w:r w:rsidR="007A7D42" w:rsidRPr="006F42E1">
        <w:rPr>
          <w:rFonts w:ascii="Times New Roman" w:hAnsi="Times New Roman" w:cs="Times New Roman"/>
          <w:sz w:val="24"/>
          <w:szCs w:val="24"/>
        </w:rPr>
        <w:t>pequenas adaptações para o último grupo</w:t>
      </w:r>
      <w:r w:rsidR="00595B6D" w:rsidRPr="006F42E1">
        <w:rPr>
          <w:rFonts w:ascii="Times New Roman" w:hAnsi="Times New Roman" w:cs="Times New Roman"/>
          <w:sz w:val="24"/>
          <w:szCs w:val="24"/>
        </w:rPr>
        <w:t xml:space="preserve"> etário</w:t>
      </w:r>
      <w:r w:rsidR="007A7D42" w:rsidRPr="006F42E1">
        <w:rPr>
          <w:rFonts w:ascii="Times New Roman" w:hAnsi="Times New Roman" w:cs="Times New Roman"/>
          <w:sz w:val="24"/>
          <w:szCs w:val="24"/>
        </w:rPr>
        <w:t xml:space="preserve">, </w:t>
      </w:r>
      <w:r w:rsidR="004A0E98" w:rsidRPr="006F42E1">
        <w:rPr>
          <w:rFonts w:ascii="Times New Roman" w:hAnsi="Times New Roman" w:cs="Times New Roman"/>
          <w:sz w:val="24"/>
          <w:szCs w:val="24"/>
        </w:rPr>
        <w:t>por este ser</w:t>
      </w:r>
      <w:r w:rsidR="007A7D42" w:rsidRPr="006F42E1">
        <w:rPr>
          <w:rFonts w:ascii="Times New Roman" w:hAnsi="Times New Roman" w:cs="Times New Roman"/>
          <w:sz w:val="24"/>
          <w:szCs w:val="24"/>
        </w:rPr>
        <w:t xml:space="preserve"> aberto</w:t>
      </w:r>
      <w:r w:rsidR="00595B6D" w:rsidRPr="006F42E1">
        <w:rPr>
          <w:rFonts w:ascii="Times New Roman" w:hAnsi="Times New Roman" w:cs="Times New Roman"/>
          <w:sz w:val="24"/>
          <w:szCs w:val="24"/>
        </w:rPr>
        <w:t xml:space="preserve">. </w:t>
      </w:r>
      <w:r w:rsidR="001D0453" w:rsidRPr="006F42E1">
        <w:rPr>
          <w:rFonts w:ascii="Times New Roman" w:hAnsi="Times New Roman" w:cs="Times New Roman"/>
          <w:sz w:val="24"/>
          <w:szCs w:val="24"/>
        </w:rPr>
        <w:t>Já n</w:t>
      </w:r>
      <w:r w:rsidR="004A0E98" w:rsidRPr="006F42E1">
        <w:rPr>
          <w:rFonts w:ascii="Times New Roman" w:hAnsi="Times New Roman" w:cs="Times New Roman"/>
          <w:sz w:val="24"/>
          <w:szCs w:val="24"/>
        </w:rPr>
        <w:t>o caso do</w:t>
      </w:r>
      <w:r w:rsidR="00705D92" w:rsidRPr="006F42E1">
        <w:rPr>
          <w:rFonts w:ascii="Times New Roman" w:hAnsi="Times New Roman" w:cs="Times New Roman"/>
          <w:sz w:val="24"/>
          <w:szCs w:val="24"/>
        </w:rPr>
        <w:t xml:space="preserve"> primeiro grupo, a projeção da população é feita </w:t>
      </w:r>
      <w:r w:rsidR="004A0E98" w:rsidRPr="006F42E1">
        <w:rPr>
          <w:rFonts w:ascii="Times New Roman" w:hAnsi="Times New Roman" w:cs="Times New Roman"/>
          <w:sz w:val="24"/>
          <w:szCs w:val="24"/>
        </w:rPr>
        <w:t>a partir d</w:t>
      </w:r>
      <w:r w:rsidR="0086720A" w:rsidRPr="006F42E1">
        <w:rPr>
          <w:rFonts w:ascii="Times New Roman" w:hAnsi="Times New Roman" w:cs="Times New Roman"/>
          <w:sz w:val="24"/>
          <w:szCs w:val="24"/>
        </w:rPr>
        <w:t>os nascimentos</w:t>
      </w:r>
      <w:r w:rsidR="00AD21C4" w:rsidRPr="006F42E1">
        <w:rPr>
          <w:rFonts w:ascii="Times New Roman" w:hAnsi="Times New Roman" w:cs="Times New Roman"/>
          <w:sz w:val="24"/>
          <w:szCs w:val="24"/>
        </w:rPr>
        <w:t>, que</w:t>
      </w:r>
      <w:r w:rsidR="0086720A" w:rsidRPr="006F42E1">
        <w:rPr>
          <w:rFonts w:ascii="Times New Roman" w:hAnsi="Times New Roman" w:cs="Times New Roman"/>
          <w:sz w:val="24"/>
          <w:szCs w:val="24"/>
        </w:rPr>
        <w:t xml:space="preserve"> </w:t>
      </w:r>
      <w:r w:rsidR="00144466" w:rsidRPr="006F42E1">
        <w:rPr>
          <w:rFonts w:ascii="Times New Roman" w:hAnsi="Times New Roman" w:cs="Times New Roman"/>
          <w:sz w:val="24"/>
          <w:szCs w:val="24"/>
        </w:rPr>
        <w:t xml:space="preserve">são </w:t>
      </w:r>
      <w:r w:rsidR="0086720A" w:rsidRPr="006F42E1">
        <w:rPr>
          <w:rFonts w:ascii="Times New Roman" w:hAnsi="Times New Roman" w:cs="Times New Roman"/>
          <w:sz w:val="24"/>
          <w:szCs w:val="24"/>
        </w:rPr>
        <w:t xml:space="preserve">gerados </w:t>
      </w:r>
      <w:r w:rsidR="00573278" w:rsidRPr="006F42E1">
        <w:rPr>
          <w:rFonts w:ascii="Times New Roman" w:hAnsi="Times New Roman" w:cs="Times New Roman"/>
          <w:sz w:val="24"/>
          <w:szCs w:val="24"/>
        </w:rPr>
        <w:t>utilizando-se</w:t>
      </w:r>
      <w:r w:rsidR="004A0E98" w:rsidRPr="006F42E1">
        <w:rPr>
          <w:rFonts w:ascii="Times New Roman" w:hAnsi="Times New Roman" w:cs="Times New Roman"/>
          <w:sz w:val="24"/>
          <w:szCs w:val="24"/>
        </w:rPr>
        <w:t xml:space="preserve"> </w:t>
      </w:r>
      <w:r w:rsidR="00AD21C4" w:rsidRPr="006F42E1">
        <w:rPr>
          <w:rFonts w:ascii="Times New Roman" w:hAnsi="Times New Roman" w:cs="Times New Roman"/>
          <w:sz w:val="24"/>
          <w:szCs w:val="24"/>
        </w:rPr>
        <w:t xml:space="preserve">das projeções </w:t>
      </w:r>
      <w:r w:rsidR="004A0E98" w:rsidRPr="006F42E1">
        <w:rPr>
          <w:rFonts w:ascii="Times New Roman" w:hAnsi="Times New Roman" w:cs="Times New Roman"/>
          <w:sz w:val="24"/>
          <w:szCs w:val="24"/>
        </w:rPr>
        <w:t>d</w:t>
      </w:r>
      <w:r w:rsidR="00484800" w:rsidRPr="006F42E1">
        <w:rPr>
          <w:rFonts w:ascii="Times New Roman" w:hAnsi="Times New Roman" w:cs="Times New Roman"/>
          <w:sz w:val="24"/>
          <w:szCs w:val="24"/>
        </w:rPr>
        <w:t>a</w:t>
      </w:r>
      <w:r w:rsidR="004A0E98" w:rsidRPr="006F42E1">
        <w:rPr>
          <w:rFonts w:ascii="Times New Roman" w:hAnsi="Times New Roman" w:cs="Times New Roman"/>
          <w:sz w:val="24"/>
          <w:szCs w:val="24"/>
        </w:rPr>
        <w:t xml:space="preserve"> fecundidade e </w:t>
      </w:r>
      <w:r w:rsidR="00484800" w:rsidRPr="006F42E1">
        <w:rPr>
          <w:rFonts w:ascii="Times New Roman" w:hAnsi="Times New Roman" w:cs="Times New Roman"/>
          <w:sz w:val="24"/>
          <w:szCs w:val="24"/>
        </w:rPr>
        <w:t>mortalidade</w:t>
      </w:r>
      <w:r w:rsidR="00A774F7" w:rsidRPr="006F42E1">
        <w:rPr>
          <w:rFonts w:ascii="Times New Roman" w:hAnsi="Times New Roman" w:cs="Times New Roman"/>
          <w:sz w:val="24"/>
          <w:szCs w:val="24"/>
        </w:rPr>
        <w:t xml:space="preserve"> </w:t>
      </w:r>
      <w:r w:rsidR="00AD21C4" w:rsidRPr="006F42E1">
        <w:rPr>
          <w:rFonts w:ascii="Times New Roman" w:hAnsi="Times New Roman" w:cs="Times New Roman"/>
          <w:sz w:val="24"/>
          <w:szCs w:val="24"/>
        </w:rPr>
        <w:t>ti</w:t>
      </w:r>
      <w:r w:rsidR="00A774F7" w:rsidRPr="006F42E1">
        <w:rPr>
          <w:rFonts w:ascii="Times New Roman" w:hAnsi="Times New Roman" w:cs="Times New Roman"/>
          <w:sz w:val="24"/>
          <w:szCs w:val="24"/>
        </w:rPr>
        <w:t>das para a área maior</w:t>
      </w:r>
      <w:r w:rsidR="004A0E98" w:rsidRPr="006F42E1">
        <w:rPr>
          <w:rFonts w:ascii="Times New Roman" w:hAnsi="Times New Roman" w:cs="Times New Roman"/>
          <w:sz w:val="24"/>
          <w:szCs w:val="24"/>
        </w:rPr>
        <w:t>, mais o cálculo de um fator de crescimento diferencial (k) ao nascimento (DUCHESNE, 1987).</w:t>
      </w:r>
    </w:p>
    <w:p w14:paraId="2B26B9DA" w14:textId="2183BFD2" w:rsidR="43CF6635" w:rsidRPr="006F42E1" w:rsidRDefault="43CF6635" w:rsidP="43CF6635">
      <w:pPr>
        <w:spacing w:after="0" w:line="360" w:lineRule="auto"/>
        <w:jc w:val="both"/>
        <w:rPr>
          <w:rFonts w:ascii="Times New Roman" w:hAnsi="Times New Roman" w:cs="Times New Roman"/>
          <w:sz w:val="24"/>
          <w:szCs w:val="24"/>
          <w:u w:val="single"/>
        </w:rPr>
      </w:pPr>
    </w:p>
    <w:p w14:paraId="56112E31" w14:textId="479BB468" w:rsidR="43CF6635" w:rsidRPr="006F42E1" w:rsidRDefault="6A27609A" w:rsidP="00573278">
      <w:pPr>
        <w:spacing w:after="0" w:line="240" w:lineRule="auto"/>
        <w:jc w:val="both"/>
        <w:rPr>
          <w:rFonts w:ascii="Times New Roman" w:hAnsi="Times New Roman" w:cs="Times New Roman"/>
          <w:b/>
          <w:bCs/>
          <w:sz w:val="24"/>
          <w:szCs w:val="24"/>
        </w:rPr>
      </w:pPr>
      <w:r w:rsidRPr="006F42E1">
        <w:rPr>
          <w:rFonts w:ascii="Times New Roman" w:hAnsi="Times New Roman" w:cs="Times New Roman"/>
          <w:b/>
          <w:bCs/>
          <w:sz w:val="24"/>
          <w:szCs w:val="24"/>
        </w:rPr>
        <w:t xml:space="preserve">Figura 2 - Equação para projetar </w:t>
      </w:r>
      <w:r w:rsidR="007F62EC" w:rsidRPr="006F42E1">
        <w:rPr>
          <w:rFonts w:ascii="Times New Roman" w:hAnsi="Times New Roman" w:cs="Times New Roman"/>
          <w:b/>
          <w:bCs/>
          <w:sz w:val="24"/>
          <w:szCs w:val="24"/>
        </w:rPr>
        <w:t xml:space="preserve">quinquenalmente </w:t>
      </w:r>
      <w:r w:rsidRPr="006F42E1">
        <w:rPr>
          <w:rFonts w:ascii="Times New Roman" w:hAnsi="Times New Roman" w:cs="Times New Roman"/>
          <w:b/>
          <w:bCs/>
          <w:sz w:val="24"/>
          <w:szCs w:val="24"/>
        </w:rPr>
        <w:t>a população p</w:t>
      </w:r>
      <w:r w:rsidR="00B6670B" w:rsidRPr="006F42E1">
        <w:rPr>
          <w:rFonts w:ascii="Times New Roman" w:hAnsi="Times New Roman" w:cs="Times New Roman"/>
          <w:b/>
          <w:bCs/>
          <w:sz w:val="24"/>
          <w:szCs w:val="24"/>
        </w:rPr>
        <w:t xml:space="preserve">ara os grupos etários intermediários (de 5 a </w:t>
      </w:r>
      <w:r w:rsidR="007F62EC" w:rsidRPr="006F42E1">
        <w:rPr>
          <w:rFonts w:ascii="Times New Roman" w:hAnsi="Times New Roman" w:cs="Times New Roman"/>
          <w:b/>
          <w:bCs/>
          <w:sz w:val="24"/>
          <w:szCs w:val="24"/>
        </w:rPr>
        <w:t>85 anos)</w:t>
      </w:r>
    </w:p>
    <w:p w14:paraId="34B4C9A3" w14:textId="230A4293" w:rsidR="43CF6635" w:rsidRPr="006F42E1" w:rsidRDefault="43CF6635" w:rsidP="00573278">
      <w:pPr>
        <w:spacing w:after="0" w:line="276" w:lineRule="auto"/>
        <w:jc w:val="center"/>
      </w:pPr>
      <w:r w:rsidRPr="006F42E1">
        <w:rPr>
          <w:noProof/>
        </w:rPr>
        <w:drawing>
          <wp:inline distT="0" distB="0" distL="0" distR="0" wp14:anchorId="2E30061A" wp14:editId="5B76AFDC">
            <wp:extent cx="4324120" cy="2990850"/>
            <wp:effectExtent l="0" t="0" r="635" b="0"/>
            <wp:docPr id="1134680015" name="Imagem 113468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334557" cy="2998069"/>
                    </a:xfrm>
                    <a:prstGeom prst="rect">
                      <a:avLst/>
                    </a:prstGeom>
                  </pic:spPr>
                </pic:pic>
              </a:graphicData>
            </a:graphic>
          </wp:inline>
        </w:drawing>
      </w:r>
    </w:p>
    <w:p w14:paraId="6C9D44AE" w14:textId="0FB20B51" w:rsidR="43CF6635" w:rsidRPr="006F42E1" w:rsidRDefault="43CF6635" w:rsidP="00573278">
      <w:pPr>
        <w:spacing w:after="0" w:line="240" w:lineRule="auto"/>
        <w:jc w:val="both"/>
        <w:rPr>
          <w:rFonts w:ascii="Times New Roman" w:eastAsia="Times New Roman" w:hAnsi="Times New Roman" w:cs="Times New Roman"/>
          <w:sz w:val="20"/>
          <w:szCs w:val="20"/>
        </w:rPr>
      </w:pPr>
      <w:r w:rsidRPr="006F42E1">
        <w:rPr>
          <w:rFonts w:ascii="Times New Roman" w:eastAsia="Times New Roman" w:hAnsi="Times New Roman" w:cs="Times New Roman"/>
          <w:sz w:val="20"/>
          <w:szCs w:val="20"/>
        </w:rPr>
        <w:t>Fonte: FOZ, 2021</w:t>
      </w:r>
      <w:r w:rsidR="00E557DA" w:rsidRPr="006F42E1">
        <w:rPr>
          <w:rFonts w:ascii="Times New Roman" w:eastAsia="Times New Roman" w:hAnsi="Times New Roman" w:cs="Times New Roman"/>
          <w:sz w:val="20"/>
          <w:szCs w:val="20"/>
        </w:rPr>
        <w:t>c</w:t>
      </w:r>
      <w:r w:rsidRPr="006F42E1">
        <w:rPr>
          <w:rFonts w:ascii="Times New Roman" w:eastAsia="Times New Roman" w:hAnsi="Times New Roman" w:cs="Times New Roman"/>
          <w:sz w:val="20"/>
          <w:szCs w:val="20"/>
        </w:rPr>
        <w:t>, p. 797.</w:t>
      </w:r>
    </w:p>
    <w:p w14:paraId="73281364" w14:textId="7AE41423" w:rsidR="43CF6635" w:rsidRPr="006F42E1" w:rsidRDefault="43CF6635" w:rsidP="43CF6635">
      <w:pPr>
        <w:spacing w:after="0" w:line="360" w:lineRule="auto"/>
        <w:jc w:val="both"/>
        <w:rPr>
          <w:rFonts w:ascii="Times New Roman" w:hAnsi="Times New Roman" w:cs="Times New Roman"/>
          <w:sz w:val="24"/>
          <w:szCs w:val="24"/>
        </w:rPr>
      </w:pPr>
    </w:p>
    <w:p w14:paraId="6F4477A3" w14:textId="1022ACC9" w:rsidR="002B6153" w:rsidRPr="006F42E1" w:rsidRDefault="00F92A56" w:rsidP="002B7519">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5C0957" w:rsidRPr="006F42E1">
        <w:rPr>
          <w:rFonts w:ascii="Times New Roman" w:hAnsi="Times New Roman" w:cs="Times New Roman"/>
          <w:sz w:val="24"/>
          <w:szCs w:val="24"/>
        </w:rPr>
        <w:t>Por esse método</w:t>
      </w:r>
      <w:r w:rsidR="00DB048C" w:rsidRPr="006F42E1">
        <w:rPr>
          <w:rFonts w:ascii="Times New Roman" w:hAnsi="Times New Roman" w:cs="Times New Roman"/>
          <w:sz w:val="24"/>
          <w:szCs w:val="24"/>
        </w:rPr>
        <w:t>,</w:t>
      </w:r>
      <w:r w:rsidR="005C0957" w:rsidRPr="006F42E1">
        <w:rPr>
          <w:rFonts w:ascii="Times New Roman" w:hAnsi="Times New Roman" w:cs="Times New Roman"/>
          <w:sz w:val="24"/>
          <w:szCs w:val="24"/>
        </w:rPr>
        <w:t xml:space="preserve"> a igualdade entre a projeção para a área maior e a soma das populações menores não é assegurada, o que demanda um ajuste adicional, embora simples. </w:t>
      </w:r>
      <w:r w:rsidR="009265E2" w:rsidRPr="006F42E1">
        <w:rPr>
          <w:rFonts w:ascii="Times New Roman" w:hAnsi="Times New Roman" w:cs="Times New Roman"/>
          <w:sz w:val="24"/>
          <w:szCs w:val="24"/>
        </w:rPr>
        <w:t>Neste trabalho utilizou-se uma distribuição proporcional das diferenças</w:t>
      </w:r>
      <w:r w:rsidR="00AF2933" w:rsidRPr="006F42E1">
        <w:rPr>
          <w:rFonts w:ascii="Times New Roman" w:hAnsi="Times New Roman" w:cs="Times New Roman"/>
          <w:sz w:val="24"/>
          <w:szCs w:val="24"/>
        </w:rPr>
        <w:t xml:space="preserve">. </w:t>
      </w:r>
      <w:r w:rsidR="005C0957" w:rsidRPr="006F42E1">
        <w:rPr>
          <w:rFonts w:ascii="Times New Roman" w:hAnsi="Times New Roman" w:cs="Times New Roman"/>
          <w:sz w:val="24"/>
          <w:szCs w:val="24"/>
        </w:rPr>
        <w:t>Mais importante, uma vez obtidos os fatores K, responsáveis por ajustar/aproximar o crescimento da área maior para cada pequena área, estes são mantidos constantes ao longo de todo o período de projeção, pressupondo, portanto, que o ajuste necessário permanece o mesmo. Uma outra limitação decorre de mudanças muito grandes na população ou em sua estrutura nos últimos censos, inclusive por efeito da migração, que podem produzir resultados pouco razoáveis</w:t>
      </w:r>
      <w:r w:rsidR="001D0453" w:rsidRPr="006F42E1">
        <w:rPr>
          <w:rFonts w:ascii="Times New Roman" w:hAnsi="Times New Roman" w:cs="Times New Roman"/>
          <w:sz w:val="24"/>
          <w:szCs w:val="24"/>
        </w:rPr>
        <w:t xml:space="preserve"> ao afetar os fatores K</w:t>
      </w:r>
      <w:r w:rsidR="006B69C0" w:rsidRPr="006F42E1">
        <w:rPr>
          <w:rFonts w:ascii="Times New Roman" w:hAnsi="Times New Roman" w:cs="Times New Roman"/>
          <w:sz w:val="24"/>
          <w:szCs w:val="24"/>
        </w:rPr>
        <w:t xml:space="preserve"> </w:t>
      </w:r>
      <w:r w:rsidR="006B69C0" w:rsidRPr="006F42E1">
        <w:rPr>
          <w:rFonts w:ascii="Times New Roman" w:hAnsi="Times New Roman" w:cs="Times New Roman"/>
          <w:sz w:val="24"/>
          <w:szCs w:val="24"/>
        </w:rPr>
        <w:lastRenderedPageBreak/>
        <w:t>(FREIRE; GONZAGA; GOMES, 2019)</w:t>
      </w:r>
      <w:r w:rsidR="005C0957" w:rsidRPr="006F42E1">
        <w:rPr>
          <w:rFonts w:ascii="Times New Roman" w:hAnsi="Times New Roman" w:cs="Times New Roman"/>
          <w:sz w:val="24"/>
          <w:szCs w:val="24"/>
        </w:rPr>
        <w:t>. Quanto a isso, Duchesne (1987) recomenda a suavização d</w:t>
      </w:r>
      <w:r w:rsidR="001D0453" w:rsidRPr="006F42E1">
        <w:rPr>
          <w:rFonts w:ascii="Times New Roman" w:hAnsi="Times New Roman" w:cs="Times New Roman"/>
          <w:sz w:val="24"/>
          <w:szCs w:val="24"/>
        </w:rPr>
        <w:t>esses</w:t>
      </w:r>
      <w:r w:rsidR="005C0957" w:rsidRPr="006F42E1">
        <w:rPr>
          <w:rFonts w:ascii="Times New Roman" w:hAnsi="Times New Roman" w:cs="Times New Roman"/>
          <w:sz w:val="24"/>
          <w:szCs w:val="24"/>
        </w:rPr>
        <w:t xml:space="preserve"> fatores</w:t>
      </w:r>
      <w:r w:rsidR="001D0453" w:rsidRPr="006F42E1">
        <w:rPr>
          <w:rFonts w:ascii="Times New Roman" w:hAnsi="Times New Roman" w:cs="Times New Roman"/>
          <w:sz w:val="24"/>
          <w:szCs w:val="24"/>
        </w:rPr>
        <w:t>,</w:t>
      </w:r>
      <w:r w:rsidR="005C0957" w:rsidRPr="006F42E1">
        <w:rPr>
          <w:rFonts w:ascii="Times New Roman" w:hAnsi="Times New Roman" w:cs="Times New Roman"/>
          <w:sz w:val="24"/>
          <w:szCs w:val="24"/>
        </w:rPr>
        <w:t xml:space="preserve"> por exemplo utilizando um procedimento de média móvel.</w:t>
      </w:r>
      <w:r w:rsidR="00584E04" w:rsidRPr="006F42E1">
        <w:rPr>
          <w:rFonts w:ascii="Times New Roman" w:hAnsi="Times New Roman" w:cs="Times New Roman"/>
          <w:sz w:val="24"/>
          <w:szCs w:val="24"/>
        </w:rPr>
        <w:t xml:space="preserve"> </w:t>
      </w:r>
    </w:p>
    <w:p w14:paraId="5FA54EC6" w14:textId="49A777D3" w:rsidR="00A9000E" w:rsidRPr="006F42E1" w:rsidRDefault="00A9000E" w:rsidP="13B1A6B2">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 xml:space="preserve">A partir desses métodos, as projeções são feitas para 2010, e utiliza-se os dados reais do Censo para comparação. Como critério para </w:t>
      </w:r>
      <w:r w:rsidR="00B37972" w:rsidRPr="006F42E1">
        <w:rPr>
          <w:rFonts w:ascii="Times New Roman" w:hAnsi="Times New Roman" w:cs="Times New Roman"/>
          <w:sz w:val="24"/>
          <w:szCs w:val="24"/>
        </w:rPr>
        <w:t xml:space="preserve">escolha do método mais assertivo será adotada a soma do quadrado dos </w:t>
      </w:r>
      <w:r w:rsidR="00BE2E0F" w:rsidRPr="006F42E1">
        <w:rPr>
          <w:rFonts w:ascii="Times New Roman" w:hAnsi="Times New Roman" w:cs="Times New Roman"/>
          <w:sz w:val="24"/>
          <w:szCs w:val="24"/>
        </w:rPr>
        <w:t>desvios</w:t>
      </w:r>
      <w:r w:rsidR="00332256" w:rsidRPr="006F42E1">
        <w:rPr>
          <w:rFonts w:ascii="Times New Roman" w:hAnsi="Times New Roman" w:cs="Times New Roman"/>
          <w:sz w:val="24"/>
          <w:szCs w:val="24"/>
        </w:rPr>
        <w:t xml:space="preserve"> (SQD)</w:t>
      </w:r>
      <w:r w:rsidR="00BE2E0F" w:rsidRPr="006F42E1">
        <w:rPr>
          <w:rFonts w:ascii="Times New Roman" w:hAnsi="Times New Roman" w:cs="Times New Roman"/>
          <w:sz w:val="24"/>
          <w:szCs w:val="24"/>
        </w:rPr>
        <w:t xml:space="preserve"> </w:t>
      </w:r>
      <w:r w:rsidR="00CD310F" w:rsidRPr="006F42E1">
        <w:rPr>
          <w:rFonts w:ascii="Times New Roman" w:hAnsi="Times New Roman" w:cs="Times New Roman"/>
          <w:sz w:val="24"/>
          <w:szCs w:val="24"/>
        </w:rPr>
        <w:t>dos resultados produzidos por cada método</w:t>
      </w:r>
      <w:r w:rsidR="00CE43D9" w:rsidRPr="006F42E1">
        <w:rPr>
          <w:rFonts w:ascii="Times New Roman" w:hAnsi="Times New Roman" w:cs="Times New Roman"/>
          <w:sz w:val="24"/>
          <w:szCs w:val="24"/>
        </w:rPr>
        <w:t xml:space="preserve"> </w:t>
      </w:r>
      <w:r w:rsidR="00BE2E0F" w:rsidRPr="006F42E1">
        <w:rPr>
          <w:rFonts w:ascii="Times New Roman" w:hAnsi="Times New Roman" w:cs="Times New Roman"/>
          <w:sz w:val="24"/>
          <w:szCs w:val="24"/>
        </w:rPr>
        <w:t>em relação às populações realmente observadas nas microrregiões</w:t>
      </w:r>
      <w:r w:rsidR="00CD310F" w:rsidRPr="006F42E1">
        <w:rPr>
          <w:rFonts w:ascii="Times New Roman" w:hAnsi="Times New Roman" w:cs="Times New Roman"/>
          <w:sz w:val="24"/>
          <w:szCs w:val="24"/>
        </w:rPr>
        <w:t xml:space="preserve"> cearenses em 2010. </w:t>
      </w:r>
      <w:r w:rsidR="00B50FB9" w:rsidRPr="006F42E1">
        <w:rPr>
          <w:rFonts w:ascii="Times New Roman" w:hAnsi="Times New Roman" w:cs="Times New Roman"/>
          <w:sz w:val="24"/>
          <w:szCs w:val="24"/>
        </w:rPr>
        <w:t>O</w:t>
      </w:r>
      <w:r w:rsidR="002B615B" w:rsidRPr="006F42E1">
        <w:rPr>
          <w:rFonts w:ascii="Times New Roman" w:hAnsi="Times New Roman" w:cs="Times New Roman"/>
          <w:sz w:val="24"/>
          <w:szCs w:val="24"/>
        </w:rPr>
        <w:t xml:space="preserve"> </w:t>
      </w:r>
      <w:r w:rsidR="00AF32E9" w:rsidRPr="006F42E1">
        <w:rPr>
          <w:rFonts w:ascii="Times New Roman" w:hAnsi="Times New Roman" w:cs="Times New Roman"/>
          <w:sz w:val="24"/>
          <w:szCs w:val="24"/>
        </w:rPr>
        <w:t xml:space="preserve">método </w:t>
      </w:r>
      <w:r w:rsidR="0005069C" w:rsidRPr="006F42E1">
        <w:rPr>
          <w:rFonts w:ascii="Times New Roman" w:hAnsi="Times New Roman" w:cs="Times New Roman"/>
          <w:sz w:val="24"/>
          <w:szCs w:val="24"/>
        </w:rPr>
        <w:t xml:space="preserve">que apresentar a menor </w:t>
      </w:r>
      <w:r w:rsidR="00332256" w:rsidRPr="006F42E1">
        <w:rPr>
          <w:rFonts w:ascii="Times New Roman" w:hAnsi="Times New Roman" w:cs="Times New Roman"/>
          <w:sz w:val="24"/>
          <w:szCs w:val="24"/>
        </w:rPr>
        <w:t>SQD</w:t>
      </w:r>
      <w:r w:rsidR="0005069C" w:rsidRPr="006F42E1">
        <w:rPr>
          <w:rFonts w:ascii="Times New Roman" w:hAnsi="Times New Roman" w:cs="Times New Roman"/>
          <w:sz w:val="24"/>
          <w:szCs w:val="24"/>
        </w:rPr>
        <w:t xml:space="preserve"> </w:t>
      </w:r>
      <w:r w:rsidR="002B615B" w:rsidRPr="006F42E1">
        <w:rPr>
          <w:rFonts w:ascii="Times New Roman" w:hAnsi="Times New Roman" w:cs="Times New Roman"/>
          <w:sz w:val="24"/>
          <w:szCs w:val="24"/>
        </w:rPr>
        <w:t xml:space="preserve">será </w:t>
      </w:r>
      <w:r w:rsidR="00B50FB9" w:rsidRPr="006F42E1">
        <w:rPr>
          <w:rFonts w:ascii="Times New Roman" w:hAnsi="Times New Roman" w:cs="Times New Roman"/>
          <w:sz w:val="24"/>
          <w:szCs w:val="24"/>
        </w:rPr>
        <w:t xml:space="preserve">utilizado para </w:t>
      </w:r>
      <w:r w:rsidR="002B615B" w:rsidRPr="006F42E1">
        <w:rPr>
          <w:rFonts w:ascii="Times New Roman" w:hAnsi="Times New Roman" w:cs="Times New Roman"/>
          <w:sz w:val="24"/>
          <w:szCs w:val="24"/>
        </w:rPr>
        <w:t>projeta</w:t>
      </w:r>
      <w:r w:rsidR="00B50FB9" w:rsidRPr="006F42E1">
        <w:rPr>
          <w:rFonts w:ascii="Times New Roman" w:hAnsi="Times New Roman" w:cs="Times New Roman"/>
          <w:sz w:val="24"/>
          <w:szCs w:val="24"/>
        </w:rPr>
        <w:t>r</w:t>
      </w:r>
      <w:r w:rsidR="002B615B" w:rsidRPr="006F42E1">
        <w:rPr>
          <w:rFonts w:ascii="Times New Roman" w:hAnsi="Times New Roman" w:cs="Times New Roman"/>
          <w:sz w:val="24"/>
          <w:szCs w:val="24"/>
        </w:rPr>
        <w:t xml:space="preserve"> a população </w:t>
      </w:r>
      <w:r w:rsidR="00AF32E9" w:rsidRPr="006F42E1">
        <w:rPr>
          <w:rFonts w:ascii="Times New Roman" w:hAnsi="Times New Roman" w:cs="Times New Roman"/>
          <w:sz w:val="24"/>
          <w:szCs w:val="24"/>
        </w:rPr>
        <w:t>da</w:t>
      </w:r>
      <w:r w:rsidR="002B615B" w:rsidRPr="006F42E1">
        <w:rPr>
          <w:rFonts w:ascii="Times New Roman" w:hAnsi="Times New Roman" w:cs="Times New Roman"/>
          <w:sz w:val="24"/>
          <w:szCs w:val="24"/>
        </w:rPr>
        <w:t xml:space="preserve"> Microrregião do Cariri até 2050, combinado ao de Relação de Coortes </w:t>
      </w:r>
      <w:r w:rsidR="00B50FB9" w:rsidRPr="006F42E1">
        <w:rPr>
          <w:rFonts w:ascii="Times New Roman" w:hAnsi="Times New Roman" w:cs="Times New Roman"/>
          <w:sz w:val="24"/>
          <w:szCs w:val="24"/>
        </w:rPr>
        <w:t>que é</w:t>
      </w:r>
      <w:r w:rsidR="002B615B" w:rsidRPr="006F42E1">
        <w:rPr>
          <w:rFonts w:ascii="Times New Roman" w:hAnsi="Times New Roman" w:cs="Times New Roman"/>
          <w:sz w:val="24"/>
          <w:szCs w:val="24"/>
        </w:rPr>
        <w:t xml:space="preserve"> o único que </w:t>
      </w:r>
      <w:r w:rsidR="00DE27F2" w:rsidRPr="006F42E1">
        <w:rPr>
          <w:rFonts w:ascii="Times New Roman" w:hAnsi="Times New Roman" w:cs="Times New Roman"/>
          <w:sz w:val="24"/>
          <w:szCs w:val="24"/>
        </w:rPr>
        <w:t xml:space="preserve">permite a projeção </w:t>
      </w:r>
      <w:r w:rsidR="00AF32E9" w:rsidRPr="006F42E1">
        <w:rPr>
          <w:rFonts w:ascii="Times New Roman" w:hAnsi="Times New Roman" w:cs="Times New Roman"/>
          <w:sz w:val="24"/>
          <w:szCs w:val="24"/>
        </w:rPr>
        <w:t>da estrutura etária</w:t>
      </w:r>
      <w:r w:rsidR="00DE27F2" w:rsidRPr="006F42E1">
        <w:rPr>
          <w:rFonts w:ascii="Times New Roman" w:hAnsi="Times New Roman" w:cs="Times New Roman"/>
          <w:sz w:val="24"/>
          <w:szCs w:val="24"/>
        </w:rPr>
        <w:t xml:space="preserve">. </w:t>
      </w:r>
    </w:p>
    <w:p w14:paraId="25E52FDE" w14:textId="03B87D26" w:rsidR="00695FD3" w:rsidRPr="006F42E1" w:rsidRDefault="00695FD3" w:rsidP="44379C23">
      <w:pPr>
        <w:spacing w:after="0" w:line="360" w:lineRule="auto"/>
        <w:jc w:val="both"/>
        <w:rPr>
          <w:rFonts w:ascii="Times New Roman" w:hAnsi="Times New Roman" w:cs="Times New Roman"/>
          <w:sz w:val="24"/>
          <w:szCs w:val="24"/>
        </w:rPr>
      </w:pPr>
    </w:p>
    <w:p w14:paraId="646A2B6B" w14:textId="35011253" w:rsidR="00695FD3" w:rsidRPr="006F42E1" w:rsidRDefault="517C960D" w:rsidP="44379C23">
      <w:pPr>
        <w:spacing w:after="0" w:line="360" w:lineRule="auto"/>
        <w:jc w:val="both"/>
        <w:rPr>
          <w:rFonts w:ascii="Times New Roman" w:hAnsi="Times New Roman" w:cs="Times New Roman"/>
          <w:b/>
          <w:bCs/>
          <w:sz w:val="24"/>
          <w:szCs w:val="24"/>
        </w:rPr>
      </w:pPr>
      <w:r w:rsidRPr="006F42E1">
        <w:rPr>
          <w:rFonts w:ascii="Times New Roman" w:hAnsi="Times New Roman" w:cs="Times New Roman"/>
          <w:b/>
          <w:bCs/>
          <w:sz w:val="24"/>
          <w:szCs w:val="24"/>
        </w:rPr>
        <w:t>3 REFERENCIAL TEÓRICO</w:t>
      </w:r>
    </w:p>
    <w:p w14:paraId="61E5D061" w14:textId="77777777" w:rsidR="00E46301" w:rsidRPr="006F42E1" w:rsidRDefault="00E46301" w:rsidP="44379C23">
      <w:pPr>
        <w:spacing w:after="0" w:line="360" w:lineRule="auto"/>
        <w:jc w:val="both"/>
        <w:rPr>
          <w:rFonts w:ascii="Times New Roman" w:hAnsi="Times New Roman" w:cs="Times New Roman"/>
          <w:sz w:val="24"/>
          <w:szCs w:val="24"/>
        </w:rPr>
      </w:pPr>
    </w:p>
    <w:p w14:paraId="2BDCFEF0" w14:textId="2D6A4881" w:rsidR="00BE351F" w:rsidRPr="006F42E1" w:rsidRDefault="00DA2E80" w:rsidP="00BE351F">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BE351F" w:rsidRPr="006F42E1">
        <w:rPr>
          <w:rFonts w:ascii="Times New Roman" w:hAnsi="Times New Roman" w:cs="Times New Roman"/>
          <w:sz w:val="24"/>
          <w:szCs w:val="24"/>
        </w:rPr>
        <w:t>A transição demográfica pode ser descrita como a passagem de um regime com altas taxas de mortalidade e fecundidade para um outro em que tais taxas são baixas, ambos os contextos resultando em lento crescimento populacional. Tal passagem é geralmente descrita como um processo em quatro fases. A primeira fase, associada a uma sociedade pré-industrial, caracteriza-se pela natalidade e mortalidade elevadas e pelo consequente baixo crescimento. Na segunda fase tem-se uma aceleração do crescimento em razão da diminuição repentina nos níveis de mortalidade, por sua vez associada a melhorias no campo da medicina e a transição epidemiológica, sendo esta fase característica de países em vias de desenvolvimento. Na fase seguinte, o aumento da sobrevivência</w:t>
      </w:r>
      <w:r w:rsidR="006134F0" w:rsidRPr="006F42E1">
        <w:rPr>
          <w:rFonts w:ascii="Times New Roman" w:hAnsi="Times New Roman" w:cs="Times New Roman"/>
          <w:sz w:val="24"/>
          <w:szCs w:val="24"/>
        </w:rPr>
        <w:t xml:space="preserve">, </w:t>
      </w:r>
      <w:r w:rsidR="00340F5F" w:rsidRPr="006F42E1">
        <w:rPr>
          <w:rFonts w:ascii="Times New Roman" w:hAnsi="Times New Roman" w:cs="Times New Roman"/>
          <w:sz w:val="24"/>
          <w:szCs w:val="24"/>
        </w:rPr>
        <w:t xml:space="preserve">aumento da </w:t>
      </w:r>
      <w:r w:rsidR="006134F0" w:rsidRPr="006F42E1">
        <w:rPr>
          <w:rFonts w:ascii="Times New Roman" w:hAnsi="Times New Roman" w:cs="Times New Roman"/>
          <w:sz w:val="24"/>
          <w:szCs w:val="24"/>
        </w:rPr>
        <w:t xml:space="preserve">inserção </w:t>
      </w:r>
      <w:r w:rsidR="00340F5F" w:rsidRPr="006F42E1">
        <w:rPr>
          <w:rFonts w:ascii="Times New Roman" w:hAnsi="Times New Roman" w:cs="Times New Roman"/>
          <w:sz w:val="24"/>
          <w:szCs w:val="24"/>
        </w:rPr>
        <w:t xml:space="preserve">feminina no mercado de trabalho </w:t>
      </w:r>
      <w:r w:rsidR="00BE351F" w:rsidRPr="006F42E1">
        <w:rPr>
          <w:rFonts w:ascii="Times New Roman" w:hAnsi="Times New Roman" w:cs="Times New Roman"/>
          <w:sz w:val="24"/>
          <w:szCs w:val="24"/>
        </w:rPr>
        <w:t>e a difusão cultural de um tamanho ideal de família estão entre os fatores usados para explicar a redução na fecundidade, havendo desaceleração no ritmo de crescimento populacional. Na quarta fase a taxa de crescimento volta a quase estabilidade, porém agora associado a baixos níveis de mortalidade e fecundidade e a uma sociedade pós-industrial (ALBUQUERQUE; SILVA, 2015; CAMPOS; BORGES, 2015; BORGES; CAMPOS; SILVA, 2015).</w:t>
      </w:r>
      <w:r w:rsidR="00AF32E9" w:rsidRPr="006F42E1">
        <w:rPr>
          <w:rFonts w:ascii="Times New Roman" w:hAnsi="Times New Roman" w:cs="Times New Roman"/>
          <w:sz w:val="24"/>
          <w:szCs w:val="24"/>
        </w:rPr>
        <w:t xml:space="preserve"> </w:t>
      </w:r>
    </w:p>
    <w:p w14:paraId="582D07D1" w14:textId="123539E7" w:rsidR="00BE351F" w:rsidRPr="006F42E1" w:rsidRDefault="00BE351F" w:rsidP="6A27609A">
      <w:pPr>
        <w:spacing w:after="0" w:line="360" w:lineRule="auto"/>
        <w:jc w:val="both"/>
        <w:rPr>
          <w:rFonts w:ascii="Times New Roman" w:eastAsia="Times New Roman" w:hAnsi="Times New Roman" w:cs="Times New Roman"/>
          <w:sz w:val="24"/>
          <w:szCs w:val="24"/>
        </w:rPr>
      </w:pPr>
      <w:r w:rsidRPr="006F42E1">
        <w:rPr>
          <w:rFonts w:ascii="Times New Roman" w:hAnsi="Times New Roman" w:cs="Times New Roman"/>
          <w:sz w:val="24"/>
          <w:szCs w:val="24"/>
        </w:rPr>
        <w:tab/>
        <w:t xml:space="preserve">A transição demográfica no Brasil, assim como em outros países latino-americanos e asiáticos, tem ocorrido de forma muito mais acelerada em relação aos países desenvolvidos. Este processo iniciou-se no Brasil nos anos 1940, com o declínio rápido e sustentável nos níveis </w:t>
      </w:r>
      <w:r w:rsidRPr="006F42E1">
        <w:rPr>
          <w:rFonts w:ascii="Times New Roman" w:hAnsi="Times New Roman" w:cs="Times New Roman"/>
          <w:sz w:val="24"/>
          <w:szCs w:val="24"/>
        </w:rPr>
        <w:lastRenderedPageBreak/>
        <w:t>de mortalidade. Junto a alta natalidade, a queda da mortalidade elevou a taxa média de crescimento populacional ao ápice de 2,9% a.a. nas décadas de 1950 e 1960. A partir dos anos 1960 a fecundidade começa a reduzir-se e desacelera esse crescimento. Em apenas quatro décadas tem-se uma diminuição expressiva em cerca de 4 filhos</w:t>
      </w:r>
      <w:r w:rsidR="00E56ADE" w:rsidRPr="006F42E1">
        <w:rPr>
          <w:rFonts w:ascii="Times New Roman" w:hAnsi="Times New Roman" w:cs="Times New Roman"/>
          <w:sz w:val="24"/>
          <w:szCs w:val="24"/>
        </w:rPr>
        <w:t xml:space="preserve">, em média, </w:t>
      </w:r>
      <w:r w:rsidRPr="006F42E1">
        <w:rPr>
          <w:rFonts w:ascii="Times New Roman" w:hAnsi="Times New Roman" w:cs="Times New Roman"/>
          <w:sz w:val="24"/>
          <w:szCs w:val="24"/>
        </w:rPr>
        <w:t>por mulher (BORGES; CAMPOS; SILVA, 2015; BRITO, 2007; CAMARANO; BELTRÃO, 2000). Esse novo context</w:t>
      </w:r>
      <w:r w:rsidRPr="006F42E1">
        <w:rPr>
          <w:rFonts w:ascii="Times New Roman" w:eastAsia="Times New Roman" w:hAnsi="Times New Roman" w:cs="Times New Roman"/>
          <w:sz w:val="24"/>
          <w:szCs w:val="24"/>
        </w:rPr>
        <w:t xml:space="preserve">o pode levar o país a uma nova população quase-estável, porém com perfil envelhecido e baixo ritmo de crescimento (CARVALHO; WONG, 2008; MYRRHA, 2009). </w:t>
      </w:r>
    </w:p>
    <w:p w14:paraId="2FB91A97" w14:textId="4FD9AE22" w:rsidR="6A27609A" w:rsidRPr="006F42E1" w:rsidRDefault="6A27609A" w:rsidP="6A27609A">
      <w:pPr>
        <w:spacing w:after="0" w:line="360" w:lineRule="auto"/>
        <w:ind w:firstLine="708"/>
        <w:jc w:val="both"/>
        <w:rPr>
          <w:rFonts w:ascii="Times New Roman" w:hAnsi="Times New Roman" w:cs="Times New Roman"/>
          <w:sz w:val="24"/>
          <w:szCs w:val="24"/>
        </w:rPr>
      </w:pPr>
      <w:r w:rsidRPr="006F42E1">
        <w:rPr>
          <w:rFonts w:ascii="Times New Roman" w:eastAsia="Times New Roman" w:hAnsi="Times New Roman" w:cs="Times New Roman"/>
          <w:sz w:val="24"/>
          <w:szCs w:val="24"/>
        </w:rPr>
        <w:t>Tais mudanças nas componentes demográficas causam significativas alterações tanto no crescimento</w:t>
      </w:r>
      <w:r w:rsidRPr="006F42E1">
        <w:rPr>
          <w:rFonts w:ascii="Times New Roman" w:hAnsi="Times New Roman" w:cs="Times New Roman"/>
          <w:sz w:val="24"/>
          <w:szCs w:val="24"/>
        </w:rPr>
        <w:t xml:space="preserve"> quanto na estrutura etária da população. Como pode ser observado entre a primeira e a última fase da transição, o processo parte e volta ao baixo crescimento populacional, embora resultante de cenários diferentes, e todo o processo transforma uma população jovem numa bem mais envelhecida (BRITO, 2007; CARVALHO; WONG, 2008).</w:t>
      </w:r>
    </w:p>
    <w:p w14:paraId="5291B378" w14:textId="363CE1A5" w:rsidR="00BE351F" w:rsidRPr="006F42E1" w:rsidRDefault="00BE351F" w:rsidP="6A27609A">
      <w:pPr>
        <w:spacing w:after="0" w:line="360" w:lineRule="auto"/>
        <w:jc w:val="both"/>
        <w:rPr>
          <w:rFonts w:ascii="Times New Roman" w:eastAsia="Times New Roman" w:hAnsi="Times New Roman" w:cs="Times New Roman"/>
          <w:sz w:val="24"/>
          <w:szCs w:val="24"/>
        </w:rPr>
      </w:pPr>
      <w:r w:rsidRPr="006F42E1">
        <w:rPr>
          <w:rFonts w:ascii="Times New Roman" w:hAnsi="Times New Roman" w:cs="Times New Roman"/>
          <w:sz w:val="24"/>
          <w:szCs w:val="24"/>
        </w:rPr>
        <w:tab/>
      </w:r>
      <w:r w:rsidRPr="006F42E1">
        <w:rPr>
          <w:rFonts w:ascii="Times New Roman" w:eastAsia="Times New Roman" w:hAnsi="Times New Roman" w:cs="Times New Roman"/>
          <w:sz w:val="24"/>
          <w:szCs w:val="24"/>
        </w:rPr>
        <w:t>É importante acrescentar que esse processo não se deu de forma homogênea em todo o país, sendo possível identificar momentos diferentes da transição demográfica segundo a diversidade regional e social.</w:t>
      </w:r>
      <w:r w:rsidR="6A27609A" w:rsidRPr="006F42E1">
        <w:rPr>
          <w:rFonts w:ascii="Times New Roman" w:eastAsia="Times New Roman" w:hAnsi="Times New Roman" w:cs="Times New Roman"/>
          <w:sz w:val="24"/>
          <w:szCs w:val="24"/>
        </w:rPr>
        <w:t xml:space="preserve"> As mudanças na fecundidade, que introduzem significativas alterações na estrutura etária, desencadearam-se antes em grupos populacionais mais privilegiados e em regiões mais desenvolvidas</w:t>
      </w:r>
      <w:r w:rsidR="00B93A55" w:rsidRPr="006F42E1">
        <w:rPr>
          <w:rFonts w:ascii="Times New Roman" w:eastAsia="Times New Roman" w:hAnsi="Times New Roman" w:cs="Times New Roman"/>
          <w:sz w:val="24"/>
          <w:szCs w:val="24"/>
        </w:rPr>
        <w:t xml:space="preserve"> (BORGES; CAMPOS; SILVA, 2015; BRITO, 2007)</w:t>
      </w:r>
      <w:r w:rsidR="6A27609A" w:rsidRPr="006F42E1">
        <w:rPr>
          <w:rFonts w:ascii="Times New Roman" w:eastAsia="Times New Roman" w:hAnsi="Times New Roman" w:cs="Times New Roman"/>
          <w:sz w:val="24"/>
          <w:szCs w:val="24"/>
        </w:rPr>
        <w:t xml:space="preserve">. Segundo Borges, Campos e Silva (2015, p. 142) as “Regiões Sul e Sudeste apresentavam, já na década de 1940, níveis de fecundidade mais baixos que as Regiões Norte e Nordeste”. No entanto, os diversos fatores que contribuíram para a redução da fecundidade, marcaram também o início de uma tendência à homogeneização entre os níveis das regiões e estados </w:t>
      </w:r>
      <w:r w:rsidR="00E31190" w:rsidRPr="006F42E1">
        <w:rPr>
          <w:rFonts w:ascii="Times New Roman" w:eastAsia="Times New Roman" w:hAnsi="Times New Roman" w:cs="Times New Roman"/>
          <w:sz w:val="24"/>
          <w:szCs w:val="24"/>
        </w:rPr>
        <w:t xml:space="preserve">(BAENINGER; BASSANEZI, 2006). </w:t>
      </w:r>
    </w:p>
    <w:p w14:paraId="7442AC27" w14:textId="682BBE72" w:rsidR="000212C8" w:rsidRPr="006F42E1" w:rsidRDefault="6A27609A" w:rsidP="6A27609A">
      <w:pPr>
        <w:spacing w:after="0" w:line="360" w:lineRule="auto"/>
        <w:ind w:firstLine="708"/>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O Ceará insere-se no contexto nordestino, em que tais mudanças se iniciaram mais tardiamente, porém em ritmo mais intenso.</w:t>
      </w:r>
      <w:r w:rsidR="00055310" w:rsidRPr="006F42E1">
        <w:rPr>
          <w:rFonts w:ascii="Times New Roman" w:eastAsia="Times New Roman" w:hAnsi="Times New Roman" w:cs="Times New Roman"/>
          <w:sz w:val="24"/>
          <w:szCs w:val="24"/>
        </w:rPr>
        <w:t xml:space="preserve"> </w:t>
      </w:r>
      <w:r w:rsidRPr="006F42E1">
        <w:rPr>
          <w:rFonts w:ascii="Times New Roman" w:eastAsia="Times New Roman" w:hAnsi="Times New Roman" w:cs="Times New Roman"/>
          <w:sz w:val="24"/>
          <w:szCs w:val="24"/>
        </w:rPr>
        <w:t xml:space="preserve">Conforme a revisão mais recente (2018) das projeções do IBGE, a ser tomada como base para a projeção populacional das microrregiões cearenses, dentre elas a microrregião do Cariri, a população cearense </w:t>
      </w:r>
      <w:r w:rsidR="00055310" w:rsidRPr="006F42E1">
        <w:rPr>
          <w:rFonts w:ascii="Times New Roman" w:eastAsia="Times New Roman" w:hAnsi="Times New Roman" w:cs="Times New Roman"/>
          <w:sz w:val="24"/>
          <w:szCs w:val="24"/>
        </w:rPr>
        <w:t>parte de</w:t>
      </w:r>
      <w:r w:rsidR="00DF3880" w:rsidRPr="006F42E1">
        <w:rPr>
          <w:rFonts w:ascii="Times New Roman" w:eastAsia="Times New Roman" w:hAnsi="Times New Roman" w:cs="Times New Roman"/>
          <w:sz w:val="24"/>
          <w:szCs w:val="24"/>
        </w:rPr>
        <w:t xml:space="preserve"> </w:t>
      </w:r>
      <w:r w:rsidR="00B3062B" w:rsidRPr="006F42E1">
        <w:rPr>
          <w:rFonts w:ascii="Times New Roman" w:eastAsia="Times New Roman" w:hAnsi="Times New Roman" w:cs="Times New Roman"/>
          <w:sz w:val="24"/>
          <w:szCs w:val="24"/>
        </w:rPr>
        <w:t xml:space="preserve">pouco mais de </w:t>
      </w:r>
      <w:r w:rsidR="00245624" w:rsidRPr="006F42E1">
        <w:rPr>
          <w:rFonts w:ascii="Times New Roman" w:eastAsia="Times New Roman" w:hAnsi="Times New Roman" w:cs="Times New Roman"/>
          <w:sz w:val="24"/>
          <w:szCs w:val="24"/>
        </w:rPr>
        <w:t>8</w:t>
      </w:r>
      <w:r w:rsidR="00B3062B" w:rsidRPr="006F42E1">
        <w:rPr>
          <w:rFonts w:ascii="Times New Roman" w:eastAsia="Times New Roman" w:hAnsi="Times New Roman" w:cs="Times New Roman"/>
          <w:sz w:val="24"/>
          <w:szCs w:val="24"/>
        </w:rPr>
        <w:t>,6 milhões</w:t>
      </w:r>
      <w:r w:rsidR="00DF3880" w:rsidRPr="006F42E1">
        <w:rPr>
          <w:rFonts w:ascii="Times New Roman" w:eastAsia="Times New Roman" w:hAnsi="Times New Roman" w:cs="Times New Roman"/>
          <w:sz w:val="24"/>
          <w:szCs w:val="24"/>
        </w:rPr>
        <w:t xml:space="preserve"> em 2010 e </w:t>
      </w:r>
      <w:r w:rsidR="00501D88" w:rsidRPr="006F42E1">
        <w:rPr>
          <w:rFonts w:ascii="Times New Roman" w:eastAsia="Times New Roman" w:hAnsi="Times New Roman" w:cs="Times New Roman"/>
          <w:sz w:val="24"/>
          <w:szCs w:val="24"/>
        </w:rPr>
        <w:t xml:space="preserve">poderá </w:t>
      </w:r>
      <w:r w:rsidR="00174AB7" w:rsidRPr="006F42E1">
        <w:rPr>
          <w:rFonts w:ascii="Times New Roman" w:eastAsia="Times New Roman" w:hAnsi="Times New Roman" w:cs="Times New Roman"/>
          <w:sz w:val="24"/>
          <w:szCs w:val="24"/>
        </w:rPr>
        <w:t>alcançar aproximadamente</w:t>
      </w:r>
      <w:r w:rsidR="00B15200" w:rsidRPr="006F42E1">
        <w:rPr>
          <w:rFonts w:ascii="Times New Roman" w:eastAsia="Times New Roman" w:hAnsi="Times New Roman" w:cs="Times New Roman"/>
          <w:sz w:val="24"/>
          <w:szCs w:val="24"/>
        </w:rPr>
        <w:t xml:space="preserve"> </w:t>
      </w:r>
      <w:r w:rsidR="00174AB7" w:rsidRPr="006F42E1">
        <w:rPr>
          <w:rFonts w:ascii="Times New Roman" w:eastAsia="Times New Roman" w:hAnsi="Times New Roman" w:cs="Times New Roman"/>
          <w:sz w:val="24"/>
          <w:szCs w:val="24"/>
        </w:rPr>
        <w:t xml:space="preserve">9,7 milhões </w:t>
      </w:r>
      <w:r w:rsidR="00501D88" w:rsidRPr="006F42E1">
        <w:rPr>
          <w:rFonts w:ascii="Times New Roman" w:eastAsia="Times New Roman" w:hAnsi="Times New Roman" w:cs="Times New Roman"/>
          <w:sz w:val="24"/>
          <w:szCs w:val="24"/>
        </w:rPr>
        <w:t xml:space="preserve">em 2050. Em </w:t>
      </w:r>
      <w:r w:rsidR="00245624" w:rsidRPr="006F42E1">
        <w:rPr>
          <w:rFonts w:ascii="Times New Roman" w:eastAsia="Times New Roman" w:hAnsi="Times New Roman" w:cs="Times New Roman"/>
          <w:sz w:val="24"/>
          <w:szCs w:val="24"/>
        </w:rPr>
        <w:t>19</w:t>
      </w:r>
      <w:r w:rsidR="001C373A" w:rsidRPr="006F42E1">
        <w:rPr>
          <w:rFonts w:ascii="Times New Roman" w:eastAsia="Times New Roman" w:hAnsi="Times New Roman" w:cs="Times New Roman"/>
          <w:sz w:val="24"/>
          <w:szCs w:val="24"/>
        </w:rPr>
        <w:t xml:space="preserve">70, </w:t>
      </w:r>
      <w:r w:rsidR="005F11FB" w:rsidRPr="006F42E1">
        <w:rPr>
          <w:rFonts w:ascii="Times New Roman" w:eastAsia="Times New Roman" w:hAnsi="Times New Roman" w:cs="Times New Roman"/>
          <w:sz w:val="24"/>
          <w:szCs w:val="24"/>
        </w:rPr>
        <w:t xml:space="preserve">momento em que esse processo de mudança na fecundidade </w:t>
      </w:r>
      <w:r w:rsidR="00E03C7C" w:rsidRPr="006F42E1">
        <w:rPr>
          <w:rFonts w:ascii="Times New Roman" w:eastAsia="Times New Roman" w:hAnsi="Times New Roman" w:cs="Times New Roman"/>
          <w:sz w:val="24"/>
          <w:szCs w:val="24"/>
        </w:rPr>
        <w:t xml:space="preserve">ainda </w:t>
      </w:r>
      <w:r w:rsidR="005F11FB" w:rsidRPr="006F42E1">
        <w:rPr>
          <w:rFonts w:ascii="Times New Roman" w:eastAsia="Times New Roman" w:hAnsi="Times New Roman" w:cs="Times New Roman"/>
          <w:sz w:val="24"/>
          <w:szCs w:val="24"/>
        </w:rPr>
        <w:t>se iniciava no estado,</w:t>
      </w:r>
      <w:r w:rsidR="00245624" w:rsidRPr="006F42E1">
        <w:rPr>
          <w:rFonts w:ascii="Times New Roman" w:eastAsia="Times New Roman" w:hAnsi="Times New Roman" w:cs="Times New Roman"/>
          <w:sz w:val="24"/>
          <w:szCs w:val="24"/>
        </w:rPr>
        <w:t xml:space="preserve"> </w:t>
      </w:r>
      <w:r w:rsidR="00E03C7C" w:rsidRPr="006F42E1">
        <w:rPr>
          <w:rFonts w:ascii="Times New Roman" w:eastAsia="Times New Roman" w:hAnsi="Times New Roman" w:cs="Times New Roman"/>
          <w:sz w:val="24"/>
          <w:szCs w:val="24"/>
        </w:rPr>
        <w:t>o</w:t>
      </w:r>
      <w:r w:rsidR="00245624" w:rsidRPr="006F42E1">
        <w:rPr>
          <w:rFonts w:ascii="Times New Roman" w:eastAsia="Times New Roman" w:hAnsi="Times New Roman" w:cs="Times New Roman"/>
          <w:sz w:val="24"/>
          <w:szCs w:val="24"/>
        </w:rPr>
        <w:t xml:space="preserve"> contingente </w:t>
      </w:r>
      <w:r w:rsidR="00E03C7C" w:rsidRPr="006F42E1">
        <w:rPr>
          <w:rFonts w:ascii="Times New Roman" w:eastAsia="Times New Roman" w:hAnsi="Times New Roman" w:cs="Times New Roman"/>
          <w:sz w:val="24"/>
          <w:szCs w:val="24"/>
        </w:rPr>
        <w:t xml:space="preserve">populacional </w:t>
      </w:r>
      <w:r w:rsidR="00BC2A70" w:rsidRPr="006F42E1">
        <w:rPr>
          <w:rFonts w:ascii="Times New Roman" w:eastAsia="Times New Roman" w:hAnsi="Times New Roman" w:cs="Times New Roman"/>
          <w:sz w:val="24"/>
          <w:szCs w:val="24"/>
        </w:rPr>
        <w:t>situava-se próximo de</w:t>
      </w:r>
      <w:r w:rsidR="003639D5" w:rsidRPr="006F42E1">
        <w:rPr>
          <w:rFonts w:ascii="Times New Roman" w:eastAsia="Times New Roman" w:hAnsi="Times New Roman" w:cs="Times New Roman"/>
          <w:sz w:val="24"/>
          <w:szCs w:val="24"/>
        </w:rPr>
        <w:t xml:space="preserve"> 4,</w:t>
      </w:r>
      <w:r w:rsidR="006B6254" w:rsidRPr="006F42E1">
        <w:rPr>
          <w:rFonts w:ascii="Times New Roman" w:eastAsia="Times New Roman" w:hAnsi="Times New Roman" w:cs="Times New Roman"/>
          <w:sz w:val="24"/>
          <w:szCs w:val="24"/>
        </w:rPr>
        <w:t>4</w:t>
      </w:r>
      <w:r w:rsidR="003639D5" w:rsidRPr="006F42E1">
        <w:rPr>
          <w:rFonts w:ascii="Times New Roman" w:eastAsia="Times New Roman" w:hAnsi="Times New Roman" w:cs="Times New Roman"/>
          <w:sz w:val="24"/>
          <w:szCs w:val="24"/>
        </w:rPr>
        <w:t xml:space="preserve"> </w:t>
      </w:r>
      <w:r w:rsidR="001C373A" w:rsidRPr="006F42E1">
        <w:rPr>
          <w:rFonts w:ascii="Times New Roman" w:eastAsia="Times New Roman" w:hAnsi="Times New Roman" w:cs="Times New Roman"/>
          <w:sz w:val="24"/>
          <w:szCs w:val="24"/>
        </w:rPr>
        <w:t>milhões (</w:t>
      </w:r>
      <w:r w:rsidR="00E03C7C" w:rsidRPr="006F42E1">
        <w:rPr>
          <w:rFonts w:ascii="Times New Roman" w:eastAsia="Times New Roman" w:hAnsi="Times New Roman" w:cs="Times New Roman"/>
          <w:sz w:val="24"/>
          <w:szCs w:val="24"/>
        </w:rPr>
        <w:t xml:space="preserve">Figura </w:t>
      </w:r>
      <w:r w:rsidR="00F358BC" w:rsidRPr="006F42E1">
        <w:rPr>
          <w:rFonts w:ascii="Times New Roman" w:eastAsia="Times New Roman" w:hAnsi="Times New Roman" w:cs="Times New Roman"/>
          <w:sz w:val="24"/>
          <w:szCs w:val="24"/>
        </w:rPr>
        <w:t>3</w:t>
      </w:r>
      <w:r w:rsidR="001C373A" w:rsidRPr="006F42E1">
        <w:rPr>
          <w:rFonts w:ascii="Times New Roman" w:eastAsia="Times New Roman" w:hAnsi="Times New Roman" w:cs="Times New Roman"/>
          <w:sz w:val="24"/>
          <w:szCs w:val="24"/>
        </w:rPr>
        <w:t xml:space="preserve">). </w:t>
      </w:r>
    </w:p>
    <w:p w14:paraId="4BFA9213" w14:textId="281D2430" w:rsidR="00F358BC" w:rsidRPr="006F42E1" w:rsidRDefault="00F358BC" w:rsidP="00CA089A">
      <w:pPr>
        <w:spacing w:after="0" w:line="240" w:lineRule="auto"/>
        <w:jc w:val="both"/>
        <w:rPr>
          <w:rFonts w:ascii="Times New Roman" w:eastAsia="Times New Roman" w:hAnsi="Times New Roman" w:cs="Times New Roman"/>
          <w:b/>
          <w:bCs/>
          <w:sz w:val="24"/>
          <w:szCs w:val="24"/>
        </w:rPr>
      </w:pPr>
      <w:r w:rsidRPr="006F42E1">
        <w:rPr>
          <w:rFonts w:ascii="Times New Roman" w:eastAsia="Times New Roman" w:hAnsi="Times New Roman" w:cs="Times New Roman"/>
          <w:b/>
          <w:bCs/>
          <w:sz w:val="24"/>
          <w:szCs w:val="24"/>
        </w:rPr>
        <w:lastRenderedPageBreak/>
        <w:t xml:space="preserve">Figura 3 – População observada entre </w:t>
      </w:r>
      <w:r w:rsidR="00237880" w:rsidRPr="006F42E1">
        <w:rPr>
          <w:rFonts w:ascii="Times New Roman" w:eastAsia="Times New Roman" w:hAnsi="Times New Roman" w:cs="Times New Roman"/>
          <w:b/>
          <w:bCs/>
          <w:sz w:val="24"/>
          <w:szCs w:val="24"/>
        </w:rPr>
        <w:t>1970 e 2010 e projetada até 2050 - Ceará</w:t>
      </w:r>
    </w:p>
    <w:p w14:paraId="1245922B" w14:textId="31E39C77" w:rsidR="00CA089A" w:rsidRPr="006F42E1" w:rsidRDefault="00337CAC" w:rsidP="00A17916">
      <w:pPr>
        <w:spacing w:after="0" w:line="276" w:lineRule="auto"/>
        <w:jc w:val="center"/>
        <w:rPr>
          <w:rFonts w:ascii="Times New Roman" w:eastAsia="Times New Roman" w:hAnsi="Times New Roman" w:cs="Times New Roman"/>
          <w:sz w:val="24"/>
          <w:szCs w:val="24"/>
        </w:rPr>
      </w:pPr>
      <w:r w:rsidRPr="006F42E1">
        <w:rPr>
          <w:noProof/>
        </w:rPr>
        <w:drawing>
          <wp:inline distT="0" distB="0" distL="0" distR="0" wp14:anchorId="03F65946" wp14:editId="4393B296">
            <wp:extent cx="4572000" cy="2743200"/>
            <wp:effectExtent l="0" t="0" r="0" b="0"/>
            <wp:docPr id="4" name="Gráfico 4">
              <a:extLst xmlns:a="http://schemas.openxmlformats.org/drawingml/2006/main">
                <a:ext uri="{FF2B5EF4-FFF2-40B4-BE49-F238E27FC236}">
                  <a16:creationId xmlns:a16="http://schemas.microsoft.com/office/drawing/2014/main" id="{1EC0131D-ED92-1444-7F21-F487BEB359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79EB8E5" w14:textId="70EF87C9" w:rsidR="00F358BC" w:rsidRPr="006F42E1" w:rsidRDefault="00CA089A" w:rsidP="00CA089A">
      <w:pPr>
        <w:spacing w:after="0" w:line="240" w:lineRule="auto"/>
        <w:jc w:val="both"/>
        <w:rPr>
          <w:rFonts w:ascii="Times New Roman" w:eastAsia="Times New Roman" w:hAnsi="Times New Roman" w:cs="Times New Roman"/>
          <w:sz w:val="20"/>
          <w:szCs w:val="20"/>
        </w:rPr>
      </w:pPr>
      <w:r w:rsidRPr="006F42E1">
        <w:rPr>
          <w:rFonts w:ascii="Times New Roman" w:eastAsia="Times New Roman" w:hAnsi="Times New Roman" w:cs="Times New Roman"/>
          <w:sz w:val="20"/>
          <w:szCs w:val="20"/>
        </w:rPr>
        <w:t>Fonte: SIDRA</w:t>
      </w:r>
      <w:r w:rsidR="009B3672" w:rsidRPr="006F42E1">
        <w:rPr>
          <w:rFonts w:ascii="Times New Roman" w:eastAsia="Times New Roman" w:hAnsi="Times New Roman" w:cs="Times New Roman"/>
          <w:sz w:val="20"/>
          <w:szCs w:val="20"/>
        </w:rPr>
        <w:t>, 202</w:t>
      </w:r>
      <w:r w:rsidR="003704BE" w:rsidRPr="006F42E1">
        <w:rPr>
          <w:rFonts w:ascii="Times New Roman" w:eastAsia="Times New Roman" w:hAnsi="Times New Roman" w:cs="Times New Roman"/>
          <w:sz w:val="20"/>
          <w:szCs w:val="20"/>
        </w:rPr>
        <w:t>2</w:t>
      </w:r>
      <w:r w:rsidR="009B3672" w:rsidRPr="006F42E1">
        <w:rPr>
          <w:rFonts w:ascii="Times New Roman" w:eastAsia="Times New Roman" w:hAnsi="Times New Roman" w:cs="Times New Roman"/>
          <w:sz w:val="20"/>
          <w:szCs w:val="20"/>
        </w:rPr>
        <w:t xml:space="preserve">; IBGE, </w:t>
      </w:r>
      <w:r w:rsidR="001A0E9C" w:rsidRPr="006F42E1">
        <w:rPr>
          <w:rFonts w:ascii="Times New Roman" w:eastAsia="Times New Roman" w:hAnsi="Times New Roman" w:cs="Times New Roman"/>
          <w:sz w:val="20"/>
          <w:szCs w:val="20"/>
        </w:rPr>
        <w:t xml:space="preserve">2013; </w:t>
      </w:r>
      <w:r w:rsidR="009B3672" w:rsidRPr="006F42E1">
        <w:rPr>
          <w:rFonts w:ascii="Times New Roman" w:eastAsia="Times New Roman" w:hAnsi="Times New Roman" w:cs="Times New Roman"/>
          <w:sz w:val="20"/>
          <w:szCs w:val="20"/>
        </w:rPr>
        <w:t>2018</w:t>
      </w:r>
      <w:r w:rsidR="008A1C17" w:rsidRPr="006F42E1">
        <w:rPr>
          <w:rFonts w:ascii="Times New Roman" w:eastAsia="Times New Roman" w:hAnsi="Times New Roman" w:cs="Times New Roman"/>
          <w:sz w:val="20"/>
          <w:szCs w:val="20"/>
        </w:rPr>
        <w:t xml:space="preserve">. </w:t>
      </w:r>
    </w:p>
    <w:p w14:paraId="004A2CCD" w14:textId="77777777" w:rsidR="00CA089A" w:rsidRPr="006F42E1" w:rsidRDefault="00CA089A" w:rsidP="000212C8">
      <w:pPr>
        <w:spacing w:after="0" w:line="360" w:lineRule="auto"/>
        <w:jc w:val="both"/>
        <w:rPr>
          <w:rFonts w:ascii="Times New Roman" w:eastAsia="Times New Roman" w:hAnsi="Times New Roman" w:cs="Times New Roman"/>
          <w:sz w:val="24"/>
          <w:szCs w:val="24"/>
        </w:rPr>
      </w:pPr>
    </w:p>
    <w:p w14:paraId="770D268E" w14:textId="0DA27C2A" w:rsidR="008A1C17" w:rsidRPr="006F42E1" w:rsidRDefault="00D73FF4" w:rsidP="00D73FF4">
      <w:pPr>
        <w:spacing w:after="0" w:line="360" w:lineRule="auto"/>
        <w:ind w:firstLine="708"/>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 xml:space="preserve">Nos 40 anos entre 1970 e 2010 a população cearense quase duplicou de tamanho, mas </w:t>
      </w:r>
      <w:r w:rsidR="00310DAB" w:rsidRPr="006F42E1">
        <w:rPr>
          <w:rFonts w:ascii="Times New Roman" w:eastAsia="Times New Roman" w:hAnsi="Times New Roman" w:cs="Times New Roman"/>
          <w:sz w:val="24"/>
          <w:szCs w:val="24"/>
        </w:rPr>
        <w:t>esse inc</w:t>
      </w:r>
      <w:r w:rsidR="00C56F70" w:rsidRPr="006F42E1">
        <w:rPr>
          <w:rFonts w:ascii="Times New Roman" w:eastAsia="Times New Roman" w:hAnsi="Times New Roman" w:cs="Times New Roman"/>
          <w:sz w:val="24"/>
          <w:szCs w:val="24"/>
        </w:rPr>
        <w:t xml:space="preserve">remento </w:t>
      </w:r>
      <w:r w:rsidR="006802D0" w:rsidRPr="006F42E1">
        <w:rPr>
          <w:rFonts w:ascii="Times New Roman" w:eastAsia="Times New Roman" w:hAnsi="Times New Roman" w:cs="Times New Roman"/>
          <w:sz w:val="24"/>
          <w:szCs w:val="24"/>
        </w:rPr>
        <w:t>dificilmente se</w:t>
      </w:r>
      <w:r w:rsidR="00C56F70" w:rsidRPr="006F42E1">
        <w:rPr>
          <w:rFonts w:ascii="Times New Roman" w:eastAsia="Times New Roman" w:hAnsi="Times New Roman" w:cs="Times New Roman"/>
          <w:sz w:val="24"/>
          <w:szCs w:val="24"/>
        </w:rPr>
        <w:t xml:space="preserve"> repetir</w:t>
      </w:r>
      <w:r w:rsidR="006802D0" w:rsidRPr="006F42E1">
        <w:rPr>
          <w:rFonts w:ascii="Times New Roman" w:eastAsia="Times New Roman" w:hAnsi="Times New Roman" w:cs="Times New Roman"/>
          <w:sz w:val="24"/>
          <w:szCs w:val="24"/>
        </w:rPr>
        <w:t>ia</w:t>
      </w:r>
      <w:r w:rsidR="00C56F70" w:rsidRPr="006F42E1">
        <w:rPr>
          <w:rFonts w:ascii="Times New Roman" w:eastAsia="Times New Roman" w:hAnsi="Times New Roman" w:cs="Times New Roman"/>
          <w:sz w:val="24"/>
          <w:szCs w:val="24"/>
        </w:rPr>
        <w:t xml:space="preserve"> </w:t>
      </w:r>
      <w:r w:rsidRPr="006F42E1">
        <w:rPr>
          <w:rFonts w:ascii="Times New Roman" w:eastAsia="Times New Roman" w:hAnsi="Times New Roman" w:cs="Times New Roman"/>
          <w:sz w:val="24"/>
          <w:szCs w:val="24"/>
        </w:rPr>
        <w:t>nos 40 anos seguintes</w:t>
      </w:r>
      <w:r w:rsidR="006802D0" w:rsidRPr="006F42E1">
        <w:rPr>
          <w:rFonts w:ascii="Times New Roman" w:eastAsia="Times New Roman" w:hAnsi="Times New Roman" w:cs="Times New Roman"/>
          <w:sz w:val="24"/>
          <w:szCs w:val="24"/>
        </w:rPr>
        <w:t xml:space="preserve">. </w:t>
      </w:r>
      <w:r w:rsidR="00F26C20" w:rsidRPr="006F42E1">
        <w:rPr>
          <w:rFonts w:ascii="Times New Roman" w:eastAsia="Times New Roman" w:hAnsi="Times New Roman" w:cs="Times New Roman"/>
          <w:sz w:val="24"/>
          <w:szCs w:val="24"/>
        </w:rPr>
        <w:t xml:space="preserve">Acompanhando o processo de queda da fecundidade, a população </w:t>
      </w:r>
      <w:r w:rsidR="0059533F" w:rsidRPr="006F42E1">
        <w:rPr>
          <w:rFonts w:ascii="Times New Roman" w:eastAsia="Times New Roman" w:hAnsi="Times New Roman" w:cs="Times New Roman"/>
          <w:sz w:val="24"/>
          <w:szCs w:val="24"/>
        </w:rPr>
        <w:t xml:space="preserve">cearense passa a crescer mais lentamente. </w:t>
      </w:r>
      <w:r w:rsidR="00790702" w:rsidRPr="006F42E1">
        <w:rPr>
          <w:rFonts w:ascii="Times New Roman" w:eastAsia="Times New Roman" w:hAnsi="Times New Roman" w:cs="Times New Roman"/>
          <w:sz w:val="24"/>
          <w:szCs w:val="24"/>
        </w:rPr>
        <w:t>No período e</w:t>
      </w:r>
      <w:r w:rsidR="0059533F" w:rsidRPr="006F42E1">
        <w:rPr>
          <w:rFonts w:ascii="Times New Roman" w:eastAsia="Times New Roman" w:hAnsi="Times New Roman" w:cs="Times New Roman"/>
          <w:sz w:val="24"/>
          <w:szCs w:val="24"/>
        </w:rPr>
        <w:t xml:space="preserve">ntre </w:t>
      </w:r>
      <w:r w:rsidR="00790702" w:rsidRPr="006F42E1">
        <w:rPr>
          <w:rFonts w:ascii="Times New Roman" w:eastAsia="Times New Roman" w:hAnsi="Times New Roman" w:cs="Times New Roman"/>
          <w:sz w:val="24"/>
          <w:szCs w:val="24"/>
        </w:rPr>
        <w:t>1970 e 1980</w:t>
      </w:r>
      <w:r w:rsidR="008E7F98" w:rsidRPr="006F42E1">
        <w:rPr>
          <w:rFonts w:ascii="Times New Roman" w:eastAsia="Times New Roman" w:hAnsi="Times New Roman" w:cs="Times New Roman"/>
          <w:sz w:val="24"/>
          <w:szCs w:val="24"/>
        </w:rPr>
        <w:t xml:space="preserve"> a taxa média de crescimento anual </w:t>
      </w:r>
      <w:r w:rsidR="006D58B3" w:rsidRPr="006F42E1">
        <w:rPr>
          <w:rFonts w:ascii="Times New Roman" w:eastAsia="Times New Roman" w:hAnsi="Times New Roman" w:cs="Times New Roman"/>
          <w:sz w:val="24"/>
          <w:szCs w:val="24"/>
        </w:rPr>
        <w:t>foi</w:t>
      </w:r>
      <w:r w:rsidR="008E7F98" w:rsidRPr="006F42E1">
        <w:rPr>
          <w:rFonts w:ascii="Times New Roman" w:eastAsia="Times New Roman" w:hAnsi="Times New Roman" w:cs="Times New Roman"/>
          <w:sz w:val="24"/>
          <w:szCs w:val="24"/>
        </w:rPr>
        <w:t xml:space="preserve"> de cerca de </w:t>
      </w:r>
      <w:r w:rsidR="002822C1" w:rsidRPr="006F42E1">
        <w:rPr>
          <w:rFonts w:ascii="Times New Roman" w:eastAsia="Times New Roman" w:hAnsi="Times New Roman" w:cs="Times New Roman"/>
          <w:sz w:val="24"/>
          <w:szCs w:val="24"/>
        </w:rPr>
        <w:t>1,93%</w:t>
      </w:r>
      <w:r w:rsidR="00850F63" w:rsidRPr="006F42E1">
        <w:rPr>
          <w:rFonts w:ascii="Times New Roman" w:eastAsia="Times New Roman" w:hAnsi="Times New Roman" w:cs="Times New Roman"/>
          <w:sz w:val="24"/>
          <w:szCs w:val="24"/>
        </w:rPr>
        <w:t xml:space="preserve">, passando por </w:t>
      </w:r>
      <w:r w:rsidR="002822C1" w:rsidRPr="006F42E1">
        <w:rPr>
          <w:rFonts w:ascii="Times New Roman" w:eastAsia="Times New Roman" w:hAnsi="Times New Roman" w:cs="Times New Roman"/>
          <w:sz w:val="24"/>
          <w:szCs w:val="24"/>
        </w:rPr>
        <w:t>1,26%</w:t>
      </w:r>
      <w:r w:rsidR="00850F63" w:rsidRPr="006F42E1">
        <w:rPr>
          <w:rFonts w:ascii="Times New Roman" w:eastAsia="Times New Roman" w:hAnsi="Times New Roman" w:cs="Times New Roman"/>
          <w:sz w:val="24"/>
          <w:szCs w:val="24"/>
        </w:rPr>
        <w:t xml:space="preserve"> em </w:t>
      </w:r>
      <w:r w:rsidR="00790702" w:rsidRPr="006F42E1">
        <w:rPr>
          <w:rFonts w:ascii="Times New Roman" w:eastAsia="Times New Roman" w:hAnsi="Times New Roman" w:cs="Times New Roman"/>
          <w:sz w:val="24"/>
          <w:szCs w:val="24"/>
        </w:rPr>
        <w:t>2000/</w:t>
      </w:r>
      <w:r w:rsidR="006D58B3" w:rsidRPr="006F42E1">
        <w:rPr>
          <w:rFonts w:ascii="Times New Roman" w:eastAsia="Times New Roman" w:hAnsi="Times New Roman" w:cs="Times New Roman"/>
          <w:sz w:val="24"/>
          <w:szCs w:val="24"/>
        </w:rPr>
        <w:t>2010</w:t>
      </w:r>
      <w:r w:rsidR="00850F63" w:rsidRPr="006F42E1">
        <w:rPr>
          <w:rFonts w:ascii="Times New Roman" w:eastAsia="Times New Roman" w:hAnsi="Times New Roman" w:cs="Times New Roman"/>
          <w:sz w:val="24"/>
          <w:szCs w:val="24"/>
        </w:rPr>
        <w:t xml:space="preserve"> e </w:t>
      </w:r>
      <w:r w:rsidR="00590E96" w:rsidRPr="006F42E1">
        <w:rPr>
          <w:rFonts w:ascii="Times New Roman" w:eastAsia="Times New Roman" w:hAnsi="Times New Roman" w:cs="Times New Roman"/>
          <w:sz w:val="24"/>
          <w:szCs w:val="24"/>
        </w:rPr>
        <w:t>tendendo</w:t>
      </w:r>
      <w:r w:rsidR="00850F63" w:rsidRPr="006F42E1">
        <w:rPr>
          <w:rFonts w:ascii="Times New Roman" w:eastAsia="Times New Roman" w:hAnsi="Times New Roman" w:cs="Times New Roman"/>
          <w:sz w:val="24"/>
          <w:szCs w:val="24"/>
        </w:rPr>
        <w:t xml:space="preserve"> para</w:t>
      </w:r>
      <w:r w:rsidR="00590E96" w:rsidRPr="006F42E1">
        <w:rPr>
          <w:rFonts w:ascii="Times New Roman" w:eastAsia="Times New Roman" w:hAnsi="Times New Roman" w:cs="Times New Roman"/>
          <w:sz w:val="24"/>
          <w:szCs w:val="24"/>
        </w:rPr>
        <w:t xml:space="preserve"> </w:t>
      </w:r>
      <w:r w:rsidR="002822C1" w:rsidRPr="006F42E1">
        <w:rPr>
          <w:rFonts w:ascii="Times New Roman" w:eastAsia="Times New Roman" w:hAnsi="Times New Roman" w:cs="Times New Roman"/>
          <w:sz w:val="24"/>
          <w:szCs w:val="24"/>
        </w:rPr>
        <w:t>-0,</w:t>
      </w:r>
      <w:r w:rsidR="00475185" w:rsidRPr="006F42E1">
        <w:rPr>
          <w:rFonts w:ascii="Times New Roman" w:eastAsia="Times New Roman" w:hAnsi="Times New Roman" w:cs="Times New Roman"/>
          <w:sz w:val="24"/>
          <w:szCs w:val="24"/>
        </w:rPr>
        <w:t>10%</w:t>
      </w:r>
      <w:r w:rsidR="00590E96" w:rsidRPr="006F42E1">
        <w:rPr>
          <w:rFonts w:ascii="Times New Roman" w:eastAsia="Times New Roman" w:hAnsi="Times New Roman" w:cs="Times New Roman"/>
          <w:sz w:val="24"/>
          <w:szCs w:val="24"/>
        </w:rPr>
        <w:t xml:space="preserve"> em 2040/2050</w:t>
      </w:r>
      <w:r w:rsidR="00475185" w:rsidRPr="006F42E1">
        <w:rPr>
          <w:rFonts w:ascii="Times New Roman" w:eastAsia="Times New Roman" w:hAnsi="Times New Roman" w:cs="Times New Roman"/>
          <w:sz w:val="24"/>
          <w:szCs w:val="24"/>
        </w:rPr>
        <w:t>, já apresentando decrescimento populacional</w:t>
      </w:r>
      <w:r w:rsidR="00C52CA4" w:rsidRPr="006F42E1">
        <w:rPr>
          <w:rFonts w:ascii="Times New Roman" w:eastAsia="Times New Roman" w:hAnsi="Times New Roman" w:cs="Times New Roman"/>
          <w:sz w:val="24"/>
          <w:szCs w:val="24"/>
        </w:rPr>
        <w:t xml:space="preserve">. </w:t>
      </w:r>
    </w:p>
    <w:p w14:paraId="4811C761" w14:textId="77777777" w:rsidR="002D0AB2" w:rsidRPr="006F42E1" w:rsidRDefault="00943252" w:rsidP="00455B5F">
      <w:pPr>
        <w:spacing w:after="0" w:line="36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ab/>
        <w:t>No que tange a</w:t>
      </w:r>
      <w:r w:rsidR="00475185" w:rsidRPr="006F42E1">
        <w:rPr>
          <w:rFonts w:ascii="Times New Roman" w:eastAsia="Times New Roman" w:hAnsi="Times New Roman" w:cs="Times New Roman"/>
          <w:sz w:val="24"/>
          <w:szCs w:val="24"/>
        </w:rPr>
        <w:t>s mudanças na</w:t>
      </w:r>
      <w:r w:rsidRPr="006F42E1">
        <w:rPr>
          <w:rFonts w:ascii="Times New Roman" w:eastAsia="Times New Roman" w:hAnsi="Times New Roman" w:cs="Times New Roman"/>
          <w:sz w:val="24"/>
          <w:szCs w:val="24"/>
        </w:rPr>
        <w:t xml:space="preserve"> estrutura etária</w:t>
      </w:r>
      <w:r w:rsidR="006A5F55" w:rsidRPr="006F42E1">
        <w:rPr>
          <w:rFonts w:ascii="Times New Roman" w:eastAsia="Times New Roman" w:hAnsi="Times New Roman" w:cs="Times New Roman"/>
          <w:sz w:val="24"/>
          <w:szCs w:val="24"/>
        </w:rPr>
        <w:t xml:space="preserve">, apresenta-se a Figura </w:t>
      </w:r>
      <w:r w:rsidR="007B0B6D" w:rsidRPr="006F42E1">
        <w:rPr>
          <w:rFonts w:ascii="Times New Roman" w:eastAsia="Times New Roman" w:hAnsi="Times New Roman" w:cs="Times New Roman"/>
          <w:sz w:val="24"/>
          <w:szCs w:val="24"/>
        </w:rPr>
        <w:t xml:space="preserve">4. </w:t>
      </w:r>
      <w:r w:rsidR="00455B5F" w:rsidRPr="006F42E1">
        <w:rPr>
          <w:rFonts w:ascii="Times New Roman" w:eastAsia="Times New Roman" w:hAnsi="Times New Roman" w:cs="Times New Roman"/>
          <w:sz w:val="24"/>
          <w:szCs w:val="24"/>
        </w:rPr>
        <w:t xml:space="preserve">Na pirâmide etária para 1970 o estado apresenta uma população jovem, que </w:t>
      </w:r>
      <w:r w:rsidR="003704BE" w:rsidRPr="006F42E1">
        <w:rPr>
          <w:rFonts w:ascii="Times New Roman" w:eastAsia="Times New Roman" w:hAnsi="Times New Roman" w:cs="Times New Roman"/>
          <w:sz w:val="24"/>
          <w:szCs w:val="24"/>
        </w:rPr>
        <w:t>se concentra</w:t>
      </w:r>
      <w:r w:rsidR="00455B5F" w:rsidRPr="006F42E1">
        <w:rPr>
          <w:rFonts w:ascii="Times New Roman" w:eastAsia="Times New Roman" w:hAnsi="Times New Roman" w:cs="Times New Roman"/>
          <w:sz w:val="24"/>
          <w:szCs w:val="24"/>
        </w:rPr>
        <w:t xml:space="preserve"> nos grupos da base e diminui gradativamente a cada intervalo etário. Assim, a estrutura etária do estado assemelha-se a considerada típica para populações que experimentaram elevada fecundidade no passado (CARVALHO; SAWYER; RODRIGUES, 1994). </w:t>
      </w:r>
    </w:p>
    <w:p w14:paraId="413E005C" w14:textId="7F525953" w:rsidR="007B56EB" w:rsidRPr="006F42E1" w:rsidRDefault="002D0AB2" w:rsidP="077EFA88">
      <w:pPr>
        <w:spacing w:after="0" w:line="360" w:lineRule="auto"/>
        <w:jc w:val="both"/>
        <w:rPr>
          <w:rFonts w:ascii="Times New Roman" w:hAnsi="Times New Roman" w:cs="Times New Roman"/>
          <w:sz w:val="24"/>
          <w:szCs w:val="24"/>
        </w:rPr>
      </w:pPr>
      <w:r w:rsidRPr="006F42E1">
        <w:rPr>
          <w:rFonts w:ascii="Times New Roman" w:eastAsia="Times New Roman" w:hAnsi="Times New Roman" w:cs="Times New Roman"/>
          <w:sz w:val="24"/>
          <w:szCs w:val="24"/>
        </w:rPr>
        <w:tab/>
      </w:r>
      <w:r w:rsidR="00455B5F" w:rsidRPr="006F42E1">
        <w:rPr>
          <w:rFonts w:ascii="Times New Roman" w:eastAsia="Times New Roman" w:hAnsi="Times New Roman" w:cs="Times New Roman"/>
          <w:sz w:val="24"/>
          <w:szCs w:val="24"/>
        </w:rPr>
        <w:t>E</w:t>
      </w:r>
      <w:r w:rsidR="00701EC2" w:rsidRPr="006F42E1">
        <w:rPr>
          <w:rFonts w:ascii="Times New Roman" w:eastAsia="Times New Roman" w:hAnsi="Times New Roman" w:cs="Times New Roman"/>
          <w:sz w:val="24"/>
          <w:szCs w:val="24"/>
        </w:rPr>
        <w:t>m 20</w:t>
      </w:r>
      <w:r w:rsidR="001D3B3A" w:rsidRPr="006F42E1">
        <w:rPr>
          <w:rFonts w:ascii="Times New Roman" w:eastAsia="Times New Roman" w:hAnsi="Times New Roman" w:cs="Times New Roman"/>
          <w:sz w:val="24"/>
          <w:szCs w:val="24"/>
        </w:rPr>
        <w:t>10</w:t>
      </w:r>
      <w:r w:rsidR="00455B5F" w:rsidRPr="006F42E1">
        <w:rPr>
          <w:rFonts w:ascii="Times New Roman" w:eastAsia="Times New Roman" w:hAnsi="Times New Roman" w:cs="Times New Roman"/>
          <w:sz w:val="24"/>
          <w:szCs w:val="24"/>
        </w:rPr>
        <w:t xml:space="preserve"> o</w:t>
      </w:r>
      <w:r w:rsidR="00912553" w:rsidRPr="006F42E1">
        <w:rPr>
          <w:rFonts w:ascii="Times New Roman" w:eastAsia="Times New Roman" w:hAnsi="Times New Roman" w:cs="Times New Roman"/>
          <w:sz w:val="24"/>
          <w:szCs w:val="24"/>
        </w:rPr>
        <w:t>s dois</w:t>
      </w:r>
      <w:r w:rsidR="00455B5F" w:rsidRPr="006F42E1">
        <w:rPr>
          <w:rFonts w:ascii="Times New Roman" w:eastAsia="Times New Roman" w:hAnsi="Times New Roman" w:cs="Times New Roman"/>
          <w:sz w:val="24"/>
          <w:szCs w:val="24"/>
        </w:rPr>
        <w:t xml:space="preserve"> grupo</w:t>
      </w:r>
      <w:r w:rsidR="00912553" w:rsidRPr="006F42E1">
        <w:rPr>
          <w:rFonts w:ascii="Times New Roman" w:eastAsia="Times New Roman" w:hAnsi="Times New Roman" w:cs="Times New Roman"/>
          <w:sz w:val="24"/>
          <w:szCs w:val="24"/>
        </w:rPr>
        <w:t>s</w:t>
      </w:r>
      <w:r w:rsidR="00455B5F" w:rsidRPr="006F42E1">
        <w:rPr>
          <w:rFonts w:ascii="Times New Roman" w:eastAsia="Times New Roman" w:hAnsi="Times New Roman" w:cs="Times New Roman"/>
          <w:sz w:val="24"/>
          <w:szCs w:val="24"/>
        </w:rPr>
        <w:t xml:space="preserve"> etário</w:t>
      </w:r>
      <w:r w:rsidR="00912553" w:rsidRPr="006F42E1">
        <w:rPr>
          <w:rFonts w:ascii="Times New Roman" w:eastAsia="Times New Roman" w:hAnsi="Times New Roman" w:cs="Times New Roman"/>
          <w:sz w:val="24"/>
          <w:szCs w:val="24"/>
        </w:rPr>
        <w:t>s</w:t>
      </w:r>
      <w:r w:rsidR="00455B5F" w:rsidRPr="006F42E1">
        <w:rPr>
          <w:rFonts w:ascii="Times New Roman" w:eastAsia="Times New Roman" w:hAnsi="Times New Roman" w:cs="Times New Roman"/>
          <w:sz w:val="24"/>
          <w:szCs w:val="24"/>
        </w:rPr>
        <w:t xml:space="preserve"> com idade entre 0 e </w:t>
      </w:r>
      <w:r w:rsidR="00912553" w:rsidRPr="006F42E1">
        <w:rPr>
          <w:rFonts w:ascii="Times New Roman" w:eastAsia="Times New Roman" w:hAnsi="Times New Roman" w:cs="Times New Roman"/>
          <w:sz w:val="24"/>
          <w:szCs w:val="24"/>
        </w:rPr>
        <w:t>9</w:t>
      </w:r>
      <w:r w:rsidR="00455B5F" w:rsidRPr="006F42E1">
        <w:rPr>
          <w:rFonts w:ascii="Times New Roman" w:eastAsia="Times New Roman" w:hAnsi="Times New Roman" w:cs="Times New Roman"/>
          <w:sz w:val="24"/>
          <w:szCs w:val="24"/>
        </w:rPr>
        <w:t xml:space="preserve"> anos já se encontra</w:t>
      </w:r>
      <w:r w:rsidR="007C00BC" w:rsidRPr="006F42E1">
        <w:rPr>
          <w:rFonts w:ascii="Times New Roman" w:eastAsia="Times New Roman" w:hAnsi="Times New Roman" w:cs="Times New Roman"/>
          <w:sz w:val="24"/>
          <w:szCs w:val="24"/>
        </w:rPr>
        <w:t>m</w:t>
      </w:r>
      <w:r w:rsidR="00455B5F" w:rsidRPr="006F42E1">
        <w:rPr>
          <w:rFonts w:ascii="Times New Roman" w:eastAsia="Times New Roman" w:hAnsi="Times New Roman" w:cs="Times New Roman"/>
          <w:sz w:val="24"/>
          <w:szCs w:val="24"/>
        </w:rPr>
        <w:t xml:space="preserve"> relativamente menor</w:t>
      </w:r>
      <w:r w:rsidR="007C00BC" w:rsidRPr="006F42E1">
        <w:rPr>
          <w:rFonts w:ascii="Times New Roman" w:eastAsia="Times New Roman" w:hAnsi="Times New Roman" w:cs="Times New Roman"/>
          <w:sz w:val="24"/>
          <w:szCs w:val="24"/>
        </w:rPr>
        <w:t>es</w:t>
      </w:r>
      <w:r w:rsidR="00455B5F" w:rsidRPr="006F42E1">
        <w:rPr>
          <w:rFonts w:ascii="Times New Roman" w:eastAsia="Times New Roman" w:hAnsi="Times New Roman" w:cs="Times New Roman"/>
          <w:sz w:val="24"/>
          <w:szCs w:val="24"/>
        </w:rPr>
        <w:t xml:space="preserve"> em relação ao imediatamente seguinte</w:t>
      </w:r>
      <w:r w:rsidR="007C00BC" w:rsidRPr="006F42E1">
        <w:rPr>
          <w:rFonts w:ascii="Times New Roman" w:eastAsia="Times New Roman" w:hAnsi="Times New Roman" w:cs="Times New Roman"/>
          <w:sz w:val="24"/>
          <w:szCs w:val="24"/>
        </w:rPr>
        <w:t xml:space="preserve"> (10 a 14)</w:t>
      </w:r>
      <w:r w:rsidR="00455B5F" w:rsidRPr="006F42E1">
        <w:rPr>
          <w:rFonts w:ascii="Times New Roman" w:eastAsia="Times New Roman" w:hAnsi="Times New Roman" w:cs="Times New Roman"/>
          <w:sz w:val="24"/>
          <w:szCs w:val="24"/>
        </w:rPr>
        <w:t>, ilustrando, portanto, os primeiros reflexos da transição da estrutura etária.</w:t>
      </w:r>
      <w:r w:rsidRPr="006F42E1">
        <w:rPr>
          <w:rFonts w:ascii="Times New Roman" w:eastAsia="Times New Roman" w:hAnsi="Times New Roman" w:cs="Times New Roman"/>
          <w:sz w:val="24"/>
          <w:szCs w:val="24"/>
        </w:rPr>
        <w:t xml:space="preserve"> Com isso já se visualiza </w:t>
      </w:r>
      <w:r w:rsidR="008E05F4" w:rsidRPr="006F42E1">
        <w:rPr>
          <w:rFonts w:ascii="Times New Roman" w:hAnsi="Times New Roman" w:cs="Times New Roman"/>
          <w:sz w:val="24"/>
          <w:szCs w:val="24"/>
        </w:rPr>
        <w:t>o bônus demográfico</w:t>
      </w:r>
      <w:r w:rsidR="00935E66" w:rsidRPr="006F42E1">
        <w:rPr>
          <w:rFonts w:ascii="Times New Roman" w:hAnsi="Times New Roman" w:cs="Times New Roman"/>
          <w:sz w:val="24"/>
          <w:szCs w:val="24"/>
        </w:rPr>
        <w:t>, que</w:t>
      </w:r>
      <w:r w:rsidR="00331874" w:rsidRPr="006F42E1">
        <w:rPr>
          <w:rFonts w:ascii="Times New Roman" w:hAnsi="Times New Roman" w:cs="Times New Roman"/>
          <w:sz w:val="24"/>
          <w:szCs w:val="24"/>
        </w:rPr>
        <w:t xml:space="preserve"> é</w:t>
      </w:r>
      <w:r w:rsidR="008E05F4" w:rsidRPr="006F42E1">
        <w:rPr>
          <w:rFonts w:ascii="Times New Roman" w:hAnsi="Times New Roman" w:cs="Times New Roman"/>
          <w:sz w:val="24"/>
          <w:szCs w:val="24"/>
        </w:rPr>
        <w:t xml:space="preserve"> propiciado pelos diferentes ritmos de crescimento entre os grandes grupos da população, abrindo uma janela de oportunidade para o estado </w:t>
      </w:r>
      <w:r w:rsidR="00331874" w:rsidRPr="006F42E1">
        <w:rPr>
          <w:rFonts w:ascii="Times New Roman" w:hAnsi="Times New Roman" w:cs="Times New Roman"/>
          <w:sz w:val="24"/>
          <w:szCs w:val="24"/>
        </w:rPr>
        <w:t>do Ceará</w:t>
      </w:r>
      <w:r w:rsidR="008E05F4" w:rsidRPr="006F42E1">
        <w:rPr>
          <w:rFonts w:ascii="Times New Roman" w:hAnsi="Times New Roman" w:cs="Times New Roman"/>
          <w:sz w:val="24"/>
          <w:szCs w:val="24"/>
        </w:rPr>
        <w:t xml:space="preserve">. Nesse período vê-se que a base da </w:t>
      </w:r>
      <w:r w:rsidR="008E05F4" w:rsidRPr="006F42E1">
        <w:rPr>
          <w:rFonts w:ascii="Times New Roman" w:hAnsi="Times New Roman" w:cs="Times New Roman"/>
          <w:sz w:val="24"/>
          <w:szCs w:val="24"/>
        </w:rPr>
        <w:lastRenderedPageBreak/>
        <w:t>pirâmide, encolhida pela queda da TFT, junto ao envelhecimento populacional ainda lento</w:t>
      </w:r>
      <w:r w:rsidR="00331874" w:rsidRPr="006F42E1">
        <w:rPr>
          <w:rFonts w:ascii="Times New Roman" w:hAnsi="Times New Roman" w:cs="Times New Roman"/>
          <w:sz w:val="24"/>
          <w:szCs w:val="24"/>
        </w:rPr>
        <w:t>,</w:t>
      </w:r>
      <w:r w:rsidR="008E05F4" w:rsidRPr="006F42E1">
        <w:rPr>
          <w:rFonts w:ascii="Times New Roman" w:hAnsi="Times New Roman" w:cs="Times New Roman"/>
          <w:sz w:val="24"/>
          <w:szCs w:val="24"/>
        </w:rPr>
        <w:t xml:space="preserve"> tornam relativamente maior a população das faixas intermediárias, que se encontram em idade potencialmente ativa.</w:t>
      </w:r>
      <w:r w:rsidR="00A57C82" w:rsidRPr="006F42E1">
        <w:t xml:space="preserve"> </w:t>
      </w:r>
    </w:p>
    <w:p w14:paraId="1359A9A8" w14:textId="75FEBC31" w:rsidR="00EE6988" w:rsidRPr="006F42E1" w:rsidRDefault="0E7F4194" w:rsidP="0E7F4194">
      <w:pPr>
        <w:spacing w:after="0" w:line="360" w:lineRule="auto"/>
        <w:ind w:firstLine="708"/>
        <w:jc w:val="both"/>
        <w:rPr>
          <w:rFonts w:ascii="Times New Roman" w:hAnsi="Times New Roman" w:cs="Times New Roman"/>
          <w:sz w:val="24"/>
          <w:szCs w:val="24"/>
        </w:rPr>
      </w:pPr>
      <w:r w:rsidRPr="006F42E1">
        <w:rPr>
          <w:rFonts w:ascii="Times New Roman" w:hAnsi="Times New Roman" w:cs="Times New Roman"/>
          <w:sz w:val="24"/>
          <w:szCs w:val="24"/>
        </w:rPr>
        <w:t xml:space="preserve">Além dessas componentes há a influência da migração, que incrementa essas faixas intermediárias, especialmente entre os 30 e 40 anos. A migração é uma componente que sempre se fez muito presente na história do estado. Para contornar os problemas com a seca, o grande latifúndio e as desigualdades regionais, a população cearense foi marcada, a partir dos anos 1960 até início dos anos 1980, pela significativa migração para estados mais desenvolvidos como São Paulo ou para estados vizinhos como Piauí e Maranhão. Contudo, após os anos 1980, o Ceará começa a apresentar-se como área de atração populacional, com destaque para as migrações de retorno (PATARRA, 2003; QUEIROZ, 2013). </w:t>
      </w:r>
    </w:p>
    <w:p w14:paraId="1C42F76F" w14:textId="344F2736" w:rsidR="0E7F4194" w:rsidRPr="006F42E1" w:rsidRDefault="0E7F4194" w:rsidP="0E7F4194">
      <w:pPr>
        <w:spacing w:after="0" w:line="360" w:lineRule="auto"/>
        <w:ind w:firstLine="708"/>
        <w:jc w:val="both"/>
        <w:rPr>
          <w:rFonts w:ascii="Times New Roman" w:hAnsi="Times New Roman" w:cs="Times New Roman"/>
          <w:sz w:val="24"/>
          <w:szCs w:val="24"/>
        </w:rPr>
      </w:pPr>
    </w:p>
    <w:p w14:paraId="13737E5F" w14:textId="6DFF9510" w:rsidR="6A27609A" w:rsidRPr="006F42E1" w:rsidRDefault="6A27609A" w:rsidP="008C6917">
      <w:pPr>
        <w:spacing w:after="0" w:line="240" w:lineRule="auto"/>
        <w:jc w:val="both"/>
        <w:rPr>
          <w:rFonts w:ascii="Times New Roman" w:hAnsi="Times New Roman" w:cs="Times New Roman"/>
          <w:b/>
          <w:bCs/>
          <w:sz w:val="24"/>
          <w:szCs w:val="24"/>
        </w:rPr>
      </w:pPr>
      <w:r w:rsidRPr="006F42E1">
        <w:rPr>
          <w:rFonts w:ascii="Times New Roman" w:hAnsi="Times New Roman" w:cs="Times New Roman"/>
          <w:b/>
          <w:bCs/>
          <w:sz w:val="24"/>
          <w:szCs w:val="24"/>
        </w:rPr>
        <w:t xml:space="preserve">Figura </w:t>
      </w:r>
      <w:r w:rsidR="003704BE" w:rsidRPr="006F42E1">
        <w:rPr>
          <w:rFonts w:ascii="Times New Roman" w:hAnsi="Times New Roman" w:cs="Times New Roman"/>
          <w:b/>
          <w:bCs/>
          <w:sz w:val="24"/>
          <w:szCs w:val="24"/>
        </w:rPr>
        <w:t>4</w:t>
      </w:r>
      <w:r w:rsidRPr="006F42E1">
        <w:rPr>
          <w:rFonts w:ascii="Times New Roman" w:hAnsi="Times New Roman" w:cs="Times New Roman"/>
          <w:b/>
          <w:bCs/>
          <w:sz w:val="24"/>
          <w:szCs w:val="24"/>
        </w:rPr>
        <w:t xml:space="preserve"> - Pirâmide etária da população observada (19</w:t>
      </w:r>
      <w:r w:rsidR="005D37E1" w:rsidRPr="006F42E1">
        <w:rPr>
          <w:rFonts w:ascii="Times New Roman" w:hAnsi="Times New Roman" w:cs="Times New Roman"/>
          <w:b/>
          <w:bCs/>
          <w:sz w:val="24"/>
          <w:szCs w:val="24"/>
        </w:rPr>
        <w:t>70</w:t>
      </w:r>
      <w:r w:rsidRPr="006F42E1">
        <w:rPr>
          <w:rFonts w:ascii="Times New Roman" w:hAnsi="Times New Roman" w:cs="Times New Roman"/>
          <w:b/>
          <w:bCs/>
          <w:sz w:val="24"/>
          <w:szCs w:val="24"/>
        </w:rPr>
        <w:t xml:space="preserve">, </w:t>
      </w:r>
      <w:r w:rsidR="005D37E1" w:rsidRPr="006F42E1">
        <w:rPr>
          <w:rFonts w:ascii="Times New Roman" w:hAnsi="Times New Roman" w:cs="Times New Roman"/>
          <w:b/>
          <w:bCs/>
          <w:sz w:val="24"/>
          <w:szCs w:val="24"/>
        </w:rPr>
        <w:t>1991</w:t>
      </w:r>
      <w:r w:rsidRPr="006F42E1">
        <w:rPr>
          <w:rFonts w:ascii="Times New Roman" w:hAnsi="Times New Roman" w:cs="Times New Roman"/>
          <w:b/>
          <w:bCs/>
          <w:sz w:val="24"/>
          <w:szCs w:val="24"/>
        </w:rPr>
        <w:t xml:space="preserve"> e 2010) e projetada (2030 e 2050) </w:t>
      </w:r>
      <w:r w:rsidR="00EB09C6" w:rsidRPr="006F42E1">
        <w:rPr>
          <w:rFonts w:ascii="Times New Roman" w:hAnsi="Times New Roman" w:cs="Times New Roman"/>
          <w:b/>
          <w:bCs/>
          <w:sz w:val="24"/>
          <w:szCs w:val="24"/>
        </w:rPr>
        <w:t>-</w:t>
      </w:r>
      <w:r w:rsidRPr="006F42E1">
        <w:rPr>
          <w:rFonts w:ascii="Times New Roman" w:hAnsi="Times New Roman" w:cs="Times New Roman"/>
          <w:b/>
          <w:bCs/>
          <w:sz w:val="24"/>
          <w:szCs w:val="24"/>
        </w:rPr>
        <w:t xml:space="preserve"> Ceará</w:t>
      </w:r>
    </w:p>
    <w:p w14:paraId="4D9B3740" w14:textId="4C500D5B" w:rsidR="6A27609A" w:rsidRPr="006F42E1" w:rsidRDefault="004004EE" w:rsidP="00AD29E2">
      <w:pPr>
        <w:spacing w:after="0" w:line="276" w:lineRule="auto"/>
        <w:jc w:val="both"/>
        <w:rPr>
          <w:sz w:val="24"/>
          <w:szCs w:val="24"/>
        </w:rPr>
      </w:pPr>
      <w:r w:rsidRPr="006F42E1">
        <w:rPr>
          <w:noProof/>
        </w:rPr>
        <w:drawing>
          <wp:inline distT="0" distB="0" distL="0" distR="0" wp14:anchorId="361D2EB5" wp14:editId="2439E15A">
            <wp:extent cx="5760085" cy="3434317"/>
            <wp:effectExtent l="0" t="0" r="12065" b="13970"/>
            <wp:docPr id="8" name="Gráfico 8">
              <a:extLst xmlns:a="http://schemas.openxmlformats.org/drawingml/2006/main">
                <a:ext uri="{FF2B5EF4-FFF2-40B4-BE49-F238E27FC236}">
                  <a16:creationId xmlns:a16="http://schemas.microsoft.com/office/drawing/2014/main" id="{40289F7D-39BC-4231-B51C-B397079BF3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7415FAC" w14:textId="3B551202" w:rsidR="6A27609A" w:rsidRPr="006F42E1" w:rsidRDefault="13B1A6B2" w:rsidP="008C6917">
      <w:pPr>
        <w:spacing w:after="0" w:line="240" w:lineRule="auto"/>
        <w:jc w:val="both"/>
        <w:rPr>
          <w:rFonts w:ascii="Times New Roman" w:hAnsi="Times New Roman" w:cs="Times New Roman"/>
          <w:sz w:val="20"/>
          <w:szCs w:val="20"/>
        </w:rPr>
      </w:pPr>
      <w:r w:rsidRPr="006F42E1">
        <w:rPr>
          <w:rFonts w:ascii="Times New Roman" w:hAnsi="Times New Roman" w:cs="Times New Roman"/>
          <w:sz w:val="20"/>
          <w:szCs w:val="20"/>
        </w:rPr>
        <w:t xml:space="preserve">Fonte: SIDRA, 2022; IBGE, 2013; 2018. </w:t>
      </w:r>
    </w:p>
    <w:p w14:paraId="57183FBB" w14:textId="4C1EA0AF" w:rsidR="13B1A6B2" w:rsidRPr="006F42E1" w:rsidRDefault="13B1A6B2" w:rsidP="13B1A6B2">
      <w:pPr>
        <w:spacing w:after="0" w:line="360" w:lineRule="auto"/>
        <w:jc w:val="both"/>
        <w:rPr>
          <w:rFonts w:ascii="Times New Roman" w:hAnsi="Times New Roman" w:cs="Times New Roman"/>
          <w:sz w:val="24"/>
          <w:szCs w:val="24"/>
        </w:rPr>
      </w:pPr>
    </w:p>
    <w:p w14:paraId="1E2A23B2" w14:textId="0CD25420" w:rsidR="00E91A90" w:rsidRPr="006F42E1" w:rsidRDefault="00E91A90" w:rsidP="00E91A90">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lastRenderedPageBreak/>
        <w:tab/>
        <w:t>Sobre a questão do bônus, Borges, Campos e Silva (2015) comentam que a transição propicia um bônus demográfico, que, entretanto, não é automático, configurando-se como uma janela de oportunidades que demanda certas condições para que seja efetivamente um bônus, e favoreça o desenvolvimento econômico. Como observam Paiva e Wajnman (2005, p. 318), no caso do Brasil a “história passada de baixos níveis relativos de escolaridade das coortes que atualmente estão em idade produtiva e a presente estrutura do mercado de trabalho são fatores que dificultam obter os ganhos do bônus demográfico”. Contudo, para além de aproveitar tal bônus, há que se pensar nos desafios que virão junto ao envelhecimento populacional (CARVALHO; WONG, 2008).</w:t>
      </w:r>
      <w:r w:rsidR="00AA2EE9" w:rsidRPr="006F42E1">
        <w:rPr>
          <w:rFonts w:ascii="Times New Roman" w:hAnsi="Times New Roman" w:cs="Times New Roman"/>
          <w:sz w:val="24"/>
          <w:szCs w:val="24"/>
        </w:rPr>
        <w:t xml:space="preserve"> </w:t>
      </w:r>
    </w:p>
    <w:p w14:paraId="2BC6140B" w14:textId="69A41515" w:rsidR="00752465" w:rsidRPr="006F42E1" w:rsidRDefault="001965AD" w:rsidP="43CF6635">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85762A" w:rsidRPr="006F42E1">
        <w:rPr>
          <w:rFonts w:ascii="Times New Roman" w:hAnsi="Times New Roman" w:cs="Times New Roman"/>
          <w:sz w:val="24"/>
          <w:szCs w:val="24"/>
        </w:rPr>
        <w:t>Já na</w:t>
      </w:r>
      <w:r w:rsidR="00117163" w:rsidRPr="006F42E1">
        <w:rPr>
          <w:rFonts w:ascii="Times New Roman" w:hAnsi="Times New Roman" w:cs="Times New Roman"/>
          <w:sz w:val="24"/>
          <w:szCs w:val="24"/>
        </w:rPr>
        <w:t xml:space="preserve">s </w:t>
      </w:r>
      <w:r w:rsidR="00B07125" w:rsidRPr="006F42E1">
        <w:rPr>
          <w:rFonts w:ascii="Times New Roman" w:hAnsi="Times New Roman" w:cs="Times New Roman"/>
          <w:sz w:val="24"/>
          <w:szCs w:val="24"/>
        </w:rPr>
        <w:t xml:space="preserve">estruturas </w:t>
      </w:r>
      <w:r w:rsidR="00117163" w:rsidRPr="006F42E1">
        <w:rPr>
          <w:rFonts w:ascii="Times New Roman" w:hAnsi="Times New Roman" w:cs="Times New Roman"/>
          <w:sz w:val="24"/>
          <w:szCs w:val="24"/>
        </w:rPr>
        <w:t>proje</w:t>
      </w:r>
      <w:r w:rsidR="00B07125" w:rsidRPr="006F42E1">
        <w:rPr>
          <w:rFonts w:ascii="Times New Roman" w:hAnsi="Times New Roman" w:cs="Times New Roman"/>
          <w:sz w:val="24"/>
          <w:szCs w:val="24"/>
        </w:rPr>
        <w:t>tada</w:t>
      </w:r>
      <w:r w:rsidR="00117163" w:rsidRPr="006F42E1">
        <w:rPr>
          <w:rFonts w:ascii="Times New Roman" w:hAnsi="Times New Roman" w:cs="Times New Roman"/>
          <w:sz w:val="24"/>
          <w:szCs w:val="24"/>
        </w:rPr>
        <w:t>s</w:t>
      </w:r>
      <w:r w:rsidRPr="006F42E1">
        <w:rPr>
          <w:rFonts w:ascii="Times New Roman" w:hAnsi="Times New Roman" w:cs="Times New Roman"/>
          <w:sz w:val="24"/>
          <w:szCs w:val="24"/>
        </w:rPr>
        <w:t xml:space="preserve"> </w:t>
      </w:r>
      <w:r w:rsidR="0085762A" w:rsidRPr="006F42E1">
        <w:rPr>
          <w:rFonts w:ascii="Times New Roman" w:hAnsi="Times New Roman" w:cs="Times New Roman"/>
          <w:sz w:val="24"/>
          <w:szCs w:val="24"/>
        </w:rPr>
        <w:t>observa</w:t>
      </w:r>
      <w:r w:rsidRPr="006F42E1">
        <w:rPr>
          <w:rFonts w:ascii="Times New Roman" w:hAnsi="Times New Roman" w:cs="Times New Roman"/>
          <w:sz w:val="24"/>
          <w:szCs w:val="24"/>
        </w:rPr>
        <w:t xml:space="preserve">-se que a forma piramidal foi perdida: tem-se um encolhimento ainda maior para a base; </w:t>
      </w:r>
      <w:r w:rsidR="00821A55" w:rsidRPr="006F42E1">
        <w:rPr>
          <w:rFonts w:ascii="Times New Roman" w:hAnsi="Times New Roman" w:cs="Times New Roman"/>
          <w:sz w:val="24"/>
          <w:szCs w:val="24"/>
        </w:rPr>
        <w:t>ressaltam-se ainda mais as faixas de idade centrais referentes a oportunidade do bônus demográfico, observado desde 20</w:t>
      </w:r>
      <w:r w:rsidR="00083110" w:rsidRPr="006F42E1">
        <w:rPr>
          <w:rFonts w:ascii="Times New Roman" w:hAnsi="Times New Roman" w:cs="Times New Roman"/>
          <w:sz w:val="24"/>
          <w:szCs w:val="24"/>
        </w:rPr>
        <w:t>10</w:t>
      </w:r>
      <w:r w:rsidR="00D37C8F" w:rsidRPr="006F42E1">
        <w:rPr>
          <w:rFonts w:ascii="Times New Roman" w:hAnsi="Times New Roman" w:cs="Times New Roman"/>
          <w:sz w:val="24"/>
          <w:szCs w:val="24"/>
        </w:rPr>
        <w:t xml:space="preserve">; e </w:t>
      </w:r>
      <w:r w:rsidRPr="006F42E1">
        <w:rPr>
          <w:rFonts w:ascii="Times New Roman" w:hAnsi="Times New Roman" w:cs="Times New Roman"/>
          <w:sz w:val="24"/>
          <w:szCs w:val="24"/>
        </w:rPr>
        <w:t xml:space="preserve">torna-se mais claro o processo de envelhecimento, </w:t>
      </w:r>
      <w:r w:rsidR="00083110" w:rsidRPr="006F42E1">
        <w:rPr>
          <w:rFonts w:ascii="Times New Roman" w:hAnsi="Times New Roman" w:cs="Times New Roman"/>
          <w:sz w:val="24"/>
          <w:szCs w:val="24"/>
        </w:rPr>
        <w:t>mostrando</w:t>
      </w:r>
      <w:r w:rsidR="00AB1A8A" w:rsidRPr="006F42E1">
        <w:rPr>
          <w:rFonts w:ascii="Times New Roman" w:hAnsi="Times New Roman" w:cs="Times New Roman"/>
          <w:sz w:val="24"/>
          <w:szCs w:val="24"/>
        </w:rPr>
        <w:t xml:space="preserve"> certa</w:t>
      </w:r>
      <w:r w:rsidRPr="006F42E1">
        <w:rPr>
          <w:rFonts w:ascii="Times New Roman" w:hAnsi="Times New Roman" w:cs="Times New Roman"/>
          <w:sz w:val="24"/>
          <w:szCs w:val="24"/>
        </w:rPr>
        <w:t xml:space="preserve"> diferenciação entre os sexos</w:t>
      </w:r>
      <w:r w:rsidR="00960275" w:rsidRPr="006F42E1">
        <w:rPr>
          <w:rFonts w:ascii="Times New Roman" w:hAnsi="Times New Roman" w:cs="Times New Roman"/>
          <w:sz w:val="24"/>
          <w:szCs w:val="24"/>
        </w:rPr>
        <w:t xml:space="preserve"> e </w:t>
      </w:r>
      <w:r w:rsidR="008F4F69" w:rsidRPr="006F42E1">
        <w:rPr>
          <w:rFonts w:ascii="Times New Roman" w:hAnsi="Times New Roman" w:cs="Times New Roman"/>
          <w:sz w:val="24"/>
          <w:szCs w:val="24"/>
        </w:rPr>
        <w:t xml:space="preserve">trazendo o conceito de ‘feminização do envelhecimento’, processo que deriva do efeito </w:t>
      </w:r>
      <w:r w:rsidR="00ED228A" w:rsidRPr="006F42E1">
        <w:rPr>
          <w:rFonts w:ascii="Times New Roman" w:hAnsi="Times New Roman" w:cs="Times New Roman"/>
          <w:sz w:val="24"/>
          <w:szCs w:val="24"/>
        </w:rPr>
        <w:t xml:space="preserve">acumulado dos diferenciais de mortalidade entre homens e mulheres que se tornam mais amplos nas idades mais avançadas (MOREIRA, 2003). </w:t>
      </w:r>
    </w:p>
    <w:p w14:paraId="583668D4" w14:textId="5280A78B" w:rsidR="00BE351F" w:rsidRPr="006F42E1" w:rsidRDefault="002B3104" w:rsidP="517C960D">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5D17DD" w:rsidRPr="006F42E1">
        <w:rPr>
          <w:rFonts w:ascii="Times New Roman" w:hAnsi="Times New Roman" w:cs="Times New Roman"/>
          <w:sz w:val="24"/>
          <w:szCs w:val="24"/>
        </w:rPr>
        <w:t>Como visto, a</w:t>
      </w:r>
      <w:r w:rsidR="00BE351F" w:rsidRPr="006F42E1">
        <w:rPr>
          <w:rFonts w:ascii="Times New Roman" w:hAnsi="Times New Roman" w:cs="Times New Roman"/>
          <w:sz w:val="24"/>
          <w:szCs w:val="24"/>
        </w:rPr>
        <w:t xml:space="preserve"> importância de se analisar a estrutura/composição da população reside especialmente nas implicações em relação à formulação e implementação de políticas públicas, cuja eficiência pode depender de se considerar ou não a dinâmica demográfica. Tais implicações podem se dar sobre políticas nas áreas de educação, saúde, mercado de trabalho e previdência, por exemplo (BRITO, 2007), que são demandas em muito associadas ao ciclo de vida (Figura 5). </w:t>
      </w:r>
    </w:p>
    <w:p w14:paraId="32B33555" w14:textId="2729F267" w:rsidR="00BE351F" w:rsidRPr="006F42E1" w:rsidRDefault="00BE351F" w:rsidP="517C960D">
      <w:pPr>
        <w:spacing w:after="0" w:line="360" w:lineRule="auto"/>
        <w:jc w:val="both"/>
        <w:rPr>
          <w:rFonts w:ascii="Times New Roman" w:hAnsi="Times New Roman" w:cs="Times New Roman"/>
          <w:sz w:val="24"/>
          <w:szCs w:val="24"/>
        </w:rPr>
      </w:pPr>
    </w:p>
    <w:p w14:paraId="753DB939" w14:textId="77777777" w:rsidR="00A058BB" w:rsidRPr="006F42E1" w:rsidRDefault="00A058BB" w:rsidP="517C960D">
      <w:pPr>
        <w:spacing w:after="0" w:line="360" w:lineRule="auto"/>
        <w:jc w:val="both"/>
        <w:rPr>
          <w:rFonts w:ascii="Times New Roman" w:hAnsi="Times New Roman" w:cs="Times New Roman"/>
          <w:sz w:val="24"/>
          <w:szCs w:val="24"/>
        </w:rPr>
      </w:pPr>
    </w:p>
    <w:p w14:paraId="4B39776D" w14:textId="77777777" w:rsidR="00A058BB" w:rsidRPr="006F42E1" w:rsidRDefault="00A058BB" w:rsidP="517C960D">
      <w:pPr>
        <w:spacing w:after="0" w:line="360" w:lineRule="auto"/>
        <w:jc w:val="both"/>
        <w:rPr>
          <w:rFonts w:ascii="Times New Roman" w:hAnsi="Times New Roman" w:cs="Times New Roman"/>
          <w:sz w:val="24"/>
          <w:szCs w:val="24"/>
        </w:rPr>
      </w:pPr>
    </w:p>
    <w:p w14:paraId="122C1F86" w14:textId="77777777" w:rsidR="00A058BB" w:rsidRPr="006F42E1" w:rsidRDefault="00A058BB" w:rsidP="517C960D">
      <w:pPr>
        <w:spacing w:after="0" w:line="360" w:lineRule="auto"/>
        <w:jc w:val="both"/>
        <w:rPr>
          <w:rFonts w:ascii="Times New Roman" w:hAnsi="Times New Roman" w:cs="Times New Roman"/>
          <w:sz w:val="24"/>
          <w:szCs w:val="24"/>
        </w:rPr>
      </w:pPr>
    </w:p>
    <w:p w14:paraId="4C668CE0" w14:textId="77777777" w:rsidR="00A058BB" w:rsidRPr="006F42E1" w:rsidRDefault="00A058BB" w:rsidP="517C960D">
      <w:pPr>
        <w:spacing w:after="0" w:line="360" w:lineRule="auto"/>
        <w:jc w:val="both"/>
        <w:rPr>
          <w:rFonts w:ascii="Times New Roman" w:hAnsi="Times New Roman" w:cs="Times New Roman"/>
          <w:sz w:val="24"/>
          <w:szCs w:val="24"/>
        </w:rPr>
      </w:pPr>
    </w:p>
    <w:p w14:paraId="05045709" w14:textId="77777777" w:rsidR="00A058BB" w:rsidRPr="006F42E1" w:rsidRDefault="00A058BB" w:rsidP="517C960D">
      <w:pPr>
        <w:spacing w:after="0" w:line="360" w:lineRule="auto"/>
        <w:jc w:val="both"/>
        <w:rPr>
          <w:rFonts w:ascii="Times New Roman" w:hAnsi="Times New Roman" w:cs="Times New Roman"/>
          <w:sz w:val="24"/>
          <w:szCs w:val="24"/>
        </w:rPr>
      </w:pPr>
    </w:p>
    <w:p w14:paraId="6366984D" w14:textId="77777777" w:rsidR="00A058BB" w:rsidRPr="006F42E1" w:rsidRDefault="00A058BB" w:rsidP="517C960D">
      <w:pPr>
        <w:spacing w:after="0" w:line="360" w:lineRule="auto"/>
        <w:jc w:val="both"/>
        <w:rPr>
          <w:rFonts w:ascii="Times New Roman" w:hAnsi="Times New Roman" w:cs="Times New Roman"/>
          <w:sz w:val="24"/>
          <w:szCs w:val="24"/>
        </w:rPr>
      </w:pPr>
    </w:p>
    <w:p w14:paraId="0B90849E" w14:textId="10E6ABE9" w:rsidR="00BE351F" w:rsidRPr="006F42E1" w:rsidRDefault="517C960D" w:rsidP="517C960D">
      <w:pPr>
        <w:spacing w:after="0" w:line="360" w:lineRule="auto"/>
        <w:jc w:val="both"/>
        <w:rPr>
          <w:rFonts w:ascii="Times New Roman" w:hAnsi="Times New Roman" w:cs="Times New Roman"/>
          <w:b/>
          <w:bCs/>
          <w:sz w:val="24"/>
          <w:szCs w:val="24"/>
        </w:rPr>
      </w:pPr>
      <w:r w:rsidRPr="006F42E1">
        <w:rPr>
          <w:rFonts w:ascii="Times New Roman" w:hAnsi="Times New Roman" w:cs="Times New Roman"/>
          <w:b/>
          <w:bCs/>
          <w:sz w:val="24"/>
          <w:szCs w:val="24"/>
        </w:rPr>
        <w:lastRenderedPageBreak/>
        <w:t xml:space="preserve">Figura 5 – Demandas de serviços sociais ao longo do ciclo de vida </w:t>
      </w:r>
    </w:p>
    <w:p w14:paraId="5BCF97C6" w14:textId="36125DF7" w:rsidR="00BE351F" w:rsidRPr="006F42E1" w:rsidRDefault="002B3104" w:rsidP="517C960D">
      <w:pPr>
        <w:spacing w:after="0" w:line="360" w:lineRule="auto"/>
        <w:jc w:val="center"/>
      </w:pPr>
      <w:r w:rsidRPr="006F42E1">
        <w:rPr>
          <w:noProof/>
        </w:rPr>
        <w:drawing>
          <wp:inline distT="0" distB="0" distL="0" distR="0" wp14:anchorId="23EB0338" wp14:editId="0917F69D">
            <wp:extent cx="4572000" cy="2695575"/>
            <wp:effectExtent l="0" t="0" r="0" b="0"/>
            <wp:docPr id="164509597" name="Imagem 60701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07018235"/>
                    <pic:cNvPicPr/>
                  </pic:nvPicPr>
                  <pic:blipFill>
                    <a:blip r:embed="rId13">
                      <a:extLst>
                        <a:ext uri="{28A0092B-C50C-407E-A947-70E740481C1C}">
                          <a14:useLocalDpi xmlns:a14="http://schemas.microsoft.com/office/drawing/2010/main" val="0"/>
                        </a:ext>
                      </a:extLst>
                    </a:blip>
                    <a:stretch>
                      <a:fillRect/>
                    </a:stretch>
                  </pic:blipFill>
                  <pic:spPr>
                    <a:xfrm>
                      <a:off x="0" y="0"/>
                      <a:ext cx="4572000" cy="2695575"/>
                    </a:xfrm>
                    <a:prstGeom prst="rect">
                      <a:avLst/>
                    </a:prstGeom>
                  </pic:spPr>
                </pic:pic>
              </a:graphicData>
            </a:graphic>
          </wp:inline>
        </w:drawing>
      </w:r>
    </w:p>
    <w:p w14:paraId="073A88A1" w14:textId="27224495" w:rsidR="00BE351F" w:rsidRPr="006F42E1" w:rsidRDefault="517C960D" w:rsidP="517C960D">
      <w:pPr>
        <w:spacing w:after="0" w:line="360" w:lineRule="auto"/>
        <w:jc w:val="both"/>
        <w:rPr>
          <w:rFonts w:ascii="Times New Roman" w:hAnsi="Times New Roman" w:cs="Times New Roman"/>
          <w:sz w:val="20"/>
          <w:szCs w:val="20"/>
        </w:rPr>
      </w:pPr>
      <w:r w:rsidRPr="006F42E1">
        <w:rPr>
          <w:rFonts w:ascii="Times New Roman" w:hAnsi="Times New Roman" w:cs="Times New Roman"/>
          <w:sz w:val="20"/>
          <w:szCs w:val="20"/>
        </w:rPr>
        <w:t>Fonte: Jannuzzi, 2012, p. 91.</w:t>
      </w:r>
    </w:p>
    <w:p w14:paraId="0362E447" w14:textId="59DB2F6B" w:rsidR="00BE351F" w:rsidRPr="006F42E1" w:rsidRDefault="00BE351F" w:rsidP="517C960D">
      <w:pPr>
        <w:spacing w:after="0" w:line="360" w:lineRule="auto"/>
        <w:jc w:val="both"/>
        <w:rPr>
          <w:rFonts w:ascii="Times New Roman" w:hAnsi="Times New Roman" w:cs="Times New Roman"/>
          <w:sz w:val="24"/>
          <w:szCs w:val="24"/>
        </w:rPr>
      </w:pPr>
    </w:p>
    <w:p w14:paraId="6410C87A" w14:textId="5280A78B" w:rsidR="00BE351F" w:rsidRPr="006F42E1" w:rsidRDefault="43CF6635" w:rsidP="517C960D">
      <w:pPr>
        <w:spacing w:after="0" w:line="360" w:lineRule="auto"/>
        <w:ind w:firstLine="708"/>
        <w:jc w:val="both"/>
        <w:rPr>
          <w:rFonts w:ascii="Times New Roman" w:hAnsi="Times New Roman" w:cs="Times New Roman"/>
          <w:sz w:val="24"/>
          <w:szCs w:val="24"/>
        </w:rPr>
      </w:pPr>
      <w:r w:rsidRPr="006F42E1">
        <w:rPr>
          <w:rFonts w:ascii="Times New Roman" w:hAnsi="Times New Roman" w:cs="Times New Roman"/>
          <w:sz w:val="24"/>
          <w:szCs w:val="24"/>
        </w:rPr>
        <w:t xml:space="preserve">Pensar nas projeções populacionais, especialmente em níveis geográficos mais desagregados, como ferramenta para se preparar para as demandas de serviços sociais futuras, principalmente em virtude dessas transformações na estrutura etária, é fundamental para que a alocação de recursos e esforços governamentais sejam bem empregados, uma vez que trazem consigo oportunidades e desafios em todos esses âmbitos (JANNUZZI, 2012; FREIRE; GONZAGA; GOMES, 2019). </w:t>
      </w:r>
    </w:p>
    <w:p w14:paraId="5DCB7A9E" w14:textId="7F797EC3" w:rsidR="00695FD3" w:rsidRPr="006F42E1" w:rsidRDefault="00695FD3" w:rsidP="6A27609A">
      <w:pPr>
        <w:spacing w:after="0" w:line="360" w:lineRule="auto"/>
        <w:jc w:val="both"/>
        <w:rPr>
          <w:rFonts w:ascii="Times New Roman" w:hAnsi="Times New Roman" w:cs="Times New Roman"/>
          <w:sz w:val="24"/>
          <w:szCs w:val="24"/>
        </w:rPr>
      </w:pPr>
    </w:p>
    <w:p w14:paraId="622BDBDC" w14:textId="2C401077" w:rsidR="00695FD3" w:rsidRPr="006F42E1" w:rsidRDefault="00667C57" w:rsidP="002B7519">
      <w:pPr>
        <w:spacing w:after="0" w:line="360" w:lineRule="auto"/>
        <w:jc w:val="both"/>
        <w:rPr>
          <w:rFonts w:ascii="Times New Roman" w:hAnsi="Times New Roman" w:cs="Times New Roman"/>
          <w:sz w:val="24"/>
          <w:szCs w:val="24"/>
        </w:rPr>
      </w:pPr>
      <w:r w:rsidRPr="006F42E1">
        <w:rPr>
          <w:rFonts w:ascii="Times New Roman" w:hAnsi="Times New Roman" w:cs="Times New Roman"/>
          <w:b/>
          <w:bCs/>
          <w:sz w:val="24"/>
          <w:szCs w:val="24"/>
        </w:rPr>
        <w:t>4 RESULTADOS E DISCUSS</w:t>
      </w:r>
      <w:r w:rsidR="00916539" w:rsidRPr="006F42E1">
        <w:rPr>
          <w:rFonts w:ascii="Times New Roman" w:hAnsi="Times New Roman" w:cs="Times New Roman"/>
          <w:b/>
          <w:bCs/>
          <w:sz w:val="24"/>
          <w:szCs w:val="24"/>
        </w:rPr>
        <w:t>ÃO</w:t>
      </w:r>
      <w:r w:rsidR="00F85F39" w:rsidRPr="006F42E1">
        <w:rPr>
          <w:rFonts w:ascii="Times New Roman" w:hAnsi="Times New Roman" w:cs="Times New Roman"/>
          <w:b/>
          <w:sz w:val="24"/>
          <w:szCs w:val="24"/>
        </w:rPr>
        <w:t xml:space="preserve">  </w:t>
      </w:r>
      <w:r w:rsidRPr="006F42E1">
        <w:rPr>
          <w:rFonts w:ascii="Times New Roman" w:hAnsi="Times New Roman" w:cs="Times New Roman"/>
          <w:b/>
          <w:bCs/>
          <w:sz w:val="24"/>
          <w:szCs w:val="24"/>
        </w:rPr>
        <w:t xml:space="preserve"> </w:t>
      </w:r>
    </w:p>
    <w:p w14:paraId="4EEB99C7" w14:textId="6D2C8C2D" w:rsidR="006C32DB" w:rsidRPr="006F42E1" w:rsidRDefault="006C32DB" w:rsidP="002B7519">
      <w:pPr>
        <w:spacing w:after="0" w:line="360" w:lineRule="auto"/>
        <w:jc w:val="both"/>
        <w:rPr>
          <w:rFonts w:ascii="Times New Roman" w:hAnsi="Times New Roman" w:cs="Times New Roman"/>
          <w:sz w:val="24"/>
          <w:szCs w:val="24"/>
        </w:rPr>
      </w:pPr>
    </w:p>
    <w:p w14:paraId="4AA9D8CD" w14:textId="6B27E25B" w:rsidR="00E67719" w:rsidRPr="006F42E1" w:rsidRDefault="00125299" w:rsidP="002B7519">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9467F8" w:rsidRPr="006F42E1">
        <w:rPr>
          <w:rFonts w:ascii="Times New Roman" w:hAnsi="Times New Roman" w:cs="Times New Roman"/>
          <w:sz w:val="24"/>
          <w:szCs w:val="24"/>
        </w:rPr>
        <w:t xml:space="preserve">Antes de projetar a população da </w:t>
      </w:r>
      <w:r w:rsidR="00955A51" w:rsidRPr="006F42E1">
        <w:rPr>
          <w:rFonts w:ascii="Times New Roman" w:hAnsi="Times New Roman" w:cs="Times New Roman"/>
          <w:sz w:val="24"/>
          <w:szCs w:val="24"/>
        </w:rPr>
        <w:t>M</w:t>
      </w:r>
      <w:r w:rsidR="009467F8" w:rsidRPr="006F42E1">
        <w:rPr>
          <w:rFonts w:ascii="Times New Roman" w:hAnsi="Times New Roman" w:cs="Times New Roman"/>
          <w:sz w:val="24"/>
          <w:szCs w:val="24"/>
        </w:rPr>
        <w:t>icrorregi</w:t>
      </w:r>
      <w:r w:rsidR="00955A51" w:rsidRPr="006F42E1">
        <w:rPr>
          <w:rFonts w:ascii="Times New Roman" w:hAnsi="Times New Roman" w:cs="Times New Roman"/>
          <w:sz w:val="24"/>
          <w:szCs w:val="24"/>
        </w:rPr>
        <w:t xml:space="preserve">ão </w:t>
      </w:r>
      <w:r w:rsidR="009467F8" w:rsidRPr="006F42E1">
        <w:rPr>
          <w:rFonts w:ascii="Times New Roman" w:hAnsi="Times New Roman" w:cs="Times New Roman"/>
          <w:sz w:val="24"/>
          <w:szCs w:val="24"/>
        </w:rPr>
        <w:t xml:space="preserve">do </w:t>
      </w:r>
      <w:r w:rsidR="00955A51" w:rsidRPr="006F42E1">
        <w:rPr>
          <w:rFonts w:ascii="Times New Roman" w:hAnsi="Times New Roman" w:cs="Times New Roman"/>
          <w:sz w:val="24"/>
          <w:szCs w:val="24"/>
        </w:rPr>
        <w:t>C</w:t>
      </w:r>
      <w:r w:rsidR="00863442" w:rsidRPr="006F42E1">
        <w:rPr>
          <w:rFonts w:ascii="Times New Roman" w:hAnsi="Times New Roman" w:cs="Times New Roman"/>
          <w:sz w:val="24"/>
          <w:szCs w:val="24"/>
        </w:rPr>
        <w:t>ariri para 2050</w:t>
      </w:r>
      <w:r w:rsidR="00A27E01" w:rsidRPr="006F42E1">
        <w:rPr>
          <w:rFonts w:ascii="Times New Roman" w:hAnsi="Times New Roman" w:cs="Times New Roman"/>
          <w:sz w:val="24"/>
          <w:szCs w:val="24"/>
        </w:rPr>
        <w:t xml:space="preserve"> </w:t>
      </w:r>
      <w:r w:rsidR="00955A51" w:rsidRPr="006F42E1">
        <w:rPr>
          <w:rFonts w:ascii="Times New Roman" w:hAnsi="Times New Roman" w:cs="Times New Roman"/>
          <w:sz w:val="24"/>
          <w:szCs w:val="24"/>
        </w:rPr>
        <w:t>buscou-se avaliar qual</w:t>
      </w:r>
      <w:r w:rsidR="00A27E01" w:rsidRPr="006F42E1">
        <w:rPr>
          <w:rFonts w:ascii="Times New Roman" w:hAnsi="Times New Roman" w:cs="Times New Roman"/>
          <w:sz w:val="24"/>
          <w:szCs w:val="24"/>
        </w:rPr>
        <w:t xml:space="preserve"> </w:t>
      </w:r>
      <w:r w:rsidR="00955A51" w:rsidRPr="006F42E1">
        <w:rPr>
          <w:rFonts w:ascii="Times New Roman" w:hAnsi="Times New Roman" w:cs="Times New Roman"/>
          <w:sz w:val="24"/>
          <w:szCs w:val="24"/>
        </w:rPr>
        <w:t xml:space="preserve">seria o </w:t>
      </w:r>
      <w:r w:rsidR="00A27E01" w:rsidRPr="006F42E1">
        <w:rPr>
          <w:rFonts w:ascii="Times New Roman" w:hAnsi="Times New Roman" w:cs="Times New Roman"/>
          <w:sz w:val="24"/>
          <w:szCs w:val="24"/>
        </w:rPr>
        <w:t>melhor método</w:t>
      </w:r>
      <w:r w:rsidR="00B712DF" w:rsidRPr="006F42E1">
        <w:rPr>
          <w:rFonts w:ascii="Times New Roman" w:hAnsi="Times New Roman" w:cs="Times New Roman"/>
          <w:sz w:val="24"/>
          <w:szCs w:val="24"/>
        </w:rPr>
        <w:t xml:space="preserve"> que, seja pela característica do método seja pelo critério </w:t>
      </w:r>
      <w:r w:rsidR="00162034" w:rsidRPr="006F42E1">
        <w:rPr>
          <w:rFonts w:ascii="Times New Roman" w:hAnsi="Times New Roman" w:cs="Times New Roman"/>
          <w:sz w:val="24"/>
          <w:szCs w:val="24"/>
        </w:rPr>
        <w:t>de comparação adotado, passa pela projeção de todas as microrregiões conjuntamente</w:t>
      </w:r>
      <w:r w:rsidR="00A27E01" w:rsidRPr="006F42E1">
        <w:rPr>
          <w:rFonts w:ascii="Times New Roman" w:hAnsi="Times New Roman" w:cs="Times New Roman"/>
          <w:sz w:val="24"/>
          <w:szCs w:val="24"/>
        </w:rPr>
        <w:t xml:space="preserve">. </w:t>
      </w:r>
      <w:r w:rsidR="00955A51" w:rsidRPr="006F42E1">
        <w:rPr>
          <w:rFonts w:ascii="Times New Roman" w:hAnsi="Times New Roman" w:cs="Times New Roman"/>
          <w:sz w:val="24"/>
          <w:szCs w:val="24"/>
        </w:rPr>
        <w:t>C</w:t>
      </w:r>
      <w:r w:rsidR="00A27E01" w:rsidRPr="006F42E1">
        <w:rPr>
          <w:rFonts w:ascii="Times New Roman" w:hAnsi="Times New Roman" w:cs="Times New Roman"/>
          <w:sz w:val="24"/>
          <w:szCs w:val="24"/>
        </w:rPr>
        <w:t>omo exercício</w:t>
      </w:r>
      <w:r w:rsidR="00955A51" w:rsidRPr="006F42E1">
        <w:rPr>
          <w:rFonts w:ascii="Times New Roman" w:hAnsi="Times New Roman" w:cs="Times New Roman"/>
          <w:sz w:val="24"/>
          <w:szCs w:val="24"/>
        </w:rPr>
        <w:t xml:space="preserve"> nesse sentido</w:t>
      </w:r>
      <w:r w:rsidR="00A27E01" w:rsidRPr="006F42E1">
        <w:rPr>
          <w:rFonts w:ascii="Times New Roman" w:hAnsi="Times New Roman" w:cs="Times New Roman"/>
          <w:sz w:val="24"/>
          <w:szCs w:val="24"/>
        </w:rPr>
        <w:t xml:space="preserve">, </w:t>
      </w:r>
      <w:r w:rsidR="00D30C28" w:rsidRPr="006F42E1">
        <w:rPr>
          <w:rFonts w:ascii="Times New Roman" w:hAnsi="Times New Roman" w:cs="Times New Roman"/>
          <w:sz w:val="24"/>
          <w:szCs w:val="24"/>
        </w:rPr>
        <w:t>tomou-se os dados observados de 199</w:t>
      </w:r>
      <w:r w:rsidR="00256946" w:rsidRPr="006F42E1">
        <w:rPr>
          <w:rFonts w:ascii="Times New Roman" w:hAnsi="Times New Roman" w:cs="Times New Roman"/>
          <w:sz w:val="24"/>
          <w:szCs w:val="24"/>
        </w:rPr>
        <w:t>1 e 2000 para fazer</w:t>
      </w:r>
      <w:r w:rsidR="00327A82" w:rsidRPr="006F42E1">
        <w:rPr>
          <w:rFonts w:ascii="Times New Roman" w:hAnsi="Times New Roman" w:cs="Times New Roman"/>
          <w:sz w:val="24"/>
          <w:szCs w:val="24"/>
        </w:rPr>
        <w:t xml:space="preserve"> </w:t>
      </w:r>
      <w:r w:rsidR="00F84D97" w:rsidRPr="006F42E1">
        <w:rPr>
          <w:rFonts w:ascii="Times New Roman" w:hAnsi="Times New Roman" w:cs="Times New Roman"/>
          <w:sz w:val="24"/>
          <w:szCs w:val="24"/>
        </w:rPr>
        <w:t>diferentes</w:t>
      </w:r>
      <w:r w:rsidR="00D2250E" w:rsidRPr="006F42E1">
        <w:rPr>
          <w:rFonts w:ascii="Times New Roman" w:hAnsi="Times New Roman" w:cs="Times New Roman"/>
          <w:sz w:val="24"/>
          <w:szCs w:val="24"/>
        </w:rPr>
        <w:t xml:space="preserve"> projeç</w:t>
      </w:r>
      <w:r w:rsidR="00F84D97" w:rsidRPr="006F42E1">
        <w:rPr>
          <w:rFonts w:ascii="Times New Roman" w:hAnsi="Times New Roman" w:cs="Times New Roman"/>
          <w:sz w:val="24"/>
          <w:szCs w:val="24"/>
        </w:rPr>
        <w:t>ões</w:t>
      </w:r>
      <w:r w:rsidR="00D2250E" w:rsidRPr="006F42E1">
        <w:rPr>
          <w:rFonts w:ascii="Times New Roman" w:hAnsi="Times New Roman" w:cs="Times New Roman"/>
          <w:sz w:val="24"/>
          <w:szCs w:val="24"/>
        </w:rPr>
        <w:t xml:space="preserve"> para 2010</w:t>
      </w:r>
      <w:r w:rsidR="00256946" w:rsidRPr="006F42E1">
        <w:rPr>
          <w:rFonts w:ascii="Times New Roman" w:hAnsi="Times New Roman" w:cs="Times New Roman"/>
          <w:sz w:val="24"/>
          <w:szCs w:val="24"/>
        </w:rPr>
        <w:t xml:space="preserve">, no intuito de </w:t>
      </w:r>
      <w:r w:rsidR="00F20B3A" w:rsidRPr="006F42E1">
        <w:rPr>
          <w:rFonts w:ascii="Times New Roman" w:hAnsi="Times New Roman" w:cs="Times New Roman"/>
          <w:sz w:val="24"/>
          <w:szCs w:val="24"/>
        </w:rPr>
        <w:t>compar</w:t>
      </w:r>
      <w:r w:rsidR="00256946" w:rsidRPr="006F42E1">
        <w:rPr>
          <w:rFonts w:ascii="Times New Roman" w:hAnsi="Times New Roman" w:cs="Times New Roman"/>
          <w:sz w:val="24"/>
          <w:szCs w:val="24"/>
        </w:rPr>
        <w:t>á-la</w:t>
      </w:r>
      <w:r w:rsidR="00F84D97" w:rsidRPr="006F42E1">
        <w:rPr>
          <w:rFonts w:ascii="Times New Roman" w:hAnsi="Times New Roman" w:cs="Times New Roman"/>
          <w:sz w:val="24"/>
          <w:szCs w:val="24"/>
        </w:rPr>
        <w:t>s</w:t>
      </w:r>
      <w:r w:rsidR="00D2250E" w:rsidRPr="006F42E1">
        <w:rPr>
          <w:rFonts w:ascii="Times New Roman" w:hAnsi="Times New Roman" w:cs="Times New Roman"/>
          <w:sz w:val="24"/>
          <w:szCs w:val="24"/>
        </w:rPr>
        <w:t xml:space="preserve"> </w:t>
      </w:r>
      <w:r w:rsidR="00256946" w:rsidRPr="006F42E1">
        <w:rPr>
          <w:rFonts w:ascii="Times New Roman" w:hAnsi="Times New Roman" w:cs="Times New Roman"/>
          <w:sz w:val="24"/>
          <w:szCs w:val="24"/>
        </w:rPr>
        <w:t>a</w:t>
      </w:r>
      <w:r w:rsidR="00D2250E" w:rsidRPr="006F42E1">
        <w:rPr>
          <w:rFonts w:ascii="Times New Roman" w:hAnsi="Times New Roman" w:cs="Times New Roman"/>
          <w:sz w:val="24"/>
          <w:szCs w:val="24"/>
        </w:rPr>
        <w:t xml:space="preserve">os dados realmente observados </w:t>
      </w:r>
      <w:r w:rsidR="00F85F39" w:rsidRPr="006F42E1">
        <w:rPr>
          <w:rFonts w:ascii="Times New Roman" w:hAnsi="Times New Roman" w:cs="Times New Roman"/>
          <w:sz w:val="24"/>
          <w:szCs w:val="24"/>
        </w:rPr>
        <w:t>n</w:t>
      </w:r>
      <w:r w:rsidR="008755CE" w:rsidRPr="006F42E1">
        <w:rPr>
          <w:rFonts w:ascii="Times New Roman" w:hAnsi="Times New Roman" w:cs="Times New Roman"/>
          <w:sz w:val="24"/>
          <w:szCs w:val="24"/>
        </w:rPr>
        <w:t>o Censo Demográfico de 2010</w:t>
      </w:r>
      <w:r w:rsidR="000354FA" w:rsidRPr="006F42E1">
        <w:rPr>
          <w:rFonts w:ascii="Times New Roman" w:hAnsi="Times New Roman" w:cs="Times New Roman"/>
          <w:sz w:val="24"/>
          <w:szCs w:val="24"/>
        </w:rPr>
        <w:t xml:space="preserve"> e</w:t>
      </w:r>
      <w:r w:rsidR="00F20B3A" w:rsidRPr="006F42E1">
        <w:rPr>
          <w:rFonts w:ascii="Times New Roman" w:hAnsi="Times New Roman" w:cs="Times New Roman"/>
          <w:sz w:val="24"/>
          <w:szCs w:val="24"/>
        </w:rPr>
        <w:t xml:space="preserve"> </w:t>
      </w:r>
      <w:r w:rsidR="00F250ED" w:rsidRPr="006F42E1">
        <w:rPr>
          <w:rFonts w:ascii="Times New Roman" w:hAnsi="Times New Roman" w:cs="Times New Roman"/>
          <w:sz w:val="24"/>
          <w:szCs w:val="24"/>
        </w:rPr>
        <w:t>afe</w:t>
      </w:r>
      <w:r w:rsidR="00E41BAE" w:rsidRPr="006F42E1">
        <w:rPr>
          <w:rFonts w:ascii="Times New Roman" w:hAnsi="Times New Roman" w:cs="Times New Roman"/>
          <w:sz w:val="24"/>
          <w:szCs w:val="24"/>
        </w:rPr>
        <w:t>ri</w:t>
      </w:r>
      <w:r w:rsidR="000354FA" w:rsidRPr="006F42E1">
        <w:rPr>
          <w:rFonts w:ascii="Times New Roman" w:hAnsi="Times New Roman" w:cs="Times New Roman"/>
          <w:sz w:val="24"/>
          <w:szCs w:val="24"/>
        </w:rPr>
        <w:t>r</w:t>
      </w:r>
      <w:r w:rsidR="00F250ED" w:rsidRPr="006F42E1">
        <w:rPr>
          <w:rFonts w:ascii="Times New Roman" w:hAnsi="Times New Roman" w:cs="Times New Roman"/>
          <w:sz w:val="24"/>
          <w:szCs w:val="24"/>
        </w:rPr>
        <w:t xml:space="preserve"> o </w:t>
      </w:r>
      <w:r w:rsidR="00F85F39" w:rsidRPr="006F42E1">
        <w:rPr>
          <w:rFonts w:ascii="Times New Roman" w:hAnsi="Times New Roman" w:cs="Times New Roman"/>
          <w:sz w:val="24"/>
          <w:szCs w:val="24"/>
        </w:rPr>
        <w:t xml:space="preserve">método </w:t>
      </w:r>
      <w:r w:rsidR="00F250ED" w:rsidRPr="006F42E1">
        <w:rPr>
          <w:rFonts w:ascii="Times New Roman" w:hAnsi="Times New Roman" w:cs="Times New Roman"/>
          <w:sz w:val="24"/>
          <w:szCs w:val="24"/>
        </w:rPr>
        <w:t xml:space="preserve">mais </w:t>
      </w:r>
      <w:r w:rsidR="00DF0451" w:rsidRPr="006F42E1">
        <w:rPr>
          <w:rFonts w:ascii="Times New Roman" w:hAnsi="Times New Roman" w:cs="Times New Roman"/>
          <w:sz w:val="24"/>
          <w:szCs w:val="24"/>
        </w:rPr>
        <w:t xml:space="preserve">preciso </w:t>
      </w:r>
      <w:r w:rsidR="00403DBE" w:rsidRPr="006F42E1">
        <w:rPr>
          <w:rFonts w:ascii="Times New Roman" w:hAnsi="Times New Roman" w:cs="Times New Roman"/>
          <w:sz w:val="24"/>
          <w:szCs w:val="24"/>
        </w:rPr>
        <w:t>(Tabela 1)</w:t>
      </w:r>
      <w:r w:rsidR="00176224" w:rsidRPr="006F42E1">
        <w:rPr>
          <w:rFonts w:ascii="Times New Roman" w:hAnsi="Times New Roman" w:cs="Times New Roman"/>
          <w:sz w:val="24"/>
          <w:szCs w:val="24"/>
        </w:rPr>
        <w:t xml:space="preserve">. </w:t>
      </w:r>
    </w:p>
    <w:p w14:paraId="433A4923" w14:textId="77777777" w:rsidR="00C1183A" w:rsidRPr="006F42E1" w:rsidRDefault="00C1183A" w:rsidP="002B7519">
      <w:pPr>
        <w:spacing w:after="0" w:line="360" w:lineRule="auto"/>
        <w:jc w:val="both"/>
        <w:rPr>
          <w:rFonts w:ascii="Times New Roman" w:hAnsi="Times New Roman" w:cs="Times New Roman"/>
          <w:sz w:val="24"/>
          <w:szCs w:val="24"/>
        </w:rPr>
      </w:pPr>
    </w:p>
    <w:p w14:paraId="1F54093A" w14:textId="054F6741" w:rsidR="00276652" w:rsidRPr="006F42E1" w:rsidRDefault="003B3EDA" w:rsidP="00276652">
      <w:pPr>
        <w:spacing w:after="0" w:line="240" w:lineRule="auto"/>
        <w:jc w:val="both"/>
        <w:rPr>
          <w:rFonts w:ascii="Times New Roman" w:hAnsi="Times New Roman" w:cs="Times New Roman"/>
          <w:b/>
          <w:bCs/>
          <w:sz w:val="24"/>
          <w:szCs w:val="24"/>
        </w:rPr>
      </w:pPr>
      <w:r w:rsidRPr="006F42E1">
        <w:rPr>
          <w:rFonts w:ascii="Times New Roman" w:hAnsi="Times New Roman" w:cs="Times New Roman"/>
          <w:b/>
          <w:sz w:val="24"/>
          <w:szCs w:val="24"/>
        </w:rPr>
        <w:lastRenderedPageBreak/>
        <w:t>Tabela 1</w:t>
      </w:r>
      <w:r w:rsidR="44379C23" w:rsidRPr="006F42E1">
        <w:rPr>
          <w:rFonts w:ascii="Times New Roman" w:hAnsi="Times New Roman" w:cs="Times New Roman"/>
          <w:b/>
          <w:sz w:val="24"/>
          <w:szCs w:val="24"/>
        </w:rPr>
        <w:t xml:space="preserve"> - População observada em 2010 e projeção da população por diferentes métodos de pequenas áreas para este mesmo ano - Microrregiões do Ceará</w:t>
      </w:r>
    </w:p>
    <w:tbl>
      <w:tblPr>
        <w:tblW w:w="9029" w:type="dxa"/>
        <w:tblCellMar>
          <w:top w:w="15" w:type="dxa"/>
          <w:left w:w="70" w:type="dxa"/>
          <w:bottom w:w="15" w:type="dxa"/>
          <w:right w:w="70" w:type="dxa"/>
        </w:tblCellMar>
        <w:tblLook w:val="04A0" w:firstRow="1" w:lastRow="0" w:firstColumn="1" w:lastColumn="0" w:noHBand="0" w:noVBand="1"/>
      </w:tblPr>
      <w:tblGrid>
        <w:gridCol w:w="1780"/>
        <w:gridCol w:w="906"/>
        <w:gridCol w:w="906"/>
        <w:gridCol w:w="906"/>
        <w:gridCol w:w="906"/>
        <w:gridCol w:w="906"/>
        <w:gridCol w:w="906"/>
        <w:gridCol w:w="906"/>
        <w:gridCol w:w="907"/>
      </w:tblGrid>
      <w:tr w:rsidR="006F42E1" w:rsidRPr="006F42E1" w14:paraId="05D0220D" w14:textId="77777777" w:rsidTr="00121A5F">
        <w:trPr>
          <w:trHeight w:val="234"/>
        </w:trPr>
        <w:tc>
          <w:tcPr>
            <w:tcW w:w="1780" w:type="dxa"/>
            <w:vMerge w:val="restart"/>
            <w:tcBorders>
              <w:top w:val="single" w:sz="4" w:space="0" w:color="000000" w:themeColor="text1"/>
              <w:left w:val="nil"/>
              <w:bottom w:val="single" w:sz="4" w:space="0" w:color="000000" w:themeColor="text1"/>
              <w:right w:val="single" w:sz="4" w:space="0" w:color="auto"/>
            </w:tcBorders>
            <w:vAlign w:val="center"/>
            <w:hideMark/>
          </w:tcPr>
          <w:p w14:paraId="75F2C3B1"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Microrregião</w:t>
            </w:r>
          </w:p>
        </w:tc>
        <w:tc>
          <w:tcPr>
            <w:tcW w:w="906" w:type="dxa"/>
            <w:vMerge w:val="restart"/>
            <w:tcBorders>
              <w:top w:val="single" w:sz="4" w:space="0" w:color="000000" w:themeColor="text1"/>
              <w:left w:val="single" w:sz="4" w:space="0" w:color="auto"/>
              <w:bottom w:val="nil"/>
              <w:right w:val="nil"/>
            </w:tcBorders>
            <w:vAlign w:val="center"/>
            <w:hideMark/>
          </w:tcPr>
          <w:p w14:paraId="7D4A6465"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Censo </w:t>
            </w:r>
            <w:r w:rsidRPr="006F42E1">
              <w:rPr>
                <w:rFonts w:ascii="Times New Roman" w:eastAsia="Times New Roman" w:hAnsi="Times New Roman" w:cs="Times New Roman"/>
                <w:b/>
                <w:bCs/>
                <w:sz w:val="16"/>
                <w:szCs w:val="16"/>
                <w:lang w:eastAsia="pt-BR"/>
              </w:rPr>
              <w:br/>
              <w:t>2010</w:t>
            </w:r>
          </w:p>
        </w:tc>
        <w:tc>
          <w:tcPr>
            <w:tcW w:w="6343" w:type="dxa"/>
            <w:gridSpan w:val="7"/>
            <w:tcBorders>
              <w:top w:val="single" w:sz="4" w:space="0" w:color="000000" w:themeColor="text1"/>
              <w:left w:val="single" w:sz="4" w:space="0" w:color="000000" w:themeColor="text1"/>
              <w:bottom w:val="nil"/>
              <w:right w:val="nil"/>
            </w:tcBorders>
            <w:vAlign w:val="center"/>
            <w:hideMark/>
          </w:tcPr>
          <w:p w14:paraId="29FA63B7"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Projeção 2010</w:t>
            </w:r>
          </w:p>
        </w:tc>
      </w:tr>
      <w:tr w:rsidR="006F42E1" w:rsidRPr="006F42E1" w14:paraId="32EEB93C" w14:textId="77777777" w:rsidTr="00121A5F">
        <w:trPr>
          <w:trHeight w:val="98"/>
        </w:trPr>
        <w:tc>
          <w:tcPr>
            <w:tcW w:w="1780" w:type="dxa"/>
            <w:vMerge/>
            <w:tcBorders>
              <w:bottom w:val="single" w:sz="4" w:space="0" w:color="000000" w:themeColor="text1"/>
              <w:right w:val="single" w:sz="4" w:space="0" w:color="auto"/>
            </w:tcBorders>
            <w:vAlign w:val="center"/>
            <w:hideMark/>
          </w:tcPr>
          <w:p w14:paraId="1CB6F38A"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p>
        </w:tc>
        <w:tc>
          <w:tcPr>
            <w:tcW w:w="906" w:type="dxa"/>
            <w:vMerge/>
            <w:tcBorders>
              <w:left w:val="single" w:sz="4" w:space="0" w:color="auto"/>
            </w:tcBorders>
            <w:vAlign w:val="center"/>
            <w:hideMark/>
          </w:tcPr>
          <w:p w14:paraId="31A9AC0E"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p>
        </w:tc>
        <w:tc>
          <w:tcPr>
            <w:tcW w:w="906" w:type="dxa"/>
            <w:tcBorders>
              <w:top w:val="single" w:sz="4" w:space="0" w:color="000000" w:themeColor="text1"/>
              <w:left w:val="single" w:sz="4" w:space="0" w:color="000000" w:themeColor="text1"/>
              <w:bottom w:val="nil"/>
              <w:right w:val="nil"/>
            </w:tcBorders>
            <w:vAlign w:val="center"/>
            <w:hideMark/>
          </w:tcPr>
          <w:p w14:paraId="553A7465"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DCC</w:t>
            </w:r>
          </w:p>
        </w:tc>
        <w:tc>
          <w:tcPr>
            <w:tcW w:w="906" w:type="dxa"/>
            <w:tcBorders>
              <w:top w:val="single" w:sz="4" w:space="0" w:color="000000" w:themeColor="text1"/>
              <w:left w:val="nil"/>
              <w:bottom w:val="nil"/>
              <w:right w:val="nil"/>
            </w:tcBorders>
            <w:vAlign w:val="center"/>
            <w:hideMark/>
          </w:tcPr>
          <w:p w14:paraId="3E902254"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DPMC</w:t>
            </w:r>
          </w:p>
        </w:tc>
        <w:tc>
          <w:tcPr>
            <w:tcW w:w="906" w:type="dxa"/>
            <w:tcBorders>
              <w:top w:val="single" w:sz="4" w:space="0" w:color="000000" w:themeColor="text1"/>
              <w:left w:val="nil"/>
              <w:bottom w:val="nil"/>
              <w:right w:val="nil"/>
            </w:tcBorders>
            <w:vAlign w:val="center"/>
            <w:hideMark/>
          </w:tcPr>
          <w:p w14:paraId="3A81CFFA"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MR-EXP</w:t>
            </w:r>
          </w:p>
        </w:tc>
        <w:tc>
          <w:tcPr>
            <w:tcW w:w="906" w:type="dxa"/>
            <w:tcBorders>
              <w:top w:val="single" w:sz="4" w:space="0" w:color="000000" w:themeColor="text1"/>
              <w:left w:val="nil"/>
              <w:bottom w:val="nil"/>
              <w:right w:val="nil"/>
            </w:tcBorders>
            <w:vAlign w:val="center"/>
            <w:hideMark/>
          </w:tcPr>
          <w:p w14:paraId="21146D09"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MR-LOG</w:t>
            </w:r>
          </w:p>
        </w:tc>
        <w:tc>
          <w:tcPr>
            <w:tcW w:w="906" w:type="dxa"/>
            <w:tcBorders>
              <w:top w:val="single" w:sz="4" w:space="0" w:color="000000" w:themeColor="text1"/>
              <w:left w:val="nil"/>
              <w:bottom w:val="nil"/>
              <w:right w:val="nil"/>
            </w:tcBorders>
            <w:vAlign w:val="center"/>
            <w:hideMark/>
          </w:tcPr>
          <w:p w14:paraId="27A7A320"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HOLT</w:t>
            </w:r>
          </w:p>
        </w:tc>
        <w:tc>
          <w:tcPr>
            <w:tcW w:w="906" w:type="dxa"/>
            <w:tcBorders>
              <w:top w:val="single" w:sz="4" w:space="0" w:color="000000" w:themeColor="text1"/>
              <w:left w:val="nil"/>
              <w:bottom w:val="nil"/>
              <w:right w:val="nil"/>
            </w:tcBorders>
            <w:vAlign w:val="center"/>
            <w:hideMark/>
          </w:tcPr>
          <w:p w14:paraId="6529C695" w14:textId="77777777"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ARIMA</w:t>
            </w:r>
          </w:p>
        </w:tc>
        <w:tc>
          <w:tcPr>
            <w:tcW w:w="907" w:type="dxa"/>
            <w:tcBorders>
              <w:top w:val="single" w:sz="4" w:space="0" w:color="000000" w:themeColor="text1"/>
              <w:left w:val="nil"/>
              <w:bottom w:val="nil"/>
              <w:right w:val="nil"/>
            </w:tcBorders>
            <w:noWrap/>
            <w:vAlign w:val="center"/>
            <w:hideMark/>
          </w:tcPr>
          <w:p w14:paraId="0EB438AB" w14:textId="4965FEFA" w:rsidR="00276652" w:rsidRPr="006F42E1" w:rsidRDefault="00276652" w:rsidP="00121A5F">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RC</w:t>
            </w:r>
          </w:p>
        </w:tc>
      </w:tr>
      <w:tr w:rsidR="006F42E1" w:rsidRPr="006F42E1" w14:paraId="6614962F" w14:textId="77777777" w:rsidTr="00121A5F">
        <w:trPr>
          <w:trHeight w:val="222"/>
        </w:trPr>
        <w:tc>
          <w:tcPr>
            <w:tcW w:w="1780" w:type="dxa"/>
            <w:tcBorders>
              <w:top w:val="single" w:sz="4" w:space="0" w:color="000000" w:themeColor="text1"/>
              <w:left w:val="nil"/>
              <w:bottom w:val="nil"/>
              <w:right w:val="nil"/>
            </w:tcBorders>
            <w:vAlign w:val="center"/>
            <w:hideMark/>
          </w:tcPr>
          <w:p w14:paraId="0B4506B8"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Litoral de Camocim e Acaraú</w:t>
            </w:r>
          </w:p>
        </w:tc>
        <w:tc>
          <w:tcPr>
            <w:tcW w:w="906" w:type="dxa"/>
            <w:tcBorders>
              <w:top w:val="single" w:sz="4" w:space="0" w:color="000000" w:themeColor="text1"/>
              <w:left w:val="nil"/>
              <w:bottom w:val="nil"/>
              <w:right w:val="nil"/>
            </w:tcBorders>
            <w:vAlign w:val="center"/>
            <w:hideMark/>
          </w:tcPr>
          <w:p w14:paraId="721F851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368.521</w:t>
            </w:r>
          </w:p>
        </w:tc>
        <w:tc>
          <w:tcPr>
            <w:tcW w:w="906" w:type="dxa"/>
            <w:tcBorders>
              <w:top w:val="single" w:sz="4" w:space="0" w:color="000000" w:themeColor="text1"/>
              <w:left w:val="nil"/>
              <w:bottom w:val="nil"/>
              <w:right w:val="nil"/>
            </w:tcBorders>
            <w:vAlign w:val="center"/>
            <w:hideMark/>
          </w:tcPr>
          <w:p w14:paraId="3E42227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365.011</w:t>
            </w:r>
          </w:p>
        </w:tc>
        <w:tc>
          <w:tcPr>
            <w:tcW w:w="906" w:type="dxa"/>
            <w:tcBorders>
              <w:top w:val="single" w:sz="4" w:space="0" w:color="000000" w:themeColor="text1"/>
              <w:left w:val="nil"/>
              <w:bottom w:val="nil"/>
              <w:right w:val="nil"/>
            </w:tcBorders>
            <w:vAlign w:val="center"/>
            <w:hideMark/>
          </w:tcPr>
          <w:p w14:paraId="0A3212E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364.438</w:t>
            </w:r>
          </w:p>
        </w:tc>
        <w:tc>
          <w:tcPr>
            <w:tcW w:w="906" w:type="dxa"/>
            <w:tcBorders>
              <w:top w:val="single" w:sz="4" w:space="0" w:color="000000" w:themeColor="text1"/>
              <w:left w:val="nil"/>
              <w:bottom w:val="nil"/>
              <w:right w:val="nil"/>
            </w:tcBorders>
            <w:vAlign w:val="center"/>
            <w:hideMark/>
          </w:tcPr>
          <w:p w14:paraId="3E0C7E5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387.232</w:t>
            </w:r>
          </w:p>
        </w:tc>
        <w:tc>
          <w:tcPr>
            <w:tcW w:w="906" w:type="dxa"/>
            <w:tcBorders>
              <w:top w:val="single" w:sz="4" w:space="0" w:color="000000" w:themeColor="text1"/>
              <w:left w:val="nil"/>
              <w:bottom w:val="nil"/>
              <w:right w:val="nil"/>
            </w:tcBorders>
            <w:vAlign w:val="center"/>
            <w:hideMark/>
          </w:tcPr>
          <w:p w14:paraId="00588A1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358.715</w:t>
            </w:r>
          </w:p>
        </w:tc>
        <w:tc>
          <w:tcPr>
            <w:tcW w:w="906" w:type="dxa"/>
            <w:tcBorders>
              <w:top w:val="single" w:sz="4" w:space="0" w:color="000000" w:themeColor="text1"/>
              <w:left w:val="nil"/>
              <w:bottom w:val="nil"/>
              <w:right w:val="nil"/>
            </w:tcBorders>
            <w:vAlign w:val="center"/>
            <w:hideMark/>
          </w:tcPr>
          <w:p w14:paraId="5FB6085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364.656</w:t>
            </w:r>
          </w:p>
        </w:tc>
        <w:tc>
          <w:tcPr>
            <w:tcW w:w="906" w:type="dxa"/>
            <w:tcBorders>
              <w:top w:val="single" w:sz="4" w:space="0" w:color="000000" w:themeColor="text1"/>
              <w:left w:val="nil"/>
              <w:bottom w:val="nil"/>
              <w:right w:val="nil"/>
            </w:tcBorders>
            <w:vAlign w:val="center"/>
            <w:hideMark/>
          </w:tcPr>
          <w:p w14:paraId="656BD59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363.532</w:t>
            </w:r>
          </w:p>
        </w:tc>
        <w:tc>
          <w:tcPr>
            <w:tcW w:w="907" w:type="dxa"/>
            <w:tcBorders>
              <w:top w:val="single" w:sz="4" w:space="0" w:color="000000" w:themeColor="text1"/>
              <w:left w:val="nil"/>
              <w:bottom w:val="nil"/>
              <w:right w:val="nil"/>
            </w:tcBorders>
            <w:vAlign w:val="center"/>
            <w:hideMark/>
          </w:tcPr>
          <w:p w14:paraId="74EDE91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359.852</w:t>
            </w:r>
          </w:p>
        </w:tc>
      </w:tr>
      <w:tr w:rsidR="006F42E1" w:rsidRPr="006F42E1" w14:paraId="682EA3CE" w14:textId="77777777" w:rsidTr="43CF6635">
        <w:trPr>
          <w:trHeight w:val="222"/>
        </w:trPr>
        <w:tc>
          <w:tcPr>
            <w:tcW w:w="1780" w:type="dxa"/>
            <w:tcBorders>
              <w:top w:val="nil"/>
              <w:left w:val="nil"/>
              <w:bottom w:val="nil"/>
              <w:right w:val="nil"/>
            </w:tcBorders>
            <w:vAlign w:val="center"/>
            <w:hideMark/>
          </w:tcPr>
          <w:p w14:paraId="3ED28023"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Ibiapaba</w:t>
            </w:r>
          </w:p>
        </w:tc>
        <w:tc>
          <w:tcPr>
            <w:tcW w:w="906" w:type="dxa"/>
            <w:tcBorders>
              <w:top w:val="nil"/>
              <w:left w:val="nil"/>
              <w:bottom w:val="nil"/>
              <w:right w:val="nil"/>
            </w:tcBorders>
            <w:vAlign w:val="center"/>
            <w:hideMark/>
          </w:tcPr>
          <w:p w14:paraId="2C8A8A3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301.506</w:t>
            </w:r>
          </w:p>
        </w:tc>
        <w:tc>
          <w:tcPr>
            <w:tcW w:w="906" w:type="dxa"/>
            <w:tcBorders>
              <w:top w:val="nil"/>
              <w:left w:val="nil"/>
              <w:bottom w:val="nil"/>
              <w:right w:val="nil"/>
            </w:tcBorders>
            <w:vAlign w:val="center"/>
            <w:hideMark/>
          </w:tcPr>
          <w:p w14:paraId="59E649F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299.153</w:t>
            </w:r>
          </w:p>
        </w:tc>
        <w:tc>
          <w:tcPr>
            <w:tcW w:w="906" w:type="dxa"/>
            <w:tcBorders>
              <w:top w:val="nil"/>
              <w:left w:val="nil"/>
              <w:bottom w:val="nil"/>
              <w:right w:val="nil"/>
            </w:tcBorders>
            <w:vAlign w:val="center"/>
            <w:hideMark/>
          </w:tcPr>
          <w:p w14:paraId="72B0293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298.838</w:t>
            </w:r>
          </w:p>
        </w:tc>
        <w:tc>
          <w:tcPr>
            <w:tcW w:w="906" w:type="dxa"/>
            <w:tcBorders>
              <w:top w:val="nil"/>
              <w:left w:val="nil"/>
              <w:bottom w:val="nil"/>
              <w:right w:val="nil"/>
            </w:tcBorders>
            <w:vAlign w:val="center"/>
            <w:hideMark/>
          </w:tcPr>
          <w:p w14:paraId="6B2B4FA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317.980</w:t>
            </w:r>
          </w:p>
        </w:tc>
        <w:tc>
          <w:tcPr>
            <w:tcW w:w="906" w:type="dxa"/>
            <w:tcBorders>
              <w:top w:val="nil"/>
              <w:left w:val="nil"/>
              <w:bottom w:val="nil"/>
              <w:right w:val="nil"/>
            </w:tcBorders>
            <w:vAlign w:val="center"/>
            <w:hideMark/>
          </w:tcPr>
          <w:p w14:paraId="779B4D39"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294.059</w:t>
            </w:r>
          </w:p>
        </w:tc>
        <w:tc>
          <w:tcPr>
            <w:tcW w:w="906" w:type="dxa"/>
            <w:tcBorders>
              <w:top w:val="nil"/>
              <w:left w:val="nil"/>
              <w:bottom w:val="nil"/>
              <w:right w:val="nil"/>
            </w:tcBorders>
            <w:vAlign w:val="center"/>
            <w:hideMark/>
          </w:tcPr>
          <w:p w14:paraId="1BEE6D49"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294.361</w:t>
            </w:r>
          </w:p>
        </w:tc>
        <w:tc>
          <w:tcPr>
            <w:tcW w:w="906" w:type="dxa"/>
            <w:tcBorders>
              <w:top w:val="nil"/>
              <w:left w:val="nil"/>
              <w:bottom w:val="nil"/>
              <w:right w:val="nil"/>
            </w:tcBorders>
            <w:vAlign w:val="center"/>
            <w:hideMark/>
          </w:tcPr>
          <w:p w14:paraId="24E33A7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288.117</w:t>
            </w:r>
          </w:p>
        </w:tc>
        <w:tc>
          <w:tcPr>
            <w:tcW w:w="907" w:type="dxa"/>
            <w:tcBorders>
              <w:top w:val="nil"/>
              <w:left w:val="nil"/>
              <w:bottom w:val="nil"/>
              <w:right w:val="nil"/>
            </w:tcBorders>
            <w:vAlign w:val="center"/>
            <w:hideMark/>
          </w:tcPr>
          <w:p w14:paraId="3C4618B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293.387</w:t>
            </w:r>
          </w:p>
        </w:tc>
      </w:tr>
      <w:tr w:rsidR="006F42E1" w:rsidRPr="006F42E1" w14:paraId="26BF6B46" w14:textId="77777777" w:rsidTr="43CF6635">
        <w:trPr>
          <w:trHeight w:val="222"/>
        </w:trPr>
        <w:tc>
          <w:tcPr>
            <w:tcW w:w="1780" w:type="dxa"/>
            <w:tcBorders>
              <w:top w:val="nil"/>
              <w:left w:val="nil"/>
              <w:bottom w:val="nil"/>
              <w:right w:val="nil"/>
            </w:tcBorders>
            <w:vAlign w:val="center"/>
            <w:hideMark/>
          </w:tcPr>
          <w:p w14:paraId="604EFDAF"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Coreaú</w:t>
            </w:r>
          </w:p>
        </w:tc>
        <w:tc>
          <w:tcPr>
            <w:tcW w:w="906" w:type="dxa"/>
            <w:tcBorders>
              <w:top w:val="nil"/>
              <w:left w:val="nil"/>
              <w:bottom w:val="nil"/>
              <w:right w:val="nil"/>
            </w:tcBorders>
            <w:vAlign w:val="center"/>
            <w:hideMark/>
          </w:tcPr>
          <w:p w14:paraId="5167195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57.068</w:t>
            </w:r>
          </w:p>
        </w:tc>
        <w:tc>
          <w:tcPr>
            <w:tcW w:w="906" w:type="dxa"/>
            <w:tcBorders>
              <w:top w:val="nil"/>
              <w:left w:val="nil"/>
              <w:bottom w:val="nil"/>
              <w:right w:val="nil"/>
            </w:tcBorders>
            <w:vAlign w:val="center"/>
            <w:hideMark/>
          </w:tcPr>
          <w:p w14:paraId="7B43CE4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57.925</w:t>
            </w:r>
          </w:p>
        </w:tc>
        <w:tc>
          <w:tcPr>
            <w:tcW w:w="906" w:type="dxa"/>
            <w:tcBorders>
              <w:top w:val="nil"/>
              <w:left w:val="nil"/>
              <w:bottom w:val="nil"/>
              <w:right w:val="nil"/>
            </w:tcBorders>
            <w:vAlign w:val="center"/>
            <w:hideMark/>
          </w:tcPr>
          <w:p w14:paraId="734CA7E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57.818</w:t>
            </w:r>
          </w:p>
        </w:tc>
        <w:tc>
          <w:tcPr>
            <w:tcW w:w="906" w:type="dxa"/>
            <w:tcBorders>
              <w:top w:val="nil"/>
              <w:left w:val="nil"/>
              <w:bottom w:val="nil"/>
              <w:right w:val="nil"/>
            </w:tcBorders>
            <w:vAlign w:val="center"/>
            <w:hideMark/>
          </w:tcPr>
          <w:p w14:paraId="5ED1E80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61.389</w:t>
            </w:r>
          </w:p>
        </w:tc>
        <w:tc>
          <w:tcPr>
            <w:tcW w:w="906" w:type="dxa"/>
            <w:tcBorders>
              <w:top w:val="nil"/>
              <w:left w:val="nil"/>
              <w:bottom w:val="nil"/>
              <w:right w:val="nil"/>
            </w:tcBorders>
            <w:vAlign w:val="center"/>
            <w:hideMark/>
          </w:tcPr>
          <w:p w14:paraId="35BEA39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56.400</w:t>
            </w:r>
          </w:p>
        </w:tc>
        <w:tc>
          <w:tcPr>
            <w:tcW w:w="906" w:type="dxa"/>
            <w:tcBorders>
              <w:top w:val="nil"/>
              <w:left w:val="nil"/>
              <w:bottom w:val="nil"/>
              <w:right w:val="nil"/>
            </w:tcBorders>
            <w:vAlign w:val="center"/>
            <w:hideMark/>
          </w:tcPr>
          <w:p w14:paraId="6D97A6C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61.266</w:t>
            </w:r>
          </w:p>
        </w:tc>
        <w:tc>
          <w:tcPr>
            <w:tcW w:w="906" w:type="dxa"/>
            <w:tcBorders>
              <w:top w:val="nil"/>
              <w:left w:val="nil"/>
              <w:bottom w:val="nil"/>
              <w:right w:val="nil"/>
            </w:tcBorders>
            <w:vAlign w:val="center"/>
            <w:hideMark/>
          </w:tcPr>
          <w:p w14:paraId="6DE6444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63.870</w:t>
            </w:r>
          </w:p>
        </w:tc>
        <w:tc>
          <w:tcPr>
            <w:tcW w:w="907" w:type="dxa"/>
            <w:tcBorders>
              <w:top w:val="nil"/>
              <w:left w:val="nil"/>
              <w:bottom w:val="nil"/>
              <w:right w:val="nil"/>
            </w:tcBorders>
            <w:vAlign w:val="center"/>
            <w:hideMark/>
          </w:tcPr>
          <w:p w14:paraId="35D77C1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56.804</w:t>
            </w:r>
          </w:p>
        </w:tc>
      </w:tr>
      <w:tr w:rsidR="006F42E1" w:rsidRPr="006F42E1" w14:paraId="36DF1062" w14:textId="77777777" w:rsidTr="43CF6635">
        <w:trPr>
          <w:trHeight w:val="222"/>
        </w:trPr>
        <w:tc>
          <w:tcPr>
            <w:tcW w:w="1780" w:type="dxa"/>
            <w:tcBorders>
              <w:top w:val="nil"/>
              <w:left w:val="nil"/>
              <w:bottom w:val="nil"/>
              <w:right w:val="nil"/>
            </w:tcBorders>
            <w:vAlign w:val="center"/>
            <w:hideMark/>
          </w:tcPr>
          <w:p w14:paraId="188320C4"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Meruoca</w:t>
            </w:r>
          </w:p>
        </w:tc>
        <w:tc>
          <w:tcPr>
            <w:tcW w:w="906" w:type="dxa"/>
            <w:tcBorders>
              <w:top w:val="nil"/>
              <w:left w:val="nil"/>
              <w:bottom w:val="nil"/>
              <w:right w:val="nil"/>
            </w:tcBorders>
            <w:vAlign w:val="center"/>
            <w:hideMark/>
          </w:tcPr>
          <w:p w14:paraId="798CCBD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24.968</w:t>
            </w:r>
          </w:p>
        </w:tc>
        <w:tc>
          <w:tcPr>
            <w:tcW w:w="906" w:type="dxa"/>
            <w:tcBorders>
              <w:top w:val="nil"/>
              <w:left w:val="nil"/>
              <w:bottom w:val="nil"/>
              <w:right w:val="nil"/>
            </w:tcBorders>
            <w:vAlign w:val="center"/>
            <w:hideMark/>
          </w:tcPr>
          <w:p w14:paraId="2975636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23.244</w:t>
            </w:r>
          </w:p>
        </w:tc>
        <w:tc>
          <w:tcPr>
            <w:tcW w:w="906" w:type="dxa"/>
            <w:tcBorders>
              <w:top w:val="nil"/>
              <w:left w:val="nil"/>
              <w:bottom w:val="nil"/>
              <w:right w:val="nil"/>
            </w:tcBorders>
            <w:vAlign w:val="center"/>
            <w:hideMark/>
          </w:tcPr>
          <w:p w14:paraId="177448E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23.042</w:t>
            </w:r>
          </w:p>
        </w:tc>
        <w:tc>
          <w:tcPr>
            <w:tcW w:w="906" w:type="dxa"/>
            <w:tcBorders>
              <w:top w:val="nil"/>
              <w:left w:val="nil"/>
              <w:bottom w:val="nil"/>
              <w:right w:val="nil"/>
            </w:tcBorders>
            <w:vAlign w:val="center"/>
            <w:hideMark/>
          </w:tcPr>
          <w:p w14:paraId="631DACD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24.081</w:t>
            </w:r>
          </w:p>
        </w:tc>
        <w:tc>
          <w:tcPr>
            <w:tcW w:w="906" w:type="dxa"/>
            <w:tcBorders>
              <w:top w:val="nil"/>
              <w:left w:val="nil"/>
              <w:bottom w:val="nil"/>
              <w:right w:val="nil"/>
            </w:tcBorders>
            <w:vAlign w:val="center"/>
            <w:hideMark/>
          </w:tcPr>
          <w:p w14:paraId="047DB08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22.687</w:t>
            </w:r>
          </w:p>
        </w:tc>
        <w:tc>
          <w:tcPr>
            <w:tcW w:w="906" w:type="dxa"/>
            <w:tcBorders>
              <w:top w:val="nil"/>
              <w:left w:val="nil"/>
              <w:bottom w:val="nil"/>
              <w:right w:val="nil"/>
            </w:tcBorders>
            <w:vAlign w:val="center"/>
            <w:hideMark/>
          </w:tcPr>
          <w:p w14:paraId="64E9990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23.741</w:t>
            </w:r>
          </w:p>
        </w:tc>
        <w:tc>
          <w:tcPr>
            <w:tcW w:w="906" w:type="dxa"/>
            <w:tcBorders>
              <w:top w:val="nil"/>
              <w:left w:val="nil"/>
              <w:bottom w:val="nil"/>
              <w:right w:val="nil"/>
            </w:tcBorders>
            <w:vAlign w:val="center"/>
            <w:hideMark/>
          </w:tcPr>
          <w:p w14:paraId="70A1BDD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24.031</w:t>
            </w:r>
          </w:p>
        </w:tc>
        <w:tc>
          <w:tcPr>
            <w:tcW w:w="907" w:type="dxa"/>
            <w:tcBorders>
              <w:top w:val="nil"/>
              <w:left w:val="nil"/>
              <w:bottom w:val="nil"/>
              <w:right w:val="nil"/>
            </w:tcBorders>
            <w:vAlign w:val="center"/>
            <w:hideMark/>
          </w:tcPr>
          <w:p w14:paraId="07FE03A9"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22.518</w:t>
            </w:r>
          </w:p>
        </w:tc>
      </w:tr>
      <w:tr w:rsidR="006F42E1" w:rsidRPr="006F42E1" w14:paraId="737B6711" w14:textId="77777777" w:rsidTr="43CF6635">
        <w:trPr>
          <w:trHeight w:val="222"/>
        </w:trPr>
        <w:tc>
          <w:tcPr>
            <w:tcW w:w="1780" w:type="dxa"/>
            <w:tcBorders>
              <w:top w:val="nil"/>
              <w:left w:val="nil"/>
              <w:bottom w:val="nil"/>
              <w:right w:val="nil"/>
            </w:tcBorders>
            <w:vAlign w:val="center"/>
            <w:hideMark/>
          </w:tcPr>
          <w:p w14:paraId="26845CF7"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Sobral</w:t>
            </w:r>
          </w:p>
        </w:tc>
        <w:tc>
          <w:tcPr>
            <w:tcW w:w="906" w:type="dxa"/>
            <w:tcBorders>
              <w:top w:val="nil"/>
              <w:left w:val="nil"/>
              <w:bottom w:val="nil"/>
              <w:right w:val="nil"/>
            </w:tcBorders>
            <w:vAlign w:val="center"/>
            <w:hideMark/>
          </w:tcPr>
          <w:p w14:paraId="3EEF2FA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388.654</w:t>
            </w:r>
          </w:p>
        </w:tc>
        <w:tc>
          <w:tcPr>
            <w:tcW w:w="906" w:type="dxa"/>
            <w:tcBorders>
              <w:top w:val="nil"/>
              <w:left w:val="nil"/>
              <w:bottom w:val="nil"/>
              <w:right w:val="nil"/>
            </w:tcBorders>
            <w:vAlign w:val="center"/>
            <w:hideMark/>
          </w:tcPr>
          <w:p w14:paraId="7903A47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380.749</w:t>
            </w:r>
          </w:p>
        </w:tc>
        <w:tc>
          <w:tcPr>
            <w:tcW w:w="906" w:type="dxa"/>
            <w:tcBorders>
              <w:top w:val="nil"/>
              <w:left w:val="nil"/>
              <w:bottom w:val="nil"/>
              <w:right w:val="nil"/>
            </w:tcBorders>
            <w:vAlign w:val="center"/>
            <w:hideMark/>
          </w:tcPr>
          <w:p w14:paraId="1BC8FC5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381.038</w:t>
            </w:r>
          </w:p>
        </w:tc>
        <w:tc>
          <w:tcPr>
            <w:tcW w:w="906" w:type="dxa"/>
            <w:tcBorders>
              <w:top w:val="nil"/>
              <w:left w:val="nil"/>
              <w:bottom w:val="nil"/>
              <w:right w:val="nil"/>
            </w:tcBorders>
            <w:vAlign w:val="center"/>
            <w:hideMark/>
          </w:tcPr>
          <w:p w14:paraId="0885556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407.586</w:t>
            </w:r>
          </w:p>
        </w:tc>
        <w:tc>
          <w:tcPr>
            <w:tcW w:w="906" w:type="dxa"/>
            <w:tcBorders>
              <w:top w:val="nil"/>
              <w:left w:val="nil"/>
              <w:bottom w:val="nil"/>
              <w:right w:val="nil"/>
            </w:tcBorders>
            <w:vAlign w:val="center"/>
            <w:hideMark/>
          </w:tcPr>
          <w:p w14:paraId="7E28E71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377.746</w:t>
            </w:r>
          </w:p>
        </w:tc>
        <w:tc>
          <w:tcPr>
            <w:tcW w:w="906" w:type="dxa"/>
            <w:tcBorders>
              <w:top w:val="nil"/>
              <w:left w:val="nil"/>
              <w:bottom w:val="nil"/>
              <w:right w:val="nil"/>
            </w:tcBorders>
            <w:vAlign w:val="center"/>
            <w:hideMark/>
          </w:tcPr>
          <w:p w14:paraId="0236456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408.443</w:t>
            </w:r>
          </w:p>
        </w:tc>
        <w:tc>
          <w:tcPr>
            <w:tcW w:w="906" w:type="dxa"/>
            <w:tcBorders>
              <w:top w:val="nil"/>
              <w:left w:val="nil"/>
              <w:bottom w:val="nil"/>
              <w:right w:val="nil"/>
            </w:tcBorders>
            <w:vAlign w:val="center"/>
            <w:hideMark/>
          </w:tcPr>
          <w:p w14:paraId="7712725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376.145</w:t>
            </w:r>
          </w:p>
        </w:tc>
        <w:tc>
          <w:tcPr>
            <w:tcW w:w="907" w:type="dxa"/>
            <w:tcBorders>
              <w:top w:val="nil"/>
              <w:left w:val="nil"/>
              <w:bottom w:val="nil"/>
              <w:right w:val="nil"/>
            </w:tcBorders>
            <w:vAlign w:val="center"/>
            <w:hideMark/>
          </w:tcPr>
          <w:p w14:paraId="19B9443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379.619</w:t>
            </w:r>
          </w:p>
        </w:tc>
      </w:tr>
      <w:tr w:rsidR="006F42E1" w:rsidRPr="006F42E1" w14:paraId="647B6A4A" w14:textId="77777777" w:rsidTr="43CF6635">
        <w:trPr>
          <w:trHeight w:val="222"/>
        </w:trPr>
        <w:tc>
          <w:tcPr>
            <w:tcW w:w="1780" w:type="dxa"/>
            <w:tcBorders>
              <w:top w:val="nil"/>
              <w:left w:val="nil"/>
              <w:bottom w:val="nil"/>
              <w:right w:val="nil"/>
            </w:tcBorders>
            <w:vAlign w:val="center"/>
            <w:hideMark/>
          </w:tcPr>
          <w:p w14:paraId="602DFCFF"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Ipu</w:t>
            </w:r>
          </w:p>
        </w:tc>
        <w:tc>
          <w:tcPr>
            <w:tcW w:w="906" w:type="dxa"/>
            <w:tcBorders>
              <w:top w:val="nil"/>
              <w:left w:val="nil"/>
              <w:bottom w:val="nil"/>
              <w:right w:val="nil"/>
            </w:tcBorders>
            <w:vAlign w:val="center"/>
            <w:hideMark/>
          </w:tcPr>
          <w:p w14:paraId="5F4FAC5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140.262</w:t>
            </w:r>
          </w:p>
        </w:tc>
        <w:tc>
          <w:tcPr>
            <w:tcW w:w="906" w:type="dxa"/>
            <w:tcBorders>
              <w:top w:val="nil"/>
              <w:left w:val="nil"/>
              <w:bottom w:val="nil"/>
              <w:right w:val="nil"/>
            </w:tcBorders>
            <w:vAlign w:val="center"/>
            <w:hideMark/>
          </w:tcPr>
          <w:p w14:paraId="0E942A9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151.899</w:t>
            </w:r>
          </w:p>
        </w:tc>
        <w:tc>
          <w:tcPr>
            <w:tcW w:w="906" w:type="dxa"/>
            <w:tcBorders>
              <w:top w:val="nil"/>
              <w:left w:val="nil"/>
              <w:bottom w:val="nil"/>
              <w:right w:val="nil"/>
            </w:tcBorders>
            <w:vAlign w:val="center"/>
            <w:hideMark/>
          </w:tcPr>
          <w:p w14:paraId="65322B7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150.834</w:t>
            </w:r>
          </w:p>
        </w:tc>
        <w:tc>
          <w:tcPr>
            <w:tcW w:w="906" w:type="dxa"/>
            <w:tcBorders>
              <w:top w:val="nil"/>
              <w:left w:val="nil"/>
              <w:bottom w:val="nil"/>
              <w:right w:val="nil"/>
            </w:tcBorders>
            <w:vAlign w:val="center"/>
            <w:hideMark/>
          </w:tcPr>
          <w:p w14:paraId="50BB04F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158.180</w:t>
            </w:r>
          </w:p>
        </w:tc>
        <w:tc>
          <w:tcPr>
            <w:tcW w:w="906" w:type="dxa"/>
            <w:tcBorders>
              <w:top w:val="nil"/>
              <w:left w:val="nil"/>
              <w:bottom w:val="nil"/>
              <w:right w:val="nil"/>
            </w:tcBorders>
            <w:vAlign w:val="center"/>
            <w:hideMark/>
          </w:tcPr>
          <w:p w14:paraId="31BA7E8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145.592</w:t>
            </w:r>
          </w:p>
        </w:tc>
        <w:tc>
          <w:tcPr>
            <w:tcW w:w="906" w:type="dxa"/>
            <w:tcBorders>
              <w:top w:val="nil"/>
              <w:left w:val="nil"/>
              <w:bottom w:val="nil"/>
              <w:right w:val="nil"/>
            </w:tcBorders>
            <w:vAlign w:val="center"/>
            <w:hideMark/>
          </w:tcPr>
          <w:p w14:paraId="5A94D21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155.186</w:t>
            </w:r>
          </w:p>
        </w:tc>
        <w:tc>
          <w:tcPr>
            <w:tcW w:w="906" w:type="dxa"/>
            <w:tcBorders>
              <w:top w:val="nil"/>
              <w:left w:val="nil"/>
              <w:bottom w:val="nil"/>
              <w:right w:val="nil"/>
            </w:tcBorders>
            <w:vAlign w:val="center"/>
            <w:hideMark/>
          </w:tcPr>
          <w:p w14:paraId="1A4D90E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157.191</w:t>
            </w:r>
          </w:p>
        </w:tc>
        <w:tc>
          <w:tcPr>
            <w:tcW w:w="907" w:type="dxa"/>
            <w:tcBorders>
              <w:top w:val="nil"/>
              <w:left w:val="nil"/>
              <w:bottom w:val="nil"/>
              <w:right w:val="nil"/>
            </w:tcBorders>
            <w:vAlign w:val="center"/>
            <w:hideMark/>
          </w:tcPr>
          <w:p w14:paraId="2CBCDD1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148.093</w:t>
            </w:r>
          </w:p>
        </w:tc>
      </w:tr>
      <w:tr w:rsidR="006F42E1" w:rsidRPr="006F42E1" w14:paraId="0BB96CBD" w14:textId="77777777" w:rsidTr="43CF6635">
        <w:trPr>
          <w:trHeight w:val="222"/>
        </w:trPr>
        <w:tc>
          <w:tcPr>
            <w:tcW w:w="1780" w:type="dxa"/>
            <w:tcBorders>
              <w:top w:val="nil"/>
              <w:left w:val="nil"/>
              <w:bottom w:val="nil"/>
              <w:right w:val="nil"/>
            </w:tcBorders>
            <w:vAlign w:val="center"/>
            <w:hideMark/>
          </w:tcPr>
          <w:p w14:paraId="6DA98108"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Santa Quitéria</w:t>
            </w:r>
          </w:p>
        </w:tc>
        <w:tc>
          <w:tcPr>
            <w:tcW w:w="906" w:type="dxa"/>
            <w:tcBorders>
              <w:top w:val="nil"/>
              <w:left w:val="nil"/>
              <w:bottom w:val="nil"/>
              <w:right w:val="nil"/>
            </w:tcBorders>
            <w:vAlign w:val="center"/>
            <w:hideMark/>
          </w:tcPr>
          <w:p w14:paraId="1AC7FC2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73.536</w:t>
            </w:r>
          </w:p>
        </w:tc>
        <w:tc>
          <w:tcPr>
            <w:tcW w:w="906" w:type="dxa"/>
            <w:tcBorders>
              <w:top w:val="nil"/>
              <w:left w:val="nil"/>
              <w:bottom w:val="nil"/>
              <w:right w:val="nil"/>
            </w:tcBorders>
            <w:vAlign w:val="center"/>
            <w:hideMark/>
          </w:tcPr>
          <w:p w14:paraId="0522365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73.849</w:t>
            </w:r>
          </w:p>
        </w:tc>
        <w:tc>
          <w:tcPr>
            <w:tcW w:w="906" w:type="dxa"/>
            <w:tcBorders>
              <w:top w:val="nil"/>
              <w:left w:val="nil"/>
              <w:bottom w:val="nil"/>
              <w:right w:val="nil"/>
            </w:tcBorders>
            <w:vAlign w:val="center"/>
            <w:hideMark/>
          </w:tcPr>
          <w:p w14:paraId="0C8AB7D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72.485</w:t>
            </w:r>
          </w:p>
        </w:tc>
        <w:tc>
          <w:tcPr>
            <w:tcW w:w="906" w:type="dxa"/>
            <w:tcBorders>
              <w:top w:val="nil"/>
              <w:left w:val="nil"/>
              <w:bottom w:val="nil"/>
              <w:right w:val="nil"/>
            </w:tcBorders>
            <w:vAlign w:val="center"/>
            <w:hideMark/>
          </w:tcPr>
          <w:p w14:paraId="40BA801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74.670</w:t>
            </w:r>
          </w:p>
        </w:tc>
        <w:tc>
          <w:tcPr>
            <w:tcW w:w="906" w:type="dxa"/>
            <w:tcBorders>
              <w:top w:val="nil"/>
              <w:left w:val="nil"/>
              <w:bottom w:val="nil"/>
              <w:right w:val="nil"/>
            </w:tcBorders>
            <w:vAlign w:val="center"/>
            <w:hideMark/>
          </w:tcPr>
          <w:p w14:paraId="4DD1419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68.880</w:t>
            </w:r>
          </w:p>
        </w:tc>
        <w:tc>
          <w:tcPr>
            <w:tcW w:w="906" w:type="dxa"/>
            <w:tcBorders>
              <w:top w:val="nil"/>
              <w:left w:val="nil"/>
              <w:bottom w:val="nil"/>
              <w:right w:val="nil"/>
            </w:tcBorders>
            <w:vAlign w:val="center"/>
            <w:hideMark/>
          </w:tcPr>
          <w:p w14:paraId="6FCEC12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62.368</w:t>
            </w:r>
          </w:p>
        </w:tc>
        <w:tc>
          <w:tcPr>
            <w:tcW w:w="906" w:type="dxa"/>
            <w:tcBorders>
              <w:top w:val="nil"/>
              <w:left w:val="nil"/>
              <w:bottom w:val="nil"/>
              <w:right w:val="nil"/>
            </w:tcBorders>
            <w:vAlign w:val="center"/>
            <w:hideMark/>
          </w:tcPr>
          <w:p w14:paraId="69D5F4C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69.403</w:t>
            </w:r>
          </w:p>
        </w:tc>
        <w:tc>
          <w:tcPr>
            <w:tcW w:w="907" w:type="dxa"/>
            <w:tcBorders>
              <w:top w:val="nil"/>
              <w:left w:val="nil"/>
              <w:bottom w:val="nil"/>
              <w:right w:val="nil"/>
            </w:tcBorders>
            <w:vAlign w:val="center"/>
            <w:hideMark/>
          </w:tcPr>
          <w:p w14:paraId="501D365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70.338</w:t>
            </w:r>
          </w:p>
        </w:tc>
      </w:tr>
      <w:tr w:rsidR="006F42E1" w:rsidRPr="006F42E1" w14:paraId="0EF69CEB" w14:textId="77777777" w:rsidTr="43CF6635">
        <w:trPr>
          <w:trHeight w:val="222"/>
        </w:trPr>
        <w:tc>
          <w:tcPr>
            <w:tcW w:w="1780" w:type="dxa"/>
            <w:tcBorders>
              <w:top w:val="nil"/>
              <w:left w:val="nil"/>
              <w:bottom w:val="nil"/>
              <w:right w:val="nil"/>
            </w:tcBorders>
            <w:vAlign w:val="center"/>
            <w:hideMark/>
          </w:tcPr>
          <w:p w14:paraId="638D41AF"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Itapipoca</w:t>
            </w:r>
          </w:p>
        </w:tc>
        <w:tc>
          <w:tcPr>
            <w:tcW w:w="906" w:type="dxa"/>
            <w:tcBorders>
              <w:top w:val="nil"/>
              <w:left w:val="nil"/>
              <w:bottom w:val="nil"/>
              <w:right w:val="nil"/>
            </w:tcBorders>
            <w:vAlign w:val="center"/>
            <w:hideMark/>
          </w:tcPr>
          <w:p w14:paraId="3D1DCB2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211.152</w:t>
            </w:r>
          </w:p>
        </w:tc>
        <w:tc>
          <w:tcPr>
            <w:tcW w:w="906" w:type="dxa"/>
            <w:tcBorders>
              <w:top w:val="nil"/>
              <w:left w:val="nil"/>
              <w:bottom w:val="nil"/>
              <w:right w:val="nil"/>
            </w:tcBorders>
            <w:vAlign w:val="center"/>
            <w:hideMark/>
          </w:tcPr>
          <w:p w14:paraId="3B07D60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205.547</w:t>
            </w:r>
          </w:p>
        </w:tc>
        <w:tc>
          <w:tcPr>
            <w:tcW w:w="906" w:type="dxa"/>
            <w:tcBorders>
              <w:top w:val="nil"/>
              <w:left w:val="nil"/>
              <w:bottom w:val="nil"/>
              <w:right w:val="nil"/>
            </w:tcBorders>
            <w:vAlign w:val="center"/>
            <w:hideMark/>
          </w:tcPr>
          <w:p w14:paraId="36A9FD1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206.938</w:t>
            </w:r>
          </w:p>
        </w:tc>
        <w:tc>
          <w:tcPr>
            <w:tcW w:w="906" w:type="dxa"/>
            <w:tcBorders>
              <w:top w:val="nil"/>
              <w:left w:val="nil"/>
              <w:bottom w:val="nil"/>
              <w:right w:val="nil"/>
            </w:tcBorders>
            <w:vAlign w:val="center"/>
            <w:hideMark/>
          </w:tcPr>
          <w:p w14:paraId="325E560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225.996</w:t>
            </w:r>
          </w:p>
        </w:tc>
        <w:tc>
          <w:tcPr>
            <w:tcW w:w="906" w:type="dxa"/>
            <w:tcBorders>
              <w:top w:val="nil"/>
              <w:left w:val="nil"/>
              <w:bottom w:val="nil"/>
              <w:right w:val="nil"/>
            </w:tcBorders>
            <w:vAlign w:val="center"/>
            <w:hideMark/>
          </w:tcPr>
          <w:p w14:paraId="681851F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208.478</w:t>
            </w:r>
          </w:p>
        </w:tc>
        <w:tc>
          <w:tcPr>
            <w:tcW w:w="906" w:type="dxa"/>
            <w:tcBorders>
              <w:top w:val="nil"/>
              <w:left w:val="nil"/>
              <w:bottom w:val="nil"/>
              <w:right w:val="nil"/>
            </w:tcBorders>
            <w:vAlign w:val="center"/>
            <w:hideMark/>
          </w:tcPr>
          <w:p w14:paraId="080D6CB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242.525</w:t>
            </w:r>
          </w:p>
        </w:tc>
        <w:tc>
          <w:tcPr>
            <w:tcW w:w="906" w:type="dxa"/>
            <w:tcBorders>
              <w:top w:val="nil"/>
              <w:left w:val="nil"/>
              <w:bottom w:val="nil"/>
              <w:right w:val="nil"/>
            </w:tcBorders>
            <w:vAlign w:val="center"/>
            <w:hideMark/>
          </w:tcPr>
          <w:p w14:paraId="061159B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189.977</w:t>
            </w:r>
          </w:p>
        </w:tc>
        <w:tc>
          <w:tcPr>
            <w:tcW w:w="907" w:type="dxa"/>
            <w:tcBorders>
              <w:top w:val="nil"/>
              <w:left w:val="nil"/>
              <w:bottom w:val="nil"/>
              <w:right w:val="nil"/>
            </w:tcBorders>
            <w:vAlign w:val="center"/>
            <w:hideMark/>
          </w:tcPr>
          <w:p w14:paraId="62AC81A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207.003</w:t>
            </w:r>
          </w:p>
        </w:tc>
      </w:tr>
      <w:tr w:rsidR="006F42E1" w:rsidRPr="006F42E1" w14:paraId="134A04DB" w14:textId="77777777" w:rsidTr="43CF6635">
        <w:trPr>
          <w:trHeight w:val="222"/>
        </w:trPr>
        <w:tc>
          <w:tcPr>
            <w:tcW w:w="1780" w:type="dxa"/>
            <w:tcBorders>
              <w:top w:val="nil"/>
              <w:left w:val="nil"/>
              <w:bottom w:val="nil"/>
              <w:right w:val="nil"/>
            </w:tcBorders>
            <w:vAlign w:val="center"/>
            <w:hideMark/>
          </w:tcPr>
          <w:p w14:paraId="25EE8E28"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Baixo Curu</w:t>
            </w:r>
          </w:p>
        </w:tc>
        <w:tc>
          <w:tcPr>
            <w:tcW w:w="906" w:type="dxa"/>
            <w:tcBorders>
              <w:top w:val="nil"/>
              <w:left w:val="nil"/>
              <w:bottom w:val="nil"/>
              <w:right w:val="nil"/>
            </w:tcBorders>
            <w:vAlign w:val="center"/>
            <w:hideMark/>
          </w:tcPr>
          <w:p w14:paraId="4BD0638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107.740</w:t>
            </w:r>
          </w:p>
        </w:tc>
        <w:tc>
          <w:tcPr>
            <w:tcW w:w="906" w:type="dxa"/>
            <w:tcBorders>
              <w:top w:val="nil"/>
              <w:left w:val="nil"/>
              <w:bottom w:val="nil"/>
              <w:right w:val="nil"/>
            </w:tcBorders>
            <w:vAlign w:val="center"/>
            <w:hideMark/>
          </w:tcPr>
          <w:p w14:paraId="148636F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107.896</w:t>
            </w:r>
          </w:p>
        </w:tc>
        <w:tc>
          <w:tcPr>
            <w:tcW w:w="906" w:type="dxa"/>
            <w:tcBorders>
              <w:top w:val="nil"/>
              <w:left w:val="nil"/>
              <w:bottom w:val="nil"/>
              <w:right w:val="nil"/>
            </w:tcBorders>
            <w:vAlign w:val="center"/>
            <w:hideMark/>
          </w:tcPr>
          <w:p w14:paraId="7BF65E5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108.928</w:t>
            </w:r>
          </w:p>
        </w:tc>
        <w:tc>
          <w:tcPr>
            <w:tcW w:w="906" w:type="dxa"/>
            <w:tcBorders>
              <w:top w:val="nil"/>
              <w:left w:val="nil"/>
              <w:bottom w:val="nil"/>
              <w:right w:val="nil"/>
            </w:tcBorders>
            <w:vAlign w:val="center"/>
            <w:hideMark/>
          </w:tcPr>
          <w:p w14:paraId="358D2E0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120.348</w:t>
            </w:r>
          </w:p>
        </w:tc>
        <w:tc>
          <w:tcPr>
            <w:tcW w:w="906" w:type="dxa"/>
            <w:tcBorders>
              <w:top w:val="nil"/>
              <w:left w:val="nil"/>
              <w:bottom w:val="nil"/>
              <w:right w:val="nil"/>
            </w:tcBorders>
            <w:vAlign w:val="center"/>
            <w:hideMark/>
          </w:tcPr>
          <w:p w14:paraId="042CA6D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110.755</w:t>
            </w:r>
          </w:p>
        </w:tc>
        <w:tc>
          <w:tcPr>
            <w:tcW w:w="906" w:type="dxa"/>
            <w:tcBorders>
              <w:top w:val="nil"/>
              <w:left w:val="nil"/>
              <w:bottom w:val="nil"/>
              <w:right w:val="nil"/>
            </w:tcBorders>
            <w:vAlign w:val="center"/>
            <w:hideMark/>
          </w:tcPr>
          <w:p w14:paraId="4008E16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104.371</w:t>
            </w:r>
          </w:p>
        </w:tc>
        <w:tc>
          <w:tcPr>
            <w:tcW w:w="906" w:type="dxa"/>
            <w:tcBorders>
              <w:top w:val="nil"/>
              <w:left w:val="nil"/>
              <w:bottom w:val="nil"/>
              <w:right w:val="nil"/>
            </w:tcBorders>
            <w:vAlign w:val="center"/>
            <w:hideMark/>
          </w:tcPr>
          <w:p w14:paraId="2FBB930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106.265</w:t>
            </w:r>
          </w:p>
        </w:tc>
        <w:tc>
          <w:tcPr>
            <w:tcW w:w="907" w:type="dxa"/>
            <w:tcBorders>
              <w:top w:val="nil"/>
              <w:left w:val="nil"/>
              <w:bottom w:val="nil"/>
              <w:right w:val="nil"/>
            </w:tcBorders>
            <w:vAlign w:val="center"/>
            <w:hideMark/>
          </w:tcPr>
          <w:p w14:paraId="4A03EA8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111.390</w:t>
            </w:r>
          </w:p>
        </w:tc>
      </w:tr>
      <w:tr w:rsidR="006F42E1" w:rsidRPr="006F42E1" w14:paraId="2CD01DC7" w14:textId="77777777" w:rsidTr="43CF6635">
        <w:trPr>
          <w:trHeight w:val="222"/>
        </w:trPr>
        <w:tc>
          <w:tcPr>
            <w:tcW w:w="1780" w:type="dxa"/>
            <w:tcBorders>
              <w:top w:val="nil"/>
              <w:left w:val="nil"/>
              <w:bottom w:val="nil"/>
              <w:right w:val="nil"/>
            </w:tcBorders>
            <w:vAlign w:val="center"/>
            <w:hideMark/>
          </w:tcPr>
          <w:p w14:paraId="19A9130A"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Uruburetama</w:t>
            </w:r>
          </w:p>
        </w:tc>
        <w:tc>
          <w:tcPr>
            <w:tcW w:w="906" w:type="dxa"/>
            <w:tcBorders>
              <w:top w:val="nil"/>
              <w:left w:val="nil"/>
              <w:bottom w:val="nil"/>
              <w:right w:val="nil"/>
            </w:tcBorders>
            <w:vAlign w:val="center"/>
            <w:hideMark/>
          </w:tcPr>
          <w:p w14:paraId="064C131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103.440</w:t>
            </w:r>
          </w:p>
        </w:tc>
        <w:tc>
          <w:tcPr>
            <w:tcW w:w="906" w:type="dxa"/>
            <w:tcBorders>
              <w:top w:val="nil"/>
              <w:left w:val="nil"/>
              <w:bottom w:val="nil"/>
              <w:right w:val="nil"/>
            </w:tcBorders>
            <w:vAlign w:val="center"/>
            <w:hideMark/>
          </w:tcPr>
          <w:p w14:paraId="2F84420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101.697</w:t>
            </w:r>
          </w:p>
        </w:tc>
        <w:tc>
          <w:tcPr>
            <w:tcW w:w="906" w:type="dxa"/>
            <w:tcBorders>
              <w:top w:val="nil"/>
              <w:left w:val="nil"/>
              <w:bottom w:val="nil"/>
              <w:right w:val="nil"/>
            </w:tcBorders>
            <w:vAlign w:val="center"/>
            <w:hideMark/>
          </w:tcPr>
          <w:p w14:paraId="7FE4D72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101.983</w:t>
            </w:r>
          </w:p>
        </w:tc>
        <w:tc>
          <w:tcPr>
            <w:tcW w:w="906" w:type="dxa"/>
            <w:tcBorders>
              <w:top w:val="nil"/>
              <w:left w:val="nil"/>
              <w:bottom w:val="nil"/>
              <w:right w:val="nil"/>
            </w:tcBorders>
            <w:vAlign w:val="center"/>
            <w:hideMark/>
          </w:tcPr>
          <w:p w14:paraId="091E2B1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109.801</w:t>
            </w:r>
          </w:p>
        </w:tc>
        <w:tc>
          <w:tcPr>
            <w:tcW w:w="906" w:type="dxa"/>
            <w:tcBorders>
              <w:top w:val="nil"/>
              <w:left w:val="nil"/>
              <w:bottom w:val="nil"/>
              <w:right w:val="nil"/>
            </w:tcBorders>
            <w:vAlign w:val="center"/>
            <w:hideMark/>
          </w:tcPr>
          <w:p w14:paraId="6567CF0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100.880</w:t>
            </w:r>
          </w:p>
        </w:tc>
        <w:tc>
          <w:tcPr>
            <w:tcW w:w="906" w:type="dxa"/>
            <w:tcBorders>
              <w:top w:val="nil"/>
              <w:left w:val="nil"/>
              <w:bottom w:val="nil"/>
              <w:right w:val="nil"/>
            </w:tcBorders>
            <w:vAlign w:val="center"/>
            <w:hideMark/>
          </w:tcPr>
          <w:p w14:paraId="5A7DDF7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106.779</w:t>
            </w:r>
          </w:p>
        </w:tc>
        <w:tc>
          <w:tcPr>
            <w:tcW w:w="906" w:type="dxa"/>
            <w:tcBorders>
              <w:top w:val="nil"/>
              <w:left w:val="nil"/>
              <w:bottom w:val="nil"/>
              <w:right w:val="nil"/>
            </w:tcBorders>
            <w:vAlign w:val="center"/>
            <w:hideMark/>
          </w:tcPr>
          <w:p w14:paraId="29F29A3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115.830</w:t>
            </w:r>
          </w:p>
        </w:tc>
        <w:tc>
          <w:tcPr>
            <w:tcW w:w="907" w:type="dxa"/>
            <w:tcBorders>
              <w:top w:val="nil"/>
              <w:left w:val="nil"/>
              <w:bottom w:val="nil"/>
              <w:right w:val="nil"/>
            </w:tcBorders>
            <w:vAlign w:val="center"/>
            <w:hideMark/>
          </w:tcPr>
          <w:p w14:paraId="5B14175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102.177</w:t>
            </w:r>
          </w:p>
        </w:tc>
      </w:tr>
      <w:tr w:rsidR="006F42E1" w:rsidRPr="006F42E1" w14:paraId="44D41586" w14:textId="77777777" w:rsidTr="43CF6635">
        <w:trPr>
          <w:trHeight w:val="222"/>
        </w:trPr>
        <w:tc>
          <w:tcPr>
            <w:tcW w:w="1780" w:type="dxa"/>
            <w:tcBorders>
              <w:top w:val="nil"/>
              <w:left w:val="nil"/>
              <w:bottom w:val="nil"/>
              <w:right w:val="nil"/>
            </w:tcBorders>
            <w:vAlign w:val="center"/>
            <w:hideMark/>
          </w:tcPr>
          <w:p w14:paraId="47132579"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Médio Curu</w:t>
            </w:r>
          </w:p>
        </w:tc>
        <w:tc>
          <w:tcPr>
            <w:tcW w:w="906" w:type="dxa"/>
            <w:tcBorders>
              <w:top w:val="nil"/>
              <w:left w:val="nil"/>
              <w:bottom w:val="nil"/>
              <w:right w:val="nil"/>
            </w:tcBorders>
            <w:vAlign w:val="center"/>
            <w:hideMark/>
          </w:tcPr>
          <w:p w14:paraId="4491660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86.444</w:t>
            </w:r>
          </w:p>
        </w:tc>
        <w:tc>
          <w:tcPr>
            <w:tcW w:w="906" w:type="dxa"/>
            <w:tcBorders>
              <w:top w:val="nil"/>
              <w:left w:val="nil"/>
              <w:bottom w:val="nil"/>
              <w:right w:val="nil"/>
            </w:tcBorders>
            <w:vAlign w:val="center"/>
            <w:hideMark/>
          </w:tcPr>
          <w:p w14:paraId="1904EB6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82.531</w:t>
            </w:r>
          </w:p>
        </w:tc>
        <w:tc>
          <w:tcPr>
            <w:tcW w:w="906" w:type="dxa"/>
            <w:tcBorders>
              <w:top w:val="nil"/>
              <w:left w:val="nil"/>
              <w:bottom w:val="nil"/>
              <w:right w:val="nil"/>
            </w:tcBorders>
            <w:vAlign w:val="center"/>
            <w:hideMark/>
          </w:tcPr>
          <w:p w14:paraId="6CC85AE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81.587</w:t>
            </w:r>
          </w:p>
        </w:tc>
        <w:tc>
          <w:tcPr>
            <w:tcW w:w="906" w:type="dxa"/>
            <w:tcBorders>
              <w:top w:val="nil"/>
              <w:left w:val="nil"/>
              <w:bottom w:val="nil"/>
              <w:right w:val="nil"/>
            </w:tcBorders>
            <w:vAlign w:val="center"/>
            <w:hideMark/>
          </w:tcPr>
          <w:p w14:paraId="5D53895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84.850</w:t>
            </w:r>
          </w:p>
        </w:tc>
        <w:tc>
          <w:tcPr>
            <w:tcW w:w="906" w:type="dxa"/>
            <w:tcBorders>
              <w:top w:val="nil"/>
              <w:left w:val="nil"/>
              <w:bottom w:val="nil"/>
              <w:right w:val="nil"/>
            </w:tcBorders>
            <w:vAlign w:val="center"/>
            <w:hideMark/>
          </w:tcPr>
          <w:p w14:paraId="68C87E2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78.048</w:t>
            </w:r>
          </w:p>
        </w:tc>
        <w:tc>
          <w:tcPr>
            <w:tcW w:w="906" w:type="dxa"/>
            <w:tcBorders>
              <w:top w:val="nil"/>
              <w:left w:val="nil"/>
              <w:bottom w:val="nil"/>
              <w:right w:val="nil"/>
            </w:tcBorders>
            <w:vAlign w:val="center"/>
            <w:hideMark/>
          </w:tcPr>
          <w:p w14:paraId="6E9DB80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78.338</w:t>
            </w:r>
          </w:p>
        </w:tc>
        <w:tc>
          <w:tcPr>
            <w:tcW w:w="906" w:type="dxa"/>
            <w:tcBorders>
              <w:top w:val="nil"/>
              <w:left w:val="nil"/>
              <w:bottom w:val="nil"/>
              <w:right w:val="nil"/>
            </w:tcBorders>
            <w:vAlign w:val="center"/>
            <w:hideMark/>
          </w:tcPr>
          <w:p w14:paraId="33A9AE0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85.402</w:t>
            </w:r>
          </w:p>
        </w:tc>
        <w:tc>
          <w:tcPr>
            <w:tcW w:w="907" w:type="dxa"/>
            <w:tcBorders>
              <w:top w:val="nil"/>
              <w:left w:val="nil"/>
              <w:bottom w:val="nil"/>
              <w:right w:val="nil"/>
            </w:tcBorders>
            <w:vAlign w:val="center"/>
            <w:hideMark/>
          </w:tcPr>
          <w:p w14:paraId="0F86E38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80.443</w:t>
            </w:r>
          </w:p>
        </w:tc>
      </w:tr>
      <w:tr w:rsidR="006F42E1" w:rsidRPr="006F42E1" w14:paraId="07EC2C0F" w14:textId="77777777" w:rsidTr="43CF6635">
        <w:trPr>
          <w:trHeight w:val="222"/>
        </w:trPr>
        <w:tc>
          <w:tcPr>
            <w:tcW w:w="1780" w:type="dxa"/>
            <w:tcBorders>
              <w:top w:val="nil"/>
              <w:left w:val="nil"/>
              <w:bottom w:val="nil"/>
              <w:right w:val="nil"/>
            </w:tcBorders>
            <w:vAlign w:val="center"/>
            <w:hideMark/>
          </w:tcPr>
          <w:p w14:paraId="174AA134"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Canindé</w:t>
            </w:r>
          </w:p>
        </w:tc>
        <w:tc>
          <w:tcPr>
            <w:tcW w:w="906" w:type="dxa"/>
            <w:tcBorders>
              <w:top w:val="nil"/>
              <w:left w:val="nil"/>
              <w:bottom w:val="nil"/>
              <w:right w:val="nil"/>
            </w:tcBorders>
            <w:vAlign w:val="center"/>
            <w:hideMark/>
          </w:tcPr>
          <w:p w14:paraId="2517147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127.314</w:t>
            </w:r>
          </w:p>
        </w:tc>
        <w:tc>
          <w:tcPr>
            <w:tcW w:w="906" w:type="dxa"/>
            <w:tcBorders>
              <w:top w:val="nil"/>
              <w:left w:val="nil"/>
              <w:bottom w:val="nil"/>
              <w:right w:val="nil"/>
            </w:tcBorders>
            <w:vAlign w:val="center"/>
            <w:hideMark/>
          </w:tcPr>
          <w:p w14:paraId="01790B8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127.332</w:t>
            </w:r>
          </w:p>
        </w:tc>
        <w:tc>
          <w:tcPr>
            <w:tcW w:w="906" w:type="dxa"/>
            <w:tcBorders>
              <w:top w:val="nil"/>
              <w:left w:val="nil"/>
              <w:bottom w:val="nil"/>
              <w:right w:val="nil"/>
            </w:tcBorders>
            <w:vAlign w:val="center"/>
            <w:hideMark/>
          </w:tcPr>
          <w:p w14:paraId="1BBAE10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126.844</w:t>
            </w:r>
          </w:p>
        </w:tc>
        <w:tc>
          <w:tcPr>
            <w:tcW w:w="906" w:type="dxa"/>
            <w:tcBorders>
              <w:top w:val="nil"/>
              <w:left w:val="nil"/>
              <w:bottom w:val="nil"/>
              <w:right w:val="nil"/>
            </w:tcBorders>
            <w:vAlign w:val="center"/>
            <w:hideMark/>
          </w:tcPr>
          <w:p w14:paraId="6B58885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133.990</w:t>
            </w:r>
          </w:p>
        </w:tc>
        <w:tc>
          <w:tcPr>
            <w:tcW w:w="906" w:type="dxa"/>
            <w:tcBorders>
              <w:top w:val="nil"/>
              <w:left w:val="nil"/>
              <w:bottom w:val="nil"/>
              <w:right w:val="nil"/>
            </w:tcBorders>
            <w:vAlign w:val="center"/>
            <w:hideMark/>
          </w:tcPr>
          <w:p w14:paraId="3E74388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123.201</w:t>
            </w:r>
          </w:p>
        </w:tc>
        <w:tc>
          <w:tcPr>
            <w:tcW w:w="906" w:type="dxa"/>
            <w:tcBorders>
              <w:top w:val="nil"/>
              <w:left w:val="nil"/>
              <w:bottom w:val="nil"/>
              <w:right w:val="nil"/>
            </w:tcBorders>
            <w:vAlign w:val="center"/>
            <w:hideMark/>
          </w:tcPr>
          <w:p w14:paraId="0BAA7CE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129.386</w:t>
            </w:r>
          </w:p>
        </w:tc>
        <w:tc>
          <w:tcPr>
            <w:tcW w:w="906" w:type="dxa"/>
            <w:tcBorders>
              <w:top w:val="nil"/>
              <w:left w:val="nil"/>
              <w:bottom w:val="nil"/>
              <w:right w:val="nil"/>
            </w:tcBorders>
            <w:vAlign w:val="center"/>
            <w:hideMark/>
          </w:tcPr>
          <w:p w14:paraId="2685565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131.631</w:t>
            </w:r>
          </w:p>
        </w:tc>
        <w:tc>
          <w:tcPr>
            <w:tcW w:w="907" w:type="dxa"/>
            <w:tcBorders>
              <w:top w:val="nil"/>
              <w:left w:val="nil"/>
              <w:bottom w:val="nil"/>
              <w:right w:val="nil"/>
            </w:tcBorders>
            <w:vAlign w:val="center"/>
            <w:hideMark/>
          </w:tcPr>
          <w:p w14:paraId="644D636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123.949</w:t>
            </w:r>
          </w:p>
        </w:tc>
      </w:tr>
      <w:tr w:rsidR="006F42E1" w:rsidRPr="006F42E1" w14:paraId="2386723D" w14:textId="77777777" w:rsidTr="43CF6635">
        <w:trPr>
          <w:trHeight w:val="222"/>
        </w:trPr>
        <w:tc>
          <w:tcPr>
            <w:tcW w:w="1780" w:type="dxa"/>
            <w:tcBorders>
              <w:top w:val="nil"/>
              <w:left w:val="nil"/>
              <w:bottom w:val="nil"/>
              <w:right w:val="nil"/>
            </w:tcBorders>
            <w:vAlign w:val="center"/>
            <w:hideMark/>
          </w:tcPr>
          <w:p w14:paraId="0A62FEAA"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Baturité</w:t>
            </w:r>
          </w:p>
        </w:tc>
        <w:tc>
          <w:tcPr>
            <w:tcW w:w="906" w:type="dxa"/>
            <w:tcBorders>
              <w:top w:val="nil"/>
              <w:left w:val="nil"/>
              <w:bottom w:val="nil"/>
              <w:right w:val="nil"/>
            </w:tcBorders>
            <w:vAlign w:val="center"/>
            <w:hideMark/>
          </w:tcPr>
          <w:p w14:paraId="12D0709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190.786</w:t>
            </w:r>
          </w:p>
        </w:tc>
        <w:tc>
          <w:tcPr>
            <w:tcW w:w="906" w:type="dxa"/>
            <w:tcBorders>
              <w:top w:val="nil"/>
              <w:left w:val="nil"/>
              <w:bottom w:val="nil"/>
              <w:right w:val="nil"/>
            </w:tcBorders>
            <w:vAlign w:val="center"/>
            <w:hideMark/>
          </w:tcPr>
          <w:p w14:paraId="617CFAF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192.773</w:t>
            </w:r>
          </w:p>
        </w:tc>
        <w:tc>
          <w:tcPr>
            <w:tcW w:w="906" w:type="dxa"/>
            <w:tcBorders>
              <w:top w:val="nil"/>
              <w:left w:val="nil"/>
              <w:bottom w:val="nil"/>
              <w:right w:val="nil"/>
            </w:tcBorders>
            <w:vAlign w:val="center"/>
            <w:hideMark/>
          </w:tcPr>
          <w:p w14:paraId="12B5D8D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191.408</w:t>
            </w:r>
          </w:p>
        </w:tc>
        <w:tc>
          <w:tcPr>
            <w:tcW w:w="906" w:type="dxa"/>
            <w:tcBorders>
              <w:top w:val="nil"/>
              <w:left w:val="nil"/>
              <w:bottom w:val="nil"/>
              <w:right w:val="nil"/>
            </w:tcBorders>
            <w:vAlign w:val="center"/>
            <w:hideMark/>
          </w:tcPr>
          <w:p w14:paraId="654B64A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200.701</w:t>
            </w:r>
          </w:p>
        </w:tc>
        <w:tc>
          <w:tcPr>
            <w:tcW w:w="906" w:type="dxa"/>
            <w:tcBorders>
              <w:top w:val="nil"/>
              <w:left w:val="nil"/>
              <w:bottom w:val="nil"/>
              <w:right w:val="nil"/>
            </w:tcBorders>
            <w:vAlign w:val="center"/>
            <w:hideMark/>
          </w:tcPr>
          <w:p w14:paraId="186214C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184.982</w:t>
            </w:r>
          </w:p>
        </w:tc>
        <w:tc>
          <w:tcPr>
            <w:tcW w:w="906" w:type="dxa"/>
            <w:tcBorders>
              <w:top w:val="nil"/>
              <w:left w:val="nil"/>
              <w:bottom w:val="nil"/>
              <w:right w:val="nil"/>
            </w:tcBorders>
            <w:vAlign w:val="center"/>
            <w:hideMark/>
          </w:tcPr>
          <w:p w14:paraId="05C38DD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197.936</w:t>
            </w:r>
          </w:p>
        </w:tc>
        <w:tc>
          <w:tcPr>
            <w:tcW w:w="906" w:type="dxa"/>
            <w:tcBorders>
              <w:top w:val="nil"/>
              <w:left w:val="nil"/>
              <w:bottom w:val="nil"/>
              <w:right w:val="nil"/>
            </w:tcBorders>
            <w:vAlign w:val="center"/>
            <w:hideMark/>
          </w:tcPr>
          <w:p w14:paraId="3A24C3B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224.843</w:t>
            </w:r>
          </w:p>
        </w:tc>
        <w:tc>
          <w:tcPr>
            <w:tcW w:w="907" w:type="dxa"/>
            <w:tcBorders>
              <w:top w:val="nil"/>
              <w:left w:val="nil"/>
              <w:bottom w:val="nil"/>
              <w:right w:val="nil"/>
            </w:tcBorders>
            <w:vAlign w:val="center"/>
            <w:hideMark/>
          </w:tcPr>
          <w:p w14:paraId="2F74810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187.723</w:t>
            </w:r>
          </w:p>
        </w:tc>
      </w:tr>
      <w:tr w:rsidR="006F42E1" w:rsidRPr="006F42E1" w14:paraId="41DA6A72" w14:textId="77777777" w:rsidTr="43CF6635">
        <w:trPr>
          <w:trHeight w:val="222"/>
        </w:trPr>
        <w:tc>
          <w:tcPr>
            <w:tcW w:w="1780" w:type="dxa"/>
            <w:tcBorders>
              <w:top w:val="nil"/>
              <w:left w:val="nil"/>
              <w:bottom w:val="nil"/>
              <w:right w:val="nil"/>
            </w:tcBorders>
            <w:vAlign w:val="center"/>
            <w:hideMark/>
          </w:tcPr>
          <w:p w14:paraId="77D94455"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Chorozinho</w:t>
            </w:r>
          </w:p>
        </w:tc>
        <w:tc>
          <w:tcPr>
            <w:tcW w:w="906" w:type="dxa"/>
            <w:tcBorders>
              <w:top w:val="nil"/>
              <w:left w:val="nil"/>
              <w:bottom w:val="nil"/>
              <w:right w:val="nil"/>
            </w:tcBorders>
            <w:vAlign w:val="center"/>
            <w:hideMark/>
          </w:tcPr>
          <w:p w14:paraId="651F573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63.762</w:t>
            </w:r>
          </w:p>
        </w:tc>
        <w:tc>
          <w:tcPr>
            <w:tcW w:w="906" w:type="dxa"/>
            <w:tcBorders>
              <w:top w:val="nil"/>
              <w:left w:val="nil"/>
              <w:bottom w:val="nil"/>
              <w:right w:val="nil"/>
            </w:tcBorders>
            <w:vAlign w:val="center"/>
            <w:hideMark/>
          </w:tcPr>
          <w:p w14:paraId="7E62511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65.731</w:t>
            </w:r>
          </w:p>
        </w:tc>
        <w:tc>
          <w:tcPr>
            <w:tcW w:w="906" w:type="dxa"/>
            <w:tcBorders>
              <w:top w:val="nil"/>
              <w:left w:val="nil"/>
              <w:bottom w:val="nil"/>
              <w:right w:val="nil"/>
            </w:tcBorders>
            <w:vAlign w:val="center"/>
            <w:hideMark/>
          </w:tcPr>
          <w:p w14:paraId="1CCCE2D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65.565</w:t>
            </w:r>
          </w:p>
        </w:tc>
        <w:tc>
          <w:tcPr>
            <w:tcW w:w="906" w:type="dxa"/>
            <w:tcBorders>
              <w:top w:val="nil"/>
              <w:left w:val="nil"/>
              <w:bottom w:val="nil"/>
              <w:right w:val="nil"/>
            </w:tcBorders>
            <w:vAlign w:val="center"/>
            <w:hideMark/>
          </w:tcPr>
          <w:p w14:paraId="7B2696F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69.487</w:t>
            </w:r>
          </w:p>
        </w:tc>
        <w:tc>
          <w:tcPr>
            <w:tcW w:w="906" w:type="dxa"/>
            <w:tcBorders>
              <w:top w:val="nil"/>
              <w:left w:val="nil"/>
              <w:bottom w:val="nil"/>
              <w:right w:val="nil"/>
            </w:tcBorders>
            <w:vAlign w:val="center"/>
            <w:hideMark/>
          </w:tcPr>
          <w:p w14:paraId="127B35B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63.820</w:t>
            </w:r>
          </w:p>
        </w:tc>
        <w:tc>
          <w:tcPr>
            <w:tcW w:w="906" w:type="dxa"/>
            <w:tcBorders>
              <w:top w:val="nil"/>
              <w:left w:val="nil"/>
              <w:bottom w:val="nil"/>
              <w:right w:val="nil"/>
            </w:tcBorders>
            <w:vAlign w:val="center"/>
            <w:hideMark/>
          </w:tcPr>
          <w:p w14:paraId="1BC7696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64.672</w:t>
            </w:r>
          </w:p>
        </w:tc>
        <w:tc>
          <w:tcPr>
            <w:tcW w:w="906" w:type="dxa"/>
            <w:tcBorders>
              <w:top w:val="nil"/>
              <w:left w:val="nil"/>
              <w:bottom w:val="nil"/>
              <w:right w:val="nil"/>
            </w:tcBorders>
            <w:vAlign w:val="center"/>
            <w:hideMark/>
          </w:tcPr>
          <w:p w14:paraId="4C2313F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65.233</w:t>
            </w:r>
          </w:p>
        </w:tc>
        <w:tc>
          <w:tcPr>
            <w:tcW w:w="907" w:type="dxa"/>
            <w:tcBorders>
              <w:top w:val="nil"/>
              <w:left w:val="nil"/>
              <w:bottom w:val="nil"/>
              <w:right w:val="nil"/>
            </w:tcBorders>
            <w:vAlign w:val="center"/>
            <w:hideMark/>
          </w:tcPr>
          <w:p w14:paraId="78C1E77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64.426</w:t>
            </w:r>
          </w:p>
        </w:tc>
      </w:tr>
      <w:tr w:rsidR="006F42E1" w:rsidRPr="006F42E1" w14:paraId="3C16410A" w14:textId="77777777" w:rsidTr="43CF6635">
        <w:trPr>
          <w:trHeight w:val="222"/>
        </w:trPr>
        <w:tc>
          <w:tcPr>
            <w:tcW w:w="1780" w:type="dxa"/>
            <w:tcBorders>
              <w:top w:val="nil"/>
              <w:left w:val="nil"/>
              <w:bottom w:val="nil"/>
              <w:right w:val="nil"/>
            </w:tcBorders>
            <w:vAlign w:val="center"/>
            <w:hideMark/>
          </w:tcPr>
          <w:p w14:paraId="73326E8E"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Cascavel</w:t>
            </w:r>
          </w:p>
        </w:tc>
        <w:tc>
          <w:tcPr>
            <w:tcW w:w="906" w:type="dxa"/>
            <w:tcBorders>
              <w:top w:val="nil"/>
              <w:left w:val="nil"/>
              <w:bottom w:val="nil"/>
              <w:right w:val="nil"/>
            </w:tcBorders>
            <w:vAlign w:val="center"/>
            <w:hideMark/>
          </w:tcPr>
          <w:p w14:paraId="70C820F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136.810</w:t>
            </w:r>
          </w:p>
        </w:tc>
        <w:tc>
          <w:tcPr>
            <w:tcW w:w="906" w:type="dxa"/>
            <w:tcBorders>
              <w:top w:val="nil"/>
              <w:left w:val="nil"/>
              <w:bottom w:val="nil"/>
              <w:right w:val="nil"/>
            </w:tcBorders>
            <w:vAlign w:val="center"/>
            <w:hideMark/>
          </w:tcPr>
          <w:p w14:paraId="48A491F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134.656</w:t>
            </w:r>
          </w:p>
        </w:tc>
        <w:tc>
          <w:tcPr>
            <w:tcW w:w="906" w:type="dxa"/>
            <w:tcBorders>
              <w:top w:val="nil"/>
              <w:left w:val="nil"/>
              <w:bottom w:val="nil"/>
              <w:right w:val="nil"/>
            </w:tcBorders>
            <w:vAlign w:val="center"/>
            <w:hideMark/>
          </w:tcPr>
          <w:p w14:paraId="6C81B26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135.048</w:t>
            </w:r>
          </w:p>
        </w:tc>
        <w:tc>
          <w:tcPr>
            <w:tcW w:w="906" w:type="dxa"/>
            <w:tcBorders>
              <w:top w:val="nil"/>
              <w:left w:val="nil"/>
              <w:bottom w:val="nil"/>
              <w:right w:val="nil"/>
            </w:tcBorders>
            <w:vAlign w:val="center"/>
            <w:hideMark/>
          </w:tcPr>
          <w:p w14:paraId="46A5562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145.448</w:t>
            </w:r>
          </w:p>
        </w:tc>
        <w:tc>
          <w:tcPr>
            <w:tcW w:w="906" w:type="dxa"/>
            <w:tcBorders>
              <w:top w:val="nil"/>
              <w:left w:val="nil"/>
              <w:bottom w:val="nil"/>
              <w:right w:val="nil"/>
            </w:tcBorders>
            <w:vAlign w:val="center"/>
            <w:hideMark/>
          </w:tcPr>
          <w:p w14:paraId="4FE62BF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133.784</w:t>
            </w:r>
          </w:p>
        </w:tc>
        <w:tc>
          <w:tcPr>
            <w:tcW w:w="906" w:type="dxa"/>
            <w:tcBorders>
              <w:top w:val="nil"/>
              <w:left w:val="nil"/>
              <w:bottom w:val="nil"/>
              <w:right w:val="nil"/>
            </w:tcBorders>
            <w:vAlign w:val="center"/>
            <w:hideMark/>
          </w:tcPr>
          <w:p w14:paraId="4C32A0B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118.512</w:t>
            </w:r>
          </w:p>
        </w:tc>
        <w:tc>
          <w:tcPr>
            <w:tcW w:w="906" w:type="dxa"/>
            <w:tcBorders>
              <w:top w:val="nil"/>
              <w:left w:val="nil"/>
              <w:bottom w:val="nil"/>
              <w:right w:val="nil"/>
            </w:tcBorders>
            <w:vAlign w:val="center"/>
            <w:hideMark/>
          </w:tcPr>
          <w:p w14:paraId="4D4C667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130.063</w:t>
            </w:r>
          </w:p>
        </w:tc>
        <w:tc>
          <w:tcPr>
            <w:tcW w:w="907" w:type="dxa"/>
            <w:tcBorders>
              <w:top w:val="nil"/>
              <w:left w:val="nil"/>
              <w:bottom w:val="nil"/>
              <w:right w:val="nil"/>
            </w:tcBorders>
            <w:vAlign w:val="center"/>
            <w:hideMark/>
          </w:tcPr>
          <w:p w14:paraId="0703E93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135.767</w:t>
            </w:r>
          </w:p>
        </w:tc>
      </w:tr>
      <w:tr w:rsidR="006F42E1" w:rsidRPr="006F42E1" w14:paraId="22EDF7BB" w14:textId="77777777" w:rsidTr="43CF6635">
        <w:trPr>
          <w:trHeight w:val="222"/>
        </w:trPr>
        <w:tc>
          <w:tcPr>
            <w:tcW w:w="1780" w:type="dxa"/>
            <w:tcBorders>
              <w:top w:val="nil"/>
              <w:left w:val="nil"/>
              <w:bottom w:val="nil"/>
              <w:right w:val="nil"/>
            </w:tcBorders>
            <w:vAlign w:val="center"/>
            <w:hideMark/>
          </w:tcPr>
          <w:p w14:paraId="3CC9EB9C"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Fortaleza</w:t>
            </w:r>
          </w:p>
        </w:tc>
        <w:tc>
          <w:tcPr>
            <w:tcW w:w="906" w:type="dxa"/>
            <w:tcBorders>
              <w:top w:val="nil"/>
              <w:left w:val="nil"/>
              <w:bottom w:val="nil"/>
              <w:right w:val="nil"/>
            </w:tcBorders>
            <w:vAlign w:val="center"/>
            <w:hideMark/>
          </w:tcPr>
          <w:p w14:paraId="2960846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3.417.496</w:t>
            </w:r>
          </w:p>
        </w:tc>
        <w:tc>
          <w:tcPr>
            <w:tcW w:w="906" w:type="dxa"/>
            <w:tcBorders>
              <w:top w:val="nil"/>
              <w:left w:val="nil"/>
              <w:bottom w:val="nil"/>
              <w:right w:val="nil"/>
            </w:tcBorders>
            <w:vAlign w:val="center"/>
            <w:hideMark/>
          </w:tcPr>
          <w:p w14:paraId="76C36CB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3.426.393</w:t>
            </w:r>
          </w:p>
        </w:tc>
        <w:tc>
          <w:tcPr>
            <w:tcW w:w="906" w:type="dxa"/>
            <w:tcBorders>
              <w:top w:val="nil"/>
              <w:left w:val="nil"/>
              <w:bottom w:val="nil"/>
              <w:right w:val="nil"/>
            </w:tcBorders>
            <w:vAlign w:val="center"/>
            <w:hideMark/>
          </w:tcPr>
          <w:p w14:paraId="422F269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3.450.240</w:t>
            </w:r>
          </w:p>
        </w:tc>
        <w:tc>
          <w:tcPr>
            <w:tcW w:w="906" w:type="dxa"/>
            <w:tcBorders>
              <w:top w:val="nil"/>
              <w:left w:val="nil"/>
              <w:bottom w:val="nil"/>
              <w:right w:val="nil"/>
            </w:tcBorders>
            <w:vAlign w:val="center"/>
            <w:hideMark/>
          </w:tcPr>
          <w:p w14:paraId="25E73A0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3.770.852</w:t>
            </w:r>
          </w:p>
        </w:tc>
        <w:tc>
          <w:tcPr>
            <w:tcW w:w="906" w:type="dxa"/>
            <w:tcBorders>
              <w:top w:val="nil"/>
              <w:left w:val="nil"/>
              <w:bottom w:val="nil"/>
              <w:right w:val="nil"/>
            </w:tcBorders>
            <w:vAlign w:val="center"/>
            <w:hideMark/>
          </w:tcPr>
          <w:p w14:paraId="32AAF97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3.554.031</w:t>
            </w:r>
          </w:p>
        </w:tc>
        <w:tc>
          <w:tcPr>
            <w:tcW w:w="906" w:type="dxa"/>
            <w:tcBorders>
              <w:top w:val="nil"/>
              <w:left w:val="nil"/>
              <w:bottom w:val="nil"/>
              <w:right w:val="nil"/>
            </w:tcBorders>
            <w:vAlign w:val="center"/>
            <w:hideMark/>
          </w:tcPr>
          <w:p w14:paraId="6430FD8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3.517.234</w:t>
            </w:r>
          </w:p>
        </w:tc>
        <w:tc>
          <w:tcPr>
            <w:tcW w:w="906" w:type="dxa"/>
            <w:tcBorders>
              <w:top w:val="nil"/>
              <w:left w:val="nil"/>
              <w:bottom w:val="nil"/>
              <w:right w:val="nil"/>
            </w:tcBorders>
            <w:vAlign w:val="center"/>
            <w:hideMark/>
          </w:tcPr>
          <w:p w14:paraId="467C1AA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3.699.353</w:t>
            </w:r>
          </w:p>
        </w:tc>
        <w:tc>
          <w:tcPr>
            <w:tcW w:w="907" w:type="dxa"/>
            <w:tcBorders>
              <w:top w:val="nil"/>
              <w:left w:val="nil"/>
              <w:bottom w:val="nil"/>
              <w:right w:val="nil"/>
            </w:tcBorders>
            <w:vAlign w:val="center"/>
            <w:hideMark/>
          </w:tcPr>
          <w:p w14:paraId="22188D3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3.498.054</w:t>
            </w:r>
          </w:p>
        </w:tc>
      </w:tr>
      <w:tr w:rsidR="006F42E1" w:rsidRPr="006F42E1" w14:paraId="78A3D18E" w14:textId="77777777" w:rsidTr="43CF6635">
        <w:trPr>
          <w:trHeight w:val="222"/>
        </w:trPr>
        <w:tc>
          <w:tcPr>
            <w:tcW w:w="1780" w:type="dxa"/>
            <w:tcBorders>
              <w:top w:val="nil"/>
              <w:left w:val="nil"/>
              <w:bottom w:val="nil"/>
              <w:right w:val="nil"/>
            </w:tcBorders>
            <w:vAlign w:val="center"/>
            <w:hideMark/>
          </w:tcPr>
          <w:p w14:paraId="1E4593BB"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Pacajus</w:t>
            </w:r>
          </w:p>
        </w:tc>
        <w:tc>
          <w:tcPr>
            <w:tcW w:w="906" w:type="dxa"/>
            <w:tcBorders>
              <w:top w:val="nil"/>
              <w:left w:val="nil"/>
              <w:bottom w:val="nil"/>
              <w:right w:val="nil"/>
            </w:tcBorders>
            <w:vAlign w:val="center"/>
            <w:hideMark/>
          </w:tcPr>
          <w:p w14:paraId="6E413BC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119.449</w:t>
            </w:r>
          </w:p>
        </w:tc>
        <w:tc>
          <w:tcPr>
            <w:tcW w:w="906" w:type="dxa"/>
            <w:tcBorders>
              <w:top w:val="nil"/>
              <w:left w:val="nil"/>
              <w:bottom w:val="nil"/>
              <w:right w:val="nil"/>
            </w:tcBorders>
            <w:vAlign w:val="center"/>
            <w:hideMark/>
          </w:tcPr>
          <w:p w14:paraId="579E5E9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104.362</w:t>
            </w:r>
          </w:p>
        </w:tc>
        <w:tc>
          <w:tcPr>
            <w:tcW w:w="906" w:type="dxa"/>
            <w:tcBorders>
              <w:top w:val="nil"/>
              <w:left w:val="nil"/>
              <w:bottom w:val="nil"/>
              <w:right w:val="nil"/>
            </w:tcBorders>
            <w:vAlign w:val="center"/>
            <w:hideMark/>
          </w:tcPr>
          <w:p w14:paraId="71A07E7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107.251</w:t>
            </w:r>
          </w:p>
        </w:tc>
        <w:tc>
          <w:tcPr>
            <w:tcW w:w="906" w:type="dxa"/>
            <w:tcBorders>
              <w:top w:val="nil"/>
              <w:left w:val="nil"/>
              <w:bottom w:val="nil"/>
              <w:right w:val="nil"/>
            </w:tcBorders>
            <w:vAlign w:val="center"/>
            <w:hideMark/>
          </w:tcPr>
          <w:p w14:paraId="35211F8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133.082</w:t>
            </w:r>
          </w:p>
        </w:tc>
        <w:tc>
          <w:tcPr>
            <w:tcW w:w="906" w:type="dxa"/>
            <w:tcBorders>
              <w:top w:val="nil"/>
              <w:left w:val="nil"/>
              <w:bottom w:val="nil"/>
              <w:right w:val="nil"/>
            </w:tcBorders>
            <w:vAlign w:val="center"/>
            <w:hideMark/>
          </w:tcPr>
          <w:p w14:paraId="52C37F2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125.173</w:t>
            </w:r>
          </w:p>
        </w:tc>
        <w:tc>
          <w:tcPr>
            <w:tcW w:w="906" w:type="dxa"/>
            <w:tcBorders>
              <w:top w:val="nil"/>
              <w:left w:val="nil"/>
              <w:bottom w:val="nil"/>
              <w:right w:val="nil"/>
            </w:tcBorders>
            <w:vAlign w:val="center"/>
            <w:hideMark/>
          </w:tcPr>
          <w:p w14:paraId="30F1870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125.966</w:t>
            </w:r>
          </w:p>
        </w:tc>
        <w:tc>
          <w:tcPr>
            <w:tcW w:w="906" w:type="dxa"/>
            <w:tcBorders>
              <w:top w:val="nil"/>
              <w:left w:val="nil"/>
              <w:bottom w:val="nil"/>
              <w:right w:val="nil"/>
            </w:tcBorders>
            <w:vAlign w:val="center"/>
            <w:hideMark/>
          </w:tcPr>
          <w:p w14:paraId="3CD5260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93.300</w:t>
            </w:r>
          </w:p>
        </w:tc>
        <w:tc>
          <w:tcPr>
            <w:tcW w:w="907" w:type="dxa"/>
            <w:tcBorders>
              <w:top w:val="nil"/>
              <w:left w:val="nil"/>
              <w:bottom w:val="nil"/>
              <w:right w:val="nil"/>
            </w:tcBorders>
            <w:vAlign w:val="center"/>
            <w:hideMark/>
          </w:tcPr>
          <w:p w14:paraId="5820AD4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118.423</w:t>
            </w:r>
          </w:p>
        </w:tc>
      </w:tr>
      <w:tr w:rsidR="006F42E1" w:rsidRPr="006F42E1" w14:paraId="0F67E668" w14:textId="77777777" w:rsidTr="43CF6635">
        <w:trPr>
          <w:trHeight w:val="222"/>
        </w:trPr>
        <w:tc>
          <w:tcPr>
            <w:tcW w:w="1780" w:type="dxa"/>
            <w:tcBorders>
              <w:top w:val="nil"/>
              <w:left w:val="nil"/>
              <w:bottom w:val="nil"/>
              <w:right w:val="nil"/>
            </w:tcBorders>
            <w:vAlign w:val="center"/>
            <w:hideMark/>
          </w:tcPr>
          <w:p w14:paraId="3FAB3C35"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Sertão de Cratéus</w:t>
            </w:r>
          </w:p>
        </w:tc>
        <w:tc>
          <w:tcPr>
            <w:tcW w:w="906" w:type="dxa"/>
            <w:tcBorders>
              <w:top w:val="nil"/>
              <w:left w:val="nil"/>
              <w:bottom w:val="nil"/>
              <w:right w:val="nil"/>
            </w:tcBorders>
            <w:vAlign w:val="center"/>
            <w:hideMark/>
          </w:tcPr>
          <w:p w14:paraId="27318E6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245.599</w:t>
            </w:r>
          </w:p>
        </w:tc>
        <w:tc>
          <w:tcPr>
            <w:tcW w:w="906" w:type="dxa"/>
            <w:tcBorders>
              <w:top w:val="nil"/>
              <w:left w:val="nil"/>
              <w:bottom w:val="nil"/>
              <w:right w:val="nil"/>
            </w:tcBorders>
            <w:vAlign w:val="center"/>
            <w:hideMark/>
          </w:tcPr>
          <w:p w14:paraId="3330D46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249.846</w:t>
            </w:r>
          </w:p>
        </w:tc>
        <w:tc>
          <w:tcPr>
            <w:tcW w:w="906" w:type="dxa"/>
            <w:tcBorders>
              <w:top w:val="nil"/>
              <w:left w:val="nil"/>
              <w:bottom w:val="nil"/>
              <w:right w:val="nil"/>
            </w:tcBorders>
            <w:vAlign w:val="center"/>
            <w:hideMark/>
          </w:tcPr>
          <w:p w14:paraId="7350EB6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245.522</w:t>
            </w:r>
          </w:p>
        </w:tc>
        <w:tc>
          <w:tcPr>
            <w:tcW w:w="906" w:type="dxa"/>
            <w:tcBorders>
              <w:top w:val="nil"/>
              <w:left w:val="nil"/>
              <w:bottom w:val="nil"/>
              <w:right w:val="nil"/>
            </w:tcBorders>
            <w:vAlign w:val="center"/>
            <w:hideMark/>
          </w:tcPr>
          <w:p w14:paraId="0263978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253.246</w:t>
            </w:r>
          </w:p>
        </w:tc>
        <w:tc>
          <w:tcPr>
            <w:tcW w:w="906" w:type="dxa"/>
            <w:tcBorders>
              <w:top w:val="nil"/>
              <w:left w:val="nil"/>
              <w:bottom w:val="nil"/>
              <w:right w:val="nil"/>
            </w:tcBorders>
            <w:vAlign w:val="center"/>
            <w:hideMark/>
          </w:tcPr>
          <w:p w14:paraId="41B9BA7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233.833</w:t>
            </w:r>
          </w:p>
        </w:tc>
        <w:tc>
          <w:tcPr>
            <w:tcW w:w="906" w:type="dxa"/>
            <w:tcBorders>
              <w:top w:val="nil"/>
              <w:left w:val="nil"/>
              <w:bottom w:val="nil"/>
              <w:right w:val="nil"/>
            </w:tcBorders>
            <w:vAlign w:val="center"/>
            <w:hideMark/>
          </w:tcPr>
          <w:p w14:paraId="0D34251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231.110</w:t>
            </w:r>
          </w:p>
        </w:tc>
        <w:tc>
          <w:tcPr>
            <w:tcW w:w="906" w:type="dxa"/>
            <w:tcBorders>
              <w:top w:val="nil"/>
              <w:left w:val="nil"/>
              <w:bottom w:val="nil"/>
              <w:right w:val="nil"/>
            </w:tcBorders>
            <w:vAlign w:val="center"/>
            <w:hideMark/>
          </w:tcPr>
          <w:p w14:paraId="247F4EA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238.939</w:t>
            </w:r>
          </w:p>
        </w:tc>
        <w:tc>
          <w:tcPr>
            <w:tcW w:w="907" w:type="dxa"/>
            <w:tcBorders>
              <w:top w:val="nil"/>
              <w:left w:val="nil"/>
              <w:bottom w:val="nil"/>
              <w:right w:val="nil"/>
            </w:tcBorders>
            <w:vAlign w:val="center"/>
            <w:hideMark/>
          </w:tcPr>
          <w:p w14:paraId="42FA179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239.971</w:t>
            </w:r>
          </w:p>
        </w:tc>
      </w:tr>
      <w:tr w:rsidR="006F42E1" w:rsidRPr="006F42E1" w14:paraId="7C185E3C" w14:textId="77777777" w:rsidTr="43CF6635">
        <w:trPr>
          <w:trHeight w:val="222"/>
        </w:trPr>
        <w:tc>
          <w:tcPr>
            <w:tcW w:w="1780" w:type="dxa"/>
            <w:tcBorders>
              <w:top w:val="nil"/>
              <w:left w:val="nil"/>
              <w:bottom w:val="nil"/>
              <w:right w:val="nil"/>
            </w:tcBorders>
            <w:vAlign w:val="center"/>
            <w:hideMark/>
          </w:tcPr>
          <w:p w14:paraId="1FFEE280"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Sertão de Quixeramobim</w:t>
            </w:r>
          </w:p>
        </w:tc>
        <w:tc>
          <w:tcPr>
            <w:tcW w:w="906" w:type="dxa"/>
            <w:tcBorders>
              <w:top w:val="nil"/>
              <w:left w:val="nil"/>
              <w:bottom w:val="nil"/>
              <w:right w:val="nil"/>
            </w:tcBorders>
            <w:vAlign w:val="center"/>
            <w:hideMark/>
          </w:tcPr>
          <w:p w14:paraId="1043FD4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271.685</w:t>
            </w:r>
          </w:p>
        </w:tc>
        <w:tc>
          <w:tcPr>
            <w:tcW w:w="906" w:type="dxa"/>
            <w:tcBorders>
              <w:top w:val="nil"/>
              <w:left w:val="nil"/>
              <w:bottom w:val="nil"/>
              <w:right w:val="nil"/>
            </w:tcBorders>
            <w:vAlign w:val="center"/>
            <w:hideMark/>
          </w:tcPr>
          <w:p w14:paraId="1B57554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258.867</w:t>
            </w:r>
          </w:p>
        </w:tc>
        <w:tc>
          <w:tcPr>
            <w:tcW w:w="906" w:type="dxa"/>
            <w:tcBorders>
              <w:top w:val="nil"/>
              <w:left w:val="nil"/>
              <w:bottom w:val="nil"/>
              <w:right w:val="nil"/>
            </w:tcBorders>
            <w:vAlign w:val="center"/>
            <w:hideMark/>
          </w:tcPr>
          <w:p w14:paraId="006FFE4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256.038</w:t>
            </w:r>
          </w:p>
        </w:tc>
        <w:tc>
          <w:tcPr>
            <w:tcW w:w="906" w:type="dxa"/>
            <w:tcBorders>
              <w:top w:val="nil"/>
              <w:left w:val="nil"/>
              <w:bottom w:val="nil"/>
              <w:right w:val="nil"/>
            </w:tcBorders>
            <w:vAlign w:val="center"/>
            <w:hideMark/>
          </w:tcPr>
          <w:p w14:paraId="637BCAE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266.513</w:t>
            </w:r>
          </w:p>
        </w:tc>
        <w:tc>
          <w:tcPr>
            <w:tcW w:w="906" w:type="dxa"/>
            <w:tcBorders>
              <w:top w:val="nil"/>
              <w:left w:val="nil"/>
              <w:bottom w:val="nil"/>
              <w:right w:val="nil"/>
            </w:tcBorders>
            <w:vAlign w:val="center"/>
            <w:hideMark/>
          </w:tcPr>
          <w:p w14:paraId="1F24E91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246.138</w:t>
            </w:r>
          </w:p>
        </w:tc>
        <w:tc>
          <w:tcPr>
            <w:tcW w:w="906" w:type="dxa"/>
            <w:tcBorders>
              <w:top w:val="nil"/>
              <w:left w:val="nil"/>
              <w:bottom w:val="nil"/>
              <w:right w:val="nil"/>
            </w:tcBorders>
            <w:vAlign w:val="center"/>
            <w:hideMark/>
          </w:tcPr>
          <w:p w14:paraId="660E505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241.977</w:t>
            </w:r>
          </w:p>
        </w:tc>
        <w:tc>
          <w:tcPr>
            <w:tcW w:w="906" w:type="dxa"/>
            <w:tcBorders>
              <w:top w:val="nil"/>
              <w:left w:val="nil"/>
              <w:bottom w:val="nil"/>
              <w:right w:val="nil"/>
            </w:tcBorders>
            <w:vAlign w:val="center"/>
            <w:hideMark/>
          </w:tcPr>
          <w:p w14:paraId="4E2C527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246.184</w:t>
            </w:r>
          </w:p>
        </w:tc>
        <w:tc>
          <w:tcPr>
            <w:tcW w:w="907" w:type="dxa"/>
            <w:tcBorders>
              <w:top w:val="nil"/>
              <w:left w:val="nil"/>
              <w:bottom w:val="nil"/>
              <w:right w:val="nil"/>
            </w:tcBorders>
            <w:vAlign w:val="center"/>
            <w:hideMark/>
          </w:tcPr>
          <w:p w14:paraId="1565C3E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248.652</w:t>
            </w:r>
          </w:p>
        </w:tc>
      </w:tr>
      <w:tr w:rsidR="006F42E1" w:rsidRPr="006F42E1" w14:paraId="301CB0B2" w14:textId="77777777" w:rsidTr="43CF6635">
        <w:trPr>
          <w:trHeight w:val="222"/>
        </w:trPr>
        <w:tc>
          <w:tcPr>
            <w:tcW w:w="1780" w:type="dxa"/>
            <w:tcBorders>
              <w:top w:val="nil"/>
              <w:left w:val="nil"/>
              <w:bottom w:val="nil"/>
              <w:right w:val="nil"/>
            </w:tcBorders>
            <w:vAlign w:val="center"/>
            <w:hideMark/>
          </w:tcPr>
          <w:p w14:paraId="4DE41949"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Sertão de Inhamuns</w:t>
            </w:r>
          </w:p>
        </w:tc>
        <w:tc>
          <w:tcPr>
            <w:tcW w:w="906" w:type="dxa"/>
            <w:tcBorders>
              <w:top w:val="nil"/>
              <w:left w:val="nil"/>
              <w:bottom w:val="nil"/>
              <w:right w:val="nil"/>
            </w:tcBorders>
            <w:vAlign w:val="center"/>
            <w:hideMark/>
          </w:tcPr>
          <w:p w14:paraId="42AAD82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148.330</w:t>
            </w:r>
          </w:p>
        </w:tc>
        <w:tc>
          <w:tcPr>
            <w:tcW w:w="906" w:type="dxa"/>
            <w:tcBorders>
              <w:top w:val="nil"/>
              <w:left w:val="nil"/>
              <w:bottom w:val="nil"/>
              <w:right w:val="nil"/>
            </w:tcBorders>
            <w:vAlign w:val="center"/>
            <w:hideMark/>
          </w:tcPr>
          <w:p w14:paraId="2F33AA8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150.695</w:t>
            </w:r>
          </w:p>
        </w:tc>
        <w:tc>
          <w:tcPr>
            <w:tcW w:w="906" w:type="dxa"/>
            <w:tcBorders>
              <w:top w:val="nil"/>
              <w:left w:val="nil"/>
              <w:bottom w:val="nil"/>
              <w:right w:val="nil"/>
            </w:tcBorders>
            <w:vAlign w:val="center"/>
            <w:hideMark/>
          </w:tcPr>
          <w:p w14:paraId="6C21229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148.748</w:t>
            </w:r>
          </w:p>
        </w:tc>
        <w:tc>
          <w:tcPr>
            <w:tcW w:w="906" w:type="dxa"/>
            <w:tcBorders>
              <w:top w:val="nil"/>
              <w:left w:val="nil"/>
              <w:bottom w:val="nil"/>
              <w:right w:val="nil"/>
            </w:tcBorders>
            <w:vAlign w:val="center"/>
            <w:hideMark/>
          </w:tcPr>
          <w:p w14:paraId="4E3964E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154.336</w:t>
            </w:r>
          </w:p>
        </w:tc>
        <w:tc>
          <w:tcPr>
            <w:tcW w:w="906" w:type="dxa"/>
            <w:tcBorders>
              <w:top w:val="nil"/>
              <w:left w:val="nil"/>
              <w:bottom w:val="nil"/>
              <w:right w:val="nil"/>
            </w:tcBorders>
            <w:vAlign w:val="center"/>
            <w:hideMark/>
          </w:tcPr>
          <w:p w14:paraId="0AE1E96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142.119</w:t>
            </w:r>
          </w:p>
        </w:tc>
        <w:tc>
          <w:tcPr>
            <w:tcW w:w="906" w:type="dxa"/>
            <w:tcBorders>
              <w:top w:val="nil"/>
              <w:left w:val="nil"/>
              <w:bottom w:val="nil"/>
              <w:right w:val="nil"/>
            </w:tcBorders>
            <w:vAlign w:val="center"/>
            <w:hideMark/>
          </w:tcPr>
          <w:p w14:paraId="17C33629"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138.090</w:t>
            </w:r>
          </w:p>
        </w:tc>
        <w:tc>
          <w:tcPr>
            <w:tcW w:w="906" w:type="dxa"/>
            <w:tcBorders>
              <w:top w:val="nil"/>
              <w:left w:val="nil"/>
              <w:bottom w:val="nil"/>
              <w:right w:val="nil"/>
            </w:tcBorders>
            <w:vAlign w:val="center"/>
            <w:hideMark/>
          </w:tcPr>
          <w:p w14:paraId="3701896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144.717</w:t>
            </w:r>
          </w:p>
        </w:tc>
        <w:tc>
          <w:tcPr>
            <w:tcW w:w="907" w:type="dxa"/>
            <w:tcBorders>
              <w:top w:val="nil"/>
              <w:left w:val="nil"/>
              <w:bottom w:val="nil"/>
              <w:right w:val="nil"/>
            </w:tcBorders>
            <w:vAlign w:val="center"/>
            <w:hideMark/>
          </w:tcPr>
          <w:p w14:paraId="51010B5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145.011</w:t>
            </w:r>
          </w:p>
        </w:tc>
      </w:tr>
      <w:tr w:rsidR="006F42E1" w:rsidRPr="006F42E1" w14:paraId="47EF90FB" w14:textId="77777777" w:rsidTr="43CF6635">
        <w:trPr>
          <w:trHeight w:val="222"/>
        </w:trPr>
        <w:tc>
          <w:tcPr>
            <w:tcW w:w="1780" w:type="dxa"/>
            <w:tcBorders>
              <w:top w:val="nil"/>
              <w:left w:val="nil"/>
              <w:bottom w:val="nil"/>
              <w:right w:val="nil"/>
            </w:tcBorders>
            <w:vAlign w:val="center"/>
            <w:hideMark/>
          </w:tcPr>
          <w:p w14:paraId="57B356F5"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Sertão de Senador Pompeu</w:t>
            </w:r>
          </w:p>
        </w:tc>
        <w:tc>
          <w:tcPr>
            <w:tcW w:w="906" w:type="dxa"/>
            <w:tcBorders>
              <w:top w:val="nil"/>
              <w:left w:val="nil"/>
              <w:bottom w:val="nil"/>
              <w:right w:val="nil"/>
            </w:tcBorders>
            <w:vAlign w:val="center"/>
            <w:hideMark/>
          </w:tcPr>
          <w:p w14:paraId="161BDAF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221.905</w:t>
            </w:r>
          </w:p>
        </w:tc>
        <w:tc>
          <w:tcPr>
            <w:tcW w:w="906" w:type="dxa"/>
            <w:tcBorders>
              <w:top w:val="nil"/>
              <w:left w:val="nil"/>
              <w:bottom w:val="nil"/>
              <w:right w:val="nil"/>
            </w:tcBorders>
            <w:vAlign w:val="center"/>
            <w:hideMark/>
          </w:tcPr>
          <w:p w14:paraId="45ACB13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218.007</w:t>
            </w:r>
          </w:p>
        </w:tc>
        <w:tc>
          <w:tcPr>
            <w:tcW w:w="906" w:type="dxa"/>
            <w:tcBorders>
              <w:top w:val="nil"/>
              <w:left w:val="nil"/>
              <w:bottom w:val="nil"/>
              <w:right w:val="nil"/>
            </w:tcBorders>
            <w:vAlign w:val="center"/>
            <w:hideMark/>
          </w:tcPr>
          <w:p w14:paraId="0D166EC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213.301</w:t>
            </w:r>
          </w:p>
        </w:tc>
        <w:tc>
          <w:tcPr>
            <w:tcW w:w="906" w:type="dxa"/>
            <w:tcBorders>
              <w:top w:val="nil"/>
              <w:left w:val="nil"/>
              <w:bottom w:val="nil"/>
              <w:right w:val="nil"/>
            </w:tcBorders>
            <w:vAlign w:val="center"/>
            <w:hideMark/>
          </w:tcPr>
          <w:p w14:paraId="30A3C6A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219.073</w:t>
            </w:r>
          </w:p>
        </w:tc>
        <w:tc>
          <w:tcPr>
            <w:tcW w:w="906" w:type="dxa"/>
            <w:tcBorders>
              <w:top w:val="nil"/>
              <w:left w:val="nil"/>
              <w:bottom w:val="nil"/>
              <w:right w:val="nil"/>
            </w:tcBorders>
            <w:vAlign w:val="center"/>
            <w:hideMark/>
          </w:tcPr>
          <w:p w14:paraId="16095ED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202.162</w:t>
            </w:r>
          </w:p>
        </w:tc>
        <w:tc>
          <w:tcPr>
            <w:tcW w:w="906" w:type="dxa"/>
            <w:tcBorders>
              <w:top w:val="nil"/>
              <w:left w:val="nil"/>
              <w:bottom w:val="nil"/>
              <w:right w:val="nil"/>
            </w:tcBorders>
            <w:vAlign w:val="center"/>
            <w:hideMark/>
          </w:tcPr>
          <w:p w14:paraId="008769D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188.766</w:t>
            </w:r>
          </w:p>
        </w:tc>
        <w:tc>
          <w:tcPr>
            <w:tcW w:w="906" w:type="dxa"/>
            <w:tcBorders>
              <w:top w:val="nil"/>
              <w:left w:val="nil"/>
              <w:bottom w:val="nil"/>
              <w:right w:val="nil"/>
            </w:tcBorders>
            <w:vAlign w:val="center"/>
            <w:hideMark/>
          </w:tcPr>
          <w:p w14:paraId="65F3545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204.732</w:t>
            </w:r>
          </w:p>
        </w:tc>
        <w:tc>
          <w:tcPr>
            <w:tcW w:w="907" w:type="dxa"/>
            <w:tcBorders>
              <w:top w:val="nil"/>
              <w:left w:val="nil"/>
              <w:bottom w:val="nil"/>
              <w:right w:val="nil"/>
            </w:tcBorders>
            <w:vAlign w:val="center"/>
            <w:hideMark/>
          </w:tcPr>
          <w:p w14:paraId="42F83AA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207.594</w:t>
            </w:r>
          </w:p>
        </w:tc>
      </w:tr>
      <w:tr w:rsidR="006F42E1" w:rsidRPr="006F42E1" w14:paraId="6E0EFE99" w14:textId="77777777" w:rsidTr="43CF6635">
        <w:trPr>
          <w:trHeight w:val="222"/>
        </w:trPr>
        <w:tc>
          <w:tcPr>
            <w:tcW w:w="1780" w:type="dxa"/>
            <w:tcBorders>
              <w:top w:val="nil"/>
              <w:left w:val="nil"/>
              <w:bottom w:val="nil"/>
              <w:right w:val="nil"/>
            </w:tcBorders>
            <w:vAlign w:val="center"/>
            <w:hideMark/>
          </w:tcPr>
          <w:p w14:paraId="4C99C560"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Litoral de Aracati</w:t>
            </w:r>
          </w:p>
        </w:tc>
        <w:tc>
          <w:tcPr>
            <w:tcW w:w="906" w:type="dxa"/>
            <w:tcBorders>
              <w:top w:val="nil"/>
              <w:left w:val="nil"/>
              <w:bottom w:val="nil"/>
              <w:right w:val="nil"/>
            </w:tcBorders>
            <w:vAlign w:val="center"/>
            <w:hideMark/>
          </w:tcPr>
          <w:p w14:paraId="4235C5B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111.873</w:t>
            </w:r>
          </w:p>
        </w:tc>
        <w:tc>
          <w:tcPr>
            <w:tcW w:w="906" w:type="dxa"/>
            <w:tcBorders>
              <w:top w:val="nil"/>
              <w:left w:val="nil"/>
              <w:bottom w:val="nil"/>
              <w:right w:val="nil"/>
            </w:tcBorders>
            <w:vAlign w:val="center"/>
            <w:hideMark/>
          </w:tcPr>
          <w:p w14:paraId="23EE24F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113.000</w:t>
            </w:r>
          </w:p>
        </w:tc>
        <w:tc>
          <w:tcPr>
            <w:tcW w:w="906" w:type="dxa"/>
            <w:tcBorders>
              <w:top w:val="nil"/>
              <w:left w:val="nil"/>
              <w:bottom w:val="nil"/>
              <w:right w:val="nil"/>
            </w:tcBorders>
            <w:vAlign w:val="center"/>
            <w:hideMark/>
          </w:tcPr>
          <w:p w14:paraId="020DEA4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113.362</w:t>
            </w:r>
          </w:p>
        </w:tc>
        <w:tc>
          <w:tcPr>
            <w:tcW w:w="906" w:type="dxa"/>
            <w:tcBorders>
              <w:top w:val="nil"/>
              <w:left w:val="nil"/>
              <w:bottom w:val="nil"/>
              <w:right w:val="nil"/>
            </w:tcBorders>
            <w:vAlign w:val="center"/>
            <w:hideMark/>
          </w:tcPr>
          <w:p w14:paraId="6AE0B27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122.210</w:t>
            </w:r>
          </w:p>
        </w:tc>
        <w:tc>
          <w:tcPr>
            <w:tcW w:w="906" w:type="dxa"/>
            <w:tcBorders>
              <w:top w:val="nil"/>
              <w:left w:val="nil"/>
              <w:bottom w:val="nil"/>
              <w:right w:val="nil"/>
            </w:tcBorders>
            <w:vAlign w:val="center"/>
            <w:hideMark/>
          </w:tcPr>
          <w:p w14:paraId="492BDD9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112.325</w:t>
            </w:r>
          </w:p>
        </w:tc>
        <w:tc>
          <w:tcPr>
            <w:tcW w:w="906" w:type="dxa"/>
            <w:tcBorders>
              <w:top w:val="nil"/>
              <w:left w:val="nil"/>
              <w:bottom w:val="nil"/>
              <w:right w:val="nil"/>
            </w:tcBorders>
            <w:vAlign w:val="center"/>
            <w:hideMark/>
          </w:tcPr>
          <w:p w14:paraId="32E1EB8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108.694</w:t>
            </w:r>
          </w:p>
        </w:tc>
        <w:tc>
          <w:tcPr>
            <w:tcW w:w="906" w:type="dxa"/>
            <w:tcBorders>
              <w:top w:val="nil"/>
              <w:left w:val="nil"/>
              <w:bottom w:val="nil"/>
              <w:right w:val="nil"/>
            </w:tcBorders>
            <w:vAlign w:val="center"/>
            <w:hideMark/>
          </w:tcPr>
          <w:p w14:paraId="2014D6C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110.598</w:t>
            </w:r>
          </w:p>
        </w:tc>
        <w:tc>
          <w:tcPr>
            <w:tcW w:w="907" w:type="dxa"/>
            <w:tcBorders>
              <w:top w:val="nil"/>
              <w:left w:val="nil"/>
              <w:bottom w:val="nil"/>
              <w:right w:val="nil"/>
            </w:tcBorders>
            <w:vAlign w:val="center"/>
            <w:hideMark/>
          </w:tcPr>
          <w:p w14:paraId="5A7FA5F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113.560</w:t>
            </w:r>
          </w:p>
        </w:tc>
      </w:tr>
      <w:tr w:rsidR="006F42E1" w:rsidRPr="006F42E1" w14:paraId="53695D74" w14:textId="77777777" w:rsidTr="43CF6635">
        <w:trPr>
          <w:trHeight w:val="222"/>
        </w:trPr>
        <w:tc>
          <w:tcPr>
            <w:tcW w:w="1780" w:type="dxa"/>
            <w:tcBorders>
              <w:top w:val="nil"/>
              <w:left w:val="nil"/>
              <w:bottom w:val="nil"/>
              <w:right w:val="nil"/>
            </w:tcBorders>
            <w:vAlign w:val="center"/>
            <w:hideMark/>
          </w:tcPr>
          <w:p w14:paraId="504A15D0"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Baixo Jaguaribe</w:t>
            </w:r>
          </w:p>
        </w:tc>
        <w:tc>
          <w:tcPr>
            <w:tcW w:w="906" w:type="dxa"/>
            <w:tcBorders>
              <w:top w:val="nil"/>
              <w:left w:val="nil"/>
              <w:bottom w:val="nil"/>
              <w:right w:val="nil"/>
            </w:tcBorders>
            <w:vAlign w:val="center"/>
            <w:hideMark/>
          </w:tcPr>
          <w:p w14:paraId="4533AB7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319.684</w:t>
            </w:r>
          </w:p>
        </w:tc>
        <w:tc>
          <w:tcPr>
            <w:tcW w:w="906" w:type="dxa"/>
            <w:tcBorders>
              <w:top w:val="nil"/>
              <w:left w:val="nil"/>
              <w:bottom w:val="nil"/>
              <w:right w:val="nil"/>
            </w:tcBorders>
            <w:vAlign w:val="center"/>
            <w:hideMark/>
          </w:tcPr>
          <w:p w14:paraId="6A47064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328.569</w:t>
            </w:r>
          </w:p>
        </w:tc>
        <w:tc>
          <w:tcPr>
            <w:tcW w:w="906" w:type="dxa"/>
            <w:tcBorders>
              <w:top w:val="nil"/>
              <w:left w:val="nil"/>
              <w:bottom w:val="nil"/>
              <w:right w:val="nil"/>
            </w:tcBorders>
            <w:vAlign w:val="center"/>
            <w:hideMark/>
          </w:tcPr>
          <w:p w14:paraId="41C95F4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327.755</w:t>
            </w:r>
          </w:p>
        </w:tc>
        <w:tc>
          <w:tcPr>
            <w:tcW w:w="906" w:type="dxa"/>
            <w:tcBorders>
              <w:top w:val="nil"/>
              <w:left w:val="nil"/>
              <w:bottom w:val="nil"/>
              <w:right w:val="nil"/>
            </w:tcBorders>
            <w:vAlign w:val="center"/>
            <w:hideMark/>
          </w:tcPr>
          <w:p w14:paraId="655A416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347.408</w:t>
            </w:r>
          </w:p>
        </w:tc>
        <w:tc>
          <w:tcPr>
            <w:tcW w:w="906" w:type="dxa"/>
            <w:tcBorders>
              <w:top w:val="nil"/>
              <w:left w:val="nil"/>
              <w:bottom w:val="nil"/>
              <w:right w:val="nil"/>
            </w:tcBorders>
            <w:vAlign w:val="center"/>
            <w:hideMark/>
          </w:tcPr>
          <w:p w14:paraId="528BCEE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321.515</w:t>
            </w:r>
          </w:p>
        </w:tc>
        <w:tc>
          <w:tcPr>
            <w:tcW w:w="906" w:type="dxa"/>
            <w:tcBorders>
              <w:top w:val="nil"/>
              <w:left w:val="nil"/>
              <w:bottom w:val="nil"/>
              <w:right w:val="nil"/>
            </w:tcBorders>
            <w:vAlign w:val="center"/>
            <w:hideMark/>
          </w:tcPr>
          <w:p w14:paraId="588C6BF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343.115</w:t>
            </w:r>
          </w:p>
        </w:tc>
        <w:tc>
          <w:tcPr>
            <w:tcW w:w="906" w:type="dxa"/>
            <w:tcBorders>
              <w:top w:val="nil"/>
              <w:left w:val="nil"/>
              <w:bottom w:val="nil"/>
              <w:right w:val="nil"/>
            </w:tcBorders>
            <w:vAlign w:val="center"/>
            <w:hideMark/>
          </w:tcPr>
          <w:p w14:paraId="1E1802C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317.611</w:t>
            </w:r>
          </w:p>
        </w:tc>
        <w:tc>
          <w:tcPr>
            <w:tcW w:w="907" w:type="dxa"/>
            <w:tcBorders>
              <w:top w:val="nil"/>
              <w:left w:val="nil"/>
              <w:bottom w:val="nil"/>
              <w:right w:val="nil"/>
            </w:tcBorders>
            <w:vAlign w:val="center"/>
            <w:hideMark/>
          </w:tcPr>
          <w:p w14:paraId="1A308BA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325.105</w:t>
            </w:r>
          </w:p>
        </w:tc>
      </w:tr>
      <w:tr w:rsidR="006F42E1" w:rsidRPr="006F42E1" w14:paraId="50537401" w14:textId="77777777" w:rsidTr="43CF6635">
        <w:trPr>
          <w:trHeight w:val="222"/>
        </w:trPr>
        <w:tc>
          <w:tcPr>
            <w:tcW w:w="1780" w:type="dxa"/>
            <w:tcBorders>
              <w:top w:val="nil"/>
              <w:left w:val="nil"/>
              <w:bottom w:val="nil"/>
              <w:right w:val="nil"/>
            </w:tcBorders>
            <w:vAlign w:val="center"/>
            <w:hideMark/>
          </w:tcPr>
          <w:p w14:paraId="0C330D4D"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Médio Jaguaribe</w:t>
            </w:r>
          </w:p>
        </w:tc>
        <w:tc>
          <w:tcPr>
            <w:tcW w:w="906" w:type="dxa"/>
            <w:tcBorders>
              <w:top w:val="nil"/>
              <w:left w:val="nil"/>
              <w:bottom w:val="nil"/>
              <w:right w:val="nil"/>
            </w:tcBorders>
            <w:vAlign w:val="center"/>
            <w:hideMark/>
          </w:tcPr>
          <w:p w14:paraId="1D91F48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63.939</w:t>
            </w:r>
          </w:p>
        </w:tc>
        <w:tc>
          <w:tcPr>
            <w:tcW w:w="906" w:type="dxa"/>
            <w:tcBorders>
              <w:top w:val="nil"/>
              <w:left w:val="nil"/>
              <w:bottom w:val="nil"/>
              <w:right w:val="nil"/>
            </w:tcBorders>
            <w:vAlign w:val="center"/>
            <w:hideMark/>
          </w:tcPr>
          <w:p w14:paraId="035DAED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67.701</w:t>
            </w:r>
          </w:p>
        </w:tc>
        <w:tc>
          <w:tcPr>
            <w:tcW w:w="906" w:type="dxa"/>
            <w:tcBorders>
              <w:top w:val="nil"/>
              <w:left w:val="nil"/>
              <w:bottom w:val="nil"/>
              <w:right w:val="nil"/>
            </w:tcBorders>
            <w:vAlign w:val="center"/>
            <w:hideMark/>
          </w:tcPr>
          <w:p w14:paraId="3C08330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66.880</w:t>
            </w:r>
          </w:p>
        </w:tc>
        <w:tc>
          <w:tcPr>
            <w:tcW w:w="906" w:type="dxa"/>
            <w:tcBorders>
              <w:top w:val="nil"/>
              <w:left w:val="nil"/>
              <w:bottom w:val="nil"/>
              <w:right w:val="nil"/>
            </w:tcBorders>
            <w:vAlign w:val="center"/>
            <w:hideMark/>
          </w:tcPr>
          <w:p w14:paraId="2199BE9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69.480</w:t>
            </w:r>
          </w:p>
        </w:tc>
        <w:tc>
          <w:tcPr>
            <w:tcW w:w="906" w:type="dxa"/>
            <w:tcBorders>
              <w:top w:val="nil"/>
              <w:left w:val="nil"/>
              <w:bottom w:val="nil"/>
              <w:right w:val="nil"/>
            </w:tcBorders>
            <w:vAlign w:val="center"/>
            <w:hideMark/>
          </w:tcPr>
          <w:p w14:paraId="2230E7F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63.969</w:t>
            </w:r>
          </w:p>
        </w:tc>
        <w:tc>
          <w:tcPr>
            <w:tcW w:w="906" w:type="dxa"/>
            <w:tcBorders>
              <w:top w:val="nil"/>
              <w:left w:val="nil"/>
              <w:bottom w:val="nil"/>
              <w:right w:val="nil"/>
            </w:tcBorders>
            <w:vAlign w:val="center"/>
            <w:hideMark/>
          </w:tcPr>
          <w:p w14:paraId="4940C5E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63.652</w:t>
            </w:r>
          </w:p>
        </w:tc>
        <w:tc>
          <w:tcPr>
            <w:tcW w:w="906" w:type="dxa"/>
            <w:tcBorders>
              <w:top w:val="nil"/>
              <w:left w:val="nil"/>
              <w:bottom w:val="nil"/>
              <w:right w:val="nil"/>
            </w:tcBorders>
            <w:vAlign w:val="center"/>
            <w:hideMark/>
          </w:tcPr>
          <w:p w14:paraId="54F5057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65.791</w:t>
            </w:r>
          </w:p>
        </w:tc>
        <w:tc>
          <w:tcPr>
            <w:tcW w:w="907" w:type="dxa"/>
            <w:tcBorders>
              <w:top w:val="nil"/>
              <w:left w:val="nil"/>
              <w:bottom w:val="nil"/>
              <w:right w:val="nil"/>
            </w:tcBorders>
            <w:vAlign w:val="center"/>
            <w:hideMark/>
          </w:tcPr>
          <w:p w14:paraId="56DF51D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65.142</w:t>
            </w:r>
          </w:p>
        </w:tc>
      </w:tr>
      <w:tr w:rsidR="006F42E1" w:rsidRPr="006F42E1" w14:paraId="045C0972" w14:textId="77777777" w:rsidTr="43CF6635">
        <w:trPr>
          <w:trHeight w:val="222"/>
        </w:trPr>
        <w:tc>
          <w:tcPr>
            <w:tcW w:w="1780" w:type="dxa"/>
            <w:tcBorders>
              <w:top w:val="nil"/>
              <w:left w:val="nil"/>
              <w:bottom w:val="nil"/>
              <w:right w:val="nil"/>
            </w:tcBorders>
            <w:vAlign w:val="center"/>
            <w:hideMark/>
          </w:tcPr>
          <w:p w14:paraId="2C962E78"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Serra do Pereiro</w:t>
            </w:r>
          </w:p>
        </w:tc>
        <w:tc>
          <w:tcPr>
            <w:tcW w:w="906" w:type="dxa"/>
            <w:tcBorders>
              <w:top w:val="nil"/>
              <w:left w:val="nil"/>
              <w:bottom w:val="nil"/>
              <w:right w:val="nil"/>
            </w:tcBorders>
            <w:vAlign w:val="center"/>
            <w:hideMark/>
          </w:tcPr>
          <w:p w14:paraId="18817ED9"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43.305</w:t>
            </w:r>
          </w:p>
        </w:tc>
        <w:tc>
          <w:tcPr>
            <w:tcW w:w="906" w:type="dxa"/>
            <w:tcBorders>
              <w:top w:val="nil"/>
              <w:left w:val="nil"/>
              <w:bottom w:val="nil"/>
              <w:right w:val="nil"/>
            </w:tcBorders>
            <w:vAlign w:val="center"/>
            <w:hideMark/>
          </w:tcPr>
          <w:p w14:paraId="3AEC08B9"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41.537</w:t>
            </w:r>
          </w:p>
        </w:tc>
        <w:tc>
          <w:tcPr>
            <w:tcW w:w="906" w:type="dxa"/>
            <w:tcBorders>
              <w:top w:val="nil"/>
              <w:left w:val="nil"/>
              <w:bottom w:val="nil"/>
              <w:right w:val="nil"/>
            </w:tcBorders>
            <w:vAlign w:val="center"/>
            <w:hideMark/>
          </w:tcPr>
          <w:p w14:paraId="0C177C6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40.427</w:t>
            </w:r>
          </w:p>
        </w:tc>
        <w:tc>
          <w:tcPr>
            <w:tcW w:w="906" w:type="dxa"/>
            <w:tcBorders>
              <w:top w:val="nil"/>
              <w:left w:val="nil"/>
              <w:bottom w:val="nil"/>
              <w:right w:val="nil"/>
            </w:tcBorders>
            <w:vAlign w:val="center"/>
            <w:hideMark/>
          </w:tcPr>
          <w:p w14:paraId="7C0C0AB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41.379</w:t>
            </w:r>
          </w:p>
        </w:tc>
        <w:tc>
          <w:tcPr>
            <w:tcW w:w="906" w:type="dxa"/>
            <w:tcBorders>
              <w:top w:val="nil"/>
              <w:left w:val="nil"/>
              <w:bottom w:val="nil"/>
              <w:right w:val="nil"/>
            </w:tcBorders>
            <w:vAlign w:val="center"/>
            <w:hideMark/>
          </w:tcPr>
          <w:p w14:paraId="7503775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38.812</w:t>
            </w:r>
          </w:p>
        </w:tc>
        <w:tc>
          <w:tcPr>
            <w:tcW w:w="906" w:type="dxa"/>
            <w:tcBorders>
              <w:top w:val="nil"/>
              <w:left w:val="nil"/>
              <w:bottom w:val="nil"/>
              <w:right w:val="nil"/>
            </w:tcBorders>
            <w:vAlign w:val="center"/>
            <w:hideMark/>
          </w:tcPr>
          <w:p w14:paraId="2105A69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38.027</w:t>
            </w:r>
          </w:p>
        </w:tc>
        <w:tc>
          <w:tcPr>
            <w:tcW w:w="906" w:type="dxa"/>
            <w:tcBorders>
              <w:top w:val="nil"/>
              <w:left w:val="nil"/>
              <w:bottom w:val="nil"/>
              <w:right w:val="nil"/>
            </w:tcBorders>
            <w:vAlign w:val="center"/>
            <w:hideMark/>
          </w:tcPr>
          <w:p w14:paraId="70D39C1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39.332</w:t>
            </w:r>
          </w:p>
        </w:tc>
        <w:tc>
          <w:tcPr>
            <w:tcW w:w="907" w:type="dxa"/>
            <w:tcBorders>
              <w:top w:val="nil"/>
              <w:left w:val="nil"/>
              <w:bottom w:val="nil"/>
              <w:right w:val="nil"/>
            </w:tcBorders>
            <w:vAlign w:val="center"/>
            <w:hideMark/>
          </w:tcPr>
          <w:p w14:paraId="0117AD3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39.428</w:t>
            </w:r>
          </w:p>
        </w:tc>
      </w:tr>
      <w:tr w:rsidR="006F42E1" w:rsidRPr="006F42E1" w14:paraId="1BB5D4B2" w14:textId="77777777" w:rsidTr="43CF6635">
        <w:trPr>
          <w:trHeight w:val="222"/>
        </w:trPr>
        <w:tc>
          <w:tcPr>
            <w:tcW w:w="1780" w:type="dxa"/>
            <w:tcBorders>
              <w:top w:val="nil"/>
              <w:left w:val="nil"/>
              <w:bottom w:val="nil"/>
              <w:right w:val="nil"/>
            </w:tcBorders>
            <w:vAlign w:val="center"/>
            <w:hideMark/>
          </w:tcPr>
          <w:p w14:paraId="59E30952"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Iguatu</w:t>
            </w:r>
          </w:p>
        </w:tc>
        <w:tc>
          <w:tcPr>
            <w:tcW w:w="906" w:type="dxa"/>
            <w:tcBorders>
              <w:top w:val="nil"/>
              <w:left w:val="nil"/>
              <w:bottom w:val="nil"/>
              <w:right w:val="nil"/>
            </w:tcBorders>
            <w:vAlign w:val="center"/>
            <w:hideMark/>
          </w:tcPr>
          <w:p w14:paraId="75E968E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227.347</w:t>
            </w:r>
          </w:p>
        </w:tc>
        <w:tc>
          <w:tcPr>
            <w:tcW w:w="906" w:type="dxa"/>
            <w:tcBorders>
              <w:top w:val="nil"/>
              <w:left w:val="nil"/>
              <w:bottom w:val="nil"/>
              <w:right w:val="nil"/>
            </w:tcBorders>
            <w:vAlign w:val="center"/>
            <w:hideMark/>
          </w:tcPr>
          <w:p w14:paraId="16699BB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228.667</w:t>
            </w:r>
          </w:p>
        </w:tc>
        <w:tc>
          <w:tcPr>
            <w:tcW w:w="906" w:type="dxa"/>
            <w:tcBorders>
              <w:top w:val="nil"/>
              <w:left w:val="nil"/>
              <w:bottom w:val="nil"/>
              <w:right w:val="nil"/>
            </w:tcBorders>
            <w:vAlign w:val="center"/>
            <w:hideMark/>
          </w:tcPr>
          <w:p w14:paraId="6C88826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225.675</w:t>
            </w:r>
          </w:p>
        </w:tc>
        <w:tc>
          <w:tcPr>
            <w:tcW w:w="906" w:type="dxa"/>
            <w:tcBorders>
              <w:top w:val="nil"/>
              <w:left w:val="nil"/>
              <w:bottom w:val="nil"/>
              <w:right w:val="nil"/>
            </w:tcBorders>
            <w:vAlign w:val="center"/>
            <w:hideMark/>
          </w:tcPr>
          <w:p w14:paraId="4BFF234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234.093</w:t>
            </w:r>
          </w:p>
        </w:tc>
        <w:tc>
          <w:tcPr>
            <w:tcW w:w="906" w:type="dxa"/>
            <w:tcBorders>
              <w:top w:val="nil"/>
              <w:left w:val="nil"/>
              <w:bottom w:val="nil"/>
              <w:right w:val="nil"/>
            </w:tcBorders>
            <w:vAlign w:val="center"/>
            <w:hideMark/>
          </w:tcPr>
          <w:p w14:paraId="15F9127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216.024</w:t>
            </w:r>
          </w:p>
        </w:tc>
        <w:tc>
          <w:tcPr>
            <w:tcW w:w="906" w:type="dxa"/>
            <w:tcBorders>
              <w:top w:val="nil"/>
              <w:left w:val="nil"/>
              <w:bottom w:val="nil"/>
              <w:right w:val="nil"/>
            </w:tcBorders>
            <w:vAlign w:val="center"/>
            <w:hideMark/>
          </w:tcPr>
          <w:p w14:paraId="0F46378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227.845</w:t>
            </w:r>
          </w:p>
        </w:tc>
        <w:tc>
          <w:tcPr>
            <w:tcW w:w="906" w:type="dxa"/>
            <w:tcBorders>
              <w:top w:val="nil"/>
              <w:left w:val="nil"/>
              <w:bottom w:val="nil"/>
              <w:right w:val="nil"/>
            </w:tcBorders>
            <w:vAlign w:val="center"/>
            <w:hideMark/>
          </w:tcPr>
          <w:p w14:paraId="13CBDBE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226.153</w:t>
            </w:r>
          </w:p>
        </w:tc>
        <w:tc>
          <w:tcPr>
            <w:tcW w:w="907" w:type="dxa"/>
            <w:tcBorders>
              <w:top w:val="nil"/>
              <w:left w:val="nil"/>
              <w:bottom w:val="nil"/>
              <w:right w:val="nil"/>
            </w:tcBorders>
            <w:vAlign w:val="center"/>
            <w:hideMark/>
          </w:tcPr>
          <w:p w14:paraId="0EC0F64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221.798</w:t>
            </w:r>
          </w:p>
        </w:tc>
      </w:tr>
      <w:tr w:rsidR="006F42E1" w:rsidRPr="006F42E1" w14:paraId="1B33D6B3" w14:textId="77777777" w:rsidTr="43CF6635">
        <w:trPr>
          <w:trHeight w:val="222"/>
        </w:trPr>
        <w:tc>
          <w:tcPr>
            <w:tcW w:w="1780" w:type="dxa"/>
            <w:tcBorders>
              <w:top w:val="nil"/>
              <w:left w:val="nil"/>
              <w:bottom w:val="nil"/>
              <w:right w:val="nil"/>
            </w:tcBorders>
            <w:vAlign w:val="center"/>
            <w:hideMark/>
          </w:tcPr>
          <w:p w14:paraId="29AD79A5"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Várzea Alegre</w:t>
            </w:r>
          </w:p>
        </w:tc>
        <w:tc>
          <w:tcPr>
            <w:tcW w:w="906" w:type="dxa"/>
            <w:tcBorders>
              <w:top w:val="nil"/>
              <w:left w:val="nil"/>
              <w:bottom w:val="nil"/>
              <w:right w:val="nil"/>
            </w:tcBorders>
            <w:vAlign w:val="center"/>
            <w:hideMark/>
          </w:tcPr>
          <w:p w14:paraId="7F2085A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98.649</w:t>
            </w:r>
          </w:p>
        </w:tc>
        <w:tc>
          <w:tcPr>
            <w:tcW w:w="906" w:type="dxa"/>
            <w:tcBorders>
              <w:top w:val="nil"/>
              <w:left w:val="nil"/>
              <w:bottom w:val="nil"/>
              <w:right w:val="nil"/>
            </w:tcBorders>
            <w:vAlign w:val="center"/>
            <w:hideMark/>
          </w:tcPr>
          <w:p w14:paraId="1DB377C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100.453</w:t>
            </w:r>
          </w:p>
        </w:tc>
        <w:tc>
          <w:tcPr>
            <w:tcW w:w="906" w:type="dxa"/>
            <w:tcBorders>
              <w:top w:val="nil"/>
              <w:left w:val="nil"/>
              <w:bottom w:val="nil"/>
              <w:right w:val="nil"/>
            </w:tcBorders>
            <w:vAlign w:val="center"/>
            <w:hideMark/>
          </w:tcPr>
          <w:p w14:paraId="09063A8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99.270</w:t>
            </w:r>
          </w:p>
        </w:tc>
        <w:tc>
          <w:tcPr>
            <w:tcW w:w="906" w:type="dxa"/>
            <w:tcBorders>
              <w:top w:val="nil"/>
              <w:left w:val="nil"/>
              <w:bottom w:val="nil"/>
              <w:right w:val="nil"/>
            </w:tcBorders>
            <w:vAlign w:val="center"/>
            <w:hideMark/>
          </w:tcPr>
          <w:p w14:paraId="4EFEFEFD"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103.186</w:t>
            </w:r>
          </w:p>
        </w:tc>
        <w:tc>
          <w:tcPr>
            <w:tcW w:w="906" w:type="dxa"/>
            <w:tcBorders>
              <w:top w:val="nil"/>
              <w:left w:val="nil"/>
              <w:bottom w:val="nil"/>
              <w:right w:val="nil"/>
            </w:tcBorders>
            <w:vAlign w:val="center"/>
            <w:hideMark/>
          </w:tcPr>
          <w:p w14:paraId="27891C7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94.910</w:t>
            </w:r>
          </w:p>
        </w:tc>
        <w:tc>
          <w:tcPr>
            <w:tcW w:w="906" w:type="dxa"/>
            <w:tcBorders>
              <w:top w:val="nil"/>
              <w:left w:val="nil"/>
              <w:bottom w:val="nil"/>
              <w:right w:val="nil"/>
            </w:tcBorders>
            <w:vAlign w:val="center"/>
            <w:hideMark/>
          </w:tcPr>
          <w:p w14:paraId="52167C1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92.653</w:t>
            </w:r>
          </w:p>
        </w:tc>
        <w:tc>
          <w:tcPr>
            <w:tcW w:w="906" w:type="dxa"/>
            <w:tcBorders>
              <w:top w:val="nil"/>
              <w:left w:val="nil"/>
              <w:bottom w:val="nil"/>
              <w:right w:val="nil"/>
            </w:tcBorders>
            <w:vAlign w:val="center"/>
            <w:hideMark/>
          </w:tcPr>
          <w:p w14:paraId="43A35D4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100.510</w:t>
            </w:r>
          </w:p>
        </w:tc>
        <w:tc>
          <w:tcPr>
            <w:tcW w:w="907" w:type="dxa"/>
            <w:tcBorders>
              <w:top w:val="nil"/>
              <w:left w:val="nil"/>
              <w:bottom w:val="nil"/>
              <w:right w:val="nil"/>
            </w:tcBorders>
            <w:vAlign w:val="center"/>
            <w:hideMark/>
          </w:tcPr>
          <w:p w14:paraId="6D3EBF0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96.774</w:t>
            </w:r>
          </w:p>
        </w:tc>
      </w:tr>
      <w:tr w:rsidR="006F42E1" w:rsidRPr="006F42E1" w14:paraId="43A9F02A" w14:textId="77777777" w:rsidTr="43CF6635">
        <w:trPr>
          <w:trHeight w:val="222"/>
        </w:trPr>
        <w:tc>
          <w:tcPr>
            <w:tcW w:w="1780" w:type="dxa"/>
            <w:tcBorders>
              <w:top w:val="nil"/>
              <w:left w:val="nil"/>
              <w:bottom w:val="nil"/>
              <w:right w:val="nil"/>
            </w:tcBorders>
            <w:vAlign w:val="center"/>
            <w:hideMark/>
          </w:tcPr>
          <w:p w14:paraId="2EC05271"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Lavras da Mangabeira</w:t>
            </w:r>
          </w:p>
        </w:tc>
        <w:tc>
          <w:tcPr>
            <w:tcW w:w="906" w:type="dxa"/>
            <w:tcBorders>
              <w:top w:val="nil"/>
              <w:left w:val="nil"/>
              <w:bottom w:val="nil"/>
              <w:right w:val="nil"/>
            </w:tcBorders>
            <w:vAlign w:val="center"/>
            <w:hideMark/>
          </w:tcPr>
          <w:p w14:paraId="2327827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57.810</w:t>
            </w:r>
          </w:p>
        </w:tc>
        <w:tc>
          <w:tcPr>
            <w:tcW w:w="906" w:type="dxa"/>
            <w:tcBorders>
              <w:top w:val="nil"/>
              <w:left w:val="nil"/>
              <w:bottom w:val="nil"/>
              <w:right w:val="nil"/>
            </w:tcBorders>
            <w:vAlign w:val="center"/>
            <w:hideMark/>
          </w:tcPr>
          <w:p w14:paraId="3DC582D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58.909</w:t>
            </w:r>
          </w:p>
        </w:tc>
        <w:tc>
          <w:tcPr>
            <w:tcW w:w="906" w:type="dxa"/>
            <w:tcBorders>
              <w:top w:val="nil"/>
              <w:left w:val="nil"/>
              <w:bottom w:val="nil"/>
              <w:right w:val="nil"/>
            </w:tcBorders>
            <w:vAlign w:val="center"/>
            <w:hideMark/>
          </w:tcPr>
          <w:p w14:paraId="5D389FD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57.639</w:t>
            </w:r>
          </w:p>
        </w:tc>
        <w:tc>
          <w:tcPr>
            <w:tcW w:w="906" w:type="dxa"/>
            <w:tcBorders>
              <w:top w:val="nil"/>
              <w:left w:val="nil"/>
              <w:bottom w:val="nil"/>
              <w:right w:val="nil"/>
            </w:tcBorders>
            <w:vAlign w:val="center"/>
            <w:hideMark/>
          </w:tcPr>
          <w:p w14:paraId="60589DA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59.201</w:t>
            </w:r>
          </w:p>
        </w:tc>
        <w:tc>
          <w:tcPr>
            <w:tcW w:w="906" w:type="dxa"/>
            <w:tcBorders>
              <w:top w:val="nil"/>
              <w:left w:val="nil"/>
              <w:bottom w:val="nil"/>
              <w:right w:val="nil"/>
            </w:tcBorders>
            <w:vAlign w:val="center"/>
            <w:hideMark/>
          </w:tcPr>
          <w:p w14:paraId="42A4B90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54.827</w:t>
            </w:r>
          </w:p>
        </w:tc>
        <w:tc>
          <w:tcPr>
            <w:tcW w:w="906" w:type="dxa"/>
            <w:tcBorders>
              <w:top w:val="nil"/>
              <w:left w:val="nil"/>
              <w:bottom w:val="nil"/>
              <w:right w:val="nil"/>
            </w:tcBorders>
            <w:vAlign w:val="center"/>
            <w:hideMark/>
          </w:tcPr>
          <w:p w14:paraId="445B259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56.065</w:t>
            </w:r>
          </w:p>
        </w:tc>
        <w:tc>
          <w:tcPr>
            <w:tcW w:w="906" w:type="dxa"/>
            <w:tcBorders>
              <w:top w:val="nil"/>
              <w:left w:val="nil"/>
              <w:bottom w:val="nil"/>
              <w:right w:val="nil"/>
            </w:tcBorders>
            <w:vAlign w:val="center"/>
            <w:hideMark/>
          </w:tcPr>
          <w:p w14:paraId="77BD3EA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56.289</w:t>
            </w:r>
          </w:p>
        </w:tc>
        <w:tc>
          <w:tcPr>
            <w:tcW w:w="907" w:type="dxa"/>
            <w:tcBorders>
              <w:top w:val="nil"/>
              <w:left w:val="nil"/>
              <w:bottom w:val="nil"/>
              <w:right w:val="nil"/>
            </w:tcBorders>
            <w:vAlign w:val="center"/>
            <w:hideMark/>
          </w:tcPr>
          <w:p w14:paraId="321AA7F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56.311</w:t>
            </w:r>
          </w:p>
        </w:tc>
      </w:tr>
      <w:tr w:rsidR="006F42E1" w:rsidRPr="006F42E1" w14:paraId="72183689" w14:textId="77777777" w:rsidTr="43CF6635">
        <w:trPr>
          <w:trHeight w:val="222"/>
        </w:trPr>
        <w:tc>
          <w:tcPr>
            <w:tcW w:w="1780" w:type="dxa"/>
            <w:tcBorders>
              <w:top w:val="nil"/>
              <w:left w:val="nil"/>
              <w:bottom w:val="nil"/>
              <w:right w:val="nil"/>
            </w:tcBorders>
            <w:vAlign w:val="center"/>
            <w:hideMark/>
          </w:tcPr>
          <w:p w14:paraId="696F61C2"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Chapada do Araripe</w:t>
            </w:r>
          </w:p>
        </w:tc>
        <w:tc>
          <w:tcPr>
            <w:tcW w:w="906" w:type="dxa"/>
            <w:tcBorders>
              <w:top w:val="nil"/>
              <w:left w:val="nil"/>
              <w:bottom w:val="nil"/>
              <w:right w:val="nil"/>
            </w:tcBorders>
            <w:vAlign w:val="center"/>
            <w:hideMark/>
          </w:tcPr>
          <w:p w14:paraId="71063BE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97.393</w:t>
            </w:r>
          </w:p>
        </w:tc>
        <w:tc>
          <w:tcPr>
            <w:tcW w:w="906" w:type="dxa"/>
            <w:tcBorders>
              <w:top w:val="nil"/>
              <w:left w:val="nil"/>
              <w:bottom w:val="nil"/>
              <w:right w:val="nil"/>
            </w:tcBorders>
            <w:vAlign w:val="center"/>
            <w:hideMark/>
          </w:tcPr>
          <w:p w14:paraId="1734BA0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99.603</w:t>
            </w:r>
          </w:p>
        </w:tc>
        <w:tc>
          <w:tcPr>
            <w:tcW w:w="906" w:type="dxa"/>
            <w:tcBorders>
              <w:top w:val="nil"/>
              <w:left w:val="nil"/>
              <w:bottom w:val="nil"/>
              <w:right w:val="nil"/>
            </w:tcBorders>
            <w:vAlign w:val="center"/>
            <w:hideMark/>
          </w:tcPr>
          <w:p w14:paraId="5CD15F8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98.793</w:t>
            </w:r>
          </w:p>
        </w:tc>
        <w:tc>
          <w:tcPr>
            <w:tcW w:w="906" w:type="dxa"/>
            <w:tcBorders>
              <w:top w:val="nil"/>
              <w:left w:val="nil"/>
              <w:bottom w:val="nil"/>
              <w:right w:val="nil"/>
            </w:tcBorders>
            <w:vAlign w:val="center"/>
            <w:hideMark/>
          </w:tcPr>
          <w:p w14:paraId="6749C43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103.368</w:t>
            </w:r>
          </w:p>
        </w:tc>
        <w:tc>
          <w:tcPr>
            <w:tcW w:w="906" w:type="dxa"/>
            <w:tcBorders>
              <w:top w:val="nil"/>
              <w:left w:val="nil"/>
              <w:bottom w:val="nil"/>
              <w:right w:val="nil"/>
            </w:tcBorders>
            <w:vAlign w:val="center"/>
            <w:hideMark/>
          </w:tcPr>
          <w:p w14:paraId="13F9181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95.014</w:t>
            </w:r>
          </w:p>
        </w:tc>
        <w:tc>
          <w:tcPr>
            <w:tcW w:w="906" w:type="dxa"/>
            <w:tcBorders>
              <w:top w:val="nil"/>
              <w:left w:val="nil"/>
              <w:bottom w:val="nil"/>
              <w:right w:val="nil"/>
            </w:tcBorders>
            <w:vAlign w:val="center"/>
            <w:hideMark/>
          </w:tcPr>
          <w:p w14:paraId="561F223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88.124</w:t>
            </w:r>
          </w:p>
        </w:tc>
        <w:tc>
          <w:tcPr>
            <w:tcW w:w="906" w:type="dxa"/>
            <w:tcBorders>
              <w:top w:val="nil"/>
              <w:left w:val="nil"/>
              <w:bottom w:val="nil"/>
              <w:right w:val="nil"/>
            </w:tcBorders>
            <w:vAlign w:val="center"/>
            <w:hideMark/>
          </w:tcPr>
          <w:p w14:paraId="036FB63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91.793</w:t>
            </w:r>
          </w:p>
        </w:tc>
        <w:tc>
          <w:tcPr>
            <w:tcW w:w="907" w:type="dxa"/>
            <w:tcBorders>
              <w:top w:val="nil"/>
              <w:left w:val="nil"/>
              <w:bottom w:val="nil"/>
              <w:right w:val="nil"/>
            </w:tcBorders>
            <w:vAlign w:val="center"/>
            <w:hideMark/>
          </w:tcPr>
          <w:p w14:paraId="6FAD9AC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96.950</w:t>
            </w:r>
          </w:p>
        </w:tc>
      </w:tr>
      <w:tr w:rsidR="006F42E1" w:rsidRPr="006F42E1" w14:paraId="77CF4D8B" w14:textId="77777777" w:rsidTr="43CF6635">
        <w:trPr>
          <w:trHeight w:val="222"/>
        </w:trPr>
        <w:tc>
          <w:tcPr>
            <w:tcW w:w="1780" w:type="dxa"/>
            <w:tcBorders>
              <w:top w:val="nil"/>
              <w:left w:val="nil"/>
              <w:bottom w:val="nil"/>
              <w:right w:val="nil"/>
            </w:tcBorders>
            <w:noWrap/>
            <w:vAlign w:val="center"/>
            <w:hideMark/>
          </w:tcPr>
          <w:p w14:paraId="25F1090D"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Caririaçu</w:t>
            </w:r>
          </w:p>
        </w:tc>
        <w:tc>
          <w:tcPr>
            <w:tcW w:w="906" w:type="dxa"/>
            <w:tcBorders>
              <w:top w:val="nil"/>
              <w:left w:val="nil"/>
              <w:bottom w:val="nil"/>
              <w:right w:val="nil"/>
            </w:tcBorders>
            <w:vAlign w:val="center"/>
            <w:hideMark/>
          </w:tcPr>
          <w:p w14:paraId="2AF5052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58.065</w:t>
            </w:r>
          </w:p>
        </w:tc>
        <w:tc>
          <w:tcPr>
            <w:tcW w:w="906" w:type="dxa"/>
            <w:tcBorders>
              <w:top w:val="nil"/>
              <w:left w:val="nil"/>
              <w:bottom w:val="nil"/>
              <w:right w:val="nil"/>
            </w:tcBorders>
            <w:vAlign w:val="center"/>
            <w:hideMark/>
          </w:tcPr>
          <w:p w14:paraId="14D2687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66.362</w:t>
            </w:r>
          </w:p>
        </w:tc>
        <w:tc>
          <w:tcPr>
            <w:tcW w:w="906" w:type="dxa"/>
            <w:tcBorders>
              <w:top w:val="nil"/>
              <w:left w:val="nil"/>
              <w:bottom w:val="nil"/>
              <w:right w:val="nil"/>
            </w:tcBorders>
            <w:vAlign w:val="center"/>
            <w:hideMark/>
          </w:tcPr>
          <w:p w14:paraId="66FDFD1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66.416</w:t>
            </w:r>
          </w:p>
        </w:tc>
        <w:tc>
          <w:tcPr>
            <w:tcW w:w="906" w:type="dxa"/>
            <w:tcBorders>
              <w:top w:val="nil"/>
              <w:left w:val="nil"/>
              <w:bottom w:val="nil"/>
              <w:right w:val="nil"/>
            </w:tcBorders>
            <w:vAlign w:val="center"/>
            <w:hideMark/>
          </w:tcPr>
          <w:p w14:paraId="38E311C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71.054</w:t>
            </w:r>
          </w:p>
        </w:tc>
        <w:tc>
          <w:tcPr>
            <w:tcW w:w="906" w:type="dxa"/>
            <w:tcBorders>
              <w:top w:val="nil"/>
              <w:left w:val="nil"/>
              <w:bottom w:val="nil"/>
              <w:right w:val="nil"/>
            </w:tcBorders>
            <w:vAlign w:val="center"/>
            <w:hideMark/>
          </w:tcPr>
          <w:p w14:paraId="7A2CEE0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65.249</w:t>
            </w:r>
          </w:p>
        </w:tc>
        <w:tc>
          <w:tcPr>
            <w:tcW w:w="906" w:type="dxa"/>
            <w:tcBorders>
              <w:top w:val="nil"/>
              <w:left w:val="nil"/>
              <w:bottom w:val="nil"/>
              <w:right w:val="nil"/>
            </w:tcBorders>
            <w:vAlign w:val="center"/>
            <w:hideMark/>
          </w:tcPr>
          <w:p w14:paraId="28B394D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53.656</w:t>
            </w:r>
          </w:p>
        </w:tc>
        <w:tc>
          <w:tcPr>
            <w:tcW w:w="906" w:type="dxa"/>
            <w:tcBorders>
              <w:top w:val="nil"/>
              <w:left w:val="nil"/>
              <w:bottom w:val="nil"/>
              <w:right w:val="nil"/>
            </w:tcBorders>
            <w:vAlign w:val="center"/>
            <w:hideMark/>
          </w:tcPr>
          <w:p w14:paraId="0C6225A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60.685</w:t>
            </w:r>
          </w:p>
        </w:tc>
        <w:tc>
          <w:tcPr>
            <w:tcW w:w="907" w:type="dxa"/>
            <w:tcBorders>
              <w:top w:val="nil"/>
              <w:left w:val="nil"/>
              <w:bottom w:val="nil"/>
              <w:right w:val="nil"/>
            </w:tcBorders>
            <w:vAlign w:val="center"/>
            <w:hideMark/>
          </w:tcPr>
          <w:p w14:paraId="2C4BECFC"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66.192</w:t>
            </w:r>
          </w:p>
        </w:tc>
      </w:tr>
      <w:tr w:rsidR="006F42E1" w:rsidRPr="006F42E1" w14:paraId="47A618BF" w14:textId="77777777" w:rsidTr="43CF6635">
        <w:trPr>
          <w:trHeight w:val="222"/>
        </w:trPr>
        <w:tc>
          <w:tcPr>
            <w:tcW w:w="1780" w:type="dxa"/>
            <w:tcBorders>
              <w:top w:val="nil"/>
              <w:left w:val="nil"/>
              <w:bottom w:val="nil"/>
              <w:right w:val="nil"/>
            </w:tcBorders>
            <w:noWrap/>
            <w:vAlign w:val="center"/>
            <w:hideMark/>
          </w:tcPr>
          <w:p w14:paraId="66DED111"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Barro</w:t>
            </w:r>
          </w:p>
        </w:tc>
        <w:tc>
          <w:tcPr>
            <w:tcW w:w="906" w:type="dxa"/>
            <w:tcBorders>
              <w:top w:val="nil"/>
              <w:left w:val="nil"/>
              <w:bottom w:val="nil"/>
              <w:right w:val="nil"/>
            </w:tcBorders>
            <w:vAlign w:val="center"/>
            <w:hideMark/>
          </w:tcPr>
          <w:p w14:paraId="0D0777E2"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92.149</w:t>
            </w:r>
          </w:p>
        </w:tc>
        <w:tc>
          <w:tcPr>
            <w:tcW w:w="906" w:type="dxa"/>
            <w:tcBorders>
              <w:top w:val="nil"/>
              <w:left w:val="nil"/>
              <w:bottom w:val="nil"/>
              <w:right w:val="nil"/>
            </w:tcBorders>
            <w:vAlign w:val="center"/>
            <w:hideMark/>
          </w:tcPr>
          <w:p w14:paraId="728ED27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96.569</w:t>
            </w:r>
          </w:p>
        </w:tc>
        <w:tc>
          <w:tcPr>
            <w:tcW w:w="906" w:type="dxa"/>
            <w:tcBorders>
              <w:top w:val="nil"/>
              <w:left w:val="nil"/>
              <w:bottom w:val="nil"/>
              <w:right w:val="nil"/>
            </w:tcBorders>
            <w:vAlign w:val="center"/>
            <w:hideMark/>
          </w:tcPr>
          <w:p w14:paraId="6C2E313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95.527</w:t>
            </w:r>
          </w:p>
        </w:tc>
        <w:tc>
          <w:tcPr>
            <w:tcW w:w="906" w:type="dxa"/>
            <w:tcBorders>
              <w:top w:val="nil"/>
              <w:left w:val="nil"/>
              <w:bottom w:val="nil"/>
              <w:right w:val="nil"/>
            </w:tcBorders>
            <w:vAlign w:val="center"/>
            <w:hideMark/>
          </w:tcPr>
          <w:p w14:paraId="43231E8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99.459</w:t>
            </w:r>
          </w:p>
        </w:tc>
        <w:tc>
          <w:tcPr>
            <w:tcW w:w="906" w:type="dxa"/>
            <w:tcBorders>
              <w:top w:val="nil"/>
              <w:left w:val="nil"/>
              <w:bottom w:val="nil"/>
              <w:right w:val="nil"/>
            </w:tcBorders>
            <w:vAlign w:val="center"/>
            <w:hideMark/>
          </w:tcPr>
          <w:p w14:paraId="35567A75"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91.463</w:t>
            </w:r>
          </w:p>
        </w:tc>
        <w:tc>
          <w:tcPr>
            <w:tcW w:w="906" w:type="dxa"/>
            <w:tcBorders>
              <w:top w:val="nil"/>
              <w:left w:val="nil"/>
              <w:bottom w:val="nil"/>
              <w:right w:val="nil"/>
            </w:tcBorders>
            <w:vAlign w:val="center"/>
            <w:hideMark/>
          </w:tcPr>
          <w:p w14:paraId="51A49F70"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95.115</w:t>
            </w:r>
          </w:p>
        </w:tc>
        <w:tc>
          <w:tcPr>
            <w:tcW w:w="906" w:type="dxa"/>
            <w:tcBorders>
              <w:top w:val="nil"/>
              <w:left w:val="nil"/>
              <w:bottom w:val="nil"/>
              <w:right w:val="nil"/>
            </w:tcBorders>
            <w:vAlign w:val="center"/>
            <w:hideMark/>
          </w:tcPr>
          <w:p w14:paraId="338569B9"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91.505</w:t>
            </w:r>
          </w:p>
        </w:tc>
        <w:tc>
          <w:tcPr>
            <w:tcW w:w="907" w:type="dxa"/>
            <w:tcBorders>
              <w:top w:val="nil"/>
              <w:left w:val="nil"/>
              <w:bottom w:val="nil"/>
              <w:right w:val="nil"/>
            </w:tcBorders>
            <w:vAlign w:val="center"/>
            <w:hideMark/>
          </w:tcPr>
          <w:p w14:paraId="2035B67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93.929</w:t>
            </w:r>
          </w:p>
        </w:tc>
      </w:tr>
      <w:tr w:rsidR="006F42E1" w:rsidRPr="006F42E1" w14:paraId="60BE059A" w14:textId="77777777" w:rsidTr="43CF6635">
        <w:trPr>
          <w:trHeight w:val="222"/>
        </w:trPr>
        <w:tc>
          <w:tcPr>
            <w:tcW w:w="1780" w:type="dxa"/>
            <w:tcBorders>
              <w:top w:val="nil"/>
              <w:left w:val="nil"/>
              <w:bottom w:val="nil"/>
              <w:right w:val="nil"/>
            </w:tcBorders>
            <w:noWrap/>
            <w:vAlign w:val="center"/>
            <w:hideMark/>
          </w:tcPr>
          <w:p w14:paraId="4A103A97"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Cariri</w:t>
            </w:r>
          </w:p>
        </w:tc>
        <w:tc>
          <w:tcPr>
            <w:tcW w:w="906" w:type="dxa"/>
            <w:tcBorders>
              <w:top w:val="nil"/>
              <w:left w:val="nil"/>
              <w:bottom w:val="nil"/>
              <w:right w:val="nil"/>
            </w:tcBorders>
            <w:vAlign w:val="center"/>
            <w:hideMark/>
          </w:tcPr>
          <w:p w14:paraId="6BA49F93"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545.198</w:t>
            </w:r>
          </w:p>
        </w:tc>
        <w:tc>
          <w:tcPr>
            <w:tcW w:w="906" w:type="dxa"/>
            <w:tcBorders>
              <w:top w:val="nil"/>
              <w:left w:val="nil"/>
              <w:bottom w:val="nil"/>
              <w:right w:val="nil"/>
            </w:tcBorders>
            <w:vAlign w:val="center"/>
            <w:hideMark/>
          </w:tcPr>
          <w:p w14:paraId="258AB9BF"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545.148</w:t>
            </w:r>
          </w:p>
        </w:tc>
        <w:tc>
          <w:tcPr>
            <w:tcW w:w="906" w:type="dxa"/>
            <w:tcBorders>
              <w:top w:val="nil"/>
              <w:left w:val="nil"/>
              <w:bottom w:val="nil"/>
              <w:right w:val="nil"/>
            </w:tcBorders>
            <w:vAlign w:val="center"/>
            <w:hideMark/>
          </w:tcPr>
          <w:p w14:paraId="5604AB3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545.681</w:t>
            </w:r>
          </w:p>
        </w:tc>
        <w:tc>
          <w:tcPr>
            <w:tcW w:w="906" w:type="dxa"/>
            <w:tcBorders>
              <w:top w:val="nil"/>
              <w:left w:val="nil"/>
              <w:bottom w:val="nil"/>
              <w:right w:val="nil"/>
            </w:tcBorders>
            <w:vAlign w:val="center"/>
            <w:hideMark/>
          </w:tcPr>
          <w:p w14:paraId="0C29BDE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584.091</w:t>
            </w:r>
          </w:p>
        </w:tc>
        <w:tc>
          <w:tcPr>
            <w:tcW w:w="906" w:type="dxa"/>
            <w:tcBorders>
              <w:top w:val="nil"/>
              <w:left w:val="nil"/>
              <w:bottom w:val="nil"/>
              <w:right w:val="nil"/>
            </w:tcBorders>
            <w:vAlign w:val="center"/>
            <w:hideMark/>
          </w:tcPr>
          <w:p w14:paraId="38679EC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543.181</w:t>
            </w:r>
          </w:p>
        </w:tc>
        <w:tc>
          <w:tcPr>
            <w:tcW w:w="906" w:type="dxa"/>
            <w:tcBorders>
              <w:top w:val="nil"/>
              <w:left w:val="nil"/>
              <w:bottom w:val="nil"/>
              <w:right w:val="nil"/>
            </w:tcBorders>
            <w:vAlign w:val="center"/>
            <w:hideMark/>
          </w:tcPr>
          <w:p w14:paraId="7A436A9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587.911</w:t>
            </w:r>
          </w:p>
        </w:tc>
        <w:tc>
          <w:tcPr>
            <w:tcW w:w="906" w:type="dxa"/>
            <w:tcBorders>
              <w:top w:val="nil"/>
              <w:left w:val="nil"/>
              <w:bottom w:val="nil"/>
              <w:right w:val="nil"/>
            </w:tcBorders>
            <w:vAlign w:val="center"/>
            <w:hideMark/>
          </w:tcPr>
          <w:p w14:paraId="075E3B4B"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531.757</w:t>
            </w:r>
          </w:p>
        </w:tc>
        <w:tc>
          <w:tcPr>
            <w:tcW w:w="907" w:type="dxa"/>
            <w:tcBorders>
              <w:top w:val="nil"/>
              <w:left w:val="nil"/>
              <w:bottom w:val="nil"/>
              <w:right w:val="nil"/>
            </w:tcBorders>
            <w:vAlign w:val="center"/>
            <w:hideMark/>
          </w:tcPr>
          <w:p w14:paraId="45156484"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549.808</w:t>
            </w:r>
          </w:p>
        </w:tc>
      </w:tr>
      <w:tr w:rsidR="006F42E1" w:rsidRPr="006F42E1" w14:paraId="4883AE35" w14:textId="77777777" w:rsidTr="43CF6635">
        <w:trPr>
          <w:trHeight w:val="222"/>
        </w:trPr>
        <w:tc>
          <w:tcPr>
            <w:tcW w:w="1780" w:type="dxa"/>
            <w:tcBorders>
              <w:top w:val="nil"/>
              <w:left w:val="nil"/>
              <w:bottom w:val="nil"/>
              <w:right w:val="nil"/>
            </w:tcBorders>
            <w:noWrap/>
            <w:vAlign w:val="center"/>
            <w:hideMark/>
          </w:tcPr>
          <w:p w14:paraId="74E9C321" w14:textId="77777777" w:rsidR="00276652" w:rsidRPr="006F42E1" w:rsidRDefault="00276652" w:rsidP="001620BC">
            <w:pPr>
              <w:spacing w:after="0" w:line="240" w:lineRule="auto"/>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Brejo Santo</w:t>
            </w:r>
          </w:p>
        </w:tc>
        <w:tc>
          <w:tcPr>
            <w:tcW w:w="906" w:type="dxa"/>
            <w:tcBorders>
              <w:top w:val="nil"/>
              <w:left w:val="nil"/>
              <w:bottom w:val="nil"/>
              <w:right w:val="nil"/>
            </w:tcBorders>
            <w:vAlign w:val="center"/>
            <w:hideMark/>
          </w:tcPr>
          <w:p w14:paraId="46EFAF31"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101.928</w:t>
            </w:r>
          </w:p>
        </w:tc>
        <w:tc>
          <w:tcPr>
            <w:tcW w:w="906" w:type="dxa"/>
            <w:tcBorders>
              <w:top w:val="nil"/>
              <w:left w:val="nil"/>
              <w:bottom w:val="nil"/>
              <w:right w:val="nil"/>
            </w:tcBorders>
            <w:vAlign w:val="center"/>
            <w:hideMark/>
          </w:tcPr>
          <w:p w14:paraId="7420BB59"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99.083</w:t>
            </w:r>
          </w:p>
        </w:tc>
        <w:tc>
          <w:tcPr>
            <w:tcW w:w="906" w:type="dxa"/>
            <w:tcBorders>
              <w:top w:val="nil"/>
              <w:left w:val="nil"/>
              <w:bottom w:val="nil"/>
              <w:right w:val="nil"/>
            </w:tcBorders>
            <w:vAlign w:val="center"/>
            <w:hideMark/>
          </w:tcPr>
          <w:p w14:paraId="26C0294A"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98.446</w:t>
            </w:r>
          </w:p>
        </w:tc>
        <w:tc>
          <w:tcPr>
            <w:tcW w:w="906" w:type="dxa"/>
            <w:tcBorders>
              <w:top w:val="nil"/>
              <w:left w:val="nil"/>
              <w:bottom w:val="nil"/>
              <w:right w:val="nil"/>
            </w:tcBorders>
            <w:vAlign w:val="center"/>
            <w:hideMark/>
          </w:tcPr>
          <w:p w14:paraId="34FCBB59"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103.371</w:t>
            </w:r>
          </w:p>
        </w:tc>
        <w:tc>
          <w:tcPr>
            <w:tcW w:w="906" w:type="dxa"/>
            <w:tcBorders>
              <w:top w:val="nil"/>
              <w:left w:val="nil"/>
              <w:bottom w:val="nil"/>
              <w:right w:val="nil"/>
            </w:tcBorders>
            <w:vAlign w:val="center"/>
            <w:hideMark/>
          </w:tcPr>
          <w:p w14:paraId="5EAC1966"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94.992</w:t>
            </w:r>
          </w:p>
        </w:tc>
        <w:tc>
          <w:tcPr>
            <w:tcW w:w="906" w:type="dxa"/>
            <w:tcBorders>
              <w:top w:val="nil"/>
              <w:left w:val="nil"/>
              <w:bottom w:val="nil"/>
              <w:right w:val="nil"/>
            </w:tcBorders>
            <w:vAlign w:val="center"/>
            <w:hideMark/>
          </w:tcPr>
          <w:p w14:paraId="0B57569E"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99.357</w:t>
            </w:r>
          </w:p>
        </w:tc>
        <w:tc>
          <w:tcPr>
            <w:tcW w:w="906" w:type="dxa"/>
            <w:tcBorders>
              <w:top w:val="nil"/>
              <w:left w:val="nil"/>
              <w:bottom w:val="nil"/>
              <w:right w:val="nil"/>
            </w:tcBorders>
            <w:vAlign w:val="center"/>
            <w:hideMark/>
          </w:tcPr>
          <w:p w14:paraId="30A2A8D7"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98.626</w:t>
            </w:r>
          </w:p>
        </w:tc>
        <w:tc>
          <w:tcPr>
            <w:tcW w:w="907" w:type="dxa"/>
            <w:tcBorders>
              <w:top w:val="nil"/>
              <w:left w:val="nil"/>
              <w:bottom w:val="nil"/>
              <w:right w:val="nil"/>
            </w:tcBorders>
            <w:vAlign w:val="center"/>
            <w:hideMark/>
          </w:tcPr>
          <w:p w14:paraId="6B3417D8" w14:textId="77777777" w:rsidR="00276652" w:rsidRPr="006F42E1" w:rsidRDefault="00276652" w:rsidP="001620BC">
            <w:pPr>
              <w:spacing w:after="0" w:line="240" w:lineRule="auto"/>
              <w:jc w:val="center"/>
              <w:rPr>
                <w:rFonts w:ascii="Times New Roman" w:eastAsia="Times New Roman" w:hAnsi="Times New Roman" w:cs="Times New Roman"/>
                <w:sz w:val="16"/>
                <w:szCs w:val="16"/>
                <w:lang w:eastAsia="pt-BR"/>
              </w:rPr>
            </w:pPr>
            <w:r w:rsidRPr="006F42E1">
              <w:rPr>
                <w:rFonts w:ascii="Times New Roman" w:eastAsia="Times New Roman" w:hAnsi="Times New Roman" w:cs="Times New Roman"/>
                <w:sz w:val="16"/>
                <w:szCs w:val="16"/>
                <w:lang w:eastAsia="pt-BR"/>
              </w:rPr>
              <w:t>97.575</w:t>
            </w:r>
          </w:p>
        </w:tc>
      </w:tr>
      <w:tr w:rsidR="006F42E1" w:rsidRPr="006F42E1" w14:paraId="6DDA6D47" w14:textId="77777777" w:rsidTr="43CF6635">
        <w:trPr>
          <w:trHeight w:val="222"/>
        </w:trPr>
        <w:tc>
          <w:tcPr>
            <w:tcW w:w="1780" w:type="dxa"/>
            <w:tcBorders>
              <w:top w:val="single" w:sz="4" w:space="0" w:color="000000" w:themeColor="text1"/>
              <w:left w:val="nil"/>
              <w:bottom w:val="single" w:sz="4" w:space="0" w:color="000000" w:themeColor="text1"/>
              <w:right w:val="nil"/>
            </w:tcBorders>
            <w:vAlign w:val="center"/>
            <w:hideMark/>
          </w:tcPr>
          <w:p w14:paraId="7EBF0117" w14:textId="77777777" w:rsidR="00276652" w:rsidRPr="006F42E1" w:rsidRDefault="00276652" w:rsidP="001620BC">
            <w:pPr>
              <w:spacing w:after="0" w:line="240" w:lineRule="auto"/>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Ceará</w:t>
            </w:r>
          </w:p>
        </w:tc>
        <w:tc>
          <w:tcPr>
            <w:tcW w:w="906" w:type="dxa"/>
            <w:tcBorders>
              <w:top w:val="single" w:sz="4" w:space="0" w:color="000000" w:themeColor="text1"/>
              <w:left w:val="nil"/>
              <w:bottom w:val="single" w:sz="4" w:space="0" w:color="000000" w:themeColor="text1"/>
              <w:right w:val="nil"/>
            </w:tcBorders>
            <w:vAlign w:val="center"/>
            <w:hideMark/>
          </w:tcPr>
          <w:p w14:paraId="0099C765" w14:textId="77777777" w:rsidR="00276652" w:rsidRPr="006F42E1" w:rsidRDefault="00276652" w:rsidP="001620BC">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8.623.766</w:t>
            </w:r>
          </w:p>
        </w:tc>
        <w:tc>
          <w:tcPr>
            <w:tcW w:w="906" w:type="dxa"/>
            <w:tcBorders>
              <w:top w:val="single" w:sz="4" w:space="0" w:color="000000" w:themeColor="text1"/>
              <w:left w:val="nil"/>
              <w:bottom w:val="single" w:sz="4" w:space="0" w:color="000000" w:themeColor="text1"/>
              <w:right w:val="nil"/>
            </w:tcBorders>
            <w:vAlign w:val="center"/>
            <w:hideMark/>
          </w:tcPr>
          <w:p w14:paraId="268320DF" w14:textId="77777777" w:rsidR="00276652" w:rsidRPr="006F42E1" w:rsidRDefault="00276652" w:rsidP="001620BC">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8.623.766</w:t>
            </w:r>
          </w:p>
        </w:tc>
        <w:tc>
          <w:tcPr>
            <w:tcW w:w="906" w:type="dxa"/>
            <w:tcBorders>
              <w:top w:val="single" w:sz="4" w:space="0" w:color="000000" w:themeColor="text1"/>
              <w:left w:val="nil"/>
              <w:bottom w:val="single" w:sz="4" w:space="0" w:color="000000" w:themeColor="text1"/>
              <w:right w:val="nil"/>
            </w:tcBorders>
            <w:vAlign w:val="center"/>
            <w:hideMark/>
          </w:tcPr>
          <w:p w14:paraId="0F90C0D1" w14:textId="77777777" w:rsidR="00276652" w:rsidRPr="006F42E1" w:rsidRDefault="00276652" w:rsidP="001620BC">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8.623.766</w:t>
            </w:r>
          </w:p>
        </w:tc>
        <w:tc>
          <w:tcPr>
            <w:tcW w:w="906" w:type="dxa"/>
            <w:tcBorders>
              <w:top w:val="single" w:sz="4" w:space="0" w:color="000000" w:themeColor="text1"/>
              <w:left w:val="nil"/>
              <w:bottom w:val="single" w:sz="4" w:space="0" w:color="000000" w:themeColor="text1"/>
              <w:right w:val="nil"/>
            </w:tcBorders>
            <w:vAlign w:val="center"/>
            <w:hideMark/>
          </w:tcPr>
          <w:p w14:paraId="3F41BA93" w14:textId="77777777" w:rsidR="00276652" w:rsidRPr="006F42E1" w:rsidRDefault="00276652" w:rsidP="001620BC">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9.257.140</w:t>
            </w:r>
          </w:p>
        </w:tc>
        <w:tc>
          <w:tcPr>
            <w:tcW w:w="906" w:type="dxa"/>
            <w:tcBorders>
              <w:top w:val="single" w:sz="4" w:space="0" w:color="000000" w:themeColor="text1"/>
              <w:left w:val="nil"/>
              <w:bottom w:val="single" w:sz="4" w:space="0" w:color="000000" w:themeColor="text1"/>
              <w:right w:val="nil"/>
            </w:tcBorders>
            <w:vAlign w:val="center"/>
            <w:hideMark/>
          </w:tcPr>
          <w:p w14:paraId="579F74C7" w14:textId="77777777" w:rsidR="00276652" w:rsidRPr="006F42E1" w:rsidRDefault="00276652" w:rsidP="001620BC">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8.623.766</w:t>
            </w:r>
          </w:p>
        </w:tc>
        <w:tc>
          <w:tcPr>
            <w:tcW w:w="906" w:type="dxa"/>
            <w:tcBorders>
              <w:top w:val="single" w:sz="4" w:space="0" w:color="000000" w:themeColor="text1"/>
              <w:left w:val="nil"/>
              <w:bottom w:val="single" w:sz="4" w:space="0" w:color="000000" w:themeColor="text1"/>
              <w:right w:val="nil"/>
            </w:tcBorders>
            <w:vAlign w:val="center"/>
            <w:hideMark/>
          </w:tcPr>
          <w:p w14:paraId="1B4FD082" w14:textId="77777777" w:rsidR="00276652" w:rsidRPr="006F42E1" w:rsidRDefault="00276652" w:rsidP="001620BC">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8.709.896</w:t>
            </w:r>
          </w:p>
        </w:tc>
        <w:tc>
          <w:tcPr>
            <w:tcW w:w="906" w:type="dxa"/>
            <w:tcBorders>
              <w:top w:val="single" w:sz="4" w:space="0" w:color="000000" w:themeColor="text1"/>
              <w:left w:val="nil"/>
              <w:bottom w:val="single" w:sz="4" w:space="0" w:color="000000" w:themeColor="text1"/>
              <w:right w:val="nil"/>
            </w:tcBorders>
            <w:vAlign w:val="center"/>
            <w:hideMark/>
          </w:tcPr>
          <w:p w14:paraId="5FFED960" w14:textId="77777777" w:rsidR="00276652" w:rsidRPr="006F42E1" w:rsidRDefault="00276652" w:rsidP="001620BC">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8.809.400</w:t>
            </w:r>
          </w:p>
        </w:tc>
        <w:tc>
          <w:tcPr>
            <w:tcW w:w="907" w:type="dxa"/>
            <w:tcBorders>
              <w:top w:val="single" w:sz="4" w:space="0" w:color="000000" w:themeColor="text1"/>
              <w:left w:val="nil"/>
              <w:bottom w:val="single" w:sz="4" w:space="0" w:color="000000" w:themeColor="text1"/>
              <w:right w:val="nil"/>
            </w:tcBorders>
            <w:vAlign w:val="center"/>
            <w:hideMark/>
          </w:tcPr>
          <w:p w14:paraId="4EE62306" w14:textId="77777777" w:rsidR="00276652" w:rsidRPr="006F42E1" w:rsidRDefault="00276652" w:rsidP="001620BC">
            <w:pPr>
              <w:spacing w:after="0" w:line="240" w:lineRule="auto"/>
              <w:jc w:val="center"/>
              <w:rPr>
                <w:rFonts w:ascii="Times New Roman" w:eastAsia="Times New Roman" w:hAnsi="Times New Roman" w:cs="Times New Roman"/>
                <w:b/>
                <w:bCs/>
                <w:sz w:val="16"/>
                <w:szCs w:val="16"/>
                <w:lang w:eastAsia="pt-BR"/>
              </w:rPr>
            </w:pPr>
            <w:r w:rsidRPr="006F42E1">
              <w:rPr>
                <w:rFonts w:ascii="Times New Roman" w:eastAsia="Times New Roman" w:hAnsi="Times New Roman" w:cs="Times New Roman"/>
                <w:b/>
                <w:bCs/>
                <w:sz w:val="16"/>
                <w:szCs w:val="16"/>
                <w:lang w:eastAsia="pt-BR"/>
              </w:rPr>
              <w:t>8.623.766</w:t>
            </w:r>
          </w:p>
        </w:tc>
      </w:tr>
    </w:tbl>
    <w:p w14:paraId="1B80C00F" w14:textId="313ECE1E" w:rsidR="43CF6635" w:rsidRPr="006F42E1" w:rsidRDefault="43CF6635" w:rsidP="43CF6635">
      <w:pPr>
        <w:spacing w:after="0" w:line="360" w:lineRule="auto"/>
        <w:jc w:val="both"/>
        <w:rPr>
          <w:rFonts w:ascii="Times New Roman" w:hAnsi="Times New Roman" w:cs="Times New Roman"/>
          <w:sz w:val="24"/>
          <w:szCs w:val="24"/>
        </w:rPr>
      </w:pPr>
      <w:r w:rsidRPr="006F42E1">
        <w:rPr>
          <w:rFonts w:ascii="Times New Roman" w:hAnsi="Times New Roman" w:cs="Times New Roman"/>
          <w:sz w:val="20"/>
          <w:szCs w:val="20"/>
        </w:rPr>
        <w:t xml:space="preserve">Fonte: DATASUS, 2022; SIDRA, 2022; IBGE, 2013; 2018.  </w:t>
      </w:r>
      <w:r w:rsidRPr="006F42E1">
        <w:rPr>
          <w:rFonts w:ascii="Times New Roman" w:hAnsi="Times New Roman" w:cs="Times New Roman"/>
          <w:sz w:val="24"/>
          <w:szCs w:val="24"/>
        </w:rPr>
        <w:t xml:space="preserve"> </w:t>
      </w:r>
    </w:p>
    <w:p w14:paraId="1EF40F08" w14:textId="77777777" w:rsidR="00DB5AF9" w:rsidRPr="006F42E1" w:rsidRDefault="00DB5AF9" w:rsidP="00276652">
      <w:pPr>
        <w:spacing w:after="0" w:line="360" w:lineRule="auto"/>
        <w:jc w:val="both"/>
        <w:rPr>
          <w:rFonts w:ascii="Times New Roman" w:hAnsi="Times New Roman" w:cs="Times New Roman"/>
          <w:sz w:val="24"/>
          <w:szCs w:val="24"/>
        </w:rPr>
      </w:pPr>
    </w:p>
    <w:p w14:paraId="60798109" w14:textId="2D4DC9F5" w:rsidR="43CF6635" w:rsidRPr="006F42E1" w:rsidRDefault="00BC70B4" w:rsidP="43CF6635">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7B5B1A" w:rsidRPr="006F42E1">
        <w:rPr>
          <w:rFonts w:ascii="Times New Roman" w:hAnsi="Times New Roman" w:cs="Times New Roman"/>
          <w:sz w:val="24"/>
          <w:szCs w:val="24"/>
        </w:rPr>
        <w:t>Observando os totais, o</w:t>
      </w:r>
      <w:r w:rsidR="43CF6635" w:rsidRPr="006F42E1">
        <w:rPr>
          <w:rFonts w:ascii="Times New Roman" w:hAnsi="Times New Roman" w:cs="Times New Roman"/>
          <w:sz w:val="24"/>
          <w:szCs w:val="24"/>
        </w:rPr>
        <w:t xml:space="preserve">s métodos DCC e DPMC, </w:t>
      </w:r>
      <w:r w:rsidR="00F37B5D" w:rsidRPr="006F42E1">
        <w:rPr>
          <w:rFonts w:ascii="Times New Roman" w:hAnsi="Times New Roman" w:cs="Times New Roman"/>
          <w:sz w:val="24"/>
          <w:szCs w:val="24"/>
        </w:rPr>
        <w:t>como já colocado</w:t>
      </w:r>
      <w:r w:rsidR="43CF6635" w:rsidRPr="006F42E1">
        <w:rPr>
          <w:rFonts w:ascii="Times New Roman" w:hAnsi="Times New Roman" w:cs="Times New Roman"/>
          <w:sz w:val="24"/>
          <w:szCs w:val="24"/>
        </w:rPr>
        <w:t xml:space="preserve">, </w:t>
      </w:r>
      <w:r w:rsidR="00AD7328" w:rsidRPr="006F42E1">
        <w:rPr>
          <w:rFonts w:ascii="Times New Roman" w:hAnsi="Times New Roman" w:cs="Times New Roman"/>
          <w:sz w:val="24"/>
          <w:szCs w:val="24"/>
        </w:rPr>
        <w:t>t</w:t>
      </w:r>
      <w:r w:rsidR="00F37B5D" w:rsidRPr="006F42E1">
        <w:rPr>
          <w:rFonts w:ascii="Times New Roman" w:hAnsi="Times New Roman" w:cs="Times New Roman"/>
          <w:sz w:val="24"/>
          <w:szCs w:val="24"/>
        </w:rPr>
        <w:t>ê</w:t>
      </w:r>
      <w:r w:rsidR="00AD7328" w:rsidRPr="006F42E1">
        <w:rPr>
          <w:rFonts w:ascii="Times New Roman" w:hAnsi="Times New Roman" w:cs="Times New Roman"/>
          <w:sz w:val="24"/>
          <w:szCs w:val="24"/>
        </w:rPr>
        <w:t>m a vantagem da</w:t>
      </w:r>
      <w:r w:rsidR="43CF6635" w:rsidRPr="006F42E1">
        <w:rPr>
          <w:rFonts w:ascii="Times New Roman" w:hAnsi="Times New Roman" w:cs="Times New Roman"/>
          <w:sz w:val="24"/>
          <w:szCs w:val="24"/>
        </w:rPr>
        <w:t xml:space="preserve"> consistência </w:t>
      </w:r>
      <w:r w:rsidR="00F84F35" w:rsidRPr="006F42E1">
        <w:rPr>
          <w:rFonts w:ascii="Times New Roman" w:hAnsi="Times New Roman" w:cs="Times New Roman"/>
          <w:sz w:val="24"/>
          <w:szCs w:val="24"/>
        </w:rPr>
        <w:t xml:space="preserve">entre </w:t>
      </w:r>
      <w:r w:rsidR="00AD7328" w:rsidRPr="006F42E1">
        <w:rPr>
          <w:rFonts w:ascii="Times New Roman" w:hAnsi="Times New Roman" w:cs="Times New Roman"/>
          <w:sz w:val="24"/>
          <w:szCs w:val="24"/>
        </w:rPr>
        <w:t xml:space="preserve">a soma </w:t>
      </w:r>
      <w:r w:rsidR="00F84F35" w:rsidRPr="006F42E1">
        <w:rPr>
          <w:rFonts w:ascii="Times New Roman" w:hAnsi="Times New Roman" w:cs="Times New Roman"/>
          <w:sz w:val="24"/>
          <w:szCs w:val="24"/>
        </w:rPr>
        <w:t xml:space="preserve">das projeções das pequenas áreas </w:t>
      </w:r>
      <w:r w:rsidR="43CF6635" w:rsidRPr="006F42E1">
        <w:rPr>
          <w:rFonts w:ascii="Times New Roman" w:hAnsi="Times New Roman" w:cs="Times New Roman"/>
          <w:sz w:val="24"/>
          <w:szCs w:val="24"/>
        </w:rPr>
        <w:t xml:space="preserve">com </w:t>
      </w:r>
      <w:r w:rsidR="009F0126" w:rsidRPr="006F42E1">
        <w:rPr>
          <w:rFonts w:ascii="Times New Roman" w:hAnsi="Times New Roman" w:cs="Times New Roman"/>
          <w:sz w:val="24"/>
          <w:szCs w:val="24"/>
        </w:rPr>
        <w:t>a ‘</w:t>
      </w:r>
      <w:r w:rsidR="00F84F35" w:rsidRPr="006F42E1">
        <w:rPr>
          <w:rFonts w:ascii="Times New Roman" w:hAnsi="Times New Roman" w:cs="Times New Roman"/>
          <w:sz w:val="24"/>
          <w:szCs w:val="24"/>
        </w:rPr>
        <w:t>projeção</w:t>
      </w:r>
      <w:r w:rsidR="009F0126" w:rsidRPr="006F42E1">
        <w:rPr>
          <w:rFonts w:ascii="Times New Roman" w:hAnsi="Times New Roman" w:cs="Times New Roman"/>
          <w:sz w:val="24"/>
          <w:szCs w:val="24"/>
        </w:rPr>
        <w:t>’</w:t>
      </w:r>
      <w:r w:rsidR="00F84F35" w:rsidRPr="006F42E1">
        <w:rPr>
          <w:rFonts w:ascii="Times New Roman" w:hAnsi="Times New Roman" w:cs="Times New Roman"/>
          <w:sz w:val="24"/>
          <w:szCs w:val="24"/>
        </w:rPr>
        <w:t xml:space="preserve"> </w:t>
      </w:r>
      <w:r w:rsidR="009F0126" w:rsidRPr="006F42E1">
        <w:rPr>
          <w:rFonts w:ascii="Times New Roman" w:hAnsi="Times New Roman" w:cs="Times New Roman"/>
          <w:sz w:val="24"/>
          <w:szCs w:val="24"/>
        </w:rPr>
        <w:t xml:space="preserve">para </w:t>
      </w:r>
      <w:r w:rsidR="002813E9" w:rsidRPr="006F42E1">
        <w:rPr>
          <w:rFonts w:ascii="Times New Roman" w:hAnsi="Times New Roman" w:cs="Times New Roman"/>
          <w:sz w:val="24"/>
          <w:szCs w:val="24"/>
        </w:rPr>
        <w:t xml:space="preserve">a </w:t>
      </w:r>
      <w:r w:rsidR="43CF6635" w:rsidRPr="006F42E1">
        <w:rPr>
          <w:rFonts w:ascii="Times New Roman" w:hAnsi="Times New Roman" w:cs="Times New Roman"/>
          <w:sz w:val="24"/>
          <w:szCs w:val="24"/>
        </w:rPr>
        <w:t>área maior</w:t>
      </w:r>
      <w:r w:rsidR="009F0126" w:rsidRPr="006F42E1">
        <w:rPr>
          <w:rFonts w:ascii="Times New Roman" w:hAnsi="Times New Roman" w:cs="Times New Roman"/>
          <w:sz w:val="24"/>
          <w:szCs w:val="24"/>
        </w:rPr>
        <w:t xml:space="preserve">, nesse caso, a população </w:t>
      </w:r>
      <w:r w:rsidR="007B5B1A" w:rsidRPr="006F42E1">
        <w:rPr>
          <w:rFonts w:ascii="Times New Roman" w:hAnsi="Times New Roman" w:cs="Times New Roman"/>
          <w:sz w:val="24"/>
          <w:szCs w:val="24"/>
        </w:rPr>
        <w:t>observada</w:t>
      </w:r>
      <w:r w:rsidR="009F0126" w:rsidRPr="006F42E1">
        <w:rPr>
          <w:rFonts w:ascii="Times New Roman" w:hAnsi="Times New Roman" w:cs="Times New Roman"/>
          <w:sz w:val="24"/>
          <w:szCs w:val="24"/>
        </w:rPr>
        <w:t xml:space="preserve"> do Ceará em 2010</w:t>
      </w:r>
      <w:r w:rsidR="43CF6635" w:rsidRPr="006F42E1">
        <w:rPr>
          <w:rFonts w:ascii="Times New Roman" w:hAnsi="Times New Roman" w:cs="Times New Roman"/>
          <w:sz w:val="24"/>
          <w:szCs w:val="24"/>
        </w:rPr>
        <w:t xml:space="preserve">. É válido mencionar que por todas as </w:t>
      </w:r>
      <w:r w:rsidR="43CF6635" w:rsidRPr="006F42E1">
        <w:rPr>
          <w:rFonts w:ascii="Times New Roman" w:hAnsi="Times New Roman" w:cs="Times New Roman"/>
          <w:sz w:val="24"/>
          <w:szCs w:val="24"/>
        </w:rPr>
        <w:lastRenderedPageBreak/>
        <w:t xml:space="preserve">microrregiões terem apresentado tendência de crescimento entre o Censo de 1991 e 2000, não foi necessário separar grupos de microrregiões com tendência de crescimento ou decrescimento da população. </w:t>
      </w:r>
      <w:r w:rsidR="00A62494" w:rsidRPr="006F42E1">
        <w:rPr>
          <w:rFonts w:ascii="Times New Roman" w:hAnsi="Times New Roman" w:cs="Times New Roman"/>
          <w:sz w:val="24"/>
          <w:szCs w:val="24"/>
        </w:rPr>
        <w:t>Os resultados pelo</w:t>
      </w:r>
      <w:r w:rsidR="43CF6635" w:rsidRPr="006F42E1">
        <w:rPr>
          <w:rFonts w:ascii="Times New Roman" w:hAnsi="Times New Roman" w:cs="Times New Roman"/>
          <w:sz w:val="24"/>
          <w:szCs w:val="24"/>
        </w:rPr>
        <w:t xml:space="preserve"> MR-LOG e </w:t>
      </w:r>
      <w:r w:rsidR="00A62494" w:rsidRPr="006F42E1">
        <w:rPr>
          <w:rFonts w:ascii="Times New Roman" w:hAnsi="Times New Roman" w:cs="Times New Roman"/>
          <w:sz w:val="24"/>
          <w:szCs w:val="24"/>
        </w:rPr>
        <w:t xml:space="preserve">por </w:t>
      </w:r>
      <w:r w:rsidR="43CF6635" w:rsidRPr="006F42E1">
        <w:rPr>
          <w:rFonts w:ascii="Times New Roman" w:hAnsi="Times New Roman" w:cs="Times New Roman"/>
          <w:sz w:val="24"/>
          <w:szCs w:val="24"/>
        </w:rPr>
        <w:t>RC</w:t>
      </w:r>
      <w:r w:rsidR="00BA135A" w:rsidRPr="006F42E1">
        <w:rPr>
          <w:rFonts w:ascii="Times New Roman" w:hAnsi="Times New Roman" w:cs="Times New Roman"/>
          <w:sz w:val="24"/>
          <w:szCs w:val="24"/>
        </w:rPr>
        <w:t xml:space="preserve">, passando </w:t>
      </w:r>
      <w:r w:rsidR="0029672E" w:rsidRPr="006F42E1">
        <w:rPr>
          <w:rFonts w:ascii="Times New Roman" w:hAnsi="Times New Roman" w:cs="Times New Roman"/>
          <w:sz w:val="24"/>
          <w:szCs w:val="24"/>
        </w:rPr>
        <w:t>por procedimentos adicionais,</w:t>
      </w:r>
      <w:r w:rsidR="00D72A57" w:rsidRPr="006F42E1">
        <w:rPr>
          <w:rFonts w:ascii="Times New Roman" w:hAnsi="Times New Roman" w:cs="Times New Roman"/>
          <w:sz w:val="24"/>
          <w:szCs w:val="24"/>
        </w:rPr>
        <w:t xml:space="preserve"> porém simples</w:t>
      </w:r>
      <w:r w:rsidR="00BA135A" w:rsidRPr="006F42E1">
        <w:rPr>
          <w:rFonts w:ascii="Times New Roman" w:hAnsi="Times New Roman" w:cs="Times New Roman"/>
          <w:sz w:val="24"/>
          <w:szCs w:val="24"/>
        </w:rPr>
        <w:t>,</w:t>
      </w:r>
      <w:r w:rsidR="43CF6635" w:rsidRPr="006F42E1">
        <w:rPr>
          <w:rFonts w:ascii="Times New Roman" w:hAnsi="Times New Roman" w:cs="Times New Roman"/>
          <w:sz w:val="24"/>
          <w:szCs w:val="24"/>
        </w:rPr>
        <w:t xml:space="preserve"> também </w:t>
      </w:r>
      <w:r w:rsidR="008B4ECD" w:rsidRPr="006F42E1">
        <w:rPr>
          <w:rFonts w:ascii="Times New Roman" w:hAnsi="Times New Roman" w:cs="Times New Roman"/>
          <w:sz w:val="24"/>
          <w:szCs w:val="24"/>
        </w:rPr>
        <w:t>apresenta</w:t>
      </w:r>
      <w:r w:rsidR="43CF6635" w:rsidRPr="006F42E1">
        <w:rPr>
          <w:rFonts w:ascii="Times New Roman" w:hAnsi="Times New Roman" w:cs="Times New Roman"/>
          <w:sz w:val="24"/>
          <w:szCs w:val="24"/>
        </w:rPr>
        <w:t xml:space="preserve">ram </w:t>
      </w:r>
      <w:r w:rsidR="008B4ECD" w:rsidRPr="006F42E1">
        <w:rPr>
          <w:rFonts w:ascii="Times New Roman" w:hAnsi="Times New Roman" w:cs="Times New Roman"/>
          <w:sz w:val="24"/>
          <w:szCs w:val="24"/>
        </w:rPr>
        <w:t xml:space="preserve">essa </w:t>
      </w:r>
      <w:r w:rsidR="43CF6635" w:rsidRPr="006F42E1">
        <w:rPr>
          <w:rFonts w:ascii="Times New Roman" w:hAnsi="Times New Roman" w:cs="Times New Roman"/>
          <w:sz w:val="24"/>
          <w:szCs w:val="24"/>
        </w:rPr>
        <w:t xml:space="preserve">consistência, enquanto os demais se distanciaram desse total, especialmente o MR-EXP. </w:t>
      </w:r>
    </w:p>
    <w:p w14:paraId="6FA92C93" w14:textId="0861E341" w:rsidR="43CF6635" w:rsidRPr="006F42E1" w:rsidRDefault="000301C1" w:rsidP="43CF6635">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5D111E" w:rsidRPr="006F42E1">
        <w:rPr>
          <w:rFonts w:ascii="Times New Roman" w:hAnsi="Times New Roman" w:cs="Times New Roman"/>
          <w:sz w:val="24"/>
          <w:szCs w:val="24"/>
        </w:rPr>
        <w:t xml:space="preserve">Para </w:t>
      </w:r>
      <w:r w:rsidR="43CF6635" w:rsidRPr="006F42E1">
        <w:rPr>
          <w:rFonts w:ascii="Times New Roman" w:hAnsi="Times New Roman" w:cs="Times New Roman"/>
          <w:sz w:val="24"/>
          <w:szCs w:val="24"/>
        </w:rPr>
        <w:t xml:space="preserve">os métodos de séries temporais, Holt e ARIMA, </w:t>
      </w:r>
      <w:r w:rsidR="005D111E" w:rsidRPr="006F42E1">
        <w:rPr>
          <w:rFonts w:ascii="Times New Roman" w:hAnsi="Times New Roman" w:cs="Times New Roman"/>
          <w:sz w:val="24"/>
          <w:szCs w:val="24"/>
        </w:rPr>
        <w:t>se dispunha de</w:t>
      </w:r>
      <w:r w:rsidR="43CF6635" w:rsidRPr="006F42E1">
        <w:rPr>
          <w:rFonts w:ascii="Times New Roman" w:hAnsi="Times New Roman" w:cs="Times New Roman"/>
          <w:sz w:val="24"/>
          <w:szCs w:val="24"/>
        </w:rPr>
        <w:t xml:space="preserve"> </w:t>
      </w:r>
      <w:r w:rsidR="005D111E" w:rsidRPr="006F42E1">
        <w:rPr>
          <w:rFonts w:ascii="Times New Roman" w:hAnsi="Times New Roman" w:cs="Times New Roman"/>
          <w:sz w:val="24"/>
          <w:szCs w:val="24"/>
        </w:rPr>
        <w:t xml:space="preserve">uma série passada de observações de </w:t>
      </w:r>
      <w:r w:rsidR="43CF6635" w:rsidRPr="006F42E1">
        <w:rPr>
          <w:rFonts w:ascii="Times New Roman" w:hAnsi="Times New Roman" w:cs="Times New Roman"/>
          <w:sz w:val="24"/>
          <w:szCs w:val="24"/>
        </w:rPr>
        <w:t xml:space="preserve">20 pontos (1981 a 2000) para projetar a população </w:t>
      </w:r>
      <w:r w:rsidR="004A16E4" w:rsidRPr="006F42E1">
        <w:rPr>
          <w:rFonts w:ascii="Times New Roman" w:hAnsi="Times New Roman" w:cs="Times New Roman"/>
          <w:sz w:val="24"/>
          <w:szCs w:val="24"/>
        </w:rPr>
        <w:t>das</w:t>
      </w:r>
      <w:r w:rsidR="43CF6635" w:rsidRPr="006F42E1">
        <w:rPr>
          <w:rFonts w:ascii="Times New Roman" w:hAnsi="Times New Roman" w:cs="Times New Roman"/>
          <w:sz w:val="24"/>
          <w:szCs w:val="24"/>
        </w:rPr>
        <w:t xml:space="preserve"> microrregi</w:t>
      </w:r>
      <w:r w:rsidR="004A16E4" w:rsidRPr="006F42E1">
        <w:rPr>
          <w:rFonts w:ascii="Times New Roman" w:hAnsi="Times New Roman" w:cs="Times New Roman"/>
          <w:sz w:val="24"/>
          <w:szCs w:val="24"/>
        </w:rPr>
        <w:t>ões</w:t>
      </w:r>
      <w:r w:rsidR="00D25830" w:rsidRPr="006F42E1">
        <w:rPr>
          <w:rFonts w:ascii="Times New Roman" w:hAnsi="Times New Roman" w:cs="Times New Roman"/>
          <w:sz w:val="24"/>
          <w:szCs w:val="24"/>
        </w:rPr>
        <w:t xml:space="preserve"> (DATASUS</w:t>
      </w:r>
      <w:r w:rsidR="00090C08" w:rsidRPr="006F42E1">
        <w:rPr>
          <w:rFonts w:ascii="Times New Roman" w:hAnsi="Times New Roman" w:cs="Times New Roman"/>
          <w:sz w:val="24"/>
          <w:szCs w:val="24"/>
        </w:rPr>
        <w:t xml:space="preserve">, </w:t>
      </w:r>
      <w:r w:rsidR="00CC585B" w:rsidRPr="006F42E1">
        <w:rPr>
          <w:rFonts w:ascii="Times New Roman" w:hAnsi="Times New Roman" w:cs="Times New Roman"/>
          <w:sz w:val="24"/>
          <w:szCs w:val="24"/>
        </w:rPr>
        <w:t>2022</w:t>
      </w:r>
      <w:r w:rsidR="00D25830" w:rsidRPr="006F42E1">
        <w:rPr>
          <w:rFonts w:ascii="Times New Roman" w:hAnsi="Times New Roman" w:cs="Times New Roman"/>
          <w:sz w:val="24"/>
          <w:szCs w:val="24"/>
        </w:rPr>
        <w:t>)</w:t>
      </w:r>
      <w:r w:rsidR="43CF6635" w:rsidRPr="006F42E1">
        <w:rPr>
          <w:rFonts w:ascii="Times New Roman" w:hAnsi="Times New Roman" w:cs="Times New Roman"/>
          <w:sz w:val="24"/>
          <w:szCs w:val="24"/>
        </w:rPr>
        <w:t xml:space="preserve">. </w:t>
      </w:r>
      <w:r w:rsidR="004A16E4" w:rsidRPr="006F42E1">
        <w:rPr>
          <w:rFonts w:ascii="Times New Roman" w:hAnsi="Times New Roman" w:cs="Times New Roman"/>
          <w:sz w:val="24"/>
          <w:szCs w:val="24"/>
        </w:rPr>
        <w:t xml:space="preserve">Embora fosse possível projetar </w:t>
      </w:r>
      <w:r w:rsidR="000F61FD" w:rsidRPr="006F42E1">
        <w:rPr>
          <w:rFonts w:ascii="Times New Roman" w:hAnsi="Times New Roman" w:cs="Times New Roman"/>
          <w:sz w:val="24"/>
          <w:szCs w:val="24"/>
        </w:rPr>
        <w:t xml:space="preserve">unicamente a </w:t>
      </w:r>
      <w:r w:rsidR="00D92003" w:rsidRPr="006F42E1">
        <w:rPr>
          <w:rFonts w:ascii="Times New Roman" w:hAnsi="Times New Roman" w:cs="Times New Roman"/>
          <w:sz w:val="24"/>
          <w:szCs w:val="24"/>
        </w:rPr>
        <w:t>M</w:t>
      </w:r>
      <w:r w:rsidR="000F61FD" w:rsidRPr="006F42E1">
        <w:rPr>
          <w:rFonts w:ascii="Times New Roman" w:hAnsi="Times New Roman" w:cs="Times New Roman"/>
          <w:sz w:val="24"/>
          <w:szCs w:val="24"/>
        </w:rPr>
        <w:t xml:space="preserve">icrorregião do Cariri, projetou-se todas </w:t>
      </w:r>
      <w:r w:rsidR="00D92003" w:rsidRPr="006F42E1">
        <w:rPr>
          <w:rFonts w:ascii="Times New Roman" w:hAnsi="Times New Roman" w:cs="Times New Roman"/>
          <w:sz w:val="24"/>
          <w:szCs w:val="24"/>
        </w:rPr>
        <w:t xml:space="preserve">as microrregiões </w:t>
      </w:r>
      <w:r w:rsidR="000F61FD" w:rsidRPr="006F42E1">
        <w:rPr>
          <w:rFonts w:ascii="Times New Roman" w:hAnsi="Times New Roman" w:cs="Times New Roman"/>
          <w:sz w:val="24"/>
          <w:szCs w:val="24"/>
        </w:rPr>
        <w:t xml:space="preserve">para permitir a comparação </w:t>
      </w:r>
      <w:r w:rsidR="00C5121A" w:rsidRPr="006F42E1">
        <w:rPr>
          <w:rFonts w:ascii="Times New Roman" w:hAnsi="Times New Roman" w:cs="Times New Roman"/>
          <w:sz w:val="24"/>
          <w:szCs w:val="24"/>
        </w:rPr>
        <w:t>com os outros</w:t>
      </w:r>
      <w:r w:rsidR="000F61FD" w:rsidRPr="006F42E1">
        <w:rPr>
          <w:rFonts w:ascii="Times New Roman" w:hAnsi="Times New Roman" w:cs="Times New Roman"/>
          <w:sz w:val="24"/>
          <w:szCs w:val="24"/>
        </w:rPr>
        <w:t xml:space="preserve"> métodos </w:t>
      </w:r>
      <w:r w:rsidR="002F3D03" w:rsidRPr="006F42E1">
        <w:rPr>
          <w:rFonts w:ascii="Times New Roman" w:hAnsi="Times New Roman" w:cs="Times New Roman"/>
          <w:sz w:val="24"/>
          <w:szCs w:val="24"/>
        </w:rPr>
        <w:t xml:space="preserve">por meio do critério </w:t>
      </w:r>
      <w:r w:rsidR="00CC585B" w:rsidRPr="006F42E1">
        <w:rPr>
          <w:rFonts w:ascii="Times New Roman" w:hAnsi="Times New Roman" w:cs="Times New Roman"/>
          <w:sz w:val="24"/>
          <w:szCs w:val="24"/>
        </w:rPr>
        <w:t>definido para comparação</w:t>
      </w:r>
      <w:r w:rsidR="00922E24" w:rsidRPr="006F42E1">
        <w:rPr>
          <w:rFonts w:ascii="Times New Roman" w:hAnsi="Times New Roman" w:cs="Times New Roman"/>
          <w:sz w:val="24"/>
          <w:szCs w:val="24"/>
        </w:rPr>
        <w:t xml:space="preserve"> (SQD)</w:t>
      </w:r>
      <w:r w:rsidR="002F3D03" w:rsidRPr="006F42E1">
        <w:rPr>
          <w:rFonts w:ascii="Times New Roman" w:hAnsi="Times New Roman" w:cs="Times New Roman"/>
          <w:sz w:val="24"/>
          <w:szCs w:val="24"/>
        </w:rPr>
        <w:t xml:space="preserve">. </w:t>
      </w:r>
      <w:r w:rsidR="00F80921" w:rsidRPr="006F42E1">
        <w:rPr>
          <w:rFonts w:ascii="Times New Roman" w:hAnsi="Times New Roman" w:cs="Times New Roman"/>
          <w:sz w:val="24"/>
          <w:szCs w:val="24"/>
        </w:rPr>
        <w:t>P</w:t>
      </w:r>
      <w:r w:rsidR="43CF6635" w:rsidRPr="006F42E1">
        <w:rPr>
          <w:rFonts w:ascii="Times New Roman" w:hAnsi="Times New Roman" w:cs="Times New Roman"/>
          <w:sz w:val="24"/>
          <w:szCs w:val="24"/>
        </w:rPr>
        <w:t>ara o ARIMA</w:t>
      </w:r>
      <w:r w:rsidR="00F80921" w:rsidRPr="006F42E1">
        <w:rPr>
          <w:rFonts w:ascii="Times New Roman" w:hAnsi="Times New Roman" w:cs="Times New Roman"/>
          <w:sz w:val="24"/>
          <w:szCs w:val="24"/>
        </w:rPr>
        <w:t xml:space="preserve"> há uma função</w:t>
      </w:r>
      <w:r w:rsidR="43CF6635" w:rsidRPr="006F42E1">
        <w:rPr>
          <w:rFonts w:ascii="Times New Roman" w:hAnsi="Times New Roman" w:cs="Times New Roman"/>
          <w:sz w:val="24"/>
          <w:szCs w:val="24"/>
        </w:rPr>
        <w:t xml:space="preserve">, </w:t>
      </w:r>
      <w:r w:rsidR="00F80921" w:rsidRPr="006F42E1">
        <w:rPr>
          <w:rFonts w:ascii="Times New Roman" w:hAnsi="Times New Roman" w:cs="Times New Roman"/>
          <w:i/>
          <w:iCs/>
          <w:sz w:val="24"/>
          <w:szCs w:val="24"/>
        </w:rPr>
        <w:t>‘auto.arima’</w:t>
      </w:r>
      <w:r w:rsidR="007553E4" w:rsidRPr="006F42E1">
        <w:rPr>
          <w:rFonts w:ascii="Times New Roman" w:hAnsi="Times New Roman" w:cs="Times New Roman"/>
          <w:sz w:val="24"/>
          <w:szCs w:val="24"/>
        </w:rPr>
        <w:t xml:space="preserve">, </w:t>
      </w:r>
      <w:r w:rsidR="43CF6635" w:rsidRPr="006F42E1">
        <w:rPr>
          <w:rFonts w:ascii="Times New Roman" w:hAnsi="Times New Roman" w:cs="Times New Roman"/>
          <w:sz w:val="24"/>
          <w:szCs w:val="24"/>
        </w:rPr>
        <w:t>que automatiza a</w:t>
      </w:r>
      <w:r w:rsidR="007553E4" w:rsidRPr="006F42E1">
        <w:rPr>
          <w:rFonts w:ascii="Times New Roman" w:hAnsi="Times New Roman" w:cs="Times New Roman"/>
          <w:sz w:val="24"/>
          <w:szCs w:val="24"/>
        </w:rPr>
        <w:t>s</w:t>
      </w:r>
      <w:r w:rsidR="43CF6635" w:rsidRPr="006F42E1">
        <w:rPr>
          <w:rFonts w:ascii="Times New Roman" w:hAnsi="Times New Roman" w:cs="Times New Roman"/>
          <w:sz w:val="24"/>
          <w:szCs w:val="24"/>
        </w:rPr>
        <w:t xml:space="preserve"> definiç</w:t>
      </w:r>
      <w:r w:rsidR="007553E4" w:rsidRPr="006F42E1">
        <w:rPr>
          <w:rFonts w:ascii="Times New Roman" w:hAnsi="Times New Roman" w:cs="Times New Roman"/>
          <w:sz w:val="24"/>
          <w:szCs w:val="24"/>
        </w:rPr>
        <w:t>ões</w:t>
      </w:r>
      <w:r w:rsidR="002E1D91" w:rsidRPr="006F42E1">
        <w:rPr>
          <w:rFonts w:ascii="Times New Roman" w:hAnsi="Times New Roman" w:cs="Times New Roman"/>
          <w:sz w:val="24"/>
          <w:szCs w:val="24"/>
        </w:rPr>
        <w:t xml:space="preserve"> </w:t>
      </w:r>
      <w:r w:rsidR="43CF6635" w:rsidRPr="006F42E1">
        <w:rPr>
          <w:rFonts w:ascii="Times New Roman" w:hAnsi="Times New Roman" w:cs="Times New Roman"/>
          <w:sz w:val="24"/>
          <w:szCs w:val="24"/>
        </w:rPr>
        <w:t>do ajuste do modelo</w:t>
      </w:r>
      <w:r w:rsidR="00C5121A" w:rsidRPr="006F42E1">
        <w:rPr>
          <w:rFonts w:ascii="Times New Roman" w:hAnsi="Times New Roman" w:cs="Times New Roman"/>
          <w:sz w:val="24"/>
          <w:szCs w:val="24"/>
        </w:rPr>
        <w:t xml:space="preserve"> (</w:t>
      </w:r>
      <w:r w:rsidR="000A03CF" w:rsidRPr="006F42E1">
        <w:rPr>
          <w:rFonts w:ascii="Times New Roman" w:hAnsi="Times New Roman" w:cs="Times New Roman"/>
          <w:sz w:val="24"/>
          <w:szCs w:val="24"/>
        </w:rPr>
        <w:t xml:space="preserve">ordem </w:t>
      </w:r>
      <w:r w:rsidR="00C5121A" w:rsidRPr="006F42E1">
        <w:rPr>
          <w:rFonts w:ascii="Times New Roman" w:hAnsi="Times New Roman" w:cs="Times New Roman"/>
          <w:sz w:val="24"/>
          <w:szCs w:val="24"/>
        </w:rPr>
        <w:t>autor</w:t>
      </w:r>
      <w:r w:rsidR="000A03CF" w:rsidRPr="006F42E1">
        <w:rPr>
          <w:rFonts w:ascii="Times New Roman" w:hAnsi="Times New Roman" w:cs="Times New Roman"/>
          <w:sz w:val="24"/>
          <w:szCs w:val="24"/>
        </w:rPr>
        <w:t>r</w:t>
      </w:r>
      <w:r w:rsidR="00C5121A" w:rsidRPr="006F42E1">
        <w:rPr>
          <w:rFonts w:ascii="Times New Roman" w:hAnsi="Times New Roman" w:cs="Times New Roman"/>
          <w:sz w:val="24"/>
          <w:szCs w:val="24"/>
        </w:rPr>
        <w:t>egress</w:t>
      </w:r>
      <w:r w:rsidR="000A03CF" w:rsidRPr="006F42E1">
        <w:rPr>
          <w:rFonts w:ascii="Times New Roman" w:hAnsi="Times New Roman" w:cs="Times New Roman"/>
          <w:sz w:val="24"/>
          <w:szCs w:val="24"/>
        </w:rPr>
        <w:t>iva</w:t>
      </w:r>
      <w:r w:rsidR="00197362" w:rsidRPr="006F42E1">
        <w:rPr>
          <w:rFonts w:ascii="Times New Roman" w:hAnsi="Times New Roman" w:cs="Times New Roman"/>
          <w:sz w:val="24"/>
          <w:szCs w:val="24"/>
        </w:rPr>
        <w:t xml:space="preserve"> </w:t>
      </w:r>
      <w:r w:rsidR="00197362" w:rsidRPr="006F42E1">
        <w:rPr>
          <w:rFonts w:ascii="Times New Roman" w:hAnsi="Times New Roman" w:cs="Times New Roman"/>
          <w:i/>
          <w:iCs/>
          <w:sz w:val="24"/>
          <w:szCs w:val="24"/>
        </w:rPr>
        <w:t>p</w:t>
      </w:r>
      <w:r w:rsidR="00C5121A" w:rsidRPr="006F42E1">
        <w:rPr>
          <w:rFonts w:ascii="Times New Roman" w:hAnsi="Times New Roman" w:cs="Times New Roman"/>
          <w:sz w:val="24"/>
          <w:szCs w:val="24"/>
        </w:rPr>
        <w:t>, ordem d</w:t>
      </w:r>
      <w:r w:rsidR="000A03CF" w:rsidRPr="006F42E1">
        <w:rPr>
          <w:rFonts w:ascii="Times New Roman" w:hAnsi="Times New Roman" w:cs="Times New Roman"/>
          <w:sz w:val="24"/>
          <w:szCs w:val="24"/>
        </w:rPr>
        <w:t>a</w:t>
      </w:r>
      <w:r w:rsidR="00C5121A" w:rsidRPr="006F42E1">
        <w:rPr>
          <w:rFonts w:ascii="Times New Roman" w:hAnsi="Times New Roman" w:cs="Times New Roman"/>
          <w:sz w:val="24"/>
          <w:szCs w:val="24"/>
        </w:rPr>
        <w:t xml:space="preserve"> diferença</w:t>
      </w:r>
      <w:r w:rsidR="00197362" w:rsidRPr="006F42E1">
        <w:rPr>
          <w:rFonts w:ascii="Times New Roman" w:hAnsi="Times New Roman" w:cs="Times New Roman"/>
          <w:sz w:val="24"/>
          <w:szCs w:val="24"/>
        </w:rPr>
        <w:t xml:space="preserve"> </w:t>
      </w:r>
      <w:r w:rsidR="00197362" w:rsidRPr="006F42E1">
        <w:rPr>
          <w:rFonts w:ascii="Times New Roman" w:hAnsi="Times New Roman" w:cs="Times New Roman"/>
          <w:i/>
          <w:iCs/>
          <w:sz w:val="24"/>
          <w:szCs w:val="24"/>
        </w:rPr>
        <w:t>d</w:t>
      </w:r>
      <w:r w:rsidR="00C5121A" w:rsidRPr="006F42E1">
        <w:rPr>
          <w:rFonts w:ascii="Times New Roman" w:hAnsi="Times New Roman" w:cs="Times New Roman"/>
          <w:sz w:val="24"/>
          <w:szCs w:val="24"/>
        </w:rPr>
        <w:t xml:space="preserve"> e médias móveis</w:t>
      </w:r>
      <w:r w:rsidR="00197362" w:rsidRPr="006F42E1">
        <w:rPr>
          <w:rFonts w:ascii="Times New Roman" w:hAnsi="Times New Roman" w:cs="Times New Roman"/>
          <w:sz w:val="24"/>
          <w:szCs w:val="24"/>
        </w:rPr>
        <w:t xml:space="preserve"> </w:t>
      </w:r>
      <w:r w:rsidR="00197362" w:rsidRPr="006F42E1">
        <w:rPr>
          <w:rFonts w:ascii="Times New Roman" w:hAnsi="Times New Roman" w:cs="Times New Roman"/>
          <w:i/>
          <w:iCs/>
          <w:sz w:val="24"/>
          <w:szCs w:val="24"/>
        </w:rPr>
        <w:t>q</w:t>
      </w:r>
      <w:r w:rsidR="00C5121A" w:rsidRPr="006F42E1">
        <w:rPr>
          <w:rFonts w:ascii="Times New Roman" w:hAnsi="Times New Roman" w:cs="Times New Roman"/>
          <w:sz w:val="24"/>
          <w:szCs w:val="24"/>
        </w:rPr>
        <w:t>)</w:t>
      </w:r>
      <w:r w:rsidR="00242F4A" w:rsidRPr="006F42E1">
        <w:rPr>
          <w:rFonts w:ascii="Times New Roman" w:hAnsi="Times New Roman" w:cs="Times New Roman"/>
          <w:sz w:val="24"/>
          <w:szCs w:val="24"/>
        </w:rPr>
        <w:t xml:space="preserve"> que, no entanto,</w:t>
      </w:r>
      <w:r w:rsidR="43CF6635" w:rsidRPr="006F42E1">
        <w:rPr>
          <w:rFonts w:ascii="Times New Roman" w:hAnsi="Times New Roman" w:cs="Times New Roman"/>
          <w:sz w:val="24"/>
          <w:szCs w:val="24"/>
        </w:rPr>
        <w:t xml:space="preserve"> foi pouco assertiva para prever a população da maior parte das microrregiões</w:t>
      </w:r>
      <w:r w:rsidR="006F6EB6" w:rsidRPr="006F42E1">
        <w:rPr>
          <w:rFonts w:ascii="Times New Roman" w:hAnsi="Times New Roman" w:cs="Times New Roman"/>
          <w:sz w:val="24"/>
          <w:szCs w:val="24"/>
        </w:rPr>
        <w:t xml:space="preserve">, </w:t>
      </w:r>
      <w:r w:rsidR="002827C2" w:rsidRPr="006F42E1">
        <w:rPr>
          <w:rFonts w:ascii="Times New Roman" w:hAnsi="Times New Roman" w:cs="Times New Roman"/>
          <w:sz w:val="24"/>
          <w:szCs w:val="24"/>
        </w:rPr>
        <w:t>notadamente as menores</w:t>
      </w:r>
      <w:r w:rsidR="43CF6635" w:rsidRPr="006F42E1">
        <w:rPr>
          <w:rFonts w:ascii="Times New Roman" w:hAnsi="Times New Roman" w:cs="Times New Roman"/>
          <w:sz w:val="24"/>
          <w:szCs w:val="24"/>
        </w:rPr>
        <w:t xml:space="preserve">. </w:t>
      </w:r>
      <w:r w:rsidR="00121A5F" w:rsidRPr="006F42E1">
        <w:rPr>
          <w:rFonts w:ascii="Times New Roman" w:hAnsi="Times New Roman" w:cs="Times New Roman"/>
          <w:sz w:val="24"/>
          <w:szCs w:val="24"/>
        </w:rPr>
        <w:t>P</w:t>
      </w:r>
      <w:r w:rsidR="43CF6635" w:rsidRPr="006F42E1">
        <w:rPr>
          <w:rFonts w:ascii="Times New Roman" w:hAnsi="Times New Roman" w:cs="Times New Roman"/>
          <w:sz w:val="24"/>
          <w:szCs w:val="24"/>
        </w:rPr>
        <w:t xml:space="preserve">ara ajustar a série e o modelo conseguir realizar a previsão foi empregado </w:t>
      </w:r>
      <w:r w:rsidR="002827C2" w:rsidRPr="006F42E1">
        <w:rPr>
          <w:rFonts w:ascii="Times New Roman" w:hAnsi="Times New Roman" w:cs="Times New Roman"/>
          <w:sz w:val="24"/>
          <w:szCs w:val="24"/>
        </w:rPr>
        <w:t>nesses casos</w:t>
      </w:r>
      <w:r w:rsidR="43CF6635" w:rsidRPr="006F42E1">
        <w:rPr>
          <w:rFonts w:ascii="Times New Roman" w:hAnsi="Times New Roman" w:cs="Times New Roman"/>
          <w:sz w:val="24"/>
          <w:szCs w:val="24"/>
        </w:rPr>
        <w:t xml:space="preserve"> </w:t>
      </w:r>
      <w:r w:rsidR="00DB06C3" w:rsidRPr="006F42E1">
        <w:rPr>
          <w:rFonts w:ascii="Times New Roman" w:hAnsi="Times New Roman" w:cs="Times New Roman"/>
          <w:sz w:val="24"/>
          <w:szCs w:val="24"/>
        </w:rPr>
        <w:t xml:space="preserve">a função </w:t>
      </w:r>
      <w:r w:rsidR="00DB06C3" w:rsidRPr="006F42E1">
        <w:rPr>
          <w:rFonts w:ascii="Times New Roman" w:hAnsi="Times New Roman" w:cs="Times New Roman"/>
          <w:i/>
          <w:iCs/>
          <w:sz w:val="24"/>
          <w:szCs w:val="24"/>
        </w:rPr>
        <w:t>‘rwf’</w:t>
      </w:r>
      <w:r w:rsidR="008D2EC8" w:rsidRPr="006F42E1">
        <w:rPr>
          <w:rFonts w:ascii="Times New Roman" w:hAnsi="Times New Roman" w:cs="Times New Roman"/>
          <w:sz w:val="24"/>
          <w:szCs w:val="24"/>
        </w:rPr>
        <w:t>, um passeio aleatório com tendência</w:t>
      </w:r>
      <w:r w:rsidR="00277A73" w:rsidRPr="006F42E1">
        <w:rPr>
          <w:rFonts w:ascii="Times New Roman" w:hAnsi="Times New Roman" w:cs="Times New Roman"/>
          <w:sz w:val="24"/>
          <w:szCs w:val="24"/>
        </w:rPr>
        <w:t>,</w:t>
      </w:r>
      <w:r w:rsidR="008D2EC8" w:rsidRPr="006F42E1">
        <w:rPr>
          <w:rFonts w:ascii="Times New Roman" w:hAnsi="Times New Roman" w:cs="Times New Roman"/>
          <w:sz w:val="24"/>
          <w:szCs w:val="24"/>
        </w:rPr>
        <w:t xml:space="preserve"> </w:t>
      </w:r>
      <w:r w:rsidR="43CF6635" w:rsidRPr="006F42E1">
        <w:rPr>
          <w:rFonts w:ascii="Times New Roman" w:hAnsi="Times New Roman" w:cs="Times New Roman"/>
          <w:sz w:val="24"/>
          <w:szCs w:val="24"/>
        </w:rPr>
        <w:t xml:space="preserve">similar a um modelo ARIMA </w:t>
      </w:r>
      <w:r w:rsidR="008148CF" w:rsidRPr="006F42E1">
        <w:rPr>
          <w:rFonts w:ascii="Times New Roman" w:hAnsi="Times New Roman" w:cs="Times New Roman"/>
          <w:sz w:val="24"/>
          <w:szCs w:val="24"/>
        </w:rPr>
        <w:t>(</w:t>
      </w:r>
      <w:r w:rsidR="00B6022B" w:rsidRPr="006F42E1">
        <w:rPr>
          <w:rFonts w:ascii="Times New Roman" w:hAnsi="Times New Roman" w:cs="Times New Roman"/>
          <w:i/>
          <w:iCs/>
          <w:sz w:val="24"/>
          <w:szCs w:val="24"/>
        </w:rPr>
        <w:t>0,d,0</w:t>
      </w:r>
      <w:r w:rsidR="008148CF" w:rsidRPr="006F42E1">
        <w:rPr>
          <w:rFonts w:ascii="Times New Roman" w:hAnsi="Times New Roman" w:cs="Times New Roman"/>
          <w:sz w:val="24"/>
          <w:szCs w:val="24"/>
        </w:rPr>
        <w:t xml:space="preserve">), </w:t>
      </w:r>
      <w:r w:rsidR="00B6022B" w:rsidRPr="006F42E1">
        <w:rPr>
          <w:rFonts w:ascii="Times New Roman" w:hAnsi="Times New Roman" w:cs="Times New Roman"/>
          <w:sz w:val="24"/>
          <w:szCs w:val="24"/>
        </w:rPr>
        <w:t xml:space="preserve">com </w:t>
      </w:r>
      <w:r w:rsidR="00B6022B" w:rsidRPr="006F42E1">
        <w:rPr>
          <w:rFonts w:ascii="Times New Roman" w:hAnsi="Times New Roman" w:cs="Times New Roman"/>
          <w:i/>
          <w:iCs/>
          <w:sz w:val="24"/>
          <w:szCs w:val="24"/>
        </w:rPr>
        <w:t>p</w:t>
      </w:r>
      <w:r w:rsidR="000F677B" w:rsidRPr="006F42E1">
        <w:rPr>
          <w:rFonts w:ascii="Times New Roman" w:hAnsi="Times New Roman" w:cs="Times New Roman"/>
          <w:sz w:val="24"/>
          <w:szCs w:val="24"/>
        </w:rPr>
        <w:t>=</w:t>
      </w:r>
      <w:r w:rsidR="43CF6635" w:rsidRPr="006F42E1">
        <w:rPr>
          <w:rFonts w:ascii="Times New Roman" w:hAnsi="Times New Roman" w:cs="Times New Roman"/>
          <w:sz w:val="24"/>
          <w:szCs w:val="24"/>
        </w:rPr>
        <w:t>0,</w:t>
      </w:r>
      <w:r w:rsidR="008148CF" w:rsidRPr="006F42E1">
        <w:rPr>
          <w:rFonts w:ascii="Times New Roman" w:hAnsi="Times New Roman" w:cs="Times New Roman"/>
          <w:sz w:val="24"/>
          <w:szCs w:val="24"/>
        </w:rPr>
        <w:t xml:space="preserve"> </w:t>
      </w:r>
      <w:r w:rsidR="43CF6635" w:rsidRPr="006F42E1">
        <w:rPr>
          <w:rFonts w:ascii="Times New Roman" w:hAnsi="Times New Roman" w:cs="Times New Roman"/>
          <w:i/>
          <w:iCs/>
          <w:sz w:val="24"/>
          <w:szCs w:val="24"/>
        </w:rPr>
        <w:t>d</w:t>
      </w:r>
      <w:r w:rsidR="008148CF" w:rsidRPr="006F42E1">
        <w:rPr>
          <w:rFonts w:ascii="Times New Roman" w:hAnsi="Times New Roman" w:cs="Times New Roman"/>
          <w:sz w:val="24"/>
          <w:szCs w:val="24"/>
        </w:rPr>
        <w:t xml:space="preserve">=1 ou 2 e </w:t>
      </w:r>
      <w:r w:rsidR="008148CF" w:rsidRPr="006F42E1">
        <w:rPr>
          <w:rFonts w:ascii="Times New Roman" w:hAnsi="Times New Roman" w:cs="Times New Roman"/>
          <w:i/>
          <w:iCs/>
          <w:sz w:val="24"/>
          <w:szCs w:val="24"/>
        </w:rPr>
        <w:t>q</w:t>
      </w:r>
      <w:r w:rsidR="008148CF" w:rsidRPr="006F42E1">
        <w:rPr>
          <w:rFonts w:ascii="Times New Roman" w:hAnsi="Times New Roman" w:cs="Times New Roman"/>
          <w:sz w:val="24"/>
          <w:szCs w:val="24"/>
        </w:rPr>
        <w:t>=</w:t>
      </w:r>
      <w:r w:rsidR="43CF6635" w:rsidRPr="006F42E1">
        <w:rPr>
          <w:rFonts w:ascii="Times New Roman" w:hAnsi="Times New Roman" w:cs="Times New Roman"/>
          <w:sz w:val="24"/>
          <w:szCs w:val="24"/>
        </w:rPr>
        <w:t xml:space="preserve">0. </w:t>
      </w:r>
    </w:p>
    <w:p w14:paraId="3A7C64BA" w14:textId="2253AAA1" w:rsidR="43CF6635" w:rsidRPr="006F42E1" w:rsidRDefault="00251F12" w:rsidP="43CF6635">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43CF6635" w:rsidRPr="006F42E1">
        <w:rPr>
          <w:rFonts w:ascii="Times New Roman" w:hAnsi="Times New Roman" w:cs="Times New Roman"/>
          <w:sz w:val="24"/>
          <w:szCs w:val="24"/>
        </w:rPr>
        <w:t xml:space="preserve">Na Tabela 2 </w:t>
      </w:r>
      <w:r w:rsidR="00F91578" w:rsidRPr="006F42E1">
        <w:rPr>
          <w:rFonts w:ascii="Times New Roman" w:hAnsi="Times New Roman" w:cs="Times New Roman"/>
          <w:sz w:val="24"/>
          <w:szCs w:val="24"/>
        </w:rPr>
        <w:t>tem</w:t>
      </w:r>
      <w:r w:rsidR="43CF6635" w:rsidRPr="006F42E1">
        <w:rPr>
          <w:rFonts w:ascii="Times New Roman" w:hAnsi="Times New Roman" w:cs="Times New Roman"/>
          <w:sz w:val="24"/>
          <w:szCs w:val="24"/>
        </w:rPr>
        <w:t xml:space="preserve">-se </w:t>
      </w:r>
      <w:r w:rsidR="00F91578" w:rsidRPr="006F42E1">
        <w:rPr>
          <w:rFonts w:ascii="Times New Roman" w:hAnsi="Times New Roman" w:cs="Times New Roman"/>
          <w:sz w:val="24"/>
          <w:szCs w:val="24"/>
        </w:rPr>
        <w:t>a</w:t>
      </w:r>
      <w:r w:rsidR="43CF6635" w:rsidRPr="006F42E1">
        <w:rPr>
          <w:rFonts w:ascii="Times New Roman" w:hAnsi="Times New Roman" w:cs="Times New Roman"/>
          <w:sz w:val="24"/>
          <w:szCs w:val="24"/>
        </w:rPr>
        <w:t xml:space="preserve"> soma dos quadrados dos desvios</w:t>
      </w:r>
      <w:r w:rsidR="002C4FB4" w:rsidRPr="006F42E1">
        <w:rPr>
          <w:rFonts w:ascii="Times New Roman" w:hAnsi="Times New Roman" w:cs="Times New Roman"/>
          <w:sz w:val="24"/>
          <w:szCs w:val="24"/>
        </w:rPr>
        <w:t xml:space="preserve"> de cada método</w:t>
      </w:r>
      <w:r w:rsidR="43CF6635" w:rsidRPr="006F42E1">
        <w:rPr>
          <w:rFonts w:ascii="Times New Roman" w:hAnsi="Times New Roman" w:cs="Times New Roman"/>
          <w:sz w:val="24"/>
          <w:szCs w:val="24"/>
        </w:rPr>
        <w:t xml:space="preserve"> </w:t>
      </w:r>
      <w:r w:rsidR="00F91578" w:rsidRPr="006F42E1">
        <w:rPr>
          <w:rFonts w:ascii="Times New Roman" w:hAnsi="Times New Roman" w:cs="Times New Roman"/>
          <w:sz w:val="24"/>
          <w:szCs w:val="24"/>
        </w:rPr>
        <w:t>em</w:t>
      </w:r>
      <w:r w:rsidR="43CF6635" w:rsidRPr="006F42E1">
        <w:rPr>
          <w:rFonts w:ascii="Times New Roman" w:hAnsi="Times New Roman" w:cs="Times New Roman"/>
          <w:sz w:val="24"/>
          <w:szCs w:val="24"/>
        </w:rPr>
        <w:t xml:space="preserve"> relação ao Censo de 2010</w:t>
      </w:r>
      <w:r w:rsidR="007A040B" w:rsidRPr="006F42E1">
        <w:rPr>
          <w:rFonts w:ascii="Times New Roman" w:hAnsi="Times New Roman" w:cs="Times New Roman"/>
          <w:sz w:val="24"/>
          <w:szCs w:val="24"/>
        </w:rPr>
        <w:t>. Segundo esse critério,</w:t>
      </w:r>
      <w:r w:rsidR="00DA4C05" w:rsidRPr="006F42E1">
        <w:rPr>
          <w:rFonts w:ascii="Times New Roman" w:hAnsi="Times New Roman" w:cs="Times New Roman"/>
          <w:sz w:val="24"/>
          <w:szCs w:val="24"/>
        </w:rPr>
        <w:t xml:space="preserve"> </w:t>
      </w:r>
      <w:r w:rsidR="009D3056" w:rsidRPr="006F42E1">
        <w:rPr>
          <w:rFonts w:ascii="Times New Roman" w:hAnsi="Times New Roman" w:cs="Times New Roman"/>
          <w:sz w:val="24"/>
          <w:szCs w:val="24"/>
        </w:rPr>
        <w:t>o método da Distribuição Constante do Crescimento foi</w:t>
      </w:r>
      <w:r w:rsidR="00DA4C05" w:rsidRPr="006F42E1">
        <w:rPr>
          <w:rFonts w:ascii="Times New Roman" w:hAnsi="Times New Roman" w:cs="Times New Roman"/>
          <w:sz w:val="24"/>
          <w:szCs w:val="24"/>
        </w:rPr>
        <w:t xml:space="preserve"> </w:t>
      </w:r>
      <w:r w:rsidR="00A9000E" w:rsidRPr="006F42E1">
        <w:rPr>
          <w:rFonts w:ascii="Times New Roman" w:hAnsi="Times New Roman" w:cs="Times New Roman"/>
          <w:sz w:val="24"/>
          <w:szCs w:val="24"/>
        </w:rPr>
        <w:t xml:space="preserve">o </w:t>
      </w:r>
      <w:r w:rsidR="43CF6635" w:rsidRPr="006F42E1">
        <w:rPr>
          <w:rFonts w:ascii="Times New Roman" w:hAnsi="Times New Roman" w:cs="Times New Roman"/>
          <w:sz w:val="24"/>
          <w:szCs w:val="24"/>
        </w:rPr>
        <w:t xml:space="preserve">melhor </w:t>
      </w:r>
      <w:r w:rsidR="00DA4C05" w:rsidRPr="006F42E1">
        <w:rPr>
          <w:rFonts w:ascii="Times New Roman" w:hAnsi="Times New Roman" w:cs="Times New Roman"/>
          <w:sz w:val="24"/>
          <w:szCs w:val="24"/>
        </w:rPr>
        <w:t xml:space="preserve">para </w:t>
      </w:r>
      <w:r w:rsidR="00B6022B" w:rsidRPr="006F42E1">
        <w:rPr>
          <w:rFonts w:ascii="Times New Roman" w:hAnsi="Times New Roman" w:cs="Times New Roman"/>
          <w:sz w:val="24"/>
          <w:szCs w:val="24"/>
        </w:rPr>
        <w:t>a projeção populacional das microrregiões cearenses</w:t>
      </w:r>
      <w:r w:rsidR="43CF6635" w:rsidRPr="006F42E1">
        <w:rPr>
          <w:rFonts w:ascii="Times New Roman" w:hAnsi="Times New Roman" w:cs="Times New Roman"/>
          <w:sz w:val="24"/>
          <w:szCs w:val="24"/>
        </w:rPr>
        <w:t xml:space="preserve">. </w:t>
      </w:r>
    </w:p>
    <w:p w14:paraId="60782C4D" w14:textId="163BF6B4" w:rsidR="43CF6635" w:rsidRPr="006F42E1" w:rsidRDefault="43CF6635" w:rsidP="43CF6635">
      <w:pPr>
        <w:spacing w:after="0" w:line="360" w:lineRule="auto"/>
        <w:jc w:val="both"/>
        <w:rPr>
          <w:rFonts w:ascii="Times New Roman" w:hAnsi="Times New Roman" w:cs="Times New Roman"/>
          <w:sz w:val="24"/>
          <w:szCs w:val="24"/>
        </w:rPr>
      </w:pPr>
    </w:p>
    <w:p w14:paraId="7E752DE9" w14:textId="68FA80E1" w:rsidR="43CF6635" w:rsidRPr="006F42E1" w:rsidRDefault="43CF6635" w:rsidP="007A040B">
      <w:pPr>
        <w:spacing w:after="0" w:line="240" w:lineRule="auto"/>
        <w:jc w:val="both"/>
        <w:rPr>
          <w:rFonts w:ascii="Times New Roman" w:hAnsi="Times New Roman" w:cs="Times New Roman"/>
          <w:b/>
          <w:bCs/>
          <w:sz w:val="24"/>
          <w:szCs w:val="24"/>
        </w:rPr>
      </w:pPr>
      <w:r w:rsidRPr="006F42E1">
        <w:rPr>
          <w:rFonts w:ascii="Times New Roman" w:hAnsi="Times New Roman" w:cs="Times New Roman"/>
          <w:b/>
          <w:bCs/>
          <w:sz w:val="24"/>
          <w:szCs w:val="24"/>
        </w:rPr>
        <w:t xml:space="preserve">Tabela 2 – Soma dos quadrados dos desvios </w:t>
      </w:r>
      <w:r w:rsidR="007A040B" w:rsidRPr="006F42E1">
        <w:rPr>
          <w:rFonts w:ascii="Times New Roman" w:hAnsi="Times New Roman" w:cs="Times New Roman"/>
          <w:b/>
          <w:bCs/>
          <w:sz w:val="24"/>
          <w:szCs w:val="24"/>
        </w:rPr>
        <w:t>entre a</w:t>
      </w:r>
      <w:r w:rsidRPr="006F42E1">
        <w:rPr>
          <w:rFonts w:ascii="Times New Roman" w:hAnsi="Times New Roman" w:cs="Times New Roman"/>
          <w:b/>
          <w:bCs/>
          <w:sz w:val="24"/>
          <w:szCs w:val="24"/>
        </w:rPr>
        <w:t xml:space="preserve"> população projetada por diferentes métodos para 2010 </w:t>
      </w:r>
      <w:r w:rsidR="007A040B" w:rsidRPr="006F42E1">
        <w:rPr>
          <w:rFonts w:ascii="Times New Roman" w:hAnsi="Times New Roman" w:cs="Times New Roman"/>
          <w:b/>
          <w:bCs/>
          <w:sz w:val="24"/>
          <w:szCs w:val="24"/>
        </w:rPr>
        <w:t>e</w:t>
      </w:r>
      <w:r w:rsidRPr="006F42E1">
        <w:rPr>
          <w:rFonts w:ascii="Times New Roman" w:hAnsi="Times New Roman" w:cs="Times New Roman"/>
          <w:b/>
          <w:bCs/>
          <w:sz w:val="24"/>
          <w:szCs w:val="24"/>
        </w:rPr>
        <w:t xml:space="preserve"> a população observada em 2010 - Microrregiões do Ceará</w:t>
      </w:r>
    </w:p>
    <w:tbl>
      <w:tblPr>
        <w:tblW w:w="4253" w:type="dxa"/>
        <w:jc w:val="center"/>
        <w:tblCellMar>
          <w:left w:w="70" w:type="dxa"/>
          <w:right w:w="70" w:type="dxa"/>
        </w:tblCellMar>
        <w:tblLook w:val="04A0" w:firstRow="1" w:lastRow="0" w:firstColumn="1" w:lastColumn="0" w:noHBand="0" w:noVBand="1"/>
      </w:tblPr>
      <w:tblGrid>
        <w:gridCol w:w="2410"/>
        <w:gridCol w:w="1843"/>
      </w:tblGrid>
      <w:tr w:rsidR="006F42E1" w:rsidRPr="006F42E1" w14:paraId="71890EAE" w14:textId="77777777" w:rsidTr="00504ADC">
        <w:trPr>
          <w:trHeight w:val="271"/>
          <w:jc w:val="center"/>
        </w:trPr>
        <w:tc>
          <w:tcPr>
            <w:tcW w:w="2410" w:type="dxa"/>
            <w:tcBorders>
              <w:top w:val="single" w:sz="4" w:space="0" w:color="000000"/>
              <w:left w:val="nil"/>
              <w:bottom w:val="nil"/>
              <w:right w:val="nil"/>
            </w:tcBorders>
            <w:shd w:val="clear" w:color="auto" w:fill="auto"/>
            <w:noWrap/>
            <w:vAlign w:val="bottom"/>
            <w:hideMark/>
          </w:tcPr>
          <w:p w14:paraId="6EF49BE9" w14:textId="77777777" w:rsidR="00F947F6" w:rsidRPr="006F42E1" w:rsidRDefault="00F947F6" w:rsidP="00F947F6">
            <w:pPr>
              <w:spacing w:after="0" w:line="240" w:lineRule="auto"/>
              <w:jc w:val="center"/>
              <w:rPr>
                <w:rFonts w:ascii="Times New Roman" w:eastAsia="Times New Roman" w:hAnsi="Times New Roman" w:cs="Times New Roman"/>
                <w:b/>
                <w:bCs/>
                <w:sz w:val="24"/>
                <w:szCs w:val="24"/>
                <w:lang w:eastAsia="pt-BR"/>
              </w:rPr>
            </w:pPr>
            <w:r w:rsidRPr="006F42E1">
              <w:rPr>
                <w:rFonts w:ascii="Times New Roman" w:eastAsia="Times New Roman" w:hAnsi="Times New Roman" w:cs="Times New Roman"/>
                <w:b/>
                <w:bCs/>
                <w:sz w:val="24"/>
                <w:szCs w:val="24"/>
                <w:lang w:eastAsia="pt-BR"/>
              </w:rPr>
              <w:t>Métodos</w:t>
            </w:r>
          </w:p>
        </w:tc>
        <w:tc>
          <w:tcPr>
            <w:tcW w:w="1843" w:type="dxa"/>
            <w:tcBorders>
              <w:top w:val="single" w:sz="4" w:space="0" w:color="000000"/>
              <w:left w:val="nil"/>
              <w:bottom w:val="nil"/>
              <w:right w:val="nil"/>
            </w:tcBorders>
            <w:shd w:val="clear" w:color="auto" w:fill="auto"/>
            <w:noWrap/>
            <w:vAlign w:val="bottom"/>
            <w:hideMark/>
          </w:tcPr>
          <w:p w14:paraId="390E380D" w14:textId="77777777" w:rsidR="00F947F6" w:rsidRPr="006F42E1" w:rsidRDefault="00F947F6" w:rsidP="00F947F6">
            <w:pPr>
              <w:spacing w:after="0" w:line="240" w:lineRule="auto"/>
              <w:jc w:val="center"/>
              <w:rPr>
                <w:rFonts w:ascii="Times New Roman" w:eastAsia="Times New Roman" w:hAnsi="Times New Roman" w:cs="Times New Roman"/>
                <w:b/>
                <w:bCs/>
                <w:sz w:val="24"/>
                <w:szCs w:val="24"/>
                <w:lang w:eastAsia="pt-BR"/>
              </w:rPr>
            </w:pPr>
            <w:r w:rsidRPr="006F42E1">
              <w:rPr>
                <w:rFonts w:ascii="Times New Roman" w:eastAsia="Times New Roman" w:hAnsi="Times New Roman" w:cs="Times New Roman"/>
                <w:b/>
                <w:bCs/>
                <w:sz w:val="24"/>
                <w:szCs w:val="24"/>
                <w:lang w:eastAsia="pt-BR"/>
              </w:rPr>
              <w:t>SQD</w:t>
            </w:r>
          </w:p>
        </w:tc>
      </w:tr>
      <w:tr w:rsidR="006F42E1" w:rsidRPr="006F42E1" w14:paraId="5215B6F2" w14:textId="77777777" w:rsidTr="00AD0F36">
        <w:trPr>
          <w:trHeight w:val="271"/>
          <w:jc w:val="center"/>
        </w:trPr>
        <w:tc>
          <w:tcPr>
            <w:tcW w:w="2410" w:type="dxa"/>
            <w:tcBorders>
              <w:top w:val="single" w:sz="4" w:space="0" w:color="000000"/>
              <w:left w:val="nil"/>
              <w:bottom w:val="nil"/>
              <w:right w:val="nil"/>
            </w:tcBorders>
            <w:shd w:val="clear" w:color="auto" w:fill="auto"/>
            <w:noWrap/>
            <w:vAlign w:val="center"/>
            <w:hideMark/>
          </w:tcPr>
          <w:p w14:paraId="32051FC0" w14:textId="47291AB9" w:rsidR="00AD0F36" w:rsidRPr="006F42E1" w:rsidRDefault="00AD0F36" w:rsidP="00AD0F36">
            <w:pPr>
              <w:spacing w:after="0" w:line="240" w:lineRule="auto"/>
              <w:jc w:val="center"/>
              <w:rPr>
                <w:rFonts w:ascii="Times New Roman" w:eastAsia="Times New Roman" w:hAnsi="Times New Roman" w:cs="Times New Roman"/>
                <w:b/>
                <w:bCs/>
                <w:sz w:val="24"/>
                <w:szCs w:val="24"/>
                <w:lang w:eastAsia="pt-BR"/>
              </w:rPr>
            </w:pPr>
            <w:r w:rsidRPr="006F42E1">
              <w:rPr>
                <w:rFonts w:ascii="Times New Roman" w:hAnsi="Times New Roman" w:cs="Times New Roman"/>
                <w:b/>
                <w:bCs/>
                <w:sz w:val="24"/>
                <w:szCs w:val="24"/>
              </w:rPr>
              <w:t>DCC</w:t>
            </w:r>
          </w:p>
        </w:tc>
        <w:tc>
          <w:tcPr>
            <w:tcW w:w="1843" w:type="dxa"/>
            <w:tcBorders>
              <w:top w:val="single" w:sz="4" w:space="0" w:color="000000"/>
              <w:left w:val="nil"/>
              <w:bottom w:val="nil"/>
              <w:right w:val="nil"/>
            </w:tcBorders>
            <w:shd w:val="clear" w:color="auto" w:fill="auto"/>
            <w:noWrap/>
            <w:vAlign w:val="center"/>
            <w:hideMark/>
          </w:tcPr>
          <w:p w14:paraId="099FCA04" w14:textId="1A8BA0C0" w:rsidR="00AD0F36" w:rsidRPr="006F42E1" w:rsidRDefault="00AD0F36" w:rsidP="00AD0F36">
            <w:pPr>
              <w:spacing w:after="0" w:line="240" w:lineRule="auto"/>
              <w:jc w:val="right"/>
              <w:rPr>
                <w:rFonts w:ascii="Times New Roman" w:eastAsia="Times New Roman" w:hAnsi="Times New Roman" w:cs="Times New Roman"/>
                <w:sz w:val="24"/>
                <w:szCs w:val="24"/>
                <w:lang w:eastAsia="pt-BR"/>
              </w:rPr>
            </w:pPr>
            <w:r w:rsidRPr="006F42E1">
              <w:rPr>
                <w:rFonts w:ascii="Times New Roman" w:hAnsi="Times New Roman" w:cs="Times New Roman"/>
                <w:sz w:val="24"/>
                <w:szCs w:val="24"/>
              </w:rPr>
              <w:t>996.785.771</w:t>
            </w:r>
          </w:p>
        </w:tc>
      </w:tr>
      <w:tr w:rsidR="006F42E1" w:rsidRPr="006F42E1" w14:paraId="18531BF3" w14:textId="77777777" w:rsidTr="00AD0F36">
        <w:trPr>
          <w:trHeight w:val="271"/>
          <w:jc w:val="center"/>
        </w:trPr>
        <w:tc>
          <w:tcPr>
            <w:tcW w:w="2410" w:type="dxa"/>
            <w:tcBorders>
              <w:top w:val="nil"/>
              <w:left w:val="nil"/>
              <w:bottom w:val="nil"/>
              <w:right w:val="nil"/>
            </w:tcBorders>
            <w:shd w:val="clear" w:color="auto" w:fill="auto"/>
            <w:noWrap/>
            <w:vAlign w:val="center"/>
            <w:hideMark/>
          </w:tcPr>
          <w:p w14:paraId="2618444C" w14:textId="71EAC90E" w:rsidR="00AD0F36" w:rsidRPr="006F42E1" w:rsidRDefault="00AD0F36" w:rsidP="00AD0F36">
            <w:pPr>
              <w:spacing w:after="0" w:line="240" w:lineRule="auto"/>
              <w:jc w:val="center"/>
              <w:rPr>
                <w:rFonts w:ascii="Times New Roman" w:eastAsia="Times New Roman" w:hAnsi="Times New Roman" w:cs="Times New Roman"/>
                <w:b/>
                <w:bCs/>
                <w:sz w:val="24"/>
                <w:szCs w:val="24"/>
                <w:lang w:eastAsia="pt-BR"/>
              </w:rPr>
            </w:pPr>
            <w:r w:rsidRPr="006F42E1">
              <w:rPr>
                <w:rFonts w:ascii="Times New Roman" w:hAnsi="Times New Roman" w:cs="Times New Roman"/>
                <w:b/>
                <w:bCs/>
                <w:sz w:val="24"/>
                <w:szCs w:val="24"/>
              </w:rPr>
              <w:t>DPMC</w:t>
            </w:r>
          </w:p>
        </w:tc>
        <w:tc>
          <w:tcPr>
            <w:tcW w:w="1843" w:type="dxa"/>
            <w:tcBorders>
              <w:top w:val="nil"/>
              <w:left w:val="nil"/>
              <w:bottom w:val="nil"/>
              <w:right w:val="nil"/>
            </w:tcBorders>
            <w:shd w:val="clear" w:color="auto" w:fill="auto"/>
            <w:noWrap/>
            <w:vAlign w:val="center"/>
            <w:hideMark/>
          </w:tcPr>
          <w:p w14:paraId="0C00DE0C" w14:textId="677D82E0" w:rsidR="00AD0F36" w:rsidRPr="006F42E1" w:rsidRDefault="00AD0F36" w:rsidP="00AD0F36">
            <w:pPr>
              <w:spacing w:after="0" w:line="240" w:lineRule="auto"/>
              <w:jc w:val="right"/>
              <w:rPr>
                <w:rFonts w:ascii="Times New Roman" w:eastAsia="Times New Roman" w:hAnsi="Times New Roman" w:cs="Times New Roman"/>
                <w:sz w:val="24"/>
                <w:szCs w:val="24"/>
                <w:lang w:eastAsia="pt-BR"/>
              </w:rPr>
            </w:pPr>
            <w:r w:rsidRPr="006F42E1">
              <w:rPr>
                <w:rFonts w:ascii="Times New Roman" w:hAnsi="Times New Roman" w:cs="Times New Roman"/>
                <w:sz w:val="24"/>
                <w:szCs w:val="24"/>
              </w:rPr>
              <w:t>1.973.698.139</w:t>
            </w:r>
          </w:p>
        </w:tc>
      </w:tr>
      <w:tr w:rsidR="006F42E1" w:rsidRPr="006F42E1" w14:paraId="4964CE04" w14:textId="77777777" w:rsidTr="00AD0F36">
        <w:trPr>
          <w:trHeight w:val="271"/>
          <w:jc w:val="center"/>
        </w:trPr>
        <w:tc>
          <w:tcPr>
            <w:tcW w:w="2410" w:type="dxa"/>
            <w:tcBorders>
              <w:top w:val="nil"/>
              <w:left w:val="nil"/>
              <w:bottom w:val="nil"/>
              <w:right w:val="nil"/>
            </w:tcBorders>
            <w:shd w:val="clear" w:color="auto" w:fill="auto"/>
            <w:noWrap/>
            <w:vAlign w:val="center"/>
            <w:hideMark/>
          </w:tcPr>
          <w:p w14:paraId="4763E57C" w14:textId="4A9D7B05" w:rsidR="00AD0F36" w:rsidRPr="006F42E1" w:rsidRDefault="00AD0F36" w:rsidP="00AD0F36">
            <w:pPr>
              <w:spacing w:after="0" w:line="240" w:lineRule="auto"/>
              <w:jc w:val="center"/>
              <w:rPr>
                <w:rFonts w:ascii="Times New Roman" w:eastAsia="Times New Roman" w:hAnsi="Times New Roman" w:cs="Times New Roman"/>
                <w:b/>
                <w:bCs/>
                <w:sz w:val="24"/>
                <w:szCs w:val="24"/>
                <w:lang w:eastAsia="pt-BR"/>
              </w:rPr>
            </w:pPr>
            <w:r w:rsidRPr="006F42E1">
              <w:rPr>
                <w:rFonts w:ascii="Times New Roman" w:hAnsi="Times New Roman" w:cs="Times New Roman"/>
                <w:b/>
                <w:bCs/>
                <w:sz w:val="24"/>
                <w:szCs w:val="24"/>
              </w:rPr>
              <w:t>RC</w:t>
            </w:r>
          </w:p>
        </w:tc>
        <w:tc>
          <w:tcPr>
            <w:tcW w:w="1843" w:type="dxa"/>
            <w:tcBorders>
              <w:top w:val="nil"/>
              <w:left w:val="nil"/>
              <w:bottom w:val="nil"/>
              <w:right w:val="nil"/>
            </w:tcBorders>
            <w:shd w:val="clear" w:color="auto" w:fill="auto"/>
            <w:noWrap/>
            <w:vAlign w:val="center"/>
            <w:hideMark/>
          </w:tcPr>
          <w:p w14:paraId="5E67A654" w14:textId="10B198AF" w:rsidR="00AD0F36" w:rsidRPr="006F42E1" w:rsidRDefault="00AD0F36" w:rsidP="00AD0F36">
            <w:pPr>
              <w:spacing w:after="0" w:line="240" w:lineRule="auto"/>
              <w:jc w:val="right"/>
              <w:rPr>
                <w:rFonts w:ascii="Times New Roman" w:eastAsia="Times New Roman" w:hAnsi="Times New Roman" w:cs="Times New Roman"/>
                <w:sz w:val="24"/>
                <w:szCs w:val="24"/>
                <w:lang w:eastAsia="pt-BR"/>
              </w:rPr>
            </w:pPr>
            <w:r w:rsidRPr="006F42E1">
              <w:rPr>
                <w:rFonts w:ascii="Times New Roman" w:hAnsi="Times New Roman" w:cs="Times New Roman"/>
                <w:sz w:val="24"/>
                <w:szCs w:val="24"/>
              </w:rPr>
              <w:t>7.854.167.550</w:t>
            </w:r>
          </w:p>
        </w:tc>
      </w:tr>
      <w:tr w:rsidR="006F42E1" w:rsidRPr="006F42E1" w14:paraId="542A85C1" w14:textId="77777777" w:rsidTr="00AD0F36">
        <w:trPr>
          <w:trHeight w:val="271"/>
          <w:jc w:val="center"/>
        </w:trPr>
        <w:tc>
          <w:tcPr>
            <w:tcW w:w="2410" w:type="dxa"/>
            <w:tcBorders>
              <w:top w:val="nil"/>
              <w:left w:val="nil"/>
              <w:bottom w:val="nil"/>
              <w:right w:val="nil"/>
            </w:tcBorders>
            <w:shd w:val="clear" w:color="auto" w:fill="auto"/>
            <w:noWrap/>
            <w:vAlign w:val="center"/>
            <w:hideMark/>
          </w:tcPr>
          <w:p w14:paraId="3B403FB4" w14:textId="5F935AB2" w:rsidR="00AD0F36" w:rsidRPr="006F42E1" w:rsidRDefault="00AD0F36" w:rsidP="00AD0F36">
            <w:pPr>
              <w:spacing w:after="0" w:line="240" w:lineRule="auto"/>
              <w:jc w:val="center"/>
              <w:rPr>
                <w:rFonts w:ascii="Times New Roman" w:eastAsia="Times New Roman" w:hAnsi="Times New Roman" w:cs="Times New Roman"/>
                <w:b/>
                <w:bCs/>
                <w:sz w:val="24"/>
                <w:szCs w:val="24"/>
                <w:lang w:eastAsia="pt-BR"/>
              </w:rPr>
            </w:pPr>
            <w:r w:rsidRPr="006F42E1">
              <w:rPr>
                <w:rFonts w:ascii="Times New Roman" w:hAnsi="Times New Roman" w:cs="Times New Roman"/>
                <w:b/>
                <w:bCs/>
                <w:sz w:val="24"/>
                <w:szCs w:val="24"/>
              </w:rPr>
              <w:t>HOLT</w:t>
            </w:r>
          </w:p>
        </w:tc>
        <w:tc>
          <w:tcPr>
            <w:tcW w:w="1843" w:type="dxa"/>
            <w:tcBorders>
              <w:top w:val="nil"/>
              <w:left w:val="nil"/>
              <w:bottom w:val="nil"/>
              <w:right w:val="nil"/>
            </w:tcBorders>
            <w:shd w:val="clear" w:color="auto" w:fill="auto"/>
            <w:noWrap/>
            <w:vAlign w:val="center"/>
            <w:hideMark/>
          </w:tcPr>
          <w:p w14:paraId="2AD8A479" w14:textId="52C5448A" w:rsidR="00AD0F36" w:rsidRPr="006F42E1" w:rsidRDefault="00AD0F36" w:rsidP="00AD0F36">
            <w:pPr>
              <w:spacing w:after="0" w:line="240" w:lineRule="auto"/>
              <w:jc w:val="right"/>
              <w:rPr>
                <w:rFonts w:ascii="Times New Roman" w:eastAsia="Times New Roman" w:hAnsi="Times New Roman" w:cs="Times New Roman"/>
                <w:sz w:val="24"/>
                <w:szCs w:val="24"/>
                <w:lang w:eastAsia="pt-BR"/>
              </w:rPr>
            </w:pPr>
            <w:r w:rsidRPr="006F42E1">
              <w:rPr>
                <w:rFonts w:ascii="Times New Roman" w:hAnsi="Times New Roman" w:cs="Times New Roman"/>
                <w:sz w:val="24"/>
                <w:szCs w:val="24"/>
              </w:rPr>
              <w:t>17.144.761.002</w:t>
            </w:r>
          </w:p>
        </w:tc>
      </w:tr>
      <w:tr w:rsidR="006F42E1" w:rsidRPr="006F42E1" w14:paraId="168B6F7E" w14:textId="77777777" w:rsidTr="00AD0F36">
        <w:trPr>
          <w:trHeight w:val="271"/>
          <w:jc w:val="center"/>
        </w:trPr>
        <w:tc>
          <w:tcPr>
            <w:tcW w:w="2410" w:type="dxa"/>
            <w:tcBorders>
              <w:top w:val="nil"/>
              <w:left w:val="nil"/>
              <w:bottom w:val="nil"/>
              <w:right w:val="nil"/>
            </w:tcBorders>
            <w:shd w:val="clear" w:color="auto" w:fill="auto"/>
            <w:noWrap/>
            <w:vAlign w:val="center"/>
            <w:hideMark/>
          </w:tcPr>
          <w:p w14:paraId="7E5A281B" w14:textId="4EC816E0" w:rsidR="00AD0F36" w:rsidRPr="006F42E1" w:rsidRDefault="00AD0F36" w:rsidP="00AD0F36">
            <w:pPr>
              <w:spacing w:after="0" w:line="240" w:lineRule="auto"/>
              <w:jc w:val="center"/>
              <w:rPr>
                <w:rFonts w:ascii="Times New Roman" w:eastAsia="Times New Roman" w:hAnsi="Times New Roman" w:cs="Times New Roman"/>
                <w:b/>
                <w:bCs/>
                <w:sz w:val="24"/>
                <w:szCs w:val="24"/>
                <w:lang w:eastAsia="pt-BR"/>
              </w:rPr>
            </w:pPr>
            <w:r w:rsidRPr="006F42E1">
              <w:rPr>
                <w:rFonts w:ascii="Times New Roman" w:hAnsi="Times New Roman" w:cs="Times New Roman"/>
                <w:b/>
                <w:bCs/>
                <w:sz w:val="24"/>
                <w:szCs w:val="24"/>
              </w:rPr>
              <w:t>MR-LOG</w:t>
            </w:r>
          </w:p>
        </w:tc>
        <w:tc>
          <w:tcPr>
            <w:tcW w:w="1843" w:type="dxa"/>
            <w:tcBorders>
              <w:top w:val="nil"/>
              <w:left w:val="nil"/>
              <w:bottom w:val="nil"/>
              <w:right w:val="nil"/>
            </w:tcBorders>
            <w:shd w:val="clear" w:color="auto" w:fill="auto"/>
            <w:noWrap/>
            <w:vAlign w:val="center"/>
            <w:hideMark/>
          </w:tcPr>
          <w:p w14:paraId="63C1A2B2" w14:textId="5D39687F" w:rsidR="00AD0F36" w:rsidRPr="006F42E1" w:rsidRDefault="00AD0F36" w:rsidP="00AD0F36">
            <w:pPr>
              <w:spacing w:after="0" w:line="240" w:lineRule="auto"/>
              <w:jc w:val="right"/>
              <w:rPr>
                <w:rFonts w:ascii="Times New Roman" w:eastAsia="Times New Roman" w:hAnsi="Times New Roman" w:cs="Times New Roman"/>
                <w:sz w:val="24"/>
                <w:szCs w:val="24"/>
                <w:lang w:eastAsia="pt-BR"/>
              </w:rPr>
            </w:pPr>
            <w:r w:rsidRPr="006F42E1">
              <w:rPr>
                <w:rFonts w:ascii="Times New Roman" w:hAnsi="Times New Roman" w:cs="Times New Roman"/>
                <w:sz w:val="24"/>
                <w:szCs w:val="24"/>
              </w:rPr>
              <w:t>20.657.916.521</w:t>
            </w:r>
          </w:p>
        </w:tc>
      </w:tr>
      <w:tr w:rsidR="006F42E1" w:rsidRPr="006F42E1" w14:paraId="543C8EBF" w14:textId="77777777" w:rsidTr="00AD0F36">
        <w:trPr>
          <w:trHeight w:val="271"/>
          <w:jc w:val="center"/>
        </w:trPr>
        <w:tc>
          <w:tcPr>
            <w:tcW w:w="2410" w:type="dxa"/>
            <w:tcBorders>
              <w:top w:val="nil"/>
              <w:left w:val="nil"/>
              <w:bottom w:val="nil"/>
              <w:right w:val="nil"/>
            </w:tcBorders>
            <w:shd w:val="clear" w:color="auto" w:fill="auto"/>
            <w:noWrap/>
            <w:vAlign w:val="center"/>
            <w:hideMark/>
          </w:tcPr>
          <w:p w14:paraId="7E40ECAB" w14:textId="5C66B4BC" w:rsidR="00AD0F36" w:rsidRPr="006F42E1" w:rsidRDefault="00AD0F36" w:rsidP="00AD0F36">
            <w:pPr>
              <w:spacing w:after="0" w:line="240" w:lineRule="auto"/>
              <w:jc w:val="center"/>
              <w:rPr>
                <w:rFonts w:ascii="Times New Roman" w:eastAsia="Times New Roman" w:hAnsi="Times New Roman" w:cs="Times New Roman"/>
                <w:b/>
                <w:bCs/>
                <w:sz w:val="24"/>
                <w:szCs w:val="24"/>
                <w:lang w:eastAsia="pt-BR"/>
              </w:rPr>
            </w:pPr>
            <w:r w:rsidRPr="006F42E1">
              <w:rPr>
                <w:rFonts w:ascii="Times New Roman" w:hAnsi="Times New Roman" w:cs="Times New Roman"/>
                <w:b/>
                <w:bCs/>
                <w:sz w:val="24"/>
                <w:szCs w:val="24"/>
              </w:rPr>
              <w:t>ARIMA</w:t>
            </w:r>
          </w:p>
        </w:tc>
        <w:tc>
          <w:tcPr>
            <w:tcW w:w="1843" w:type="dxa"/>
            <w:tcBorders>
              <w:top w:val="nil"/>
              <w:left w:val="nil"/>
              <w:bottom w:val="nil"/>
              <w:right w:val="nil"/>
            </w:tcBorders>
            <w:shd w:val="clear" w:color="auto" w:fill="auto"/>
            <w:noWrap/>
            <w:vAlign w:val="center"/>
            <w:hideMark/>
          </w:tcPr>
          <w:p w14:paraId="1BC4494B" w14:textId="3B7011DF" w:rsidR="00AD0F36" w:rsidRPr="006F42E1" w:rsidRDefault="00AD0F36" w:rsidP="00AD0F36">
            <w:pPr>
              <w:spacing w:after="0" w:line="240" w:lineRule="auto"/>
              <w:jc w:val="right"/>
              <w:rPr>
                <w:rFonts w:ascii="Times New Roman" w:eastAsia="Times New Roman" w:hAnsi="Times New Roman" w:cs="Times New Roman"/>
                <w:sz w:val="24"/>
                <w:szCs w:val="24"/>
                <w:lang w:eastAsia="pt-BR"/>
              </w:rPr>
            </w:pPr>
            <w:r w:rsidRPr="006F42E1">
              <w:rPr>
                <w:rFonts w:ascii="Times New Roman" w:hAnsi="Times New Roman" w:cs="Times New Roman"/>
                <w:sz w:val="24"/>
                <w:szCs w:val="24"/>
              </w:rPr>
              <w:t>83.935.007.712</w:t>
            </w:r>
          </w:p>
        </w:tc>
      </w:tr>
      <w:tr w:rsidR="006F42E1" w:rsidRPr="006F42E1" w14:paraId="385FB3F0" w14:textId="77777777" w:rsidTr="00AD0F36">
        <w:trPr>
          <w:trHeight w:val="271"/>
          <w:jc w:val="center"/>
        </w:trPr>
        <w:tc>
          <w:tcPr>
            <w:tcW w:w="2410" w:type="dxa"/>
            <w:tcBorders>
              <w:top w:val="nil"/>
              <w:left w:val="nil"/>
              <w:bottom w:val="single" w:sz="4" w:space="0" w:color="000000"/>
              <w:right w:val="nil"/>
            </w:tcBorders>
            <w:shd w:val="clear" w:color="auto" w:fill="auto"/>
            <w:noWrap/>
            <w:vAlign w:val="center"/>
            <w:hideMark/>
          </w:tcPr>
          <w:p w14:paraId="323D20AF" w14:textId="6D1AA6D5" w:rsidR="00AD0F36" w:rsidRPr="006F42E1" w:rsidRDefault="00AD0F36" w:rsidP="00AD0F36">
            <w:pPr>
              <w:spacing w:after="0" w:line="240" w:lineRule="auto"/>
              <w:jc w:val="center"/>
              <w:rPr>
                <w:rFonts w:ascii="Times New Roman" w:eastAsia="Times New Roman" w:hAnsi="Times New Roman" w:cs="Times New Roman"/>
                <w:b/>
                <w:bCs/>
                <w:sz w:val="24"/>
                <w:szCs w:val="24"/>
                <w:lang w:eastAsia="pt-BR"/>
              </w:rPr>
            </w:pPr>
            <w:r w:rsidRPr="006F42E1">
              <w:rPr>
                <w:rFonts w:ascii="Times New Roman" w:hAnsi="Times New Roman" w:cs="Times New Roman"/>
                <w:b/>
                <w:bCs/>
                <w:sz w:val="24"/>
                <w:szCs w:val="24"/>
              </w:rPr>
              <w:t>MR-EXP</w:t>
            </w:r>
          </w:p>
        </w:tc>
        <w:tc>
          <w:tcPr>
            <w:tcW w:w="1843" w:type="dxa"/>
            <w:tcBorders>
              <w:top w:val="nil"/>
              <w:left w:val="nil"/>
              <w:bottom w:val="single" w:sz="4" w:space="0" w:color="000000"/>
              <w:right w:val="nil"/>
            </w:tcBorders>
            <w:shd w:val="clear" w:color="auto" w:fill="auto"/>
            <w:noWrap/>
            <w:vAlign w:val="center"/>
            <w:hideMark/>
          </w:tcPr>
          <w:p w14:paraId="6E1BB79B" w14:textId="561B9783" w:rsidR="00AD0F36" w:rsidRPr="006F42E1" w:rsidRDefault="00AD0F36" w:rsidP="00AD0F36">
            <w:pPr>
              <w:spacing w:after="0" w:line="240" w:lineRule="auto"/>
              <w:jc w:val="right"/>
              <w:rPr>
                <w:rFonts w:ascii="Times New Roman" w:eastAsia="Times New Roman" w:hAnsi="Times New Roman" w:cs="Times New Roman"/>
                <w:sz w:val="24"/>
                <w:szCs w:val="24"/>
                <w:lang w:eastAsia="pt-BR"/>
              </w:rPr>
            </w:pPr>
            <w:r w:rsidRPr="006F42E1">
              <w:rPr>
                <w:rFonts w:ascii="Times New Roman" w:hAnsi="Times New Roman" w:cs="Times New Roman"/>
                <w:sz w:val="24"/>
                <w:szCs w:val="24"/>
              </w:rPr>
              <w:t>129.920.357.760</w:t>
            </w:r>
          </w:p>
        </w:tc>
      </w:tr>
    </w:tbl>
    <w:p w14:paraId="39F2DF51" w14:textId="0D9708E6" w:rsidR="43CF6635" w:rsidRPr="006F42E1" w:rsidRDefault="43CF6635" w:rsidP="43CF6635">
      <w:pPr>
        <w:spacing w:after="0" w:line="360" w:lineRule="auto"/>
        <w:jc w:val="both"/>
        <w:rPr>
          <w:rFonts w:ascii="Times New Roman" w:hAnsi="Times New Roman" w:cs="Times New Roman"/>
          <w:sz w:val="20"/>
          <w:szCs w:val="20"/>
        </w:rPr>
      </w:pPr>
      <w:r w:rsidRPr="006F42E1">
        <w:rPr>
          <w:rFonts w:ascii="Times New Roman" w:hAnsi="Times New Roman" w:cs="Times New Roman"/>
          <w:sz w:val="20"/>
          <w:szCs w:val="20"/>
        </w:rPr>
        <w:t>Fonte: DATASUS, 2022; SIDRA, 2022, IBGE, 2013; 2018.</w:t>
      </w:r>
    </w:p>
    <w:p w14:paraId="6A08DE15" w14:textId="525A0C29" w:rsidR="43CF6635" w:rsidRPr="006F42E1" w:rsidRDefault="43CF6635" w:rsidP="43CF6635">
      <w:pPr>
        <w:spacing w:after="0" w:line="360" w:lineRule="auto"/>
        <w:jc w:val="both"/>
        <w:rPr>
          <w:rFonts w:ascii="Times New Roman" w:hAnsi="Times New Roman" w:cs="Times New Roman"/>
          <w:sz w:val="24"/>
          <w:szCs w:val="24"/>
        </w:rPr>
      </w:pPr>
    </w:p>
    <w:p w14:paraId="13F33BFD" w14:textId="15B54AE5" w:rsidR="003B3EDA" w:rsidRPr="006F42E1" w:rsidRDefault="007D2331" w:rsidP="43CF6635">
      <w:pPr>
        <w:spacing w:after="0" w:line="360" w:lineRule="auto"/>
        <w:ind w:firstLine="708"/>
        <w:jc w:val="both"/>
        <w:rPr>
          <w:rFonts w:ascii="Times New Roman" w:hAnsi="Times New Roman" w:cs="Times New Roman"/>
          <w:sz w:val="24"/>
          <w:szCs w:val="24"/>
        </w:rPr>
      </w:pPr>
      <w:r w:rsidRPr="006F42E1">
        <w:rPr>
          <w:rFonts w:ascii="Times New Roman" w:hAnsi="Times New Roman" w:cs="Times New Roman"/>
          <w:sz w:val="24"/>
          <w:szCs w:val="24"/>
        </w:rPr>
        <w:t>Como já sugeria a</w:t>
      </w:r>
      <w:r w:rsidR="43CF6635" w:rsidRPr="006F42E1">
        <w:rPr>
          <w:rFonts w:ascii="Times New Roman" w:hAnsi="Times New Roman" w:cs="Times New Roman"/>
          <w:sz w:val="24"/>
          <w:szCs w:val="24"/>
        </w:rPr>
        <w:t xml:space="preserve"> Tabela 1, o MR-EXP foi o que </w:t>
      </w:r>
      <w:r w:rsidR="00C4482E" w:rsidRPr="006F42E1">
        <w:rPr>
          <w:rFonts w:ascii="Times New Roman" w:hAnsi="Times New Roman" w:cs="Times New Roman"/>
          <w:sz w:val="24"/>
          <w:szCs w:val="24"/>
        </w:rPr>
        <w:t xml:space="preserve">apresentou </w:t>
      </w:r>
      <w:r w:rsidR="00731FF5" w:rsidRPr="006F42E1">
        <w:rPr>
          <w:rFonts w:ascii="Times New Roman" w:hAnsi="Times New Roman" w:cs="Times New Roman"/>
          <w:sz w:val="24"/>
          <w:szCs w:val="24"/>
        </w:rPr>
        <w:t xml:space="preserve">a </w:t>
      </w:r>
      <w:r w:rsidR="00C4482E" w:rsidRPr="006F42E1">
        <w:rPr>
          <w:rFonts w:ascii="Times New Roman" w:hAnsi="Times New Roman" w:cs="Times New Roman"/>
          <w:sz w:val="24"/>
          <w:szCs w:val="24"/>
        </w:rPr>
        <w:t xml:space="preserve">SQD mais elevada </w:t>
      </w:r>
      <w:r w:rsidR="00731FF5" w:rsidRPr="006F42E1">
        <w:rPr>
          <w:rFonts w:ascii="Times New Roman" w:hAnsi="Times New Roman" w:cs="Times New Roman"/>
          <w:sz w:val="24"/>
          <w:szCs w:val="24"/>
        </w:rPr>
        <w:t>d</w:t>
      </w:r>
      <w:r w:rsidR="00C4482E" w:rsidRPr="006F42E1">
        <w:rPr>
          <w:rFonts w:ascii="Times New Roman" w:hAnsi="Times New Roman" w:cs="Times New Roman"/>
          <w:sz w:val="24"/>
          <w:szCs w:val="24"/>
        </w:rPr>
        <w:t>entre os métodos empregados</w:t>
      </w:r>
      <w:r w:rsidR="00731FF5" w:rsidRPr="006F42E1">
        <w:rPr>
          <w:rFonts w:ascii="Times New Roman" w:hAnsi="Times New Roman" w:cs="Times New Roman"/>
          <w:sz w:val="24"/>
          <w:szCs w:val="24"/>
        </w:rPr>
        <w:t>,</w:t>
      </w:r>
      <w:r w:rsidR="00C4482E" w:rsidRPr="006F42E1">
        <w:rPr>
          <w:rFonts w:ascii="Times New Roman" w:hAnsi="Times New Roman" w:cs="Times New Roman"/>
          <w:sz w:val="24"/>
          <w:szCs w:val="24"/>
        </w:rPr>
        <w:t xml:space="preserve"> </w:t>
      </w:r>
      <w:r w:rsidR="00B33B05" w:rsidRPr="006F42E1">
        <w:rPr>
          <w:rFonts w:ascii="Times New Roman" w:hAnsi="Times New Roman" w:cs="Times New Roman"/>
          <w:sz w:val="24"/>
          <w:szCs w:val="24"/>
        </w:rPr>
        <w:t xml:space="preserve">ou seja, </w:t>
      </w:r>
      <w:r w:rsidR="00D92FC4" w:rsidRPr="006F42E1">
        <w:rPr>
          <w:rFonts w:ascii="Times New Roman" w:hAnsi="Times New Roman" w:cs="Times New Roman"/>
          <w:sz w:val="24"/>
          <w:szCs w:val="24"/>
        </w:rPr>
        <w:t xml:space="preserve">foi o que </w:t>
      </w:r>
      <w:r w:rsidR="0054214B" w:rsidRPr="006F42E1">
        <w:rPr>
          <w:rFonts w:ascii="Times New Roman" w:hAnsi="Times New Roman" w:cs="Times New Roman"/>
          <w:sz w:val="24"/>
          <w:szCs w:val="24"/>
        </w:rPr>
        <w:t>resultou em maior distância entre</w:t>
      </w:r>
      <w:r w:rsidR="00D92FC4" w:rsidRPr="006F42E1">
        <w:rPr>
          <w:rFonts w:ascii="Times New Roman" w:hAnsi="Times New Roman" w:cs="Times New Roman"/>
          <w:sz w:val="24"/>
          <w:szCs w:val="24"/>
        </w:rPr>
        <w:t xml:space="preserve"> </w:t>
      </w:r>
      <w:r w:rsidR="43CF6635" w:rsidRPr="006F42E1">
        <w:rPr>
          <w:rFonts w:ascii="Times New Roman" w:hAnsi="Times New Roman" w:cs="Times New Roman"/>
          <w:sz w:val="24"/>
          <w:szCs w:val="24"/>
        </w:rPr>
        <w:t xml:space="preserve">a </w:t>
      </w:r>
      <w:r w:rsidR="0054214B" w:rsidRPr="006F42E1">
        <w:rPr>
          <w:rFonts w:ascii="Times New Roman" w:hAnsi="Times New Roman" w:cs="Times New Roman"/>
          <w:sz w:val="24"/>
          <w:szCs w:val="24"/>
        </w:rPr>
        <w:t>popul</w:t>
      </w:r>
      <w:r w:rsidR="00B11AC8" w:rsidRPr="006F42E1">
        <w:rPr>
          <w:rFonts w:ascii="Times New Roman" w:hAnsi="Times New Roman" w:cs="Times New Roman"/>
          <w:sz w:val="24"/>
          <w:szCs w:val="24"/>
        </w:rPr>
        <w:t xml:space="preserve">ação </w:t>
      </w:r>
      <w:r w:rsidR="43CF6635" w:rsidRPr="006F42E1">
        <w:rPr>
          <w:rFonts w:ascii="Times New Roman" w:hAnsi="Times New Roman" w:cs="Times New Roman"/>
          <w:sz w:val="24"/>
          <w:szCs w:val="24"/>
        </w:rPr>
        <w:lastRenderedPageBreak/>
        <w:t>proje</w:t>
      </w:r>
      <w:r w:rsidR="00B11AC8" w:rsidRPr="006F42E1">
        <w:rPr>
          <w:rFonts w:ascii="Times New Roman" w:hAnsi="Times New Roman" w:cs="Times New Roman"/>
          <w:sz w:val="24"/>
          <w:szCs w:val="24"/>
        </w:rPr>
        <w:t>tada</w:t>
      </w:r>
      <w:r w:rsidR="43CF6635" w:rsidRPr="006F42E1">
        <w:rPr>
          <w:rFonts w:ascii="Times New Roman" w:hAnsi="Times New Roman" w:cs="Times New Roman"/>
          <w:sz w:val="24"/>
          <w:szCs w:val="24"/>
        </w:rPr>
        <w:t xml:space="preserve"> </w:t>
      </w:r>
      <w:r w:rsidR="0054214B" w:rsidRPr="006F42E1">
        <w:rPr>
          <w:rFonts w:ascii="Times New Roman" w:hAnsi="Times New Roman" w:cs="Times New Roman"/>
          <w:sz w:val="24"/>
          <w:szCs w:val="24"/>
        </w:rPr>
        <w:t xml:space="preserve">e </w:t>
      </w:r>
      <w:r w:rsidR="43CF6635" w:rsidRPr="006F42E1">
        <w:rPr>
          <w:rFonts w:ascii="Times New Roman" w:hAnsi="Times New Roman" w:cs="Times New Roman"/>
          <w:sz w:val="24"/>
          <w:szCs w:val="24"/>
        </w:rPr>
        <w:t xml:space="preserve">a </w:t>
      </w:r>
      <w:r w:rsidRPr="006F42E1">
        <w:rPr>
          <w:rFonts w:ascii="Times New Roman" w:hAnsi="Times New Roman" w:cs="Times New Roman"/>
          <w:sz w:val="24"/>
          <w:szCs w:val="24"/>
        </w:rPr>
        <w:t>realmente observada n</w:t>
      </w:r>
      <w:r w:rsidR="43CF6635" w:rsidRPr="006F42E1">
        <w:rPr>
          <w:rFonts w:ascii="Times New Roman" w:hAnsi="Times New Roman" w:cs="Times New Roman"/>
          <w:sz w:val="24"/>
          <w:szCs w:val="24"/>
        </w:rPr>
        <w:t xml:space="preserve">as microrregiões cearenses. </w:t>
      </w:r>
      <w:r w:rsidR="00661DF9" w:rsidRPr="006F42E1">
        <w:rPr>
          <w:rFonts w:ascii="Times New Roman" w:hAnsi="Times New Roman" w:cs="Times New Roman"/>
          <w:sz w:val="24"/>
          <w:szCs w:val="24"/>
        </w:rPr>
        <w:t>O resultado deriva da abordagem do método que é extrapolar exponencialmente a tendência de crescimento</w:t>
      </w:r>
      <w:r w:rsidR="007F6C04" w:rsidRPr="006F42E1">
        <w:rPr>
          <w:rFonts w:ascii="Times New Roman" w:hAnsi="Times New Roman" w:cs="Times New Roman"/>
          <w:sz w:val="24"/>
          <w:szCs w:val="24"/>
        </w:rPr>
        <w:t>. No entanto, dificilmente</w:t>
      </w:r>
      <w:r w:rsidR="43CF6635" w:rsidRPr="006F42E1">
        <w:rPr>
          <w:rFonts w:ascii="Times New Roman" w:hAnsi="Times New Roman" w:cs="Times New Roman"/>
          <w:sz w:val="24"/>
          <w:szCs w:val="24"/>
        </w:rPr>
        <w:t xml:space="preserve"> </w:t>
      </w:r>
      <w:r w:rsidR="007F6C04" w:rsidRPr="006F42E1">
        <w:rPr>
          <w:rFonts w:ascii="Times New Roman" w:hAnsi="Times New Roman" w:cs="Times New Roman"/>
          <w:sz w:val="24"/>
          <w:szCs w:val="24"/>
        </w:rPr>
        <w:t>tod</w:t>
      </w:r>
      <w:r w:rsidR="43CF6635" w:rsidRPr="006F42E1">
        <w:rPr>
          <w:rFonts w:ascii="Times New Roman" w:hAnsi="Times New Roman" w:cs="Times New Roman"/>
          <w:sz w:val="24"/>
          <w:szCs w:val="24"/>
        </w:rPr>
        <w:t>as áreas menores segu</w:t>
      </w:r>
      <w:r w:rsidR="008F2C21" w:rsidRPr="006F42E1">
        <w:rPr>
          <w:rFonts w:ascii="Times New Roman" w:hAnsi="Times New Roman" w:cs="Times New Roman"/>
          <w:sz w:val="24"/>
          <w:szCs w:val="24"/>
        </w:rPr>
        <w:t>ir</w:t>
      </w:r>
      <w:r w:rsidR="00D30D2D" w:rsidRPr="006F42E1">
        <w:rPr>
          <w:rFonts w:ascii="Times New Roman" w:hAnsi="Times New Roman" w:cs="Times New Roman"/>
          <w:sz w:val="24"/>
          <w:szCs w:val="24"/>
        </w:rPr>
        <w:t>ão</w:t>
      </w:r>
      <w:r w:rsidR="43CF6635" w:rsidRPr="006F42E1">
        <w:rPr>
          <w:rFonts w:ascii="Times New Roman" w:hAnsi="Times New Roman" w:cs="Times New Roman"/>
          <w:sz w:val="24"/>
          <w:szCs w:val="24"/>
        </w:rPr>
        <w:t xml:space="preserve"> a mesma intensidade de crescimento da área maior. </w:t>
      </w:r>
      <w:r w:rsidR="00C935F6" w:rsidRPr="006F42E1">
        <w:rPr>
          <w:rFonts w:ascii="Times New Roman" w:hAnsi="Times New Roman" w:cs="Times New Roman"/>
          <w:sz w:val="24"/>
          <w:szCs w:val="24"/>
        </w:rPr>
        <w:t>O MR-LOG f</w:t>
      </w:r>
      <w:r w:rsidR="006B54E6" w:rsidRPr="006F42E1">
        <w:rPr>
          <w:rFonts w:ascii="Times New Roman" w:hAnsi="Times New Roman" w:cs="Times New Roman"/>
          <w:sz w:val="24"/>
          <w:szCs w:val="24"/>
        </w:rPr>
        <w:t>e</w:t>
      </w:r>
      <w:r w:rsidR="00C935F6" w:rsidRPr="006F42E1">
        <w:rPr>
          <w:rFonts w:ascii="Times New Roman" w:hAnsi="Times New Roman" w:cs="Times New Roman"/>
          <w:sz w:val="24"/>
          <w:szCs w:val="24"/>
        </w:rPr>
        <w:t xml:space="preserve">z uma projeção mais adequada nesse sentido, </w:t>
      </w:r>
      <w:r w:rsidR="4346E9DC" w:rsidRPr="006F42E1">
        <w:rPr>
          <w:rFonts w:ascii="Times New Roman" w:hAnsi="Times New Roman" w:cs="Times New Roman"/>
          <w:sz w:val="24"/>
          <w:szCs w:val="24"/>
        </w:rPr>
        <w:t xml:space="preserve">ao </w:t>
      </w:r>
      <w:r w:rsidR="1D5C89AD" w:rsidRPr="006F42E1">
        <w:rPr>
          <w:rFonts w:ascii="Times New Roman" w:hAnsi="Times New Roman" w:cs="Times New Roman"/>
          <w:sz w:val="24"/>
          <w:szCs w:val="24"/>
        </w:rPr>
        <w:t>limitar</w:t>
      </w:r>
      <w:r w:rsidR="00C935F6" w:rsidRPr="006F42E1">
        <w:rPr>
          <w:rFonts w:ascii="Times New Roman" w:hAnsi="Times New Roman" w:cs="Times New Roman"/>
          <w:sz w:val="24"/>
          <w:szCs w:val="24"/>
        </w:rPr>
        <w:t xml:space="preserve"> </w:t>
      </w:r>
      <w:r w:rsidR="0071078D" w:rsidRPr="006F42E1">
        <w:rPr>
          <w:rFonts w:ascii="Times New Roman" w:hAnsi="Times New Roman" w:cs="Times New Roman"/>
          <w:sz w:val="24"/>
          <w:szCs w:val="24"/>
        </w:rPr>
        <w:t>o crescimento exagerado</w:t>
      </w:r>
      <w:r w:rsidR="006B54E6" w:rsidRPr="006F42E1">
        <w:rPr>
          <w:rFonts w:ascii="Times New Roman" w:hAnsi="Times New Roman" w:cs="Times New Roman"/>
          <w:sz w:val="24"/>
          <w:szCs w:val="24"/>
        </w:rPr>
        <w:t xml:space="preserve"> e</w:t>
      </w:r>
      <w:r w:rsidR="0071078D" w:rsidRPr="006F42E1">
        <w:rPr>
          <w:rFonts w:ascii="Times New Roman" w:hAnsi="Times New Roman" w:cs="Times New Roman"/>
          <w:sz w:val="24"/>
          <w:szCs w:val="24"/>
        </w:rPr>
        <w:t xml:space="preserve"> </w:t>
      </w:r>
      <w:r w:rsidR="1D5C89AD" w:rsidRPr="006F42E1">
        <w:rPr>
          <w:rFonts w:ascii="Times New Roman" w:hAnsi="Times New Roman" w:cs="Times New Roman"/>
          <w:sz w:val="24"/>
          <w:szCs w:val="24"/>
        </w:rPr>
        <w:t>resultar</w:t>
      </w:r>
      <w:r w:rsidR="0081497F" w:rsidRPr="006F42E1">
        <w:rPr>
          <w:rFonts w:ascii="Times New Roman" w:hAnsi="Times New Roman" w:cs="Times New Roman"/>
          <w:sz w:val="24"/>
          <w:szCs w:val="24"/>
        </w:rPr>
        <w:t xml:space="preserve"> em uma SQD bem menor</w:t>
      </w:r>
      <w:r w:rsidR="00AD0F36" w:rsidRPr="006F42E1">
        <w:rPr>
          <w:rFonts w:ascii="Times New Roman" w:hAnsi="Times New Roman" w:cs="Times New Roman"/>
          <w:sz w:val="24"/>
          <w:szCs w:val="24"/>
        </w:rPr>
        <w:t xml:space="preserve">, porém </w:t>
      </w:r>
      <w:r w:rsidR="00D524B2" w:rsidRPr="006F42E1">
        <w:rPr>
          <w:rFonts w:ascii="Times New Roman" w:hAnsi="Times New Roman" w:cs="Times New Roman"/>
          <w:sz w:val="24"/>
          <w:szCs w:val="24"/>
        </w:rPr>
        <w:t xml:space="preserve">ainda </w:t>
      </w:r>
      <w:r w:rsidR="00B37AF5" w:rsidRPr="006F42E1">
        <w:rPr>
          <w:rFonts w:ascii="Times New Roman" w:hAnsi="Times New Roman" w:cs="Times New Roman"/>
          <w:sz w:val="24"/>
          <w:szCs w:val="24"/>
        </w:rPr>
        <w:t>elevada em relação ao DCC</w:t>
      </w:r>
      <w:r w:rsidR="0081497F" w:rsidRPr="006F42E1">
        <w:rPr>
          <w:rFonts w:ascii="Times New Roman" w:hAnsi="Times New Roman" w:cs="Times New Roman"/>
          <w:sz w:val="24"/>
          <w:szCs w:val="24"/>
        </w:rPr>
        <w:t xml:space="preserve">. </w:t>
      </w:r>
      <w:r w:rsidR="2C7EB8AE" w:rsidRPr="006F42E1">
        <w:rPr>
          <w:rFonts w:ascii="Times New Roman" w:hAnsi="Times New Roman" w:cs="Times New Roman"/>
          <w:sz w:val="24"/>
          <w:szCs w:val="24"/>
        </w:rPr>
        <w:t xml:space="preserve">É válido salientar que dos métodos de séries </w:t>
      </w:r>
      <w:r w:rsidR="26AF653C" w:rsidRPr="006F42E1">
        <w:rPr>
          <w:rFonts w:ascii="Times New Roman" w:hAnsi="Times New Roman" w:cs="Times New Roman"/>
          <w:sz w:val="24"/>
          <w:szCs w:val="24"/>
        </w:rPr>
        <w:t>temporais, o Holt obteve melhor resultado em relação ao ARIMA</w:t>
      </w:r>
      <w:r w:rsidR="00DD2992" w:rsidRPr="006F42E1">
        <w:rPr>
          <w:rFonts w:ascii="Times New Roman" w:hAnsi="Times New Roman" w:cs="Times New Roman"/>
          <w:sz w:val="24"/>
          <w:szCs w:val="24"/>
        </w:rPr>
        <w:t>, sen</w:t>
      </w:r>
      <w:r w:rsidR="003B3BF2" w:rsidRPr="006F42E1">
        <w:rPr>
          <w:rFonts w:ascii="Times New Roman" w:hAnsi="Times New Roman" w:cs="Times New Roman"/>
          <w:sz w:val="24"/>
          <w:szCs w:val="24"/>
        </w:rPr>
        <w:t xml:space="preserve">do uma boa </w:t>
      </w:r>
      <w:r w:rsidR="222FFAD0" w:rsidRPr="006F42E1">
        <w:rPr>
          <w:rFonts w:ascii="Times New Roman" w:hAnsi="Times New Roman" w:cs="Times New Roman"/>
          <w:sz w:val="24"/>
          <w:szCs w:val="24"/>
        </w:rPr>
        <w:t xml:space="preserve">opção </w:t>
      </w:r>
      <w:r w:rsidR="003B3BF2" w:rsidRPr="006F42E1">
        <w:rPr>
          <w:rFonts w:ascii="Times New Roman" w:hAnsi="Times New Roman" w:cs="Times New Roman"/>
          <w:sz w:val="24"/>
          <w:szCs w:val="24"/>
        </w:rPr>
        <w:t>se se necessita de</w:t>
      </w:r>
      <w:r w:rsidR="26289F87" w:rsidRPr="006F42E1">
        <w:rPr>
          <w:rFonts w:ascii="Times New Roman" w:hAnsi="Times New Roman" w:cs="Times New Roman"/>
          <w:sz w:val="24"/>
          <w:szCs w:val="24"/>
        </w:rPr>
        <w:t xml:space="preserve"> uma </w:t>
      </w:r>
      <w:r w:rsidR="003B3BF2" w:rsidRPr="006F42E1">
        <w:rPr>
          <w:rFonts w:ascii="Times New Roman" w:hAnsi="Times New Roman" w:cs="Times New Roman"/>
          <w:sz w:val="24"/>
          <w:szCs w:val="24"/>
        </w:rPr>
        <w:t xml:space="preserve">noção de </w:t>
      </w:r>
      <w:r w:rsidR="26289F87" w:rsidRPr="006F42E1">
        <w:rPr>
          <w:rFonts w:ascii="Times New Roman" w:hAnsi="Times New Roman" w:cs="Times New Roman"/>
          <w:sz w:val="24"/>
          <w:szCs w:val="24"/>
        </w:rPr>
        <w:t>margem de erro</w:t>
      </w:r>
      <w:r w:rsidR="003B3BF2" w:rsidRPr="006F42E1">
        <w:rPr>
          <w:rFonts w:ascii="Times New Roman" w:hAnsi="Times New Roman" w:cs="Times New Roman"/>
          <w:sz w:val="24"/>
          <w:szCs w:val="24"/>
        </w:rPr>
        <w:t xml:space="preserve">, uma vez que </w:t>
      </w:r>
      <w:r w:rsidR="00DA6B4C" w:rsidRPr="006F42E1">
        <w:rPr>
          <w:rFonts w:ascii="Times New Roman" w:hAnsi="Times New Roman" w:cs="Times New Roman"/>
          <w:sz w:val="24"/>
          <w:szCs w:val="24"/>
        </w:rPr>
        <w:t xml:space="preserve">gera </w:t>
      </w:r>
      <w:r w:rsidR="32A212D7" w:rsidRPr="006F42E1">
        <w:rPr>
          <w:rFonts w:ascii="Times New Roman" w:hAnsi="Times New Roman" w:cs="Times New Roman"/>
          <w:sz w:val="24"/>
          <w:szCs w:val="24"/>
        </w:rPr>
        <w:t>um intervalo de confiança</w:t>
      </w:r>
      <w:r w:rsidR="00DA6B4C" w:rsidRPr="006F42E1">
        <w:rPr>
          <w:rFonts w:ascii="Times New Roman" w:hAnsi="Times New Roman" w:cs="Times New Roman"/>
          <w:sz w:val="24"/>
          <w:szCs w:val="24"/>
        </w:rPr>
        <w:t xml:space="preserve"> para as previsões</w:t>
      </w:r>
      <w:r w:rsidR="32A212D7" w:rsidRPr="006F42E1">
        <w:rPr>
          <w:rFonts w:ascii="Times New Roman" w:hAnsi="Times New Roman" w:cs="Times New Roman"/>
          <w:sz w:val="24"/>
          <w:szCs w:val="24"/>
        </w:rPr>
        <w:t>.</w:t>
      </w:r>
      <w:r w:rsidR="00DA6B4C" w:rsidRPr="006F42E1">
        <w:rPr>
          <w:rFonts w:ascii="Times New Roman" w:hAnsi="Times New Roman" w:cs="Times New Roman"/>
          <w:sz w:val="24"/>
          <w:szCs w:val="24"/>
        </w:rPr>
        <w:t xml:space="preserve"> </w:t>
      </w:r>
    </w:p>
    <w:p w14:paraId="12AF2272" w14:textId="5BB47C92" w:rsidR="003B3EDA" w:rsidRPr="006F42E1" w:rsidRDefault="003F21DF" w:rsidP="43CF6635">
      <w:pPr>
        <w:spacing w:after="0" w:line="360" w:lineRule="auto"/>
        <w:ind w:firstLine="708"/>
        <w:jc w:val="both"/>
        <w:rPr>
          <w:rFonts w:ascii="Times New Roman" w:hAnsi="Times New Roman" w:cs="Times New Roman"/>
          <w:sz w:val="24"/>
          <w:szCs w:val="24"/>
        </w:rPr>
      </w:pPr>
      <w:r w:rsidRPr="006F42E1">
        <w:rPr>
          <w:rFonts w:ascii="Times New Roman" w:hAnsi="Times New Roman" w:cs="Times New Roman"/>
          <w:sz w:val="24"/>
          <w:szCs w:val="24"/>
        </w:rPr>
        <w:t>Diante desses resultados, o</w:t>
      </w:r>
      <w:r w:rsidR="0E7F4194" w:rsidRPr="006F42E1">
        <w:rPr>
          <w:rFonts w:ascii="Times New Roman" w:hAnsi="Times New Roman" w:cs="Times New Roman"/>
          <w:sz w:val="24"/>
          <w:szCs w:val="24"/>
        </w:rPr>
        <w:t xml:space="preserve"> DCC será utilizado para projetar a população total, pois foi o melhor avaliado </w:t>
      </w:r>
      <w:r w:rsidRPr="006F42E1">
        <w:rPr>
          <w:rFonts w:ascii="Times New Roman" w:hAnsi="Times New Roman" w:cs="Times New Roman"/>
          <w:sz w:val="24"/>
          <w:szCs w:val="24"/>
        </w:rPr>
        <w:t xml:space="preserve">segundo </w:t>
      </w:r>
      <w:r w:rsidR="0E7F4194" w:rsidRPr="006F42E1">
        <w:rPr>
          <w:rFonts w:ascii="Times New Roman" w:hAnsi="Times New Roman" w:cs="Times New Roman"/>
          <w:sz w:val="24"/>
          <w:szCs w:val="24"/>
        </w:rPr>
        <w:t xml:space="preserve">o critério </w:t>
      </w:r>
      <w:r w:rsidRPr="006F42E1">
        <w:rPr>
          <w:rFonts w:ascii="Times New Roman" w:hAnsi="Times New Roman" w:cs="Times New Roman"/>
          <w:sz w:val="24"/>
          <w:szCs w:val="24"/>
        </w:rPr>
        <w:t>adotado</w:t>
      </w:r>
      <w:r w:rsidR="0E7F4194" w:rsidRPr="006F42E1">
        <w:rPr>
          <w:rFonts w:ascii="Times New Roman" w:hAnsi="Times New Roman" w:cs="Times New Roman"/>
          <w:sz w:val="24"/>
          <w:szCs w:val="24"/>
        </w:rPr>
        <w:t xml:space="preserve">. Já o método de relação de coortes será utilizado para projetar a estrutura etária da população. É válido </w:t>
      </w:r>
      <w:r w:rsidRPr="006F42E1">
        <w:rPr>
          <w:rFonts w:ascii="Times New Roman" w:hAnsi="Times New Roman" w:cs="Times New Roman"/>
          <w:sz w:val="24"/>
          <w:szCs w:val="24"/>
        </w:rPr>
        <w:t>lembr</w:t>
      </w:r>
      <w:r w:rsidR="0E7F4194" w:rsidRPr="006F42E1">
        <w:rPr>
          <w:rFonts w:ascii="Times New Roman" w:hAnsi="Times New Roman" w:cs="Times New Roman"/>
          <w:sz w:val="24"/>
          <w:szCs w:val="24"/>
        </w:rPr>
        <w:t xml:space="preserve">ar que a projeção </w:t>
      </w:r>
      <w:r w:rsidRPr="006F42E1">
        <w:rPr>
          <w:rFonts w:ascii="Times New Roman" w:hAnsi="Times New Roman" w:cs="Times New Roman"/>
          <w:sz w:val="24"/>
          <w:szCs w:val="24"/>
        </w:rPr>
        <w:t>é</w:t>
      </w:r>
      <w:r w:rsidR="0E7F4194" w:rsidRPr="006F42E1">
        <w:rPr>
          <w:rFonts w:ascii="Times New Roman" w:hAnsi="Times New Roman" w:cs="Times New Roman"/>
          <w:sz w:val="24"/>
          <w:szCs w:val="24"/>
        </w:rPr>
        <w:t xml:space="preserve"> feita para as 33 microrregiões do Ceará, em virtude </w:t>
      </w:r>
      <w:r w:rsidR="00180F8C" w:rsidRPr="006F42E1">
        <w:rPr>
          <w:rFonts w:ascii="Times New Roman" w:hAnsi="Times New Roman" w:cs="Times New Roman"/>
          <w:sz w:val="24"/>
          <w:szCs w:val="24"/>
        </w:rPr>
        <w:t>da abordagem</w:t>
      </w:r>
      <w:r w:rsidR="0E7F4194" w:rsidRPr="006F42E1">
        <w:rPr>
          <w:rFonts w:ascii="Times New Roman" w:hAnsi="Times New Roman" w:cs="Times New Roman"/>
          <w:sz w:val="24"/>
          <w:szCs w:val="24"/>
        </w:rPr>
        <w:t xml:space="preserve"> do método DCC</w:t>
      </w:r>
      <w:r w:rsidR="00180F8C" w:rsidRPr="006F42E1">
        <w:rPr>
          <w:rFonts w:ascii="Times New Roman" w:hAnsi="Times New Roman" w:cs="Times New Roman"/>
          <w:sz w:val="24"/>
          <w:szCs w:val="24"/>
        </w:rPr>
        <w:t>, n</w:t>
      </w:r>
      <w:r w:rsidR="0E7F4194" w:rsidRPr="006F42E1">
        <w:rPr>
          <w:rFonts w:ascii="Times New Roman" w:hAnsi="Times New Roman" w:cs="Times New Roman"/>
          <w:sz w:val="24"/>
          <w:szCs w:val="24"/>
        </w:rPr>
        <w:t>o entanto</w:t>
      </w:r>
      <w:r w:rsidR="00180F8C" w:rsidRPr="006F42E1">
        <w:rPr>
          <w:rFonts w:ascii="Times New Roman" w:hAnsi="Times New Roman" w:cs="Times New Roman"/>
          <w:sz w:val="24"/>
          <w:szCs w:val="24"/>
        </w:rPr>
        <w:t xml:space="preserve"> a análise dos resultados focaliza</w:t>
      </w:r>
      <w:r w:rsidR="00320D55" w:rsidRPr="006F42E1">
        <w:rPr>
          <w:rFonts w:ascii="Times New Roman" w:hAnsi="Times New Roman" w:cs="Times New Roman"/>
          <w:sz w:val="24"/>
          <w:szCs w:val="24"/>
        </w:rPr>
        <w:t>rá</w:t>
      </w:r>
      <w:r w:rsidR="0E7F4194" w:rsidRPr="006F42E1">
        <w:rPr>
          <w:rFonts w:ascii="Times New Roman" w:hAnsi="Times New Roman" w:cs="Times New Roman"/>
          <w:sz w:val="24"/>
          <w:szCs w:val="24"/>
        </w:rPr>
        <w:t xml:space="preserve"> a</w:t>
      </w:r>
      <w:r w:rsidR="00180F8C" w:rsidRPr="006F42E1">
        <w:rPr>
          <w:rFonts w:ascii="Times New Roman" w:hAnsi="Times New Roman" w:cs="Times New Roman"/>
          <w:sz w:val="24"/>
          <w:szCs w:val="24"/>
        </w:rPr>
        <w:t xml:space="preserve"> </w:t>
      </w:r>
      <w:r w:rsidR="0E7F4194" w:rsidRPr="006F42E1">
        <w:rPr>
          <w:rFonts w:ascii="Times New Roman" w:hAnsi="Times New Roman" w:cs="Times New Roman"/>
          <w:sz w:val="24"/>
          <w:szCs w:val="24"/>
        </w:rPr>
        <w:t>Microrregião do Cariri.</w:t>
      </w:r>
      <w:r w:rsidR="00180F8C" w:rsidRPr="006F42E1">
        <w:rPr>
          <w:rFonts w:ascii="Times New Roman" w:hAnsi="Times New Roman" w:cs="Times New Roman"/>
          <w:sz w:val="24"/>
          <w:szCs w:val="24"/>
        </w:rPr>
        <w:t xml:space="preserve"> </w:t>
      </w:r>
    </w:p>
    <w:p w14:paraId="74E17B7E" w14:textId="3437C842" w:rsidR="003B3EDA" w:rsidRPr="006F42E1" w:rsidRDefault="008F2CCF" w:rsidP="00EB3445">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2E249C" w:rsidRPr="006F42E1">
        <w:rPr>
          <w:rFonts w:ascii="Times New Roman" w:hAnsi="Times New Roman" w:cs="Times New Roman"/>
          <w:sz w:val="24"/>
          <w:szCs w:val="24"/>
        </w:rPr>
        <w:t>Observando, inicialmente,</w:t>
      </w:r>
      <w:r w:rsidR="005C7F6D" w:rsidRPr="006F42E1">
        <w:rPr>
          <w:rFonts w:ascii="Times New Roman" w:hAnsi="Times New Roman" w:cs="Times New Roman"/>
          <w:sz w:val="24"/>
          <w:szCs w:val="24"/>
        </w:rPr>
        <w:t xml:space="preserve"> a população total </w:t>
      </w:r>
      <w:r w:rsidR="002E249C" w:rsidRPr="006F42E1">
        <w:rPr>
          <w:rFonts w:ascii="Times New Roman" w:hAnsi="Times New Roman" w:cs="Times New Roman"/>
          <w:sz w:val="24"/>
          <w:szCs w:val="24"/>
        </w:rPr>
        <w:t>(Figura 6)</w:t>
      </w:r>
      <w:r w:rsidR="003C1AAA" w:rsidRPr="006F42E1">
        <w:rPr>
          <w:rFonts w:ascii="Times New Roman" w:hAnsi="Times New Roman" w:cs="Times New Roman"/>
          <w:sz w:val="24"/>
          <w:szCs w:val="24"/>
        </w:rPr>
        <w:t>,</w:t>
      </w:r>
      <w:r w:rsidR="005C7F6D" w:rsidRPr="006F42E1">
        <w:rPr>
          <w:rFonts w:ascii="Times New Roman" w:hAnsi="Times New Roman" w:cs="Times New Roman"/>
          <w:sz w:val="24"/>
          <w:szCs w:val="24"/>
        </w:rPr>
        <w:t xml:space="preserve"> o incremento </w:t>
      </w:r>
      <w:r w:rsidR="00E975B3" w:rsidRPr="006F42E1">
        <w:rPr>
          <w:rFonts w:ascii="Times New Roman" w:hAnsi="Times New Roman" w:cs="Times New Roman"/>
          <w:sz w:val="24"/>
          <w:szCs w:val="24"/>
        </w:rPr>
        <w:t>populacional é cada vez menor ao longo dos anos</w:t>
      </w:r>
      <w:r w:rsidR="006540DA" w:rsidRPr="006F42E1">
        <w:rPr>
          <w:rFonts w:ascii="Times New Roman" w:hAnsi="Times New Roman" w:cs="Times New Roman"/>
          <w:sz w:val="24"/>
          <w:szCs w:val="24"/>
        </w:rPr>
        <w:t xml:space="preserve">. </w:t>
      </w:r>
      <w:r w:rsidR="00EB3445" w:rsidRPr="006F42E1">
        <w:rPr>
          <w:rFonts w:ascii="Times New Roman" w:hAnsi="Times New Roman" w:cs="Times New Roman"/>
          <w:sz w:val="24"/>
          <w:szCs w:val="24"/>
        </w:rPr>
        <w:t>Entre 1991/2000 o incremento foi de 70.387 pessoas</w:t>
      </w:r>
      <w:r w:rsidR="00B4385B" w:rsidRPr="006F42E1">
        <w:rPr>
          <w:rFonts w:ascii="Times New Roman" w:hAnsi="Times New Roman" w:cs="Times New Roman"/>
          <w:sz w:val="24"/>
          <w:szCs w:val="24"/>
        </w:rPr>
        <w:t xml:space="preserve"> (</w:t>
      </w:r>
      <w:r w:rsidR="00641554" w:rsidRPr="006F42E1">
        <w:rPr>
          <w:rFonts w:ascii="Times New Roman" w:hAnsi="Times New Roman" w:cs="Times New Roman"/>
          <w:sz w:val="24"/>
          <w:szCs w:val="24"/>
        </w:rPr>
        <w:t>1,81</w:t>
      </w:r>
      <w:r w:rsidR="00EB7A56" w:rsidRPr="006F42E1">
        <w:rPr>
          <w:rFonts w:ascii="Times New Roman" w:hAnsi="Times New Roman" w:cs="Times New Roman"/>
          <w:sz w:val="24"/>
          <w:szCs w:val="24"/>
        </w:rPr>
        <w:t>% ao ano</w:t>
      </w:r>
      <w:r w:rsidR="00B4385B" w:rsidRPr="006F42E1">
        <w:rPr>
          <w:rFonts w:ascii="Times New Roman" w:hAnsi="Times New Roman" w:cs="Times New Roman"/>
          <w:sz w:val="24"/>
          <w:szCs w:val="24"/>
        </w:rPr>
        <w:t>)</w:t>
      </w:r>
      <w:r w:rsidR="0099573A" w:rsidRPr="006F42E1">
        <w:rPr>
          <w:rFonts w:ascii="Times New Roman" w:hAnsi="Times New Roman" w:cs="Times New Roman"/>
          <w:sz w:val="24"/>
          <w:szCs w:val="24"/>
        </w:rPr>
        <w:t xml:space="preserve">, e </w:t>
      </w:r>
      <w:r w:rsidR="003C1AAA" w:rsidRPr="006F42E1">
        <w:rPr>
          <w:rFonts w:ascii="Times New Roman" w:hAnsi="Times New Roman" w:cs="Times New Roman"/>
          <w:sz w:val="24"/>
          <w:szCs w:val="24"/>
        </w:rPr>
        <w:t>na década seguinte</w:t>
      </w:r>
      <w:r w:rsidR="00DE1BDC" w:rsidRPr="006F42E1">
        <w:rPr>
          <w:rFonts w:ascii="Times New Roman" w:hAnsi="Times New Roman" w:cs="Times New Roman"/>
          <w:sz w:val="24"/>
          <w:szCs w:val="24"/>
        </w:rPr>
        <w:t>,</w:t>
      </w:r>
      <w:r w:rsidR="0099573A" w:rsidRPr="006F42E1">
        <w:rPr>
          <w:rFonts w:ascii="Times New Roman" w:hAnsi="Times New Roman" w:cs="Times New Roman"/>
          <w:sz w:val="24"/>
          <w:szCs w:val="24"/>
        </w:rPr>
        <w:t xml:space="preserve"> de </w:t>
      </w:r>
      <w:r w:rsidR="00EB3445" w:rsidRPr="006F42E1">
        <w:rPr>
          <w:rFonts w:ascii="Times New Roman" w:hAnsi="Times New Roman" w:cs="Times New Roman"/>
          <w:sz w:val="24"/>
          <w:szCs w:val="24"/>
        </w:rPr>
        <w:t>66.261</w:t>
      </w:r>
      <w:r w:rsidR="00EB7A56" w:rsidRPr="006F42E1">
        <w:rPr>
          <w:rFonts w:ascii="Times New Roman" w:hAnsi="Times New Roman" w:cs="Times New Roman"/>
          <w:sz w:val="24"/>
          <w:szCs w:val="24"/>
        </w:rPr>
        <w:t xml:space="preserve"> (</w:t>
      </w:r>
      <w:r w:rsidR="00641554" w:rsidRPr="006F42E1">
        <w:rPr>
          <w:rFonts w:ascii="Times New Roman" w:hAnsi="Times New Roman" w:cs="Times New Roman"/>
          <w:sz w:val="24"/>
          <w:szCs w:val="24"/>
        </w:rPr>
        <w:t>1,32</w:t>
      </w:r>
      <w:r w:rsidR="00EB7A56" w:rsidRPr="006F42E1">
        <w:rPr>
          <w:rFonts w:ascii="Times New Roman" w:hAnsi="Times New Roman" w:cs="Times New Roman"/>
          <w:sz w:val="24"/>
          <w:szCs w:val="24"/>
        </w:rPr>
        <w:t>% ao ano)</w:t>
      </w:r>
      <w:r w:rsidR="00131BA5" w:rsidRPr="006F42E1">
        <w:rPr>
          <w:rFonts w:ascii="Times New Roman" w:hAnsi="Times New Roman" w:cs="Times New Roman"/>
          <w:sz w:val="24"/>
          <w:szCs w:val="24"/>
        </w:rPr>
        <w:t>. Entre</w:t>
      </w:r>
      <w:r w:rsidR="00980E25" w:rsidRPr="006F42E1">
        <w:rPr>
          <w:rFonts w:ascii="Times New Roman" w:hAnsi="Times New Roman" w:cs="Times New Roman"/>
          <w:sz w:val="24"/>
          <w:szCs w:val="24"/>
        </w:rPr>
        <w:t xml:space="preserve"> 2040 e 2050, esse incremento já </w:t>
      </w:r>
      <w:r w:rsidR="002123FC" w:rsidRPr="006F42E1">
        <w:rPr>
          <w:rFonts w:ascii="Times New Roman" w:hAnsi="Times New Roman" w:cs="Times New Roman"/>
          <w:sz w:val="24"/>
          <w:szCs w:val="24"/>
        </w:rPr>
        <w:t>é mui</w:t>
      </w:r>
      <w:r w:rsidR="00C23FCC" w:rsidRPr="006F42E1">
        <w:rPr>
          <w:rFonts w:ascii="Times New Roman" w:hAnsi="Times New Roman" w:cs="Times New Roman"/>
          <w:sz w:val="24"/>
          <w:szCs w:val="24"/>
        </w:rPr>
        <w:t>to pequeno,</w:t>
      </w:r>
      <w:r w:rsidR="00980E25" w:rsidRPr="006F42E1">
        <w:rPr>
          <w:rFonts w:ascii="Times New Roman" w:hAnsi="Times New Roman" w:cs="Times New Roman"/>
          <w:sz w:val="24"/>
          <w:szCs w:val="24"/>
        </w:rPr>
        <w:t xml:space="preserve"> </w:t>
      </w:r>
      <w:r w:rsidR="00235304" w:rsidRPr="006F42E1">
        <w:rPr>
          <w:rFonts w:ascii="Times New Roman" w:hAnsi="Times New Roman" w:cs="Times New Roman"/>
          <w:sz w:val="24"/>
          <w:szCs w:val="24"/>
        </w:rPr>
        <w:t xml:space="preserve">sendo </w:t>
      </w:r>
      <w:r w:rsidR="00EB7A56" w:rsidRPr="006F42E1">
        <w:rPr>
          <w:rFonts w:ascii="Times New Roman" w:hAnsi="Times New Roman" w:cs="Times New Roman"/>
          <w:sz w:val="24"/>
          <w:szCs w:val="24"/>
        </w:rPr>
        <w:t xml:space="preserve">equivalente a um crescimento de </w:t>
      </w:r>
      <w:r w:rsidR="009867A1" w:rsidRPr="006F42E1">
        <w:rPr>
          <w:rFonts w:ascii="Times New Roman" w:hAnsi="Times New Roman" w:cs="Times New Roman"/>
          <w:sz w:val="24"/>
          <w:szCs w:val="24"/>
        </w:rPr>
        <w:t>0</w:t>
      </w:r>
      <w:r w:rsidR="001D29BE" w:rsidRPr="006F42E1">
        <w:rPr>
          <w:rFonts w:ascii="Times New Roman" w:hAnsi="Times New Roman" w:cs="Times New Roman"/>
          <w:sz w:val="24"/>
          <w:szCs w:val="24"/>
        </w:rPr>
        <w:t>,002%</w:t>
      </w:r>
      <w:r w:rsidR="00235304" w:rsidRPr="006F42E1">
        <w:rPr>
          <w:rFonts w:ascii="Times New Roman" w:hAnsi="Times New Roman" w:cs="Times New Roman"/>
          <w:sz w:val="24"/>
          <w:szCs w:val="24"/>
        </w:rPr>
        <w:t xml:space="preserve">, o que </w:t>
      </w:r>
      <w:r w:rsidR="00980E25" w:rsidRPr="006F42E1">
        <w:rPr>
          <w:rFonts w:ascii="Times New Roman" w:hAnsi="Times New Roman" w:cs="Times New Roman"/>
          <w:sz w:val="24"/>
          <w:szCs w:val="24"/>
        </w:rPr>
        <w:t>aproxima</w:t>
      </w:r>
      <w:r w:rsidR="00C23FCC" w:rsidRPr="006F42E1">
        <w:rPr>
          <w:rFonts w:ascii="Times New Roman" w:hAnsi="Times New Roman" w:cs="Times New Roman"/>
          <w:sz w:val="24"/>
          <w:szCs w:val="24"/>
        </w:rPr>
        <w:t xml:space="preserve"> a microrregião em análise da tendência </w:t>
      </w:r>
      <w:r w:rsidR="00980E25" w:rsidRPr="006F42E1">
        <w:rPr>
          <w:rFonts w:ascii="Times New Roman" w:hAnsi="Times New Roman" w:cs="Times New Roman"/>
          <w:sz w:val="24"/>
          <w:szCs w:val="24"/>
        </w:rPr>
        <w:t xml:space="preserve">de </w:t>
      </w:r>
      <w:r w:rsidR="00C23FCC" w:rsidRPr="006F42E1">
        <w:rPr>
          <w:rFonts w:ascii="Times New Roman" w:hAnsi="Times New Roman" w:cs="Times New Roman"/>
          <w:sz w:val="24"/>
          <w:szCs w:val="24"/>
        </w:rPr>
        <w:t xml:space="preserve">decrescimento populacional </w:t>
      </w:r>
      <w:r w:rsidR="00B526ED" w:rsidRPr="006F42E1">
        <w:rPr>
          <w:rFonts w:ascii="Times New Roman" w:hAnsi="Times New Roman" w:cs="Times New Roman"/>
          <w:sz w:val="24"/>
          <w:szCs w:val="24"/>
        </w:rPr>
        <w:t>já exibida pelo estado nesse mesmo intervalo, segundo as projeções do IBGE (IBGE, 2018)</w:t>
      </w:r>
      <w:r w:rsidR="003D3E59" w:rsidRPr="006F42E1">
        <w:rPr>
          <w:rFonts w:ascii="Times New Roman" w:hAnsi="Times New Roman" w:cs="Times New Roman"/>
          <w:sz w:val="24"/>
          <w:szCs w:val="24"/>
        </w:rPr>
        <w:t>.</w:t>
      </w:r>
      <w:r w:rsidR="00CC52C3" w:rsidRPr="006F42E1">
        <w:rPr>
          <w:rFonts w:ascii="Times New Roman" w:hAnsi="Times New Roman" w:cs="Times New Roman"/>
          <w:sz w:val="24"/>
          <w:szCs w:val="24"/>
        </w:rPr>
        <w:t xml:space="preserve"> </w:t>
      </w:r>
      <w:r w:rsidR="001D29BE" w:rsidRPr="006F42E1">
        <w:rPr>
          <w:rFonts w:ascii="Times New Roman" w:hAnsi="Times New Roman" w:cs="Times New Roman"/>
          <w:sz w:val="24"/>
          <w:szCs w:val="24"/>
        </w:rPr>
        <w:t>Com isso, altera</w:t>
      </w:r>
      <w:r w:rsidR="00844E65" w:rsidRPr="006F42E1">
        <w:rPr>
          <w:rFonts w:ascii="Times New Roman" w:hAnsi="Times New Roman" w:cs="Times New Roman"/>
          <w:sz w:val="24"/>
          <w:szCs w:val="24"/>
        </w:rPr>
        <w:t xml:space="preserve">-se também a distribuição da população entre os grandes grupos etários, </w:t>
      </w:r>
      <w:r w:rsidR="000625FD" w:rsidRPr="006F42E1">
        <w:rPr>
          <w:rFonts w:ascii="Times New Roman" w:hAnsi="Times New Roman" w:cs="Times New Roman"/>
          <w:sz w:val="24"/>
          <w:szCs w:val="24"/>
        </w:rPr>
        <w:t xml:space="preserve">que será vista mais detidamente </w:t>
      </w:r>
      <w:r w:rsidR="00F53B1A" w:rsidRPr="006F42E1">
        <w:rPr>
          <w:rFonts w:ascii="Times New Roman" w:hAnsi="Times New Roman" w:cs="Times New Roman"/>
          <w:sz w:val="24"/>
          <w:szCs w:val="24"/>
        </w:rPr>
        <w:t xml:space="preserve">na </w:t>
      </w:r>
      <w:r w:rsidR="00314846" w:rsidRPr="006F42E1">
        <w:rPr>
          <w:rFonts w:ascii="Times New Roman" w:hAnsi="Times New Roman" w:cs="Times New Roman"/>
          <w:sz w:val="24"/>
          <w:szCs w:val="24"/>
        </w:rPr>
        <w:t>pirâmide etária</w:t>
      </w:r>
      <w:r w:rsidR="00794012" w:rsidRPr="006F42E1">
        <w:rPr>
          <w:rFonts w:ascii="Times New Roman" w:hAnsi="Times New Roman" w:cs="Times New Roman"/>
          <w:sz w:val="24"/>
          <w:szCs w:val="24"/>
        </w:rPr>
        <w:t xml:space="preserve"> </w:t>
      </w:r>
      <w:r w:rsidR="00490B94" w:rsidRPr="006F42E1">
        <w:rPr>
          <w:rFonts w:ascii="Times New Roman" w:hAnsi="Times New Roman" w:cs="Times New Roman"/>
          <w:sz w:val="24"/>
          <w:szCs w:val="24"/>
        </w:rPr>
        <w:t xml:space="preserve">(Figura 7) </w:t>
      </w:r>
      <w:r w:rsidR="00794012" w:rsidRPr="006F42E1">
        <w:rPr>
          <w:rFonts w:ascii="Times New Roman" w:hAnsi="Times New Roman" w:cs="Times New Roman"/>
          <w:sz w:val="24"/>
          <w:szCs w:val="24"/>
        </w:rPr>
        <w:t>e com as Razões de Dependência</w:t>
      </w:r>
      <w:r w:rsidR="00490B94" w:rsidRPr="006F42E1">
        <w:rPr>
          <w:rFonts w:ascii="Times New Roman" w:hAnsi="Times New Roman" w:cs="Times New Roman"/>
          <w:sz w:val="24"/>
          <w:szCs w:val="24"/>
        </w:rPr>
        <w:t xml:space="preserve"> (Figura 8)</w:t>
      </w:r>
      <w:r w:rsidR="00314846" w:rsidRPr="006F42E1">
        <w:rPr>
          <w:rFonts w:ascii="Times New Roman" w:hAnsi="Times New Roman" w:cs="Times New Roman"/>
          <w:sz w:val="24"/>
          <w:szCs w:val="24"/>
        </w:rPr>
        <w:t xml:space="preserve">. </w:t>
      </w:r>
    </w:p>
    <w:p w14:paraId="501624EA" w14:textId="08EF90B9" w:rsidR="0E7F4194" w:rsidRPr="006F42E1" w:rsidRDefault="0E7F4194" w:rsidP="0E7F4194">
      <w:pPr>
        <w:spacing w:after="0" w:line="360" w:lineRule="auto"/>
        <w:jc w:val="both"/>
        <w:rPr>
          <w:rFonts w:ascii="Times New Roman" w:hAnsi="Times New Roman" w:cs="Times New Roman"/>
          <w:sz w:val="24"/>
          <w:szCs w:val="24"/>
        </w:rPr>
      </w:pPr>
    </w:p>
    <w:p w14:paraId="695A0F30" w14:textId="77777777" w:rsidR="00366E76" w:rsidRPr="006F42E1" w:rsidRDefault="00366E76" w:rsidP="0E7F4194">
      <w:pPr>
        <w:spacing w:after="0" w:line="360" w:lineRule="auto"/>
        <w:jc w:val="both"/>
        <w:rPr>
          <w:rFonts w:ascii="Times New Roman" w:hAnsi="Times New Roman" w:cs="Times New Roman"/>
          <w:sz w:val="24"/>
          <w:szCs w:val="24"/>
        </w:rPr>
      </w:pPr>
    </w:p>
    <w:p w14:paraId="53CC98CE" w14:textId="77777777" w:rsidR="00366E76" w:rsidRPr="006F42E1" w:rsidRDefault="00366E76" w:rsidP="0E7F4194">
      <w:pPr>
        <w:spacing w:after="0" w:line="360" w:lineRule="auto"/>
        <w:jc w:val="both"/>
        <w:rPr>
          <w:rFonts w:ascii="Times New Roman" w:hAnsi="Times New Roman" w:cs="Times New Roman"/>
          <w:sz w:val="24"/>
          <w:szCs w:val="24"/>
        </w:rPr>
      </w:pPr>
    </w:p>
    <w:p w14:paraId="38592154" w14:textId="77777777" w:rsidR="00366E76" w:rsidRPr="006F42E1" w:rsidRDefault="00366E76" w:rsidP="0E7F4194">
      <w:pPr>
        <w:spacing w:after="0" w:line="360" w:lineRule="auto"/>
        <w:jc w:val="both"/>
        <w:rPr>
          <w:rFonts w:ascii="Times New Roman" w:hAnsi="Times New Roman" w:cs="Times New Roman"/>
          <w:sz w:val="24"/>
          <w:szCs w:val="24"/>
        </w:rPr>
      </w:pPr>
    </w:p>
    <w:p w14:paraId="647E0BA9" w14:textId="77777777" w:rsidR="00366E76" w:rsidRPr="006F42E1" w:rsidRDefault="00366E76" w:rsidP="0E7F4194">
      <w:pPr>
        <w:spacing w:after="0" w:line="360" w:lineRule="auto"/>
        <w:jc w:val="both"/>
        <w:rPr>
          <w:rFonts w:ascii="Times New Roman" w:hAnsi="Times New Roman" w:cs="Times New Roman"/>
          <w:sz w:val="24"/>
          <w:szCs w:val="24"/>
        </w:rPr>
      </w:pPr>
    </w:p>
    <w:p w14:paraId="4E44799F" w14:textId="77777777" w:rsidR="00366E76" w:rsidRPr="006F42E1" w:rsidRDefault="00366E76" w:rsidP="0E7F4194">
      <w:pPr>
        <w:spacing w:after="0" w:line="360" w:lineRule="auto"/>
        <w:jc w:val="both"/>
        <w:rPr>
          <w:rFonts w:ascii="Times New Roman" w:hAnsi="Times New Roman" w:cs="Times New Roman"/>
          <w:sz w:val="24"/>
          <w:szCs w:val="24"/>
        </w:rPr>
      </w:pPr>
    </w:p>
    <w:p w14:paraId="322E34C1" w14:textId="77777777" w:rsidR="00366E76" w:rsidRPr="006F42E1" w:rsidRDefault="00366E76" w:rsidP="0E7F4194">
      <w:pPr>
        <w:spacing w:after="0" w:line="360" w:lineRule="auto"/>
        <w:jc w:val="both"/>
        <w:rPr>
          <w:rFonts w:ascii="Times New Roman" w:hAnsi="Times New Roman" w:cs="Times New Roman"/>
          <w:sz w:val="24"/>
          <w:szCs w:val="24"/>
        </w:rPr>
      </w:pPr>
    </w:p>
    <w:p w14:paraId="7C18319E" w14:textId="77777777" w:rsidR="00366E76" w:rsidRPr="006F42E1" w:rsidRDefault="00366E76" w:rsidP="0E7F4194">
      <w:pPr>
        <w:spacing w:after="0" w:line="360" w:lineRule="auto"/>
        <w:jc w:val="both"/>
        <w:rPr>
          <w:rFonts w:ascii="Times New Roman" w:hAnsi="Times New Roman" w:cs="Times New Roman"/>
          <w:sz w:val="24"/>
          <w:szCs w:val="24"/>
        </w:rPr>
      </w:pPr>
    </w:p>
    <w:p w14:paraId="5F66944D" w14:textId="09ABA227" w:rsidR="003B3EDA" w:rsidRPr="006F42E1" w:rsidRDefault="48537D1E" w:rsidP="00B916CD">
      <w:pPr>
        <w:spacing w:after="0" w:line="240" w:lineRule="auto"/>
        <w:jc w:val="both"/>
        <w:rPr>
          <w:rFonts w:ascii="Times New Roman" w:hAnsi="Times New Roman" w:cs="Times New Roman"/>
          <w:b/>
          <w:bCs/>
          <w:sz w:val="24"/>
          <w:szCs w:val="24"/>
        </w:rPr>
      </w:pPr>
      <w:r w:rsidRPr="006F42E1">
        <w:rPr>
          <w:rFonts w:ascii="Times New Roman" w:hAnsi="Times New Roman" w:cs="Times New Roman"/>
          <w:b/>
          <w:bCs/>
          <w:sz w:val="24"/>
          <w:szCs w:val="24"/>
        </w:rPr>
        <w:lastRenderedPageBreak/>
        <w:t xml:space="preserve">Figura 6 – População observada (1991, 2000 e 2010) e projetada (2020, 2030, 2040 e 2050) - Microrregião do Cariri </w:t>
      </w:r>
    </w:p>
    <w:p w14:paraId="435D663D" w14:textId="7D90F304" w:rsidR="003B3EDA" w:rsidRPr="006F42E1" w:rsidRDefault="003F5D6D" w:rsidP="003F5D6D">
      <w:pPr>
        <w:spacing w:after="0" w:line="360" w:lineRule="auto"/>
        <w:jc w:val="center"/>
      </w:pPr>
      <w:r w:rsidRPr="006F42E1">
        <w:rPr>
          <w:noProof/>
        </w:rPr>
        <w:drawing>
          <wp:inline distT="0" distB="0" distL="0" distR="0" wp14:anchorId="3CC7D00D" wp14:editId="1A831553">
            <wp:extent cx="5018405" cy="2881423"/>
            <wp:effectExtent l="0" t="0" r="10795" b="14605"/>
            <wp:docPr id="9" name="Gráfico 9">
              <a:extLst xmlns:a="http://schemas.openxmlformats.org/drawingml/2006/main">
                <a:ext uri="{FF2B5EF4-FFF2-40B4-BE49-F238E27FC236}">
                  <a16:creationId xmlns:a16="http://schemas.microsoft.com/office/drawing/2014/main" id="{24435084-2D0E-4687-9C64-3C1B449300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E034965" w14:textId="7870A625" w:rsidR="003B3EDA" w:rsidRPr="006F42E1" w:rsidRDefault="0E7F4194" w:rsidP="0E7F4194">
      <w:pPr>
        <w:spacing w:after="0" w:line="360" w:lineRule="auto"/>
        <w:jc w:val="both"/>
        <w:rPr>
          <w:rFonts w:ascii="Times New Roman" w:hAnsi="Times New Roman" w:cs="Times New Roman"/>
          <w:sz w:val="20"/>
          <w:szCs w:val="20"/>
        </w:rPr>
      </w:pPr>
      <w:r w:rsidRPr="006F42E1">
        <w:rPr>
          <w:rFonts w:ascii="Times New Roman" w:hAnsi="Times New Roman" w:cs="Times New Roman"/>
          <w:sz w:val="20"/>
          <w:szCs w:val="20"/>
        </w:rPr>
        <w:t xml:space="preserve">Fonte: SIDRA, 2022; IBGE, 2013; 2018.  </w:t>
      </w:r>
    </w:p>
    <w:p w14:paraId="783CAA94" w14:textId="32500D47" w:rsidR="43CF6635" w:rsidRPr="006F42E1" w:rsidRDefault="43CF6635" w:rsidP="43CF6635">
      <w:pPr>
        <w:spacing w:after="0" w:line="360" w:lineRule="auto"/>
        <w:jc w:val="both"/>
        <w:rPr>
          <w:rFonts w:ascii="Times New Roman" w:hAnsi="Times New Roman" w:cs="Times New Roman"/>
          <w:sz w:val="24"/>
          <w:szCs w:val="24"/>
        </w:rPr>
      </w:pPr>
    </w:p>
    <w:p w14:paraId="7CF63035" w14:textId="72541E63" w:rsidR="006A774C" w:rsidRPr="006F42E1" w:rsidRDefault="006A774C" w:rsidP="43CF6635">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955A51" w:rsidRPr="006F42E1">
        <w:rPr>
          <w:rFonts w:ascii="Times New Roman" w:hAnsi="Times New Roman" w:cs="Times New Roman"/>
          <w:sz w:val="24"/>
          <w:szCs w:val="24"/>
        </w:rPr>
        <w:t xml:space="preserve">A distribuição por </w:t>
      </w:r>
      <w:r w:rsidR="00314846" w:rsidRPr="006F42E1">
        <w:rPr>
          <w:rFonts w:ascii="Times New Roman" w:hAnsi="Times New Roman" w:cs="Times New Roman"/>
          <w:sz w:val="24"/>
          <w:szCs w:val="24"/>
        </w:rPr>
        <w:t xml:space="preserve">sexo e grupos de </w:t>
      </w:r>
      <w:r w:rsidR="00955A51" w:rsidRPr="006F42E1">
        <w:rPr>
          <w:rFonts w:ascii="Times New Roman" w:hAnsi="Times New Roman" w:cs="Times New Roman"/>
          <w:sz w:val="24"/>
          <w:szCs w:val="24"/>
        </w:rPr>
        <w:t>idade fornec</w:t>
      </w:r>
      <w:r w:rsidR="00314846" w:rsidRPr="006F42E1">
        <w:rPr>
          <w:rFonts w:ascii="Times New Roman" w:hAnsi="Times New Roman" w:cs="Times New Roman"/>
          <w:sz w:val="24"/>
          <w:szCs w:val="24"/>
        </w:rPr>
        <w:t>e</w:t>
      </w:r>
      <w:r w:rsidR="00955A51" w:rsidRPr="006F42E1">
        <w:rPr>
          <w:rFonts w:ascii="Times New Roman" w:hAnsi="Times New Roman" w:cs="Times New Roman"/>
          <w:sz w:val="24"/>
          <w:szCs w:val="24"/>
        </w:rPr>
        <w:t xml:space="preserve"> uma visualização mais clara das transformações na estrutura etária </w:t>
      </w:r>
      <w:r w:rsidR="00D75B63" w:rsidRPr="006F42E1">
        <w:rPr>
          <w:rFonts w:ascii="Times New Roman" w:hAnsi="Times New Roman" w:cs="Times New Roman"/>
          <w:sz w:val="24"/>
          <w:szCs w:val="24"/>
        </w:rPr>
        <w:t xml:space="preserve">da população </w:t>
      </w:r>
      <w:r w:rsidR="00955A51" w:rsidRPr="006F42E1">
        <w:rPr>
          <w:rFonts w:ascii="Times New Roman" w:hAnsi="Times New Roman" w:cs="Times New Roman"/>
          <w:sz w:val="24"/>
          <w:szCs w:val="24"/>
        </w:rPr>
        <w:t>da microrregião</w:t>
      </w:r>
      <w:r w:rsidR="00D75B63" w:rsidRPr="006F42E1">
        <w:rPr>
          <w:rFonts w:ascii="Times New Roman" w:hAnsi="Times New Roman" w:cs="Times New Roman"/>
          <w:sz w:val="24"/>
          <w:szCs w:val="24"/>
        </w:rPr>
        <w:t xml:space="preserve"> (Figur</w:t>
      </w:r>
      <w:r w:rsidR="00A72694" w:rsidRPr="006F42E1">
        <w:rPr>
          <w:rFonts w:ascii="Times New Roman" w:hAnsi="Times New Roman" w:cs="Times New Roman"/>
          <w:sz w:val="24"/>
          <w:szCs w:val="24"/>
        </w:rPr>
        <w:t>a 7)</w:t>
      </w:r>
      <w:r w:rsidR="00955A51" w:rsidRPr="006F42E1">
        <w:rPr>
          <w:rFonts w:ascii="Times New Roman" w:hAnsi="Times New Roman" w:cs="Times New Roman"/>
          <w:sz w:val="24"/>
          <w:szCs w:val="24"/>
        </w:rPr>
        <w:t xml:space="preserve">. </w:t>
      </w:r>
      <w:r w:rsidR="00EF7A2B" w:rsidRPr="006F42E1">
        <w:rPr>
          <w:rFonts w:ascii="Times New Roman" w:hAnsi="Times New Roman" w:cs="Times New Roman"/>
          <w:sz w:val="24"/>
          <w:szCs w:val="24"/>
        </w:rPr>
        <w:t xml:space="preserve">Em </w:t>
      </w:r>
      <w:r w:rsidR="007B5A5E" w:rsidRPr="006F42E1">
        <w:rPr>
          <w:rFonts w:ascii="Times New Roman" w:hAnsi="Times New Roman" w:cs="Times New Roman"/>
          <w:sz w:val="24"/>
          <w:szCs w:val="24"/>
        </w:rPr>
        <w:t>1991</w:t>
      </w:r>
      <w:r w:rsidR="00EF7A2B" w:rsidRPr="006F42E1">
        <w:rPr>
          <w:rFonts w:ascii="Times New Roman" w:hAnsi="Times New Roman" w:cs="Times New Roman"/>
          <w:sz w:val="24"/>
          <w:szCs w:val="24"/>
        </w:rPr>
        <w:t>, a pirâmide já apresenta uma base encolhida, em razão da tendência de diminuição da fecundidade que vem sendo observada nas últimas décadas</w:t>
      </w:r>
      <w:r w:rsidR="00314846" w:rsidRPr="006F42E1">
        <w:rPr>
          <w:rFonts w:ascii="Times New Roman" w:hAnsi="Times New Roman" w:cs="Times New Roman"/>
          <w:sz w:val="24"/>
          <w:szCs w:val="24"/>
        </w:rPr>
        <w:t xml:space="preserve"> e</w:t>
      </w:r>
      <w:r w:rsidR="00EF7A2B" w:rsidRPr="006F42E1">
        <w:rPr>
          <w:rFonts w:ascii="Times New Roman" w:hAnsi="Times New Roman" w:cs="Times New Roman"/>
          <w:sz w:val="24"/>
          <w:szCs w:val="24"/>
        </w:rPr>
        <w:t xml:space="preserve"> refletindo </w:t>
      </w:r>
      <w:r w:rsidR="00314846" w:rsidRPr="006F42E1">
        <w:rPr>
          <w:rFonts w:ascii="Times New Roman" w:hAnsi="Times New Roman" w:cs="Times New Roman"/>
          <w:sz w:val="24"/>
          <w:szCs w:val="24"/>
        </w:rPr>
        <w:t>na natalidade</w:t>
      </w:r>
      <w:r w:rsidR="00EF7A2B" w:rsidRPr="006F42E1">
        <w:rPr>
          <w:rFonts w:ascii="Times New Roman" w:hAnsi="Times New Roman" w:cs="Times New Roman"/>
          <w:sz w:val="24"/>
          <w:szCs w:val="24"/>
        </w:rPr>
        <w:t>.</w:t>
      </w:r>
      <w:r w:rsidR="00314846" w:rsidRPr="006F42E1">
        <w:rPr>
          <w:rFonts w:ascii="Times New Roman" w:hAnsi="Times New Roman" w:cs="Times New Roman"/>
          <w:sz w:val="24"/>
          <w:szCs w:val="24"/>
        </w:rPr>
        <w:t xml:space="preserve"> </w:t>
      </w:r>
      <w:r w:rsidR="00EA386B" w:rsidRPr="006F42E1">
        <w:rPr>
          <w:rFonts w:ascii="Times New Roman" w:hAnsi="Times New Roman" w:cs="Times New Roman"/>
          <w:sz w:val="24"/>
          <w:szCs w:val="24"/>
        </w:rPr>
        <w:t>A T</w:t>
      </w:r>
      <w:r w:rsidR="00924220" w:rsidRPr="006F42E1">
        <w:rPr>
          <w:rFonts w:ascii="Times New Roman" w:hAnsi="Times New Roman" w:cs="Times New Roman"/>
          <w:sz w:val="24"/>
          <w:szCs w:val="24"/>
        </w:rPr>
        <w:t xml:space="preserve">axa de </w:t>
      </w:r>
      <w:r w:rsidR="00EA386B" w:rsidRPr="006F42E1">
        <w:rPr>
          <w:rFonts w:ascii="Times New Roman" w:hAnsi="Times New Roman" w:cs="Times New Roman"/>
          <w:sz w:val="24"/>
          <w:szCs w:val="24"/>
        </w:rPr>
        <w:t>F</w:t>
      </w:r>
      <w:r w:rsidR="00924220" w:rsidRPr="006F42E1">
        <w:rPr>
          <w:rFonts w:ascii="Times New Roman" w:hAnsi="Times New Roman" w:cs="Times New Roman"/>
          <w:sz w:val="24"/>
          <w:szCs w:val="24"/>
        </w:rPr>
        <w:t xml:space="preserve">ecundidade </w:t>
      </w:r>
      <w:r w:rsidR="00EA386B" w:rsidRPr="006F42E1">
        <w:rPr>
          <w:rFonts w:ascii="Times New Roman" w:hAnsi="Times New Roman" w:cs="Times New Roman"/>
          <w:sz w:val="24"/>
          <w:szCs w:val="24"/>
        </w:rPr>
        <w:t>T</w:t>
      </w:r>
      <w:r w:rsidR="00924220" w:rsidRPr="006F42E1">
        <w:rPr>
          <w:rFonts w:ascii="Times New Roman" w:hAnsi="Times New Roman" w:cs="Times New Roman"/>
          <w:sz w:val="24"/>
          <w:szCs w:val="24"/>
        </w:rPr>
        <w:t xml:space="preserve">otal na </w:t>
      </w:r>
      <w:r w:rsidR="002C49F0" w:rsidRPr="006F42E1">
        <w:rPr>
          <w:rFonts w:ascii="Times New Roman" w:hAnsi="Times New Roman" w:cs="Times New Roman"/>
          <w:sz w:val="24"/>
          <w:szCs w:val="24"/>
        </w:rPr>
        <w:t>M</w:t>
      </w:r>
      <w:r w:rsidR="00924220" w:rsidRPr="006F42E1">
        <w:rPr>
          <w:rFonts w:ascii="Times New Roman" w:hAnsi="Times New Roman" w:cs="Times New Roman"/>
          <w:sz w:val="24"/>
          <w:szCs w:val="24"/>
        </w:rPr>
        <w:t>icrorregião</w:t>
      </w:r>
      <w:r w:rsidR="002C49F0" w:rsidRPr="006F42E1">
        <w:rPr>
          <w:rFonts w:ascii="Times New Roman" w:hAnsi="Times New Roman" w:cs="Times New Roman"/>
          <w:sz w:val="24"/>
          <w:szCs w:val="24"/>
        </w:rPr>
        <w:t xml:space="preserve"> do Cariri</w:t>
      </w:r>
      <w:r w:rsidR="00924220" w:rsidRPr="006F42E1">
        <w:rPr>
          <w:rFonts w:ascii="Times New Roman" w:hAnsi="Times New Roman" w:cs="Times New Roman"/>
          <w:sz w:val="24"/>
          <w:szCs w:val="24"/>
        </w:rPr>
        <w:t xml:space="preserve"> </w:t>
      </w:r>
      <w:r w:rsidR="00493A67" w:rsidRPr="006F42E1">
        <w:rPr>
          <w:rFonts w:ascii="Times New Roman" w:hAnsi="Times New Roman" w:cs="Times New Roman"/>
          <w:sz w:val="24"/>
          <w:szCs w:val="24"/>
        </w:rPr>
        <w:t xml:space="preserve">em 1991 </w:t>
      </w:r>
      <w:r w:rsidR="00EA386B" w:rsidRPr="006F42E1">
        <w:rPr>
          <w:rFonts w:ascii="Times New Roman" w:hAnsi="Times New Roman" w:cs="Times New Roman"/>
          <w:sz w:val="24"/>
          <w:szCs w:val="24"/>
        </w:rPr>
        <w:t>era</w:t>
      </w:r>
      <w:r w:rsidR="00242E99" w:rsidRPr="006F42E1">
        <w:rPr>
          <w:rFonts w:ascii="Times New Roman" w:hAnsi="Times New Roman" w:cs="Times New Roman"/>
          <w:sz w:val="24"/>
          <w:szCs w:val="24"/>
        </w:rPr>
        <w:t xml:space="preserve"> de</w:t>
      </w:r>
      <w:r w:rsidR="00EA386B" w:rsidRPr="006F42E1">
        <w:rPr>
          <w:rFonts w:ascii="Times New Roman" w:hAnsi="Times New Roman" w:cs="Times New Roman"/>
          <w:sz w:val="24"/>
          <w:szCs w:val="24"/>
        </w:rPr>
        <w:t xml:space="preserve"> </w:t>
      </w:r>
      <w:r w:rsidR="00B9796E" w:rsidRPr="006F42E1">
        <w:rPr>
          <w:rFonts w:ascii="Times New Roman" w:hAnsi="Times New Roman" w:cs="Times New Roman"/>
          <w:sz w:val="24"/>
          <w:szCs w:val="24"/>
        </w:rPr>
        <w:t xml:space="preserve">aproximados </w:t>
      </w:r>
      <w:r w:rsidR="00EA386B" w:rsidRPr="006F42E1">
        <w:rPr>
          <w:rFonts w:ascii="Times New Roman" w:hAnsi="Times New Roman" w:cs="Times New Roman"/>
          <w:sz w:val="24"/>
          <w:szCs w:val="24"/>
        </w:rPr>
        <w:t>4,</w:t>
      </w:r>
      <w:r w:rsidR="00E50D9D" w:rsidRPr="006F42E1">
        <w:rPr>
          <w:rFonts w:ascii="Times New Roman" w:hAnsi="Times New Roman" w:cs="Times New Roman"/>
          <w:sz w:val="24"/>
          <w:szCs w:val="24"/>
        </w:rPr>
        <w:t>2</w:t>
      </w:r>
      <w:r w:rsidR="00242E99" w:rsidRPr="006F42E1">
        <w:rPr>
          <w:rFonts w:ascii="Times New Roman" w:hAnsi="Times New Roman" w:cs="Times New Roman"/>
          <w:sz w:val="24"/>
          <w:szCs w:val="24"/>
        </w:rPr>
        <w:t xml:space="preserve"> filhos, em média, por mulher ao final do período reprodutivo</w:t>
      </w:r>
      <w:r w:rsidR="00493A67" w:rsidRPr="006F42E1">
        <w:rPr>
          <w:rFonts w:ascii="Times New Roman" w:hAnsi="Times New Roman" w:cs="Times New Roman"/>
          <w:sz w:val="24"/>
          <w:szCs w:val="24"/>
        </w:rPr>
        <w:t>. E</w:t>
      </w:r>
      <w:r w:rsidR="002C49F0" w:rsidRPr="006F42E1">
        <w:rPr>
          <w:rFonts w:ascii="Times New Roman" w:hAnsi="Times New Roman" w:cs="Times New Roman"/>
          <w:sz w:val="24"/>
          <w:szCs w:val="24"/>
        </w:rPr>
        <w:t xml:space="preserve">ssa taxa caiu para </w:t>
      </w:r>
      <w:r w:rsidR="00263CBB" w:rsidRPr="006F42E1">
        <w:rPr>
          <w:rFonts w:ascii="Times New Roman" w:hAnsi="Times New Roman" w:cs="Times New Roman"/>
          <w:sz w:val="24"/>
          <w:szCs w:val="24"/>
        </w:rPr>
        <w:t>2,</w:t>
      </w:r>
      <w:r w:rsidR="00E50D9D" w:rsidRPr="006F42E1">
        <w:rPr>
          <w:rFonts w:ascii="Times New Roman" w:hAnsi="Times New Roman" w:cs="Times New Roman"/>
          <w:sz w:val="24"/>
          <w:szCs w:val="24"/>
        </w:rPr>
        <w:t>3</w:t>
      </w:r>
      <w:r w:rsidR="00263CBB" w:rsidRPr="006F42E1">
        <w:rPr>
          <w:rFonts w:ascii="Times New Roman" w:hAnsi="Times New Roman" w:cs="Times New Roman"/>
          <w:sz w:val="24"/>
          <w:szCs w:val="24"/>
        </w:rPr>
        <w:t xml:space="preserve"> em 2010 e </w:t>
      </w:r>
      <w:r w:rsidR="00804533" w:rsidRPr="006F42E1">
        <w:rPr>
          <w:rFonts w:ascii="Times New Roman" w:hAnsi="Times New Roman" w:cs="Times New Roman"/>
          <w:sz w:val="24"/>
          <w:szCs w:val="24"/>
        </w:rPr>
        <w:t xml:space="preserve">pode </w:t>
      </w:r>
      <w:r w:rsidR="002C49F0" w:rsidRPr="006F42E1">
        <w:rPr>
          <w:rFonts w:ascii="Times New Roman" w:hAnsi="Times New Roman" w:cs="Times New Roman"/>
          <w:sz w:val="24"/>
          <w:szCs w:val="24"/>
        </w:rPr>
        <w:t>atingir um</w:t>
      </w:r>
      <w:r w:rsidR="00E50D9D" w:rsidRPr="006F42E1">
        <w:rPr>
          <w:rFonts w:ascii="Times New Roman" w:hAnsi="Times New Roman" w:cs="Times New Roman"/>
          <w:sz w:val="24"/>
          <w:szCs w:val="24"/>
        </w:rPr>
        <w:t xml:space="preserve"> mínimo de</w:t>
      </w:r>
      <w:r w:rsidR="00804533" w:rsidRPr="006F42E1">
        <w:rPr>
          <w:rFonts w:ascii="Times New Roman" w:hAnsi="Times New Roman" w:cs="Times New Roman"/>
          <w:sz w:val="24"/>
          <w:szCs w:val="24"/>
        </w:rPr>
        <w:t xml:space="preserve"> </w:t>
      </w:r>
      <w:r w:rsidR="00E50D9D" w:rsidRPr="006F42E1">
        <w:rPr>
          <w:rFonts w:ascii="Times New Roman" w:hAnsi="Times New Roman" w:cs="Times New Roman"/>
          <w:sz w:val="24"/>
          <w:szCs w:val="24"/>
        </w:rPr>
        <w:t>1,8 nesse perí</w:t>
      </w:r>
      <w:r w:rsidR="00A712C4" w:rsidRPr="006F42E1">
        <w:rPr>
          <w:rFonts w:ascii="Times New Roman" w:hAnsi="Times New Roman" w:cs="Times New Roman"/>
          <w:sz w:val="24"/>
          <w:szCs w:val="24"/>
        </w:rPr>
        <w:t>o</w:t>
      </w:r>
      <w:r w:rsidR="00E50D9D" w:rsidRPr="006F42E1">
        <w:rPr>
          <w:rFonts w:ascii="Times New Roman" w:hAnsi="Times New Roman" w:cs="Times New Roman"/>
          <w:sz w:val="24"/>
          <w:szCs w:val="24"/>
        </w:rPr>
        <w:t>do de projeção</w:t>
      </w:r>
      <w:r w:rsidR="00B9796E" w:rsidRPr="006F42E1">
        <w:rPr>
          <w:rFonts w:ascii="Times New Roman" w:hAnsi="Times New Roman" w:cs="Times New Roman"/>
          <w:sz w:val="24"/>
          <w:szCs w:val="24"/>
        </w:rPr>
        <w:t xml:space="preserve"> (</w:t>
      </w:r>
      <w:r w:rsidR="004B251C" w:rsidRPr="006F42E1">
        <w:rPr>
          <w:rFonts w:ascii="Times New Roman" w:hAnsi="Times New Roman" w:cs="Times New Roman"/>
          <w:sz w:val="24"/>
          <w:szCs w:val="24"/>
        </w:rPr>
        <w:t>BRASIL</w:t>
      </w:r>
      <w:r w:rsidR="00C01146" w:rsidRPr="006F42E1">
        <w:rPr>
          <w:rFonts w:ascii="Times New Roman" w:hAnsi="Times New Roman" w:cs="Times New Roman"/>
          <w:sz w:val="24"/>
          <w:szCs w:val="24"/>
        </w:rPr>
        <w:t>, 2022</w:t>
      </w:r>
      <w:r w:rsidR="00B9796E" w:rsidRPr="006F42E1">
        <w:rPr>
          <w:rFonts w:ascii="Times New Roman" w:hAnsi="Times New Roman" w:cs="Times New Roman"/>
          <w:sz w:val="24"/>
          <w:szCs w:val="24"/>
        </w:rPr>
        <w:t>)</w:t>
      </w:r>
      <w:r w:rsidR="002C49F0" w:rsidRPr="006F42E1">
        <w:rPr>
          <w:rFonts w:ascii="Times New Roman" w:hAnsi="Times New Roman" w:cs="Times New Roman"/>
          <w:sz w:val="24"/>
          <w:szCs w:val="24"/>
        </w:rPr>
        <w:t xml:space="preserve">. </w:t>
      </w:r>
    </w:p>
    <w:p w14:paraId="48B103B0" w14:textId="6CD2D7BB" w:rsidR="00260DCC" w:rsidRPr="006F42E1" w:rsidRDefault="00916539" w:rsidP="00260DCC">
      <w:pPr>
        <w:spacing w:after="0" w:line="360" w:lineRule="auto"/>
        <w:jc w:val="both"/>
        <w:rPr>
          <w:rFonts w:ascii="Times New Roman" w:hAnsi="Times New Roman" w:cs="Times New Roman"/>
          <w:sz w:val="24"/>
          <w:szCs w:val="24"/>
          <w:highlight w:val="yellow"/>
        </w:rPr>
      </w:pPr>
      <w:r w:rsidRPr="006F42E1">
        <w:rPr>
          <w:rFonts w:ascii="Times New Roman" w:hAnsi="Times New Roman" w:cs="Times New Roman"/>
          <w:sz w:val="24"/>
          <w:szCs w:val="24"/>
        </w:rPr>
        <w:tab/>
        <w:t xml:space="preserve">Nos Censos seguintes esse processo </w:t>
      </w:r>
      <w:r w:rsidR="00B9796E" w:rsidRPr="006F42E1">
        <w:rPr>
          <w:rFonts w:ascii="Times New Roman" w:hAnsi="Times New Roman" w:cs="Times New Roman"/>
          <w:sz w:val="24"/>
          <w:szCs w:val="24"/>
        </w:rPr>
        <w:t xml:space="preserve">de encolhimento da base </w:t>
      </w:r>
      <w:r w:rsidRPr="006F42E1">
        <w:rPr>
          <w:rFonts w:ascii="Times New Roman" w:hAnsi="Times New Roman" w:cs="Times New Roman"/>
          <w:sz w:val="24"/>
          <w:szCs w:val="24"/>
        </w:rPr>
        <w:t>se acentua, e já se observa maiores proporções para a PIA</w:t>
      </w:r>
      <w:r w:rsidR="00C1000D" w:rsidRPr="006F42E1">
        <w:rPr>
          <w:rFonts w:ascii="Times New Roman" w:hAnsi="Times New Roman" w:cs="Times New Roman"/>
          <w:sz w:val="24"/>
          <w:szCs w:val="24"/>
        </w:rPr>
        <w:t xml:space="preserve">, </w:t>
      </w:r>
      <w:r w:rsidR="00BA0E17" w:rsidRPr="006F42E1">
        <w:rPr>
          <w:rFonts w:ascii="Times New Roman" w:hAnsi="Times New Roman" w:cs="Times New Roman"/>
          <w:sz w:val="24"/>
          <w:szCs w:val="24"/>
        </w:rPr>
        <w:t>remete</w:t>
      </w:r>
      <w:r w:rsidR="00F812F3" w:rsidRPr="006F42E1">
        <w:rPr>
          <w:rFonts w:ascii="Times New Roman" w:hAnsi="Times New Roman" w:cs="Times New Roman"/>
          <w:sz w:val="24"/>
          <w:szCs w:val="24"/>
        </w:rPr>
        <w:t>ndo</w:t>
      </w:r>
      <w:r w:rsidR="00BA0E17" w:rsidRPr="006F42E1">
        <w:rPr>
          <w:rFonts w:ascii="Times New Roman" w:hAnsi="Times New Roman" w:cs="Times New Roman"/>
          <w:sz w:val="24"/>
          <w:szCs w:val="24"/>
        </w:rPr>
        <w:t xml:space="preserve"> a</w:t>
      </w:r>
      <w:r w:rsidR="00C1000D" w:rsidRPr="006F42E1">
        <w:rPr>
          <w:rFonts w:ascii="Times New Roman" w:hAnsi="Times New Roman" w:cs="Times New Roman"/>
          <w:sz w:val="24"/>
          <w:szCs w:val="24"/>
        </w:rPr>
        <w:t>o</w:t>
      </w:r>
      <w:r w:rsidRPr="006F42E1">
        <w:rPr>
          <w:rFonts w:ascii="Times New Roman" w:hAnsi="Times New Roman" w:cs="Times New Roman"/>
          <w:sz w:val="24"/>
          <w:szCs w:val="24"/>
        </w:rPr>
        <w:t xml:space="preserve"> bônus demográfico</w:t>
      </w:r>
      <w:r w:rsidR="003860A9" w:rsidRPr="006F42E1">
        <w:rPr>
          <w:rFonts w:ascii="Times New Roman" w:hAnsi="Times New Roman" w:cs="Times New Roman"/>
          <w:sz w:val="24"/>
          <w:szCs w:val="24"/>
        </w:rPr>
        <w:t xml:space="preserve">. O aspecto favorável do bônus é que “o predomínio de pessoas que produzem mais do que consomem, vis-à-vis àquelas cujo consumo costuma ultrapassar a capacidade produtiva, propiciaria mais reservas e aumento dos recursos disponíveis por indivíduo” (BORGES; CAMPOS; SILVA, 2015, p. 141). </w:t>
      </w:r>
    </w:p>
    <w:p w14:paraId="250C996E" w14:textId="022FCA87" w:rsidR="00916539" w:rsidRPr="006F42E1" w:rsidRDefault="00260DCC" w:rsidP="00260DCC">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 xml:space="preserve">É importante acrescentar que esse crescimento da PIA </w:t>
      </w:r>
      <w:r w:rsidR="00F812F3" w:rsidRPr="006F42E1">
        <w:rPr>
          <w:rFonts w:ascii="Times New Roman" w:hAnsi="Times New Roman" w:cs="Times New Roman"/>
          <w:sz w:val="24"/>
          <w:szCs w:val="24"/>
        </w:rPr>
        <w:t xml:space="preserve">também resulta do efeito das </w:t>
      </w:r>
      <w:r w:rsidR="00916539" w:rsidRPr="006F42E1">
        <w:rPr>
          <w:rFonts w:ascii="Times New Roman" w:hAnsi="Times New Roman" w:cs="Times New Roman"/>
          <w:sz w:val="24"/>
          <w:szCs w:val="24"/>
        </w:rPr>
        <w:t xml:space="preserve">migrações na Microrregião do Cariri, uma vez que possui municípios com uma dinâmica econômica mais aquecida, como é o caso de Crato, Juazeiro e Barbalha, por despontarem em </w:t>
      </w:r>
      <w:r w:rsidR="00916539" w:rsidRPr="006F42E1">
        <w:rPr>
          <w:rFonts w:ascii="Times New Roman" w:hAnsi="Times New Roman" w:cs="Times New Roman"/>
          <w:sz w:val="24"/>
          <w:szCs w:val="24"/>
        </w:rPr>
        <w:lastRenderedPageBreak/>
        <w:t>termos de atratividade de emprego, educação, saúde ou de lazer (COSTA; PEREIRA; QUEIROZ, 2016).</w:t>
      </w:r>
    </w:p>
    <w:p w14:paraId="4550C0B1" w14:textId="77777777" w:rsidR="006A774C" w:rsidRPr="006F42E1" w:rsidRDefault="006A774C" w:rsidP="00260DCC">
      <w:pPr>
        <w:spacing w:after="0" w:line="360" w:lineRule="auto"/>
        <w:jc w:val="both"/>
        <w:rPr>
          <w:rFonts w:ascii="Times New Roman" w:hAnsi="Times New Roman" w:cs="Times New Roman"/>
          <w:sz w:val="24"/>
          <w:szCs w:val="24"/>
        </w:rPr>
      </w:pPr>
    </w:p>
    <w:p w14:paraId="12D71A1A" w14:textId="61C45DA9" w:rsidR="0E7F4194" w:rsidRPr="006F42E1" w:rsidRDefault="48537D1E" w:rsidP="00B916CD">
      <w:pPr>
        <w:spacing w:after="0" w:line="240" w:lineRule="auto"/>
        <w:jc w:val="both"/>
        <w:rPr>
          <w:b/>
          <w:bCs/>
        </w:rPr>
      </w:pPr>
      <w:r w:rsidRPr="006F42E1">
        <w:rPr>
          <w:rFonts w:ascii="Times New Roman" w:hAnsi="Times New Roman" w:cs="Times New Roman"/>
          <w:b/>
          <w:bCs/>
          <w:sz w:val="24"/>
          <w:szCs w:val="24"/>
        </w:rPr>
        <w:t>Figura 7 - Pirâmides observadas (1991, 2000 e 2010) e projetadas (2020, 2030, 2040 e 2050) - Microrregião do Cariri</w:t>
      </w:r>
    </w:p>
    <w:p w14:paraId="047950A9" w14:textId="14A12484" w:rsidR="43CF6635" w:rsidRPr="006F42E1" w:rsidRDefault="006C1C49" w:rsidP="00896032">
      <w:pPr>
        <w:spacing w:after="0" w:line="360" w:lineRule="auto"/>
        <w:jc w:val="center"/>
      </w:pPr>
      <w:r w:rsidRPr="006F42E1">
        <w:rPr>
          <w:noProof/>
        </w:rPr>
        <w:drawing>
          <wp:inline distT="0" distB="0" distL="0" distR="0" wp14:anchorId="0502A2B0" wp14:editId="2BB5D198">
            <wp:extent cx="5029200" cy="3466214"/>
            <wp:effectExtent l="0" t="0" r="0" b="1270"/>
            <wp:docPr id="10" name="Gráfico 10">
              <a:extLst xmlns:a="http://schemas.openxmlformats.org/drawingml/2006/main">
                <a:ext uri="{FF2B5EF4-FFF2-40B4-BE49-F238E27FC236}">
                  <a16:creationId xmlns:a16="http://schemas.microsoft.com/office/drawing/2014/main" id="{22E309E5-13D2-C7A2-47D8-3BA131934F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34C0227" w14:textId="7870A625" w:rsidR="6A27609A" w:rsidRPr="006F42E1" w:rsidRDefault="0E7F4194" w:rsidP="0E7F4194">
      <w:pPr>
        <w:spacing w:after="0" w:line="360" w:lineRule="auto"/>
        <w:jc w:val="both"/>
        <w:rPr>
          <w:rFonts w:ascii="Times New Roman" w:hAnsi="Times New Roman" w:cs="Times New Roman"/>
          <w:sz w:val="20"/>
          <w:szCs w:val="20"/>
        </w:rPr>
      </w:pPr>
      <w:r w:rsidRPr="006F42E1">
        <w:rPr>
          <w:rFonts w:ascii="Times New Roman" w:hAnsi="Times New Roman" w:cs="Times New Roman"/>
          <w:sz w:val="20"/>
          <w:szCs w:val="20"/>
        </w:rPr>
        <w:t xml:space="preserve">Fonte: SIDRA, 2022; IBGE, 2013; 2018.  </w:t>
      </w:r>
    </w:p>
    <w:p w14:paraId="7B9859D4" w14:textId="27D93C55" w:rsidR="6A27609A" w:rsidRPr="006F42E1" w:rsidRDefault="6A27609A" w:rsidP="0E7F4194">
      <w:pPr>
        <w:spacing w:after="0" w:line="360" w:lineRule="auto"/>
        <w:jc w:val="both"/>
        <w:rPr>
          <w:rFonts w:ascii="Times New Roman" w:hAnsi="Times New Roman" w:cs="Times New Roman"/>
          <w:sz w:val="24"/>
          <w:szCs w:val="24"/>
        </w:rPr>
      </w:pPr>
    </w:p>
    <w:p w14:paraId="2F3B6D7D" w14:textId="2C24D7D0" w:rsidR="00794012" w:rsidRPr="006F42E1" w:rsidRDefault="00794012" w:rsidP="4A6BC142">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 xml:space="preserve">Quanto as estruturas projetadas, essas revelam um desenho que se distancia do formato piramidal tradicional, dando destaque ao rápido processo de envelhecimento populacional, que é mais pronunciado entre a população feminina. A esperança de vida ao nascer </w:t>
      </w:r>
      <w:r w:rsidR="4A6BC142" w:rsidRPr="006F42E1">
        <w:rPr>
          <w:rFonts w:ascii="Times New Roman" w:hAnsi="Times New Roman" w:cs="Times New Roman"/>
          <w:sz w:val="24"/>
          <w:szCs w:val="24"/>
        </w:rPr>
        <w:t>na Microrregião do Cariri era de 60,99 anos em 1991, ou seja, se mantido constante o regime de mortalidade vigente no período, era esperado que um recém-nascido vivesse, em média, até os 61 anos. Em 2010</w:t>
      </w:r>
      <w:r w:rsidR="00E97100" w:rsidRPr="006F42E1">
        <w:rPr>
          <w:rFonts w:ascii="Times New Roman" w:hAnsi="Times New Roman" w:cs="Times New Roman"/>
          <w:sz w:val="24"/>
          <w:szCs w:val="24"/>
        </w:rPr>
        <w:t>, essa esperança passa a ser de 71,72 anos (</w:t>
      </w:r>
      <w:r w:rsidR="004B251C" w:rsidRPr="006F42E1">
        <w:rPr>
          <w:rFonts w:ascii="Times New Roman" w:hAnsi="Times New Roman" w:cs="Times New Roman"/>
          <w:sz w:val="24"/>
          <w:szCs w:val="24"/>
        </w:rPr>
        <w:t>BRASIL</w:t>
      </w:r>
      <w:r w:rsidR="00E97100" w:rsidRPr="006F42E1">
        <w:rPr>
          <w:rFonts w:ascii="Times New Roman" w:hAnsi="Times New Roman" w:cs="Times New Roman"/>
          <w:sz w:val="24"/>
          <w:szCs w:val="24"/>
        </w:rPr>
        <w:t xml:space="preserve">, 2022). </w:t>
      </w:r>
      <w:r w:rsidR="4A6BC142" w:rsidRPr="006F42E1">
        <w:rPr>
          <w:rFonts w:ascii="Times New Roman" w:hAnsi="Times New Roman" w:cs="Times New Roman"/>
          <w:sz w:val="24"/>
          <w:szCs w:val="24"/>
        </w:rPr>
        <w:t>As projeções mostram que esse processo tende a se acentuar na microrregião.</w:t>
      </w:r>
    </w:p>
    <w:p w14:paraId="6A62E990" w14:textId="5D2FE6D6" w:rsidR="00794012" w:rsidRPr="006F42E1" w:rsidRDefault="00E97100" w:rsidP="4A6BC142">
      <w:pPr>
        <w:spacing w:after="0" w:line="360" w:lineRule="auto"/>
        <w:ind w:firstLine="708"/>
        <w:jc w:val="both"/>
        <w:rPr>
          <w:rFonts w:ascii="Times New Roman" w:hAnsi="Times New Roman" w:cs="Times New Roman"/>
          <w:sz w:val="24"/>
          <w:szCs w:val="24"/>
        </w:rPr>
      </w:pPr>
      <w:r w:rsidRPr="006F42E1">
        <w:rPr>
          <w:rFonts w:ascii="Times New Roman" w:hAnsi="Times New Roman" w:cs="Times New Roman"/>
          <w:sz w:val="24"/>
          <w:szCs w:val="24"/>
        </w:rPr>
        <w:t xml:space="preserve">No Ceará, a esperança de vida sai de 61,76 em 1991 para 72,60 anos em 2010 </w:t>
      </w:r>
      <w:r w:rsidR="4A6BC142" w:rsidRPr="006F42E1">
        <w:rPr>
          <w:rFonts w:ascii="Times New Roman" w:hAnsi="Times New Roman" w:cs="Times New Roman"/>
          <w:sz w:val="24"/>
          <w:szCs w:val="24"/>
        </w:rPr>
        <w:t>(</w:t>
      </w:r>
      <w:r w:rsidR="004B251C" w:rsidRPr="006F42E1">
        <w:rPr>
          <w:rFonts w:ascii="Times New Roman" w:hAnsi="Times New Roman" w:cs="Times New Roman"/>
          <w:sz w:val="24"/>
          <w:szCs w:val="24"/>
        </w:rPr>
        <w:t>BRASIL</w:t>
      </w:r>
      <w:r w:rsidR="4A6BC142" w:rsidRPr="006F42E1">
        <w:rPr>
          <w:rFonts w:ascii="Times New Roman" w:hAnsi="Times New Roman" w:cs="Times New Roman"/>
          <w:sz w:val="24"/>
          <w:szCs w:val="24"/>
        </w:rPr>
        <w:t>, 2022)</w:t>
      </w:r>
      <w:r w:rsidRPr="006F42E1">
        <w:rPr>
          <w:rFonts w:ascii="Times New Roman" w:hAnsi="Times New Roman" w:cs="Times New Roman"/>
          <w:sz w:val="24"/>
          <w:szCs w:val="24"/>
        </w:rPr>
        <w:t xml:space="preserve">, valores bem próximos aos da Microrregião do Cariri, e é projetada pelo IBGE para atingir 78,42 em 2050, sendo 74,92 para os homens e 81,93 anos para as mulheres (IBGE, </w:t>
      </w:r>
      <w:r w:rsidRPr="006F42E1">
        <w:rPr>
          <w:rFonts w:ascii="Times New Roman" w:hAnsi="Times New Roman" w:cs="Times New Roman"/>
          <w:sz w:val="24"/>
          <w:szCs w:val="24"/>
        </w:rPr>
        <w:lastRenderedPageBreak/>
        <w:t xml:space="preserve">2018). </w:t>
      </w:r>
      <w:r w:rsidR="00756DB2" w:rsidRPr="006F42E1">
        <w:rPr>
          <w:rFonts w:ascii="Times New Roman" w:hAnsi="Times New Roman" w:cs="Times New Roman"/>
          <w:sz w:val="24"/>
          <w:szCs w:val="24"/>
        </w:rPr>
        <w:t>Uma vez que</w:t>
      </w:r>
      <w:r w:rsidR="52A7AB45" w:rsidRPr="006F42E1">
        <w:rPr>
          <w:rFonts w:ascii="Times New Roman" w:hAnsi="Times New Roman" w:cs="Times New Roman"/>
          <w:sz w:val="24"/>
          <w:szCs w:val="24"/>
        </w:rPr>
        <w:t xml:space="preserve"> a Microrregião do Cariri </w:t>
      </w:r>
      <w:r w:rsidR="00C47004" w:rsidRPr="006F42E1">
        <w:rPr>
          <w:rFonts w:ascii="Times New Roman" w:hAnsi="Times New Roman" w:cs="Times New Roman"/>
          <w:sz w:val="24"/>
          <w:szCs w:val="24"/>
        </w:rPr>
        <w:t>continue em tendência semelhante ao estado</w:t>
      </w:r>
      <w:r w:rsidR="65C4E57F" w:rsidRPr="006F42E1">
        <w:rPr>
          <w:rFonts w:ascii="Times New Roman" w:hAnsi="Times New Roman" w:cs="Times New Roman"/>
          <w:sz w:val="24"/>
          <w:szCs w:val="24"/>
        </w:rPr>
        <w:t xml:space="preserve">, </w:t>
      </w:r>
      <w:r w:rsidR="00C47004" w:rsidRPr="006F42E1">
        <w:rPr>
          <w:rFonts w:ascii="Times New Roman" w:hAnsi="Times New Roman" w:cs="Times New Roman"/>
          <w:sz w:val="24"/>
          <w:szCs w:val="24"/>
        </w:rPr>
        <w:t>isso</w:t>
      </w:r>
      <w:r w:rsidR="65C4E57F" w:rsidRPr="006F42E1">
        <w:rPr>
          <w:rFonts w:ascii="Times New Roman" w:hAnsi="Times New Roman" w:cs="Times New Roman"/>
          <w:sz w:val="24"/>
          <w:szCs w:val="24"/>
        </w:rPr>
        <w:t xml:space="preserve"> </w:t>
      </w:r>
      <w:r w:rsidR="00EB7143" w:rsidRPr="006F42E1">
        <w:rPr>
          <w:rFonts w:ascii="Times New Roman" w:hAnsi="Times New Roman" w:cs="Times New Roman"/>
          <w:sz w:val="24"/>
          <w:szCs w:val="24"/>
        </w:rPr>
        <w:t>aponta para</w:t>
      </w:r>
      <w:r w:rsidR="65C4E57F" w:rsidRPr="006F42E1">
        <w:rPr>
          <w:rFonts w:ascii="Times New Roman" w:hAnsi="Times New Roman" w:cs="Times New Roman"/>
          <w:sz w:val="24"/>
          <w:szCs w:val="24"/>
        </w:rPr>
        <w:t xml:space="preserve"> </w:t>
      </w:r>
      <w:r w:rsidR="00EB7143" w:rsidRPr="006F42E1">
        <w:rPr>
          <w:rFonts w:ascii="Times New Roman" w:hAnsi="Times New Roman" w:cs="Times New Roman"/>
          <w:sz w:val="24"/>
          <w:szCs w:val="24"/>
        </w:rPr>
        <w:t>um</w:t>
      </w:r>
      <w:r w:rsidR="65C4E57F" w:rsidRPr="006F42E1">
        <w:rPr>
          <w:rFonts w:ascii="Times New Roman" w:hAnsi="Times New Roman" w:cs="Times New Roman"/>
          <w:sz w:val="24"/>
          <w:szCs w:val="24"/>
        </w:rPr>
        <w:t xml:space="preserve">a proporção </w:t>
      </w:r>
      <w:r w:rsidR="00EB7143" w:rsidRPr="006F42E1">
        <w:rPr>
          <w:rFonts w:ascii="Times New Roman" w:hAnsi="Times New Roman" w:cs="Times New Roman"/>
          <w:sz w:val="24"/>
          <w:szCs w:val="24"/>
        </w:rPr>
        <w:t xml:space="preserve">crescente </w:t>
      </w:r>
      <w:r w:rsidR="65C4E57F" w:rsidRPr="006F42E1">
        <w:rPr>
          <w:rFonts w:ascii="Times New Roman" w:hAnsi="Times New Roman" w:cs="Times New Roman"/>
          <w:sz w:val="24"/>
          <w:szCs w:val="24"/>
        </w:rPr>
        <w:t xml:space="preserve">de </w:t>
      </w:r>
      <w:r w:rsidR="009C3E21" w:rsidRPr="006F42E1">
        <w:rPr>
          <w:rFonts w:ascii="Times New Roman" w:hAnsi="Times New Roman" w:cs="Times New Roman"/>
          <w:sz w:val="24"/>
          <w:szCs w:val="24"/>
        </w:rPr>
        <w:t>idosos</w:t>
      </w:r>
      <w:r w:rsidR="00E904B5" w:rsidRPr="006F42E1">
        <w:rPr>
          <w:rFonts w:ascii="Times New Roman" w:hAnsi="Times New Roman" w:cs="Times New Roman"/>
          <w:sz w:val="24"/>
          <w:szCs w:val="24"/>
        </w:rPr>
        <w:t xml:space="preserve">, especialmente </w:t>
      </w:r>
      <w:r w:rsidR="4202D440" w:rsidRPr="006F42E1">
        <w:rPr>
          <w:rFonts w:ascii="Times New Roman" w:hAnsi="Times New Roman" w:cs="Times New Roman"/>
          <w:sz w:val="24"/>
          <w:szCs w:val="24"/>
        </w:rPr>
        <w:t>entre o</w:t>
      </w:r>
      <w:r w:rsidR="00E904B5" w:rsidRPr="006F42E1">
        <w:rPr>
          <w:rFonts w:ascii="Times New Roman" w:hAnsi="Times New Roman" w:cs="Times New Roman"/>
          <w:sz w:val="24"/>
          <w:szCs w:val="24"/>
        </w:rPr>
        <w:t xml:space="preserve"> sexo feminino, </w:t>
      </w:r>
      <w:r w:rsidR="007D22B7" w:rsidRPr="006F42E1">
        <w:rPr>
          <w:rFonts w:ascii="Times New Roman" w:hAnsi="Times New Roman" w:cs="Times New Roman"/>
          <w:sz w:val="24"/>
          <w:szCs w:val="24"/>
        </w:rPr>
        <w:t xml:space="preserve">assim como se visualiza na </w:t>
      </w:r>
      <w:r w:rsidR="004A199B" w:rsidRPr="006F42E1">
        <w:rPr>
          <w:rFonts w:ascii="Times New Roman" w:hAnsi="Times New Roman" w:cs="Times New Roman"/>
          <w:sz w:val="24"/>
          <w:szCs w:val="24"/>
        </w:rPr>
        <w:t xml:space="preserve">estrutura projetada </w:t>
      </w:r>
      <w:r w:rsidR="00E904B5" w:rsidRPr="006F42E1">
        <w:rPr>
          <w:rFonts w:ascii="Times New Roman" w:hAnsi="Times New Roman" w:cs="Times New Roman"/>
          <w:sz w:val="24"/>
          <w:szCs w:val="24"/>
        </w:rPr>
        <w:t xml:space="preserve">para </w:t>
      </w:r>
      <w:r w:rsidR="65C4E57F" w:rsidRPr="006F42E1">
        <w:rPr>
          <w:rFonts w:ascii="Times New Roman" w:hAnsi="Times New Roman" w:cs="Times New Roman"/>
          <w:sz w:val="24"/>
          <w:szCs w:val="24"/>
        </w:rPr>
        <w:t>a microrregião</w:t>
      </w:r>
      <w:r w:rsidR="004A199B" w:rsidRPr="006F42E1">
        <w:rPr>
          <w:rFonts w:ascii="Times New Roman" w:hAnsi="Times New Roman" w:cs="Times New Roman"/>
          <w:sz w:val="24"/>
          <w:szCs w:val="24"/>
        </w:rPr>
        <w:t xml:space="preserve"> </w:t>
      </w:r>
      <w:r w:rsidR="00B84267" w:rsidRPr="006F42E1">
        <w:rPr>
          <w:rFonts w:ascii="Times New Roman" w:hAnsi="Times New Roman" w:cs="Times New Roman"/>
          <w:sz w:val="24"/>
          <w:szCs w:val="24"/>
        </w:rPr>
        <w:t>em 2050</w:t>
      </w:r>
      <w:r w:rsidR="65C4E57F" w:rsidRPr="006F42E1">
        <w:rPr>
          <w:rFonts w:ascii="Times New Roman" w:hAnsi="Times New Roman" w:cs="Times New Roman"/>
          <w:sz w:val="24"/>
          <w:szCs w:val="24"/>
        </w:rPr>
        <w:t>.</w:t>
      </w:r>
      <w:r w:rsidR="52A7AB45" w:rsidRPr="006F42E1">
        <w:rPr>
          <w:rFonts w:ascii="Times New Roman" w:hAnsi="Times New Roman" w:cs="Times New Roman"/>
          <w:sz w:val="24"/>
          <w:szCs w:val="24"/>
        </w:rPr>
        <w:t xml:space="preserve"> </w:t>
      </w:r>
    </w:p>
    <w:p w14:paraId="199F2583" w14:textId="243864C0" w:rsidR="00192468" w:rsidRPr="006F42E1" w:rsidRDefault="00192468" w:rsidP="00192468">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Como já mencionado, a transição demográfica gera alterações tanto nas taxas de crescimento quanto na estrutura etária da população, dada a redistribuição de proporções entre crianças, adultos e idosos. Tal redistribuição leva, por sua vez, a mudanças nas relações intergeracionais, cuja evolução pode ser observada ao serem empregados indicadores adicionais (BORGES; CAMPOS; SILVA, 2015; CARVALHO; WONG, 2008).</w:t>
      </w:r>
    </w:p>
    <w:p w14:paraId="1D548D0D" w14:textId="49442BEA" w:rsidR="0047201C" w:rsidRPr="006F42E1" w:rsidRDefault="00192468" w:rsidP="0047201C">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Um desses indicadores é a Razão de Dependência,</w:t>
      </w:r>
      <w:r w:rsidR="00F70849" w:rsidRPr="006F42E1">
        <w:rPr>
          <w:rFonts w:ascii="Times New Roman" w:hAnsi="Times New Roman" w:cs="Times New Roman"/>
          <w:sz w:val="24"/>
          <w:szCs w:val="24"/>
        </w:rPr>
        <w:t xml:space="preserve"> que pode ser apresentada de forma total (RDT</w:t>
      </w:r>
      <w:r w:rsidR="00C04E5A" w:rsidRPr="006F42E1">
        <w:rPr>
          <w:rFonts w:ascii="Times New Roman" w:hAnsi="Times New Roman" w:cs="Times New Roman"/>
          <w:sz w:val="24"/>
          <w:szCs w:val="24"/>
        </w:rPr>
        <w:t xml:space="preserve"> = </w:t>
      </w:r>
      <w:r w:rsidR="007F4023" w:rsidRPr="006F42E1">
        <w:rPr>
          <w:rFonts w:ascii="Times New Roman" w:hAnsi="Times New Roman" w:cs="Times New Roman"/>
          <w:sz w:val="24"/>
          <w:szCs w:val="24"/>
        </w:rPr>
        <w:t>(</w:t>
      </w:r>
      <w:r w:rsidR="00C04E5A" w:rsidRPr="006F42E1">
        <w:rPr>
          <w:rFonts w:ascii="Times New Roman" w:hAnsi="Times New Roman" w:cs="Times New Roman"/>
          <w:sz w:val="24"/>
          <w:szCs w:val="24"/>
        </w:rPr>
        <w:t>Crianças + Idosos</w:t>
      </w:r>
      <w:r w:rsidR="007F4023" w:rsidRPr="006F42E1">
        <w:rPr>
          <w:rFonts w:ascii="Times New Roman" w:hAnsi="Times New Roman" w:cs="Times New Roman"/>
          <w:sz w:val="24"/>
          <w:szCs w:val="24"/>
        </w:rPr>
        <w:t>)</w:t>
      </w:r>
      <w:r w:rsidR="00C04E5A" w:rsidRPr="006F42E1">
        <w:rPr>
          <w:rFonts w:ascii="Times New Roman" w:hAnsi="Times New Roman" w:cs="Times New Roman"/>
          <w:sz w:val="24"/>
          <w:szCs w:val="24"/>
        </w:rPr>
        <w:t xml:space="preserve"> / PIA * 100</w:t>
      </w:r>
      <w:r w:rsidR="0049206B" w:rsidRPr="006F42E1">
        <w:rPr>
          <w:rFonts w:ascii="Times New Roman" w:hAnsi="Times New Roman" w:cs="Times New Roman"/>
          <w:sz w:val="24"/>
          <w:szCs w:val="24"/>
        </w:rPr>
        <w:t>) ou separadamente para crianças (RDJ</w:t>
      </w:r>
      <w:r w:rsidR="00641952" w:rsidRPr="006F42E1">
        <w:rPr>
          <w:rFonts w:ascii="Times New Roman" w:hAnsi="Times New Roman" w:cs="Times New Roman"/>
          <w:sz w:val="24"/>
          <w:szCs w:val="24"/>
        </w:rPr>
        <w:t xml:space="preserve"> = Crianças / PIA * 100</w:t>
      </w:r>
      <w:r w:rsidR="0049206B" w:rsidRPr="006F42E1">
        <w:rPr>
          <w:rFonts w:ascii="Times New Roman" w:hAnsi="Times New Roman" w:cs="Times New Roman"/>
          <w:sz w:val="24"/>
          <w:szCs w:val="24"/>
        </w:rPr>
        <w:t>) e idosos (RDI</w:t>
      </w:r>
      <w:r w:rsidR="00A25EAD" w:rsidRPr="006F42E1">
        <w:rPr>
          <w:rFonts w:ascii="Times New Roman" w:hAnsi="Times New Roman" w:cs="Times New Roman"/>
          <w:sz w:val="24"/>
          <w:szCs w:val="24"/>
        </w:rPr>
        <w:t xml:space="preserve"> = Idosos / PIA * 100</w:t>
      </w:r>
      <w:r w:rsidR="0049206B" w:rsidRPr="006F42E1">
        <w:rPr>
          <w:rFonts w:ascii="Times New Roman" w:hAnsi="Times New Roman" w:cs="Times New Roman"/>
          <w:sz w:val="24"/>
          <w:szCs w:val="24"/>
        </w:rPr>
        <w:t>), e</w:t>
      </w:r>
      <w:r w:rsidRPr="006F42E1">
        <w:rPr>
          <w:rFonts w:ascii="Times New Roman" w:hAnsi="Times New Roman" w:cs="Times New Roman"/>
          <w:sz w:val="24"/>
          <w:szCs w:val="24"/>
        </w:rPr>
        <w:t xml:space="preserve"> </w:t>
      </w:r>
      <w:r w:rsidR="00043195" w:rsidRPr="006F42E1">
        <w:rPr>
          <w:rFonts w:ascii="Times New Roman" w:hAnsi="Times New Roman" w:cs="Times New Roman"/>
          <w:sz w:val="24"/>
          <w:szCs w:val="24"/>
        </w:rPr>
        <w:t>reflet</w:t>
      </w:r>
      <w:r w:rsidRPr="006F42E1">
        <w:rPr>
          <w:rFonts w:ascii="Times New Roman" w:hAnsi="Times New Roman" w:cs="Times New Roman"/>
          <w:sz w:val="24"/>
          <w:szCs w:val="24"/>
        </w:rPr>
        <w:t xml:space="preserve">ir diferentes impactos em cada fase da transição. Inicialmente </w:t>
      </w:r>
      <w:r w:rsidR="00A80F7F" w:rsidRPr="006F42E1">
        <w:rPr>
          <w:rFonts w:ascii="Times New Roman" w:hAnsi="Times New Roman" w:cs="Times New Roman"/>
          <w:sz w:val="24"/>
          <w:szCs w:val="24"/>
        </w:rPr>
        <w:t xml:space="preserve">a RDT </w:t>
      </w:r>
      <w:r w:rsidRPr="006F42E1">
        <w:rPr>
          <w:rFonts w:ascii="Times New Roman" w:hAnsi="Times New Roman" w:cs="Times New Roman"/>
          <w:sz w:val="24"/>
          <w:szCs w:val="24"/>
        </w:rPr>
        <w:t>cresce devido ao aumento do contingente jovem decorrente da redução da mortalidade, especialmente infantil. Em seguida diminui em função da redução no nível de fecundidade, e posteriormente volta a crescer, porém resultando de um maior contingente de idosos. Assim, a análise do indicador é importante por guardar relação</w:t>
      </w:r>
      <w:r w:rsidR="0047201C" w:rsidRPr="006F42E1">
        <w:rPr>
          <w:rFonts w:ascii="Times New Roman" w:hAnsi="Times New Roman" w:cs="Times New Roman"/>
          <w:sz w:val="24"/>
          <w:szCs w:val="24"/>
        </w:rPr>
        <w:t xml:space="preserve"> com os níveis de poupança e investimento, com as contas públicas e políticas sociais (PAIVA; WAJNMAN, 2005).</w:t>
      </w:r>
    </w:p>
    <w:p w14:paraId="2BCD4C6F" w14:textId="68F49357" w:rsidR="0E7F4194" w:rsidRPr="006F42E1" w:rsidRDefault="0047201C" w:rsidP="0047201C">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F061B5" w:rsidRPr="006F42E1">
        <w:rPr>
          <w:rFonts w:ascii="Times New Roman" w:hAnsi="Times New Roman" w:cs="Times New Roman"/>
          <w:sz w:val="24"/>
          <w:szCs w:val="24"/>
        </w:rPr>
        <w:t>As razões</w:t>
      </w:r>
      <w:r w:rsidRPr="006F42E1">
        <w:rPr>
          <w:rFonts w:ascii="Times New Roman" w:hAnsi="Times New Roman" w:cs="Times New Roman"/>
          <w:sz w:val="24"/>
          <w:szCs w:val="24"/>
        </w:rPr>
        <w:t xml:space="preserve"> obtid</w:t>
      </w:r>
      <w:r w:rsidR="00F061B5" w:rsidRPr="006F42E1">
        <w:rPr>
          <w:rFonts w:ascii="Times New Roman" w:hAnsi="Times New Roman" w:cs="Times New Roman"/>
          <w:sz w:val="24"/>
          <w:szCs w:val="24"/>
        </w:rPr>
        <w:t>a</w:t>
      </w:r>
      <w:r w:rsidRPr="006F42E1">
        <w:rPr>
          <w:rFonts w:ascii="Times New Roman" w:hAnsi="Times New Roman" w:cs="Times New Roman"/>
          <w:sz w:val="24"/>
          <w:szCs w:val="24"/>
        </w:rPr>
        <w:t xml:space="preserve">s para </w:t>
      </w:r>
      <w:r w:rsidR="002C000B" w:rsidRPr="006F42E1">
        <w:rPr>
          <w:rFonts w:ascii="Times New Roman" w:hAnsi="Times New Roman" w:cs="Times New Roman"/>
          <w:sz w:val="24"/>
          <w:szCs w:val="24"/>
        </w:rPr>
        <w:t>a Microrregião do Cariri</w:t>
      </w:r>
      <w:r w:rsidR="00F061B5" w:rsidRPr="006F42E1">
        <w:rPr>
          <w:rFonts w:ascii="Times New Roman" w:hAnsi="Times New Roman" w:cs="Times New Roman"/>
          <w:sz w:val="24"/>
          <w:szCs w:val="24"/>
        </w:rPr>
        <w:t xml:space="preserve"> constam na Figura 8</w:t>
      </w:r>
      <w:r w:rsidR="00DB22E7" w:rsidRPr="006F42E1">
        <w:rPr>
          <w:rFonts w:ascii="Times New Roman" w:hAnsi="Times New Roman" w:cs="Times New Roman"/>
          <w:sz w:val="24"/>
          <w:szCs w:val="24"/>
        </w:rPr>
        <w:t xml:space="preserve">, </w:t>
      </w:r>
      <w:r w:rsidR="00F061B5" w:rsidRPr="006F42E1">
        <w:rPr>
          <w:rFonts w:ascii="Times New Roman" w:hAnsi="Times New Roman" w:cs="Times New Roman"/>
          <w:sz w:val="24"/>
          <w:szCs w:val="24"/>
        </w:rPr>
        <w:t xml:space="preserve">incluindo </w:t>
      </w:r>
      <w:r w:rsidR="006632E1" w:rsidRPr="006F42E1">
        <w:rPr>
          <w:rFonts w:ascii="Times New Roman" w:hAnsi="Times New Roman" w:cs="Times New Roman"/>
          <w:sz w:val="24"/>
          <w:szCs w:val="24"/>
        </w:rPr>
        <w:t xml:space="preserve">resultados </w:t>
      </w:r>
      <w:r w:rsidR="00490B94" w:rsidRPr="006F42E1">
        <w:rPr>
          <w:rFonts w:ascii="Times New Roman" w:hAnsi="Times New Roman" w:cs="Times New Roman"/>
          <w:sz w:val="24"/>
          <w:szCs w:val="24"/>
        </w:rPr>
        <w:t>obs</w:t>
      </w:r>
      <w:r w:rsidR="006632E1" w:rsidRPr="006F42E1">
        <w:rPr>
          <w:rFonts w:ascii="Times New Roman" w:hAnsi="Times New Roman" w:cs="Times New Roman"/>
          <w:sz w:val="24"/>
          <w:szCs w:val="24"/>
        </w:rPr>
        <w:t>ervados</w:t>
      </w:r>
      <w:r w:rsidR="00490B94" w:rsidRPr="006F42E1">
        <w:rPr>
          <w:rFonts w:ascii="Times New Roman" w:hAnsi="Times New Roman" w:cs="Times New Roman"/>
          <w:sz w:val="24"/>
          <w:szCs w:val="24"/>
        </w:rPr>
        <w:t xml:space="preserve"> e proj</w:t>
      </w:r>
      <w:bookmarkStart w:id="3" w:name="_Hlk111477200"/>
      <w:r w:rsidR="006632E1" w:rsidRPr="006F42E1">
        <w:rPr>
          <w:rFonts w:ascii="Times New Roman" w:hAnsi="Times New Roman" w:cs="Times New Roman"/>
          <w:sz w:val="24"/>
          <w:szCs w:val="24"/>
        </w:rPr>
        <w:t>etados.</w:t>
      </w:r>
      <w:r w:rsidRPr="006F42E1">
        <w:rPr>
          <w:rFonts w:ascii="Times New Roman" w:hAnsi="Times New Roman" w:cs="Times New Roman"/>
          <w:sz w:val="24"/>
          <w:szCs w:val="24"/>
        </w:rPr>
        <w:t xml:space="preserve"> </w:t>
      </w:r>
      <w:r w:rsidR="006632E1" w:rsidRPr="006F42E1">
        <w:rPr>
          <w:rFonts w:ascii="Times New Roman" w:hAnsi="Times New Roman" w:cs="Times New Roman"/>
          <w:sz w:val="24"/>
          <w:szCs w:val="24"/>
        </w:rPr>
        <w:t>S</w:t>
      </w:r>
      <w:r w:rsidRPr="006F42E1">
        <w:rPr>
          <w:rFonts w:ascii="Times New Roman" w:hAnsi="Times New Roman" w:cs="Times New Roman"/>
          <w:sz w:val="24"/>
          <w:szCs w:val="24"/>
        </w:rPr>
        <w:t>e verifica para a RD</w:t>
      </w:r>
      <w:r w:rsidR="00AF6624" w:rsidRPr="006F42E1">
        <w:rPr>
          <w:rFonts w:ascii="Times New Roman" w:hAnsi="Times New Roman" w:cs="Times New Roman"/>
          <w:sz w:val="24"/>
          <w:szCs w:val="24"/>
        </w:rPr>
        <w:t>T</w:t>
      </w:r>
      <w:r w:rsidR="00D538A7" w:rsidRPr="006F42E1">
        <w:rPr>
          <w:rFonts w:ascii="Times New Roman" w:hAnsi="Times New Roman" w:cs="Times New Roman"/>
          <w:sz w:val="24"/>
          <w:szCs w:val="24"/>
        </w:rPr>
        <w:t xml:space="preserve"> </w:t>
      </w:r>
      <w:bookmarkEnd w:id="3"/>
      <w:r w:rsidRPr="006F42E1">
        <w:rPr>
          <w:rFonts w:ascii="Times New Roman" w:hAnsi="Times New Roman" w:cs="Times New Roman"/>
          <w:sz w:val="24"/>
          <w:szCs w:val="24"/>
        </w:rPr>
        <w:t>clara tendência de redução ao longo do período. Em 19</w:t>
      </w:r>
      <w:r w:rsidR="004D2BB1" w:rsidRPr="006F42E1">
        <w:rPr>
          <w:rFonts w:ascii="Times New Roman" w:hAnsi="Times New Roman" w:cs="Times New Roman"/>
          <w:sz w:val="24"/>
          <w:szCs w:val="24"/>
        </w:rPr>
        <w:t>91</w:t>
      </w:r>
      <w:r w:rsidRPr="006F42E1">
        <w:rPr>
          <w:rFonts w:ascii="Times New Roman" w:hAnsi="Times New Roman" w:cs="Times New Roman"/>
          <w:sz w:val="24"/>
          <w:szCs w:val="24"/>
        </w:rPr>
        <w:t xml:space="preserve">, haviam aproximadamente </w:t>
      </w:r>
      <w:r w:rsidR="002F3F61" w:rsidRPr="006F42E1">
        <w:rPr>
          <w:rFonts w:ascii="Times New Roman" w:hAnsi="Times New Roman" w:cs="Times New Roman"/>
          <w:sz w:val="24"/>
          <w:szCs w:val="24"/>
        </w:rPr>
        <w:t>82</w:t>
      </w:r>
      <w:r w:rsidRPr="006F42E1">
        <w:rPr>
          <w:rFonts w:ascii="Times New Roman" w:hAnsi="Times New Roman" w:cs="Times New Roman"/>
          <w:sz w:val="24"/>
          <w:szCs w:val="24"/>
        </w:rPr>
        <w:t xml:space="preserve"> dependentes, entre crianças e idosos, para cada 100 pessoas em idade potencialmente ativa</w:t>
      </w:r>
      <w:r w:rsidR="00087EA2" w:rsidRPr="006F42E1">
        <w:rPr>
          <w:rFonts w:ascii="Times New Roman" w:hAnsi="Times New Roman" w:cs="Times New Roman"/>
          <w:sz w:val="24"/>
          <w:szCs w:val="24"/>
        </w:rPr>
        <w:t>. Esse</w:t>
      </w:r>
      <w:r w:rsidR="007510BD" w:rsidRPr="006F42E1">
        <w:rPr>
          <w:rFonts w:ascii="Times New Roman" w:hAnsi="Times New Roman" w:cs="Times New Roman"/>
          <w:sz w:val="24"/>
          <w:szCs w:val="24"/>
        </w:rPr>
        <w:t xml:space="preserve"> n</w:t>
      </w:r>
      <w:r w:rsidRPr="006F42E1">
        <w:rPr>
          <w:rFonts w:ascii="Times New Roman" w:hAnsi="Times New Roman" w:cs="Times New Roman"/>
          <w:sz w:val="24"/>
          <w:szCs w:val="24"/>
        </w:rPr>
        <w:t xml:space="preserve">úmero reduz bastante ao longo dos anos e </w:t>
      </w:r>
      <w:r w:rsidR="00087EA2" w:rsidRPr="006F42E1">
        <w:rPr>
          <w:rFonts w:ascii="Times New Roman" w:hAnsi="Times New Roman" w:cs="Times New Roman"/>
          <w:sz w:val="24"/>
          <w:szCs w:val="24"/>
        </w:rPr>
        <w:t xml:space="preserve">pode chegar a cerca de </w:t>
      </w:r>
      <w:r w:rsidRPr="006F42E1">
        <w:rPr>
          <w:rFonts w:ascii="Times New Roman" w:hAnsi="Times New Roman" w:cs="Times New Roman"/>
          <w:sz w:val="24"/>
          <w:szCs w:val="24"/>
        </w:rPr>
        <w:t>4</w:t>
      </w:r>
      <w:r w:rsidR="00C7456A" w:rsidRPr="006F42E1">
        <w:rPr>
          <w:rFonts w:ascii="Times New Roman" w:hAnsi="Times New Roman" w:cs="Times New Roman"/>
          <w:sz w:val="24"/>
          <w:szCs w:val="24"/>
        </w:rPr>
        <w:t>7</w:t>
      </w:r>
      <w:r w:rsidRPr="006F42E1">
        <w:rPr>
          <w:rFonts w:ascii="Times New Roman" w:hAnsi="Times New Roman" w:cs="Times New Roman"/>
          <w:sz w:val="24"/>
          <w:szCs w:val="24"/>
        </w:rPr>
        <w:t xml:space="preserve"> em 20</w:t>
      </w:r>
      <w:r w:rsidR="00087EA2" w:rsidRPr="006F42E1">
        <w:rPr>
          <w:rFonts w:ascii="Times New Roman" w:hAnsi="Times New Roman" w:cs="Times New Roman"/>
          <w:sz w:val="24"/>
          <w:szCs w:val="24"/>
        </w:rPr>
        <w:t>3</w:t>
      </w:r>
      <w:r w:rsidRPr="006F42E1">
        <w:rPr>
          <w:rFonts w:ascii="Times New Roman" w:hAnsi="Times New Roman" w:cs="Times New Roman"/>
          <w:sz w:val="24"/>
          <w:szCs w:val="24"/>
        </w:rPr>
        <w:t>0</w:t>
      </w:r>
      <w:r w:rsidR="00087EA2" w:rsidRPr="006F42E1">
        <w:rPr>
          <w:rFonts w:ascii="Times New Roman" w:hAnsi="Times New Roman" w:cs="Times New Roman"/>
          <w:sz w:val="24"/>
          <w:szCs w:val="24"/>
        </w:rPr>
        <w:t xml:space="preserve">, a partir de onde voltaria a crescer em função da </w:t>
      </w:r>
      <w:r w:rsidR="005B5505" w:rsidRPr="006F42E1">
        <w:rPr>
          <w:rFonts w:ascii="Times New Roman" w:hAnsi="Times New Roman" w:cs="Times New Roman"/>
          <w:sz w:val="24"/>
          <w:szCs w:val="24"/>
        </w:rPr>
        <w:t xml:space="preserve">dependência de idosos. </w:t>
      </w:r>
    </w:p>
    <w:p w14:paraId="1CA70845" w14:textId="77777777" w:rsidR="00192468" w:rsidRPr="006F42E1" w:rsidRDefault="00192468" w:rsidP="00192468">
      <w:pPr>
        <w:spacing w:after="0" w:line="360" w:lineRule="auto"/>
        <w:jc w:val="both"/>
        <w:rPr>
          <w:rFonts w:ascii="Times New Roman" w:hAnsi="Times New Roman" w:cs="Times New Roman"/>
          <w:sz w:val="24"/>
          <w:szCs w:val="24"/>
        </w:rPr>
      </w:pPr>
    </w:p>
    <w:p w14:paraId="25902CD7" w14:textId="77777777" w:rsidR="00563DAD" w:rsidRPr="006F42E1" w:rsidRDefault="00563DAD" w:rsidP="00192468">
      <w:pPr>
        <w:spacing w:after="0" w:line="360" w:lineRule="auto"/>
        <w:jc w:val="both"/>
        <w:rPr>
          <w:rFonts w:ascii="Times New Roman" w:hAnsi="Times New Roman" w:cs="Times New Roman"/>
          <w:sz w:val="24"/>
          <w:szCs w:val="24"/>
        </w:rPr>
      </w:pPr>
    </w:p>
    <w:p w14:paraId="6D99B086" w14:textId="77777777" w:rsidR="00563DAD" w:rsidRPr="006F42E1" w:rsidRDefault="00563DAD" w:rsidP="00192468">
      <w:pPr>
        <w:spacing w:after="0" w:line="360" w:lineRule="auto"/>
        <w:jc w:val="both"/>
        <w:rPr>
          <w:rFonts w:ascii="Times New Roman" w:hAnsi="Times New Roman" w:cs="Times New Roman"/>
          <w:sz w:val="24"/>
          <w:szCs w:val="24"/>
        </w:rPr>
      </w:pPr>
    </w:p>
    <w:p w14:paraId="3178DE70" w14:textId="77777777" w:rsidR="00563DAD" w:rsidRPr="006F42E1" w:rsidRDefault="00563DAD" w:rsidP="00192468">
      <w:pPr>
        <w:spacing w:after="0" w:line="360" w:lineRule="auto"/>
        <w:jc w:val="both"/>
        <w:rPr>
          <w:rFonts w:ascii="Times New Roman" w:hAnsi="Times New Roman" w:cs="Times New Roman"/>
          <w:sz w:val="24"/>
          <w:szCs w:val="24"/>
        </w:rPr>
      </w:pPr>
    </w:p>
    <w:p w14:paraId="0D227E3B" w14:textId="77777777" w:rsidR="00563DAD" w:rsidRPr="006F42E1" w:rsidRDefault="00563DAD" w:rsidP="00192468">
      <w:pPr>
        <w:spacing w:after="0" w:line="360" w:lineRule="auto"/>
        <w:jc w:val="both"/>
        <w:rPr>
          <w:rFonts w:ascii="Times New Roman" w:hAnsi="Times New Roman" w:cs="Times New Roman"/>
          <w:sz w:val="24"/>
          <w:szCs w:val="24"/>
        </w:rPr>
      </w:pPr>
    </w:p>
    <w:p w14:paraId="704E8D25" w14:textId="77777777" w:rsidR="00563DAD" w:rsidRPr="006F42E1" w:rsidRDefault="00563DAD" w:rsidP="00192468">
      <w:pPr>
        <w:spacing w:after="0" w:line="360" w:lineRule="auto"/>
        <w:jc w:val="both"/>
        <w:rPr>
          <w:rFonts w:ascii="Times New Roman" w:hAnsi="Times New Roman" w:cs="Times New Roman"/>
          <w:sz w:val="24"/>
          <w:szCs w:val="24"/>
        </w:rPr>
      </w:pPr>
    </w:p>
    <w:p w14:paraId="394F6211" w14:textId="109E9776" w:rsidR="43CF6635" w:rsidRPr="006F42E1" w:rsidRDefault="48537D1E" w:rsidP="004962B3">
      <w:pPr>
        <w:spacing w:after="0" w:line="240" w:lineRule="auto"/>
        <w:jc w:val="both"/>
        <w:rPr>
          <w:rFonts w:ascii="Times New Roman" w:hAnsi="Times New Roman" w:cs="Times New Roman"/>
          <w:b/>
          <w:bCs/>
          <w:sz w:val="24"/>
          <w:szCs w:val="24"/>
        </w:rPr>
      </w:pPr>
      <w:r w:rsidRPr="006F42E1">
        <w:rPr>
          <w:rFonts w:ascii="Times New Roman" w:hAnsi="Times New Roman" w:cs="Times New Roman"/>
          <w:b/>
          <w:bCs/>
          <w:sz w:val="24"/>
          <w:szCs w:val="24"/>
        </w:rPr>
        <w:lastRenderedPageBreak/>
        <w:t>Figura 8 - Razões de dependência observadas (1991, 2000 e 2010) e projetadas (2020, 2030, 2040 e 2050) - Microrregião do Cariri</w:t>
      </w:r>
    </w:p>
    <w:p w14:paraId="1F94AC2F" w14:textId="5A85A8BF" w:rsidR="6A27609A" w:rsidRPr="006F42E1" w:rsidRDefault="007606BA" w:rsidP="00936E13">
      <w:pPr>
        <w:spacing w:after="0" w:line="276" w:lineRule="auto"/>
        <w:jc w:val="center"/>
      </w:pPr>
      <w:r w:rsidRPr="006F42E1">
        <w:rPr>
          <w:noProof/>
        </w:rPr>
        <w:drawing>
          <wp:inline distT="0" distB="0" distL="0" distR="0" wp14:anchorId="54A7918F" wp14:editId="492298C6">
            <wp:extent cx="5419725" cy="3476625"/>
            <wp:effectExtent l="0" t="0" r="9525" b="9525"/>
            <wp:docPr id="12" name="Gráfico 12">
              <a:extLst xmlns:a="http://schemas.openxmlformats.org/drawingml/2006/main">
                <a:ext uri="{FF2B5EF4-FFF2-40B4-BE49-F238E27FC236}">
                  <a16:creationId xmlns:a16="http://schemas.microsoft.com/office/drawing/2014/main" id="{A4030185-CF64-4653-AE7E-A8553C0C69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4B727C9" w14:textId="7870A625" w:rsidR="6A27609A" w:rsidRPr="006F42E1" w:rsidRDefault="0E7F4194" w:rsidP="0E7F4194">
      <w:pPr>
        <w:spacing w:after="0" w:line="360" w:lineRule="auto"/>
        <w:jc w:val="both"/>
        <w:rPr>
          <w:rFonts w:ascii="Times New Roman" w:hAnsi="Times New Roman" w:cs="Times New Roman"/>
          <w:sz w:val="20"/>
          <w:szCs w:val="20"/>
        </w:rPr>
      </w:pPr>
      <w:r w:rsidRPr="006F42E1">
        <w:rPr>
          <w:rFonts w:ascii="Times New Roman" w:hAnsi="Times New Roman" w:cs="Times New Roman"/>
          <w:sz w:val="20"/>
          <w:szCs w:val="20"/>
        </w:rPr>
        <w:t xml:space="preserve">Fonte: SIDRA, 2022; IBGE, 2013; 2018.  </w:t>
      </w:r>
    </w:p>
    <w:p w14:paraId="22A2276F" w14:textId="2E888D37" w:rsidR="6A27609A" w:rsidRPr="006F42E1" w:rsidRDefault="6A27609A" w:rsidP="0E7F4194">
      <w:pPr>
        <w:spacing w:after="0" w:line="360" w:lineRule="auto"/>
        <w:jc w:val="both"/>
        <w:rPr>
          <w:rFonts w:ascii="Times New Roman" w:hAnsi="Times New Roman" w:cs="Times New Roman"/>
          <w:sz w:val="24"/>
          <w:szCs w:val="24"/>
        </w:rPr>
      </w:pPr>
    </w:p>
    <w:p w14:paraId="1C44E1CB" w14:textId="2A7C1B0B" w:rsidR="0016385D" w:rsidRPr="006F42E1" w:rsidRDefault="0016385D" w:rsidP="0016385D">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 xml:space="preserve">Ao subdividir a RDT para considerar o peso relativo de crianças e idosos separadamente, vê-se que esta é majoritariamente composta pela dependência de jovens (RDJ), que vem reduzindo </w:t>
      </w:r>
      <w:r w:rsidR="00A41633" w:rsidRPr="006F42E1">
        <w:rPr>
          <w:rFonts w:ascii="Times New Roman" w:hAnsi="Times New Roman" w:cs="Times New Roman"/>
          <w:sz w:val="24"/>
          <w:szCs w:val="24"/>
        </w:rPr>
        <w:t xml:space="preserve">nas últimas décadas </w:t>
      </w:r>
      <w:r w:rsidRPr="006F42E1">
        <w:rPr>
          <w:rFonts w:ascii="Times New Roman" w:hAnsi="Times New Roman" w:cs="Times New Roman"/>
          <w:sz w:val="24"/>
          <w:szCs w:val="24"/>
        </w:rPr>
        <w:t xml:space="preserve">(de </w:t>
      </w:r>
      <w:r w:rsidR="00CF0A2B" w:rsidRPr="006F42E1">
        <w:rPr>
          <w:rFonts w:ascii="Times New Roman" w:hAnsi="Times New Roman" w:cs="Times New Roman"/>
          <w:sz w:val="24"/>
          <w:szCs w:val="24"/>
        </w:rPr>
        <w:t>70</w:t>
      </w:r>
      <w:r w:rsidRPr="006F42E1">
        <w:rPr>
          <w:rFonts w:ascii="Times New Roman" w:hAnsi="Times New Roman" w:cs="Times New Roman"/>
          <w:sz w:val="24"/>
          <w:szCs w:val="24"/>
        </w:rPr>
        <w:t>,</w:t>
      </w:r>
      <w:r w:rsidR="00CF0A2B" w:rsidRPr="006F42E1">
        <w:rPr>
          <w:rFonts w:ascii="Times New Roman" w:hAnsi="Times New Roman" w:cs="Times New Roman"/>
          <w:sz w:val="24"/>
          <w:szCs w:val="24"/>
        </w:rPr>
        <w:t>88</w:t>
      </w:r>
      <w:r w:rsidRPr="006F42E1">
        <w:rPr>
          <w:rFonts w:ascii="Times New Roman" w:hAnsi="Times New Roman" w:cs="Times New Roman"/>
          <w:sz w:val="24"/>
          <w:szCs w:val="24"/>
        </w:rPr>
        <w:t xml:space="preserve"> para </w:t>
      </w:r>
      <w:r w:rsidR="00CF0A2B" w:rsidRPr="006F42E1">
        <w:rPr>
          <w:rFonts w:ascii="Times New Roman" w:hAnsi="Times New Roman" w:cs="Times New Roman"/>
          <w:sz w:val="24"/>
          <w:szCs w:val="24"/>
        </w:rPr>
        <w:t>41</w:t>
      </w:r>
      <w:r w:rsidRPr="006F42E1">
        <w:rPr>
          <w:rFonts w:ascii="Times New Roman" w:hAnsi="Times New Roman" w:cs="Times New Roman"/>
          <w:sz w:val="24"/>
          <w:szCs w:val="24"/>
        </w:rPr>
        <w:t>,</w:t>
      </w:r>
      <w:r w:rsidR="00CF0A2B" w:rsidRPr="006F42E1">
        <w:rPr>
          <w:rFonts w:ascii="Times New Roman" w:hAnsi="Times New Roman" w:cs="Times New Roman"/>
          <w:sz w:val="24"/>
          <w:szCs w:val="24"/>
        </w:rPr>
        <w:t>44</w:t>
      </w:r>
      <w:r w:rsidRPr="006F42E1">
        <w:rPr>
          <w:rFonts w:ascii="Times New Roman" w:hAnsi="Times New Roman" w:cs="Times New Roman"/>
          <w:sz w:val="24"/>
          <w:szCs w:val="24"/>
        </w:rPr>
        <w:t xml:space="preserve"> entre 19</w:t>
      </w:r>
      <w:r w:rsidR="00CF0A2B" w:rsidRPr="006F42E1">
        <w:rPr>
          <w:rFonts w:ascii="Times New Roman" w:hAnsi="Times New Roman" w:cs="Times New Roman"/>
          <w:sz w:val="24"/>
          <w:szCs w:val="24"/>
        </w:rPr>
        <w:t>91</w:t>
      </w:r>
      <w:r w:rsidRPr="006F42E1">
        <w:rPr>
          <w:rFonts w:ascii="Times New Roman" w:hAnsi="Times New Roman" w:cs="Times New Roman"/>
          <w:sz w:val="24"/>
          <w:szCs w:val="24"/>
        </w:rPr>
        <w:t xml:space="preserve"> e 2010) </w:t>
      </w:r>
      <w:r w:rsidR="004874D1" w:rsidRPr="006F42E1">
        <w:rPr>
          <w:rFonts w:ascii="Times New Roman" w:hAnsi="Times New Roman" w:cs="Times New Roman"/>
          <w:sz w:val="24"/>
          <w:szCs w:val="24"/>
        </w:rPr>
        <w:t xml:space="preserve">e </w:t>
      </w:r>
      <w:r w:rsidR="00495D23" w:rsidRPr="006F42E1">
        <w:rPr>
          <w:rFonts w:ascii="Times New Roman" w:hAnsi="Times New Roman" w:cs="Times New Roman"/>
          <w:sz w:val="24"/>
          <w:szCs w:val="24"/>
        </w:rPr>
        <w:t xml:space="preserve">tende para aproximadamente 28 </w:t>
      </w:r>
      <w:r w:rsidR="0E188148" w:rsidRPr="006F42E1">
        <w:rPr>
          <w:rFonts w:ascii="Times New Roman" w:hAnsi="Times New Roman" w:cs="Times New Roman"/>
          <w:sz w:val="24"/>
          <w:szCs w:val="24"/>
        </w:rPr>
        <w:t>crianças</w:t>
      </w:r>
      <w:r w:rsidR="2CE3A4FF" w:rsidRPr="006F42E1">
        <w:rPr>
          <w:rFonts w:ascii="Times New Roman" w:hAnsi="Times New Roman" w:cs="Times New Roman"/>
          <w:sz w:val="24"/>
          <w:szCs w:val="24"/>
        </w:rPr>
        <w:t xml:space="preserve"> </w:t>
      </w:r>
      <w:r w:rsidR="1297EBB4" w:rsidRPr="006F42E1">
        <w:rPr>
          <w:rFonts w:ascii="Times New Roman" w:hAnsi="Times New Roman" w:cs="Times New Roman"/>
          <w:sz w:val="24"/>
          <w:szCs w:val="24"/>
        </w:rPr>
        <w:t>para cada 100 pessoas em idade potencialmente ativa</w:t>
      </w:r>
      <w:r w:rsidR="00495D23" w:rsidRPr="006F42E1">
        <w:rPr>
          <w:rFonts w:ascii="Times New Roman" w:hAnsi="Times New Roman" w:cs="Times New Roman"/>
          <w:sz w:val="24"/>
          <w:szCs w:val="24"/>
        </w:rPr>
        <w:t xml:space="preserve"> em </w:t>
      </w:r>
      <w:r w:rsidR="004874D1" w:rsidRPr="006F42E1">
        <w:rPr>
          <w:rFonts w:ascii="Times New Roman" w:hAnsi="Times New Roman" w:cs="Times New Roman"/>
          <w:sz w:val="24"/>
          <w:szCs w:val="24"/>
        </w:rPr>
        <w:t>2050</w:t>
      </w:r>
      <w:r w:rsidR="00717FCD" w:rsidRPr="006F42E1">
        <w:rPr>
          <w:rFonts w:ascii="Times New Roman" w:hAnsi="Times New Roman" w:cs="Times New Roman"/>
          <w:sz w:val="24"/>
          <w:szCs w:val="24"/>
        </w:rPr>
        <w:t>. Assim, p</w:t>
      </w:r>
      <w:r w:rsidR="00A41633" w:rsidRPr="006F42E1">
        <w:rPr>
          <w:rFonts w:ascii="Times New Roman" w:hAnsi="Times New Roman" w:cs="Times New Roman"/>
          <w:sz w:val="24"/>
          <w:szCs w:val="24"/>
        </w:rPr>
        <w:t>ermanece</w:t>
      </w:r>
      <w:r w:rsidR="00717FCD" w:rsidRPr="006F42E1">
        <w:rPr>
          <w:rFonts w:ascii="Times New Roman" w:hAnsi="Times New Roman" w:cs="Times New Roman"/>
          <w:sz w:val="24"/>
          <w:szCs w:val="24"/>
        </w:rPr>
        <w:t>rá</w:t>
      </w:r>
      <w:r w:rsidR="00A41633" w:rsidRPr="006F42E1">
        <w:rPr>
          <w:rFonts w:ascii="Times New Roman" w:hAnsi="Times New Roman" w:cs="Times New Roman"/>
          <w:sz w:val="24"/>
          <w:szCs w:val="24"/>
        </w:rPr>
        <w:t xml:space="preserve"> </w:t>
      </w:r>
      <w:r w:rsidRPr="006F42E1">
        <w:rPr>
          <w:rFonts w:ascii="Times New Roman" w:hAnsi="Times New Roman" w:cs="Times New Roman"/>
          <w:sz w:val="24"/>
          <w:szCs w:val="24"/>
        </w:rPr>
        <w:t>ditando o comportamento descendente da RDT</w:t>
      </w:r>
      <w:r w:rsidR="00A41633" w:rsidRPr="006F42E1">
        <w:rPr>
          <w:rFonts w:ascii="Times New Roman" w:hAnsi="Times New Roman" w:cs="Times New Roman"/>
          <w:sz w:val="24"/>
          <w:szCs w:val="24"/>
        </w:rPr>
        <w:t xml:space="preserve"> até a </w:t>
      </w:r>
      <w:r w:rsidR="000B4E41" w:rsidRPr="006F42E1">
        <w:rPr>
          <w:rFonts w:ascii="Times New Roman" w:hAnsi="Times New Roman" w:cs="Times New Roman"/>
          <w:sz w:val="24"/>
          <w:szCs w:val="24"/>
        </w:rPr>
        <w:t xml:space="preserve">projeção para </w:t>
      </w:r>
      <w:r w:rsidR="007E3900" w:rsidRPr="006F42E1">
        <w:rPr>
          <w:rFonts w:ascii="Times New Roman" w:hAnsi="Times New Roman" w:cs="Times New Roman"/>
          <w:sz w:val="24"/>
          <w:szCs w:val="24"/>
        </w:rPr>
        <w:t>2030</w:t>
      </w:r>
      <w:r w:rsidRPr="006F42E1">
        <w:rPr>
          <w:rFonts w:ascii="Times New Roman" w:hAnsi="Times New Roman" w:cs="Times New Roman"/>
          <w:sz w:val="24"/>
          <w:szCs w:val="24"/>
        </w:rPr>
        <w:t>. Já a RDI segue o sentido oposto, pois seu peso vem aumentando dado o envelhecimento populacional resultante da transição da estrutura etária. Em 19</w:t>
      </w:r>
      <w:r w:rsidR="00170E57" w:rsidRPr="006F42E1">
        <w:rPr>
          <w:rFonts w:ascii="Times New Roman" w:hAnsi="Times New Roman" w:cs="Times New Roman"/>
          <w:sz w:val="24"/>
          <w:szCs w:val="24"/>
        </w:rPr>
        <w:t>91</w:t>
      </w:r>
      <w:r w:rsidRPr="006F42E1">
        <w:rPr>
          <w:rFonts w:ascii="Times New Roman" w:hAnsi="Times New Roman" w:cs="Times New Roman"/>
          <w:sz w:val="24"/>
          <w:szCs w:val="24"/>
        </w:rPr>
        <w:t xml:space="preserve">, dos aproximados </w:t>
      </w:r>
      <w:r w:rsidR="00170E57" w:rsidRPr="006F42E1">
        <w:rPr>
          <w:rFonts w:ascii="Times New Roman" w:hAnsi="Times New Roman" w:cs="Times New Roman"/>
          <w:sz w:val="24"/>
          <w:szCs w:val="24"/>
        </w:rPr>
        <w:t>71</w:t>
      </w:r>
      <w:r w:rsidRPr="006F42E1">
        <w:rPr>
          <w:rFonts w:ascii="Times New Roman" w:hAnsi="Times New Roman" w:cs="Times New Roman"/>
          <w:sz w:val="24"/>
          <w:szCs w:val="24"/>
        </w:rPr>
        <w:t xml:space="preserve"> dependentes somente </w:t>
      </w:r>
      <w:r w:rsidR="00170E57" w:rsidRPr="006F42E1">
        <w:rPr>
          <w:rFonts w:ascii="Times New Roman" w:hAnsi="Times New Roman" w:cs="Times New Roman"/>
          <w:sz w:val="24"/>
          <w:szCs w:val="24"/>
        </w:rPr>
        <w:t>11</w:t>
      </w:r>
      <w:r w:rsidRPr="006F42E1">
        <w:rPr>
          <w:rFonts w:ascii="Times New Roman" w:hAnsi="Times New Roman" w:cs="Times New Roman"/>
          <w:sz w:val="24"/>
          <w:szCs w:val="24"/>
        </w:rPr>
        <w:t xml:space="preserve"> eram idosos</w:t>
      </w:r>
      <w:r w:rsidR="00F43DE9" w:rsidRPr="006F42E1">
        <w:rPr>
          <w:rFonts w:ascii="Times New Roman" w:hAnsi="Times New Roman" w:cs="Times New Roman"/>
          <w:sz w:val="24"/>
          <w:szCs w:val="24"/>
        </w:rPr>
        <w:t xml:space="preserve">, </w:t>
      </w:r>
      <w:r w:rsidR="005D1893" w:rsidRPr="006F42E1">
        <w:rPr>
          <w:rFonts w:ascii="Times New Roman" w:hAnsi="Times New Roman" w:cs="Times New Roman"/>
          <w:sz w:val="24"/>
          <w:szCs w:val="24"/>
        </w:rPr>
        <w:t>algo próximo</w:t>
      </w:r>
      <w:r w:rsidR="00465C94" w:rsidRPr="006F42E1">
        <w:rPr>
          <w:rFonts w:ascii="Times New Roman" w:hAnsi="Times New Roman" w:cs="Times New Roman"/>
          <w:sz w:val="24"/>
          <w:szCs w:val="24"/>
        </w:rPr>
        <w:t xml:space="preserve"> de</w:t>
      </w:r>
      <w:r w:rsidR="00313FE1" w:rsidRPr="006F42E1">
        <w:rPr>
          <w:rFonts w:ascii="Times New Roman" w:hAnsi="Times New Roman" w:cs="Times New Roman"/>
          <w:sz w:val="24"/>
          <w:szCs w:val="24"/>
        </w:rPr>
        <w:t xml:space="preserve"> 15%</w:t>
      </w:r>
      <w:r w:rsidR="005D1893" w:rsidRPr="006F42E1">
        <w:rPr>
          <w:rFonts w:ascii="Times New Roman" w:hAnsi="Times New Roman" w:cs="Times New Roman"/>
          <w:sz w:val="24"/>
          <w:szCs w:val="24"/>
        </w:rPr>
        <w:t xml:space="preserve">, ao passo que na </w:t>
      </w:r>
      <w:r w:rsidR="0032290D" w:rsidRPr="006F42E1">
        <w:rPr>
          <w:rFonts w:ascii="Times New Roman" w:hAnsi="Times New Roman" w:cs="Times New Roman"/>
          <w:sz w:val="24"/>
          <w:szCs w:val="24"/>
        </w:rPr>
        <w:t xml:space="preserve">projeção para 2050 </w:t>
      </w:r>
      <w:r w:rsidR="00322B36" w:rsidRPr="006F42E1">
        <w:rPr>
          <w:rFonts w:ascii="Times New Roman" w:hAnsi="Times New Roman" w:cs="Times New Roman"/>
          <w:sz w:val="24"/>
          <w:szCs w:val="24"/>
        </w:rPr>
        <w:t>metade (</w:t>
      </w:r>
      <w:r w:rsidR="00465C94" w:rsidRPr="006F42E1">
        <w:rPr>
          <w:rFonts w:ascii="Times New Roman" w:hAnsi="Times New Roman" w:cs="Times New Roman"/>
          <w:sz w:val="24"/>
          <w:szCs w:val="24"/>
        </w:rPr>
        <w:t>2</w:t>
      </w:r>
      <w:r w:rsidR="00322B36" w:rsidRPr="006F42E1">
        <w:rPr>
          <w:rFonts w:ascii="Times New Roman" w:hAnsi="Times New Roman" w:cs="Times New Roman"/>
          <w:sz w:val="24"/>
          <w:szCs w:val="24"/>
        </w:rPr>
        <w:t>7,89)</w:t>
      </w:r>
      <w:r w:rsidR="00465C94" w:rsidRPr="006F42E1">
        <w:rPr>
          <w:rFonts w:ascii="Times New Roman" w:hAnsi="Times New Roman" w:cs="Times New Roman"/>
          <w:sz w:val="24"/>
          <w:szCs w:val="24"/>
        </w:rPr>
        <w:t xml:space="preserve"> </w:t>
      </w:r>
      <w:r w:rsidR="0032290D" w:rsidRPr="006F42E1">
        <w:rPr>
          <w:rFonts w:ascii="Times New Roman" w:hAnsi="Times New Roman" w:cs="Times New Roman"/>
          <w:sz w:val="24"/>
          <w:szCs w:val="24"/>
        </w:rPr>
        <w:t>dos 55,43 dependentes</w:t>
      </w:r>
      <w:r w:rsidRPr="006F42E1">
        <w:rPr>
          <w:rFonts w:ascii="Times New Roman" w:hAnsi="Times New Roman" w:cs="Times New Roman"/>
          <w:sz w:val="24"/>
          <w:szCs w:val="24"/>
        </w:rPr>
        <w:t xml:space="preserve"> s</w:t>
      </w:r>
      <w:r w:rsidR="00313FE1" w:rsidRPr="006F42E1">
        <w:rPr>
          <w:rFonts w:ascii="Times New Roman" w:hAnsi="Times New Roman" w:cs="Times New Roman"/>
          <w:sz w:val="24"/>
          <w:szCs w:val="24"/>
        </w:rPr>
        <w:t>er</w:t>
      </w:r>
      <w:r w:rsidRPr="006F42E1">
        <w:rPr>
          <w:rFonts w:ascii="Times New Roman" w:hAnsi="Times New Roman" w:cs="Times New Roman"/>
          <w:sz w:val="24"/>
          <w:szCs w:val="24"/>
        </w:rPr>
        <w:t>ão idosos.</w:t>
      </w:r>
      <w:r w:rsidR="009C2201" w:rsidRPr="006F42E1">
        <w:rPr>
          <w:rFonts w:ascii="Times New Roman" w:hAnsi="Times New Roman" w:cs="Times New Roman"/>
          <w:sz w:val="24"/>
          <w:szCs w:val="24"/>
        </w:rPr>
        <w:t xml:space="preserve"> </w:t>
      </w:r>
    </w:p>
    <w:p w14:paraId="6BEB919A" w14:textId="1D4917E3" w:rsidR="00645D4D" w:rsidRPr="006F42E1" w:rsidRDefault="0016385D" w:rsidP="0016385D">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t>Por meio da razão de dependência se visualiza mais claramente a constituição do bônus demográfico, a partir da diminuição acentuada no número de dependentes jovens ao mesmo tempo em que o de idosos cresce lentamente, partindo de valores muito baixos. Complementando o que já foi colocado</w:t>
      </w:r>
      <w:r w:rsidR="009C2201" w:rsidRPr="006F42E1">
        <w:rPr>
          <w:rFonts w:ascii="Times New Roman" w:hAnsi="Times New Roman" w:cs="Times New Roman"/>
          <w:sz w:val="24"/>
          <w:szCs w:val="24"/>
        </w:rPr>
        <w:t xml:space="preserve"> acerca do tema</w:t>
      </w:r>
      <w:r w:rsidRPr="006F42E1">
        <w:rPr>
          <w:rFonts w:ascii="Times New Roman" w:hAnsi="Times New Roman" w:cs="Times New Roman"/>
          <w:sz w:val="24"/>
          <w:szCs w:val="24"/>
        </w:rPr>
        <w:t xml:space="preserve">, Brito (2008, p. 7) alerta que “se o </w:t>
      </w:r>
      <w:r w:rsidRPr="006F42E1">
        <w:rPr>
          <w:rFonts w:ascii="Times New Roman" w:hAnsi="Times New Roman" w:cs="Times New Roman"/>
          <w:sz w:val="24"/>
          <w:szCs w:val="24"/>
        </w:rPr>
        <w:lastRenderedPageBreak/>
        <w:t>crescimento da economia e as mudanças na regulação do mercado de trabalho não</w:t>
      </w:r>
      <w:r w:rsidR="00B614BE" w:rsidRPr="006F42E1">
        <w:rPr>
          <w:rFonts w:ascii="Times New Roman" w:hAnsi="Times New Roman" w:cs="Times New Roman"/>
          <w:sz w:val="24"/>
          <w:szCs w:val="24"/>
        </w:rPr>
        <w:t xml:space="preserve"> superarem seu comportamento recente, a proporção de desempregados e empregados na informalidade comprometerá as oportunidades demográficas”. </w:t>
      </w:r>
      <w:r w:rsidR="00642E99" w:rsidRPr="006F42E1">
        <w:rPr>
          <w:rFonts w:ascii="Times New Roman" w:hAnsi="Times New Roman" w:cs="Times New Roman"/>
          <w:sz w:val="24"/>
          <w:szCs w:val="24"/>
        </w:rPr>
        <w:t>Cabe acrescentar que tal</w:t>
      </w:r>
      <w:r w:rsidR="00750EB0" w:rsidRPr="006F42E1">
        <w:rPr>
          <w:rFonts w:ascii="Times New Roman" w:hAnsi="Times New Roman" w:cs="Times New Roman"/>
          <w:sz w:val="24"/>
          <w:szCs w:val="24"/>
        </w:rPr>
        <w:t xml:space="preserve"> quadro de informalidade e baixa remuneração do trabalho </w:t>
      </w:r>
      <w:r w:rsidR="00196BDA" w:rsidRPr="006F42E1">
        <w:rPr>
          <w:rFonts w:ascii="Times New Roman" w:hAnsi="Times New Roman" w:cs="Times New Roman"/>
          <w:sz w:val="24"/>
          <w:szCs w:val="24"/>
        </w:rPr>
        <w:t>n</w:t>
      </w:r>
      <w:r w:rsidR="00750EB0" w:rsidRPr="006F42E1">
        <w:rPr>
          <w:rFonts w:ascii="Times New Roman" w:hAnsi="Times New Roman" w:cs="Times New Roman"/>
          <w:sz w:val="24"/>
          <w:szCs w:val="24"/>
        </w:rPr>
        <w:t xml:space="preserve">o país, </w:t>
      </w:r>
      <w:r w:rsidR="0092563B" w:rsidRPr="006F42E1">
        <w:rPr>
          <w:rFonts w:ascii="Times New Roman" w:hAnsi="Times New Roman" w:cs="Times New Roman"/>
          <w:sz w:val="24"/>
          <w:szCs w:val="24"/>
        </w:rPr>
        <w:t>e</w:t>
      </w:r>
      <w:r w:rsidR="00196BDA" w:rsidRPr="006F42E1">
        <w:rPr>
          <w:rFonts w:ascii="Times New Roman" w:hAnsi="Times New Roman" w:cs="Times New Roman"/>
          <w:sz w:val="24"/>
          <w:szCs w:val="24"/>
        </w:rPr>
        <w:t xml:space="preserve"> </w:t>
      </w:r>
      <w:r w:rsidR="00642E99" w:rsidRPr="006F42E1">
        <w:rPr>
          <w:rFonts w:ascii="Times New Roman" w:hAnsi="Times New Roman" w:cs="Times New Roman"/>
          <w:sz w:val="24"/>
          <w:szCs w:val="24"/>
        </w:rPr>
        <w:t xml:space="preserve">em </w:t>
      </w:r>
      <w:r w:rsidR="00196BDA" w:rsidRPr="006F42E1">
        <w:rPr>
          <w:rFonts w:ascii="Times New Roman" w:hAnsi="Times New Roman" w:cs="Times New Roman"/>
          <w:sz w:val="24"/>
          <w:szCs w:val="24"/>
        </w:rPr>
        <w:t>especial</w:t>
      </w:r>
      <w:r w:rsidR="00750EB0" w:rsidRPr="006F42E1">
        <w:rPr>
          <w:rFonts w:ascii="Times New Roman" w:hAnsi="Times New Roman" w:cs="Times New Roman"/>
          <w:sz w:val="24"/>
          <w:szCs w:val="24"/>
        </w:rPr>
        <w:t xml:space="preserve"> no Nordeste</w:t>
      </w:r>
      <w:r w:rsidR="0015141F" w:rsidRPr="006F42E1">
        <w:rPr>
          <w:rFonts w:ascii="Times New Roman" w:hAnsi="Times New Roman" w:cs="Times New Roman"/>
          <w:sz w:val="24"/>
          <w:szCs w:val="24"/>
        </w:rPr>
        <w:t xml:space="preserve"> (BALTAR; LEONE, 2015)</w:t>
      </w:r>
      <w:r w:rsidR="00750EB0" w:rsidRPr="006F42E1">
        <w:rPr>
          <w:rFonts w:ascii="Times New Roman" w:hAnsi="Times New Roman" w:cs="Times New Roman"/>
          <w:sz w:val="24"/>
          <w:szCs w:val="24"/>
        </w:rPr>
        <w:t xml:space="preserve">, </w:t>
      </w:r>
      <w:r w:rsidR="00411546" w:rsidRPr="006F42E1">
        <w:rPr>
          <w:rFonts w:ascii="Times New Roman" w:hAnsi="Times New Roman" w:cs="Times New Roman"/>
          <w:sz w:val="24"/>
          <w:szCs w:val="24"/>
        </w:rPr>
        <w:t xml:space="preserve">tende </w:t>
      </w:r>
      <w:r w:rsidR="00554371" w:rsidRPr="006F42E1">
        <w:rPr>
          <w:rFonts w:ascii="Times New Roman" w:hAnsi="Times New Roman" w:cs="Times New Roman"/>
          <w:sz w:val="24"/>
          <w:szCs w:val="24"/>
        </w:rPr>
        <w:t>a se agravar</w:t>
      </w:r>
      <w:r w:rsidR="00411546" w:rsidRPr="006F42E1">
        <w:rPr>
          <w:rFonts w:ascii="Times New Roman" w:hAnsi="Times New Roman" w:cs="Times New Roman"/>
          <w:sz w:val="24"/>
          <w:szCs w:val="24"/>
        </w:rPr>
        <w:t xml:space="preserve"> </w:t>
      </w:r>
      <w:r w:rsidR="0005150F" w:rsidRPr="006F42E1">
        <w:rPr>
          <w:rFonts w:ascii="Times New Roman" w:hAnsi="Times New Roman" w:cs="Times New Roman"/>
          <w:sz w:val="24"/>
          <w:szCs w:val="24"/>
        </w:rPr>
        <w:t>tendo em vista</w:t>
      </w:r>
      <w:r w:rsidR="00C46241" w:rsidRPr="006F42E1">
        <w:rPr>
          <w:rFonts w:ascii="Times New Roman" w:hAnsi="Times New Roman" w:cs="Times New Roman"/>
          <w:sz w:val="24"/>
          <w:szCs w:val="24"/>
        </w:rPr>
        <w:t xml:space="preserve"> os retrocessos trazidos pela</w:t>
      </w:r>
      <w:r w:rsidR="006D0EE9" w:rsidRPr="006F42E1">
        <w:rPr>
          <w:rFonts w:ascii="Times New Roman" w:hAnsi="Times New Roman" w:cs="Times New Roman"/>
          <w:sz w:val="24"/>
          <w:szCs w:val="24"/>
        </w:rPr>
        <w:t xml:space="preserve"> reforma trabalhista</w:t>
      </w:r>
      <w:r w:rsidR="00C46241" w:rsidRPr="006F42E1">
        <w:rPr>
          <w:rFonts w:ascii="Times New Roman" w:hAnsi="Times New Roman" w:cs="Times New Roman"/>
          <w:sz w:val="24"/>
          <w:szCs w:val="24"/>
        </w:rPr>
        <w:t xml:space="preserve"> em 2017</w:t>
      </w:r>
      <w:r w:rsidR="0015141F" w:rsidRPr="006F42E1">
        <w:rPr>
          <w:rFonts w:ascii="Times New Roman" w:hAnsi="Times New Roman" w:cs="Times New Roman"/>
          <w:sz w:val="24"/>
          <w:szCs w:val="24"/>
        </w:rPr>
        <w:t xml:space="preserve"> (PERONDI, 2017)</w:t>
      </w:r>
      <w:r w:rsidR="006D0EE9" w:rsidRPr="006F42E1">
        <w:rPr>
          <w:rFonts w:ascii="Times New Roman" w:hAnsi="Times New Roman" w:cs="Times New Roman"/>
          <w:sz w:val="24"/>
          <w:szCs w:val="24"/>
        </w:rPr>
        <w:t xml:space="preserve"> </w:t>
      </w:r>
      <w:r w:rsidR="005F7A9D" w:rsidRPr="006F42E1">
        <w:rPr>
          <w:rFonts w:ascii="Times New Roman" w:hAnsi="Times New Roman" w:cs="Times New Roman"/>
          <w:sz w:val="24"/>
          <w:szCs w:val="24"/>
        </w:rPr>
        <w:t>e</w:t>
      </w:r>
      <w:r w:rsidR="006D0EE9" w:rsidRPr="006F42E1">
        <w:rPr>
          <w:rFonts w:ascii="Times New Roman" w:hAnsi="Times New Roman" w:cs="Times New Roman"/>
          <w:sz w:val="24"/>
          <w:szCs w:val="24"/>
        </w:rPr>
        <w:t xml:space="preserve"> </w:t>
      </w:r>
      <w:r w:rsidR="00437974" w:rsidRPr="006F42E1">
        <w:rPr>
          <w:rFonts w:ascii="Times New Roman" w:hAnsi="Times New Roman" w:cs="Times New Roman"/>
          <w:sz w:val="24"/>
          <w:szCs w:val="24"/>
        </w:rPr>
        <w:t xml:space="preserve">a desaceleração econômica </w:t>
      </w:r>
      <w:r w:rsidR="00075441" w:rsidRPr="006F42E1">
        <w:rPr>
          <w:rFonts w:ascii="Times New Roman" w:hAnsi="Times New Roman" w:cs="Times New Roman"/>
          <w:sz w:val="24"/>
          <w:szCs w:val="24"/>
        </w:rPr>
        <w:t>associada a instabilidade política e</w:t>
      </w:r>
      <w:r w:rsidR="00A0546B" w:rsidRPr="006F42E1">
        <w:rPr>
          <w:rFonts w:ascii="Times New Roman" w:hAnsi="Times New Roman" w:cs="Times New Roman"/>
          <w:sz w:val="24"/>
          <w:szCs w:val="24"/>
        </w:rPr>
        <w:t xml:space="preserve"> a</w:t>
      </w:r>
      <w:r w:rsidR="00075441" w:rsidRPr="006F42E1">
        <w:rPr>
          <w:rFonts w:ascii="Times New Roman" w:hAnsi="Times New Roman" w:cs="Times New Roman"/>
          <w:sz w:val="24"/>
          <w:szCs w:val="24"/>
        </w:rPr>
        <w:t xml:space="preserve"> </w:t>
      </w:r>
      <w:r w:rsidR="006D0EE9" w:rsidRPr="006F42E1">
        <w:rPr>
          <w:rFonts w:ascii="Times New Roman" w:hAnsi="Times New Roman" w:cs="Times New Roman"/>
          <w:sz w:val="24"/>
          <w:szCs w:val="24"/>
        </w:rPr>
        <w:t>pandemia de COVID-19</w:t>
      </w:r>
      <w:r w:rsidR="002D1FEF" w:rsidRPr="006F42E1">
        <w:rPr>
          <w:rFonts w:ascii="Times New Roman" w:hAnsi="Times New Roman" w:cs="Times New Roman"/>
          <w:sz w:val="24"/>
          <w:szCs w:val="24"/>
        </w:rPr>
        <w:t xml:space="preserve">, </w:t>
      </w:r>
      <w:r w:rsidR="002275AE" w:rsidRPr="006F42E1">
        <w:rPr>
          <w:rFonts w:ascii="Times New Roman" w:hAnsi="Times New Roman" w:cs="Times New Roman"/>
          <w:sz w:val="24"/>
          <w:szCs w:val="24"/>
        </w:rPr>
        <w:t xml:space="preserve">diminuindo </w:t>
      </w:r>
      <w:r w:rsidR="0015141F" w:rsidRPr="006F42E1">
        <w:rPr>
          <w:rFonts w:ascii="Times New Roman" w:hAnsi="Times New Roman" w:cs="Times New Roman"/>
          <w:sz w:val="24"/>
          <w:szCs w:val="24"/>
        </w:rPr>
        <w:t>a</w:t>
      </w:r>
      <w:r w:rsidR="00554371" w:rsidRPr="006F42E1">
        <w:rPr>
          <w:rFonts w:ascii="Times New Roman" w:hAnsi="Times New Roman" w:cs="Times New Roman"/>
          <w:sz w:val="24"/>
          <w:szCs w:val="24"/>
        </w:rPr>
        <w:t xml:space="preserve"> </w:t>
      </w:r>
      <w:r w:rsidR="00CD23C4" w:rsidRPr="006F42E1">
        <w:rPr>
          <w:rFonts w:ascii="Times New Roman" w:hAnsi="Times New Roman" w:cs="Times New Roman"/>
          <w:sz w:val="24"/>
          <w:szCs w:val="24"/>
        </w:rPr>
        <w:t xml:space="preserve">capacidade de absorção da população ativa no </w:t>
      </w:r>
      <w:r w:rsidR="00750EB0" w:rsidRPr="006F42E1">
        <w:rPr>
          <w:rFonts w:ascii="Times New Roman" w:hAnsi="Times New Roman" w:cs="Times New Roman"/>
          <w:sz w:val="24"/>
          <w:szCs w:val="24"/>
        </w:rPr>
        <w:t>mercado de trabalho</w:t>
      </w:r>
      <w:r w:rsidR="0015141F" w:rsidRPr="006F42E1">
        <w:rPr>
          <w:rFonts w:ascii="Times New Roman" w:hAnsi="Times New Roman" w:cs="Times New Roman"/>
          <w:sz w:val="24"/>
          <w:szCs w:val="24"/>
        </w:rPr>
        <w:t xml:space="preserve">. </w:t>
      </w:r>
      <w:r w:rsidR="00C24444" w:rsidRPr="006F42E1">
        <w:rPr>
          <w:rFonts w:ascii="Times New Roman" w:hAnsi="Times New Roman" w:cs="Times New Roman"/>
          <w:sz w:val="24"/>
          <w:szCs w:val="24"/>
        </w:rPr>
        <w:t>A</w:t>
      </w:r>
      <w:r w:rsidR="00811BEA" w:rsidRPr="006F42E1">
        <w:rPr>
          <w:rFonts w:ascii="Times New Roman" w:hAnsi="Times New Roman" w:cs="Times New Roman"/>
          <w:sz w:val="24"/>
          <w:szCs w:val="24"/>
        </w:rPr>
        <w:t>s</w:t>
      </w:r>
      <w:r w:rsidR="006D6030" w:rsidRPr="006F42E1">
        <w:rPr>
          <w:rFonts w:ascii="Times New Roman" w:hAnsi="Times New Roman" w:cs="Times New Roman"/>
          <w:sz w:val="24"/>
          <w:szCs w:val="24"/>
        </w:rPr>
        <w:t xml:space="preserve"> </w:t>
      </w:r>
      <w:r w:rsidR="00B800AD" w:rsidRPr="006F42E1">
        <w:rPr>
          <w:rFonts w:ascii="Times New Roman" w:hAnsi="Times New Roman" w:cs="Times New Roman"/>
          <w:sz w:val="24"/>
          <w:szCs w:val="24"/>
        </w:rPr>
        <w:t xml:space="preserve">demandas </w:t>
      </w:r>
      <w:r w:rsidR="00F172C0" w:rsidRPr="006F42E1">
        <w:rPr>
          <w:rFonts w:ascii="Times New Roman" w:hAnsi="Times New Roman" w:cs="Times New Roman"/>
          <w:sz w:val="24"/>
          <w:szCs w:val="24"/>
        </w:rPr>
        <w:t>da população da Microrregião do Cariri nesse sentido</w:t>
      </w:r>
      <w:r w:rsidR="00356A93" w:rsidRPr="006F42E1">
        <w:rPr>
          <w:rFonts w:ascii="Times New Roman" w:hAnsi="Times New Roman" w:cs="Times New Roman"/>
          <w:sz w:val="24"/>
          <w:szCs w:val="24"/>
        </w:rPr>
        <w:t xml:space="preserve"> se</w:t>
      </w:r>
      <w:r w:rsidR="00AD3E03" w:rsidRPr="006F42E1">
        <w:rPr>
          <w:rFonts w:ascii="Times New Roman" w:hAnsi="Times New Roman" w:cs="Times New Roman"/>
          <w:sz w:val="24"/>
          <w:szCs w:val="24"/>
        </w:rPr>
        <w:t xml:space="preserve"> mostram</w:t>
      </w:r>
      <w:r w:rsidR="00356A93" w:rsidRPr="006F42E1">
        <w:rPr>
          <w:rFonts w:ascii="Times New Roman" w:hAnsi="Times New Roman" w:cs="Times New Roman"/>
          <w:sz w:val="24"/>
          <w:szCs w:val="24"/>
        </w:rPr>
        <w:t xml:space="preserve"> mais importantes por volta de</w:t>
      </w:r>
      <w:r w:rsidR="001F091D" w:rsidRPr="006F42E1">
        <w:rPr>
          <w:rFonts w:ascii="Times New Roman" w:hAnsi="Times New Roman" w:cs="Times New Roman"/>
          <w:sz w:val="24"/>
          <w:szCs w:val="24"/>
        </w:rPr>
        <w:t xml:space="preserve"> </w:t>
      </w:r>
      <w:r w:rsidR="00EE3E46" w:rsidRPr="006F42E1">
        <w:rPr>
          <w:rFonts w:ascii="Times New Roman" w:hAnsi="Times New Roman" w:cs="Times New Roman"/>
          <w:sz w:val="24"/>
          <w:szCs w:val="24"/>
        </w:rPr>
        <w:t>2020</w:t>
      </w:r>
      <w:r w:rsidR="00356A93" w:rsidRPr="006F42E1">
        <w:rPr>
          <w:rFonts w:ascii="Times New Roman" w:hAnsi="Times New Roman" w:cs="Times New Roman"/>
          <w:sz w:val="24"/>
          <w:szCs w:val="24"/>
        </w:rPr>
        <w:t>,</w:t>
      </w:r>
      <w:r w:rsidR="004217DE" w:rsidRPr="006F42E1">
        <w:rPr>
          <w:rFonts w:ascii="Times New Roman" w:hAnsi="Times New Roman" w:cs="Times New Roman"/>
          <w:sz w:val="24"/>
          <w:szCs w:val="24"/>
        </w:rPr>
        <w:t xml:space="preserve"> quando se visualiza </w:t>
      </w:r>
      <w:r w:rsidR="00847A47" w:rsidRPr="006F42E1">
        <w:rPr>
          <w:rFonts w:ascii="Times New Roman" w:hAnsi="Times New Roman" w:cs="Times New Roman"/>
          <w:sz w:val="24"/>
          <w:szCs w:val="24"/>
        </w:rPr>
        <w:t>a entrada de grande contingente</w:t>
      </w:r>
      <w:r w:rsidR="007C06DC" w:rsidRPr="006F42E1">
        <w:rPr>
          <w:rFonts w:ascii="Times New Roman" w:hAnsi="Times New Roman" w:cs="Times New Roman"/>
          <w:sz w:val="24"/>
          <w:szCs w:val="24"/>
        </w:rPr>
        <w:t xml:space="preserve"> de jovens </w:t>
      </w:r>
      <w:r w:rsidR="00F1632B" w:rsidRPr="006F42E1">
        <w:rPr>
          <w:rFonts w:ascii="Times New Roman" w:hAnsi="Times New Roman" w:cs="Times New Roman"/>
          <w:sz w:val="24"/>
          <w:szCs w:val="24"/>
        </w:rPr>
        <w:t>na idade ativa</w:t>
      </w:r>
      <w:r w:rsidR="00DE3A9B" w:rsidRPr="006F42E1">
        <w:rPr>
          <w:rFonts w:ascii="Times New Roman" w:hAnsi="Times New Roman" w:cs="Times New Roman"/>
          <w:sz w:val="24"/>
          <w:szCs w:val="24"/>
        </w:rPr>
        <w:t>.</w:t>
      </w:r>
      <w:r w:rsidR="00B56558" w:rsidRPr="006F42E1">
        <w:rPr>
          <w:rFonts w:ascii="Times New Roman" w:hAnsi="Times New Roman" w:cs="Times New Roman"/>
          <w:sz w:val="24"/>
          <w:szCs w:val="24"/>
        </w:rPr>
        <w:t xml:space="preserve"> </w:t>
      </w:r>
    </w:p>
    <w:p w14:paraId="30664F3E" w14:textId="0736A779" w:rsidR="00061CE6" w:rsidRPr="006F42E1" w:rsidRDefault="00061CE6" w:rsidP="13B1A6B2">
      <w:pPr>
        <w:spacing w:after="0" w:line="360" w:lineRule="auto"/>
        <w:jc w:val="both"/>
        <w:rPr>
          <w:rFonts w:ascii="Times New Roman" w:hAnsi="Times New Roman" w:cs="Times New Roman"/>
          <w:sz w:val="24"/>
          <w:szCs w:val="24"/>
        </w:rPr>
      </w:pPr>
      <w:r w:rsidRPr="006F42E1">
        <w:rPr>
          <w:rFonts w:ascii="Times New Roman" w:hAnsi="Times New Roman" w:cs="Times New Roman"/>
          <w:sz w:val="24"/>
          <w:szCs w:val="24"/>
        </w:rPr>
        <w:tab/>
      </w:r>
      <w:r w:rsidR="00F057DA" w:rsidRPr="006F42E1">
        <w:rPr>
          <w:rFonts w:ascii="Times New Roman" w:hAnsi="Times New Roman" w:cs="Times New Roman"/>
          <w:sz w:val="24"/>
          <w:szCs w:val="24"/>
        </w:rPr>
        <w:t>Outra</w:t>
      </w:r>
      <w:r w:rsidR="00C13563" w:rsidRPr="006F42E1">
        <w:rPr>
          <w:rFonts w:ascii="Times New Roman" w:hAnsi="Times New Roman" w:cs="Times New Roman"/>
          <w:sz w:val="24"/>
          <w:szCs w:val="24"/>
        </w:rPr>
        <w:t xml:space="preserve"> demanda </w:t>
      </w:r>
      <w:r w:rsidR="00D422BA" w:rsidRPr="006F42E1">
        <w:rPr>
          <w:rFonts w:ascii="Times New Roman" w:hAnsi="Times New Roman" w:cs="Times New Roman"/>
          <w:sz w:val="24"/>
          <w:szCs w:val="24"/>
        </w:rPr>
        <w:t xml:space="preserve">importante </w:t>
      </w:r>
      <w:r w:rsidR="00C13563" w:rsidRPr="006F42E1">
        <w:rPr>
          <w:rFonts w:ascii="Times New Roman" w:hAnsi="Times New Roman" w:cs="Times New Roman"/>
          <w:sz w:val="24"/>
          <w:szCs w:val="24"/>
        </w:rPr>
        <w:t xml:space="preserve">ressaltada nesse contexto é por investimentos </w:t>
      </w:r>
      <w:r w:rsidR="008407AB" w:rsidRPr="006F42E1">
        <w:rPr>
          <w:rFonts w:ascii="Times New Roman" w:hAnsi="Times New Roman" w:cs="Times New Roman"/>
          <w:sz w:val="24"/>
          <w:szCs w:val="24"/>
        </w:rPr>
        <w:t xml:space="preserve">urgentes </w:t>
      </w:r>
      <w:r w:rsidR="00C13563" w:rsidRPr="006F42E1">
        <w:rPr>
          <w:rFonts w:ascii="Times New Roman" w:hAnsi="Times New Roman" w:cs="Times New Roman"/>
          <w:sz w:val="24"/>
          <w:szCs w:val="24"/>
        </w:rPr>
        <w:t xml:space="preserve">na qualidade da educação, pois são estas crianças que se tornarão a força de trabalho que conviverá com a crescente dependência de idosos. Nas palavras de Carvalho e Wong (2008, p. 604), “Dependerá das atuais gerações de jovens a garantia, em médio e longo prazos, de uma vida digna às gerações de idosos. Ademais, é nesta fase que a sociedade deve se preparar, mediante reformas institucionais na área da seguridade social (previdência e saúde)”. </w:t>
      </w:r>
    </w:p>
    <w:p w14:paraId="67C98CBF" w14:textId="7227C001" w:rsidR="0016385D" w:rsidRPr="006F42E1" w:rsidRDefault="007E599C" w:rsidP="13B1A6B2">
      <w:pPr>
        <w:spacing w:after="0" w:line="360" w:lineRule="auto"/>
        <w:ind w:firstLine="708"/>
        <w:jc w:val="both"/>
        <w:rPr>
          <w:rFonts w:ascii="Times New Roman" w:hAnsi="Times New Roman" w:cs="Times New Roman"/>
          <w:sz w:val="24"/>
          <w:szCs w:val="24"/>
        </w:rPr>
      </w:pPr>
      <w:r w:rsidRPr="006F42E1">
        <w:rPr>
          <w:rFonts w:ascii="Times New Roman" w:hAnsi="Times New Roman" w:cs="Times New Roman"/>
          <w:sz w:val="24"/>
          <w:szCs w:val="24"/>
        </w:rPr>
        <w:t>Portanto, d</w:t>
      </w:r>
      <w:r w:rsidR="72959B39" w:rsidRPr="006F42E1">
        <w:rPr>
          <w:rFonts w:ascii="Times New Roman" w:hAnsi="Times New Roman" w:cs="Times New Roman"/>
          <w:sz w:val="24"/>
          <w:szCs w:val="24"/>
        </w:rPr>
        <w:t xml:space="preserve">ispor de projeções ao nível de pequenas áreas é crucial para o delineamento e planejamento dessas políticas públicas de forma particularizada, uma vez que a projeção fornece a visualização de quais grupos etários gerarão demandas sociais mais significativas, e em quais momento diferentes âmbitos sociais demandarão maior atenção, permitindo uma alocação mais eficiente dos recursos públicos. Por exemplo, na situação extraordinária que tem sido a pandemia da COVID-19, precisou-se saber o número de pessoas por idade não só para acompanhar o impacto do vírus, mas também para o planejamento, distribuição e controle da vacinação. </w:t>
      </w:r>
    </w:p>
    <w:p w14:paraId="78A0F40C" w14:textId="44ECF0F7" w:rsidR="0016385D" w:rsidRPr="006F42E1" w:rsidRDefault="72959B39" w:rsidP="13B1A6B2">
      <w:pPr>
        <w:spacing w:after="0" w:line="360" w:lineRule="auto"/>
        <w:ind w:firstLine="708"/>
        <w:jc w:val="both"/>
        <w:rPr>
          <w:rFonts w:ascii="Times New Roman" w:hAnsi="Times New Roman" w:cs="Times New Roman"/>
          <w:sz w:val="24"/>
          <w:szCs w:val="24"/>
        </w:rPr>
      </w:pPr>
      <w:r w:rsidRPr="006F42E1">
        <w:rPr>
          <w:rFonts w:ascii="Times New Roman" w:hAnsi="Times New Roman" w:cs="Times New Roman"/>
          <w:sz w:val="24"/>
          <w:szCs w:val="24"/>
        </w:rPr>
        <w:t xml:space="preserve">Embora a população da microrregião em apreço, em linhas gerais, siga a tendência observada no estado, pois foi baseada na projeção dessa grande área, a intensidade ou </w:t>
      </w:r>
      <w:r w:rsidRPr="006F42E1">
        <w:rPr>
          <w:rFonts w:ascii="Times New Roman" w:hAnsi="Times New Roman" w:cs="Times New Roman"/>
          <w:i/>
          <w:iCs/>
          <w:sz w:val="24"/>
          <w:szCs w:val="24"/>
        </w:rPr>
        <w:t>timing</w:t>
      </w:r>
      <w:r w:rsidRPr="006F42E1">
        <w:rPr>
          <w:rFonts w:ascii="Times New Roman" w:hAnsi="Times New Roman" w:cs="Times New Roman"/>
          <w:sz w:val="24"/>
          <w:szCs w:val="24"/>
        </w:rPr>
        <w:t xml:space="preserve"> das transformações na sua população pode ser diferente por apresentar dinâmicas próprias. A partir de métodos como os apresentados neste trabalho, a gestão de políticas públicas também pode se valer de projeções de grupos sociais específicos, considerando, assim, a </w:t>
      </w:r>
      <w:r w:rsidRPr="006F42E1">
        <w:rPr>
          <w:rFonts w:ascii="Times New Roman" w:hAnsi="Times New Roman" w:cs="Times New Roman"/>
          <w:sz w:val="24"/>
          <w:szCs w:val="24"/>
        </w:rPr>
        <w:lastRenderedPageBreak/>
        <w:t xml:space="preserve">heterogeneidade da transição demográfica dentre eles. Bons subsídios para o planejamento nesse sentido são de grande importância na medida em que políticas públicas mais eficientes protegerão principalmente os mais vulneráveis à possíveis efeitos adversos das mudanças demográficas, a exemplo dos decorrentes do envelhecimento populacional. </w:t>
      </w:r>
    </w:p>
    <w:p w14:paraId="5F7618E3" w14:textId="77777777" w:rsidR="00695FD3" w:rsidRPr="006F42E1" w:rsidRDefault="00695FD3" w:rsidP="002B7519">
      <w:pPr>
        <w:spacing w:after="0" w:line="360" w:lineRule="auto"/>
        <w:jc w:val="both"/>
        <w:rPr>
          <w:rFonts w:ascii="Times New Roman" w:hAnsi="Times New Roman" w:cs="Times New Roman"/>
          <w:b/>
          <w:bCs/>
          <w:sz w:val="24"/>
          <w:szCs w:val="24"/>
        </w:rPr>
      </w:pPr>
    </w:p>
    <w:p w14:paraId="50A5A66A" w14:textId="77777777" w:rsidR="00695FD3" w:rsidRPr="006F42E1" w:rsidRDefault="48537D1E" w:rsidP="002B7519">
      <w:pPr>
        <w:spacing w:after="0" w:line="360" w:lineRule="auto"/>
        <w:jc w:val="both"/>
        <w:rPr>
          <w:rFonts w:ascii="Times New Roman" w:hAnsi="Times New Roman" w:cs="Times New Roman"/>
          <w:b/>
          <w:bCs/>
          <w:sz w:val="24"/>
          <w:szCs w:val="24"/>
        </w:rPr>
      </w:pPr>
      <w:r w:rsidRPr="006F42E1">
        <w:rPr>
          <w:rFonts w:ascii="Times New Roman" w:hAnsi="Times New Roman" w:cs="Times New Roman"/>
          <w:b/>
          <w:bCs/>
          <w:sz w:val="24"/>
          <w:szCs w:val="24"/>
        </w:rPr>
        <w:t>REFERÊNCIAS</w:t>
      </w:r>
    </w:p>
    <w:p w14:paraId="0BEF0405" w14:textId="404A455C" w:rsidR="48537D1E" w:rsidRPr="006F42E1" w:rsidRDefault="48537D1E" w:rsidP="48537D1E">
      <w:pPr>
        <w:spacing w:after="0" w:line="240" w:lineRule="auto"/>
        <w:jc w:val="both"/>
        <w:rPr>
          <w:rFonts w:ascii="Times New Roman" w:hAnsi="Times New Roman" w:cs="Times New Roman"/>
          <w:b/>
          <w:bCs/>
          <w:sz w:val="24"/>
          <w:szCs w:val="24"/>
        </w:rPr>
      </w:pPr>
    </w:p>
    <w:p w14:paraId="602B49B0" w14:textId="63FD3FBF" w:rsidR="008B7181" w:rsidRDefault="008B7181" w:rsidP="00524F18">
      <w:pPr>
        <w:spacing w:after="0" w:line="240" w:lineRule="auto"/>
        <w:jc w:val="both"/>
        <w:rPr>
          <w:rFonts w:ascii="Times New Roman" w:hAnsi="Times New Roman" w:cs="Times New Roman"/>
          <w:sz w:val="24"/>
          <w:szCs w:val="24"/>
        </w:rPr>
      </w:pPr>
      <w:r w:rsidRPr="008B7181">
        <w:rPr>
          <w:rFonts w:ascii="Times New Roman" w:hAnsi="Times New Roman" w:cs="Times New Roman"/>
          <w:sz w:val="24"/>
          <w:szCs w:val="24"/>
        </w:rPr>
        <w:t xml:space="preserve">ALBUQUERQUE, F. R. P. C.; SILVA, L. G. C. Tendências dos níveis e padrões de mortalidade e seus diferenciais regionais no período 2000-2030: Brasil, Grandes Regiões e Unidades da Federação. </w:t>
      </w:r>
      <w:r w:rsidRPr="008B7181">
        <w:rPr>
          <w:rFonts w:ascii="Times New Roman" w:hAnsi="Times New Roman" w:cs="Times New Roman"/>
          <w:sz w:val="24"/>
          <w:szCs w:val="24"/>
          <w:lang w:val="en-US"/>
        </w:rPr>
        <w:t xml:space="preserve">In: ERVATTI, L.R.; BORGES, G.M.; JARDIM, A.P. (Org.). </w:t>
      </w:r>
      <w:r w:rsidRPr="008B7181">
        <w:rPr>
          <w:rFonts w:ascii="Times New Roman" w:hAnsi="Times New Roman" w:cs="Times New Roman"/>
          <w:b/>
          <w:bCs/>
          <w:sz w:val="24"/>
          <w:szCs w:val="24"/>
        </w:rPr>
        <w:t>Mudança demográfica no Brasil no início do século XXI</w:t>
      </w:r>
      <w:r w:rsidRPr="008B7181">
        <w:rPr>
          <w:rFonts w:ascii="Times New Roman" w:hAnsi="Times New Roman" w:cs="Times New Roman"/>
          <w:sz w:val="24"/>
          <w:szCs w:val="24"/>
        </w:rPr>
        <w:t>: subsídios para as projeções da população. 1ed. Rio de Janeiro: IBGE, 2015, v. 1, p. 49-86.</w:t>
      </w:r>
      <w:r>
        <w:rPr>
          <w:rFonts w:ascii="Times New Roman" w:hAnsi="Times New Roman" w:cs="Times New Roman"/>
          <w:sz w:val="24"/>
          <w:szCs w:val="24"/>
        </w:rPr>
        <w:t xml:space="preserve"> </w:t>
      </w:r>
    </w:p>
    <w:p w14:paraId="3879CD33" w14:textId="77777777" w:rsidR="008B7181" w:rsidRDefault="008B7181" w:rsidP="00524F18">
      <w:pPr>
        <w:spacing w:after="0" w:line="240" w:lineRule="auto"/>
        <w:jc w:val="both"/>
        <w:rPr>
          <w:rFonts w:ascii="Times New Roman" w:hAnsi="Times New Roman" w:cs="Times New Roman"/>
          <w:sz w:val="24"/>
          <w:szCs w:val="24"/>
        </w:rPr>
      </w:pPr>
    </w:p>
    <w:p w14:paraId="05FE5C88" w14:textId="77B6BCE6" w:rsidR="00743540" w:rsidRPr="006F42E1" w:rsidRDefault="00743540" w:rsidP="00524F18">
      <w:pPr>
        <w:spacing w:after="0" w:line="240" w:lineRule="auto"/>
        <w:jc w:val="both"/>
        <w:rPr>
          <w:rFonts w:ascii="Times New Roman" w:hAnsi="Times New Roman" w:cs="Times New Roman"/>
          <w:sz w:val="24"/>
          <w:szCs w:val="24"/>
        </w:rPr>
      </w:pPr>
      <w:r w:rsidRPr="006F42E1">
        <w:rPr>
          <w:rFonts w:ascii="Times New Roman" w:hAnsi="Times New Roman" w:cs="Times New Roman"/>
          <w:sz w:val="24"/>
          <w:szCs w:val="24"/>
        </w:rPr>
        <w:t>ASSUNÇÃO, R. M.; POTTER, J. E</w:t>
      </w:r>
      <w:r w:rsidR="00682731" w:rsidRPr="006F42E1">
        <w:rPr>
          <w:rFonts w:ascii="Times New Roman" w:hAnsi="Times New Roman" w:cs="Times New Roman"/>
          <w:sz w:val="24"/>
          <w:szCs w:val="24"/>
        </w:rPr>
        <w:t>.;</w:t>
      </w:r>
      <w:r w:rsidRPr="006F42E1">
        <w:rPr>
          <w:rFonts w:ascii="Times New Roman" w:hAnsi="Times New Roman" w:cs="Times New Roman"/>
          <w:sz w:val="24"/>
          <w:szCs w:val="24"/>
        </w:rPr>
        <w:t xml:space="preserve"> CAVENAGHI, S. Estimação de curvas de fecundidade para pequenas áreas com modelos bayesianos espaciais</w:t>
      </w:r>
      <w:r w:rsidR="004E70BB" w:rsidRPr="006F42E1">
        <w:rPr>
          <w:rFonts w:ascii="Times New Roman" w:hAnsi="Times New Roman" w:cs="Times New Roman"/>
          <w:sz w:val="24"/>
          <w:szCs w:val="24"/>
        </w:rPr>
        <w:t xml:space="preserve">. In: </w:t>
      </w:r>
      <w:r w:rsidR="004E70BB" w:rsidRPr="006F42E1">
        <w:rPr>
          <w:rFonts w:ascii="Times New Roman" w:hAnsi="Times New Roman" w:cs="Times New Roman"/>
          <w:b/>
          <w:bCs/>
          <w:sz w:val="24"/>
          <w:szCs w:val="24"/>
        </w:rPr>
        <w:t>XI</w:t>
      </w:r>
      <w:r w:rsidRPr="006F42E1">
        <w:rPr>
          <w:rFonts w:ascii="Times New Roman" w:hAnsi="Times New Roman" w:cs="Times New Roman"/>
          <w:b/>
          <w:bCs/>
          <w:sz w:val="24"/>
          <w:szCs w:val="24"/>
        </w:rPr>
        <w:t xml:space="preserve"> </w:t>
      </w:r>
      <w:r w:rsidR="004E70BB" w:rsidRPr="006F42E1">
        <w:rPr>
          <w:rFonts w:ascii="Times New Roman" w:hAnsi="Times New Roman" w:cs="Times New Roman"/>
          <w:b/>
          <w:bCs/>
          <w:sz w:val="24"/>
          <w:szCs w:val="24"/>
        </w:rPr>
        <w:t>Encontro Nacional de Estudos Populacionais</w:t>
      </w:r>
      <w:r w:rsidR="00970610" w:rsidRPr="006F42E1">
        <w:rPr>
          <w:rFonts w:ascii="Times New Roman" w:hAnsi="Times New Roman" w:cs="Times New Roman"/>
          <w:sz w:val="24"/>
          <w:szCs w:val="24"/>
        </w:rPr>
        <w:t>, 1998, Caxambú, MG</w:t>
      </w:r>
      <w:r w:rsidR="00321C96" w:rsidRPr="006F42E1">
        <w:rPr>
          <w:rFonts w:ascii="Times New Roman" w:hAnsi="Times New Roman" w:cs="Times New Roman"/>
          <w:sz w:val="24"/>
          <w:szCs w:val="24"/>
        </w:rPr>
        <w:t xml:space="preserve">. </w:t>
      </w:r>
      <w:r w:rsidR="00970610" w:rsidRPr="006F42E1">
        <w:rPr>
          <w:rFonts w:ascii="Times New Roman" w:hAnsi="Times New Roman" w:cs="Times New Roman"/>
          <w:sz w:val="24"/>
          <w:szCs w:val="24"/>
        </w:rPr>
        <w:t>Anais do XI Encontro Nacional de Estudos Populacionais da ABEP. Belo Horizonte: ABEP, 1998</w:t>
      </w:r>
      <w:r w:rsidR="00C739B7" w:rsidRPr="006F42E1">
        <w:rPr>
          <w:rFonts w:ascii="Times New Roman" w:hAnsi="Times New Roman" w:cs="Times New Roman"/>
          <w:sz w:val="24"/>
          <w:szCs w:val="24"/>
        </w:rPr>
        <w:t xml:space="preserve">. </w:t>
      </w:r>
    </w:p>
    <w:p w14:paraId="022C0B82" w14:textId="77777777" w:rsidR="00743540" w:rsidRPr="006F42E1" w:rsidRDefault="00743540" w:rsidP="00524F18">
      <w:pPr>
        <w:spacing w:after="0" w:line="240" w:lineRule="auto"/>
        <w:jc w:val="both"/>
        <w:rPr>
          <w:rFonts w:ascii="Times New Roman" w:hAnsi="Times New Roman" w:cs="Times New Roman"/>
          <w:sz w:val="24"/>
          <w:szCs w:val="24"/>
        </w:rPr>
      </w:pPr>
    </w:p>
    <w:p w14:paraId="6794B313" w14:textId="3609482C" w:rsidR="00524F18" w:rsidRPr="006F42E1" w:rsidRDefault="13B1A6B2" w:rsidP="00524F18">
      <w:pPr>
        <w:spacing w:after="0" w:line="24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BAENINGER, R.; BASSANEZI, M. S. C. B. Trajetória Demográfica no Estado de São Paulo, na capital e em outros municípios. In: </w:t>
      </w:r>
      <w:r w:rsidRPr="006F42E1">
        <w:rPr>
          <w:rFonts w:ascii="Times New Roman" w:hAnsi="Times New Roman" w:cs="Times New Roman"/>
          <w:b/>
          <w:bCs/>
          <w:sz w:val="24"/>
          <w:szCs w:val="24"/>
        </w:rPr>
        <w:t>XV Encontro Nacional de Estudos Populacionais (ABEP)</w:t>
      </w:r>
      <w:r w:rsidRPr="006F42E1">
        <w:rPr>
          <w:rFonts w:ascii="Times New Roman" w:hAnsi="Times New Roman" w:cs="Times New Roman"/>
          <w:sz w:val="24"/>
          <w:szCs w:val="24"/>
        </w:rPr>
        <w:t>. Caxambú - MG, 2006.</w:t>
      </w:r>
    </w:p>
    <w:p w14:paraId="61E5E18D" w14:textId="5668AC03" w:rsidR="0E7F4194" w:rsidRPr="006F42E1" w:rsidRDefault="0E7F4194" w:rsidP="13B1A6B2">
      <w:pPr>
        <w:spacing w:after="0" w:line="240" w:lineRule="auto"/>
        <w:jc w:val="both"/>
        <w:rPr>
          <w:rFonts w:ascii="Times New Roman" w:eastAsia="Times New Roman" w:hAnsi="Times New Roman" w:cs="Times New Roman"/>
          <w:sz w:val="24"/>
          <w:szCs w:val="24"/>
        </w:rPr>
      </w:pPr>
    </w:p>
    <w:p w14:paraId="7A51F246" w14:textId="6AE6A7EC" w:rsidR="13B1A6B2" w:rsidRPr="006F42E1" w:rsidRDefault="13B1A6B2" w:rsidP="13B1A6B2">
      <w:pPr>
        <w:spacing w:after="0"/>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 xml:space="preserve">BALTAR, P E. A.; LEONE, E. T. Formalização dos contratos de trabalho e salários no Nordeste. </w:t>
      </w:r>
      <w:r w:rsidRPr="006F42E1">
        <w:rPr>
          <w:rFonts w:ascii="Times New Roman" w:eastAsia="Times New Roman" w:hAnsi="Times New Roman" w:cs="Times New Roman"/>
          <w:b/>
          <w:bCs/>
          <w:sz w:val="24"/>
          <w:szCs w:val="24"/>
        </w:rPr>
        <w:t>Economia e Desenvolvimento</w:t>
      </w:r>
      <w:r w:rsidRPr="006F42E1">
        <w:rPr>
          <w:rFonts w:ascii="Times New Roman" w:eastAsia="Times New Roman" w:hAnsi="Times New Roman" w:cs="Times New Roman"/>
          <w:sz w:val="24"/>
          <w:szCs w:val="24"/>
        </w:rPr>
        <w:t xml:space="preserve"> (Recife), v. 6, p. 133-151, 2007.</w:t>
      </w:r>
    </w:p>
    <w:p w14:paraId="57AF53A8" w14:textId="2A140CF9" w:rsidR="13B1A6B2" w:rsidRPr="006F42E1" w:rsidRDefault="13B1A6B2" w:rsidP="13B1A6B2">
      <w:pPr>
        <w:spacing w:after="0" w:line="240" w:lineRule="auto"/>
        <w:jc w:val="both"/>
        <w:rPr>
          <w:rFonts w:ascii="Times New Roman" w:eastAsia="Times New Roman" w:hAnsi="Times New Roman" w:cs="Times New Roman"/>
          <w:sz w:val="24"/>
          <w:szCs w:val="24"/>
        </w:rPr>
      </w:pPr>
    </w:p>
    <w:p w14:paraId="1D4BB128" w14:textId="2DCA6267" w:rsidR="00524F18" w:rsidRPr="006F42E1" w:rsidRDefault="13B1A6B2" w:rsidP="00524F18">
      <w:pPr>
        <w:spacing w:after="0" w:line="24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BRITO, F. </w:t>
      </w:r>
      <w:r w:rsidRPr="006F42E1">
        <w:rPr>
          <w:rFonts w:ascii="Times New Roman" w:hAnsi="Times New Roman" w:cs="Times New Roman"/>
          <w:b/>
          <w:bCs/>
          <w:sz w:val="24"/>
          <w:szCs w:val="24"/>
        </w:rPr>
        <w:t>A transição demográfica no Brasil</w:t>
      </w:r>
      <w:r w:rsidRPr="006F42E1">
        <w:rPr>
          <w:rFonts w:ascii="Times New Roman" w:hAnsi="Times New Roman" w:cs="Times New Roman"/>
          <w:sz w:val="24"/>
          <w:szCs w:val="24"/>
        </w:rPr>
        <w:t xml:space="preserve">: as possibilidades e os desafios para a economia e a sociedade. Texto para discussão Nº 318. Belo Horizonte: UFMG/Cedeplar, 2007. 28p. </w:t>
      </w:r>
    </w:p>
    <w:p w14:paraId="3CB3ADA5" w14:textId="28F84568" w:rsidR="13B1A6B2" w:rsidRDefault="13B1A6B2" w:rsidP="13B1A6B2">
      <w:pPr>
        <w:spacing w:after="0" w:line="240" w:lineRule="auto"/>
        <w:jc w:val="both"/>
        <w:rPr>
          <w:rFonts w:ascii="Times New Roman" w:hAnsi="Times New Roman" w:cs="Times New Roman"/>
          <w:sz w:val="24"/>
          <w:szCs w:val="24"/>
        </w:rPr>
      </w:pPr>
    </w:p>
    <w:p w14:paraId="3EF87B06" w14:textId="706EF243" w:rsidR="002A12A2" w:rsidRPr="002A12A2" w:rsidRDefault="00451E55" w:rsidP="002A12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BRITO, F</w:t>
      </w:r>
      <w:r w:rsidR="002A12A2" w:rsidRPr="002A12A2">
        <w:rPr>
          <w:rFonts w:ascii="Times New Roman" w:hAnsi="Times New Roman" w:cs="Times New Roman"/>
          <w:sz w:val="24"/>
          <w:szCs w:val="24"/>
        </w:rPr>
        <w:t xml:space="preserve">. Transição demográfica e desigualdades sociais no Brasil. </w:t>
      </w:r>
      <w:r w:rsidR="002A12A2" w:rsidRPr="00451E55">
        <w:rPr>
          <w:rFonts w:ascii="Times New Roman" w:hAnsi="Times New Roman" w:cs="Times New Roman"/>
          <w:b/>
          <w:bCs/>
          <w:sz w:val="24"/>
          <w:szCs w:val="24"/>
        </w:rPr>
        <w:t>Rev. Bras. de Estudos Populacionais</w:t>
      </w:r>
      <w:r w:rsidR="002A12A2" w:rsidRPr="002A12A2">
        <w:rPr>
          <w:rFonts w:ascii="Times New Roman" w:hAnsi="Times New Roman" w:cs="Times New Roman"/>
          <w:sz w:val="24"/>
          <w:szCs w:val="24"/>
        </w:rPr>
        <w:t>, São Paulo, v. 25, n. 1, p. 5-26, jan./jun. 2008.</w:t>
      </w:r>
    </w:p>
    <w:p w14:paraId="3D8EDB50" w14:textId="77777777" w:rsidR="002A12A2" w:rsidRPr="006F42E1" w:rsidRDefault="002A12A2" w:rsidP="13B1A6B2">
      <w:pPr>
        <w:spacing w:after="0" w:line="240" w:lineRule="auto"/>
        <w:jc w:val="both"/>
        <w:rPr>
          <w:rFonts w:ascii="Times New Roman" w:hAnsi="Times New Roman" w:cs="Times New Roman"/>
          <w:sz w:val="24"/>
          <w:szCs w:val="24"/>
        </w:rPr>
      </w:pPr>
    </w:p>
    <w:p w14:paraId="3E6D98CF" w14:textId="31C2DA38" w:rsidR="00773E71" w:rsidRPr="006F42E1" w:rsidRDefault="00773E71" w:rsidP="00524F18">
      <w:pPr>
        <w:spacing w:after="0" w:line="24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BORGES, G. M.; CAMPOS, M. B.; SILVA, L. G. C. Transição da estrutura etária no Brasil: oportunidades e desafios para a sociedade nas próximas décadas. </w:t>
      </w:r>
      <w:r w:rsidRPr="006F42E1">
        <w:rPr>
          <w:rFonts w:ascii="Times New Roman" w:hAnsi="Times New Roman" w:cs="Times New Roman"/>
          <w:sz w:val="24"/>
          <w:szCs w:val="24"/>
          <w:lang w:val="en-US"/>
        </w:rPr>
        <w:t xml:space="preserve">In: ERVATTI, L.R.; BORGES, G.M.; JARDIM, A.P. (Org.). </w:t>
      </w:r>
      <w:r w:rsidRPr="006F42E1">
        <w:rPr>
          <w:rFonts w:ascii="Times New Roman" w:hAnsi="Times New Roman" w:cs="Times New Roman"/>
          <w:b/>
          <w:bCs/>
          <w:sz w:val="24"/>
          <w:szCs w:val="24"/>
        </w:rPr>
        <w:t>Mudança demográfica no Brasil no início do século XXI</w:t>
      </w:r>
      <w:r w:rsidRPr="006F42E1">
        <w:rPr>
          <w:rFonts w:ascii="Times New Roman" w:hAnsi="Times New Roman" w:cs="Times New Roman"/>
          <w:sz w:val="24"/>
          <w:szCs w:val="24"/>
        </w:rPr>
        <w:t>: subsídios para as projeções da população. 1ed. Rio de Janeiro: IBGE, 2015, v. 1, p. 138-151.</w:t>
      </w:r>
    </w:p>
    <w:p w14:paraId="5200B071" w14:textId="77777777" w:rsidR="00773E71" w:rsidRDefault="00773E71" w:rsidP="00524F18">
      <w:pPr>
        <w:spacing w:after="0" w:line="240" w:lineRule="auto"/>
        <w:jc w:val="both"/>
        <w:rPr>
          <w:rFonts w:ascii="Times New Roman" w:hAnsi="Times New Roman" w:cs="Times New Roman"/>
          <w:sz w:val="24"/>
          <w:szCs w:val="24"/>
        </w:rPr>
      </w:pPr>
    </w:p>
    <w:p w14:paraId="1A355ED8" w14:textId="77777777" w:rsidR="004E357E" w:rsidRPr="006F42E1" w:rsidRDefault="004E357E" w:rsidP="004E357E">
      <w:pPr>
        <w:spacing w:after="0" w:line="24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BRASIL, Atlas do Desenvolvimento Humano (AtlasBR). </w:t>
      </w:r>
      <w:r w:rsidRPr="006F42E1">
        <w:rPr>
          <w:rFonts w:ascii="Times New Roman" w:hAnsi="Times New Roman" w:cs="Times New Roman"/>
          <w:b/>
          <w:bCs/>
          <w:sz w:val="24"/>
          <w:szCs w:val="24"/>
        </w:rPr>
        <w:t>Consulta</w:t>
      </w:r>
      <w:r w:rsidRPr="006F42E1">
        <w:rPr>
          <w:rFonts w:ascii="Times New Roman" w:hAnsi="Times New Roman" w:cs="Times New Roman"/>
          <w:sz w:val="24"/>
          <w:szCs w:val="24"/>
        </w:rPr>
        <w:t xml:space="preserve">: consulta em tabela. Disponível em: </w:t>
      </w:r>
      <w:hyperlink r:id="rId17">
        <w:r w:rsidRPr="006F42E1">
          <w:rPr>
            <w:rStyle w:val="Hyperlink"/>
            <w:rFonts w:ascii="Times New Roman" w:hAnsi="Times New Roman" w:cs="Times New Roman"/>
            <w:color w:val="auto"/>
            <w:sz w:val="24"/>
            <w:szCs w:val="24"/>
            <w:u w:val="none"/>
          </w:rPr>
          <w:t>http://www.atlasbrasil.org.br/consulta/planilha</w:t>
        </w:r>
      </w:hyperlink>
      <w:r w:rsidRPr="006F42E1">
        <w:rPr>
          <w:rFonts w:ascii="Times New Roman" w:hAnsi="Times New Roman" w:cs="Times New Roman"/>
          <w:sz w:val="24"/>
          <w:szCs w:val="24"/>
        </w:rPr>
        <w:t xml:space="preserve">. Acesso em: 02 de agosto de 2022. </w:t>
      </w:r>
    </w:p>
    <w:p w14:paraId="10B4B665" w14:textId="10609546" w:rsidR="00451E55" w:rsidRDefault="00451E55" w:rsidP="00451E55">
      <w:pPr>
        <w:spacing w:after="0" w:line="240" w:lineRule="auto"/>
        <w:jc w:val="both"/>
        <w:rPr>
          <w:rFonts w:ascii="Times New Roman" w:hAnsi="Times New Roman" w:cs="Times New Roman"/>
          <w:sz w:val="24"/>
          <w:szCs w:val="24"/>
        </w:rPr>
      </w:pPr>
      <w:r w:rsidRPr="002A12A2">
        <w:rPr>
          <w:rFonts w:ascii="Times New Roman" w:hAnsi="Times New Roman" w:cs="Times New Roman"/>
          <w:sz w:val="24"/>
          <w:szCs w:val="24"/>
        </w:rPr>
        <w:lastRenderedPageBreak/>
        <w:t xml:space="preserve">CAMARANO, A. A.; BELTRÃO, K. I. </w:t>
      </w:r>
      <w:r w:rsidRPr="00451E55">
        <w:rPr>
          <w:rFonts w:ascii="Times New Roman" w:hAnsi="Times New Roman" w:cs="Times New Roman"/>
          <w:b/>
          <w:bCs/>
          <w:sz w:val="24"/>
          <w:szCs w:val="24"/>
        </w:rPr>
        <w:t>Distribuição espacial da população brasileira</w:t>
      </w:r>
      <w:r w:rsidRPr="002A12A2">
        <w:rPr>
          <w:rFonts w:ascii="Times New Roman" w:hAnsi="Times New Roman" w:cs="Times New Roman"/>
          <w:sz w:val="24"/>
          <w:szCs w:val="24"/>
        </w:rPr>
        <w:t>: mudanças na segunda metade deste século. Texto discussão nº 766. IPEA, Rio de Janeiro, 2000.</w:t>
      </w:r>
    </w:p>
    <w:p w14:paraId="3FC8ECE8" w14:textId="77777777" w:rsidR="004E357E" w:rsidRPr="006F42E1" w:rsidRDefault="004E357E" w:rsidP="00524F18">
      <w:pPr>
        <w:spacing w:after="0" w:line="240" w:lineRule="auto"/>
        <w:jc w:val="both"/>
        <w:rPr>
          <w:rFonts w:ascii="Times New Roman" w:hAnsi="Times New Roman" w:cs="Times New Roman"/>
          <w:sz w:val="24"/>
          <w:szCs w:val="24"/>
        </w:rPr>
      </w:pPr>
    </w:p>
    <w:p w14:paraId="571AADA3" w14:textId="77777777" w:rsidR="005C6050" w:rsidRPr="006F42E1" w:rsidRDefault="005C6050" w:rsidP="005C6050">
      <w:pPr>
        <w:spacing w:after="0" w:line="24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CAMPOS, M. B.; BORGES, G. M. Projeção de níveis e padrões de fecundidade no Brasil. </w:t>
      </w:r>
      <w:r w:rsidRPr="006F42E1">
        <w:rPr>
          <w:rFonts w:ascii="Times New Roman" w:hAnsi="Times New Roman" w:cs="Times New Roman"/>
          <w:sz w:val="24"/>
          <w:szCs w:val="24"/>
          <w:lang w:val="en-US"/>
        </w:rPr>
        <w:t xml:space="preserve">In: ERVATTI, L.R.; BORGES, G.M.; JARDIM, A.P. (Org.). </w:t>
      </w:r>
      <w:r w:rsidRPr="006F42E1">
        <w:rPr>
          <w:rFonts w:ascii="Times New Roman" w:hAnsi="Times New Roman" w:cs="Times New Roman"/>
          <w:b/>
          <w:bCs/>
          <w:sz w:val="24"/>
          <w:szCs w:val="24"/>
        </w:rPr>
        <w:t>Mudança demográfica no Brasil no início do século XXI</w:t>
      </w:r>
      <w:r w:rsidRPr="006F42E1">
        <w:rPr>
          <w:rFonts w:ascii="Times New Roman" w:hAnsi="Times New Roman" w:cs="Times New Roman"/>
          <w:sz w:val="24"/>
          <w:szCs w:val="24"/>
        </w:rPr>
        <w:t>: subsídios para as projeções da população. 1ed. Rio de Janeiro: IBGE, 2015, v. 1, p. 30-41.</w:t>
      </w:r>
    </w:p>
    <w:p w14:paraId="4D0ED92C" w14:textId="77777777" w:rsidR="005C6050" w:rsidRPr="006F42E1" w:rsidRDefault="005C6050" w:rsidP="005C6050">
      <w:pPr>
        <w:spacing w:after="0" w:line="240" w:lineRule="auto"/>
        <w:jc w:val="both"/>
        <w:rPr>
          <w:rFonts w:ascii="Times New Roman" w:hAnsi="Times New Roman" w:cs="Times New Roman"/>
          <w:sz w:val="24"/>
          <w:szCs w:val="24"/>
        </w:rPr>
      </w:pPr>
    </w:p>
    <w:p w14:paraId="0C52C28E" w14:textId="2A55729F" w:rsidR="005C6050" w:rsidRPr="006F42E1" w:rsidRDefault="005C6050" w:rsidP="005C6050">
      <w:pPr>
        <w:spacing w:after="0" w:line="24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CARVALHO, J. A. </w:t>
      </w:r>
      <w:r w:rsidR="00B1622A" w:rsidRPr="006F42E1">
        <w:rPr>
          <w:rFonts w:ascii="Times New Roman" w:hAnsi="Times New Roman" w:cs="Times New Roman"/>
          <w:sz w:val="24"/>
          <w:szCs w:val="24"/>
        </w:rPr>
        <w:t>M</w:t>
      </w:r>
      <w:r w:rsidRPr="006F42E1">
        <w:rPr>
          <w:rFonts w:ascii="Times New Roman" w:hAnsi="Times New Roman" w:cs="Times New Roman"/>
          <w:sz w:val="24"/>
          <w:szCs w:val="24"/>
        </w:rPr>
        <w:t xml:space="preserve">.; WONG, L. L. R. A transição da estrutura etária da população brasileira na primeira metade do século XXI. </w:t>
      </w:r>
      <w:r w:rsidRPr="006F42E1">
        <w:rPr>
          <w:rFonts w:ascii="Times New Roman" w:hAnsi="Times New Roman" w:cs="Times New Roman"/>
          <w:b/>
          <w:bCs/>
          <w:sz w:val="24"/>
          <w:szCs w:val="24"/>
        </w:rPr>
        <w:t>Cadernos de Saúde Pública</w:t>
      </w:r>
      <w:r w:rsidRPr="006F42E1">
        <w:rPr>
          <w:rFonts w:ascii="Times New Roman" w:hAnsi="Times New Roman" w:cs="Times New Roman"/>
          <w:sz w:val="24"/>
          <w:szCs w:val="24"/>
        </w:rPr>
        <w:t>, Rio de Janeiro, 24(3):597-605, mar, 2008.</w:t>
      </w:r>
    </w:p>
    <w:p w14:paraId="05EEF7B6" w14:textId="0A1E6530" w:rsidR="005C6050" w:rsidRPr="006F42E1" w:rsidRDefault="005C6050" w:rsidP="00524F18">
      <w:pPr>
        <w:spacing w:after="0" w:line="240" w:lineRule="auto"/>
        <w:jc w:val="both"/>
        <w:rPr>
          <w:rFonts w:ascii="Times New Roman" w:hAnsi="Times New Roman" w:cs="Times New Roman"/>
          <w:sz w:val="24"/>
          <w:szCs w:val="24"/>
        </w:rPr>
      </w:pPr>
    </w:p>
    <w:p w14:paraId="4B1C8A13" w14:textId="612D5575" w:rsidR="00B1622A" w:rsidRPr="006F42E1" w:rsidRDefault="00B1622A" w:rsidP="00524F18">
      <w:pPr>
        <w:spacing w:after="0" w:line="24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CARVALHO, J. A. M.; SAWYER, D. O.; RODRIGUES, R. N. </w:t>
      </w:r>
      <w:r w:rsidRPr="006F42E1">
        <w:rPr>
          <w:rFonts w:ascii="Times New Roman" w:hAnsi="Times New Roman" w:cs="Times New Roman"/>
          <w:b/>
          <w:bCs/>
          <w:sz w:val="24"/>
          <w:szCs w:val="24"/>
        </w:rPr>
        <w:t>Introdução a alguns conceitos básicos e medidas em demografia</w:t>
      </w:r>
      <w:r w:rsidRPr="006F42E1">
        <w:rPr>
          <w:rFonts w:ascii="Times New Roman" w:hAnsi="Times New Roman" w:cs="Times New Roman"/>
          <w:sz w:val="24"/>
          <w:szCs w:val="24"/>
        </w:rPr>
        <w:t>. São Paulo: ABEP, 1994.</w:t>
      </w:r>
    </w:p>
    <w:p w14:paraId="7CF338FE" w14:textId="3ED095C7" w:rsidR="4A6BC142" w:rsidRPr="006F42E1" w:rsidRDefault="4A6BC142" w:rsidP="4A6BC142">
      <w:pPr>
        <w:spacing w:after="0" w:line="240" w:lineRule="auto"/>
        <w:jc w:val="both"/>
        <w:rPr>
          <w:rFonts w:ascii="Times New Roman" w:hAnsi="Times New Roman" w:cs="Times New Roman"/>
          <w:sz w:val="24"/>
          <w:szCs w:val="24"/>
        </w:rPr>
      </w:pPr>
    </w:p>
    <w:p w14:paraId="5CEF9455" w14:textId="4B735024" w:rsidR="4A6BC142" w:rsidRPr="006F42E1" w:rsidRDefault="4A6BC142" w:rsidP="4A6BC142">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 xml:space="preserve">COSTA, P. V. M.; PEREIRA, A. J. S.; QUEIROZ, S. N. Migração na Microrregião do Cariri Cearense - 1986/1991, 1995/2000 E 2005/2010. In: </w:t>
      </w:r>
      <w:r w:rsidRPr="008B3ECA">
        <w:rPr>
          <w:rFonts w:ascii="Times New Roman" w:eastAsia="Times New Roman" w:hAnsi="Times New Roman" w:cs="Times New Roman"/>
          <w:b/>
          <w:bCs/>
          <w:sz w:val="24"/>
          <w:szCs w:val="24"/>
        </w:rPr>
        <w:t>54º Congresso da Sociedade Brasileira de Economia, Administração e Sociologia Rural</w:t>
      </w:r>
      <w:r w:rsidRPr="006F42E1">
        <w:rPr>
          <w:rFonts w:ascii="Times New Roman" w:eastAsia="Times New Roman" w:hAnsi="Times New Roman" w:cs="Times New Roman"/>
          <w:sz w:val="24"/>
          <w:szCs w:val="24"/>
        </w:rPr>
        <w:t>: Desenvolvimento, território e biodiversidade, 2016, Maceió. 54ª SOBER - Congresso da Sociedade Brasileira de Economia, Administração e Sociologia Rural, 2016.</w:t>
      </w:r>
      <w:r w:rsidR="00AB01D1" w:rsidRPr="006F42E1">
        <w:rPr>
          <w:rFonts w:ascii="Times New Roman" w:eastAsia="Times New Roman" w:hAnsi="Times New Roman" w:cs="Times New Roman"/>
          <w:sz w:val="24"/>
          <w:szCs w:val="24"/>
        </w:rPr>
        <w:t xml:space="preserve"> </w:t>
      </w:r>
    </w:p>
    <w:p w14:paraId="276B241B" w14:textId="597C0719" w:rsidR="4A6BC142" w:rsidRPr="006F42E1" w:rsidRDefault="4A6BC142" w:rsidP="4A6BC142">
      <w:pPr>
        <w:spacing w:after="0" w:line="240" w:lineRule="auto"/>
        <w:jc w:val="both"/>
        <w:rPr>
          <w:rFonts w:ascii="Times New Roman" w:hAnsi="Times New Roman" w:cs="Times New Roman"/>
          <w:sz w:val="24"/>
          <w:szCs w:val="24"/>
        </w:rPr>
      </w:pPr>
    </w:p>
    <w:p w14:paraId="0039EF9D" w14:textId="597C0719" w:rsidR="00694478" w:rsidRPr="006F42E1" w:rsidRDefault="008A521C" w:rsidP="4A6BC142">
      <w:pPr>
        <w:spacing w:after="0" w:line="240" w:lineRule="auto"/>
        <w:jc w:val="both"/>
        <w:rPr>
          <w:rFonts w:ascii="Times New Roman" w:hAnsi="Times New Roman" w:cs="Times New Roman"/>
          <w:sz w:val="24"/>
          <w:szCs w:val="24"/>
        </w:rPr>
      </w:pPr>
      <w:r w:rsidRPr="006F42E1">
        <w:rPr>
          <w:rFonts w:ascii="Times New Roman" w:hAnsi="Times New Roman" w:cs="Times New Roman"/>
          <w:sz w:val="24"/>
          <w:szCs w:val="24"/>
        </w:rPr>
        <w:t xml:space="preserve">DATASUS, Ministério da Saúde. </w:t>
      </w:r>
      <w:r w:rsidRPr="008B3ECA">
        <w:rPr>
          <w:rFonts w:ascii="Times New Roman" w:hAnsi="Times New Roman" w:cs="Times New Roman"/>
          <w:b/>
          <w:bCs/>
          <w:sz w:val="24"/>
          <w:szCs w:val="24"/>
        </w:rPr>
        <w:t>Demográficas e Socioeconômicas</w:t>
      </w:r>
      <w:r w:rsidRPr="006F42E1">
        <w:rPr>
          <w:rFonts w:ascii="Times New Roman" w:hAnsi="Times New Roman" w:cs="Times New Roman"/>
          <w:sz w:val="24"/>
          <w:szCs w:val="24"/>
        </w:rPr>
        <w:t xml:space="preserve">: População Residente. Disponível em: </w:t>
      </w:r>
      <w:hyperlink r:id="rId18">
        <w:r w:rsidR="20652A17" w:rsidRPr="006F42E1">
          <w:rPr>
            <w:rStyle w:val="Hyperlink"/>
            <w:rFonts w:ascii="Times New Roman" w:hAnsi="Times New Roman" w:cs="Times New Roman"/>
            <w:color w:val="auto"/>
            <w:sz w:val="24"/>
            <w:szCs w:val="24"/>
            <w:u w:val="none"/>
          </w:rPr>
          <w:t>http://tabnet.datasus.gov.br/cgi/deftohtm.exe?ibge/cnv/popce.def</w:t>
        </w:r>
      </w:hyperlink>
      <w:r w:rsidR="20652A17" w:rsidRPr="006F42E1">
        <w:rPr>
          <w:rFonts w:ascii="Times New Roman" w:hAnsi="Times New Roman" w:cs="Times New Roman"/>
          <w:sz w:val="24"/>
          <w:szCs w:val="24"/>
        </w:rPr>
        <w:t xml:space="preserve">. Acesso em: 02 de agosto de 2022. </w:t>
      </w:r>
    </w:p>
    <w:p w14:paraId="635113CD" w14:textId="597C0719" w:rsidR="008A521C" w:rsidRPr="006F42E1" w:rsidRDefault="008A521C" w:rsidP="4A6BC142">
      <w:pPr>
        <w:spacing w:after="0" w:line="240" w:lineRule="auto"/>
        <w:jc w:val="both"/>
        <w:rPr>
          <w:rFonts w:ascii="Times New Roman" w:hAnsi="Times New Roman" w:cs="Times New Roman"/>
          <w:sz w:val="24"/>
          <w:szCs w:val="24"/>
        </w:rPr>
      </w:pPr>
    </w:p>
    <w:p w14:paraId="4C6A280B" w14:textId="41E38E38" w:rsidR="000A7783" w:rsidRPr="006F42E1" w:rsidRDefault="000A7783" w:rsidP="00524F18">
      <w:pPr>
        <w:spacing w:after="0" w:line="240" w:lineRule="auto"/>
        <w:jc w:val="both"/>
        <w:rPr>
          <w:rFonts w:ascii="Times New Roman" w:hAnsi="Times New Roman" w:cs="Times New Roman"/>
          <w:sz w:val="24"/>
          <w:szCs w:val="24"/>
        </w:rPr>
      </w:pPr>
      <w:r w:rsidRPr="00BD260A">
        <w:rPr>
          <w:rFonts w:ascii="Times New Roman" w:hAnsi="Times New Roman" w:cs="Times New Roman"/>
          <w:sz w:val="24"/>
          <w:szCs w:val="24"/>
        </w:rPr>
        <w:t xml:space="preserve">DUCHESNE, L. </w:t>
      </w:r>
      <w:r w:rsidRPr="00BD260A">
        <w:rPr>
          <w:rFonts w:ascii="Times New Roman" w:hAnsi="Times New Roman" w:cs="Times New Roman"/>
          <w:b/>
          <w:bCs/>
          <w:sz w:val="24"/>
          <w:szCs w:val="24"/>
        </w:rPr>
        <w:t>Proyecciones de Población por Sexo e Edad para Áreas Intermedias y</w:t>
      </w:r>
      <w:r w:rsidR="004E1CAE" w:rsidRPr="00BD260A">
        <w:rPr>
          <w:rFonts w:ascii="Times New Roman" w:hAnsi="Times New Roman" w:cs="Times New Roman"/>
          <w:b/>
          <w:bCs/>
          <w:sz w:val="24"/>
          <w:szCs w:val="24"/>
        </w:rPr>
        <w:t xml:space="preserve"> </w:t>
      </w:r>
      <w:r w:rsidRPr="00BD260A">
        <w:rPr>
          <w:rFonts w:ascii="Times New Roman" w:hAnsi="Times New Roman" w:cs="Times New Roman"/>
          <w:b/>
          <w:bCs/>
          <w:sz w:val="24"/>
          <w:szCs w:val="24"/>
        </w:rPr>
        <w:t>Menores</w:t>
      </w:r>
      <w:r w:rsidRPr="00BD260A">
        <w:rPr>
          <w:rFonts w:ascii="Times New Roman" w:hAnsi="Times New Roman" w:cs="Times New Roman"/>
          <w:sz w:val="24"/>
          <w:szCs w:val="24"/>
        </w:rPr>
        <w:t xml:space="preserve">. </w:t>
      </w:r>
      <w:r w:rsidRPr="006F42E1">
        <w:rPr>
          <w:rFonts w:ascii="Times New Roman" w:hAnsi="Times New Roman" w:cs="Times New Roman"/>
          <w:sz w:val="24"/>
          <w:szCs w:val="24"/>
        </w:rPr>
        <w:t>Santiago: CELADE, 1987.</w:t>
      </w:r>
      <w:r w:rsidR="00AB01D1" w:rsidRPr="006F42E1">
        <w:rPr>
          <w:rFonts w:ascii="Times New Roman" w:hAnsi="Times New Roman" w:cs="Times New Roman"/>
          <w:sz w:val="24"/>
          <w:szCs w:val="24"/>
        </w:rPr>
        <w:t xml:space="preserve"> </w:t>
      </w:r>
    </w:p>
    <w:p w14:paraId="173AD5AA" w14:textId="77777777" w:rsidR="0070373C" w:rsidRPr="006F42E1" w:rsidRDefault="0070373C" w:rsidP="00CE5A4A">
      <w:pPr>
        <w:spacing w:after="0" w:line="240" w:lineRule="auto"/>
        <w:jc w:val="both"/>
        <w:rPr>
          <w:rFonts w:ascii="Times New Roman" w:eastAsia="Times New Roman" w:hAnsi="Times New Roman" w:cs="Times New Roman"/>
          <w:sz w:val="24"/>
          <w:szCs w:val="24"/>
        </w:rPr>
      </w:pPr>
    </w:p>
    <w:p w14:paraId="30EE435A" w14:textId="508006CD" w:rsidR="00D16F20" w:rsidRPr="006F42E1" w:rsidRDefault="00D16F20" w:rsidP="00D16F20">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FOZ, G</w:t>
      </w:r>
      <w:r w:rsidR="00B85863" w:rsidRPr="006F42E1">
        <w:rPr>
          <w:rFonts w:ascii="Times New Roman" w:eastAsia="Times New Roman" w:hAnsi="Times New Roman" w:cs="Times New Roman"/>
          <w:sz w:val="24"/>
          <w:szCs w:val="24"/>
        </w:rPr>
        <w:t>rupo de</w:t>
      </w:r>
      <w:r w:rsidRPr="006F42E1">
        <w:rPr>
          <w:rFonts w:ascii="Times New Roman" w:eastAsia="Times New Roman" w:hAnsi="Times New Roman" w:cs="Times New Roman"/>
          <w:sz w:val="24"/>
          <w:szCs w:val="24"/>
        </w:rPr>
        <w:t xml:space="preserve">. A Relevância dos Fatores Demográficos para a Dinâmica Social e as Políticas Públicas. In: </w:t>
      </w:r>
      <w:r w:rsidRPr="006F42E1">
        <w:rPr>
          <w:rFonts w:ascii="Times New Roman" w:eastAsia="Times New Roman" w:hAnsi="Times New Roman" w:cs="Times New Roman"/>
          <w:b/>
          <w:bCs/>
          <w:sz w:val="24"/>
          <w:szCs w:val="24"/>
        </w:rPr>
        <w:t>Métodos Demográficos</w:t>
      </w:r>
      <w:r w:rsidR="002B76B5" w:rsidRPr="006F42E1">
        <w:rPr>
          <w:rFonts w:ascii="Times New Roman" w:eastAsia="Times New Roman" w:hAnsi="Times New Roman" w:cs="Times New Roman"/>
          <w:sz w:val="24"/>
          <w:szCs w:val="24"/>
        </w:rPr>
        <w:t xml:space="preserve">: </w:t>
      </w:r>
      <w:r w:rsidRPr="006F42E1">
        <w:rPr>
          <w:rFonts w:ascii="Times New Roman" w:eastAsia="Times New Roman" w:hAnsi="Times New Roman" w:cs="Times New Roman"/>
          <w:sz w:val="24"/>
          <w:szCs w:val="24"/>
        </w:rPr>
        <w:t>Uma Visão Desde os Países de Língua Portuguesa. São Paulo: Blucher, 2021</w:t>
      </w:r>
      <w:r w:rsidR="00B85863" w:rsidRPr="006F42E1">
        <w:rPr>
          <w:rFonts w:ascii="Times New Roman" w:eastAsia="Times New Roman" w:hAnsi="Times New Roman" w:cs="Times New Roman"/>
          <w:sz w:val="24"/>
          <w:szCs w:val="24"/>
        </w:rPr>
        <w:t>a</w:t>
      </w:r>
      <w:r w:rsidRPr="006F42E1">
        <w:rPr>
          <w:rFonts w:ascii="Times New Roman" w:eastAsia="Times New Roman" w:hAnsi="Times New Roman" w:cs="Times New Roman"/>
          <w:sz w:val="24"/>
          <w:szCs w:val="24"/>
        </w:rPr>
        <w:t xml:space="preserve">, p. 77 -130. </w:t>
      </w:r>
    </w:p>
    <w:p w14:paraId="3F9A9303" w14:textId="77777777" w:rsidR="00D16F20" w:rsidRPr="006F42E1" w:rsidRDefault="00D16F20" w:rsidP="00D16F20">
      <w:pPr>
        <w:spacing w:after="0" w:line="240" w:lineRule="auto"/>
        <w:jc w:val="both"/>
        <w:rPr>
          <w:rFonts w:ascii="Times New Roman" w:eastAsia="Times New Roman" w:hAnsi="Times New Roman" w:cs="Times New Roman"/>
          <w:sz w:val="24"/>
          <w:szCs w:val="24"/>
        </w:rPr>
      </w:pPr>
    </w:p>
    <w:p w14:paraId="12DF4A84" w14:textId="5DCE9120" w:rsidR="0070373C" w:rsidRPr="006F42E1" w:rsidRDefault="00D16F20" w:rsidP="00D16F20">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FOZ, G</w:t>
      </w:r>
      <w:r w:rsidR="00B85863" w:rsidRPr="006F42E1">
        <w:rPr>
          <w:rFonts w:ascii="Times New Roman" w:eastAsia="Times New Roman" w:hAnsi="Times New Roman" w:cs="Times New Roman"/>
          <w:sz w:val="24"/>
          <w:szCs w:val="24"/>
        </w:rPr>
        <w:t>rupo de</w:t>
      </w:r>
      <w:r w:rsidRPr="006F42E1">
        <w:rPr>
          <w:rFonts w:ascii="Times New Roman" w:eastAsia="Times New Roman" w:hAnsi="Times New Roman" w:cs="Times New Roman"/>
          <w:sz w:val="24"/>
          <w:szCs w:val="24"/>
        </w:rPr>
        <w:t xml:space="preserve">. Demografia, estatística social, geografia de população e outras abordagens do estudo da população. In: </w:t>
      </w:r>
      <w:r w:rsidRPr="006F42E1">
        <w:rPr>
          <w:rFonts w:ascii="Times New Roman" w:eastAsia="Times New Roman" w:hAnsi="Times New Roman" w:cs="Times New Roman"/>
          <w:b/>
          <w:bCs/>
          <w:sz w:val="24"/>
          <w:szCs w:val="24"/>
        </w:rPr>
        <w:t>Métodos Demográficos</w:t>
      </w:r>
      <w:r w:rsidR="00D32F98" w:rsidRPr="006F42E1">
        <w:rPr>
          <w:rFonts w:ascii="Times New Roman" w:eastAsia="Times New Roman" w:hAnsi="Times New Roman" w:cs="Times New Roman"/>
          <w:sz w:val="24"/>
          <w:szCs w:val="24"/>
        </w:rPr>
        <w:t xml:space="preserve">: </w:t>
      </w:r>
      <w:r w:rsidRPr="006F42E1">
        <w:rPr>
          <w:rFonts w:ascii="Times New Roman" w:eastAsia="Times New Roman" w:hAnsi="Times New Roman" w:cs="Times New Roman"/>
          <w:sz w:val="24"/>
          <w:szCs w:val="24"/>
        </w:rPr>
        <w:t>Uma Visão Desde os Países de Língua Portuguesa. São Paulo: Blucher, 2021</w:t>
      </w:r>
      <w:r w:rsidR="00B85863" w:rsidRPr="006F42E1">
        <w:rPr>
          <w:rFonts w:ascii="Times New Roman" w:eastAsia="Times New Roman" w:hAnsi="Times New Roman" w:cs="Times New Roman"/>
          <w:sz w:val="24"/>
          <w:szCs w:val="24"/>
        </w:rPr>
        <w:t>b</w:t>
      </w:r>
      <w:r w:rsidRPr="006F42E1">
        <w:rPr>
          <w:rFonts w:ascii="Times New Roman" w:eastAsia="Times New Roman" w:hAnsi="Times New Roman" w:cs="Times New Roman"/>
          <w:sz w:val="24"/>
          <w:szCs w:val="24"/>
        </w:rPr>
        <w:t>, p. 15 -31.</w:t>
      </w:r>
      <w:r w:rsidR="00AB01D1" w:rsidRPr="006F42E1">
        <w:rPr>
          <w:rFonts w:ascii="Times New Roman" w:eastAsia="Times New Roman" w:hAnsi="Times New Roman" w:cs="Times New Roman"/>
          <w:sz w:val="24"/>
          <w:szCs w:val="24"/>
        </w:rPr>
        <w:t xml:space="preserve"> </w:t>
      </w:r>
    </w:p>
    <w:p w14:paraId="4B123770" w14:textId="77777777" w:rsidR="002B76B5" w:rsidRPr="006F42E1" w:rsidRDefault="002B76B5" w:rsidP="002B76B5">
      <w:pPr>
        <w:spacing w:after="0" w:line="240" w:lineRule="auto"/>
        <w:jc w:val="both"/>
        <w:rPr>
          <w:rFonts w:ascii="Times New Roman" w:hAnsi="Times New Roman" w:cs="Times New Roman"/>
          <w:sz w:val="24"/>
          <w:szCs w:val="24"/>
        </w:rPr>
      </w:pPr>
    </w:p>
    <w:p w14:paraId="14E59E21" w14:textId="58A27202" w:rsidR="002B76B5" w:rsidRPr="006F42E1" w:rsidRDefault="002B76B5" w:rsidP="002B76B5">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 xml:space="preserve">FOZ, Grupo de. Projeções e cenários demográficos. In: FOZ, Grupo de. </w:t>
      </w:r>
      <w:r w:rsidRPr="006F42E1">
        <w:rPr>
          <w:rFonts w:ascii="Times New Roman" w:eastAsia="Times New Roman" w:hAnsi="Times New Roman" w:cs="Times New Roman"/>
          <w:b/>
          <w:bCs/>
          <w:sz w:val="24"/>
          <w:szCs w:val="24"/>
        </w:rPr>
        <w:t>Métodos Demográficos</w:t>
      </w:r>
      <w:r w:rsidRPr="006F42E1">
        <w:rPr>
          <w:rFonts w:ascii="Times New Roman" w:eastAsia="Times New Roman" w:hAnsi="Times New Roman" w:cs="Times New Roman"/>
          <w:sz w:val="24"/>
          <w:szCs w:val="24"/>
        </w:rPr>
        <w:t>: uma visão desde os países de língua portuguesa. - São Paulo: Blucher, 2021c, p. 761-812.</w:t>
      </w:r>
      <w:r w:rsidR="00AB01D1" w:rsidRPr="006F42E1">
        <w:rPr>
          <w:rFonts w:ascii="Times New Roman" w:eastAsia="Times New Roman" w:hAnsi="Times New Roman" w:cs="Times New Roman"/>
          <w:sz w:val="24"/>
          <w:szCs w:val="24"/>
        </w:rPr>
        <w:t xml:space="preserve"> </w:t>
      </w:r>
    </w:p>
    <w:p w14:paraId="6EC3320E" w14:textId="77777777" w:rsidR="00CE5A4A" w:rsidRPr="006F42E1" w:rsidRDefault="00CE5A4A" w:rsidP="00CE5A4A">
      <w:pPr>
        <w:spacing w:after="0" w:line="240" w:lineRule="auto"/>
        <w:jc w:val="both"/>
        <w:rPr>
          <w:rFonts w:ascii="Times New Roman" w:eastAsia="Times New Roman" w:hAnsi="Times New Roman" w:cs="Times New Roman"/>
          <w:sz w:val="24"/>
          <w:szCs w:val="24"/>
        </w:rPr>
      </w:pPr>
    </w:p>
    <w:p w14:paraId="1B5659A7" w14:textId="6AFC9A74" w:rsidR="00CE5A4A" w:rsidRPr="006F42E1" w:rsidRDefault="00CE5A4A" w:rsidP="00CE5A4A">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lang w:val="es-CL"/>
        </w:rPr>
        <w:t xml:space="preserve">FREIRE, F. H. M. A.; GONZAGA, M. R.; GOMES, M. M. F. Proyecciones de población por sexo y edad para áreas pequeñas en Brasil. </w:t>
      </w:r>
      <w:r w:rsidRPr="006F42E1">
        <w:rPr>
          <w:rFonts w:ascii="Times New Roman" w:eastAsia="Times New Roman" w:hAnsi="Times New Roman" w:cs="Times New Roman"/>
          <w:b/>
          <w:bCs/>
          <w:sz w:val="24"/>
          <w:szCs w:val="24"/>
        </w:rPr>
        <w:t>Revista Latinoamericana De Población</w:t>
      </w:r>
      <w:r w:rsidRPr="006F42E1">
        <w:rPr>
          <w:rFonts w:ascii="Times New Roman" w:eastAsia="Times New Roman" w:hAnsi="Times New Roman" w:cs="Times New Roman"/>
          <w:sz w:val="24"/>
          <w:szCs w:val="24"/>
        </w:rPr>
        <w:t>, 2019, p. 124-149.</w:t>
      </w:r>
      <w:r w:rsidR="00AB01D1" w:rsidRPr="006F42E1">
        <w:rPr>
          <w:rFonts w:ascii="Times New Roman" w:eastAsia="Times New Roman" w:hAnsi="Times New Roman" w:cs="Times New Roman"/>
          <w:sz w:val="24"/>
          <w:szCs w:val="24"/>
        </w:rPr>
        <w:t xml:space="preserve"> </w:t>
      </w:r>
    </w:p>
    <w:p w14:paraId="15FF4E14" w14:textId="77777777" w:rsidR="001815DE" w:rsidRPr="006F42E1" w:rsidRDefault="001815DE" w:rsidP="00CE5A4A">
      <w:pPr>
        <w:spacing w:after="0" w:line="240" w:lineRule="auto"/>
        <w:jc w:val="both"/>
        <w:rPr>
          <w:rFonts w:ascii="Times New Roman" w:eastAsia="Times New Roman" w:hAnsi="Times New Roman" w:cs="Times New Roman"/>
          <w:sz w:val="24"/>
          <w:szCs w:val="24"/>
        </w:rPr>
      </w:pPr>
    </w:p>
    <w:p w14:paraId="5ABA2C24" w14:textId="2DAE5DC6" w:rsidR="00CE5A4A" w:rsidRPr="006F42E1" w:rsidRDefault="00CE5A4A" w:rsidP="00CE5A4A">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lastRenderedPageBreak/>
        <w:t xml:space="preserve">IBGE. Instituto Brasileiro de Geografia e Estatística. </w:t>
      </w:r>
      <w:r w:rsidRPr="006F42E1">
        <w:rPr>
          <w:rFonts w:ascii="Times New Roman" w:eastAsia="Times New Roman" w:hAnsi="Times New Roman" w:cs="Times New Roman"/>
          <w:b/>
          <w:bCs/>
          <w:sz w:val="24"/>
          <w:szCs w:val="24"/>
        </w:rPr>
        <w:t>Projeções da população</w:t>
      </w:r>
      <w:r w:rsidRPr="006F42E1">
        <w:rPr>
          <w:rFonts w:ascii="Times New Roman" w:eastAsia="Times New Roman" w:hAnsi="Times New Roman" w:cs="Times New Roman"/>
          <w:sz w:val="24"/>
          <w:szCs w:val="24"/>
        </w:rPr>
        <w:t>: Brasil e unidades da federação: revisão 2013. IBGE, Coordenação de População e Indicadores Sociais – Rio de Janeiro, 2013.</w:t>
      </w:r>
      <w:r w:rsidR="001815DE" w:rsidRPr="006F42E1">
        <w:rPr>
          <w:rFonts w:ascii="Times New Roman" w:eastAsia="Times New Roman" w:hAnsi="Times New Roman" w:cs="Times New Roman"/>
          <w:sz w:val="24"/>
          <w:szCs w:val="24"/>
        </w:rPr>
        <w:t xml:space="preserve"> </w:t>
      </w:r>
    </w:p>
    <w:p w14:paraId="421C0D92" w14:textId="77777777" w:rsidR="001815DE" w:rsidRPr="006F42E1" w:rsidRDefault="001815DE" w:rsidP="00CE5A4A">
      <w:pPr>
        <w:spacing w:after="0" w:line="240" w:lineRule="auto"/>
        <w:jc w:val="both"/>
        <w:rPr>
          <w:rFonts w:ascii="Times New Roman" w:eastAsia="Times New Roman" w:hAnsi="Times New Roman" w:cs="Times New Roman"/>
          <w:sz w:val="24"/>
          <w:szCs w:val="24"/>
        </w:rPr>
      </w:pPr>
    </w:p>
    <w:p w14:paraId="333C3E11" w14:textId="49416DE2" w:rsidR="00CE5A4A" w:rsidRPr="006F42E1" w:rsidRDefault="00CE5A4A" w:rsidP="00CE5A4A">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 xml:space="preserve">IBGE. Instituto Brasileiro de Geografia e Estatística. </w:t>
      </w:r>
      <w:r w:rsidRPr="006F42E1">
        <w:rPr>
          <w:rFonts w:ascii="Times New Roman" w:eastAsia="Times New Roman" w:hAnsi="Times New Roman" w:cs="Times New Roman"/>
          <w:b/>
          <w:bCs/>
          <w:sz w:val="24"/>
          <w:szCs w:val="24"/>
        </w:rPr>
        <w:t>Projeções da população</w:t>
      </w:r>
      <w:r w:rsidRPr="006F42E1">
        <w:rPr>
          <w:rFonts w:ascii="Times New Roman" w:eastAsia="Times New Roman" w:hAnsi="Times New Roman" w:cs="Times New Roman"/>
          <w:sz w:val="24"/>
          <w:szCs w:val="24"/>
        </w:rPr>
        <w:t>: Brasil e unidades da federação: revisão 2018. IBGE, Coordenação de População e Indicadores Sociais – 2. ed.. Rio de Janeiro, 2018.</w:t>
      </w:r>
      <w:r w:rsidR="001815DE" w:rsidRPr="006F42E1">
        <w:rPr>
          <w:rFonts w:ascii="Times New Roman" w:eastAsia="Times New Roman" w:hAnsi="Times New Roman" w:cs="Times New Roman"/>
          <w:sz w:val="24"/>
          <w:szCs w:val="24"/>
        </w:rPr>
        <w:t xml:space="preserve"> </w:t>
      </w:r>
    </w:p>
    <w:p w14:paraId="10A38E49" w14:textId="77777777" w:rsidR="001815DE" w:rsidRPr="006F42E1" w:rsidRDefault="001815DE" w:rsidP="00CE5A4A">
      <w:pPr>
        <w:spacing w:after="0" w:line="240" w:lineRule="auto"/>
        <w:jc w:val="both"/>
        <w:rPr>
          <w:rFonts w:ascii="Times New Roman" w:eastAsia="Times New Roman" w:hAnsi="Times New Roman" w:cs="Times New Roman"/>
          <w:sz w:val="24"/>
          <w:szCs w:val="24"/>
        </w:rPr>
      </w:pPr>
    </w:p>
    <w:p w14:paraId="05EFB656" w14:textId="77777777" w:rsidR="00EB09C6" w:rsidRPr="006F42E1" w:rsidRDefault="00EB09C6" w:rsidP="00A414A8">
      <w:pPr>
        <w:spacing w:after="0"/>
        <w:jc w:val="both"/>
        <w:rPr>
          <w:rFonts w:ascii="Times New Roman" w:hAnsi="Times New Roman" w:cs="Times New Roman"/>
          <w:sz w:val="24"/>
          <w:szCs w:val="24"/>
        </w:rPr>
      </w:pPr>
      <w:r w:rsidRPr="006F42E1">
        <w:rPr>
          <w:rFonts w:ascii="Times New Roman" w:hAnsi="Times New Roman" w:cs="Times New Roman"/>
          <w:sz w:val="24"/>
          <w:szCs w:val="24"/>
          <w:lang w:val="es-CL"/>
        </w:rPr>
        <w:t xml:space="preserve">JANNUZZI, P. M. Proyecciones de población y políticas públicas: importância y desafíos de las nuevas agendas.  In: CAVENAGHI, S. (Org.). </w:t>
      </w:r>
      <w:r w:rsidRPr="006F42E1">
        <w:rPr>
          <w:rFonts w:ascii="Times New Roman" w:hAnsi="Times New Roman" w:cs="Times New Roman"/>
          <w:b/>
          <w:bCs/>
          <w:sz w:val="24"/>
          <w:szCs w:val="24"/>
          <w:lang w:val="es-CL"/>
        </w:rPr>
        <w:t>Estimaciones y proyecciones de población en América Latina</w:t>
      </w:r>
      <w:r w:rsidRPr="006F42E1">
        <w:rPr>
          <w:rFonts w:ascii="Times New Roman" w:hAnsi="Times New Roman" w:cs="Times New Roman"/>
          <w:sz w:val="24"/>
          <w:szCs w:val="24"/>
          <w:lang w:val="es-CL"/>
        </w:rPr>
        <w:t xml:space="preserve">: desafíos de una agenda pendient. </w:t>
      </w:r>
      <w:r w:rsidRPr="006F42E1">
        <w:rPr>
          <w:rFonts w:ascii="Times New Roman" w:hAnsi="Times New Roman" w:cs="Times New Roman"/>
          <w:sz w:val="24"/>
          <w:szCs w:val="24"/>
        </w:rPr>
        <w:t>Rio de Janeiro - ALAP. p. 88-104. 2012.</w:t>
      </w:r>
    </w:p>
    <w:p w14:paraId="4C44C96A" w14:textId="77777777" w:rsidR="00EB09C6" w:rsidRPr="006F42E1" w:rsidRDefault="00EB09C6" w:rsidP="00CE5A4A">
      <w:pPr>
        <w:spacing w:after="0" w:line="240" w:lineRule="auto"/>
        <w:jc w:val="both"/>
        <w:rPr>
          <w:rFonts w:ascii="Times New Roman" w:eastAsia="Times New Roman" w:hAnsi="Times New Roman" w:cs="Times New Roman"/>
          <w:sz w:val="24"/>
          <w:szCs w:val="24"/>
        </w:rPr>
      </w:pPr>
    </w:p>
    <w:p w14:paraId="2925D59D" w14:textId="6D9636D9" w:rsidR="00CE5A4A" w:rsidRPr="006F42E1" w:rsidRDefault="00CE5A4A" w:rsidP="00CE5A4A">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 xml:space="preserve">MADEIRA. J. L.; SIMÕES, C. C. S. Estimativas preliminares da população urbana e rural segundo as unidades da federação, de 1960/1980 por uma nova metodologia. Rio de Janeiro: </w:t>
      </w:r>
      <w:r w:rsidRPr="008B3ECA">
        <w:rPr>
          <w:rFonts w:ascii="Times New Roman" w:eastAsia="Times New Roman" w:hAnsi="Times New Roman" w:cs="Times New Roman"/>
          <w:b/>
          <w:bCs/>
          <w:sz w:val="24"/>
          <w:szCs w:val="24"/>
        </w:rPr>
        <w:t>R. Bras. Estat.</w:t>
      </w:r>
      <w:r w:rsidRPr="006F42E1">
        <w:rPr>
          <w:rFonts w:ascii="Times New Roman" w:eastAsia="Times New Roman" w:hAnsi="Times New Roman" w:cs="Times New Roman"/>
          <w:sz w:val="24"/>
          <w:szCs w:val="24"/>
        </w:rPr>
        <w:t>, 1972, p. 3-11.</w:t>
      </w:r>
      <w:r w:rsidR="001815DE" w:rsidRPr="006F42E1">
        <w:rPr>
          <w:rFonts w:ascii="Times New Roman" w:eastAsia="Times New Roman" w:hAnsi="Times New Roman" w:cs="Times New Roman"/>
          <w:sz w:val="24"/>
          <w:szCs w:val="24"/>
        </w:rPr>
        <w:t xml:space="preserve"> </w:t>
      </w:r>
    </w:p>
    <w:p w14:paraId="724CF9AE" w14:textId="77777777" w:rsidR="001815DE" w:rsidRPr="006F42E1" w:rsidRDefault="001815DE" w:rsidP="00CE5A4A">
      <w:pPr>
        <w:spacing w:after="0" w:line="240" w:lineRule="auto"/>
        <w:jc w:val="both"/>
        <w:rPr>
          <w:rFonts w:ascii="Times New Roman" w:eastAsia="Times New Roman" w:hAnsi="Times New Roman" w:cs="Times New Roman"/>
          <w:sz w:val="24"/>
          <w:szCs w:val="24"/>
        </w:rPr>
      </w:pPr>
    </w:p>
    <w:p w14:paraId="20A2F636" w14:textId="2172B742" w:rsidR="008C3D03" w:rsidRPr="006F42E1" w:rsidRDefault="008C3D03" w:rsidP="00CE5A4A">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 xml:space="preserve">MOREIRA, M. M. Envelhecimento da população brasileira e migrações. </w:t>
      </w:r>
      <w:r w:rsidRPr="006F42E1">
        <w:rPr>
          <w:rFonts w:ascii="Times New Roman" w:eastAsia="Times New Roman" w:hAnsi="Times New Roman" w:cs="Times New Roman"/>
          <w:b/>
          <w:bCs/>
          <w:sz w:val="24"/>
          <w:szCs w:val="24"/>
        </w:rPr>
        <w:t>Políticas Públicas e Sociedade</w:t>
      </w:r>
      <w:r w:rsidRPr="006F42E1">
        <w:rPr>
          <w:rFonts w:ascii="Times New Roman" w:eastAsia="Times New Roman" w:hAnsi="Times New Roman" w:cs="Times New Roman"/>
          <w:sz w:val="24"/>
          <w:szCs w:val="24"/>
        </w:rPr>
        <w:t>. Vol. 1, nº 5, Jan-Jun, 2003.</w:t>
      </w:r>
      <w:r w:rsidR="00BA0785" w:rsidRPr="006F42E1">
        <w:rPr>
          <w:rFonts w:ascii="Times New Roman" w:eastAsia="Times New Roman" w:hAnsi="Times New Roman" w:cs="Times New Roman"/>
          <w:sz w:val="24"/>
          <w:szCs w:val="24"/>
        </w:rPr>
        <w:t xml:space="preserve"> </w:t>
      </w:r>
    </w:p>
    <w:p w14:paraId="0481AAAA" w14:textId="77777777" w:rsidR="008C3D03" w:rsidRDefault="008C3D03" w:rsidP="00CE5A4A">
      <w:pPr>
        <w:spacing w:after="0" w:line="240" w:lineRule="auto"/>
        <w:jc w:val="both"/>
        <w:rPr>
          <w:rFonts w:ascii="Times New Roman" w:eastAsia="Times New Roman" w:hAnsi="Times New Roman" w:cs="Times New Roman"/>
          <w:sz w:val="24"/>
          <w:szCs w:val="24"/>
        </w:rPr>
      </w:pPr>
    </w:p>
    <w:p w14:paraId="4B02666B" w14:textId="680AD5A0" w:rsidR="003876E3" w:rsidRDefault="003876E3" w:rsidP="00CE5A4A">
      <w:pPr>
        <w:spacing w:after="0" w:line="240" w:lineRule="auto"/>
        <w:jc w:val="both"/>
        <w:rPr>
          <w:rFonts w:ascii="Times New Roman" w:eastAsia="Times New Roman" w:hAnsi="Times New Roman" w:cs="Times New Roman"/>
          <w:sz w:val="24"/>
          <w:szCs w:val="24"/>
        </w:rPr>
      </w:pPr>
      <w:r w:rsidRPr="003876E3">
        <w:rPr>
          <w:rFonts w:ascii="Times New Roman" w:eastAsia="Times New Roman" w:hAnsi="Times New Roman" w:cs="Times New Roman"/>
          <w:sz w:val="24"/>
          <w:szCs w:val="24"/>
        </w:rPr>
        <w:t xml:space="preserve">MYRRHA, L. J. D. </w:t>
      </w:r>
      <w:r w:rsidRPr="003876E3">
        <w:rPr>
          <w:rFonts w:ascii="Times New Roman" w:eastAsia="Times New Roman" w:hAnsi="Times New Roman" w:cs="Times New Roman"/>
          <w:b/>
          <w:bCs/>
          <w:sz w:val="24"/>
          <w:szCs w:val="24"/>
        </w:rPr>
        <w:t>Estrutura etária brasileira</w:t>
      </w:r>
      <w:r w:rsidRPr="003876E3">
        <w:rPr>
          <w:rFonts w:ascii="Times New Roman" w:eastAsia="Times New Roman" w:hAnsi="Times New Roman" w:cs="Times New Roman"/>
          <w:sz w:val="24"/>
          <w:szCs w:val="24"/>
        </w:rPr>
        <w:t>: decomposição segundo variações na fecundidade e na mortalidade. Dissertação (Mestrado em Demografia). Universidade Federal de Minas Gerais – UFMG, Belo Horizonte – MG. 121p. 2009.</w:t>
      </w:r>
    </w:p>
    <w:p w14:paraId="007C7DA6" w14:textId="77777777" w:rsidR="003876E3" w:rsidRPr="006F42E1" w:rsidRDefault="003876E3" w:rsidP="00CE5A4A">
      <w:pPr>
        <w:spacing w:after="0" w:line="240" w:lineRule="auto"/>
        <w:jc w:val="both"/>
        <w:rPr>
          <w:rFonts w:ascii="Times New Roman" w:eastAsia="Times New Roman" w:hAnsi="Times New Roman" w:cs="Times New Roman"/>
          <w:sz w:val="24"/>
          <w:szCs w:val="24"/>
        </w:rPr>
      </w:pPr>
    </w:p>
    <w:p w14:paraId="4C212522" w14:textId="3965312A" w:rsidR="0075450B" w:rsidRPr="006F42E1" w:rsidRDefault="0075450B" w:rsidP="00CE5A4A">
      <w:pPr>
        <w:spacing w:after="0" w:line="240" w:lineRule="auto"/>
        <w:jc w:val="both"/>
        <w:rPr>
          <w:rFonts w:ascii="Times New Roman" w:eastAsia="Times New Roman" w:hAnsi="Times New Roman" w:cs="Times New Roman"/>
          <w:sz w:val="24"/>
          <w:szCs w:val="24"/>
        </w:rPr>
      </w:pPr>
      <w:r w:rsidRPr="006F42E1">
        <w:rPr>
          <w:rFonts w:ascii="Times New Roman" w:hAnsi="Times New Roman" w:cs="Times New Roman"/>
          <w:sz w:val="24"/>
          <w:szCs w:val="24"/>
        </w:rPr>
        <w:t xml:space="preserve">PAIVA, P. T. A.; WAJNMAN, S. </w:t>
      </w:r>
      <w:r w:rsidRPr="006F42E1">
        <w:rPr>
          <w:rFonts w:ascii="Times New Roman" w:hAnsi="Times New Roman" w:cs="Times New Roman"/>
          <w:b/>
          <w:bCs/>
          <w:sz w:val="24"/>
          <w:szCs w:val="24"/>
        </w:rPr>
        <w:t>Das Causas às Consequências Econômicas da Transição Demográfica no Brasil</w:t>
      </w:r>
      <w:r w:rsidRPr="006F42E1">
        <w:rPr>
          <w:rFonts w:ascii="Times New Roman" w:hAnsi="Times New Roman" w:cs="Times New Roman"/>
          <w:sz w:val="24"/>
          <w:szCs w:val="24"/>
        </w:rPr>
        <w:t>. Revista Brasileira de Estudos de População (Impresso), São Paulo, v. 22, n.2, p. 303-322, 2005.</w:t>
      </w:r>
    </w:p>
    <w:p w14:paraId="71F37675" w14:textId="77777777" w:rsidR="0075450B" w:rsidRPr="006F42E1" w:rsidRDefault="0075450B" w:rsidP="00CE5A4A">
      <w:pPr>
        <w:spacing w:after="0" w:line="240" w:lineRule="auto"/>
        <w:jc w:val="both"/>
        <w:rPr>
          <w:rFonts w:ascii="Times New Roman" w:eastAsia="Times New Roman" w:hAnsi="Times New Roman" w:cs="Times New Roman"/>
          <w:sz w:val="24"/>
          <w:szCs w:val="24"/>
        </w:rPr>
      </w:pPr>
    </w:p>
    <w:p w14:paraId="2EB5F6D5" w14:textId="6E805321" w:rsidR="0E7F4194" w:rsidRPr="006F42E1" w:rsidRDefault="13B1A6B2" w:rsidP="13B1A6B2">
      <w:pPr>
        <w:spacing w:after="0" w:line="240" w:lineRule="auto"/>
        <w:jc w:val="both"/>
      </w:pPr>
      <w:r w:rsidRPr="006F42E1">
        <w:rPr>
          <w:rFonts w:ascii="Times New Roman" w:hAnsi="Times New Roman" w:cs="Times New Roman"/>
          <w:sz w:val="24"/>
          <w:szCs w:val="24"/>
        </w:rPr>
        <w:t xml:space="preserve">PATARRA, N. L. </w:t>
      </w:r>
      <w:r w:rsidRPr="006F42E1">
        <w:rPr>
          <w:rFonts w:ascii="Times New Roman" w:hAnsi="Times New Roman" w:cs="Times New Roman"/>
          <w:b/>
          <w:bCs/>
          <w:sz w:val="24"/>
          <w:szCs w:val="24"/>
        </w:rPr>
        <w:t>Movimentos Migratórios no Brasil</w:t>
      </w:r>
      <w:r w:rsidRPr="006F42E1">
        <w:rPr>
          <w:rFonts w:ascii="Times New Roman" w:hAnsi="Times New Roman" w:cs="Times New Roman"/>
          <w:sz w:val="24"/>
          <w:szCs w:val="24"/>
        </w:rPr>
        <w:t>: Tempos e Espaços. - Rio de Janeiro, Escola Nacional de Ciências Estatísticas, 2003. 50p. - (Textos para discussão. Escola Nacional de Ciências Estatísticas, ISSN 1677-7093; n. 7).</w:t>
      </w:r>
    </w:p>
    <w:p w14:paraId="601F4F7F" w14:textId="4253E426" w:rsidR="13B1A6B2" w:rsidRPr="006F42E1" w:rsidRDefault="13B1A6B2" w:rsidP="13B1A6B2">
      <w:pPr>
        <w:spacing w:after="0" w:line="240" w:lineRule="auto"/>
        <w:jc w:val="both"/>
        <w:rPr>
          <w:rFonts w:ascii="Times New Roman" w:eastAsia="Times New Roman" w:hAnsi="Times New Roman" w:cs="Times New Roman"/>
          <w:sz w:val="24"/>
          <w:szCs w:val="24"/>
        </w:rPr>
      </w:pPr>
    </w:p>
    <w:p w14:paraId="04221F91" w14:textId="3D8837F8" w:rsidR="13B1A6B2" w:rsidRPr="006F42E1" w:rsidRDefault="13B1A6B2" w:rsidP="13B1A6B2">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 xml:space="preserve">PERONDI, E. Crise econômica e instabilidade política: cenários da ofensiva do capital contra o trabalho no Brasil. </w:t>
      </w:r>
      <w:r w:rsidRPr="006F42E1">
        <w:rPr>
          <w:rFonts w:ascii="Times New Roman" w:eastAsia="Times New Roman" w:hAnsi="Times New Roman" w:cs="Times New Roman"/>
          <w:b/>
          <w:bCs/>
          <w:sz w:val="24"/>
          <w:szCs w:val="24"/>
        </w:rPr>
        <w:t>Revista de Políticas Públicas da UFMA</w:t>
      </w:r>
      <w:r w:rsidRPr="006F42E1">
        <w:rPr>
          <w:rFonts w:ascii="Times New Roman" w:eastAsia="Times New Roman" w:hAnsi="Times New Roman" w:cs="Times New Roman"/>
          <w:sz w:val="24"/>
          <w:szCs w:val="24"/>
        </w:rPr>
        <w:t>, vol. 21, n. 2, 2017, p. 603-621.</w:t>
      </w:r>
    </w:p>
    <w:p w14:paraId="541A3956" w14:textId="137A4008" w:rsidR="13B1A6B2" w:rsidRPr="006F42E1" w:rsidRDefault="13B1A6B2" w:rsidP="13B1A6B2">
      <w:pPr>
        <w:spacing w:after="0" w:line="240" w:lineRule="auto"/>
        <w:jc w:val="both"/>
        <w:rPr>
          <w:rFonts w:ascii="Times New Roman" w:hAnsi="Times New Roman" w:cs="Times New Roman"/>
          <w:sz w:val="24"/>
          <w:szCs w:val="24"/>
        </w:rPr>
      </w:pPr>
    </w:p>
    <w:p w14:paraId="52612DDD" w14:textId="133E2905" w:rsidR="0E7F4194" w:rsidRPr="006F42E1" w:rsidRDefault="0E7F4194" w:rsidP="0E7F4194">
      <w:pPr>
        <w:spacing w:after="0" w:line="240" w:lineRule="auto"/>
        <w:jc w:val="both"/>
      </w:pPr>
      <w:r w:rsidRPr="006F42E1">
        <w:rPr>
          <w:rFonts w:ascii="Times New Roman" w:hAnsi="Times New Roman" w:cs="Times New Roman"/>
          <w:sz w:val="24"/>
          <w:szCs w:val="24"/>
        </w:rPr>
        <w:t xml:space="preserve">QUEIROZ, S. N. </w:t>
      </w:r>
      <w:r w:rsidRPr="006F42E1">
        <w:rPr>
          <w:rFonts w:ascii="Times New Roman" w:hAnsi="Times New Roman" w:cs="Times New Roman"/>
          <w:b/>
          <w:bCs/>
          <w:sz w:val="24"/>
          <w:szCs w:val="24"/>
        </w:rPr>
        <w:t>Migrações, retorno e seletividade no mercado de trabalho cearense</w:t>
      </w:r>
      <w:r w:rsidRPr="006F42E1">
        <w:rPr>
          <w:rFonts w:ascii="Times New Roman" w:hAnsi="Times New Roman" w:cs="Times New Roman"/>
          <w:sz w:val="24"/>
          <w:szCs w:val="24"/>
        </w:rPr>
        <w:t>. Tese (Doutorado em Demografia) – Universidade Estadual de Campinas, UNICAIMP/IFHC, 2013.</w:t>
      </w:r>
    </w:p>
    <w:p w14:paraId="2FF8B950" w14:textId="6189BBF9" w:rsidR="0E7F4194" w:rsidRPr="006F42E1" w:rsidRDefault="0E7F4194" w:rsidP="0E7F4194">
      <w:pPr>
        <w:spacing w:after="0" w:line="240" w:lineRule="auto"/>
        <w:jc w:val="both"/>
        <w:rPr>
          <w:rFonts w:ascii="Times New Roman" w:eastAsia="Times New Roman" w:hAnsi="Times New Roman" w:cs="Times New Roman"/>
          <w:sz w:val="24"/>
          <w:szCs w:val="24"/>
        </w:rPr>
      </w:pPr>
    </w:p>
    <w:p w14:paraId="0A8E95D5" w14:textId="617955A6" w:rsidR="00695FD3" w:rsidRPr="00ED66D9" w:rsidRDefault="0E7F4194" w:rsidP="00ED66D9">
      <w:pPr>
        <w:spacing w:after="0" w:line="240" w:lineRule="auto"/>
        <w:jc w:val="both"/>
        <w:rPr>
          <w:rFonts w:ascii="Times New Roman" w:eastAsia="Times New Roman" w:hAnsi="Times New Roman" w:cs="Times New Roman"/>
          <w:sz w:val="24"/>
          <w:szCs w:val="24"/>
        </w:rPr>
      </w:pPr>
      <w:r w:rsidRPr="006F42E1">
        <w:rPr>
          <w:rFonts w:ascii="Times New Roman" w:eastAsia="Times New Roman" w:hAnsi="Times New Roman" w:cs="Times New Roman"/>
          <w:sz w:val="24"/>
          <w:szCs w:val="24"/>
        </w:rPr>
        <w:t xml:space="preserve">SIDRA. Sistema IBGE de Recuperação Automática. </w:t>
      </w:r>
      <w:r w:rsidRPr="006F42E1">
        <w:rPr>
          <w:rFonts w:ascii="Times New Roman" w:eastAsia="Times New Roman" w:hAnsi="Times New Roman" w:cs="Times New Roman"/>
          <w:b/>
          <w:bCs/>
          <w:sz w:val="24"/>
          <w:szCs w:val="24"/>
        </w:rPr>
        <w:t>Tabela 200 - População residente, por sexo, situação e grupos de idade</w:t>
      </w:r>
      <w:r w:rsidRPr="006F42E1">
        <w:rPr>
          <w:rFonts w:ascii="Times New Roman" w:eastAsia="Times New Roman" w:hAnsi="Times New Roman" w:cs="Times New Roman"/>
          <w:sz w:val="24"/>
          <w:szCs w:val="24"/>
        </w:rPr>
        <w:t xml:space="preserve">. Disponível em: </w:t>
      </w:r>
      <w:hyperlink r:id="rId19">
        <w:r w:rsidRPr="006F42E1">
          <w:rPr>
            <w:rStyle w:val="Hyperlink"/>
            <w:rFonts w:ascii="Times New Roman" w:eastAsia="Times New Roman" w:hAnsi="Times New Roman" w:cs="Times New Roman"/>
            <w:color w:val="auto"/>
            <w:sz w:val="24"/>
            <w:szCs w:val="24"/>
            <w:u w:val="none"/>
          </w:rPr>
          <w:t>https://sidra.ibge.gov.br/Tabela/200</w:t>
        </w:r>
      </w:hyperlink>
      <w:r w:rsidRPr="006F42E1">
        <w:rPr>
          <w:rFonts w:ascii="Times New Roman" w:eastAsia="Times New Roman" w:hAnsi="Times New Roman" w:cs="Times New Roman"/>
          <w:sz w:val="24"/>
          <w:szCs w:val="24"/>
        </w:rPr>
        <w:t xml:space="preserve">. Acesso em: 29 de julho de 2022. </w:t>
      </w:r>
    </w:p>
    <w:sectPr w:rsidR="00695FD3" w:rsidRPr="00ED66D9">
      <w:headerReference w:type="default" r:id="rId20"/>
      <w:footerReference w:type="default" r:id="rId21"/>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46569" w14:textId="77777777" w:rsidR="0066553A" w:rsidRDefault="0066553A">
      <w:pPr>
        <w:spacing w:line="240" w:lineRule="auto"/>
      </w:pPr>
      <w:r>
        <w:separator/>
      </w:r>
    </w:p>
  </w:endnote>
  <w:endnote w:type="continuationSeparator" w:id="0">
    <w:p w14:paraId="79F2DE0B" w14:textId="77777777" w:rsidR="0066553A" w:rsidRDefault="0066553A">
      <w:pPr>
        <w:spacing w:line="240" w:lineRule="auto"/>
      </w:pPr>
      <w:r>
        <w:continuationSeparator/>
      </w:r>
    </w:p>
  </w:endnote>
  <w:endnote w:type="continuationNotice" w:id="1">
    <w:p w14:paraId="4CF722F5" w14:textId="77777777" w:rsidR="0066553A" w:rsidRDefault="006655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Bookman Old Style">
    <w:panose1 w:val="02050604050505020204"/>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8F252" w14:textId="77777777" w:rsidR="00695FD3" w:rsidRDefault="00667C57">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58241" behindDoc="1" locked="0" layoutInCell="1" allowOverlap="1" wp14:anchorId="73F2D8D8" wp14:editId="4675D758">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a="http://schemas.openxmlformats.org/drawingml/2006/main">
          <w:pict w14:anchorId="2F6E87D9">
            <v:line id="_x0000_s1026" style="position:absolute;left:0pt;margin-left:-43.15pt;margin-top:12pt;height:0.75pt;width:512.25pt;mso-position-horizontal-relative:margin;z-index:-251655168;mso-width-relative:page;mso-height-relative:page;" coordsize="21600,21600" o:spid="_x0000_s1026" filled="f" stroked="t" o:spt="2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2A351007" w14:textId="77777777" w:rsidR="00695FD3" w:rsidRDefault="00695FD3">
    <w:pPr>
      <w:pStyle w:val="Rodap"/>
      <w:jc w:val="both"/>
      <w:rPr>
        <w:rFonts w:ascii="Times New Roman" w:hAnsi="Times New Roman" w:cs="Times New Roman"/>
        <w:sz w:val="20"/>
        <w:szCs w:val="20"/>
      </w:rPr>
    </w:pPr>
  </w:p>
  <w:p w14:paraId="50B4A705" w14:textId="77777777" w:rsidR="00695FD3" w:rsidRDefault="00667C57">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14:paraId="3D7859C9" w14:textId="77777777" w:rsidR="00695FD3" w:rsidRDefault="00695FD3">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631BA" w14:textId="77777777" w:rsidR="0066553A" w:rsidRDefault="0066553A">
      <w:pPr>
        <w:spacing w:after="0"/>
      </w:pPr>
      <w:r>
        <w:separator/>
      </w:r>
    </w:p>
  </w:footnote>
  <w:footnote w:type="continuationSeparator" w:id="0">
    <w:p w14:paraId="4DF4FDAF" w14:textId="77777777" w:rsidR="0066553A" w:rsidRDefault="0066553A">
      <w:pPr>
        <w:spacing w:after="0"/>
      </w:pPr>
      <w:r>
        <w:continuationSeparator/>
      </w:r>
    </w:p>
  </w:footnote>
  <w:footnote w:type="continuationNotice" w:id="1">
    <w:p w14:paraId="1C07E2E6" w14:textId="77777777" w:rsidR="0066553A" w:rsidRDefault="0066553A">
      <w:pPr>
        <w:spacing w:after="0" w:line="240" w:lineRule="auto"/>
      </w:pPr>
    </w:p>
  </w:footnote>
  <w:footnote w:id="2">
    <w:p w14:paraId="6C76CEA6" w14:textId="0DB164DC" w:rsidR="008404E7" w:rsidRPr="008404E7" w:rsidRDefault="008404E7">
      <w:pPr>
        <w:pStyle w:val="Textodenotaderodap"/>
        <w:rPr>
          <w:rFonts w:ascii="Times New Roman" w:hAnsi="Times New Roman" w:cs="Times New Roman"/>
        </w:rPr>
      </w:pPr>
      <w:r w:rsidRPr="008404E7">
        <w:rPr>
          <w:rStyle w:val="Refdenotaderodap"/>
          <w:rFonts w:ascii="Times New Roman" w:hAnsi="Times New Roman" w:cs="Times New Roman"/>
        </w:rPr>
        <w:t>*</w:t>
      </w:r>
      <w:r w:rsidRPr="008404E7">
        <w:rPr>
          <w:rFonts w:ascii="Times New Roman" w:hAnsi="Times New Roman" w:cs="Times New Roman"/>
        </w:rPr>
        <w:t xml:space="preserve"> O presente trabalho foi realizado com apoio da Coordenação de Aperfeiçoamento de Pessoal de Nível Superior - Brasil (CAPES) - Código de Financiamento 001.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F6BE8" w14:textId="77777777" w:rsidR="00695FD3" w:rsidRDefault="00667C57">
    <w:pPr>
      <w:pStyle w:val="Cabealho"/>
      <w:jc w:val="center"/>
    </w:pPr>
    <w:r>
      <w:rPr>
        <w:noProof/>
      </w:rPr>
      <mc:AlternateContent>
        <mc:Choice Requires="wps">
          <w:drawing>
            <wp:anchor distT="0" distB="0" distL="114300" distR="114300" simplePos="0" relativeHeight="251658240" behindDoc="1" locked="0" layoutInCell="1" allowOverlap="1" wp14:anchorId="17B22C10" wp14:editId="295131EA">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a14="http://schemas.microsoft.com/office/drawing/2010/main" xmlns:pic="http://schemas.openxmlformats.org/drawingml/2006/picture" xmlns:a="http://schemas.openxmlformats.org/drawingml/2006/main">
          <w:pict w14:anchorId="334AE27E">
            <v:line id="_x0000_s1026" style="position:absolute;left:0pt;margin-left:-39pt;margin-top:76.45pt;height:0.75pt;width:512.25pt;z-index:-251656192;mso-width-relative:page;mso-height-relative:page;" coordsize="21600,21600" o:spid="_x0000_s1026" filled="f" stroked="t" o:spt="2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2AF49827" wp14:editId="047DE836">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xmlns:a14="http://schemas.microsoft.com/office/drawing/2010/main" xmlns:pic="http://schemas.openxmlformats.org/drawingml/2006/picture" xmlns:a="http://schemas.openxmlformats.org/drawingml/2006/main">
          <w:pict w14:anchorId="26679371">
            <v:rect id="_x0000_s1026" style="height:24pt;width:24pt;" coordsize="21600,21600" o:spid="_x0000_s1026" filled="f" stroked="f" o:spt="1"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6D422380" wp14:editId="1D58D512">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7C0B4260" w14:textId="77777777" w:rsidR="00695FD3" w:rsidRDefault="00695FD3">
    <w:pPr>
      <w:pStyle w:val="Cabealho"/>
      <w:jc w:val="center"/>
    </w:pPr>
  </w:p>
  <w:p w14:paraId="56FE4553" w14:textId="77777777" w:rsidR="00695FD3" w:rsidRDefault="00695FD3">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3FCC"/>
    <w:rsid w:val="000101FB"/>
    <w:rsid w:val="00011E4D"/>
    <w:rsid w:val="0001503B"/>
    <w:rsid w:val="000212C8"/>
    <w:rsid w:val="00022463"/>
    <w:rsid w:val="000243AE"/>
    <w:rsid w:val="00026219"/>
    <w:rsid w:val="0002727A"/>
    <w:rsid w:val="00027DCC"/>
    <w:rsid w:val="000301C1"/>
    <w:rsid w:val="00030BCA"/>
    <w:rsid w:val="00033110"/>
    <w:rsid w:val="000354FA"/>
    <w:rsid w:val="00036A9B"/>
    <w:rsid w:val="00036C01"/>
    <w:rsid w:val="00043195"/>
    <w:rsid w:val="00044D2B"/>
    <w:rsid w:val="00046042"/>
    <w:rsid w:val="0004607F"/>
    <w:rsid w:val="0005069C"/>
    <w:rsid w:val="0005150F"/>
    <w:rsid w:val="00053CC3"/>
    <w:rsid w:val="0005433C"/>
    <w:rsid w:val="00055310"/>
    <w:rsid w:val="00056B89"/>
    <w:rsid w:val="00056C4A"/>
    <w:rsid w:val="00061CE6"/>
    <w:rsid w:val="000625FD"/>
    <w:rsid w:val="000647EF"/>
    <w:rsid w:val="00065196"/>
    <w:rsid w:val="000660DF"/>
    <w:rsid w:val="000737B5"/>
    <w:rsid w:val="00075141"/>
    <w:rsid w:val="00075441"/>
    <w:rsid w:val="00080E77"/>
    <w:rsid w:val="00082694"/>
    <w:rsid w:val="00083110"/>
    <w:rsid w:val="00086214"/>
    <w:rsid w:val="00087EA2"/>
    <w:rsid w:val="00090C08"/>
    <w:rsid w:val="00093B49"/>
    <w:rsid w:val="000959D6"/>
    <w:rsid w:val="000A03CF"/>
    <w:rsid w:val="000A1B70"/>
    <w:rsid w:val="000A289D"/>
    <w:rsid w:val="000A6376"/>
    <w:rsid w:val="000A744B"/>
    <w:rsid w:val="000A7783"/>
    <w:rsid w:val="000A7B47"/>
    <w:rsid w:val="000B1CFC"/>
    <w:rsid w:val="000B2D6E"/>
    <w:rsid w:val="000B3881"/>
    <w:rsid w:val="000B4E41"/>
    <w:rsid w:val="000B5A2E"/>
    <w:rsid w:val="000C0A0B"/>
    <w:rsid w:val="000C2BAD"/>
    <w:rsid w:val="000C66D0"/>
    <w:rsid w:val="000D2608"/>
    <w:rsid w:val="000D48F6"/>
    <w:rsid w:val="000D6BBF"/>
    <w:rsid w:val="000E0135"/>
    <w:rsid w:val="000E1DF0"/>
    <w:rsid w:val="000E4641"/>
    <w:rsid w:val="000E468B"/>
    <w:rsid w:val="000E5704"/>
    <w:rsid w:val="000E7E67"/>
    <w:rsid w:val="000F1970"/>
    <w:rsid w:val="000F1D5B"/>
    <w:rsid w:val="000F2C33"/>
    <w:rsid w:val="000F61FD"/>
    <w:rsid w:val="000F677B"/>
    <w:rsid w:val="00100817"/>
    <w:rsid w:val="001011F1"/>
    <w:rsid w:val="0010268E"/>
    <w:rsid w:val="00104786"/>
    <w:rsid w:val="0010478C"/>
    <w:rsid w:val="00107DA7"/>
    <w:rsid w:val="00117163"/>
    <w:rsid w:val="00121A5F"/>
    <w:rsid w:val="00123019"/>
    <w:rsid w:val="001236C8"/>
    <w:rsid w:val="0012524C"/>
    <w:rsid w:val="00125299"/>
    <w:rsid w:val="0012723E"/>
    <w:rsid w:val="001303DE"/>
    <w:rsid w:val="00131BA5"/>
    <w:rsid w:val="0013229D"/>
    <w:rsid w:val="00133366"/>
    <w:rsid w:val="00133F3E"/>
    <w:rsid w:val="00133FE0"/>
    <w:rsid w:val="00134C38"/>
    <w:rsid w:val="00136AF1"/>
    <w:rsid w:val="00137175"/>
    <w:rsid w:val="001429BF"/>
    <w:rsid w:val="00144466"/>
    <w:rsid w:val="0015141F"/>
    <w:rsid w:val="00154677"/>
    <w:rsid w:val="0015723B"/>
    <w:rsid w:val="001572D2"/>
    <w:rsid w:val="0016092F"/>
    <w:rsid w:val="00162034"/>
    <w:rsid w:val="00162AE1"/>
    <w:rsid w:val="00162C1B"/>
    <w:rsid w:val="0016385D"/>
    <w:rsid w:val="00166825"/>
    <w:rsid w:val="00170E57"/>
    <w:rsid w:val="00170F1C"/>
    <w:rsid w:val="001717BC"/>
    <w:rsid w:val="001718AA"/>
    <w:rsid w:val="001721A5"/>
    <w:rsid w:val="00174AB7"/>
    <w:rsid w:val="0017619A"/>
    <w:rsid w:val="001761D0"/>
    <w:rsid w:val="00176224"/>
    <w:rsid w:val="001777F5"/>
    <w:rsid w:val="001800DF"/>
    <w:rsid w:val="00180331"/>
    <w:rsid w:val="00180F8C"/>
    <w:rsid w:val="001815DE"/>
    <w:rsid w:val="00192468"/>
    <w:rsid w:val="0019340E"/>
    <w:rsid w:val="00195668"/>
    <w:rsid w:val="001965AD"/>
    <w:rsid w:val="00196BDA"/>
    <w:rsid w:val="00196EDB"/>
    <w:rsid w:val="00197362"/>
    <w:rsid w:val="001A0146"/>
    <w:rsid w:val="001A0E9C"/>
    <w:rsid w:val="001A350F"/>
    <w:rsid w:val="001A3602"/>
    <w:rsid w:val="001A56EF"/>
    <w:rsid w:val="001A65EC"/>
    <w:rsid w:val="001A68A3"/>
    <w:rsid w:val="001A6FC1"/>
    <w:rsid w:val="001A7F91"/>
    <w:rsid w:val="001B1473"/>
    <w:rsid w:val="001B1A50"/>
    <w:rsid w:val="001B28EA"/>
    <w:rsid w:val="001B3C73"/>
    <w:rsid w:val="001B5FEF"/>
    <w:rsid w:val="001C02D6"/>
    <w:rsid w:val="001C373A"/>
    <w:rsid w:val="001C5FA8"/>
    <w:rsid w:val="001C76EB"/>
    <w:rsid w:val="001D0066"/>
    <w:rsid w:val="001D0453"/>
    <w:rsid w:val="001D19A8"/>
    <w:rsid w:val="001D1ADF"/>
    <w:rsid w:val="001D29BE"/>
    <w:rsid w:val="001D3B3A"/>
    <w:rsid w:val="001D4395"/>
    <w:rsid w:val="001D439C"/>
    <w:rsid w:val="001D4886"/>
    <w:rsid w:val="001D4EA4"/>
    <w:rsid w:val="001E021C"/>
    <w:rsid w:val="001E4882"/>
    <w:rsid w:val="001E4CA2"/>
    <w:rsid w:val="001E51B6"/>
    <w:rsid w:val="001F091D"/>
    <w:rsid w:val="001F41CF"/>
    <w:rsid w:val="00204C8C"/>
    <w:rsid w:val="002059BA"/>
    <w:rsid w:val="00205C6D"/>
    <w:rsid w:val="00206A92"/>
    <w:rsid w:val="0021141C"/>
    <w:rsid w:val="00211EC0"/>
    <w:rsid w:val="002123FC"/>
    <w:rsid w:val="002132D6"/>
    <w:rsid w:val="0021436B"/>
    <w:rsid w:val="00217767"/>
    <w:rsid w:val="00217C9B"/>
    <w:rsid w:val="002216E4"/>
    <w:rsid w:val="00222B4E"/>
    <w:rsid w:val="002235D2"/>
    <w:rsid w:val="002247D6"/>
    <w:rsid w:val="0022512B"/>
    <w:rsid w:val="00225278"/>
    <w:rsid w:val="00225673"/>
    <w:rsid w:val="002263AC"/>
    <w:rsid w:val="00226F0F"/>
    <w:rsid w:val="002275AE"/>
    <w:rsid w:val="00230C9F"/>
    <w:rsid w:val="002311CE"/>
    <w:rsid w:val="00234B19"/>
    <w:rsid w:val="00235304"/>
    <w:rsid w:val="00236EFC"/>
    <w:rsid w:val="00237845"/>
    <w:rsid w:val="00237880"/>
    <w:rsid w:val="00241841"/>
    <w:rsid w:val="00242E99"/>
    <w:rsid w:val="00242F4A"/>
    <w:rsid w:val="00243217"/>
    <w:rsid w:val="002435AA"/>
    <w:rsid w:val="00245624"/>
    <w:rsid w:val="00250285"/>
    <w:rsid w:val="00251F12"/>
    <w:rsid w:val="00255C43"/>
    <w:rsid w:val="00256946"/>
    <w:rsid w:val="00260DCC"/>
    <w:rsid w:val="00263A8A"/>
    <w:rsid w:val="00263CBB"/>
    <w:rsid w:val="00270FF1"/>
    <w:rsid w:val="0027362B"/>
    <w:rsid w:val="00275EBC"/>
    <w:rsid w:val="00276652"/>
    <w:rsid w:val="002774A5"/>
    <w:rsid w:val="00277A73"/>
    <w:rsid w:val="00277EC9"/>
    <w:rsid w:val="00280901"/>
    <w:rsid w:val="00281254"/>
    <w:rsid w:val="002813E9"/>
    <w:rsid w:val="002822C1"/>
    <w:rsid w:val="002827C2"/>
    <w:rsid w:val="00284677"/>
    <w:rsid w:val="00284718"/>
    <w:rsid w:val="00293B44"/>
    <w:rsid w:val="00296357"/>
    <w:rsid w:val="0029672E"/>
    <w:rsid w:val="002A06AA"/>
    <w:rsid w:val="002A12A2"/>
    <w:rsid w:val="002A1F78"/>
    <w:rsid w:val="002A2088"/>
    <w:rsid w:val="002A297F"/>
    <w:rsid w:val="002A34AC"/>
    <w:rsid w:val="002A4454"/>
    <w:rsid w:val="002A47EB"/>
    <w:rsid w:val="002A5A25"/>
    <w:rsid w:val="002A5AD8"/>
    <w:rsid w:val="002A5F94"/>
    <w:rsid w:val="002A67A6"/>
    <w:rsid w:val="002B163B"/>
    <w:rsid w:val="002B3104"/>
    <w:rsid w:val="002B4C10"/>
    <w:rsid w:val="002B6153"/>
    <w:rsid w:val="002B615B"/>
    <w:rsid w:val="002B7519"/>
    <w:rsid w:val="002B76B5"/>
    <w:rsid w:val="002B7AD0"/>
    <w:rsid w:val="002C000B"/>
    <w:rsid w:val="002C072D"/>
    <w:rsid w:val="002C2C86"/>
    <w:rsid w:val="002C49F0"/>
    <w:rsid w:val="002C4FB4"/>
    <w:rsid w:val="002D0AB2"/>
    <w:rsid w:val="002D0FCC"/>
    <w:rsid w:val="002D189F"/>
    <w:rsid w:val="002D1FEF"/>
    <w:rsid w:val="002D42B8"/>
    <w:rsid w:val="002D471B"/>
    <w:rsid w:val="002D5645"/>
    <w:rsid w:val="002E1D91"/>
    <w:rsid w:val="002E249C"/>
    <w:rsid w:val="002E4AA2"/>
    <w:rsid w:val="002E5E09"/>
    <w:rsid w:val="002E7875"/>
    <w:rsid w:val="002F2491"/>
    <w:rsid w:val="002F3D03"/>
    <w:rsid w:val="002F3F61"/>
    <w:rsid w:val="002F4851"/>
    <w:rsid w:val="002F4902"/>
    <w:rsid w:val="00310880"/>
    <w:rsid w:val="00310CE7"/>
    <w:rsid w:val="00310DAB"/>
    <w:rsid w:val="0031145F"/>
    <w:rsid w:val="00313102"/>
    <w:rsid w:val="00313FE1"/>
    <w:rsid w:val="00314846"/>
    <w:rsid w:val="00314F58"/>
    <w:rsid w:val="0031553C"/>
    <w:rsid w:val="003158AC"/>
    <w:rsid w:val="003158B0"/>
    <w:rsid w:val="00316636"/>
    <w:rsid w:val="00316860"/>
    <w:rsid w:val="00320D55"/>
    <w:rsid w:val="00321C96"/>
    <w:rsid w:val="0032290D"/>
    <w:rsid w:val="00322B36"/>
    <w:rsid w:val="00323701"/>
    <w:rsid w:val="00326593"/>
    <w:rsid w:val="00327A82"/>
    <w:rsid w:val="00331207"/>
    <w:rsid w:val="00331874"/>
    <w:rsid w:val="00332256"/>
    <w:rsid w:val="00333B2D"/>
    <w:rsid w:val="00335B43"/>
    <w:rsid w:val="00337CAC"/>
    <w:rsid w:val="00340F5F"/>
    <w:rsid w:val="003410A4"/>
    <w:rsid w:val="00341123"/>
    <w:rsid w:val="00341B83"/>
    <w:rsid w:val="00343F6C"/>
    <w:rsid w:val="00356A93"/>
    <w:rsid w:val="0036312A"/>
    <w:rsid w:val="003639D5"/>
    <w:rsid w:val="00366E76"/>
    <w:rsid w:val="003704BE"/>
    <w:rsid w:val="00374F8A"/>
    <w:rsid w:val="00375AF7"/>
    <w:rsid w:val="00376FA7"/>
    <w:rsid w:val="00377C8B"/>
    <w:rsid w:val="003806E1"/>
    <w:rsid w:val="00381428"/>
    <w:rsid w:val="00383B17"/>
    <w:rsid w:val="00385921"/>
    <w:rsid w:val="003860A9"/>
    <w:rsid w:val="003876E3"/>
    <w:rsid w:val="003952BA"/>
    <w:rsid w:val="003A3F50"/>
    <w:rsid w:val="003A4199"/>
    <w:rsid w:val="003A5173"/>
    <w:rsid w:val="003A6A03"/>
    <w:rsid w:val="003A6E67"/>
    <w:rsid w:val="003B2B32"/>
    <w:rsid w:val="003B2FE8"/>
    <w:rsid w:val="003B3BF2"/>
    <w:rsid w:val="003B3EDA"/>
    <w:rsid w:val="003B5355"/>
    <w:rsid w:val="003C1AAA"/>
    <w:rsid w:val="003C2498"/>
    <w:rsid w:val="003C4DF4"/>
    <w:rsid w:val="003C61DE"/>
    <w:rsid w:val="003C789A"/>
    <w:rsid w:val="003D0C58"/>
    <w:rsid w:val="003D28FD"/>
    <w:rsid w:val="003D3E59"/>
    <w:rsid w:val="003E209E"/>
    <w:rsid w:val="003E54FC"/>
    <w:rsid w:val="003E7CCD"/>
    <w:rsid w:val="003F0E8A"/>
    <w:rsid w:val="003F1EB8"/>
    <w:rsid w:val="003F21DF"/>
    <w:rsid w:val="003F3B19"/>
    <w:rsid w:val="003F5D6D"/>
    <w:rsid w:val="004004EE"/>
    <w:rsid w:val="00400E05"/>
    <w:rsid w:val="00401267"/>
    <w:rsid w:val="00401C43"/>
    <w:rsid w:val="00401D07"/>
    <w:rsid w:val="00402806"/>
    <w:rsid w:val="00403C40"/>
    <w:rsid w:val="00403DBE"/>
    <w:rsid w:val="0040421F"/>
    <w:rsid w:val="004053A7"/>
    <w:rsid w:val="004108A3"/>
    <w:rsid w:val="00411546"/>
    <w:rsid w:val="0041175F"/>
    <w:rsid w:val="00412637"/>
    <w:rsid w:val="00413153"/>
    <w:rsid w:val="0041539E"/>
    <w:rsid w:val="0041677B"/>
    <w:rsid w:val="004175D8"/>
    <w:rsid w:val="0042064D"/>
    <w:rsid w:val="00421794"/>
    <w:rsid w:val="004217DE"/>
    <w:rsid w:val="004241EB"/>
    <w:rsid w:val="004252E5"/>
    <w:rsid w:val="00425B87"/>
    <w:rsid w:val="00434CC3"/>
    <w:rsid w:val="00437974"/>
    <w:rsid w:val="00440D5A"/>
    <w:rsid w:val="00441AB9"/>
    <w:rsid w:val="004426F7"/>
    <w:rsid w:val="00447AA9"/>
    <w:rsid w:val="004518AC"/>
    <w:rsid w:val="00451E55"/>
    <w:rsid w:val="00454232"/>
    <w:rsid w:val="00455B5F"/>
    <w:rsid w:val="004567E0"/>
    <w:rsid w:val="00457F52"/>
    <w:rsid w:val="004609BF"/>
    <w:rsid w:val="0046105C"/>
    <w:rsid w:val="00461299"/>
    <w:rsid w:val="00465C94"/>
    <w:rsid w:val="00471853"/>
    <w:rsid w:val="0047201C"/>
    <w:rsid w:val="00475185"/>
    <w:rsid w:val="0048163C"/>
    <w:rsid w:val="0048452E"/>
    <w:rsid w:val="00484800"/>
    <w:rsid w:val="00485922"/>
    <w:rsid w:val="004874D1"/>
    <w:rsid w:val="00490B94"/>
    <w:rsid w:val="0049206B"/>
    <w:rsid w:val="00493495"/>
    <w:rsid w:val="00493A67"/>
    <w:rsid w:val="00494239"/>
    <w:rsid w:val="00495D23"/>
    <w:rsid w:val="004962B3"/>
    <w:rsid w:val="00496C79"/>
    <w:rsid w:val="004A0E98"/>
    <w:rsid w:val="004A16E4"/>
    <w:rsid w:val="004A199B"/>
    <w:rsid w:val="004B006D"/>
    <w:rsid w:val="004B1DDE"/>
    <w:rsid w:val="004B251C"/>
    <w:rsid w:val="004B2D4C"/>
    <w:rsid w:val="004B61C3"/>
    <w:rsid w:val="004B675F"/>
    <w:rsid w:val="004C2645"/>
    <w:rsid w:val="004C3EEA"/>
    <w:rsid w:val="004C5104"/>
    <w:rsid w:val="004C605C"/>
    <w:rsid w:val="004C7A80"/>
    <w:rsid w:val="004D0DDE"/>
    <w:rsid w:val="004D16E5"/>
    <w:rsid w:val="004D1A8F"/>
    <w:rsid w:val="004D1F7E"/>
    <w:rsid w:val="004D292A"/>
    <w:rsid w:val="004D2BB1"/>
    <w:rsid w:val="004D48ED"/>
    <w:rsid w:val="004D4CAB"/>
    <w:rsid w:val="004E099B"/>
    <w:rsid w:val="004E1978"/>
    <w:rsid w:val="004E1CAE"/>
    <w:rsid w:val="004E357E"/>
    <w:rsid w:val="004E5446"/>
    <w:rsid w:val="004E63F9"/>
    <w:rsid w:val="004E651B"/>
    <w:rsid w:val="004E70BB"/>
    <w:rsid w:val="004E73D2"/>
    <w:rsid w:val="004F21CD"/>
    <w:rsid w:val="004F42D5"/>
    <w:rsid w:val="004F5476"/>
    <w:rsid w:val="004F5728"/>
    <w:rsid w:val="004F6F2E"/>
    <w:rsid w:val="00501D88"/>
    <w:rsid w:val="00504ADC"/>
    <w:rsid w:val="00504B99"/>
    <w:rsid w:val="005059D6"/>
    <w:rsid w:val="00507F7E"/>
    <w:rsid w:val="00510F45"/>
    <w:rsid w:val="0051217D"/>
    <w:rsid w:val="005147C5"/>
    <w:rsid w:val="00515312"/>
    <w:rsid w:val="00515B82"/>
    <w:rsid w:val="005167EC"/>
    <w:rsid w:val="005210EF"/>
    <w:rsid w:val="00523861"/>
    <w:rsid w:val="00524F18"/>
    <w:rsid w:val="00530740"/>
    <w:rsid w:val="0053334D"/>
    <w:rsid w:val="0053351C"/>
    <w:rsid w:val="00533B5A"/>
    <w:rsid w:val="00535C62"/>
    <w:rsid w:val="0054074D"/>
    <w:rsid w:val="005409BE"/>
    <w:rsid w:val="00540E52"/>
    <w:rsid w:val="0054214B"/>
    <w:rsid w:val="00543A2F"/>
    <w:rsid w:val="0054480E"/>
    <w:rsid w:val="005461E8"/>
    <w:rsid w:val="00546B49"/>
    <w:rsid w:val="00550CAA"/>
    <w:rsid w:val="005512EC"/>
    <w:rsid w:val="005533ED"/>
    <w:rsid w:val="005537E2"/>
    <w:rsid w:val="00554371"/>
    <w:rsid w:val="005565DE"/>
    <w:rsid w:val="00561BC1"/>
    <w:rsid w:val="005621FF"/>
    <w:rsid w:val="00562865"/>
    <w:rsid w:val="00563DAD"/>
    <w:rsid w:val="00572D2C"/>
    <w:rsid w:val="00573278"/>
    <w:rsid w:val="00583BE1"/>
    <w:rsid w:val="00584E04"/>
    <w:rsid w:val="00590E96"/>
    <w:rsid w:val="005915A5"/>
    <w:rsid w:val="005925DA"/>
    <w:rsid w:val="005942DF"/>
    <w:rsid w:val="0059533F"/>
    <w:rsid w:val="00595B6D"/>
    <w:rsid w:val="0059740B"/>
    <w:rsid w:val="005A28F6"/>
    <w:rsid w:val="005A2A18"/>
    <w:rsid w:val="005B2122"/>
    <w:rsid w:val="005B514E"/>
    <w:rsid w:val="005B5505"/>
    <w:rsid w:val="005C0957"/>
    <w:rsid w:val="005C249E"/>
    <w:rsid w:val="005C24AC"/>
    <w:rsid w:val="005C2F5D"/>
    <w:rsid w:val="005C4040"/>
    <w:rsid w:val="005C57C4"/>
    <w:rsid w:val="005C6050"/>
    <w:rsid w:val="005C69B1"/>
    <w:rsid w:val="005C7F6D"/>
    <w:rsid w:val="005D012F"/>
    <w:rsid w:val="005D111E"/>
    <w:rsid w:val="005D17DD"/>
    <w:rsid w:val="005D1893"/>
    <w:rsid w:val="005D37E1"/>
    <w:rsid w:val="005D4F67"/>
    <w:rsid w:val="005D5E6F"/>
    <w:rsid w:val="005D775F"/>
    <w:rsid w:val="005D7D87"/>
    <w:rsid w:val="005E3A9D"/>
    <w:rsid w:val="005E3BD6"/>
    <w:rsid w:val="005E3CE5"/>
    <w:rsid w:val="005E3FA0"/>
    <w:rsid w:val="005E4091"/>
    <w:rsid w:val="005F11FB"/>
    <w:rsid w:val="005F7A9D"/>
    <w:rsid w:val="00604713"/>
    <w:rsid w:val="006115D4"/>
    <w:rsid w:val="00612770"/>
    <w:rsid w:val="00612D30"/>
    <w:rsid w:val="006134F0"/>
    <w:rsid w:val="00617C29"/>
    <w:rsid w:val="00622121"/>
    <w:rsid w:val="00623E42"/>
    <w:rsid w:val="006243FA"/>
    <w:rsid w:val="006304E6"/>
    <w:rsid w:val="0063205C"/>
    <w:rsid w:val="006332C8"/>
    <w:rsid w:val="00641554"/>
    <w:rsid w:val="00641952"/>
    <w:rsid w:val="00642E99"/>
    <w:rsid w:val="00645D4D"/>
    <w:rsid w:val="0065258E"/>
    <w:rsid w:val="00653514"/>
    <w:rsid w:val="006540DA"/>
    <w:rsid w:val="00656226"/>
    <w:rsid w:val="00661DF9"/>
    <w:rsid w:val="006632E1"/>
    <w:rsid w:val="00664955"/>
    <w:rsid w:val="0066553A"/>
    <w:rsid w:val="00667C57"/>
    <w:rsid w:val="006703BC"/>
    <w:rsid w:val="006728AF"/>
    <w:rsid w:val="00673E91"/>
    <w:rsid w:val="006756E4"/>
    <w:rsid w:val="00677609"/>
    <w:rsid w:val="006802D0"/>
    <w:rsid w:val="00682731"/>
    <w:rsid w:val="00683EC0"/>
    <w:rsid w:val="00685445"/>
    <w:rsid w:val="006868EB"/>
    <w:rsid w:val="00694478"/>
    <w:rsid w:val="00695EFF"/>
    <w:rsid w:val="00695FD3"/>
    <w:rsid w:val="0069707A"/>
    <w:rsid w:val="00697889"/>
    <w:rsid w:val="006A0602"/>
    <w:rsid w:val="006A1176"/>
    <w:rsid w:val="006A189B"/>
    <w:rsid w:val="006A3590"/>
    <w:rsid w:val="006A4485"/>
    <w:rsid w:val="006A4C1F"/>
    <w:rsid w:val="006A5F55"/>
    <w:rsid w:val="006A774C"/>
    <w:rsid w:val="006A7E8C"/>
    <w:rsid w:val="006B54E6"/>
    <w:rsid w:val="006B6215"/>
    <w:rsid w:val="006B6254"/>
    <w:rsid w:val="006B6354"/>
    <w:rsid w:val="006B6747"/>
    <w:rsid w:val="006B69C0"/>
    <w:rsid w:val="006B7629"/>
    <w:rsid w:val="006B7D24"/>
    <w:rsid w:val="006C0F27"/>
    <w:rsid w:val="006C1C49"/>
    <w:rsid w:val="006C32DB"/>
    <w:rsid w:val="006C4D8D"/>
    <w:rsid w:val="006C66D7"/>
    <w:rsid w:val="006D0EE9"/>
    <w:rsid w:val="006D1198"/>
    <w:rsid w:val="006D4D34"/>
    <w:rsid w:val="006D58B3"/>
    <w:rsid w:val="006D6030"/>
    <w:rsid w:val="006D67D8"/>
    <w:rsid w:val="006E1433"/>
    <w:rsid w:val="006E6087"/>
    <w:rsid w:val="006E678D"/>
    <w:rsid w:val="006F137A"/>
    <w:rsid w:val="006F16C7"/>
    <w:rsid w:val="006F3B1E"/>
    <w:rsid w:val="006F42E1"/>
    <w:rsid w:val="006F6EB6"/>
    <w:rsid w:val="00701EC2"/>
    <w:rsid w:val="007025B4"/>
    <w:rsid w:val="0070373C"/>
    <w:rsid w:val="00704B6C"/>
    <w:rsid w:val="00705D92"/>
    <w:rsid w:val="0070781D"/>
    <w:rsid w:val="0071078D"/>
    <w:rsid w:val="0071555D"/>
    <w:rsid w:val="00717FCD"/>
    <w:rsid w:val="007212DF"/>
    <w:rsid w:val="00722F17"/>
    <w:rsid w:val="00723D5C"/>
    <w:rsid w:val="00725FC9"/>
    <w:rsid w:val="00730435"/>
    <w:rsid w:val="00731FF5"/>
    <w:rsid w:val="00732466"/>
    <w:rsid w:val="00733209"/>
    <w:rsid w:val="00735897"/>
    <w:rsid w:val="00743540"/>
    <w:rsid w:val="00744332"/>
    <w:rsid w:val="007477F8"/>
    <w:rsid w:val="007508C6"/>
    <w:rsid w:val="00750EB0"/>
    <w:rsid w:val="007510BD"/>
    <w:rsid w:val="00751D98"/>
    <w:rsid w:val="00752465"/>
    <w:rsid w:val="00752549"/>
    <w:rsid w:val="00752BC0"/>
    <w:rsid w:val="0075450B"/>
    <w:rsid w:val="007553E4"/>
    <w:rsid w:val="007559C2"/>
    <w:rsid w:val="0075644E"/>
    <w:rsid w:val="00756AA4"/>
    <w:rsid w:val="00756DB2"/>
    <w:rsid w:val="00757981"/>
    <w:rsid w:val="007606BA"/>
    <w:rsid w:val="00761FB3"/>
    <w:rsid w:val="0076222D"/>
    <w:rsid w:val="00765FE1"/>
    <w:rsid w:val="00771737"/>
    <w:rsid w:val="00773E71"/>
    <w:rsid w:val="00780A16"/>
    <w:rsid w:val="00782DC7"/>
    <w:rsid w:val="00783E77"/>
    <w:rsid w:val="00787C28"/>
    <w:rsid w:val="00787C60"/>
    <w:rsid w:val="00790702"/>
    <w:rsid w:val="00791DCC"/>
    <w:rsid w:val="00791FA9"/>
    <w:rsid w:val="00794012"/>
    <w:rsid w:val="0079539F"/>
    <w:rsid w:val="00797B8B"/>
    <w:rsid w:val="007A040B"/>
    <w:rsid w:val="007A07DB"/>
    <w:rsid w:val="007A3A8D"/>
    <w:rsid w:val="007A54E9"/>
    <w:rsid w:val="007A6105"/>
    <w:rsid w:val="007A7D42"/>
    <w:rsid w:val="007B0B6D"/>
    <w:rsid w:val="007B4848"/>
    <w:rsid w:val="007B56EB"/>
    <w:rsid w:val="007B5A5E"/>
    <w:rsid w:val="007B5B1A"/>
    <w:rsid w:val="007B7B1C"/>
    <w:rsid w:val="007C00BC"/>
    <w:rsid w:val="007C06DC"/>
    <w:rsid w:val="007C0F64"/>
    <w:rsid w:val="007C2EA3"/>
    <w:rsid w:val="007C3717"/>
    <w:rsid w:val="007C3EAC"/>
    <w:rsid w:val="007C5CEA"/>
    <w:rsid w:val="007C5EF0"/>
    <w:rsid w:val="007D22B7"/>
    <w:rsid w:val="007D2331"/>
    <w:rsid w:val="007D3488"/>
    <w:rsid w:val="007D34FE"/>
    <w:rsid w:val="007D54B0"/>
    <w:rsid w:val="007D6C1C"/>
    <w:rsid w:val="007D7776"/>
    <w:rsid w:val="007E3900"/>
    <w:rsid w:val="007E3FE5"/>
    <w:rsid w:val="007E401F"/>
    <w:rsid w:val="007E4BC3"/>
    <w:rsid w:val="007E599C"/>
    <w:rsid w:val="007E5D23"/>
    <w:rsid w:val="007E7133"/>
    <w:rsid w:val="007F4023"/>
    <w:rsid w:val="007F62EC"/>
    <w:rsid w:val="007F6C04"/>
    <w:rsid w:val="007F6F8F"/>
    <w:rsid w:val="00800809"/>
    <w:rsid w:val="00801BFB"/>
    <w:rsid w:val="00802A98"/>
    <w:rsid w:val="008039D1"/>
    <w:rsid w:val="00804533"/>
    <w:rsid w:val="00804E6C"/>
    <w:rsid w:val="008100FF"/>
    <w:rsid w:val="00811BEA"/>
    <w:rsid w:val="008146A1"/>
    <w:rsid w:val="008148CF"/>
    <w:rsid w:val="0081497F"/>
    <w:rsid w:val="00814E7E"/>
    <w:rsid w:val="008150E9"/>
    <w:rsid w:val="00820490"/>
    <w:rsid w:val="00821900"/>
    <w:rsid w:val="00821A55"/>
    <w:rsid w:val="00823229"/>
    <w:rsid w:val="0082588C"/>
    <w:rsid w:val="008270EA"/>
    <w:rsid w:val="008323FE"/>
    <w:rsid w:val="008404E7"/>
    <w:rsid w:val="008407AB"/>
    <w:rsid w:val="00840F2E"/>
    <w:rsid w:val="008411E1"/>
    <w:rsid w:val="00844444"/>
    <w:rsid w:val="00844E65"/>
    <w:rsid w:val="00845FC1"/>
    <w:rsid w:val="00846F56"/>
    <w:rsid w:val="00847683"/>
    <w:rsid w:val="00847A47"/>
    <w:rsid w:val="00850B43"/>
    <w:rsid w:val="00850F63"/>
    <w:rsid w:val="00851CE1"/>
    <w:rsid w:val="00853A6D"/>
    <w:rsid w:val="00853CE7"/>
    <w:rsid w:val="00855013"/>
    <w:rsid w:val="008558AA"/>
    <w:rsid w:val="00855ED5"/>
    <w:rsid w:val="0085762A"/>
    <w:rsid w:val="0085799B"/>
    <w:rsid w:val="00860178"/>
    <w:rsid w:val="00863442"/>
    <w:rsid w:val="008638B0"/>
    <w:rsid w:val="00864BE0"/>
    <w:rsid w:val="00866B38"/>
    <w:rsid w:val="0086720A"/>
    <w:rsid w:val="00871F1F"/>
    <w:rsid w:val="00872C00"/>
    <w:rsid w:val="008755CE"/>
    <w:rsid w:val="0087670B"/>
    <w:rsid w:val="00881E00"/>
    <w:rsid w:val="008839A3"/>
    <w:rsid w:val="008852DA"/>
    <w:rsid w:val="008869A8"/>
    <w:rsid w:val="00892179"/>
    <w:rsid w:val="00892A94"/>
    <w:rsid w:val="00892D8D"/>
    <w:rsid w:val="008936CA"/>
    <w:rsid w:val="008944FA"/>
    <w:rsid w:val="00894DD6"/>
    <w:rsid w:val="00895E46"/>
    <w:rsid w:val="00896032"/>
    <w:rsid w:val="00897A23"/>
    <w:rsid w:val="00897C52"/>
    <w:rsid w:val="008A1C17"/>
    <w:rsid w:val="008A521C"/>
    <w:rsid w:val="008A713C"/>
    <w:rsid w:val="008A78F3"/>
    <w:rsid w:val="008B25F8"/>
    <w:rsid w:val="008B2E50"/>
    <w:rsid w:val="008B3ECA"/>
    <w:rsid w:val="008B4ECD"/>
    <w:rsid w:val="008B6EA9"/>
    <w:rsid w:val="008B7181"/>
    <w:rsid w:val="008C3D03"/>
    <w:rsid w:val="008C4147"/>
    <w:rsid w:val="008C4A99"/>
    <w:rsid w:val="008C4F81"/>
    <w:rsid w:val="008C5936"/>
    <w:rsid w:val="008C6917"/>
    <w:rsid w:val="008C6AAF"/>
    <w:rsid w:val="008C70AF"/>
    <w:rsid w:val="008C7E6B"/>
    <w:rsid w:val="008D06FF"/>
    <w:rsid w:val="008D2EC8"/>
    <w:rsid w:val="008D3A95"/>
    <w:rsid w:val="008D3E9A"/>
    <w:rsid w:val="008D46D1"/>
    <w:rsid w:val="008D66AD"/>
    <w:rsid w:val="008E05F4"/>
    <w:rsid w:val="008E5CC3"/>
    <w:rsid w:val="008E7F98"/>
    <w:rsid w:val="008F2C21"/>
    <w:rsid w:val="008F2CCF"/>
    <w:rsid w:val="008F4F69"/>
    <w:rsid w:val="009016EC"/>
    <w:rsid w:val="00902221"/>
    <w:rsid w:val="009050BA"/>
    <w:rsid w:val="00907C63"/>
    <w:rsid w:val="00907E6C"/>
    <w:rsid w:val="00911AEC"/>
    <w:rsid w:val="00912553"/>
    <w:rsid w:val="009148AF"/>
    <w:rsid w:val="00914ED7"/>
    <w:rsid w:val="00914F1E"/>
    <w:rsid w:val="00914F54"/>
    <w:rsid w:val="00916334"/>
    <w:rsid w:val="00916539"/>
    <w:rsid w:val="00920698"/>
    <w:rsid w:val="0092188F"/>
    <w:rsid w:val="00922805"/>
    <w:rsid w:val="00922E24"/>
    <w:rsid w:val="009232B8"/>
    <w:rsid w:val="00923516"/>
    <w:rsid w:val="00923988"/>
    <w:rsid w:val="00924220"/>
    <w:rsid w:val="009252DD"/>
    <w:rsid w:val="00925389"/>
    <w:rsid w:val="0092563B"/>
    <w:rsid w:val="009264BA"/>
    <w:rsid w:val="009265E2"/>
    <w:rsid w:val="0092679B"/>
    <w:rsid w:val="00927186"/>
    <w:rsid w:val="00927750"/>
    <w:rsid w:val="00927FF0"/>
    <w:rsid w:val="009306E4"/>
    <w:rsid w:val="00935E66"/>
    <w:rsid w:val="009361BE"/>
    <w:rsid w:val="00936ABB"/>
    <w:rsid w:val="00936E13"/>
    <w:rsid w:val="0093741C"/>
    <w:rsid w:val="009377B3"/>
    <w:rsid w:val="00937DFC"/>
    <w:rsid w:val="00940D79"/>
    <w:rsid w:val="00941D85"/>
    <w:rsid w:val="00943252"/>
    <w:rsid w:val="009432E0"/>
    <w:rsid w:val="00945AC3"/>
    <w:rsid w:val="009467F8"/>
    <w:rsid w:val="00950802"/>
    <w:rsid w:val="00950A8B"/>
    <w:rsid w:val="009527D7"/>
    <w:rsid w:val="00953056"/>
    <w:rsid w:val="00954487"/>
    <w:rsid w:val="00955415"/>
    <w:rsid w:val="00955A51"/>
    <w:rsid w:val="00956428"/>
    <w:rsid w:val="00956923"/>
    <w:rsid w:val="00956A77"/>
    <w:rsid w:val="00960275"/>
    <w:rsid w:val="00960FC9"/>
    <w:rsid w:val="00961169"/>
    <w:rsid w:val="00965618"/>
    <w:rsid w:val="00965FF3"/>
    <w:rsid w:val="00966BEB"/>
    <w:rsid w:val="00966C65"/>
    <w:rsid w:val="00967416"/>
    <w:rsid w:val="00970610"/>
    <w:rsid w:val="009715CF"/>
    <w:rsid w:val="0097169C"/>
    <w:rsid w:val="0097186B"/>
    <w:rsid w:val="00975B33"/>
    <w:rsid w:val="009773DB"/>
    <w:rsid w:val="0097763F"/>
    <w:rsid w:val="00980E25"/>
    <w:rsid w:val="009822F1"/>
    <w:rsid w:val="009840B1"/>
    <w:rsid w:val="009867A1"/>
    <w:rsid w:val="00987DF7"/>
    <w:rsid w:val="00992101"/>
    <w:rsid w:val="009926B9"/>
    <w:rsid w:val="00992A92"/>
    <w:rsid w:val="00992D23"/>
    <w:rsid w:val="009933ED"/>
    <w:rsid w:val="0099376E"/>
    <w:rsid w:val="00994420"/>
    <w:rsid w:val="0099573A"/>
    <w:rsid w:val="00996787"/>
    <w:rsid w:val="00997D73"/>
    <w:rsid w:val="009A45BB"/>
    <w:rsid w:val="009A5D56"/>
    <w:rsid w:val="009B3618"/>
    <w:rsid w:val="009B3672"/>
    <w:rsid w:val="009B6B78"/>
    <w:rsid w:val="009B7D18"/>
    <w:rsid w:val="009C2201"/>
    <w:rsid w:val="009C3A07"/>
    <w:rsid w:val="009C3E21"/>
    <w:rsid w:val="009C603B"/>
    <w:rsid w:val="009C6C44"/>
    <w:rsid w:val="009C7325"/>
    <w:rsid w:val="009D1F21"/>
    <w:rsid w:val="009D2097"/>
    <w:rsid w:val="009D3056"/>
    <w:rsid w:val="009D3D9A"/>
    <w:rsid w:val="009D4352"/>
    <w:rsid w:val="009E02D9"/>
    <w:rsid w:val="009E0E6B"/>
    <w:rsid w:val="009E1DBA"/>
    <w:rsid w:val="009E22C4"/>
    <w:rsid w:val="009E3D45"/>
    <w:rsid w:val="009E4156"/>
    <w:rsid w:val="009E68DA"/>
    <w:rsid w:val="009F0126"/>
    <w:rsid w:val="009F0210"/>
    <w:rsid w:val="009F167A"/>
    <w:rsid w:val="009F38B4"/>
    <w:rsid w:val="009F4556"/>
    <w:rsid w:val="009F579F"/>
    <w:rsid w:val="009F5B45"/>
    <w:rsid w:val="009F6FA6"/>
    <w:rsid w:val="009F74BF"/>
    <w:rsid w:val="00A01F2C"/>
    <w:rsid w:val="00A04F5A"/>
    <w:rsid w:val="00A0546B"/>
    <w:rsid w:val="00A058BB"/>
    <w:rsid w:val="00A06EAB"/>
    <w:rsid w:val="00A12705"/>
    <w:rsid w:val="00A12BDF"/>
    <w:rsid w:val="00A12C1D"/>
    <w:rsid w:val="00A1391C"/>
    <w:rsid w:val="00A1392E"/>
    <w:rsid w:val="00A17916"/>
    <w:rsid w:val="00A21649"/>
    <w:rsid w:val="00A23B55"/>
    <w:rsid w:val="00A252B8"/>
    <w:rsid w:val="00A25EAD"/>
    <w:rsid w:val="00A26548"/>
    <w:rsid w:val="00A27E01"/>
    <w:rsid w:val="00A35ED9"/>
    <w:rsid w:val="00A4119C"/>
    <w:rsid w:val="00A414A8"/>
    <w:rsid w:val="00A41633"/>
    <w:rsid w:val="00A429AC"/>
    <w:rsid w:val="00A455C1"/>
    <w:rsid w:val="00A4596B"/>
    <w:rsid w:val="00A468A0"/>
    <w:rsid w:val="00A4750B"/>
    <w:rsid w:val="00A52509"/>
    <w:rsid w:val="00A550AD"/>
    <w:rsid w:val="00A561CC"/>
    <w:rsid w:val="00A57A7C"/>
    <w:rsid w:val="00A57C82"/>
    <w:rsid w:val="00A60C3D"/>
    <w:rsid w:val="00A61DF4"/>
    <w:rsid w:val="00A62494"/>
    <w:rsid w:val="00A65748"/>
    <w:rsid w:val="00A67B7D"/>
    <w:rsid w:val="00A712C4"/>
    <w:rsid w:val="00A72694"/>
    <w:rsid w:val="00A732E5"/>
    <w:rsid w:val="00A7464D"/>
    <w:rsid w:val="00A74BC2"/>
    <w:rsid w:val="00A756DB"/>
    <w:rsid w:val="00A774F7"/>
    <w:rsid w:val="00A77515"/>
    <w:rsid w:val="00A77E7A"/>
    <w:rsid w:val="00A80F7F"/>
    <w:rsid w:val="00A9000E"/>
    <w:rsid w:val="00A90737"/>
    <w:rsid w:val="00A9116E"/>
    <w:rsid w:val="00A91B0A"/>
    <w:rsid w:val="00A944C2"/>
    <w:rsid w:val="00AA2EE9"/>
    <w:rsid w:val="00AA402A"/>
    <w:rsid w:val="00AA7335"/>
    <w:rsid w:val="00AB009F"/>
    <w:rsid w:val="00AB01D1"/>
    <w:rsid w:val="00AB1A8A"/>
    <w:rsid w:val="00AB40C0"/>
    <w:rsid w:val="00AB5729"/>
    <w:rsid w:val="00AB6E6C"/>
    <w:rsid w:val="00AB767D"/>
    <w:rsid w:val="00AC0051"/>
    <w:rsid w:val="00AC00A2"/>
    <w:rsid w:val="00AC2974"/>
    <w:rsid w:val="00AC3357"/>
    <w:rsid w:val="00AC497A"/>
    <w:rsid w:val="00AC55B6"/>
    <w:rsid w:val="00AC5D44"/>
    <w:rsid w:val="00AC699C"/>
    <w:rsid w:val="00AC6D8D"/>
    <w:rsid w:val="00AD0F36"/>
    <w:rsid w:val="00AD1C5A"/>
    <w:rsid w:val="00AD21C4"/>
    <w:rsid w:val="00AD2647"/>
    <w:rsid w:val="00AD29E2"/>
    <w:rsid w:val="00AD3E03"/>
    <w:rsid w:val="00AD53A1"/>
    <w:rsid w:val="00AD7328"/>
    <w:rsid w:val="00AD7813"/>
    <w:rsid w:val="00AE120C"/>
    <w:rsid w:val="00AE2FBC"/>
    <w:rsid w:val="00AF2177"/>
    <w:rsid w:val="00AF2921"/>
    <w:rsid w:val="00AF2933"/>
    <w:rsid w:val="00AF32E9"/>
    <w:rsid w:val="00AF3C0B"/>
    <w:rsid w:val="00AF5052"/>
    <w:rsid w:val="00AF6624"/>
    <w:rsid w:val="00AF6B98"/>
    <w:rsid w:val="00AF79E6"/>
    <w:rsid w:val="00B0013A"/>
    <w:rsid w:val="00B0093A"/>
    <w:rsid w:val="00B032EB"/>
    <w:rsid w:val="00B03DB9"/>
    <w:rsid w:val="00B04218"/>
    <w:rsid w:val="00B05C03"/>
    <w:rsid w:val="00B07125"/>
    <w:rsid w:val="00B071F4"/>
    <w:rsid w:val="00B11AC8"/>
    <w:rsid w:val="00B11DAE"/>
    <w:rsid w:val="00B146CE"/>
    <w:rsid w:val="00B14B89"/>
    <w:rsid w:val="00B15200"/>
    <w:rsid w:val="00B15EBE"/>
    <w:rsid w:val="00B16083"/>
    <w:rsid w:val="00B1622A"/>
    <w:rsid w:val="00B16C31"/>
    <w:rsid w:val="00B17B21"/>
    <w:rsid w:val="00B3062B"/>
    <w:rsid w:val="00B31664"/>
    <w:rsid w:val="00B3215D"/>
    <w:rsid w:val="00B322B4"/>
    <w:rsid w:val="00B339DF"/>
    <w:rsid w:val="00B33B05"/>
    <w:rsid w:val="00B37972"/>
    <w:rsid w:val="00B37AF5"/>
    <w:rsid w:val="00B37E73"/>
    <w:rsid w:val="00B404A2"/>
    <w:rsid w:val="00B41D6C"/>
    <w:rsid w:val="00B429B4"/>
    <w:rsid w:val="00B4369D"/>
    <w:rsid w:val="00B4385B"/>
    <w:rsid w:val="00B45EB6"/>
    <w:rsid w:val="00B471E0"/>
    <w:rsid w:val="00B5046C"/>
    <w:rsid w:val="00B506EC"/>
    <w:rsid w:val="00B50FB9"/>
    <w:rsid w:val="00B526ED"/>
    <w:rsid w:val="00B52CB7"/>
    <w:rsid w:val="00B52E87"/>
    <w:rsid w:val="00B52F26"/>
    <w:rsid w:val="00B546A2"/>
    <w:rsid w:val="00B55EC3"/>
    <w:rsid w:val="00B56558"/>
    <w:rsid w:val="00B6022B"/>
    <w:rsid w:val="00B614BE"/>
    <w:rsid w:val="00B63004"/>
    <w:rsid w:val="00B63727"/>
    <w:rsid w:val="00B63FE4"/>
    <w:rsid w:val="00B6625E"/>
    <w:rsid w:val="00B6670B"/>
    <w:rsid w:val="00B67DCF"/>
    <w:rsid w:val="00B7055F"/>
    <w:rsid w:val="00B70DF4"/>
    <w:rsid w:val="00B70E0C"/>
    <w:rsid w:val="00B712DF"/>
    <w:rsid w:val="00B75F0B"/>
    <w:rsid w:val="00B800AD"/>
    <w:rsid w:val="00B803E2"/>
    <w:rsid w:val="00B83586"/>
    <w:rsid w:val="00B837F5"/>
    <w:rsid w:val="00B84267"/>
    <w:rsid w:val="00B85863"/>
    <w:rsid w:val="00B85F29"/>
    <w:rsid w:val="00B86F28"/>
    <w:rsid w:val="00B916CD"/>
    <w:rsid w:val="00B93A55"/>
    <w:rsid w:val="00B9429B"/>
    <w:rsid w:val="00B96D73"/>
    <w:rsid w:val="00B9796E"/>
    <w:rsid w:val="00BA0785"/>
    <w:rsid w:val="00BA0E17"/>
    <w:rsid w:val="00BA135A"/>
    <w:rsid w:val="00BA1D81"/>
    <w:rsid w:val="00BA3C80"/>
    <w:rsid w:val="00BA626F"/>
    <w:rsid w:val="00BA6E50"/>
    <w:rsid w:val="00BB0949"/>
    <w:rsid w:val="00BB1624"/>
    <w:rsid w:val="00BB6FA4"/>
    <w:rsid w:val="00BC0028"/>
    <w:rsid w:val="00BC0275"/>
    <w:rsid w:val="00BC2973"/>
    <w:rsid w:val="00BC2A70"/>
    <w:rsid w:val="00BC3724"/>
    <w:rsid w:val="00BC3844"/>
    <w:rsid w:val="00BC3D51"/>
    <w:rsid w:val="00BC4B8C"/>
    <w:rsid w:val="00BC6D50"/>
    <w:rsid w:val="00BC70B4"/>
    <w:rsid w:val="00BD260A"/>
    <w:rsid w:val="00BD407C"/>
    <w:rsid w:val="00BD63DB"/>
    <w:rsid w:val="00BD6799"/>
    <w:rsid w:val="00BD6934"/>
    <w:rsid w:val="00BE016A"/>
    <w:rsid w:val="00BE0E28"/>
    <w:rsid w:val="00BE2E0F"/>
    <w:rsid w:val="00BE33CE"/>
    <w:rsid w:val="00BE351F"/>
    <w:rsid w:val="00BE59F5"/>
    <w:rsid w:val="00BE5FD6"/>
    <w:rsid w:val="00BE70A6"/>
    <w:rsid w:val="00BE76CE"/>
    <w:rsid w:val="00BF061E"/>
    <w:rsid w:val="00BF0796"/>
    <w:rsid w:val="00BF15E4"/>
    <w:rsid w:val="00BF2C93"/>
    <w:rsid w:val="00BF5CC2"/>
    <w:rsid w:val="00BF6818"/>
    <w:rsid w:val="00BF7540"/>
    <w:rsid w:val="00C0017F"/>
    <w:rsid w:val="00C01146"/>
    <w:rsid w:val="00C03A0E"/>
    <w:rsid w:val="00C044AF"/>
    <w:rsid w:val="00C04E5A"/>
    <w:rsid w:val="00C06545"/>
    <w:rsid w:val="00C1000D"/>
    <w:rsid w:val="00C1183A"/>
    <w:rsid w:val="00C11D38"/>
    <w:rsid w:val="00C13563"/>
    <w:rsid w:val="00C174F3"/>
    <w:rsid w:val="00C17E8B"/>
    <w:rsid w:val="00C2005E"/>
    <w:rsid w:val="00C2205A"/>
    <w:rsid w:val="00C23B59"/>
    <w:rsid w:val="00C23FCC"/>
    <w:rsid w:val="00C24444"/>
    <w:rsid w:val="00C24991"/>
    <w:rsid w:val="00C32C36"/>
    <w:rsid w:val="00C33F12"/>
    <w:rsid w:val="00C34DAE"/>
    <w:rsid w:val="00C35749"/>
    <w:rsid w:val="00C3642F"/>
    <w:rsid w:val="00C374BF"/>
    <w:rsid w:val="00C41388"/>
    <w:rsid w:val="00C43CCE"/>
    <w:rsid w:val="00C4482E"/>
    <w:rsid w:val="00C456E1"/>
    <w:rsid w:val="00C46241"/>
    <w:rsid w:val="00C47004"/>
    <w:rsid w:val="00C472B2"/>
    <w:rsid w:val="00C5121A"/>
    <w:rsid w:val="00C52CA4"/>
    <w:rsid w:val="00C542C8"/>
    <w:rsid w:val="00C54C81"/>
    <w:rsid w:val="00C56910"/>
    <w:rsid w:val="00C56F70"/>
    <w:rsid w:val="00C604C8"/>
    <w:rsid w:val="00C624EC"/>
    <w:rsid w:val="00C6441F"/>
    <w:rsid w:val="00C66CCC"/>
    <w:rsid w:val="00C72234"/>
    <w:rsid w:val="00C7315E"/>
    <w:rsid w:val="00C739B7"/>
    <w:rsid w:val="00C7456A"/>
    <w:rsid w:val="00C75A24"/>
    <w:rsid w:val="00C75B71"/>
    <w:rsid w:val="00C76EB1"/>
    <w:rsid w:val="00C82E3E"/>
    <w:rsid w:val="00C87F92"/>
    <w:rsid w:val="00C92458"/>
    <w:rsid w:val="00C92794"/>
    <w:rsid w:val="00C92DB9"/>
    <w:rsid w:val="00C935F6"/>
    <w:rsid w:val="00C94289"/>
    <w:rsid w:val="00C96476"/>
    <w:rsid w:val="00CA089A"/>
    <w:rsid w:val="00CA1D1B"/>
    <w:rsid w:val="00CA62E6"/>
    <w:rsid w:val="00CA6B47"/>
    <w:rsid w:val="00CB0557"/>
    <w:rsid w:val="00CB1A23"/>
    <w:rsid w:val="00CB215A"/>
    <w:rsid w:val="00CC01F4"/>
    <w:rsid w:val="00CC0414"/>
    <w:rsid w:val="00CC2471"/>
    <w:rsid w:val="00CC365D"/>
    <w:rsid w:val="00CC52C3"/>
    <w:rsid w:val="00CC585B"/>
    <w:rsid w:val="00CC5920"/>
    <w:rsid w:val="00CC5DAD"/>
    <w:rsid w:val="00CD23C4"/>
    <w:rsid w:val="00CD28AE"/>
    <w:rsid w:val="00CD310F"/>
    <w:rsid w:val="00CD4EC4"/>
    <w:rsid w:val="00CD718F"/>
    <w:rsid w:val="00CD7E6F"/>
    <w:rsid w:val="00CE06B2"/>
    <w:rsid w:val="00CE35BC"/>
    <w:rsid w:val="00CE43D9"/>
    <w:rsid w:val="00CE5A4A"/>
    <w:rsid w:val="00CF0A2B"/>
    <w:rsid w:val="00CF513C"/>
    <w:rsid w:val="00CF5D7D"/>
    <w:rsid w:val="00CF7044"/>
    <w:rsid w:val="00D02EA9"/>
    <w:rsid w:val="00D07D1E"/>
    <w:rsid w:val="00D10677"/>
    <w:rsid w:val="00D14BE2"/>
    <w:rsid w:val="00D15425"/>
    <w:rsid w:val="00D16F20"/>
    <w:rsid w:val="00D202D8"/>
    <w:rsid w:val="00D22309"/>
    <w:rsid w:val="00D2250E"/>
    <w:rsid w:val="00D22999"/>
    <w:rsid w:val="00D231D2"/>
    <w:rsid w:val="00D25830"/>
    <w:rsid w:val="00D30C28"/>
    <w:rsid w:val="00D30D2D"/>
    <w:rsid w:val="00D32F98"/>
    <w:rsid w:val="00D33BCE"/>
    <w:rsid w:val="00D35B0B"/>
    <w:rsid w:val="00D370CE"/>
    <w:rsid w:val="00D374A2"/>
    <w:rsid w:val="00D3799B"/>
    <w:rsid w:val="00D37C8F"/>
    <w:rsid w:val="00D37F6B"/>
    <w:rsid w:val="00D40518"/>
    <w:rsid w:val="00D422BA"/>
    <w:rsid w:val="00D44034"/>
    <w:rsid w:val="00D44A45"/>
    <w:rsid w:val="00D5180F"/>
    <w:rsid w:val="00D524B2"/>
    <w:rsid w:val="00D538A7"/>
    <w:rsid w:val="00D56581"/>
    <w:rsid w:val="00D60F41"/>
    <w:rsid w:val="00D61CAB"/>
    <w:rsid w:val="00D61DF6"/>
    <w:rsid w:val="00D63876"/>
    <w:rsid w:val="00D639BE"/>
    <w:rsid w:val="00D65BDF"/>
    <w:rsid w:val="00D7050F"/>
    <w:rsid w:val="00D7253D"/>
    <w:rsid w:val="00D72A57"/>
    <w:rsid w:val="00D73FF4"/>
    <w:rsid w:val="00D74D7F"/>
    <w:rsid w:val="00D75B63"/>
    <w:rsid w:val="00D8482B"/>
    <w:rsid w:val="00D8681A"/>
    <w:rsid w:val="00D92003"/>
    <w:rsid w:val="00D92FC4"/>
    <w:rsid w:val="00D93A4A"/>
    <w:rsid w:val="00D94333"/>
    <w:rsid w:val="00D94392"/>
    <w:rsid w:val="00D96470"/>
    <w:rsid w:val="00DA178C"/>
    <w:rsid w:val="00DA2E80"/>
    <w:rsid w:val="00DA30A2"/>
    <w:rsid w:val="00DA392B"/>
    <w:rsid w:val="00DA453F"/>
    <w:rsid w:val="00DA4C05"/>
    <w:rsid w:val="00DA4DAA"/>
    <w:rsid w:val="00DA5E64"/>
    <w:rsid w:val="00DA65A5"/>
    <w:rsid w:val="00DA6B4C"/>
    <w:rsid w:val="00DB048C"/>
    <w:rsid w:val="00DB06C3"/>
    <w:rsid w:val="00DB10F3"/>
    <w:rsid w:val="00DB11D6"/>
    <w:rsid w:val="00DB2070"/>
    <w:rsid w:val="00DB22E7"/>
    <w:rsid w:val="00DB5911"/>
    <w:rsid w:val="00DB5AF9"/>
    <w:rsid w:val="00DB6D35"/>
    <w:rsid w:val="00DC1C2A"/>
    <w:rsid w:val="00DC369C"/>
    <w:rsid w:val="00DC462F"/>
    <w:rsid w:val="00DD003D"/>
    <w:rsid w:val="00DD1EDC"/>
    <w:rsid w:val="00DD2992"/>
    <w:rsid w:val="00DD2D09"/>
    <w:rsid w:val="00DD35CA"/>
    <w:rsid w:val="00DD3DD9"/>
    <w:rsid w:val="00DD4AB1"/>
    <w:rsid w:val="00DD4CCD"/>
    <w:rsid w:val="00DD5E36"/>
    <w:rsid w:val="00DD6E84"/>
    <w:rsid w:val="00DD76AC"/>
    <w:rsid w:val="00DE1BDC"/>
    <w:rsid w:val="00DE27F2"/>
    <w:rsid w:val="00DE3A9B"/>
    <w:rsid w:val="00DE4D74"/>
    <w:rsid w:val="00DE5A4E"/>
    <w:rsid w:val="00DE5E99"/>
    <w:rsid w:val="00DE7BB6"/>
    <w:rsid w:val="00DF0451"/>
    <w:rsid w:val="00DF1946"/>
    <w:rsid w:val="00DF3880"/>
    <w:rsid w:val="00DF7596"/>
    <w:rsid w:val="00E01875"/>
    <w:rsid w:val="00E0293E"/>
    <w:rsid w:val="00E0385B"/>
    <w:rsid w:val="00E03C7C"/>
    <w:rsid w:val="00E043F9"/>
    <w:rsid w:val="00E0495E"/>
    <w:rsid w:val="00E05A57"/>
    <w:rsid w:val="00E06A9E"/>
    <w:rsid w:val="00E06E19"/>
    <w:rsid w:val="00E12F38"/>
    <w:rsid w:val="00E132D2"/>
    <w:rsid w:val="00E163B7"/>
    <w:rsid w:val="00E21054"/>
    <w:rsid w:val="00E21584"/>
    <w:rsid w:val="00E25224"/>
    <w:rsid w:val="00E258A9"/>
    <w:rsid w:val="00E25A08"/>
    <w:rsid w:val="00E25B68"/>
    <w:rsid w:val="00E25EC0"/>
    <w:rsid w:val="00E2726A"/>
    <w:rsid w:val="00E27614"/>
    <w:rsid w:val="00E31190"/>
    <w:rsid w:val="00E319D9"/>
    <w:rsid w:val="00E3630E"/>
    <w:rsid w:val="00E3716D"/>
    <w:rsid w:val="00E3727B"/>
    <w:rsid w:val="00E3756B"/>
    <w:rsid w:val="00E41B43"/>
    <w:rsid w:val="00E41BAE"/>
    <w:rsid w:val="00E43CFE"/>
    <w:rsid w:val="00E447F7"/>
    <w:rsid w:val="00E456A7"/>
    <w:rsid w:val="00E46301"/>
    <w:rsid w:val="00E50039"/>
    <w:rsid w:val="00E5013B"/>
    <w:rsid w:val="00E50D9D"/>
    <w:rsid w:val="00E526E4"/>
    <w:rsid w:val="00E52FFE"/>
    <w:rsid w:val="00E5493B"/>
    <w:rsid w:val="00E557DA"/>
    <w:rsid w:val="00E56ADE"/>
    <w:rsid w:val="00E56E1B"/>
    <w:rsid w:val="00E61911"/>
    <w:rsid w:val="00E61943"/>
    <w:rsid w:val="00E6265E"/>
    <w:rsid w:val="00E62F77"/>
    <w:rsid w:val="00E67719"/>
    <w:rsid w:val="00E727F8"/>
    <w:rsid w:val="00E72F8F"/>
    <w:rsid w:val="00E73184"/>
    <w:rsid w:val="00E74C4A"/>
    <w:rsid w:val="00E75711"/>
    <w:rsid w:val="00E77B6B"/>
    <w:rsid w:val="00E83BD3"/>
    <w:rsid w:val="00E83C91"/>
    <w:rsid w:val="00E840EA"/>
    <w:rsid w:val="00E846C5"/>
    <w:rsid w:val="00E84B71"/>
    <w:rsid w:val="00E84F00"/>
    <w:rsid w:val="00E8790D"/>
    <w:rsid w:val="00E879E7"/>
    <w:rsid w:val="00E87BE6"/>
    <w:rsid w:val="00E904B5"/>
    <w:rsid w:val="00E912AC"/>
    <w:rsid w:val="00E91A90"/>
    <w:rsid w:val="00E92876"/>
    <w:rsid w:val="00E95617"/>
    <w:rsid w:val="00E97100"/>
    <w:rsid w:val="00E975B3"/>
    <w:rsid w:val="00EA2FA6"/>
    <w:rsid w:val="00EA3315"/>
    <w:rsid w:val="00EA386B"/>
    <w:rsid w:val="00EA6616"/>
    <w:rsid w:val="00EB00A2"/>
    <w:rsid w:val="00EB09C6"/>
    <w:rsid w:val="00EB3445"/>
    <w:rsid w:val="00EB5F25"/>
    <w:rsid w:val="00EB7143"/>
    <w:rsid w:val="00EB7A56"/>
    <w:rsid w:val="00EB7DB8"/>
    <w:rsid w:val="00EC0029"/>
    <w:rsid w:val="00EC146F"/>
    <w:rsid w:val="00EC18F1"/>
    <w:rsid w:val="00EC292A"/>
    <w:rsid w:val="00EC62E3"/>
    <w:rsid w:val="00EC7C0B"/>
    <w:rsid w:val="00ED228A"/>
    <w:rsid w:val="00ED544C"/>
    <w:rsid w:val="00ED66D9"/>
    <w:rsid w:val="00ED6FD4"/>
    <w:rsid w:val="00EE0EB0"/>
    <w:rsid w:val="00EE2660"/>
    <w:rsid w:val="00EE3E46"/>
    <w:rsid w:val="00EE6988"/>
    <w:rsid w:val="00EF0A25"/>
    <w:rsid w:val="00EF4BB3"/>
    <w:rsid w:val="00EF7774"/>
    <w:rsid w:val="00EF7A2B"/>
    <w:rsid w:val="00F01268"/>
    <w:rsid w:val="00F057DA"/>
    <w:rsid w:val="00F059C5"/>
    <w:rsid w:val="00F061B5"/>
    <w:rsid w:val="00F13F27"/>
    <w:rsid w:val="00F1446E"/>
    <w:rsid w:val="00F1463D"/>
    <w:rsid w:val="00F15106"/>
    <w:rsid w:val="00F15129"/>
    <w:rsid w:val="00F154C0"/>
    <w:rsid w:val="00F1632B"/>
    <w:rsid w:val="00F16F32"/>
    <w:rsid w:val="00F172C0"/>
    <w:rsid w:val="00F20B3A"/>
    <w:rsid w:val="00F222D7"/>
    <w:rsid w:val="00F22D23"/>
    <w:rsid w:val="00F2358C"/>
    <w:rsid w:val="00F23C53"/>
    <w:rsid w:val="00F242DA"/>
    <w:rsid w:val="00F24D3F"/>
    <w:rsid w:val="00F250ED"/>
    <w:rsid w:val="00F25FAD"/>
    <w:rsid w:val="00F26530"/>
    <w:rsid w:val="00F26C20"/>
    <w:rsid w:val="00F358BC"/>
    <w:rsid w:val="00F37B5D"/>
    <w:rsid w:val="00F43DE9"/>
    <w:rsid w:val="00F460C6"/>
    <w:rsid w:val="00F47723"/>
    <w:rsid w:val="00F507E9"/>
    <w:rsid w:val="00F51D00"/>
    <w:rsid w:val="00F53B1A"/>
    <w:rsid w:val="00F54650"/>
    <w:rsid w:val="00F574D6"/>
    <w:rsid w:val="00F62675"/>
    <w:rsid w:val="00F66C15"/>
    <w:rsid w:val="00F67351"/>
    <w:rsid w:val="00F67B78"/>
    <w:rsid w:val="00F70849"/>
    <w:rsid w:val="00F70B52"/>
    <w:rsid w:val="00F71771"/>
    <w:rsid w:val="00F7303D"/>
    <w:rsid w:val="00F7798B"/>
    <w:rsid w:val="00F805A2"/>
    <w:rsid w:val="00F80921"/>
    <w:rsid w:val="00F812F3"/>
    <w:rsid w:val="00F81850"/>
    <w:rsid w:val="00F81A0B"/>
    <w:rsid w:val="00F827D7"/>
    <w:rsid w:val="00F831AF"/>
    <w:rsid w:val="00F845CF"/>
    <w:rsid w:val="00F84D97"/>
    <w:rsid w:val="00F84F35"/>
    <w:rsid w:val="00F85F39"/>
    <w:rsid w:val="00F87CAF"/>
    <w:rsid w:val="00F91578"/>
    <w:rsid w:val="00F92A56"/>
    <w:rsid w:val="00F93096"/>
    <w:rsid w:val="00F947F6"/>
    <w:rsid w:val="00FA0873"/>
    <w:rsid w:val="00FA195F"/>
    <w:rsid w:val="00FA3CCA"/>
    <w:rsid w:val="00FA5D5C"/>
    <w:rsid w:val="00FA7891"/>
    <w:rsid w:val="00FB0335"/>
    <w:rsid w:val="00FB10F5"/>
    <w:rsid w:val="00FB11B0"/>
    <w:rsid w:val="00FB30DE"/>
    <w:rsid w:val="00FB4C60"/>
    <w:rsid w:val="00FB778C"/>
    <w:rsid w:val="00FC03B5"/>
    <w:rsid w:val="00FC4F7E"/>
    <w:rsid w:val="00FD0EC8"/>
    <w:rsid w:val="00FD3190"/>
    <w:rsid w:val="00FD3293"/>
    <w:rsid w:val="00FD3A69"/>
    <w:rsid w:val="00FD3D9B"/>
    <w:rsid w:val="00FD79F6"/>
    <w:rsid w:val="00FE115C"/>
    <w:rsid w:val="00FE2EC9"/>
    <w:rsid w:val="00FE5C5D"/>
    <w:rsid w:val="00FE63BF"/>
    <w:rsid w:val="00FE759F"/>
    <w:rsid w:val="00FF2309"/>
    <w:rsid w:val="00FF3555"/>
    <w:rsid w:val="00FF7B6E"/>
    <w:rsid w:val="01313802"/>
    <w:rsid w:val="01D9139A"/>
    <w:rsid w:val="02CDE11B"/>
    <w:rsid w:val="06AC84BD"/>
    <w:rsid w:val="06F1D01A"/>
    <w:rsid w:val="077EFA88"/>
    <w:rsid w:val="089B5A47"/>
    <w:rsid w:val="0BCCB5F3"/>
    <w:rsid w:val="0BEF875E"/>
    <w:rsid w:val="0C5BEC29"/>
    <w:rsid w:val="0CC390AA"/>
    <w:rsid w:val="0CE28008"/>
    <w:rsid w:val="0D80FB5F"/>
    <w:rsid w:val="0E188148"/>
    <w:rsid w:val="0E7455E2"/>
    <w:rsid w:val="0E7F4194"/>
    <w:rsid w:val="0F6DE9EB"/>
    <w:rsid w:val="101CD560"/>
    <w:rsid w:val="1297EBB4"/>
    <w:rsid w:val="13B1A6B2"/>
    <w:rsid w:val="13D8D45A"/>
    <w:rsid w:val="14E49385"/>
    <w:rsid w:val="1531A705"/>
    <w:rsid w:val="1622E7A5"/>
    <w:rsid w:val="170855C0"/>
    <w:rsid w:val="1A21E550"/>
    <w:rsid w:val="1ABF99F5"/>
    <w:rsid w:val="1C93F437"/>
    <w:rsid w:val="1D5C89AD"/>
    <w:rsid w:val="20652A17"/>
    <w:rsid w:val="222FFAD0"/>
    <w:rsid w:val="23C5FF1D"/>
    <w:rsid w:val="26289F87"/>
    <w:rsid w:val="26ACED86"/>
    <w:rsid w:val="26AF653C"/>
    <w:rsid w:val="27BFD05E"/>
    <w:rsid w:val="2C7EB8AE"/>
    <w:rsid w:val="2C931342"/>
    <w:rsid w:val="2CE3A4FF"/>
    <w:rsid w:val="31E6F126"/>
    <w:rsid w:val="31ED4A1A"/>
    <w:rsid w:val="32A212D7"/>
    <w:rsid w:val="3349EE6F"/>
    <w:rsid w:val="34257A8C"/>
    <w:rsid w:val="353A9E3F"/>
    <w:rsid w:val="3851A78F"/>
    <w:rsid w:val="3C98F854"/>
    <w:rsid w:val="3E52F0B1"/>
    <w:rsid w:val="4202D440"/>
    <w:rsid w:val="4274F5E1"/>
    <w:rsid w:val="42FDD76A"/>
    <w:rsid w:val="4346E9DC"/>
    <w:rsid w:val="43CF6635"/>
    <w:rsid w:val="44379C23"/>
    <w:rsid w:val="48537D1E"/>
    <w:rsid w:val="4A30E60F"/>
    <w:rsid w:val="4A458FD2"/>
    <w:rsid w:val="4A6BC142"/>
    <w:rsid w:val="4A839B68"/>
    <w:rsid w:val="4C2E5227"/>
    <w:rsid w:val="4C3054FD"/>
    <w:rsid w:val="4CC652B3"/>
    <w:rsid w:val="4ED80EEE"/>
    <w:rsid w:val="4F4C3899"/>
    <w:rsid w:val="517C960D"/>
    <w:rsid w:val="52A7AB45"/>
    <w:rsid w:val="52C63B0F"/>
    <w:rsid w:val="5403DCE6"/>
    <w:rsid w:val="5781D55D"/>
    <w:rsid w:val="5D56B875"/>
    <w:rsid w:val="61D0933B"/>
    <w:rsid w:val="623649A9"/>
    <w:rsid w:val="62458C42"/>
    <w:rsid w:val="63AD0913"/>
    <w:rsid w:val="65C4E57F"/>
    <w:rsid w:val="65C9145F"/>
    <w:rsid w:val="667D9D39"/>
    <w:rsid w:val="66FDD232"/>
    <w:rsid w:val="676B0372"/>
    <w:rsid w:val="67781064"/>
    <w:rsid w:val="67B422F1"/>
    <w:rsid w:val="67C595EE"/>
    <w:rsid w:val="68B10A7A"/>
    <w:rsid w:val="6A27609A"/>
    <w:rsid w:val="6B4DE6C1"/>
    <w:rsid w:val="6B99311F"/>
    <w:rsid w:val="6C79B0C4"/>
    <w:rsid w:val="6E175C50"/>
    <w:rsid w:val="718471A1"/>
    <w:rsid w:val="72959B39"/>
    <w:rsid w:val="73EC29AA"/>
    <w:rsid w:val="7568ED9A"/>
    <w:rsid w:val="77A271C0"/>
    <w:rsid w:val="797C7A7A"/>
    <w:rsid w:val="7A9C11A0"/>
    <w:rsid w:val="7FE4314F"/>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4CEF1"/>
  <w15:docId w15:val="{E9C2FBC0-0658-3D45-B371-C587DE20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styleId="Hyperlink">
    <w:name w:val="Hyperlink"/>
    <w:basedOn w:val="Fontepargpadro"/>
    <w:uiPriority w:val="99"/>
    <w:unhideWhenUsed/>
    <w:rPr>
      <w:color w:val="0563C1" w:themeColor="hyperlink"/>
      <w:u w:val="single"/>
    </w:rPr>
  </w:style>
  <w:style w:type="table" w:styleId="Tabelacomgrade">
    <w:name w:val="Table Grid"/>
    <w:basedOn w:val="Tabelanormal"/>
    <w:uiPriority w:val="59"/>
    <w:rsid w:val="00BE70A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lang w:eastAsia="en-US"/>
    </w:rPr>
  </w:style>
  <w:style w:type="character" w:styleId="Refdecomentrio">
    <w:name w:val="annotation reference"/>
    <w:basedOn w:val="Fontepargpadro"/>
    <w:uiPriority w:val="99"/>
    <w:semiHidden/>
    <w:unhideWhenUsed/>
    <w:rPr>
      <w:sz w:val="16"/>
      <w:szCs w:val="16"/>
    </w:rPr>
  </w:style>
  <w:style w:type="paragraph" w:styleId="Assuntodocomentrio">
    <w:name w:val="annotation subject"/>
    <w:basedOn w:val="Textodecomentrio"/>
    <w:next w:val="Textodecomentrio"/>
    <w:link w:val="AssuntodocomentrioChar"/>
    <w:uiPriority w:val="99"/>
    <w:semiHidden/>
    <w:unhideWhenUsed/>
    <w:rsid w:val="00BE76CE"/>
    <w:rPr>
      <w:b/>
      <w:bCs/>
    </w:rPr>
  </w:style>
  <w:style w:type="character" w:customStyle="1" w:styleId="AssuntodocomentrioChar">
    <w:name w:val="Assunto do comentário Char"/>
    <w:basedOn w:val="TextodecomentrioChar"/>
    <w:link w:val="Assuntodocomentrio"/>
    <w:uiPriority w:val="99"/>
    <w:semiHidden/>
    <w:rsid w:val="00BE76CE"/>
    <w:rPr>
      <w:b/>
      <w:bCs/>
      <w:lang w:eastAsia="en-US"/>
    </w:rPr>
  </w:style>
  <w:style w:type="character" w:styleId="TextodoEspaoReservado">
    <w:name w:val="Placeholder Text"/>
    <w:basedOn w:val="Fontepargpadro"/>
    <w:uiPriority w:val="99"/>
    <w:semiHidden/>
    <w:rsid w:val="00F23C53"/>
    <w:rPr>
      <w:color w:val="808080"/>
    </w:rPr>
  </w:style>
  <w:style w:type="paragraph" w:styleId="Textodenotaderodap">
    <w:name w:val="footnote text"/>
    <w:basedOn w:val="Normal"/>
    <w:link w:val="TextodenotaderodapChar"/>
    <w:uiPriority w:val="99"/>
    <w:semiHidden/>
    <w:unhideWhenUsed/>
    <w:rsid w:val="008404E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8404E7"/>
    <w:rPr>
      <w:lang w:eastAsia="en-US"/>
    </w:rPr>
  </w:style>
  <w:style w:type="character" w:styleId="Refdenotaderodap">
    <w:name w:val="footnote reference"/>
    <w:basedOn w:val="Fontepargpadro"/>
    <w:uiPriority w:val="99"/>
    <w:semiHidden/>
    <w:unhideWhenUsed/>
    <w:rsid w:val="008404E7"/>
    <w:rPr>
      <w:vertAlign w:val="superscript"/>
    </w:rPr>
  </w:style>
  <w:style w:type="character" w:styleId="MenoPendente">
    <w:name w:val="Unresolved Mention"/>
    <w:basedOn w:val="Fontepargpadro"/>
    <w:uiPriority w:val="99"/>
    <w:semiHidden/>
    <w:unhideWhenUsed/>
    <w:rsid w:val="00853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189959">
      <w:bodyDiv w:val="1"/>
      <w:marLeft w:val="0"/>
      <w:marRight w:val="0"/>
      <w:marTop w:val="0"/>
      <w:marBottom w:val="0"/>
      <w:divBdr>
        <w:top w:val="none" w:sz="0" w:space="0" w:color="auto"/>
        <w:left w:val="none" w:sz="0" w:space="0" w:color="auto"/>
        <w:bottom w:val="none" w:sz="0" w:space="0" w:color="auto"/>
        <w:right w:val="none" w:sz="0" w:space="0" w:color="auto"/>
      </w:divBdr>
    </w:div>
    <w:div w:id="1231497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tabnet.datasus.gov.br/cgi/deftohtm.exe?ibge/cnv/popce.de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www.atlasbrasil.org.br/consulta/planilha" TargetMode="Externa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hyperlink" Target="https://sidra.ibge.gov.br/Tabela/20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660a8154aac86fbb/Artigos%20para%20publicar/SEDRES%202022/Livro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660a8154aac86fbb/Artigos%20para%20publicar/SEDRES%202022/SEDRES%20-%20Proje&#231;&#227;o%20Rela&#231;&#227;o%20de%20Coort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660a8154aac86fbb/Artigos%20para%20publicar/SEDRES%202022/SEDRES%20-%20Proje&#231;&#227;o%20Rela&#231;&#227;o%20de%20Coort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660a8154aac86fbb/Artigos%20para%20publicar/SEDRES%202022/SEDRES%20-%20Proje&#231;&#227;o%20Rela&#231;&#227;o%20de%20Coort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[Livro1.xlsx]Proj_DCC_2050!$R$3</c:f>
              <c:strCache>
                <c:ptCount val="1"/>
                <c:pt idx="0">
                  <c:v>Crianças</c:v>
                </c:pt>
              </c:strCache>
            </c:strRef>
          </c:tx>
          <c:spPr>
            <a:solidFill>
              <a:schemeClr val="accent6"/>
            </a:solidFill>
            <a:ln>
              <a:noFill/>
            </a:ln>
            <a:effectLst/>
          </c:spPr>
          <c:invertIfNegative val="0"/>
          <c:cat>
            <c:numRef>
              <c:f>[Livro1.xlsx]Proj_DCC_2050!$S$2:$AE$2</c:f>
              <c:numCache>
                <c:formatCode>General</c:formatCode>
                <c:ptCount val="9"/>
                <c:pt idx="0">
                  <c:v>1970</c:v>
                </c:pt>
                <c:pt idx="1">
                  <c:v>1980</c:v>
                </c:pt>
                <c:pt idx="2">
                  <c:v>1991</c:v>
                </c:pt>
                <c:pt idx="3">
                  <c:v>2000</c:v>
                </c:pt>
                <c:pt idx="4">
                  <c:v>2010</c:v>
                </c:pt>
                <c:pt idx="5">
                  <c:v>2020</c:v>
                </c:pt>
                <c:pt idx="6">
                  <c:v>2030</c:v>
                </c:pt>
                <c:pt idx="7">
                  <c:v>2040</c:v>
                </c:pt>
                <c:pt idx="8">
                  <c:v>2050</c:v>
                </c:pt>
              </c:numCache>
              <c:extLst/>
            </c:numRef>
          </c:cat>
          <c:val>
            <c:numRef>
              <c:f>[Livro1.xlsx]Proj_DCC_2050!$S$3:$AE$3</c:f>
              <c:numCache>
                <c:formatCode>#,##0</c:formatCode>
                <c:ptCount val="9"/>
                <c:pt idx="0">
                  <c:v>1985153</c:v>
                </c:pt>
                <c:pt idx="1">
                  <c:v>2244680</c:v>
                </c:pt>
                <c:pt idx="2">
                  <c:v>2461095</c:v>
                </c:pt>
                <c:pt idx="3">
                  <c:v>2589338.0000000005</c:v>
                </c:pt>
                <c:pt idx="4" formatCode="General">
                  <c:v>2274394</c:v>
                </c:pt>
                <c:pt idx="5" formatCode="General">
                  <c:v>1978040</c:v>
                </c:pt>
                <c:pt idx="6" formatCode="General">
                  <c:v>1880329</c:v>
                </c:pt>
                <c:pt idx="7" formatCode="General">
                  <c:v>1665525</c:v>
                </c:pt>
                <c:pt idx="8" formatCode="General">
                  <c:v>1488668</c:v>
                </c:pt>
              </c:numCache>
              <c:extLst/>
            </c:numRef>
          </c:val>
          <c:extLst>
            <c:ext xmlns:c16="http://schemas.microsoft.com/office/drawing/2014/chart" uri="{C3380CC4-5D6E-409C-BE32-E72D297353CC}">
              <c16:uniqueId val="{00000000-41F5-4E6D-8855-1C5D8FC4EEEC}"/>
            </c:ext>
          </c:extLst>
        </c:ser>
        <c:ser>
          <c:idx val="1"/>
          <c:order val="1"/>
          <c:tx>
            <c:strRef>
              <c:f>[Livro1.xlsx]Proj_DCC_2050!$R$4</c:f>
              <c:strCache>
                <c:ptCount val="1"/>
                <c:pt idx="0">
                  <c:v>PIA</c:v>
                </c:pt>
              </c:strCache>
            </c:strRef>
          </c:tx>
          <c:spPr>
            <a:solidFill>
              <a:schemeClr val="accent5"/>
            </a:solidFill>
            <a:ln>
              <a:noFill/>
            </a:ln>
            <a:effectLst/>
          </c:spPr>
          <c:invertIfNegative val="0"/>
          <c:cat>
            <c:numRef>
              <c:f>[Livro1.xlsx]Proj_DCC_2050!$S$2:$AE$2</c:f>
              <c:numCache>
                <c:formatCode>General</c:formatCode>
                <c:ptCount val="9"/>
                <c:pt idx="0">
                  <c:v>1970</c:v>
                </c:pt>
                <c:pt idx="1">
                  <c:v>1980</c:v>
                </c:pt>
                <c:pt idx="2">
                  <c:v>1991</c:v>
                </c:pt>
                <c:pt idx="3">
                  <c:v>2000</c:v>
                </c:pt>
                <c:pt idx="4">
                  <c:v>2010</c:v>
                </c:pt>
                <c:pt idx="5">
                  <c:v>2020</c:v>
                </c:pt>
                <c:pt idx="6">
                  <c:v>2030</c:v>
                </c:pt>
                <c:pt idx="7">
                  <c:v>2040</c:v>
                </c:pt>
                <c:pt idx="8">
                  <c:v>2050</c:v>
                </c:pt>
              </c:numCache>
              <c:extLst/>
            </c:numRef>
          </c:cat>
          <c:val>
            <c:numRef>
              <c:f>[Livro1.xlsx]Proj_DCC_2050!$S$4:$AE$4</c:f>
              <c:numCache>
                <c:formatCode>General</c:formatCode>
                <c:ptCount val="9"/>
                <c:pt idx="0">
                  <c:v>2220085</c:v>
                </c:pt>
                <c:pt idx="1">
                  <c:v>2803227</c:v>
                </c:pt>
                <c:pt idx="2">
                  <c:v>3564564</c:v>
                </c:pt>
                <c:pt idx="3" formatCode="#,##0">
                  <c:v>4565816</c:v>
                </c:pt>
                <c:pt idx="4">
                  <c:v>5699085</c:v>
                </c:pt>
                <c:pt idx="5">
                  <c:v>6371019</c:v>
                </c:pt>
                <c:pt idx="6">
                  <c:v>6589761</c:v>
                </c:pt>
                <c:pt idx="7">
                  <c:v>6586705</c:v>
                </c:pt>
                <c:pt idx="8">
                  <c:v>6235803</c:v>
                </c:pt>
              </c:numCache>
              <c:extLst/>
            </c:numRef>
          </c:val>
          <c:extLst>
            <c:ext xmlns:c16="http://schemas.microsoft.com/office/drawing/2014/chart" uri="{C3380CC4-5D6E-409C-BE32-E72D297353CC}">
              <c16:uniqueId val="{00000001-41F5-4E6D-8855-1C5D8FC4EEEC}"/>
            </c:ext>
          </c:extLst>
        </c:ser>
        <c:ser>
          <c:idx val="2"/>
          <c:order val="2"/>
          <c:tx>
            <c:strRef>
              <c:f>[Livro1.xlsx]Proj_DCC_2050!$R$5</c:f>
              <c:strCache>
                <c:ptCount val="1"/>
                <c:pt idx="0">
                  <c:v>Idosos</c:v>
                </c:pt>
              </c:strCache>
            </c:strRef>
          </c:tx>
          <c:spPr>
            <a:solidFill>
              <a:schemeClr val="accent4"/>
            </a:solidFill>
            <a:ln>
              <a:noFill/>
            </a:ln>
            <a:effectLst/>
          </c:spPr>
          <c:invertIfNegative val="0"/>
          <c:cat>
            <c:numRef>
              <c:f>[Livro1.xlsx]Proj_DCC_2050!$S$2:$AE$2</c:f>
              <c:numCache>
                <c:formatCode>General</c:formatCode>
                <c:ptCount val="9"/>
                <c:pt idx="0">
                  <c:v>1970</c:v>
                </c:pt>
                <c:pt idx="1">
                  <c:v>1980</c:v>
                </c:pt>
                <c:pt idx="2">
                  <c:v>1991</c:v>
                </c:pt>
                <c:pt idx="3">
                  <c:v>2000</c:v>
                </c:pt>
                <c:pt idx="4">
                  <c:v>2010</c:v>
                </c:pt>
                <c:pt idx="5">
                  <c:v>2020</c:v>
                </c:pt>
                <c:pt idx="6">
                  <c:v>2030</c:v>
                </c:pt>
                <c:pt idx="7">
                  <c:v>2040</c:v>
                </c:pt>
                <c:pt idx="8">
                  <c:v>2050</c:v>
                </c:pt>
              </c:numCache>
              <c:extLst/>
            </c:numRef>
          </c:cat>
          <c:val>
            <c:numRef>
              <c:f>[Livro1.xlsx]Proj_DCC_2050!$S$5:$AE$5</c:f>
              <c:numCache>
                <c:formatCode>General</c:formatCode>
                <c:ptCount val="9"/>
                <c:pt idx="0">
                  <c:v>150922</c:v>
                </c:pt>
                <c:pt idx="1">
                  <c:v>235216</c:v>
                </c:pt>
                <c:pt idx="2">
                  <c:v>340988</c:v>
                </c:pt>
                <c:pt idx="3" formatCode="#,##0">
                  <c:v>446634</c:v>
                </c:pt>
                <c:pt idx="4">
                  <c:v>650287</c:v>
                </c:pt>
                <c:pt idx="5">
                  <c:v>838827</c:v>
                </c:pt>
                <c:pt idx="6">
                  <c:v>1154376</c:v>
                </c:pt>
                <c:pt idx="7">
                  <c:v>1541604</c:v>
                </c:pt>
                <c:pt idx="8">
                  <c:v>1974349</c:v>
                </c:pt>
              </c:numCache>
              <c:extLst/>
            </c:numRef>
          </c:val>
          <c:extLst>
            <c:ext xmlns:c16="http://schemas.microsoft.com/office/drawing/2014/chart" uri="{C3380CC4-5D6E-409C-BE32-E72D297353CC}">
              <c16:uniqueId val="{00000002-41F5-4E6D-8855-1C5D8FC4EEEC}"/>
            </c:ext>
          </c:extLst>
        </c:ser>
        <c:dLbls>
          <c:showLegendKey val="0"/>
          <c:showVal val="0"/>
          <c:showCatName val="0"/>
          <c:showSerName val="0"/>
          <c:showPercent val="0"/>
          <c:showBubbleSize val="0"/>
        </c:dLbls>
        <c:gapWidth val="150"/>
        <c:overlap val="100"/>
        <c:axId val="1743904159"/>
        <c:axId val="1743904991"/>
      </c:barChart>
      <c:lineChart>
        <c:grouping val="standard"/>
        <c:varyColors val="0"/>
        <c:ser>
          <c:idx val="3"/>
          <c:order val="3"/>
          <c:tx>
            <c:strRef>
              <c:f>[Livro1.xlsx]Proj_DCC_2050!$R$6</c:f>
              <c:strCache>
                <c:ptCount val="1"/>
                <c:pt idx="0">
                  <c:v>Total</c:v>
                </c:pt>
              </c:strCache>
            </c:strRef>
          </c:tx>
          <c:spPr>
            <a:ln w="19050" cap="rnd">
              <a:solidFill>
                <a:schemeClr val="accent6">
                  <a:lumMod val="60000"/>
                </a:schemeClr>
              </a:solidFill>
              <a:round/>
            </a:ln>
            <a:effectLst/>
          </c:spPr>
          <c:marker>
            <c:symbol val="none"/>
          </c:marker>
          <c:dLbls>
            <c:numFmt formatCode="#,##0.0" sourceLinked="0"/>
            <c:spPr>
              <a:noFill/>
              <a:ln>
                <a:noFill/>
              </a:ln>
              <a:effectLst/>
            </c:spPr>
            <c:txPr>
              <a:bodyPr rot="-540000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[Livro1.xlsx]Proj_DCC_2050!$S$2:$AE$2</c:f>
              <c:numCache>
                <c:formatCode>General</c:formatCode>
                <c:ptCount val="9"/>
                <c:pt idx="0">
                  <c:v>1970</c:v>
                </c:pt>
                <c:pt idx="1">
                  <c:v>1980</c:v>
                </c:pt>
                <c:pt idx="2">
                  <c:v>1991</c:v>
                </c:pt>
                <c:pt idx="3">
                  <c:v>2000</c:v>
                </c:pt>
                <c:pt idx="4">
                  <c:v>2010</c:v>
                </c:pt>
                <c:pt idx="5">
                  <c:v>2020</c:v>
                </c:pt>
                <c:pt idx="6">
                  <c:v>2030</c:v>
                </c:pt>
                <c:pt idx="7">
                  <c:v>2040</c:v>
                </c:pt>
                <c:pt idx="8">
                  <c:v>2050</c:v>
                </c:pt>
              </c:numCache>
              <c:extLst/>
            </c:numRef>
          </c:cat>
          <c:val>
            <c:numRef>
              <c:f>[Livro1.xlsx]Proj_DCC_2050!$S$6:$AE$6</c:f>
              <c:numCache>
                <c:formatCode>#,##0</c:formatCode>
                <c:ptCount val="9"/>
                <c:pt idx="0">
                  <c:v>4356160</c:v>
                </c:pt>
                <c:pt idx="1">
                  <c:v>5283123</c:v>
                </c:pt>
                <c:pt idx="2">
                  <c:v>6366647</c:v>
                </c:pt>
                <c:pt idx="3">
                  <c:v>7601788</c:v>
                </c:pt>
                <c:pt idx="4">
                  <c:v>8623766</c:v>
                </c:pt>
                <c:pt idx="5">
                  <c:v>9187886</c:v>
                </c:pt>
                <c:pt idx="6">
                  <c:v>9624466</c:v>
                </c:pt>
                <c:pt idx="7">
                  <c:v>9793834</c:v>
                </c:pt>
                <c:pt idx="8">
                  <c:v>9698820</c:v>
                </c:pt>
              </c:numCache>
              <c:extLst/>
            </c:numRef>
          </c:val>
          <c:smooth val="0"/>
          <c:extLst>
            <c:ext xmlns:c16="http://schemas.microsoft.com/office/drawing/2014/chart" uri="{C3380CC4-5D6E-409C-BE32-E72D297353CC}">
              <c16:uniqueId val="{00000003-41F5-4E6D-8855-1C5D8FC4EEEC}"/>
            </c:ext>
          </c:extLst>
        </c:ser>
        <c:dLbls>
          <c:showLegendKey val="0"/>
          <c:showVal val="0"/>
          <c:showCatName val="0"/>
          <c:showSerName val="0"/>
          <c:showPercent val="0"/>
          <c:showBubbleSize val="0"/>
        </c:dLbls>
        <c:marker val="1"/>
        <c:smooth val="0"/>
        <c:axId val="1743904159"/>
        <c:axId val="1743904991"/>
      </c:lineChart>
      <c:catAx>
        <c:axId val="1743904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743904991"/>
        <c:crosses val="autoZero"/>
        <c:auto val="1"/>
        <c:lblAlgn val="ctr"/>
        <c:lblOffset val="100"/>
        <c:noMultiLvlLbl val="0"/>
      </c:catAx>
      <c:valAx>
        <c:axId val="174390499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743904159"/>
        <c:crosses val="autoZero"/>
        <c:crossBetween val="between"/>
        <c:dispUnits>
          <c:builtInUnit val="million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9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r>
              <a:rPr lang="pt-BR" sz="1400" b="0"/>
              <a:t>Homens                  Mulheres</a:t>
            </a:r>
          </a:p>
        </c:rich>
      </c:tx>
      <c:layout>
        <c:manualLayout>
          <c:xMode val="edge"/>
          <c:yMode val="edge"/>
          <c:x val="0.28841282385422284"/>
          <c:y val="3.1621308461223831E-2"/>
        </c:manualLayout>
      </c:layout>
      <c:overlay val="1"/>
      <c:spPr>
        <a:noFill/>
        <a:ln>
          <a:noFill/>
        </a:ln>
        <a:effectLst/>
      </c:spPr>
      <c:txPr>
        <a:bodyPr rot="0" spcFirstLastPara="1" vertOverflow="ellipsis" vert="horz" wrap="square" anchor="ctr" anchorCtr="1"/>
        <a:lstStyle/>
        <a:p>
          <a:pPr>
            <a:defRPr sz="16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scatterChart>
        <c:scatterStyle val="smoothMarker"/>
        <c:varyColors val="0"/>
        <c:ser>
          <c:idx val="22"/>
          <c:order val="0"/>
          <c:tx>
            <c:strRef>
              <c:f>'[SEDRES - Projeção Relação de Coortes.xlsx]Infor_projeção'!$B$101</c:f>
              <c:strCache>
                <c:ptCount val="1"/>
                <c:pt idx="0">
                  <c:v>1970</c:v>
                </c:pt>
              </c:strCache>
            </c:strRef>
          </c:tx>
          <c:spPr>
            <a:ln w="22225" cap="rnd">
              <a:solidFill>
                <a:schemeClr val="tx1"/>
              </a:solidFill>
              <a:round/>
            </a:ln>
            <a:effectLst/>
          </c:spPr>
          <c:marker>
            <c:symbol val="none"/>
          </c:marker>
          <c:xVal>
            <c:numRef>
              <c:f>'[SEDRES - Projeção Relação de Coortes.xlsx]Infor_projeção'!$B$102:$B$120</c:f>
              <c:numCache>
                <c:formatCode>General</c:formatCode>
                <c:ptCount val="19"/>
                <c:pt idx="0">
                  <c:v>8.5632070447366482E-2</c:v>
                </c:pt>
                <c:pt idx="1">
                  <c:v>7.7534342172922946E-2</c:v>
                </c:pt>
                <c:pt idx="2">
                  <c:v>6.4027492103136713E-2</c:v>
                </c:pt>
                <c:pt idx="3">
                  <c:v>5.7173060677293761E-2</c:v>
                </c:pt>
                <c:pt idx="4">
                  <c:v>4.7197761331080584E-2</c:v>
                </c:pt>
                <c:pt idx="5">
                  <c:v>3.3967531036509221E-2</c:v>
                </c:pt>
                <c:pt idx="6">
                  <c:v>2.9933243957981342E-2</c:v>
                </c:pt>
                <c:pt idx="7">
                  <c:v>2.3905917138029826E-2</c:v>
                </c:pt>
                <c:pt idx="8">
                  <c:v>2.2182839932417542E-2</c:v>
                </c:pt>
                <c:pt idx="9">
                  <c:v>1.7511753470946891E-2</c:v>
                </c:pt>
                <c:pt idx="10">
                  <c:v>1.3632189818555792E-2</c:v>
                </c:pt>
                <c:pt idx="11">
                  <c:v>1.1680470873429809E-2</c:v>
                </c:pt>
                <c:pt idx="12">
                  <c:v>9.2230312936163964E-3</c:v>
                </c:pt>
                <c:pt idx="13">
                  <c:v>6.4908084184235656E-3</c:v>
                </c:pt>
                <c:pt idx="14">
                  <c:v>5.0707503856607652E-3</c:v>
                </c:pt>
                <c:pt idx="15">
                  <c:v>2.8323110262249321E-3</c:v>
                </c:pt>
                <c:pt idx="16">
                  <c:v>1.9048541489012515E-3</c:v>
                </c:pt>
                <c:pt idx="17">
                  <c:v>1.0766077070182704E-3</c:v>
                </c:pt>
                <c:pt idx="18">
                  <c:v>5.4756370787978749E-4</c:v>
                </c:pt>
              </c:numCache>
            </c:numRef>
          </c:xVal>
          <c:yVal>
            <c:numRef>
              <c:f>'[SEDRES - Projeção Relação de Coortes.xlsx]Infor_projeção'!$A$102:$A$120</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0-EAD2-4E95-AFD7-8B6CFC2C7F7A}"/>
            </c:ext>
          </c:extLst>
        </c:ser>
        <c:ser>
          <c:idx val="18"/>
          <c:order val="1"/>
          <c:tx>
            <c:strRef>
              <c:f>'[SEDRES - Projeção Relação de Coortes.xlsx]Tabelas_Graficos'!$B$85</c:f>
              <c:strCache>
                <c:ptCount val="1"/>
                <c:pt idx="0">
                  <c:v>1991</c:v>
                </c:pt>
              </c:strCache>
            </c:strRef>
          </c:tx>
          <c:spPr>
            <a:ln w="22225" cap="rnd">
              <a:solidFill>
                <a:srgbClr val="0070C0"/>
              </a:solidFill>
              <a:prstDash val="solid"/>
              <a:round/>
            </a:ln>
            <a:effectLst/>
          </c:spPr>
          <c:marker>
            <c:symbol val="none"/>
          </c:marker>
          <c:xVal>
            <c:numRef>
              <c:f>'[SEDRES - Projeção Relação de Coortes.xlsx]Infor_projeção'!$C$102:$C$120</c:f>
              <c:numCache>
                <c:formatCode>General</c:formatCode>
                <c:ptCount val="19"/>
                <c:pt idx="0">
                  <c:v>6.4496743733396866E-2</c:v>
                </c:pt>
                <c:pt idx="1">
                  <c:v>6.5127531022216245E-2</c:v>
                </c:pt>
                <c:pt idx="2">
                  <c:v>6.2263857254847017E-2</c:v>
                </c:pt>
                <c:pt idx="3">
                  <c:v>5.511912314284112E-2</c:v>
                </c:pt>
                <c:pt idx="4">
                  <c:v>4.6447525675602876E-2</c:v>
                </c:pt>
                <c:pt idx="5">
                  <c:v>4.1797511311684153E-2</c:v>
                </c:pt>
                <c:pt idx="6">
                  <c:v>3.2833295139498078E-2</c:v>
                </c:pt>
                <c:pt idx="7">
                  <c:v>2.8339249843756062E-2</c:v>
                </c:pt>
                <c:pt idx="8">
                  <c:v>2.5189868387551564E-2</c:v>
                </c:pt>
                <c:pt idx="9">
                  <c:v>1.9970794674182502E-2</c:v>
                </c:pt>
                <c:pt idx="10">
                  <c:v>1.7790840296312956E-2</c:v>
                </c:pt>
                <c:pt idx="11">
                  <c:v>1.4370672663334406E-2</c:v>
                </c:pt>
                <c:pt idx="12">
                  <c:v>1.2623599203788116E-2</c:v>
                </c:pt>
                <c:pt idx="13">
                  <c:v>1.0688671760818528E-2</c:v>
                </c:pt>
                <c:pt idx="14">
                  <c:v>6.9761995599881693E-3</c:v>
                </c:pt>
                <c:pt idx="15">
                  <c:v>5.3720584791335218E-3</c:v>
                </c:pt>
                <c:pt idx="16">
                  <c:v>2.7626786909970037E-3</c:v>
                </c:pt>
                <c:pt idx="17">
                  <c:v>1.6344553106211167E-3</c:v>
                </c:pt>
                <c:pt idx="18">
                  <c:v>8.1549990128241753E-4</c:v>
                </c:pt>
              </c:numCache>
            </c:numRef>
          </c:xVal>
          <c:yVal>
            <c:numRef>
              <c:f>'[SEDRES - Projeção Relação de Coortes.xlsx]Infor_projeção'!$A$102:$A$120</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1-EAD2-4E95-AFD7-8B6CFC2C7F7A}"/>
            </c:ext>
          </c:extLst>
        </c:ser>
        <c:ser>
          <c:idx val="17"/>
          <c:order val="3"/>
          <c:tx>
            <c:strRef>
              <c:f>'[SEDRES - Projeção Relação de Coortes.xlsx]Infor_projeção'!$E$101</c:f>
              <c:strCache>
                <c:ptCount val="1"/>
                <c:pt idx="0">
                  <c:v>2010</c:v>
                </c:pt>
              </c:strCache>
            </c:strRef>
          </c:tx>
          <c:spPr>
            <a:ln w="22225" cap="rnd">
              <a:solidFill>
                <a:srgbClr val="00B0F0"/>
              </a:solidFill>
              <a:prstDash val="solid"/>
              <a:round/>
            </a:ln>
            <a:effectLst/>
          </c:spPr>
          <c:marker>
            <c:symbol val="none"/>
          </c:marker>
          <c:xVal>
            <c:numRef>
              <c:f>'[SEDRES - Projeção Relação de Coortes.xlsx]Infor_projeção'!$E$102:$E$120</c:f>
              <c:numCache>
                <c:formatCode>General</c:formatCode>
                <c:ptCount val="19"/>
                <c:pt idx="0">
                  <c:v>3.8803812626641308E-2</c:v>
                </c:pt>
                <c:pt idx="1">
                  <c:v>4.1650944610510068E-2</c:v>
                </c:pt>
                <c:pt idx="2">
                  <c:v>4.8913201030732975E-2</c:v>
                </c:pt>
                <c:pt idx="3">
                  <c:v>4.952685404497293E-2</c:v>
                </c:pt>
                <c:pt idx="4">
                  <c:v>4.8930826740892552E-2</c:v>
                </c:pt>
                <c:pt idx="5">
                  <c:v>4.4487524360006983E-2</c:v>
                </c:pt>
                <c:pt idx="6">
                  <c:v>3.9723248520425997E-2</c:v>
                </c:pt>
                <c:pt idx="7">
                  <c:v>3.5099978362121607E-2</c:v>
                </c:pt>
                <c:pt idx="8">
                  <c:v>3.3182718547789911E-2</c:v>
                </c:pt>
                <c:pt idx="9">
                  <c:v>2.946983951095148E-2</c:v>
                </c:pt>
                <c:pt idx="10">
                  <c:v>2.3567893655741586E-2</c:v>
                </c:pt>
                <c:pt idx="11">
                  <c:v>1.9913341804497015E-2</c:v>
                </c:pt>
                <c:pt idx="12">
                  <c:v>1.6969152456131113E-2</c:v>
                </c:pt>
                <c:pt idx="13">
                  <c:v>1.305752034551958E-2</c:v>
                </c:pt>
                <c:pt idx="14">
                  <c:v>1.1169714020533489E-2</c:v>
                </c:pt>
                <c:pt idx="15">
                  <c:v>7.4510370527215144E-3</c:v>
                </c:pt>
                <c:pt idx="16">
                  <c:v>5.6006853618245211E-3</c:v>
                </c:pt>
                <c:pt idx="17">
                  <c:v>3.0773098435184815E-3</c:v>
                </c:pt>
                <c:pt idx="18">
                  <c:v>1.7668614848779525E-3</c:v>
                </c:pt>
              </c:numCache>
            </c:numRef>
          </c:xVal>
          <c:yVal>
            <c:numRef>
              <c:f>'[SEDRES - Projeção Relação de Coortes.xlsx]Infor_projeção'!$A$102:$A$120</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2-EAD2-4E95-AFD7-8B6CFC2C7F7A}"/>
            </c:ext>
          </c:extLst>
        </c:ser>
        <c:ser>
          <c:idx val="3"/>
          <c:order val="7"/>
          <c:tx>
            <c:strRef>
              <c:f>'[SEDRES - Projeção Relação de Coortes.xlsx]Infor_projeção'!$I$101</c:f>
              <c:strCache>
                <c:ptCount val="1"/>
                <c:pt idx="0">
                  <c:v>2030</c:v>
                </c:pt>
              </c:strCache>
            </c:strRef>
          </c:tx>
          <c:spPr>
            <a:ln w="22225" cap="rnd">
              <a:solidFill>
                <a:srgbClr val="FFC000"/>
              </a:solidFill>
              <a:prstDash val="sysDash"/>
              <a:round/>
            </a:ln>
            <a:effectLst/>
          </c:spPr>
          <c:marker>
            <c:symbol val="none"/>
          </c:marker>
          <c:xVal>
            <c:numRef>
              <c:f>'[SEDRES - Projeção Relação de Coortes.xlsx]Infor_projeção'!$I$102:$I$120</c:f>
              <c:numCache>
                <c:formatCode>General</c:formatCode>
                <c:ptCount val="19"/>
                <c:pt idx="0">
                  <c:v>3.0224430113836964E-2</c:v>
                </c:pt>
                <c:pt idx="1">
                  <c:v>3.2093832530552861E-2</c:v>
                </c:pt>
                <c:pt idx="2">
                  <c:v>3.3092225584255792E-2</c:v>
                </c:pt>
                <c:pt idx="3">
                  <c:v>3.2294363136614539E-2</c:v>
                </c:pt>
                <c:pt idx="4">
                  <c:v>3.3400710231611813E-2</c:v>
                </c:pt>
                <c:pt idx="5">
                  <c:v>3.5165899074296694E-2</c:v>
                </c:pt>
                <c:pt idx="6">
                  <c:v>4.0995209500454363E-2</c:v>
                </c:pt>
                <c:pt idx="7">
                  <c:v>4.1374451320208311E-2</c:v>
                </c:pt>
                <c:pt idx="8">
                  <c:v>4.1342553446601607E-2</c:v>
                </c:pt>
                <c:pt idx="9">
                  <c:v>3.7942156998632445E-2</c:v>
                </c:pt>
                <c:pt idx="10">
                  <c:v>3.3735170346074268E-2</c:v>
                </c:pt>
                <c:pt idx="11">
                  <c:v>2.9303859559584915E-2</c:v>
                </c:pt>
                <c:pt idx="12">
                  <c:v>2.6849281819895255E-2</c:v>
                </c:pt>
                <c:pt idx="13">
                  <c:v>2.2761782316026675E-2</c:v>
                </c:pt>
                <c:pt idx="14">
                  <c:v>1.6914496866631355E-2</c:v>
                </c:pt>
                <c:pt idx="15">
                  <c:v>1.2607037107305485E-2</c:v>
                </c:pt>
                <c:pt idx="16">
                  <c:v>8.7686942839218292E-3</c:v>
                </c:pt>
                <c:pt idx="17">
                  <c:v>4.8601137974823745E-3</c:v>
                </c:pt>
                <c:pt idx="18">
                  <c:v>3.2853770796218719E-3</c:v>
                </c:pt>
              </c:numCache>
            </c:numRef>
          </c:xVal>
          <c:yVal>
            <c:numRef>
              <c:f>'[SEDRES - Projeção Relação de Coortes.xlsx]Infor_projeção'!$A$102:$A$120</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3-EAD2-4E95-AFD7-8B6CFC2C7F7A}"/>
            </c:ext>
          </c:extLst>
        </c:ser>
        <c:ser>
          <c:idx val="7"/>
          <c:order val="11"/>
          <c:tx>
            <c:strRef>
              <c:f>'[SEDRES - Projeção Relação de Coortes.xlsx]Infor_projeção'!$M$101</c:f>
              <c:strCache>
                <c:ptCount val="1"/>
                <c:pt idx="0">
                  <c:v>2050</c:v>
                </c:pt>
              </c:strCache>
            </c:strRef>
          </c:tx>
          <c:spPr>
            <a:ln w="22225" cap="rnd">
              <a:solidFill>
                <a:srgbClr val="FF0000"/>
              </a:solidFill>
              <a:prstDash val="sysDash"/>
              <a:round/>
            </a:ln>
            <a:effectLst/>
          </c:spPr>
          <c:marker>
            <c:symbol val="none"/>
          </c:marker>
          <c:xVal>
            <c:numRef>
              <c:f>'[SEDRES - Projeção Relação de Coortes.xlsx]Infor_projeção'!$M$102:$M$120</c:f>
              <c:numCache>
                <c:formatCode>General</c:formatCode>
                <c:ptCount val="19"/>
                <c:pt idx="0">
                  <c:v>2.4000239204356819E-2</c:v>
                </c:pt>
                <c:pt idx="1">
                  <c:v>2.4875500318595457E-2</c:v>
                </c:pt>
                <c:pt idx="2">
                  <c:v>2.6054406618537099E-2</c:v>
                </c:pt>
                <c:pt idx="3">
                  <c:v>2.748653959966264E-2</c:v>
                </c:pt>
                <c:pt idx="4">
                  <c:v>2.8841343586126972E-2</c:v>
                </c:pt>
                <c:pt idx="5">
                  <c:v>3.003849952880866E-2</c:v>
                </c:pt>
                <c:pt idx="6">
                  <c:v>3.0633004839764014E-2</c:v>
                </c:pt>
                <c:pt idx="7">
                  <c:v>2.9857343470649007E-2</c:v>
                </c:pt>
                <c:pt idx="8">
                  <c:v>3.1413099737906264E-2</c:v>
                </c:pt>
                <c:pt idx="9">
                  <c:v>3.3530058295751439E-2</c:v>
                </c:pt>
                <c:pt idx="10">
                  <c:v>3.9029387080077783E-2</c:v>
                </c:pt>
                <c:pt idx="11">
                  <c:v>3.8833177644290749E-2</c:v>
                </c:pt>
                <c:pt idx="12">
                  <c:v>3.7808310701714226E-2</c:v>
                </c:pt>
                <c:pt idx="13">
                  <c:v>3.3351479870747165E-2</c:v>
                </c:pt>
                <c:pt idx="14">
                  <c:v>2.7833901443680777E-2</c:v>
                </c:pt>
                <c:pt idx="15">
                  <c:v>2.1733262396868899E-2</c:v>
                </c:pt>
                <c:pt idx="16">
                  <c:v>1.6735231708599602E-2</c:v>
                </c:pt>
                <c:pt idx="17">
                  <c:v>1.0755741420090279E-2</c:v>
                </c:pt>
                <c:pt idx="18">
                  <c:v>7.3907959937394444E-3</c:v>
                </c:pt>
              </c:numCache>
            </c:numRef>
          </c:xVal>
          <c:yVal>
            <c:numRef>
              <c:f>'[SEDRES - Projeção Relação de Coortes.xlsx]Infor_projeção'!$A$102:$A$120</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4-EAD2-4E95-AFD7-8B6CFC2C7F7A}"/>
            </c:ext>
          </c:extLst>
        </c:ser>
        <c:ser>
          <c:idx val="23"/>
          <c:order val="12"/>
          <c:tx>
            <c:strRef>
              <c:f>'[SEDRES - Projeção Relação de Coortes.xlsx]Infor_projeção'!$N$101</c:f>
              <c:strCache>
                <c:ptCount val="1"/>
                <c:pt idx="0">
                  <c:v>1970</c:v>
                </c:pt>
              </c:strCache>
            </c:strRef>
          </c:tx>
          <c:spPr>
            <a:ln w="22225" cap="rnd">
              <a:solidFill>
                <a:schemeClr val="tx1"/>
              </a:solidFill>
              <a:round/>
            </a:ln>
            <a:effectLst/>
          </c:spPr>
          <c:marker>
            <c:symbol val="none"/>
          </c:marker>
          <c:xVal>
            <c:numRef>
              <c:f>'[SEDRES - Projeção Relação de Coortes.xlsx]Infor_projeção'!$N$102:$N$120</c:f>
              <c:numCache>
                <c:formatCode>General</c:formatCode>
                <c:ptCount val="19"/>
                <c:pt idx="0">
                  <c:v>-8.7053276280026445E-2</c:v>
                </c:pt>
                <c:pt idx="1">
                  <c:v>-7.8539126202894285E-2</c:v>
                </c:pt>
                <c:pt idx="2">
                  <c:v>-6.2925374641886425E-2</c:v>
                </c:pt>
                <c:pt idx="3">
                  <c:v>-5.2545590611915084E-2</c:v>
                </c:pt>
                <c:pt idx="4">
                  <c:v>-4.1559768236244764E-2</c:v>
                </c:pt>
                <c:pt idx="5">
                  <c:v>-2.960474362741497E-2</c:v>
                </c:pt>
                <c:pt idx="6">
                  <c:v>-2.6423042312495409E-2</c:v>
                </c:pt>
                <c:pt idx="7">
                  <c:v>-2.0940231763755233E-2</c:v>
                </c:pt>
                <c:pt idx="8">
                  <c:v>-2.0530926320429001E-2</c:v>
                </c:pt>
                <c:pt idx="9">
                  <c:v>-1.728150481157717E-2</c:v>
                </c:pt>
                <c:pt idx="10">
                  <c:v>-1.3363375082641592E-2</c:v>
                </c:pt>
                <c:pt idx="11">
                  <c:v>-1.1607241239991186E-2</c:v>
                </c:pt>
                <c:pt idx="12">
                  <c:v>-9.3784433996914711E-3</c:v>
                </c:pt>
                <c:pt idx="13">
                  <c:v>-6.5810254903401165E-3</c:v>
                </c:pt>
                <c:pt idx="14">
                  <c:v>-4.8090520091089396E-3</c:v>
                </c:pt>
                <c:pt idx="15">
                  <c:v>-2.6844743994710939E-3</c:v>
                </c:pt>
                <c:pt idx="16">
                  <c:v>-1.4882137111499726E-3</c:v>
                </c:pt>
                <c:pt idx="17">
                  <c:v>-7.9970514498008236E-4</c:v>
                </c:pt>
                <c:pt idx="18">
                  <c:v>-3.6028506659087383E-4</c:v>
                </c:pt>
              </c:numCache>
            </c:numRef>
          </c:xVal>
          <c:yVal>
            <c:numRef>
              <c:f>'[SEDRES - Projeção Relação de Coortes.xlsx]Infor_projeção'!$A$102:$A$120</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5-EAD2-4E95-AFD7-8B6CFC2C7F7A}"/>
            </c:ext>
          </c:extLst>
        </c:ser>
        <c:ser>
          <c:idx val="19"/>
          <c:order val="13"/>
          <c:tx>
            <c:strRef>
              <c:f>'[SEDRES - Projeção Relação de Coortes.xlsx]Infor_projeção'!$O$101</c:f>
              <c:strCache>
                <c:ptCount val="1"/>
                <c:pt idx="0">
                  <c:v>1991</c:v>
                </c:pt>
              </c:strCache>
            </c:strRef>
          </c:tx>
          <c:spPr>
            <a:ln w="22225" cap="rnd">
              <a:solidFill>
                <a:srgbClr val="0070C0"/>
              </a:solidFill>
              <a:prstDash val="solid"/>
              <a:round/>
            </a:ln>
            <a:effectLst/>
          </c:spPr>
          <c:marker>
            <c:symbol val="none"/>
          </c:marker>
          <c:xVal>
            <c:numRef>
              <c:f>'[SEDRES - Projeção Relação de Coortes.xlsx]Infor_projeção'!$O$102:$O$120</c:f>
              <c:numCache>
                <c:formatCode>General</c:formatCode>
                <c:ptCount val="19"/>
                <c:pt idx="0">
                  <c:v>-6.6257796293716295E-2</c:v>
                </c:pt>
                <c:pt idx="1">
                  <c:v>-6.6153188640739782E-2</c:v>
                </c:pt>
                <c:pt idx="2">
                  <c:v>-6.2261501226626825E-2</c:v>
                </c:pt>
                <c:pt idx="3">
                  <c:v>-5.3125609131462762E-2</c:v>
                </c:pt>
                <c:pt idx="4">
                  <c:v>-4.2295575677432723E-2</c:v>
                </c:pt>
                <c:pt idx="5">
                  <c:v>-3.7676660886020535E-2</c:v>
                </c:pt>
                <c:pt idx="6">
                  <c:v>-2.9131974805576624E-2</c:v>
                </c:pt>
                <c:pt idx="7">
                  <c:v>-2.4568976417256996E-2</c:v>
                </c:pt>
                <c:pt idx="8">
                  <c:v>-2.2301534858144328E-2</c:v>
                </c:pt>
                <c:pt idx="9">
                  <c:v>-1.7752515570597836E-2</c:v>
                </c:pt>
                <c:pt idx="10">
                  <c:v>-1.5631618966781103E-2</c:v>
                </c:pt>
                <c:pt idx="11">
                  <c:v>-1.2053126237405655E-2</c:v>
                </c:pt>
                <c:pt idx="12">
                  <c:v>-1.0860818889440549E-2</c:v>
                </c:pt>
                <c:pt idx="13">
                  <c:v>-9.7585118194867728E-3</c:v>
                </c:pt>
                <c:pt idx="14">
                  <c:v>-6.4137370895543605E-3</c:v>
                </c:pt>
                <c:pt idx="15">
                  <c:v>-4.77456972249286E-3</c:v>
                </c:pt>
                <c:pt idx="16">
                  <c:v>-2.4857668408504508E-3</c:v>
                </c:pt>
                <c:pt idx="17">
                  <c:v>-1.3269150936120692E-3</c:v>
                </c:pt>
                <c:pt idx="18">
                  <c:v>-5.4942578094874738E-4</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6-EAD2-4E95-AFD7-8B6CFC2C7F7A}"/>
            </c:ext>
          </c:extLst>
        </c:ser>
        <c:ser>
          <c:idx val="16"/>
          <c:order val="15"/>
          <c:tx>
            <c:strRef>
              <c:f>'[SEDRES - Projeção Relação de Coortes.xlsx]Infor_projeção'!$Q$101</c:f>
              <c:strCache>
                <c:ptCount val="1"/>
                <c:pt idx="0">
                  <c:v>2010</c:v>
                </c:pt>
              </c:strCache>
            </c:strRef>
          </c:tx>
          <c:spPr>
            <a:ln w="22225" cap="rnd">
              <a:solidFill>
                <a:srgbClr val="00B0F0"/>
              </a:solidFill>
              <a:prstDash val="solid"/>
              <a:round/>
            </a:ln>
            <a:effectLst/>
          </c:spPr>
          <c:marker>
            <c:symbol val="none"/>
          </c:marker>
          <c:xVal>
            <c:numRef>
              <c:f>'[SEDRES - Projeção Relação de Coortes.xlsx]Infor_projeção'!$Q$102:$Q$120</c:f>
              <c:numCache>
                <c:formatCode>General</c:formatCode>
                <c:ptCount val="19"/>
                <c:pt idx="0">
                  <c:v>-4.0506664953571331E-2</c:v>
                </c:pt>
                <c:pt idx="1">
                  <c:v>-4.3184613311632064E-2</c:v>
                </c:pt>
                <c:pt idx="2">
                  <c:v>-5.0676351839787859E-2</c:v>
                </c:pt>
                <c:pt idx="3">
                  <c:v>-5.0007734439918711E-2</c:v>
                </c:pt>
                <c:pt idx="4">
                  <c:v>-4.7782604490891799E-2</c:v>
                </c:pt>
                <c:pt idx="5">
                  <c:v>-4.2829432060192726E-2</c:v>
                </c:pt>
                <c:pt idx="6">
                  <c:v>-3.7608975011613255E-2</c:v>
                </c:pt>
                <c:pt idx="7">
                  <c:v>-3.2651396153374292E-2</c:v>
                </c:pt>
                <c:pt idx="8">
                  <c:v>-3.0421743818188018E-2</c:v>
                </c:pt>
                <c:pt idx="9">
                  <c:v>-2.6858335441847563E-2</c:v>
                </c:pt>
                <c:pt idx="10">
                  <c:v>-2.0416254337142264E-2</c:v>
                </c:pt>
                <c:pt idx="11">
                  <c:v>-1.6889025050076729E-2</c:v>
                </c:pt>
                <c:pt idx="12">
                  <c:v>-1.4521150040481155E-2</c:v>
                </c:pt>
                <c:pt idx="13">
                  <c:v>-1.1047261718372229E-2</c:v>
                </c:pt>
                <c:pt idx="14">
                  <c:v>-8.915014623541502E-3</c:v>
                </c:pt>
                <c:pt idx="15">
                  <c:v>-5.7156003537201724E-3</c:v>
                </c:pt>
                <c:pt idx="16">
                  <c:v>-4.1421578461196653E-3</c:v>
                </c:pt>
                <c:pt idx="17">
                  <c:v>-2.3034020171697608E-3</c:v>
                </c:pt>
                <c:pt idx="18">
                  <c:v>-1.1598181119478427E-3</c:v>
                </c:pt>
              </c:numCache>
            </c:numRef>
          </c:xVal>
          <c:yVal>
            <c:numRef>
              <c:f>'[SEDRES - Projeção Relação de Coortes.xlsx]Infor_projeção'!$A$102:$A$120</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7-EAD2-4E95-AFD7-8B6CFC2C7F7A}"/>
            </c:ext>
          </c:extLst>
        </c:ser>
        <c:ser>
          <c:idx val="11"/>
          <c:order val="19"/>
          <c:tx>
            <c:strRef>
              <c:f>'[SEDRES - Projeção Relação de Coortes.xlsx]Infor_projeção'!$U$101</c:f>
              <c:strCache>
                <c:ptCount val="1"/>
                <c:pt idx="0">
                  <c:v>2030</c:v>
                </c:pt>
              </c:strCache>
            </c:strRef>
          </c:tx>
          <c:spPr>
            <a:ln w="22225" cap="rnd">
              <a:solidFill>
                <a:srgbClr val="FFC000"/>
              </a:solidFill>
              <a:prstDash val="sysDash"/>
              <a:round/>
            </a:ln>
            <a:effectLst/>
          </c:spPr>
          <c:marker>
            <c:symbol val="none"/>
          </c:marker>
          <c:xVal>
            <c:numRef>
              <c:f>'[SEDRES - Projeção Relação de Coortes.xlsx]Infor_projeção'!$U$102:$U$120</c:f>
              <c:numCache>
                <c:formatCode>General</c:formatCode>
                <c:ptCount val="19"/>
                <c:pt idx="0">
                  <c:v>-3.1691212790403121E-2</c:v>
                </c:pt>
                <c:pt idx="1">
                  <c:v>-3.3625034365542983E-2</c:v>
                </c:pt>
                <c:pt idx="2">
                  <c:v>-3.4642960970509951E-2</c:v>
                </c:pt>
                <c:pt idx="3">
                  <c:v>-3.3663270253123656E-2</c:v>
                </c:pt>
                <c:pt idx="4">
                  <c:v>-3.4240860739702339E-2</c:v>
                </c:pt>
                <c:pt idx="5">
                  <c:v>-3.5151560616453942E-2</c:v>
                </c:pt>
                <c:pt idx="6">
                  <c:v>-4.0360680789978377E-2</c:v>
                </c:pt>
                <c:pt idx="7">
                  <c:v>-3.916757563484561E-2</c:v>
                </c:pt>
                <c:pt idx="8">
                  <c:v>-3.7750769756992229E-2</c:v>
                </c:pt>
                <c:pt idx="9">
                  <c:v>-3.4264654267571831E-2</c:v>
                </c:pt>
                <c:pt idx="10">
                  <c:v>-2.9879579812531937E-2</c:v>
                </c:pt>
                <c:pt idx="11">
                  <c:v>-2.5267999284323932E-2</c:v>
                </c:pt>
                <c:pt idx="12">
                  <c:v>-2.2537873789569209E-2</c:v>
                </c:pt>
                <c:pt idx="13">
                  <c:v>-1.8652982929130823E-2</c:v>
                </c:pt>
                <c:pt idx="14">
                  <c:v>-1.2815256451630667E-2</c:v>
                </c:pt>
                <c:pt idx="15">
                  <c:v>-8.9449118527718842E-3</c:v>
                </c:pt>
                <c:pt idx="16">
                  <c:v>-5.8552858932641042E-3</c:v>
                </c:pt>
                <c:pt idx="17">
                  <c:v>-2.8950177599463699E-3</c:v>
                </c:pt>
                <c:pt idx="18">
                  <c:v>-1.5808669280976211E-3</c:v>
                </c:pt>
              </c:numCache>
            </c:numRef>
          </c:xVal>
          <c:yVal>
            <c:numRef>
              <c:f>'[SEDRES - Projeção Relação de Coortes.xlsx]Infor_projeção'!$A$102:$A$120</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8-EAD2-4E95-AFD7-8B6CFC2C7F7A}"/>
            </c:ext>
          </c:extLst>
        </c:ser>
        <c:ser>
          <c:idx val="15"/>
          <c:order val="23"/>
          <c:tx>
            <c:strRef>
              <c:f>'[SEDRES - Projeção Relação de Coortes.xlsx]Infor_projeção'!$Y$101</c:f>
              <c:strCache>
                <c:ptCount val="1"/>
                <c:pt idx="0">
                  <c:v>2050</c:v>
                </c:pt>
              </c:strCache>
            </c:strRef>
          </c:tx>
          <c:spPr>
            <a:ln w="22225" cap="rnd">
              <a:solidFill>
                <a:srgbClr val="FF0000"/>
              </a:solidFill>
              <a:prstDash val="sysDash"/>
              <a:round/>
            </a:ln>
            <a:effectLst/>
          </c:spPr>
          <c:marker>
            <c:symbol val="none"/>
          </c:marker>
          <c:xVal>
            <c:numRef>
              <c:f>'[SEDRES - Projeção Relação de Coortes.xlsx]Infor_projeção'!$Y$102:$Y$120</c:f>
              <c:numCache>
                <c:formatCode>General</c:formatCode>
                <c:ptCount val="19"/>
                <c:pt idx="0">
                  <c:v>-2.5171309499506127E-2</c:v>
                </c:pt>
                <c:pt idx="1">
                  <c:v>-2.6077914632914107E-2</c:v>
                </c:pt>
                <c:pt idx="2">
                  <c:v>-2.7310229491835088E-2</c:v>
                </c:pt>
                <c:pt idx="3">
                  <c:v>-2.8738856891869322E-2</c:v>
                </c:pt>
                <c:pt idx="4">
                  <c:v>-2.9794449221657894E-2</c:v>
                </c:pt>
                <c:pt idx="5">
                  <c:v>-3.0552685790642572E-2</c:v>
                </c:pt>
                <c:pt idx="6">
                  <c:v>-3.0773846715373622E-2</c:v>
                </c:pt>
                <c:pt idx="7">
                  <c:v>-2.9613190058172024E-2</c:v>
                </c:pt>
                <c:pt idx="8">
                  <c:v>-3.0636510420855322E-2</c:v>
                </c:pt>
                <c:pt idx="9">
                  <c:v>-3.1969868499466945E-2</c:v>
                </c:pt>
                <c:pt idx="10">
                  <c:v>-3.6567231890064979E-2</c:v>
                </c:pt>
                <c:pt idx="11">
                  <c:v>-3.4683085158813132E-2</c:v>
                </c:pt>
                <c:pt idx="12">
                  <c:v>-3.2144013395443982E-2</c:v>
                </c:pt>
                <c:pt idx="13">
                  <c:v>-2.7498912238808432E-2</c:v>
                </c:pt>
                <c:pt idx="14">
                  <c:v>-2.1845440991790754E-2</c:v>
                </c:pt>
                <c:pt idx="15">
                  <c:v>-1.5857083645226946E-2</c:v>
                </c:pt>
                <c:pt idx="16">
                  <c:v>-1.1064954293408889E-2</c:v>
                </c:pt>
                <c:pt idx="17">
                  <c:v>-6.2466361887322372E-3</c:v>
                </c:pt>
                <c:pt idx="18">
                  <c:v>-3.2524575154503333E-3</c:v>
                </c:pt>
              </c:numCache>
            </c:numRef>
          </c:xVal>
          <c:yVal>
            <c:numRef>
              <c:f>'[SEDRES - Projeção Relação de Coortes.xlsx]Infor_projeção'!$A$102:$A$120</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9-EAD2-4E95-AFD7-8B6CFC2C7F7A}"/>
            </c:ext>
          </c:extLst>
        </c:ser>
        <c:dLbls>
          <c:showLegendKey val="0"/>
          <c:showVal val="0"/>
          <c:showCatName val="0"/>
          <c:showSerName val="0"/>
          <c:showPercent val="0"/>
          <c:showBubbleSize val="0"/>
        </c:dLbls>
        <c:axId val="1206620927"/>
        <c:axId val="1206621343"/>
        <c:extLst>
          <c:ext xmlns:c15="http://schemas.microsoft.com/office/drawing/2012/chart" uri="{02D57815-91ED-43cb-92C2-25804820EDAC}">
            <c15:filteredScatterSeries>
              <c15:ser>
                <c:idx val="20"/>
                <c:order val="2"/>
                <c:tx>
                  <c:strRef>
                    <c:extLst>
                      <c:ext uri="{02D57815-91ED-43cb-92C2-25804820EDAC}">
                        <c15:formulaRef>
                          <c15:sqref>'[SEDRES - Projeção Relação de Coortes.xlsx]Tabelas_Graficos'!$C$85</c15:sqref>
                        </c15:formulaRef>
                      </c:ext>
                    </c:extLst>
                    <c:strCache>
                      <c:ptCount val="1"/>
                      <c:pt idx="0">
                        <c:v>2000</c:v>
                      </c:pt>
                    </c:strCache>
                  </c:strRef>
                </c:tx>
                <c:spPr>
                  <a:ln w="22225" cap="rnd">
                    <a:solidFill>
                      <a:srgbClr val="00B050"/>
                    </a:solidFill>
                    <a:prstDash val="solid"/>
                    <a:round/>
                  </a:ln>
                  <a:effectLst/>
                </c:spPr>
                <c:marker>
                  <c:symbol val="none"/>
                </c:marker>
                <c:xVal>
                  <c:numRef>
                    <c:extLst>
                      <c:ext uri="{02D57815-91ED-43cb-92C2-25804820EDAC}">
                        <c15:formulaRef>
                          <c15:sqref>'[SEDRES - Projeção Relação de Coortes.xlsx]Infor_projeção'!$D$102:$D$120</c15:sqref>
                        </c15:formulaRef>
                      </c:ext>
                    </c:extLst>
                    <c:numCache>
                      <c:formatCode>General</c:formatCode>
                      <c:ptCount val="19"/>
                      <c:pt idx="0">
                        <c:v>5.492964360926765E-2</c:v>
                      </c:pt>
                      <c:pt idx="1">
                        <c:v>5.5599879870509565E-2</c:v>
                      </c:pt>
                      <c:pt idx="2">
                        <c:v>5.6827878987034251E-2</c:v>
                      </c:pt>
                      <c:pt idx="3">
                        <c:v>5.4016043838055659E-2</c:v>
                      </c:pt>
                      <c:pt idx="4">
                        <c:v>4.5688539170409312E-2</c:v>
                      </c:pt>
                      <c:pt idx="5">
                        <c:v>3.9365560537857038E-2</c:v>
                      </c:pt>
                      <c:pt idx="6">
                        <c:v>3.6646729714039983E-2</c:v>
                      </c:pt>
                      <c:pt idx="7">
                        <c:v>3.3001802073904365E-2</c:v>
                      </c:pt>
                      <c:pt idx="8">
                        <c:v>2.665817042996544E-2</c:v>
                      </c:pt>
                      <c:pt idx="9">
                        <c:v>2.2703316071186853E-2</c:v>
                      </c:pt>
                      <c:pt idx="10">
                        <c:v>1.959142029180732E-2</c:v>
                      </c:pt>
                      <c:pt idx="11">
                        <c:v>1.5638539150677137E-2</c:v>
                      </c:pt>
                      <c:pt idx="12">
                        <c:v>1.4058649553520043E-2</c:v>
                      </c:pt>
                      <c:pt idx="13">
                        <c:v>1.0292303254085844E-2</c:v>
                      </c:pt>
                      <c:pt idx="14">
                        <c:v>8.9785349437771101E-3</c:v>
                      </c:pt>
                      <c:pt idx="15">
                        <c:v>6.3936198243652129E-3</c:v>
                      </c:pt>
                      <c:pt idx="16">
                        <c:v>3.5581060636057501E-3</c:v>
                      </c:pt>
                      <c:pt idx="17">
                        <c:v>2.0112349750986509E-3</c:v>
                      </c:pt>
                      <c:pt idx="18">
                        <c:v>1.0225213854040038E-3</c:v>
                      </c:pt>
                    </c:numCache>
                  </c:numRef>
                </c:xVal>
                <c:yVal>
                  <c:numRef>
                    <c:extLst>
                      <c:ext uri="{02D57815-91ED-43cb-92C2-25804820EDAC}">
                        <c15:formulaRef>
                          <c15:sqref>'[SEDRES - Projeção Relação de Coortes.xlsx]Tabelas_Graficos'!$A$86:$A$104</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A-EAD2-4E95-AFD7-8B6CFC2C7F7A}"/>
                  </c:ext>
                </c:extLst>
              </c15:ser>
            </c15:filteredScatterSeries>
            <c15:filteredScatterSeries>
              <c15:ser>
                <c:idx val="0"/>
                <c:order val="4"/>
                <c:tx>
                  <c:strRef>
                    <c:extLst xmlns:c15="http://schemas.microsoft.com/office/drawing/2012/chart">
                      <c:ext xmlns:c15="http://schemas.microsoft.com/office/drawing/2012/chart" uri="{02D57815-91ED-43cb-92C2-25804820EDAC}">
                        <c15:formulaRef>
                          <c15:sqref>'[SEDRES - Projeção Relação de Coortes.xlsx]Infor_projeção'!$F$101</c15:sqref>
                        </c15:formulaRef>
                      </c:ext>
                    </c:extLst>
                    <c:strCache>
                      <c:ptCount val="1"/>
                      <c:pt idx="0">
                        <c:v>2015</c:v>
                      </c:pt>
                    </c:strCache>
                  </c:strRef>
                </c:tx>
                <c:spPr>
                  <a:ln w="22225" cap="rnd">
                    <a:solidFill>
                      <a:schemeClr val="accent2">
                        <a:lumMod val="75000"/>
                      </a:schemeClr>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Coortes.xlsx]Infor_projeção'!$F$102:$F$120</c15:sqref>
                        </c15:formulaRef>
                      </c:ext>
                    </c:extLst>
                    <c:numCache>
                      <c:formatCode>General</c:formatCode>
                      <c:ptCount val="19"/>
                      <c:pt idx="0">
                        <c:v>3.5493489414747476E-2</c:v>
                      </c:pt>
                      <c:pt idx="1">
                        <c:v>3.7367099717504258E-2</c:v>
                      </c:pt>
                      <c:pt idx="2">
                        <c:v>4.0211483833106854E-2</c:v>
                      </c:pt>
                      <c:pt idx="3">
                        <c:v>4.6929867459336146E-2</c:v>
                      </c:pt>
                      <c:pt idx="4">
                        <c:v>4.6858898222815776E-2</c:v>
                      </c:pt>
                      <c:pt idx="5">
                        <c:v>4.6155943443357737E-2</c:v>
                      </c:pt>
                      <c:pt idx="6">
                        <c:v>4.2321021930055554E-2</c:v>
                      </c:pt>
                      <c:pt idx="7">
                        <c:v>3.8023565155317636E-2</c:v>
                      </c:pt>
                      <c:pt idx="8">
                        <c:v>3.3626841283927816E-2</c:v>
                      </c:pt>
                      <c:pt idx="9">
                        <c:v>3.1601298422607657E-2</c:v>
                      </c:pt>
                      <c:pt idx="10">
                        <c:v>2.7863622730233691E-2</c:v>
                      </c:pt>
                      <c:pt idx="11">
                        <c:v>2.2137124018853111E-2</c:v>
                      </c:pt>
                      <c:pt idx="12">
                        <c:v>1.8427072428036127E-2</c:v>
                      </c:pt>
                      <c:pt idx="13">
                        <c:v>1.5325649416238728E-2</c:v>
                      </c:pt>
                      <c:pt idx="14">
                        <c:v>1.1350136947044934E-2</c:v>
                      </c:pt>
                      <c:pt idx="15">
                        <c:v>9.110001979727278E-3</c:v>
                      </c:pt>
                      <c:pt idx="16">
                        <c:v>5.4782186766550627E-3</c:v>
                      </c:pt>
                      <c:pt idx="17">
                        <c:v>3.4813105547537204E-3</c:v>
                      </c:pt>
                      <c:pt idx="18">
                        <c:v>1.9878123811447766E-3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0B-EAD2-4E95-AFD7-8B6CFC2C7F7A}"/>
                  </c:ext>
                </c:extLst>
              </c15:ser>
            </c15:filteredScatterSeries>
            <c15:filteredScatterSeries>
              <c15:ser>
                <c:idx val="1"/>
                <c:order val="5"/>
                <c:tx>
                  <c:strRef>
                    <c:extLst xmlns:c15="http://schemas.microsoft.com/office/drawing/2012/chart">
                      <c:ext xmlns:c15="http://schemas.microsoft.com/office/drawing/2012/chart" uri="{02D57815-91ED-43cb-92C2-25804820EDAC}">
                        <c15:formulaRef>
                          <c15:sqref>'[SEDRES - Projeção Relação de Coortes.xlsx]Infor_projeção'!$G$101</c15:sqref>
                        </c15:formulaRef>
                      </c:ext>
                    </c:extLst>
                    <c:strCache>
                      <c:ptCount val="1"/>
                      <c:pt idx="0">
                        <c:v>2020</c:v>
                      </c:pt>
                    </c:strCache>
                  </c:strRef>
                </c:tx>
                <c:spPr>
                  <a:ln w="22225" cap="rnd">
                    <a:solidFill>
                      <a:srgbClr val="FFC000"/>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Coortes.xlsx]Infor_projeção'!$G$102:$G$120</c15:sqref>
                        </c15:formulaRef>
                      </c:ext>
                    </c:extLst>
                    <c:numCache>
                      <c:formatCode>General</c:formatCode>
                      <c:ptCount val="19"/>
                      <c:pt idx="0">
                        <c:v>3.4911295155381772E-2</c:v>
                      </c:pt>
                      <c:pt idx="1">
                        <c:v>3.4221909152986882E-2</c:v>
                      </c:pt>
                      <c:pt idx="2">
                        <c:v>3.6113312681502578E-2</c:v>
                      </c:pt>
                      <c:pt idx="3">
                        <c:v>3.8600936058631984E-2</c:v>
                      </c:pt>
                      <c:pt idx="4">
                        <c:v>4.450751783380856E-2</c:v>
                      </c:pt>
                      <c:pt idx="5">
                        <c:v>4.432564792379879E-2</c:v>
                      </c:pt>
                      <c:pt idx="6">
                        <c:v>4.4048435080713891E-2</c:v>
                      </c:pt>
                      <c:pt idx="7">
                        <c:v>4.0605967466292026E-2</c:v>
                      </c:pt>
                      <c:pt idx="8">
                        <c:v>3.6500561717896805E-2</c:v>
                      </c:pt>
                      <c:pt idx="9">
                        <c:v>3.2100855408959142E-2</c:v>
                      </c:pt>
                      <c:pt idx="10">
                        <c:v>2.9968264734673459E-2</c:v>
                      </c:pt>
                      <c:pt idx="11">
                        <c:v>2.6257073716413112E-2</c:v>
                      </c:pt>
                      <c:pt idx="12">
                        <c:v>2.0572741107149132E-2</c:v>
                      </c:pt>
                      <c:pt idx="13">
                        <c:v>1.6739432770498022E-2</c:v>
                      </c:pt>
                      <c:pt idx="14">
                        <c:v>1.3435625997100966E-2</c:v>
                      </c:pt>
                      <c:pt idx="15">
                        <c:v>9.3719055721849399E-3</c:v>
                      </c:pt>
                      <c:pt idx="16">
                        <c:v>6.8230058579307577E-3</c:v>
                      </c:pt>
                      <c:pt idx="17">
                        <c:v>3.5202874741806765E-3</c:v>
                      </c:pt>
                      <c:pt idx="18">
                        <c:v>2.3167462025541021E-3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0C-EAD2-4E95-AFD7-8B6CFC2C7F7A}"/>
                  </c:ext>
                </c:extLst>
              </c15:ser>
            </c15:filteredScatterSeries>
            <c15:filteredScatterSeries>
              <c15:ser>
                <c:idx val="2"/>
                <c:order val="6"/>
                <c:tx>
                  <c:strRef>
                    <c:extLst xmlns:c15="http://schemas.microsoft.com/office/drawing/2012/chart">
                      <c:ext xmlns:c15="http://schemas.microsoft.com/office/drawing/2012/chart" uri="{02D57815-91ED-43cb-92C2-25804820EDAC}">
                        <c15:formulaRef>
                          <c15:sqref>'[SEDRES - Projeção Relação de Coortes.xlsx]Infor_projeção'!$H$101</c15:sqref>
                        </c15:formulaRef>
                      </c:ext>
                    </c:extLst>
                    <c:strCache>
                      <c:ptCount val="1"/>
                      <c:pt idx="0">
                        <c:v>2025</c:v>
                      </c:pt>
                    </c:strCache>
                  </c:strRef>
                </c:tx>
                <c:spPr>
                  <a:ln w="22225" cap="rnd">
                    <a:solidFill>
                      <a:srgbClr val="92D050"/>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Coortes.xlsx]Infor_projeção'!$H$102:$H$120</c15:sqref>
                        </c15:formulaRef>
                      </c:ext>
                    </c:extLst>
                    <c:numCache>
                      <c:formatCode>General</c:formatCode>
                      <c:ptCount val="19"/>
                      <c:pt idx="0">
                        <c:v>3.2876542763721602E-2</c:v>
                      </c:pt>
                      <c:pt idx="1">
                        <c:v>3.3835221139843788E-2</c:v>
                      </c:pt>
                      <c:pt idx="2">
                        <c:v>3.3232629359318609E-2</c:v>
                      </c:pt>
                      <c:pt idx="3">
                        <c:v>3.4837456537034545E-2</c:v>
                      </c:pt>
                      <c:pt idx="4">
                        <c:v>3.6732027986286851E-2</c:v>
                      </c:pt>
                      <c:pt idx="5">
                        <c:v>4.2366992383456092E-2</c:v>
                      </c:pt>
                      <c:pt idx="6">
                        <c:v>4.2550228610773719E-2</c:v>
                      </c:pt>
                      <c:pt idx="7">
                        <c:v>4.2507837349393118E-2</c:v>
                      </c:pt>
                      <c:pt idx="8">
                        <c:v>3.9195278206959859E-2</c:v>
                      </c:pt>
                      <c:pt idx="9">
                        <c:v>3.5053440013768679E-2</c:v>
                      </c:pt>
                      <c:pt idx="10">
                        <c:v>3.0634680905608756E-2</c:v>
                      </c:pt>
                      <c:pt idx="11">
                        <c:v>2.8424400537224455E-2</c:v>
                      </c:pt>
                      <c:pt idx="12">
                        <c:v>2.4579831064464708E-2</c:v>
                      </c:pt>
                      <c:pt idx="13">
                        <c:v>1.8856798821777283E-2</c:v>
                      </c:pt>
                      <c:pt idx="14">
                        <c:v>1.4832702357070709E-2</c:v>
                      </c:pt>
                      <c:pt idx="15">
                        <c:v>1.1255091852855269E-2</c:v>
                      </c:pt>
                      <c:pt idx="16">
                        <c:v>7.1604139379500033E-3</c:v>
                      </c:pt>
                      <c:pt idx="17">
                        <c:v>4.5082046696729846E-3</c:v>
                      </c:pt>
                      <c:pt idx="18">
                        <c:v>2.5803560802369076E-3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0D-EAD2-4E95-AFD7-8B6CFC2C7F7A}"/>
                  </c:ext>
                </c:extLst>
              </c15:ser>
            </c15:filteredScatterSeries>
            <c15:filteredScatterSeries>
              <c15:ser>
                <c:idx val="4"/>
                <c:order val="8"/>
                <c:tx>
                  <c:strRef>
                    <c:extLst xmlns:c15="http://schemas.microsoft.com/office/drawing/2012/chart">
                      <c:ext xmlns:c15="http://schemas.microsoft.com/office/drawing/2012/chart" uri="{02D57815-91ED-43cb-92C2-25804820EDAC}">
                        <c15:formulaRef>
                          <c15:sqref>'[SEDRES - Projeção Relação de Coortes.xlsx]Infor_projeção'!$J$101</c15:sqref>
                        </c15:formulaRef>
                      </c:ext>
                    </c:extLst>
                    <c:strCache>
                      <c:ptCount val="1"/>
                      <c:pt idx="0">
                        <c:v>2035</c:v>
                      </c:pt>
                    </c:strCache>
                  </c:strRef>
                </c:tx>
                <c:spPr>
                  <a:ln w="22225" cap="rnd">
                    <a:solidFill>
                      <a:srgbClr val="0070C0"/>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Coortes.xlsx]Infor_projeção'!$J$102:$J$120</c15:sqref>
                        </c15:formulaRef>
                      </c:ext>
                    </c:extLst>
                    <c:numCache>
                      <c:formatCode>General</c:formatCode>
                      <c:ptCount val="19"/>
                      <c:pt idx="0">
                        <c:v>2.7800081689788161E-2</c:v>
                      </c:pt>
                      <c:pt idx="1">
                        <c:v>2.9728822743422229E-2</c:v>
                      </c:pt>
                      <c:pt idx="2">
                        <c:v>3.1626263061642949E-2</c:v>
                      </c:pt>
                      <c:pt idx="3">
                        <c:v>3.2413810089715091E-2</c:v>
                      </c:pt>
                      <c:pt idx="4">
                        <c:v>3.1191747278888526E-2</c:v>
                      </c:pt>
                      <c:pt idx="5">
                        <c:v>3.2208867241779196E-2</c:v>
                      </c:pt>
                      <c:pt idx="6">
                        <c:v>3.4252959202313589E-2</c:v>
                      </c:pt>
                      <c:pt idx="7">
                        <c:v>4.0178958106274719E-2</c:v>
                      </c:pt>
                      <c:pt idx="8">
                        <c:v>4.0560313951507464E-2</c:v>
                      </c:pt>
                      <c:pt idx="9">
                        <c:v>4.0350855587643085E-2</c:v>
                      </c:pt>
                      <c:pt idx="10">
                        <c:v>3.6829882042408904E-2</c:v>
                      </c:pt>
                      <c:pt idx="11">
                        <c:v>3.2553893708860061E-2</c:v>
                      </c:pt>
                      <c:pt idx="12">
                        <c:v>2.7939446931399051E-2</c:v>
                      </c:pt>
                      <c:pt idx="13">
                        <c:v>2.5113862839151166E-2</c:v>
                      </c:pt>
                      <c:pt idx="14">
                        <c:v>2.065273835253454E-2</c:v>
                      </c:pt>
                      <c:pt idx="15">
                        <c:v>1.4581114059879847E-2</c:v>
                      </c:pt>
                      <c:pt idx="16">
                        <c:v>9.9917078707495149E-3</c:v>
                      </c:pt>
                      <c:pt idx="17">
                        <c:v>6.0935861201250391E-3</c:v>
                      </c:pt>
                      <c:pt idx="18">
                        <c:v>3.8725680354837451E-3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0E-EAD2-4E95-AFD7-8B6CFC2C7F7A}"/>
                  </c:ext>
                </c:extLst>
              </c15:ser>
            </c15:filteredScatterSeries>
            <c15:filteredScatterSeries>
              <c15:ser>
                <c:idx val="5"/>
                <c:order val="9"/>
                <c:tx>
                  <c:strRef>
                    <c:extLst xmlns:c15="http://schemas.microsoft.com/office/drawing/2012/chart">
                      <c:ext xmlns:c15="http://schemas.microsoft.com/office/drawing/2012/chart" uri="{02D57815-91ED-43cb-92C2-25804820EDAC}">
                        <c15:formulaRef>
                          <c15:sqref>'[SEDRES - Projeção Relação de Coortes.xlsx]Infor_projeção'!$K$101</c15:sqref>
                        </c15:formulaRef>
                      </c:ext>
                    </c:extLst>
                    <c:strCache>
                      <c:ptCount val="1"/>
                      <c:pt idx="0">
                        <c:v>2040</c:v>
                      </c:pt>
                    </c:strCache>
                  </c:strRef>
                </c:tx>
                <c:spPr>
                  <a:ln w="22225" cap="rnd">
                    <a:solidFill>
                      <a:schemeClr val="accent2">
                        <a:lumMod val="60000"/>
                        <a:lumOff val="40000"/>
                      </a:schemeClr>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Coortes.xlsx]Infor_projeção'!$K$102:$K$120</c15:sqref>
                        </c15:formulaRef>
                      </c:ext>
                    </c:extLst>
                    <c:numCache>
                      <c:formatCode>General</c:formatCode>
                      <c:ptCount val="19"/>
                      <c:pt idx="0">
                        <c:v>2.5978079677478706E-2</c:v>
                      </c:pt>
                      <c:pt idx="1">
                        <c:v>2.7541614448437661E-2</c:v>
                      </c:pt>
                      <c:pt idx="2">
                        <c:v>2.9509076833444389E-2</c:v>
                      </c:pt>
                      <c:pt idx="3">
                        <c:v>3.1200140823297598E-2</c:v>
                      </c:pt>
                      <c:pt idx="4">
                        <c:v>3.155097380658075E-2</c:v>
                      </c:pt>
                      <c:pt idx="5">
                        <c:v>3.0265675321840251E-2</c:v>
                      </c:pt>
                      <c:pt idx="6">
                        <c:v>3.1581809534447898E-2</c:v>
                      </c:pt>
                      <c:pt idx="7">
                        <c:v>3.380473877747979E-2</c:v>
                      </c:pt>
                      <c:pt idx="8">
                        <c:v>3.9688747021850684E-2</c:v>
                      </c:pt>
                      <c:pt idx="9">
                        <c:v>3.9898572918430103E-2</c:v>
                      </c:pt>
                      <c:pt idx="10">
                        <c:v>3.9487191635063451E-2</c:v>
                      </c:pt>
                      <c:pt idx="11">
                        <c:v>3.5836527349759041E-2</c:v>
                      </c:pt>
                      <c:pt idx="12">
                        <c:v>3.1313171123790742E-2</c:v>
                      </c:pt>
                      <c:pt idx="13">
                        <c:v>2.6383845182591414E-2</c:v>
                      </c:pt>
                      <c:pt idx="14">
                        <c:v>2.3020810848948432E-2</c:v>
                      </c:pt>
                      <c:pt idx="15">
                        <c:v>1.8022563992814253E-2</c:v>
                      </c:pt>
                      <c:pt idx="16">
                        <c:v>1.1741877593596134E-2</c:v>
                      </c:pt>
                      <c:pt idx="17">
                        <c:v>7.0808837478764704E-3</c:v>
                      </c:pt>
                      <c:pt idx="18">
                        <c:v>4.8969586374447436E-3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0F-EAD2-4E95-AFD7-8B6CFC2C7F7A}"/>
                  </c:ext>
                </c:extLst>
              </c15:ser>
            </c15:filteredScatterSeries>
            <c15:filteredScatterSeries>
              <c15:ser>
                <c:idx val="6"/>
                <c:order val="10"/>
                <c:tx>
                  <c:strRef>
                    <c:extLst xmlns:c15="http://schemas.microsoft.com/office/drawing/2012/chart">
                      <c:ext xmlns:c15="http://schemas.microsoft.com/office/drawing/2012/chart" uri="{02D57815-91ED-43cb-92C2-25804820EDAC}">
                        <c15:formulaRef>
                          <c15:sqref>'[SEDRES - Projeção Relação de Coortes.xlsx]Infor_projeção'!$L$101</c15:sqref>
                        </c15:formulaRef>
                      </c:ext>
                    </c:extLst>
                    <c:strCache>
                      <c:ptCount val="1"/>
                      <c:pt idx="0">
                        <c:v>2045</c:v>
                      </c:pt>
                    </c:strCache>
                  </c:strRef>
                </c:tx>
                <c:spPr>
                  <a:ln w="22225" cap="rnd">
                    <a:solidFill>
                      <a:schemeClr val="bg1">
                        <a:lumMod val="50000"/>
                      </a:schemeClr>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Coortes.xlsx]Infor_projeção'!$L$102:$L$120</c15:sqref>
                        </c15:formulaRef>
                      </c:ext>
                    </c:extLst>
                    <c:numCache>
                      <c:formatCode>General</c:formatCode>
                      <c:ptCount val="19"/>
                      <c:pt idx="0">
                        <c:v>2.4784725764089688E-2</c:v>
                      </c:pt>
                      <c:pt idx="1">
                        <c:v>2.5906953012397271E-2</c:v>
                      </c:pt>
                      <c:pt idx="2">
                        <c:v>2.7520902543568506E-2</c:v>
                      </c:pt>
                      <c:pt idx="3">
                        <c:v>2.9296134528998471E-2</c:v>
                      </c:pt>
                      <c:pt idx="4">
                        <c:v>3.0556633101439096E-2</c:v>
                      </c:pt>
                      <c:pt idx="5">
                        <c:v>3.0836550715456944E-2</c:v>
                      </c:pt>
                      <c:pt idx="6">
                        <c:v>2.9861083341506545E-2</c:v>
                      </c:pt>
                      <c:pt idx="7">
                        <c:v>3.1375727062224246E-2</c:v>
                      </c:pt>
                      <c:pt idx="8">
                        <c:v>3.3621102004044438E-2</c:v>
                      </c:pt>
                      <c:pt idx="9">
                        <c:v>3.9319373724991634E-2</c:v>
                      </c:pt>
                      <c:pt idx="10">
                        <c:v>3.9330725882520304E-2</c:v>
                      </c:pt>
                      <c:pt idx="11">
                        <c:v>3.871157307460505E-2</c:v>
                      </c:pt>
                      <c:pt idx="12">
                        <c:v>3.4743636067420362E-2</c:v>
                      </c:pt>
                      <c:pt idx="13">
                        <c:v>2.9823549631479308E-2</c:v>
                      </c:pt>
                      <c:pt idx="14">
                        <c:v>2.4411331825916812E-2</c:v>
                      </c:pt>
                      <c:pt idx="15">
                        <c:v>2.0296430400996046E-2</c:v>
                      </c:pt>
                      <c:pt idx="16">
                        <c:v>1.4700634912875259E-2</c:v>
                      </c:pt>
                      <c:pt idx="17">
                        <c:v>8.4704481351115385E-3</c:v>
                      </c:pt>
                      <c:pt idx="18">
                        <c:v>5.9951664354133318E-3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0-EAD2-4E95-AFD7-8B6CFC2C7F7A}"/>
                  </c:ext>
                </c:extLst>
              </c15:ser>
            </c15:filteredScatterSeries>
            <c15:filteredScatterSeries>
              <c15:ser>
                <c:idx val="21"/>
                <c:order val="14"/>
                <c:tx>
                  <c:strRef>
                    <c:extLst xmlns:c15="http://schemas.microsoft.com/office/drawing/2012/chart">
                      <c:ext xmlns:c15="http://schemas.microsoft.com/office/drawing/2012/chart" uri="{02D57815-91ED-43cb-92C2-25804820EDAC}">
                        <c15:formulaRef>
                          <c15:sqref>'[SEDRES - Projeção Relação de Coortes.xlsx]Infor_projeção'!$P$101</c15:sqref>
                        </c15:formulaRef>
                      </c:ext>
                    </c:extLst>
                    <c:strCache>
                      <c:ptCount val="1"/>
                      <c:pt idx="0">
                        <c:v>2000</c:v>
                      </c:pt>
                    </c:strCache>
                  </c:strRef>
                </c:tx>
                <c:spPr>
                  <a:ln w="22225" cap="rnd">
                    <a:solidFill>
                      <a:srgbClr val="00B050"/>
                    </a:solidFill>
                    <a:prstDash val="solid"/>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Coortes.xlsx]Infor_projeção'!$P$102:$P$120</c15:sqref>
                        </c15:formulaRef>
                      </c:ext>
                    </c:extLst>
                    <c:numCache>
                      <c:formatCode>General</c:formatCode>
                      <c:ptCount val="19"/>
                      <c:pt idx="0">
                        <c:v>-5.7193055799832596E-2</c:v>
                      </c:pt>
                      <c:pt idx="1">
                        <c:v>-5.7719115624897642E-2</c:v>
                      </c:pt>
                      <c:pt idx="2">
                        <c:v>-5.8352650037879199E-2</c:v>
                      </c:pt>
                      <c:pt idx="3">
                        <c:v>-5.5031330092082172E-2</c:v>
                      </c:pt>
                      <c:pt idx="4">
                        <c:v>-4.5320073661530291E-2</c:v>
                      </c:pt>
                      <c:pt idx="5">
                        <c:v>-3.8478138787447234E-2</c:v>
                      </c:pt>
                      <c:pt idx="6">
                        <c:v>-3.5294812529195398E-2</c:v>
                      </c:pt>
                      <c:pt idx="7">
                        <c:v>-3.1864176325676681E-2</c:v>
                      </c:pt>
                      <c:pt idx="8">
                        <c:v>-2.4377130828408072E-2</c:v>
                      </c:pt>
                      <c:pt idx="9">
                        <c:v>-2.0387153195487857E-2</c:v>
                      </c:pt>
                      <c:pt idx="10">
                        <c:v>-1.7311433072995767E-2</c:v>
                      </c:pt>
                      <c:pt idx="11">
                        <c:v>-1.3432613367602424E-2</c:v>
                      </c:pt>
                      <c:pt idx="12">
                        <c:v>-1.1759193253910885E-2</c:v>
                      </c:pt>
                      <c:pt idx="13">
                        <c:v>-8.5045680646299807E-3</c:v>
                      </c:pt>
                      <c:pt idx="14">
                        <c:v>-7.4531061537160227E-3</c:v>
                      </c:pt>
                      <c:pt idx="15">
                        <c:v>-5.4108258876157831E-3</c:v>
                      </c:pt>
                      <c:pt idx="16">
                        <c:v>-2.8820816972618449E-3</c:v>
                      </c:pt>
                      <c:pt idx="17">
                        <c:v>-1.548712758312278E-3</c:v>
                      </c:pt>
                      <c:pt idx="18">
                        <c:v>-6.9733511694669039E-4</c:v>
                      </c:pt>
                    </c:numCache>
                  </c:numRef>
                </c:xVal>
                <c:yVal>
                  <c:numRef>
                    <c:extLst xmlns:c15="http://schemas.microsoft.com/office/drawing/2012/chart">
                      <c:ext xmlns:c15="http://schemas.microsoft.com/office/drawing/2012/chart" uri="{02D57815-91ED-43cb-92C2-25804820EDAC}">
                        <c15:formulaRef>
                          <c15:sqref>'[SEDRES - Projeção Relação de Coortes.xlsx]Tabelas_Graficos'!$A$86:$A$104</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1-EAD2-4E95-AFD7-8B6CFC2C7F7A}"/>
                  </c:ext>
                </c:extLst>
              </c15:ser>
            </c15:filteredScatterSeries>
            <c15:filteredScatterSeries>
              <c15:ser>
                <c:idx val="8"/>
                <c:order val="16"/>
                <c:tx>
                  <c:strRef>
                    <c:extLst xmlns:c15="http://schemas.microsoft.com/office/drawing/2012/chart">
                      <c:ext xmlns:c15="http://schemas.microsoft.com/office/drawing/2012/chart" uri="{02D57815-91ED-43cb-92C2-25804820EDAC}">
                        <c15:formulaRef>
                          <c15:sqref>'[SEDRES - Projeção Relação de Coortes.xlsx]Infor_projeção'!$R$101</c15:sqref>
                        </c15:formulaRef>
                      </c:ext>
                    </c:extLst>
                    <c:strCache>
                      <c:ptCount val="1"/>
                      <c:pt idx="0">
                        <c:v>2015</c:v>
                      </c:pt>
                    </c:strCache>
                  </c:strRef>
                </c:tx>
                <c:spPr>
                  <a:ln w="22225" cap="rnd">
                    <a:solidFill>
                      <a:schemeClr val="accent2">
                        <a:lumMod val="75000"/>
                      </a:schemeClr>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Coortes.xlsx]Infor_projeção'!$R$102:$R$120</c15:sqref>
                        </c15:formulaRef>
                      </c:ext>
                    </c:extLst>
                    <c:numCache>
                      <c:formatCode>General</c:formatCode>
                      <c:ptCount val="19"/>
                      <c:pt idx="0">
                        <c:v>-3.7152507611506763E-2</c:v>
                      </c:pt>
                      <c:pt idx="1">
                        <c:v>-3.8980976089767999E-2</c:v>
                      </c:pt>
                      <c:pt idx="2">
                        <c:v>-4.1678930008499461E-2</c:v>
                      </c:pt>
                      <c:pt idx="3">
                        <c:v>-4.8417414098869807E-2</c:v>
                      </c:pt>
                      <c:pt idx="4">
                        <c:v>-4.6533472831303095E-2</c:v>
                      </c:pt>
                      <c:pt idx="5">
                        <c:v>-4.407234505152962E-2</c:v>
                      </c:pt>
                      <c:pt idx="6">
                        <c:v>-4.0026537104390018E-2</c:v>
                      </c:pt>
                      <c:pt idx="7">
                        <c:v>-3.5430605281121838E-2</c:v>
                      </c:pt>
                      <c:pt idx="8">
                        <c:v>-3.0703964294388927E-2</c:v>
                      </c:pt>
                      <c:pt idx="9">
                        <c:v>-2.8420708778299403E-2</c:v>
                      </c:pt>
                      <c:pt idx="10">
                        <c:v>-2.4908966794594704E-2</c:v>
                      </c:pt>
                      <c:pt idx="11">
                        <c:v>-1.8722290976789353E-2</c:v>
                      </c:pt>
                      <c:pt idx="12">
                        <c:v>-1.5179219219367594E-2</c:v>
                      </c:pt>
                      <c:pt idx="13">
                        <c:v>-1.2664415339820805E-2</c:v>
                      </c:pt>
                      <c:pt idx="14">
                        <c:v>-9.1892809053338888E-3</c:v>
                      </c:pt>
                      <c:pt idx="15">
                        <c:v>-6.821356395041272E-3</c:v>
                      </c:pt>
                      <c:pt idx="16">
                        <c:v>-3.8294191516099405E-3</c:v>
                      </c:pt>
                      <c:pt idx="17">
                        <c:v>-2.2593370866926281E-3</c:v>
                      </c:pt>
                      <c:pt idx="18">
                        <c:v>-1.2577949656085549E-3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2-EAD2-4E95-AFD7-8B6CFC2C7F7A}"/>
                  </c:ext>
                </c:extLst>
              </c15:ser>
            </c15:filteredScatterSeries>
            <c15:filteredScatterSeries>
              <c15:ser>
                <c:idx val="9"/>
                <c:order val="17"/>
                <c:tx>
                  <c:strRef>
                    <c:extLst xmlns:c15="http://schemas.microsoft.com/office/drawing/2012/chart">
                      <c:ext xmlns:c15="http://schemas.microsoft.com/office/drawing/2012/chart" uri="{02D57815-91ED-43cb-92C2-25804820EDAC}">
                        <c15:formulaRef>
                          <c15:sqref>'[SEDRES - Projeção Relação de Coortes.xlsx]Infor_projeção'!$S$101</c15:sqref>
                        </c15:formulaRef>
                      </c:ext>
                    </c:extLst>
                    <c:strCache>
                      <c:ptCount val="1"/>
                      <c:pt idx="0">
                        <c:v>2020</c:v>
                      </c:pt>
                    </c:strCache>
                  </c:strRef>
                </c:tx>
                <c:spPr>
                  <a:ln w="22225" cap="rnd">
                    <a:solidFill>
                      <a:srgbClr val="FFC000"/>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Coortes.xlsx]Infor_projeção'!$S$102:$S$120</c15:sqref>
                        </c15:formulaRef>
                      </c:ext>
                    </c:extLst>
                    <c:numCache>
                      <c:formatCode>General</c:formatCode>
                      <c:ptCount val="19"/>
                      <c:pt idx="0">
                        <c:v>-3.6580993712808367E-2</c:v>
                      </c:pt>
                      <c:pt idx="1">
                        <c:v>-3.5798876912491076E-2</c:v>
                      </c:pt>
                      <c:pt idx="2">
                        <c:v>-3.7661438115361899E-2</c:v>
                      </c:pt>
                      <c:pt idx="3">
                        <c:v>-3.9852148796796126E-2</c:v>
                      </c:pt>
                      <c:pt idx="4">
                        <c:v>-4.5231732304906701E-2</c:v>
                      </c:pt>
                      <c:pt idx="5">
                        <c:v>-4.3128854667983475E-2</c:v>
                      </c:pt>
                      <c:pt idx="6">
                        <c:v>-4.1374805912916202E-2</c:v>
                      </c:pt>
                      <c:pt idx="7">
                        <c:v>-3.7839825178501346E-2</c:v>
                      </c:pt>
                      <c:pt idx="8">
                        <c:v>-3.3429996845846806E-2</c:v>
                      </c:pt>
                      <c:pt idx="9">
                        <c:v>-2.8784967510480649E-2</c:v>
                      </c:pt>
                      <c:pt idx="10">
                        <c:v>-2.6453745725621758E-2</c:v>
                      </c:pt>
                      <c:pt idx="11">
                        <c:v>-2.2927254430453316E-2</c:v>
                      </c:pt>
                      <c:pt idx="12">
                        <c:v>-1.6903779607191468E-2</c:v>
                      </c:pt>
                      <c:pt idx="13">
                        <c:v>-1.3309155120122301E-2</c:v>
                      </c:pt>
                      <c:pt idx="14">
                        <c:v>-1.0603744974632902E-2</c:v>
                      </c:pt>
                      <c:pt idx="15">
                        <c:v>-7.1021778023802207E-3</c:v>
                      </c:pt>
                      <c:pt idx="16">
                        <c:v>-4.6368664130138314E-3</c:v>
                      </c:pt>
                      <c:pt idx="17">
                        <c:v>-2.1459778669434952E-3</c:v>
                      </c:pt>
                      <c:pt idx="18">
                        <c:v>-1.2921361888904585E-3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3-EAD2-4E95-AFD7-8B6CFC2C7F7A}"/>
                  </c:ext>
                </c:extLst>
              </c15:ser>
            </c15:filteredScatterSeries>
            <c15:filteredScatterSeries>
              <c15:ser>
                <c:idx val="10"/>
                <c:order val="18"/>
                <c:tx>
                  <c:strRef>
                    <c:extLst xmlns:c15="http://schemas.microsoft.com/office/drawing/2012/chart">
                      <c:ext xmlns:c15="http://schemas.microsoft.com/office/drawing/2012/chart" uri="{02D57815-91ED-43cb-92C2-25804820EDAC}">
                        <c15:formulaRef>
                          <c15:sqref>'[SEDRES - Projeção Relação de Coortes.xlsx]Infor_projeção'!$T$101</c15:sqref>
                        </c15:formulaRef>
                      </c:ext>
                    </c:extLst>
                    <c:strCache>
                      <c:ptCount val="1"/>
                      <c:pt idx="0">
                        <c:v>2025</c:v>
                      </c:pt>
                    </c:strCache>
                  </c:strRef>
                </c:tx>
                <c:spPr>
                  <a:ln w="22225" cap="rnd">
                    <a:solidFill>
                      <a:srgbClr val="92D050"/>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Coortes.xlsx]Infor_projeção'!$T$102:$T$120</c15:sqref>
                        </c15:formulaRef>
                      </c:ext>
                    </c:extLst>
                    <c:numCache>
                      <c:formatCode>General</c:formatCode>
                      <c:ptCount val="19"/>
                      <c:pt idx="0">
                        <c:v>-3.4464731371345647E-2</c:v>
                      </c:pt>
                      <c:pt idx="1">
                        <c:v>-3.5431676043437055E-2</c:v>
                      </c:pt>
                      <c:pt idx="2">
                        <c:v>-3.4753839773961313E-2</c:v>
                      </c:pt>
                      <c:pt idx="3">
                        <c:v>-3.6200971459341431E-2</c:v>
                      </c:pt>
                      <c:pt idx="4">
                        <c:v>-3.7372877880208016E-2</c:v>
                      </c:pt>
                      <c:pt idx="5">
                        <c:v>-4.2275745193334359E-2</c:v>
                      </c:pt>
                      <c:pt idx="6">
                        <c:v>-4.078855376594958E-2</c:v>
                      </c:pt>
                      <c:pt idx="7">
                        <c:v>-3.9384979101638032E-2</c:v>
                      </c:pt>
                      <c:pt idx="8">
                        <c:v>-3.5950545082735555E-2</c:v>
                      </c:pt>
                      <c:pt idx="9">
                        <c:v>-3.1569938109818167E-2</c:v>
                      </c:pt>
                      <c:pt idx="10">
                        <c:v>-2.698903242687746E-2</c:v>
                      </c:pt>
                      <c:pt idx="11">
                        <c:v>-2.4530233288649412E-2</c:v>
                      </c:pt>
                      <c:pt idx="12">
                        <c:v>-2.0859573965703562E-2</c:v>
                      </c:pt>
                      <c:pt idx="13">
                        <c:v>-1.4957862556296921E-2</c:v>
                      </c:pt>
                      <c:pt idx="14">
                        <c:v>-1.125943695714678E-2</c:v>
                      </c:pt>
                      <c:pt idx="15">
                        <c:v>-8.3022225632363687E-3</c:v>
                      </c:pt>
                      <c:pt idx="16">
                        <c:v>-4.9163265386146767E-3</c:v>
                      </c:pt>
                      <c:pt idx="17">
                        <c:v>-2.6616413239342017E-3</c:v>
                      </c:pt>
                      <c:pt idx="18">
                        <c:v>-1.3096780203535282E-3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4-EAD2-4E95-AFD7-8B6CFC2C7F7A}"/>
                  </c:ext>
                </c:extLst>
              </c15:ser>
            </c15:filteredScatterSeries>
            <c15:filteredScatterSeries>
              <c15:ser>
                <c:idx val="12"/>
                <c:order val="20"/>
                <c:tx>
                  <c:strRef>
                    <c:extLst xmlns:c15="http://schemas.microsoft.com/office/drawing/2012/chart">
                      <c:ext xmlns:c15="http://schemas.microsoft.com/office/drawing/2012/chart" uri="{02D57815-91ED-43cb-92C2-25804820EDAC}">
                        <c15:formulaRef>
                          <c15:sqref>'[SEDRES - Projeção Relação de Coortes.xlsx]Infor_projeção'!$V$101</c15:sqref>
                        </c15:formulaRef>
                      </c:ext>
                    </c:extLst>
                    <c:strCache>
                      <c:ptCount val="1"/>
                      <c:pt idx="0">
                        <c:v>2035</c:v>
                      </c:pt>
                    </c:strCache>
                  </c:strRef>
                </c:tx>
                <c:spPr>
                  <a:ln w="22225" cap="rnd">
                    <a:solidFill>
                      <a:srgbClr val="0070C0"/>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Coortes.xlsx]Infor_projeção'!$V$102:$V$120</c15:sqref>
                        </c15:formulaRef>
                      </c:ext>
                    </c:extLst>
                    <c:numCache>
                      <c:formatCode>General</c:formatCode>
                      <c:ptCount val="19"/>
                      <c:pt idx="0">
                        <c:v>-2.9152786586454683E-2</c:v>
                      </c:pt>
                      <c:pt idx="1">
                        <c:v>-3.1154596897840559E-2</c:v>
                      </c:pt>
                      <c:pt idx="2">
                        <c:v>-3.3127158981053305E-2</c:v>
                      </c:pt>
                      <c:pt idx="3">
                        <c:v>-3.3830861088362488E-2</c:v>
                      </c:pt>
                      <c:pt idx="4">
                        <c:v>-3.2099468605875509E-2</c:v>
                      </c:pt>
                      <c:pt idx="5">
                        <c:v>-3.2472511796785362E-2</c:v>
                      </c:pt>
                      <c:pt idx="6">
                        <c:v>-3.3804383744963661E-2</c:v>
                      </c:pt>
                      <c:pt idx="7">
                        <c:v>-3.9105291568916012E-2</c:v>
                      </c:pt>
                      <c:pt idx="8">
                        <c:v>-3.7883023507365422E-2</c:v>
                      </c:pt>
                      <c:pt idx="9">
                        <c:v>-3.6318807739594304E-2</c:v>
                      </c:pt>
                      <c:pt idx="10">
                        <c:v>-3.2741595495978111E-2</c:v>
                      </c:pt>
                      <c:pt idx="11">
                        <c:v>-2.8251325406550371E-2</c:v>
                      </c:pt>
                      <c:pt idx="12">
                        <c:v>-2.3458618375276317E-2</c:v>
                      </c:pt>
                      <c:pt idx="13">
                        <c:v>-2.0372571114244606E-2</c:v>
                      </c:pt>
                      <c:pt idx="14">
                        <c:v>-1.6169754663809578E-2</c:v>
                      </c:pt>
                      <c:pt idx="15">
                        <c:v>-1.0337350090002442E-2</c:v>
                      </c:pt>
                      <c:pt idx="16">
                        <c:v>-6.4219872785601251E-3</c:v>
                      </c:pt>
                      <c:pt idx="17">
                        <c:v>-3.5282599459369591E-3</c:v>
                      </c:pt>
                      <c:pt idx="18">
                        <c:v>-1.8281681988633215E-3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5-EAD2-4E95-AFD7-8B6CFC2C7F7A}"/>
                  </c:ext>
                </c:extLst>
              </c15:ser>
            </c15:filteredScatterSeries>
            <c15:filteredScatterSeries>
              <c15:ser>
                <c:idx val="13"/>
                <c:order val="21"/>
                <c:tx>
                  <c:strRef>
                    <c:extLst xmlns:c15="http://schemas.microsoft.com/office/drawing/2012/chart">
                      <c:ext xmlns:c15="http://schemas.microsoft.com/office/drawing/2012/chart" uri="{02D57815-91ED-43cb-92C2-25804820EDAC}">
                        <c15:formulaRef>
                          <c15:sqref>'[SEDRES - Projeção Relação de Coortes.xlsx]Infor_projeção'!$W$101</c15:sqref>
                        </c15:formulaRef>
                      </c:ext>
                    </c:extLst>
                    <c:strCache>
                      <c:ptCount val="1"/>
                      <c:pt idx="0">
                        <c:v>2040</c:v>
                      </c:pt>
                    </c:strCache>
                  </c:strRef>
                </c:tx>
                <c:spPr>
                  <a:ln w="22225" cap="rnd">
                    <a:solidFill>
                      <a:schemeClr val="accent2">
                        <a:lumMod val="60000"/>
                        <a:lumOff val="40000"/>
                      </a:schemeClr>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Coortes.xlsx]Infor_projeção'!$W$102:$W$120</c15:sqref>
                        </c15:formulaRef>
                      </c:ext>
                    </c:extLst>
                    <c:numCache>
                      <c:formatCode>General</c:formatCode>
                      <c:ptCount val="19"/>
                      <c:pt idx="0">
                        <c:v>-2.7243876095919127E-2</c:v>
                      </c:pt>
                      <c:pt idx="1">
                        <c:v>-2.886724443154744E-2</c:v>
                      </c:pt>
                      <c:pt idx="2">
                        <c:v>-3.0918637175185937E-2</c:v>
                      </c:pt>
                      <c:pt idx="3">
                        <c:v>-3.2590096993679901E-2</c:v>
                      </c:pt>
                      <c:pt idx="4">
                        <c:v>-3.253291816054877E-2</c:v>
                      </c:pt>
                      <c:pt idx="5">
                        <c:v>-3.0647752453227203E-2</c:v>
                      </c:pt>
                      <c:pt idx="6">
                        <c:v>-3.1459487673570943E-2</c:v>
                      </c:pt>
                      <c:pt idx="7">
                        <c:v>-3.3006175109768041E-2</c:v>
                      </c:pt>
                      <c:pt idx="8">
                        <c:v>-3.8147675363907535E-2</c:v>
                      </c:pt>
                      <c:pt idx="9">
                        <c:v>-3.6768542329796483E-2</c:v>
                      </c:pt>
                      <c:pt idx="10">
                        <c:v>-3.5019993191634652E-2</c:v>
                      </c:pt>
                      <c:pt idx="11">
                        <c:v>-3.1247823885926593E-2</c:v>
                      </c:pt>
                      <c:pt idx="12">
                        <c:v>-2.6487890237878241E-2</c:v>
                      </c:pt>
                      <c:pt idx="13">
                        <c:v>-2.1431137182843819E-2</c:v>
                      </c:pt>
                      <c:pt idx="14">
                        <c:v>-1.7855111695787369E-2</c:v>
                      </c:pt>
                      <c:pt idx="15">
                        <c:v>-1.3212394655657836E-2</c:v>
                      </c:pt>
                      <c:pt idx="16">
                        <c:v>-7.5554680628648601E-3</c:v>
                      </c:pt>
                      <c:pt idx="17">
                        <c:v>-3.9510573693611719E-3</c:v>
                      </c:pt>
                      <c:pt idx="18">
                        <c:v>-2.253458655721549E-3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6-EAD2-4E95-AFD7-8B6CFC2C7F7A}"/>
                  </c:ext>
                </c:extLst>
              </c15:ser>
            </c15:filteredScatterSeries>
            <c15:filteredScatterSeries>
              <c15:ser>
                <c:idx val="14"/>
                <c:order val="22"/>
                <c:tx>
                  <c:strRef>
                    <c:extLst xmlns:c15="http://schemas.microsoft.com/office/drawing/2012/chart">
                      <c:ext xmlns:c15="http://schemas.microsoft.com/office/drawing/2012/chart" uri="{02D57815-91ED-43cb-92C2-25804820EDAC}">
                        <c15:formulaRef>
                          <c15:sqref>'[SEDRES - Projeção Relação de Coortes.xlsx]Infor_projeção'!$X$101</c15:sqref>
                        </c15:formulaRef>
                      </c:ext>
                    </c:extLst>
                    <c:strCache>
                      <c:ptCount val="1"/>
                      <c:pt idx="0">
                        <c:v>2045</c:v>
                      </c:pt>
                    </c:strCache>
                  </c:strRef>
                </c:tx>
                <c:spPr>
                  <a:ln w="22225" cap="rnd">
                    <a:solidFill>
                      <a:schemeClr val="bg1">
                        <a:lumMod val="50000"/>
                      </a:schemeClr>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Coortes.xlsx]Infor_projeção'!$X$102:$X$120</c15:sqref>
                        </c15:formulaRef>
                      </c:ext>
                    </c:extLst>
                    <c:numCache>
                      <c:formatCode>General</c:formatCode>
                      <c:ptCount val="19"/>
                      <c:pt idx="0">
                        <c:v>-2.5993577133359317E-2</c:v>
                      </c:pt>
                      <c:pt idx="1">
                        <c:v>-2.7156917600824802E-2</c:v>
                      </c:pt>
                      <c:pt idx="2">
                        <c:v>-2.8842252771230401E-2</c:v>
                      </c:pt>
                      <c:pt idx="3">
                        <c:v>-3.0616973398213128E-2</c:v>
                      </c:pt>
                      <c:pt idx="4">
                        <c:v>-3.1545293523328223E-2</c:v>
                      </c:pt>
                      <c:pt idx="5">
                        <c:v>-3.1312932244903467E-2</c:v>
                      </c:pt>
                      <c:pt idx="6">
                        <c:v>-2.9894935270713675E-2</c:v>
                      </c:pt>
                      <c:pt idx="7">
                        <c:v>-3.0943935989376836E-2</c:v>
                      </c:pt>
                      <c:pt idx="8">
                        <c:v>-3.2440477621062322E-2</c:v>
                      </c:pt>
                      <c:pt idx="9">
                        <c:v>-3.7321905358392214E-2</c:v>
                      </c:pt>
                      <c:pt idx="10">
                        <c:v>-3.5747637242726615E-2</c:v>
                      </c:pt>
                      <c:pt idx="11">
                        <c:v>-3.3705373876149192E-2</c:v>
                      </c:pt>
                      <c:pt idx="12">
                        <c:v>-2.955672279371074E-2</c:v>
                      </c:pt>
                      <c:pt idx="13">
                        <c:v>-2.4429331643259576E-2</c:v>
                      </c:pt>
                      <c:pt idx="14">
                        <c:v>-1.8980398301185419E-2</c:v>
                      </c:pt>
                      <c:pt idx="15">
                        <c:v>-1.4752077572667359E-2</c:v>
                      </c:pt>
                      <c:pt idx="16">
                        <c:v>-9.793025623046802E-3</c:v>
                      </c:pt>
                      <c:pt idx="17">
                        <c:v>-4.7449973036069078E-3</c:v>
                      </c:pt>
                      <c:pt idx="18">
                        <c:v>-2.6585525671881534E-3</c:v>
                      </c:pt>
                    </c:numCache>
                  </c:numRef>
                </c:xVal>
                <c:yVal>
                  <c:numRef>
                    <c:extLst xmlns:c15="http://schemas.microsoft.com/office/drawing/2012/chart">
                      <c:ext xmlns:c15="http://schemas.microsoft.com/office/drawing/2012/chart" uri="{02D57815-91ED-43cb-92C2-25804820EDAC}">
                        <c15:formulaRef>
                          <c15:sqref>'[SEDRES - Projeção Relação de Coortes.xlsx]Infor_projeção'!$A$102:$A$120</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7-EAD2-4E95-AFD7-8B6CFC2C7F7A}"/>
                  </c:ext>
                </c:extLst>
              </c15:ser>
            </c15:filteredScatterSeries>
          </c:ext>
        </c:extLst>
      </c:scatterChart>
      <c:valAx>
        <c:axId val="1206620927"/>
        <c:scaling>
          <c:orientation val="minMax"/>
        </c:scaling>
        <c:delete val="0"/>
        <c:axPos val="b"/>
        <c:majorGridlines>
          <c:spPr>
            <a:ln w="9525" cap="flat" cmpd="sng" algn="ctr">
              <a:solidFill>
                <a:schemeClr val="tx1">
                  <a:lumMod val="15000"/>
                  <a:lumOff val="85000"/>
                </a:schemeClr>
              </a:solidFill>
              <a:round/>
            </a:ln>
            <a:effectLst/>
          </c:spPr>
        </c:majorGridlines>
        <c:numFmt formatCode="0.00;0.00" sourceLinked="0"/>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206621343"/>
        <c:crosses val="autoZero"/>
        <c:crossBetween val="midCat"/>
      </c:valAx>
      <c:valAx>
        <c:axId val="1206621343"/>
        <c:scaling>
          <c:orientation val="minMax"/>
          <c:max val="90"/>
        </c:scaling>
        <c:delete val="0"/>
        <c:axPos val="l"/>
        <c:numFmt formatCode="General" sourceLinked="1"/>
        <c:majorTickMark val="none"/>
        <c:minorTickMark val="none"/>
        <c:tickLblPos val="low"/>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206620927"/>
        <c:crosses val="autoZero"/>
        <c:crossBetween val="midCat"/>
        <c:majorUnit val="5"/>
      </c:valAx>
      <c:spPr>
        <a:noFill/>
        <a:ln>
          <a:noFill/>
        </a:ln>
        <a:effectLst/>
      </c:spPr>
    </c:plotArea>
    <c:legend>
      <c:legendPos val="b"/>
      <c:legendEntry>
        <c:idx val="5"/>
        <c:delete val="1"/>
      </c:legendEntry>
      <c:legendEntry>
        <c:idx val="6"/>
        <c:delete val="1"/>
      </c:legendEntry>
      <c:legendEntry>
        <c:idx val="7"/>
        <c:delete val="1"/>
      </c:legendEntry>
      <c:legendEntry>
        <c:idx val="8"/>
        <c:delete val="1"/>
      </c:legendEntry>
      <c:legendEntry>
        <c:idx val="9"/>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'[SEDRES - Projeção Relação de Coortes.xlsx]Tabelas_Graficos'!$B$35</c:f>
              <c:strCache>
                <c:ptCount val="1"/>
                <c:pt idx="0">
                  <c:v>Crianças</c:v>
                </c:pt>
              </c:strCache>
            </c:strRef>
          </c:tx>
          <c:spPr>
            <a:solidFill>
              <a:schemeClr val="accent6"/>
            </a:solidFill>
            <a:ln>
              <a:noFill/>
            </a:ln>
            <a:effectLst/>
          </c:spPr>
          <c:invertIfNegative val="0"/>
          <c:cat>
            <c:numRef>
              <c:f>'[SEDRES - Projeção Relação de Coortes.xlsx]Tabelas_Graficos'!$A$36:$A$46</c:f>
              <c:numCache>
                <c:formatCode>General</c:formatCode>
                <c:ptCount val="7"/>
                <c:pt idx="0">
                  <c:v>1991</c:v>
                </c:pt>
                <c:pt idx="1">
                  <c:v>2000</c:v>
                </c:pt>
                <c:pt idx="2">
                  <c:v>2010</c:v>
                </c:pt>
                <c:pt idx="3">
                  <c:v>2020</c:v>
                </c:pt>
                <c:pt idx="4">
                  <c:v>2030</c:v>
                </c:pt>
                <c:pt idx="5">
                  <c:v>2040</c:v>
                </c:pt>
                <c:pt idx="6">
                  <c:v>2050</c:v>
                </c:pt>
              </c:numCache>
              <c:extLst/>
            </c:numRef>
          </c:cat>
          <c:val>
            <c:numRef>
              <c:f>'[SEDRES - Projeção Relação de Coortes.xlsx]Tabelas_Graficos'!$B$36:$B$46</c:f>
              <c:numCache>
                <c:formatCode>#,##0</c:formatCode>
                <c:ptCount val="7"/>
                <c:pt idx="0">
                  <c:v>154961</c:v>
                </c:pt>
                <c:pt idx="1">
                  <c:v>158307</c:v>
                </c:pt>
                <c:pt idx="2">
                  <c:v>144124</c:v>
                </c:pt>
                <c:pt idx="3">
                  <c:v>137321.20554553461</c:v>
                </c:pt>
                <c:pt idx="4">
                  <c:v>132045.69198242103</c:v>
                </c:pt>
                <c:pt idx="5">
                  <c:v>119434.53304734504</c:v>
                </c:pt>
                <c:pt idx="6">
                  <c:v>111898.90945689914</c:v>
                </c:pt>
              </c:numCache>
              <c:extLst/>
            </c:numRef>
          </c:val>
          <c:extLst>
            <c:ext xmlns:c16="http://schemas.microsoft.com/office/drawing/2014/chart" uri="{C3380CC4-5D6E-409C-BE32-E72D297353CC}">
              <c16:uniqueId val="{00000000-6ADF-4B77-AE7A-EBF140A24A58}"/>
            </c:ext>
          </c:extLst>
        </c:ser>
        <c:ser>
          <c:idx val="1"/>
          <c:order val="1"/>
          <c:tx>
            <c:strRef>
              <c:f>'[SEDRES - Projeção Relação de Coortes.xlsx]Tabelas_Graficos'!$C$35</c:f>
              <c:strCache>
                <c:ptCount val="1"/>
                <c:pt idx="0">
                  <c:v>PIA</c:v>
                </c:pt>
              </c:strCache>
            </c:strRef>
          </c:tx>
          <c:spPr>
            <a:solidFill>
              <a:schemeClr val="accent5"/>
            </a:solidFill>
            <a:ln>
              <a:noFill/>
            </a:ln>
            <a:effectLst/>
          </c:spPr>
          <c:invertIfNegative val="0"/>
          <c:cat>
            <c:numRef>
              <c:f>'[SEDRES - Projeção Relação de Coortes.xlsx]Tabelas_Graficos'!$A$36:$A$46</c:f>
              <c:numCache>
                <c:formatCode>General</c:formatCode>
                <c:ptCount val="7"/>
                <c:pt idx="0">
                  <c:v>1991</c:v>
                </c:pt>
                <c:pt idx="1">
                  <c:v>2000</c:v>
                </c:pt>
                <c:pt idx="2">
                  <c:v>2010</c:v>
                </c:pt>
                <c:pt idx="3">
                  <c:v>2020</c:v>
                </c:pt>
                <c:pt idx="4">
                  <c:v>2030</c:v>
                </c:pt>
                <c:pt idx="5">
                  <c:v>2040</c:v>
                </c:pt>
                <c:pt idx="6">
                  <c:v>2050</c:v>
                </c:pt>
              </c:numCache>
              <c:extLst/>
            </c:numRef>
          </c:cat>
          <c:val>
            <c:numRef>
              <c:f>'[SEDRES - Projeção Relação de Coortes.xlsx]Tabelas_Graficos'!$C$36:$C$46</c:f>
              <c:numCache>
                <c:formatCode>#,##0</c:formatCode>
                <c:ptCount val="7"/>
                <c:pt idx="0">
                  <c:v>218631</c:v>
                </c:pt>
                <c:pt idx="1">
                  <c:v>278721</c:v>
                </c:pt>
                <c:pt idx="2">
                  <c:v>347766</c:v>
                </c:pt>
                <c:pt idx="3">
                  <c:v>397228.15757786488</c:v>
                </c:pt>
                <c:pt idx="4">
                  <c:v>419380.67116093775</c:v>
                </c:pt>
                <c:pt idx="5">
                  <c:v>425954.07775431057</c:v>
                </c:pt>
                <c:pt idx="6">
                  <c:v>406263.99999339506</c:v>
                </c:pt>
              </c:numCache>
              <c:extLst/>
            </c:numRef>
          </c:val>
          <c:extLst>
            <c:ext xmlns:c16="http://schemas.microsoft.com/office/drawing/2014/chart" uri="{C3380CC4-5D6E-409C-BE32-E72D297353CC}">
              <c16:uniqueId val="{00000001-6ADF-4B77-AE7A-EBF140A24A58}"/>
            </c:ext>
          </c:extLst>
        </c:ser>
        <c:ser>
          <c:idx val="2"/>
          <c:order val="2"/>
          <c:tx>
            <c:strRef>
              <c:f>'[SEDRES - Projeção Relação de Coortes.xlsx]Tabelas_Graficos'!$D$35</c:f>
              <c:strCache>
                <c:ptCount val="1"/>
                <c:pt idx="0">
                  <c:v>Idosos</c:v>
                </c:pt>
              </c:strCache>
            </c:strRef>
          </c:tx>
          <c:spPr>
            <a:solidFill>
              <a:schemeClr val="accent4"/>
            </a:solidFill>
            <a:ln>
              <a:noFill/>
            </a:ln>
            <a:effectLst/>
          </c:spPr>
          <c:invertIfNegative val="0"/>
          <c:cat>
            <c:numRef>
              <c:f>'[SEDRES - Projeção Relação de Coortes.xlsx]Tabelas_Graficos'!$A$36:$A$46</c:f>
              <c:numCache>
                <c:formatCode>General</c:formatCode>
                <c:ptCount val="7"/>
                <c:pt idx="0">
                  <c:v>1991</c:v>
                </c:pt>
                <c:pt idx="1">
                  <c:v>2000</c:v>
                </c:pt>
                <c:pt idx="2">
                  <c:v>2010</c:v>
                </c:pt>
                <c:pt idx="3">
                  <c:v>2020</c:v>
                </c:pt>
                <c:pt idx="4">
                  <c:v>2030</c:v>
                </c:pt>
                <c:pt idx="5">
                  <c:v>2040</c:v>
                </c:pt>
                <c:pt idx="6">
                  <c:v>2050</c:v>
                </c:pt>
              </c:numCache>
              <c:extLst/>
            </c:numRef>
          </c:cat>
          <c:val>
            <c:numRef>
              <c:f>'[SEDRES - Projeção Relação de Coortes.xlsx]Tabelas_Graficos'!$D$36:$D$46</c:f>
              <c:numCache>
                <c:formatCode>#,##0</c:formatCode>
                <c:ptCount val="7"/>
                <c:pt idx="0">
                  <c:v>23899</c:v>
                </c:pt>
                <c:pt idx="1">
                  <c:v>30850</c:v>
                </c:pt>
                <c:pt idx="2">
                  <c:v>42249</c:v>
                </c:pt>
                <c:pt idx="3">
                  <c:v>51271.337272597455</c:v>
                </c:pt>
                <c:pt idx="4">
                  <c:v>65254.056349082304</c:v>
                </c:pt>
                <c:pt idx="5">
                  <c:v>85911.31193854408</c:v>
                </c:pt>
                <c:pt idx="6">
                  <c:v>113293.36777938201</c:v>
                </c:pt>
              </c:numCache>
              <c:extLst/>
            </c:numRef>
          </c:val>
          <c:extLst>
            <c:ext xmlns:c16="http://schemas.microsoft.com/office/drawing/2014/chart" uri="{C3380CC4-5D6E-409C-BE32-E72D297353CC}">
              <c16:uniqueId val="{00000002-6ADF-4B77-AE7A-EBF140A24A58}"/>
            </c:ext>
          </c:extLst>
        </c:ser>
        <c:dLbls>
          <c:showLegendKey val="0"/>
          <c:showVal val="0"/>
          <c:showCatName val="0"/>
          <c:showSerName val="0"/>
          <c:showPercent val="0"/>
          <c:showBubbleSize val="0"/>
        </c:dLbls>
        <c:gapWidth val="150"/>
        <c:overlap val="100"/>
        <c:axId val="8721423"/>
        <c:axId val="8722671"/>
      </c:barChart>
      <c:lineChart>
        <c:grouping val="standard"/>
        <c:varyColors val="0"/>
        <c:ser>
          <c:idx val="3"/>
          <c:order val="3"/>
          <c:tx>
            <c:strRef>
              <c:f>'[SEDRES - Projeção Relação de Coortes.xlsx]Tabelas_Graficos'!$E$35</c:f>
              <c:strCache>
                <c:ptCount val="1"/>
                <c:pt idx="0">
                  <c:v>Total</c:v>
                </c:pt>
              </c:strCache>
            </c:strRef>
          </c:tx>
          <c:spPr>
            <a:ln w="12700" cap="rnd">
              <a:solidFill>
                <a:schemeClr val="accent6">
                  <a:lumMod val="60000"/>
                </a:schemeClr>
              </a:solidFill>
              <a:round/>
            </a:ln>
            <a:effectLst/>
          </c:spPr>
          <c:marker>
            <c:symbol val="none"/>
          </c:marker>
          <c:dLbls>
            <c:dLbl>
              <c:idx val="3"/>
              <c:spPr>
                <a:noFill/>
                <a:ln>
                  <a:noFill/>
                </a:ln>
                <a:effectLst/>
              </c:spPr>
              <c:txPr>
                <a:bodyPr rot="0" spcFirstLastPara="1" vertOverflow="ellipsis" vert="horz" wrap="square" anchor="ctr" anchorCtr="1"/>
                <a:lstStyle/>
                <a:p>
                  <a:pPr>
                    <a:defRPr sz="900" b="0"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extLst>
                <c:ext xmlns:c16="http://schemas.microsoft.com/office/drawing/2014/chart" uri="{C3380CC4-5D6E-409C-BE32-E72D297353CC}">
                  <c16:uniqueId val="{00000004-6ADF-4B77-AE7A-EBF140A24A58}"/>
                </c:ext>
              </c:extLst>
            </c:dLbl>
            <c:dLbl>
              <c:idx val="4"/>
              <c:spPr>
                <a:noFill/>
                <a:ln>
                  <a:noFill/>
                </a:ln>
                <a:effectLst/>
              </c:spPr>
              <c:txPr>
                <a:bodyPr rot="0" spcFirstLastPara="1" vertOverflow="ellipsis" vert="horz" wrap="square" anchor="ctr" anchorCtr="1"/>
                <a:lstStyle/>
                <a:p>
                  <a:pPr>
                    <a:defRPr sz="900" b="0"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extLst>
                <c:ext xmlns:c16="http://schemas.microsoft.com/office/drawing/2014/chart" uri="{C3380CC4-5D6E-409C-BE32-E72D297353CC}">
                  <c16:uniqueId val="{00000005-6ADF-4B77-AE7A-EBF140A24A58}"/>
                </c:ext>
              </c:extLst>
            </c:dLbl>
            <c:dLbl>
              <c:idx val="5"/>
              <c:spPr>
                <a:noFill/>
                <a:ln>
                  <a:noFill/>
                </a:ln>
                <a:effectLst/>
              </c:spPr>
              <c:txPr>
                <a:bodyPr rot="0" spcFirstLastPara="1" vertOverflow="ellipsis" vert="horz" wrap="square" anchor="ctr" anchorCtr="1"/>
                <a:lstStyle/>
                <a:p>
                  <a:pPr>
                    <a:defRPr sz="900" b="0"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extLst>
                <c:ext xmlns:c16="http://schemas.microsoft.com/office/drawing/2014/chart" uri="{C3380CC4-5D6E-409C-BE32-E72D297353CC}">
                  <c16:uniqueId val="{00000006-6ADF-4B77-AE7A-EBF140A24A58}"/>
                </c:ext>
              </c:extLst>
            </c:dLbl>
            <c:dLbl>
              <c:idx val="6"/>
              <c:spPr>
                <a:noFill/>
                <a:ln>
                  <a:noFill/>
                </a:ln>
                <a:effectLst/>
              </c:spPr>
              <c:txPr>
                <a:bodyPr rot="0" spcFirstLastPara="1" vertOverflow="ellipsis" vert="horz" wrap="square" anchor="ctr" anchorCtr="1"/>
                <a:lstStyle/>
                <a:p>
                  <a:pPr>
                    <a:defRPr sz="900" b="0"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extLst>
                <c:ext xmlns:c16="http://schemas.microsoft.com/office/drawing/2014/chart" uri="{C3380CC4-5D6E-409C-BE32-E72D297353CC}">
                  <c16:uniqueId val="{00000007-6ADF-4B77-AE7A-EBF140A24A58}"/>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'[SEDRES - Projeção Relação de Coortes.xlsx]Tabelas_Graficos'!$A$36:$A$46</c:f>
              <c:numCache>
                <c:formatCode>General</c:formatCode>
                <c:ptCount val="7"/>
                <c:pt idx="0">
                  <c:v>1991</c:v>
                </c:pt>
                <c:pt idx="1">
                  <c:v>2000</c:v>
                </c:pt>
                <c:pt idx="2">
                  <c:v>2010</c:v>
                </c:pt>
                <c:pt idx="3">
                  <c:v>2020</c:v>
                </c:pt>
                <c:pt idx="4">
                  <c:v>2030</c:v>
                </c:pt>
                <c:pt idx="5">
                  <c:v>2040</c:v>
                </c:pt>
                <c:pt idx="6">
                  <c:v>2050</c:v>
                </c:pt>
              </c:numCache>
              <c:extLst/>
            </c:numRef>
          </c:cat>
          <c:val>
            <c:numRef>
              <c:f>'[SEDRES - Projeção Relação de Coortes.xlsx]Tabelas_Graficos'!$E$36:$E$46</c:f>
              <c:numCache>
                <c:formatCode>#,##0</c:formatCode>
                <c:ptCount val="7"/>
                <c:pt idx="0">
                  <c:v>397491</c:v>
                </c:pt>
                <c:pt idx="1">
                  <c:v>467878</c:v>
                </c:pt>
                <c:pt idx="2">
                  <c:v>534139</c:v>
                </c:pt>
                <c:pt idx="3">
                  <c:v>585820.70039599692</c:v>
                </c:pt>
                <c:pt idx="4">
                  <c:v>616680.41949244111</c:v>
                </c:pt>
                <c:pt idx="5">
                  <c:v>631299.9227401996</c:v>
                </c:pt>
                <c:pt idx="6">
                  <c:v>631456.27722967626</c:v>
                </c:pt>
              </c:numCache>
              <c:extLst/>
            </c:numRef>
          </c:val>
          <c:smooth val="0"/>
          <c:extLst>
            <c:ext xmlns:c16="http://schemas.microsoft.com/office/drawing/2014/chart" uri="{C3380CC4-5D6E-409C-BE32-E72D297353CC}">
              <c16:uniqueId val="{00000003-6ADF-4B77-AE7A-EBF140A24A58}"/>
            </c:ext>
          </c:extLst>
        </c:ser>
        <c:dLbls>
          <c:showLegendKey val="0"/>
          <c:showVal val="0"/>
          <c:showCatName val="0"/>
          <c:showSerName val="0"/>
          <c:showPercent val="0"/>
          <c:showBubbleSize val="0"/>
        </c:dLbls>
        <c:marker val="1"/>
        <c:smooth val="0"/>
        <c:axId val="8721423"/>
        <c:axId val="8722671"/>
      </c:lineChart>
      <c:catAx>
        <c:axId val="872142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8722671"/>
        <c:crosses val="autoZero"/>
        <c:auto val="1"/>
        <c:lblAlgn val="ctr"/>
        <c:lblOffset val="100"/>
        <c:noMultiLvlLbl val="0"/>
      </c:catAx>
      <c:valAx>
        <c:axId val="872267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87214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19"/>
          <c:order val="0"/>
          <c:tx>
            <c:strRef>
              <c:f>'[SEDRES - Projeção Relação de Coortes.xlsx]Tabelas_Graficos'!$M$85</c:f>
              <c:strCache>
                <c:ptCount val="1"/>
                <c:pt idx="0">
                  <c:v>1991</c:v>
                </c:pt>
              </c:strCache>
            </c:strRef>
          </c:tx>
          <c:spPr>
            <a:ln w="22225" cap="rnd">
              <a:solidFill>
                <a:schemeClr val="tx1"/>
              </a:solidFill>
              <a:prstDash val="solid"/>
              <a:round/>
            </a:ln>
            <a:effectLst/>
          </c:spPr>
          <c:marker>
            <c:symbol val="none"/>
          </c:marker>
          <c:xVal>
            <c:numRef>
              <c:f>'[SEDRES - Projeção Relação de Coortes.xlsx]Tabelas_Graficos'!$M$86:$M$104</c:f>
              <c:numCache>
                <c:formatCode>General</c:formatCode>
                <c:ptCount val="19"/>
                <c:pt idx="0">
                  <c:v>-6.6567712395280379E-2</c:v>
                </c:pt>
                <c:pt idx="1">
                  <c:v>-6.428589398475433E-2</c:v>
                </c:pt>
                <c:pt idx="2">
                  <c:v>-6.4522377921457139E-2</c:v>
                </c:pt>
                <c:pt idx="3">
                  <c:v>-5.3548516943822483E-2</c:v>
                </c:pt>
                <c:pt idx="4">
                  <c:v>-3.9374575461017886E-2</c:v>
                </c:pt>
                <c:pt idx="5">
                  <c:v>-3.3306498276686206E-2</c:v>
                </c:pt>
                <c:pt idx="6">
                  <c:v>-2.5527686231100154E-2</c:v>
                </c:pt>
                <c:pt idx="7">
                  <c:v>-2.231754257968754E-2</c:v>
                </c:pt>
                <c:pt idx="8">
                  <c:v>-2.1049586153110769E-2</c:v>
                </c:pt>
                <c:pt idx="9">
                  <c:v>-1.8035673853430276E-2</c:v>
                </c:pt>
                <c:pt idx="10">
                  <c:v>-1.5658255553598833E-2</c:v>
                </c:pt>
                <c:pt idx="11">
                  <c:v>-1.2287101562303454E-2</c:v>
                </c:pt>
                <c:pt idx="12">
                  <c:v>-1.0078240962036781E-2</c:v>
                </c:pt>
                <c:pt idx="13">
                  <c:v>-9.280736622304964E-3</c:v>
                </c:pt>
                <c:pt idx="14">
                  <c:v>-6.873128883745503E-3</c:v>
                </c:pt>
                <c:pt idx="15">
                  <c:v>-5.2001308209011551E-3</c:v>
                </c:pt>
                <c:pt idx="16">
                  <c:v>-2.7648494301743438E-3</c:v>
                </c:pt>
                <c:pt idx="17">
                  <c:v>-1.1144934463760095E-3</c:v>
                </c:pt>
                <c:pt idx="18">
                  <c:v>-6.5913607889506653E-4</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0-B6E8-4D6F-8851-1688C8E770C5}"/>
            </c:ext>
          </c:extLst>
        </c:ser>
        <c:ser>
          <c:idx val="18"/>
          <c:order val="1"/>
          <c:tx>
            <c:strRef>
              <c:f>'[SEDRES - Projeção Relação de Coortes.xlsx]Tabelas_Graficos'!$B$85</c:f>
              <c:strCache>
                <c:ptCount val="1"/>
                <c:pt idx="0">
                  <c:v>1991</c:v>
                </c:pt>
              </c:strCache>
            </c:strRef>
          </c:tx>
          <c:spPr>
            <a:ln w="22225" cap="rnd">
              <a:solidFill>
                <a:schemeClr val="tx1"/>
              </a:solidFill>
              <a:prstDash val="solid"/>
              <a:round/>
            </a:ln>
            <a:effectLst/>
          </c:spPr>
          <c:marker>
            <c:symbol val="none"/>
          </c:marker>
          <c:xVal>
            <c:numRef>
              <c:f>'[SEDRES - Projeção Relação de Coortes.xlsx]Tabelas_Graficos'!$B$86:$B$104</c:f>
              <c:numCache>
                <c:formatCode>General</c:formatCode>
                <c:ptCount val="19"/>
                <c:pt idx="0">
                  <c:v>6.5146292988502857E-2</c:v>
                </c:pt>
                <c:pt idx="1">
                  <c:v>6.3815441897909386E-2</c:v>
                </c:pt>
                <c:pt idx="2">
                  <c:v>6.5511082039799745E-2</c:v>
                </c:pt>
                <c:pt idx="3">
                  <c:v>5.7364965156356133E-2</c:v>
                </c:pt>
                <c:pt idx="4">
                  <c:v>4.6051472993031271E-2</c:v>
                </c:pt>
                <c:pt idx="5">
                  <c:v>3.9533070014339984E-2</c:v>
                </c:pt>
                <c:pt idx="6">
                  <c:v>3.1246069083498956E-2</c:v>
                </c:pt>
                <c:pt idx="7">
                  <c:v>2.8048504364889683E-2</c:v>
                </c:pt>
                <c:pt idx="8">
                  <c:v>2.5716370223150268E-2</c:v>
                </c:pt>
                <c:pt idx="9">
                  <c:v>2.1371606832876301E-2</c:v>
                </c:pt>
                <c:pt idx="10">
                  <c:v>1.9301114493446375E-2</c:v>
                </c:pt>
                <c:pt idx="11">
                  <c:v>1.6455759893330649E-2</c:v>
                </c:pt>
                <c:pt idx="12">
                  <c:v>1.375632091373368E-2</c:v>
                </c:pt>
                <c:pt idx="13">
                  <c:v>1.2473269767792901E-2</c:v>
                </c:pt>
                <c:pt idx="14">
                  <c:v>8.5234848675438384E-3</c:v>
                </c:pt>
                <c:pt idx="15">
                  <c:v>6.6467080932853658E-3</c:v>
                </c:pt>
                <c:pt idx="16">
                  <c:v>3.2202067976552871E-3</c:v>
                </c:pt>
                <c:pt idx="17">
                  <c:v>2.176155374977987E-3</c:v>
                </c:pt>
                <c:pt idx="18">
                  <c:v>1.1899670431960553E-3</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1-B6E8-4D6F-8851-1688C8E770C5}"/>
            </c:ext>
          </c:extLst>
        </c:ser>
        <c:ser>
          <c:idx val="20"/>
          <c:order val="2"/>
          <c:tx>
            <c:strRef>
              <c:f>'[SEDRES - Projeção Relação de Coortes.xlsx]Tabelas_Graficos'!$C$85</c:f>
              <c:strCache>
                <c:ptCount val="1"/>
                <c:pt idx="0">
                  <c:v>2000</c:v>
                </c:pt>
              </c:strCache>
            </c:strRef>
          </c:tx>
          <c:spPr>
            <a:ln w="22225" cap="rnd">
              <a:solidFill>
                <a:srgbClr val="7030A0"/>
              </a:solidFill>
              <a:prstDash val="solid"/>
              <a:round/>
            </a:ln>
            <a:effectLst/>
          </c:spPr>
          <c:marker>
            <c:symbol val="none"/>
          </c:marker>
          <c:xVal>
            <c:numRef>
              <c:f>'[SEDRES - Projeção Relação de Coortes.xlsx]Tabelas_Graficos'!$C$86:$C$104</c:f>
              <c:numCache>
                <c:formatCode>General</c:formatCode>
                <c:ptCount val="19"/>
                <c:pt idx="0">
                  <c:v>5.617686229988731E-2</c:v>
                </c:pt>
                <c:pt idx="1">
                  <c:v>5.497885187531492E-2</c:v>
                </c:pt>
                <c:pt idx="2">
                  <c:v>5.8393077046914758E-2</c:v>
                </c:pt>
                <c:pt idx="3">
                  <c:v>5.4759321169241447E-2</c:v>
                </c:pt>
                <c:pt idx="4">
                  <c:v>4.9064067423106754E-2</c:v>
                </c:pt>
                <c:pt idx="5">
                  <c:v>3.9141279508585744E-2</c:v>
                </c:pt>
                <c:pt idx="6">
                  <c:v>3.5068462218765487E-2</c:v>
                </c:pt>
                <c:pt idx="7">
                  <c:v>3.0717572701252163E-2</c:v>
                </c:pt>
                <c:pt idx="8">
                  <c:v>2.5948529457884603E-2</c:v>
                </c:pt>
                <c:pt idx="9">
                  <c:v>2.2709928851143545E-2</c:v>
                </c:pt>
                <c:pt idx="10">
                  <c:v>1.9644862040631997E-2</c:v>
                </c:pt>
                <c:pt idx="11">
                  <c:v>1.7585454940799886E-2</c:v>
                </c:pt>
                <c:pt idx="12">
                  <c:v>1.5705853943085095E-2</c:v>
                </c:pt>
                <c:pt idx="13">
                  <c:v>1.1789844300460178E-2</c:v>
                </c:pt>
                <c:pt idx="14">
                  <c:v>9.6614418358621171E-3</c:v>
                </c:pt>
                <c:pt idx="15">
                  <c:v>7.4849516927908205E-3</c:v>
                </c:pt>
                <c:pt idx="16">
                  <c:v>4.0560911407860872E-3</c:v>
                </c:pt>
                <c:pt idx="17">
                  <c:v>2.6113700179597023E-3</c:v>
                </c:pt>
                <c:pt idx="18">
                  <c:v>1.4635380404898254E-3</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2-B6E8-4D6F-8851-1688C8E770C5}"/>
            </c:ext>
          </c:extLst>
        </c:ser>
        <c:ser>
          <c:idx val="21"/>
          <c:order val="3"/>
          <c:tx>
            <c:strRef>
              <c:f>'[SEDRES - Projeção Relação de Coortes.xlsx]Tabelas_Graficos'!$N$85</c:f>
              <c:strCache>
                <c:ptCount val="1"/>
                <c:pt idx="0">
                  <c:v>2000</c:v>
                </c:pt>
              </c:strCache>
            </c:strRef>
          </c:tx>
          <c:spPr>
            <a:ln w="22225" cap="rnd">
              <a:solidFill>
                <a:srgbClr val="7030A0"/>
              </a:solidFill>
              <a:prstDash val="solid"/>
              <a:round/>
            </a:ln>
            <a:effectLst/>
          </c:spPr>
          <c:marker>
            <c:symbol val="none"/>
          </c:marker>
          <c:xVal>
            <c:numRef>
              <c:f>'[SEDRES - Projeção Relação de Coortes.xlsx]Tabelas_Graficos'!$N$86:$N$104</c:f>
              <c:numCache>
                <c:formatCode>General</c:formatCode>
                <c:ptCount val="19"/>
                <c:pt idx="0">
                  <c:v>-5.899730918077413E-2</c:v>
                </c:pt>
                <c:pt idx="1">
                  <c:v>-5.6429845304029121E-2</c:v>
                </c:pt>
                <c:pt idx="2">
                  <c:v>-5.8796595392364093E-2</c:v>
                </c:pt>
                <c:pt idx="3">
                  <c:v>-5.450006585921182E-2</c:v>
                </c:pt>
                <c:pt idx="4">
                  <c:v>-4.7930870826041777E-2</c:v>
                </c:pt>
                <c:pt idx="5">
                  <c:v>-3.7353672330558883E-2</c:v>
                </c:pt>
                <c:pt idx="6">
                  <c:v>-3.2172747667224902E-2</c:v>
                </c:pt>
                <c:pt idx="7">
                  <c:v>-2.7922215043916596E-2</c:v>
                </c:pt>
                <c:pt idx="8">
                  <c:v>-2.2053427501552397E-2</c:v>
                </c:pt>
                <c:pt idx="9">
                  <c:v>-1.8685199239796526E-2</c:v>
                </c:pt>
                <c:pt idx="10">
                  <c:v>-1.6481529104544704E-2</c:v>
                </c:pt>
                <c:pt idx="11">
                  <c:v>-1.3888976004248443E-2</c:v>
                </c:pt>
                <c:pt idx="12">
                  <c:v>-1.2063734990894703E-2</c:v>
                </c:pt>
                <c:pt idx="13">
                  <c:v>-8.5533344623483932E-3</c:v>
                </c:pt>
                <c:pt idx="14">
                  <c:v>-6.5461965782480612E-3</c:v>
                </c:pt>
                <c:pt idx="15">
                  <c:v>-5.5907153146711325E-3</c:v>
                </c:pt>
                <c:pt idx="16">
                  <c:v>-3.0399775869602943E-3</c:v>
                </c:pt>
                <c:pt idx="17">
                  <c:v>-1.2356442598992668E-3</c:v>
                </c:pt>
                <c:pt idx="18">
                  <c:v>-7.9658284775231919E-4</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3-B6E8-4D6F-8851-1688C8E770C5}"/>
            </c:ext>
          </c:extLst>
        </c:ser>
        <c:ser>
          <c:idx val="17"/>
          <c:order val="4"/>
          <c:tx>
            <c:strRef>
              <c:f>'[SEDRES - Projeção Relação de Coortes.xlsx]Tabelas_Graficos'!$O$85</c:f>
              <c:strCache>
                <c:ptCount val="1"/>
                <c:pt idx="0">
                  <c:v>2010</c:v>
                </c:pt>
              </c:strCache>
            </c:strRef>
          </c:tx>
          <c:spPr>
            <a:ln w="22225" cap="rnd">
              <a:solidFill>
                <a:srgbClr val="0070C0"/>
              </a:solidFill>
              <a:prstDash val="solid"/>
              <a:round/>
            </a:ln>
            <a:effectLst/>
          </c:spPr>
          <c:marker>
            <c:symbol val="none"/>
          </c:marker>
          <c:xVal>
            <c:numRef>
              <c:f>'[SEDRES - Projeção Relação de Coortes.xlsx]Tabelas_Graficos'!$O$86:$O$104</c:f>
              <c:numCache>
                <c:formatCode>General</c:formatCode>
                <c:ptCount val="19"/>
                <c:pt idx="0">
                  <c:v>-4.3341813386255708E-2</c:v>
                </c:pt>
                <c:pt idx="1">
                  <c:v>-4.4998083275709325E-2</c:v>
                </c:pt>
                <c:pt idx="2">
                  <c:v>-5.1564468883952892E-2</c:v>
                </c:pt>
                <c:pt idx="3">
                  <c:v>-4.839316142120062E-2</c:v>
                </c:pt>
                <c:pt idx="4">
                  <c:v>-4.8981935102833635E-2</c:v>
                </c:pt>
                <c:pt idx="5">
                  <c:v>-4.2443062283451426E-2</c:v>
                </c:pt>
                <c:pt idx="6">
                  <c:v>-3.828679697946262E-2</c:v>
                </c:pt>
                <c:pt idx="7">
                  <c:v>-3.1505811618100482E-2</c:v>
                </c:pt>
                <c:pt idx="8">
                  <c:v>-2.7382561660745302E-2</c:v>
                </c:pt>
                <c:pt idx="9">
                  <c:v>-2.2973178699232027E-2</c:v>
                </c:pt>
                <c:pt idx="10">
                  <c:v>-1.7929167407983476E-2</c:v>
                </c:pt>
                <c:pt idx="11">
                  <c:v>-1.524942177288743E-2</c:v>
                </c:pt>
                <c:pt idx="12">
                  <c:v>-1.3338200039985253E-2</c:v>
                </c:pt>
                <c:pt idx="13">
                  <c:v>-1.1388460402677178E-2</c:v>
                </c:pt>
                <c:pt idx="14">
                  <c:v>-9.2644731025805158E-3</c:v>
                </c:pt>
                <c:pt idx="15">
                  <c:v>-5.7226600831619895E-3</c:v>
                </c:pt>
                <c:pt idx="16">
                  <c:v>-3.637190687471226E-3</c:v>
                </c:pt>
                <c:pt idx="17">
                  <c:v>-1.9313977780671715E-3</c:v>
                </c:pt>
                <c:pt idx="18">
                  <c:v>-9.6294761014745016E-4</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4-B6E8-4D6F-8851-1688C8E770C5}"/>
            </c:ext>
          </c:extLst>
        </c:ser>
        <c:ser>
          <c:idx val="16"/>
          <c:order val="5"/>
          <c:tx>
            <c:strRef>
              <c:f>'[SEDRES - Projeção Relação de Coortes.xlsx]Tabelas_Graficos'!$D$85</c:f>
              <c:strCache>
                <c:ptCount val="1"/>
                <c:pt idx="0">
                  <c:v>2010</c:v>
                </c:pt>
              </c:strCache>
            </c:strRef>
          </c:tx>
          <c:spPr>
            <a:ln w="22225" cap="rnd">
              <a:solidFill>
                <a:srgbClr val="0070C0"/>
              </a:solidFill>
              <a:prstDash val="solid"/>
              <a:round/>
            </a:ln>
            <a:effectLst/>
          </c:spPr>
          <c:marker>
            <c:symbol val="none"/>
          </c:marker>
          <c:xVal>
            <c:numRef>
              <c:f>'[SEDRES - Projeção Relação de Coortes.xlsx]Tabelas_Graficos'!$D$86:$D$104</c:f>
              <c:numCache>
                <c:formatCode>General</c:formatCode>
                <c:ptCount val="19"/>
                <c:pt idx="0">
                  <c:v>4.280256272457314E-2</c:v>
                </c:pt>
                <c:pt idx="1">
                  <c:v>4.2894272020777661E-2</c:v>
                </c:pt>
                <c:pt idx="2">
                  <c:v>4.9260731363295375E-2</c:v>
                </c:pt>
                <c:pt idx="3">
                  <c:v>4.9264399735143551E-2</c:v>
                </c:pt>
                <c:pt idx="4">
                  <c:v>5.1320522156048869E-2</c:v>
                </c:pt>
                <c:pt idx="5">
                  <c:v>4.506594815490067E-2</c:v>
                </c:pt>
                <c:pt idx="6">
                  <c:v>4.2160597651141503E-2</c:v>
                </c:pt>
                <c:pt idx="7">
                  <c:v>3.4561565367635057E-2</c:v>
                </c:pt>
                <c:pt idx="8">
                  <c:v>3.1393926276730967E-2</c:v>
                </c:pt>
                <c:pt idx="9">
                  <c:v>2.7083589355118572E-2</c:v>
                </c:pt>
                <c:pt idx="10">
                  <c:v>2.2811770337912072E-2</c:v>
                </c:pt>
                <c:pt idx="11">
                  <c:v>1.9229605228163558E-2</c:v>
                </c:pt>
                <c:pt idx="12">
                  <c:v>1.7353233027819097E-2</c:v>
                </c:pt>
                <c:pt idx="13">
                  <c:v>1.3877450701667826E-2</c:v>
                </c:pt>
                <c:pt idx="14">
                  <c:v>1.2444951494953237E-2</c:v>
                </c:pt>
                <c:pt idx="15">
                  <c:v>8.0649155082254068E-3</c:v>
                </c:pt>
                <c:pt idx="16">
                  <c:v>5.4713766115616078E-3</c:v>
                </c:pt>
                <c:pt idx="17">
                  <c:v>3.80043323471527E-3</c:v>
                </c:pt>
                <c:pt idx="18">
                  <c:v>1.8433568537108334E-3</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5-B6E8-4D6F-8851-1688C8E770C5}"/>
            </c:ext>
          </c:extLst>
        </c:ser>
        <c:ser>
          <c:idx val="1"/>
          <c:order val="7"/>
          <c:tx>
            <c:strRef>
              <c:f>'[SEDRES - Projeção Relação de Coortes.xlsx]Tabelas_Graficos'!$F$85</c:f>
              <c:strCache>
                <c:ptCount val="1"/>
                <c:pt idx="0">
                  <c:v>2020</c:v>
                </c:pt>
              </c:strCache>
            </c:strRef>
          </c:tx>
          <c:spPr>
            <a:ln w="22225" cap="rnd">
              <a:solidFill>
                <a:srgbClr val="00B0F0"/>
              </a:solidFill>
              <a:prstDash val="sysDash"/>
              <a:round/>
            </a:ln>
            <a:effectLst/>
          </c:spPr>
          <c:marker>
            <c:symbol val="none"/>
          </c:marker>
          <c:xVal>
            <c:numRef>
              <c:f>'[SEDRES - Projeção Relação de Coortes.xlsx]Tabelas_Graficos'!$F$86:$F$104</c:f>
              <c:numCache>
                <c:formatCode>General</c:formatCode>
                <c:ptCount val="19"/>
                <c:pt idx="0">
                  <c:v>3.85077497489155E-2</c:v>
                </c:pt>
                <c:pt idx="1">
                  <c:v>3.7474704287703116E-2</c:v>
                </c:pt>
                <c:pt idx="2">
                  <c:v>3.9413038254049987E-2</c:v>
                </c:pt>
                <c:pt idx="3">
                  <c:v>3.9689253938556338E-2</c:v>
                </c:pt>
                <c:pt idx="4">
                  <c:v>4.5130272151834676E-2</c:v>
                </c:pt>
                <c:pt idx="5">
                  <c:v>4.3906669141417651E-2</c:v>
                </c:pt>
                <c:pt idx="6">
                  <c:v>4.5389565514630338E-2</c:v>
                </c:pt>
                <c:pt idx="7">
                  <c:v>4.0404092225699018E-2</c:v>
                </c:pt>
                <c:pt idx="8">
                  <c:v>3.8091151839694831E-2</c:v>
                </c:pt>
                <c:pt idx="9">
                  <c:v>3.1095903253786372E-2</c:v>
                </c:pt>
                <c:pt idx="10">
                  <c:v>2.7786467929084933E-2</c:v>
                </c:pt>
                <c:pt idx="11">
                  <c:v>2.3721930426355047E-2</c:v>
                </c:pt>
                <c:pt idx="12">
                  <c:v>1.9575226381629885E-2</c:v>
                </c:pt>
                <c:pt idx="13">
                  <c:v>1.5655269245652036E-2</c:v>
                </c:pt>
                <c:pt idx="14">
                  <c:v>1.3248998673357075E-2</c:v>
                </c:pt>
                <c:pt idx="15">
                  <c:v>9.3842848538244726E-3</c:v>
                </c:pt>
                <c:pt idx="16">
                  <c:v>7.2039017661710289E-3</c:v>
                </c:pt>
                <c:pt idx="17">
                  <c:v>3.7635482906767589E-3</c:v>
                </c:pt>
                <c:pt idx="18">
                  <c:v>1.9531075833760256E-3</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6-B6E8-4D6F-8851-1688C8E770C5}"/>
            </c:ext>
          </c:extLst>
        </c:ser>
        <c:ser>
          <c:idx val="3"/>
          <c:order val="9"/>
          <c:tx>
            <c:strRef>
              <c:f>'[SEDRES - Projeção Relação de Coortes.xlsx]Tabelas_Graficos'!$H$85</c:f>
              <c:strCache>
                <c:ptCount val="1"/>
                <c:pt idx="0">
                  <c:v>2030</c:v>
                </c:pt>
              </c:strCache>
            </c:strRef>
          </c:tx>
          <c:spPr>
            <a:ln w="22225" cap="rnd">
              <a:solidFill>
                <a:srgbClr val="FFC000"/>
              </a:solidFill>
              <a:prstDash val="sysDash"/>
              <a:round/>
            </a:ln>
            <a:effectLst/>
          </c:spPr>
          <c:marker>
            <c:symbol val="none"/>
          </c:marker>
          <c:xVal>
            <c:numRef>
              <c:f>'[SEDRES - Projeção Relação de Coortes.xlsx]Tabelas_Graficos'!$H$86:$H$104</c:f>
              <c:numCache>
                <c:formatCode>General</c:formatCode>
                <c:ptCount val="19"/>
                <c:pt idx="0">
                  <c:v>3.3361299563066008E-2</c:v>
                </c:pt>
                <c:pt idx="1">
                  <c:v>3.5260252664663039E-2</c:v>
                </c:pt>
                <c:pt idx="2">
                  <c:v>3.61585685160071E-2</c:v>
                </c:pt>
                <c:pt idx="3">
                  <c:v>3.5223273235034408E-2</c:v>
                </c:pt>
                <c:pt idx="4">
                  <c:v>3.6463093916285723E-2</c:v>
                </c:pt>
                <c:pt idx="5">
                  <c:v>3.5886834346693437E-2</c:v>
                </c:pt>
                <c:pt idx="6">
                  <c:v>4.0899909227771682E-2</c:v>
                </c:pt>
                <c:pt idx="7">
                  <c:v>4.0312980673195643E-2</c:v>
                </c:pt>
                <c:pt idx="8">
                  <c:v>4.1954880727328739E-2</c:v>
                </c:pt>
                <c:pt idx="9">
                  <c:v>3.7210031265130873E-2</c:v>
                </c:pt>
                <c:pt idx="10">
                  <c:v>3.4559064671862663E-2</c:v>
                </c:pt>
                <c:pt idx="11">
                  <c:v>2.7948367927126551E-2</c:v>
                </c:pt>
                <c:pt idx="12">
                  <c:v>2.4518518458048599E-2</c:v>
                </c:pt>
                <c:pt idx="13">
                  <c:v>1.9951739586896253E-2</c:v>
                </c:pt>
                <c:pt idx="14">
                  <c:v>1.5529104128580645E-2</c:v>
                </c:pt>
                <c:pt idx="15">
                  <c:v>1.1117193798493017E-2</c:v>
                </c:pt>
                <c:pt idx="16">
                  <c:v>8.1898055221059154E-3</c:v>
                </c:pt>
                <c:pt idx="17">
                  <c:v>4.8123563973689132E-3</c:v>
                </c:pt>
                <c:pt idx="18">
                  <c:v>2.7401743251061037E-3</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7-B6E8-4D6F-8851-1688C8E770C5}"/>
            </c:ext>
          </c:extLst>
        </c:ser>
        <c:ser>
          <c:idx val="5"/>
          <c:order val="11"/>
          <c:tx>
            <c:strRef>
              <c:f>'[SEDRES - Projeção Relação de Coortes.xlsx]Tabelas_Graficos'!$J$85</c:f>
              <c:strCache>
                <c:ptCount val="1"/>
                <c:pt idx="0">
                  <c:v>2040</c:v>
                </c:pt>
              </c:strCache>
            </c:strRef>
          </c:tx>
          <c:spPr>
            <a:ln w="22225" cap="rnd">
              <a:solidFill>
                <a:schemeClr val="accent2"/>
              </a:solidFill>
              <a:prstDash val="sysDash"/>
              <a:round/>
            </a:ln>
            <a:effectLst/>
          </c:spPr>
          <c:marker>
            <c:symbol val="none"/>
          </c:marker>
          <c:xVal>
            <c:numRef>
              <c:f>'[SEDRES - Projeção Relação de Coortes.xlsx]Tabelas_Graficos'!$J$86:$J$104</c:f>
              <c:numCache>
                <c:formatCode>General</c:formatCode>
                <c:ptCount val="19"/>
                <c:pt idx="0">
                  <c:v>2.9719789865282672E-2</c:v>
                </c:pt>
                <c:pt idx="1">
                  <c:v>3.0671164160967455E-2</c:v>
                </c:pt>
                <c:pt idx="2">
                  <c:v>3.2157272958803128E-2</c:v>
                </c:pt>
                <c:pt idx="3">
                  <c:v>3.398014227597853E-2</c:v>
                </c:pt>
                <c:pt idx="4">
                  <c:v>3.4251495724456321E-2</c:v>
                </c:pt>
                <c:pt idx="5">
                  <c:v>3.2459755225439271E-2</c:v>
                </c:pt>
                <c:pt idx="6">
                  <c:v>3.3741732054426259E-2</c:v>
                </c:pt>
                <c:pt idx="7">
                  <c:v>3.382012183922091E-2</c:v>
                </c:pt>
                <c:pt idx="8">
                  <c:v>3.8860439462943853E-2</c:v>
                </c:pt>
                <c:pt idx="9">
                  <c:v>3.8193530335888161E-2</c:v>
                </c:pt>
                <c:pt idx="10">
                  <c:v>3.921932814773299E-2</c:v>
                </c:pt>
                <c:pt idx="11">
                  <c:v>3.4502844234203522E-2</c:v>
                </c:pt>
                <c:pt idx="12">
                  <c:v>3.1491095011743929E-2</c:v>
                </c:pt>
                <c:pt idx="13">
                  <c:v>2.4338680056448715E-2</c:v>
                </c:pt>
                <c:pt idx="14">
                  <c:v>2.0213880450214855E-2</c:v>
                </c:pt>
                <c:pt idx="15">
                  <c:v>1.484969524178366E-2</c:v>
                </c:pt>
                <c:pt idx="16">
                  <c:v>1.0156138527505259E-2</c:v>
                </c:pt>
                <c:pt idx="17">
                  <c:v>6.1289504935605754E-3</c:v>
                </c:pt>
                <c:pt idx="18">
                  <c:v>3.644390231673266E-3</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8-B6E8-4D6F-8851-1688C8E770C5}"/>
            </c:ext>
          </c:extLst>
        </c:ser>
        <c:ser>
          <c:idx val="7"/>
          <c:order val="13"/>
          <c:tx>
            <c:strRef>
              <c:f>'[SEDRES - Projeção Relação de Coortes.xlsx]Tabelas_Graficos'!$L$85</c:f>
              <c:strCache>
                <c:ptCount val="1"/>
                <c:pt idx="0">
                  <c:v>2050</c:v>
                </c:pt>
              </c:strCache>
            </c:strRef>
          </c:tx>
          <c:spPr>
            <a:ln w="22225" cap="rnd">
              <a:solidFill>
                <a:srgbClr val="FF0000"/>
              </a:solidFill>
              <a:prstDash val="sysDash"/>
              <a:round/>
            </a:ln>
            <a:effectLst/>
          </c:spPr>
          <c:marker>
            <c:symbol val="none"/>
          </c:marker>
          <c:xVal>
            <c:numRef>
              <c:f>'[SEDRES - Projeção Relação de Coortes.xlsx]Tabelas_Graficos'!$L$86:$L$104</c:f>
              <c:numCache>
                <c:formatCode>General</c:formatCode>
                <c:ptCount val="19"/>
                <c:pt idx="0">
                  <c:v>2.8529468883593812E-2</c:v>
                </c:pt>
                <c:pt idx="1">
                  <c:v>2.8904723106229022E-2</c:v>
                </c:pt>
                <c:pt idx="2">
                  <c:v>2.9221312290178915E-2</c:v>
                </c:pt>
                <c:pt idx="3">
                  <c:v>3.0083451832777195E-2</c:v>
                </c:pt>
                <c:pt idx="4">
                  <c:v>3.093557294680583E-2</c:v>
                </c:pt>
                <c:pt idx="5">
                  <c:v>3.1873971253418246E-2</c:v>
                </c:pt>
                <c:pt idx="6">
                  <c:v>3.224243421594334E-2</c:v>
                </c:pt>
                <c:pt idx="7">
                  <c:v>3.1171433079165502E-2</c:v>
                </c:pt>
                <c:pt idx="8">
                  <c:v>3.277794195359672E-2</c:v>
                </c:pt>
                <c:pt idx="9">
                  <c:v>3.2777218612354317E-2</c:v>
                </c:pt>
                <c:pt idx="10">
                  <c:v>3.7150379286681454E-2</c:v>
                </c:pt>
                <c:pt idx="11">
                  <c:v>3.6250424142874042E-2</c:v>
                </c:pt>
                <c:pt idx="12">
                  <c:v>3.6644879364894412E-2</c:v>
                </c:pt>
                <c:pt idx="13">
                  <c:v>3.0850298398943366E-2</c:v>
                </c:pt>
                <c:pt idx="14">
                  <c:v>2.6765079530308048E-2</c:v>
                </c:pt>
                <c:pt idx="15">
                  <c:v>1.8733412848356203E-2</c:v>
                </c:pt>
                <c:pt idx="16">
                  <c:v>1.3749011798745481E-2</c:v>
                </c:pt>
                <c:pt idx="17">
                  <c:v>8.6289033784185676E-3</c:v>
                </c:pt>
                <c:pt idx="18">
                  <c:v>4.9134174775923014E-3</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9-B6E8-4D6F-8851-1688C8E770C5}"/>
            </c:ext>
          </c:extLst>
        </c:ser>
        <c:ser>
          <c:idx val="9"/>
          <c:order val="15"/>
          <c:tx>
            <c:strRef>
              <c:f>'[SEDRES - Projeção Relação de Coortes.xlsx]Tabelas_Graficos'!$Q$85</c:f>
              <c:strCache>
                <c:ptCount val="1"/>
                <c:pt idx="0">
                  <c:v>2020</c:v>
                </c:pt>
              </c:strCache>
            </c:strRef>
          </c:tx>
          <c:spPr>
            <a:ln w="22225" cap="rnd">
              <a:solidFill>
                <a:srgbClr val="00B0F0"/>
              </a:solidFill>
              <a:prstDash val="sysDash"/>
              <a:round/>
            </a:ln>
            <a:effectLst/>
          </c:spPr>
          <c:marker>
            <c:symbol val="none"/>
          </c:marker>
          <c:xVal>
            <c:numRef>
              <c:f>'[SEDRES - Projeção Relação de Coortes.xlsx]Tabelas_Graficos'!$Q$86:$Q$104</c:f>
              <c:numCache>
                <c:formatCode>General</c:formatCode>
                <c:ptCount val="19"/>
                <c:pt idx="0">
                  <c:v>-4.0279772121807847E-2</c:v>
                </c:pt>
                <c:pt idx="1">
                  <c:v>-3.9068485410474162E-2</c:v>
                </c:pt>
                <c:pt idx="2">
                  <c:v>-3.966450077780434E-2</c:v>
                </c:pt>
                <c:pt idx="3">
                  <c:v>-4.1109586980314916E-2</c:v>
                </c:pt>
                <c:pt idx="4">
                  <c:v>-4.6056318567846775E-2</c:v>
                </c:pt>
                <c:pt idx="5">
                  <c:v>-4.1287189243781455E-2</c:v>
                </c:pt>
                <c:pt idx="6">
                  <c:v>-4.1105557505071798E-2</c:v>
                </c:pt>
                <c:pt idx="7">
                  <c:v>-3.6641132837004764E-2</c:v>
                </c:pt>
                <c:pt idx="8">
                  <c:v>-3.3359396885489612E-2</c:v>
                </c:pt>
                <c:pt idx="9">
                  <c:v>-2.7004575231588168E-2</c:v>
                </c:pt>
                <c:pt idx="10">
                  <c:v>-2.3127202554418958E-2</c:v>
                </c:pt>
                <c:pt idx="11">
                  <c:v>-1.9098663762715722E-2</c:v>
                </c:pt>
                <c:pt idx="12">
                  <c:v>-1.4491064583460765E-2</c:v>
                </c:pt>
                <c:pt idx="13">
                  <c:v>-1.1888206194816196E-2</c:v>
                </c:pt>
                <c:pt idx="14">
                  <c:v>-9.7585977881038712E-3</c:v>
                </c:pt>
                <c:pt idx="15">
                  <c:v>-7.3124337614285002E-3</c:v>
                </c:pt>
                <c:pt idx="16">
                  <c:v>-4.5733417765008921E-3</c:v>
                </c:pt>
                <c:pt idx="17">
                  <c:v>-1.8068848115337019E-3</c:v>
                </c:pt>
                <c:pt idx="18">
                  <c:v>-9.7195369942250018E-4</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A-B6E8-4D6F-8851-1688C8E770C5}"/>
            </c:ext>
          </c:extLst>
        </c:ser>
        <c:ser>
          <c:idx val="11"/>
          <c:order val="17"/>
          <c:tx>
            <c:strRef>
              <c:f>'[SEDRES - Projeção Relação de Coortes.xlsx]Tabelas_Graficos'!$S$85</c:f>
              <c:strCache>
                <c:ptCount val="1"/>
                <c:pt idx="0">
                  <c:v>2030</c:v>
                </c:pt>
              </c:strCache>
            </c:strRef>
          </c:tx>
          <c:spPr>
            <a:ln w="22225" cap="rnd">
              <a:solidFill>
                <a:srgbClr val="FFC000"/>
              </a:solidFill>
              <a:prstDash val="sysDash"/>
              <a:round/>
            </a:ln>
            <a:effectLst/>
          </c:spPr>
          <c:marker>
            <c:symbol val="none"/>
          </c:marker>
          <c:xVal>
            <c:numRef>
              <c:f>'[SEDRES - Projeção Relação de Coortes.xlsx]Tabelas_Graficos'!$S$86:$S$104</c:f>
              <c:numCache>
                <c:formatCode>General</c:formatCode>
                <c:ptCount val="19"/>
                <c:pt idx="0">
                  <c:v>-3.4921058017792127E-2</c:v>
                </c:pt>
                <c:pt idx="1">
                  <c:v>-3.6817790730844548E-2</c:v>
                </c:pt>
                <c:pt idx="2">
                  <c:v>-3.7604404314600298E-2</c:v>
                </c:pt>
                <c:pt idx="3">
                  <c:v>-3.6322897993179754E-2</c:v>
                </c:pt>
                <c:pt idx="4">
                  <c:v>-3.5836216703678758E-2</c:v>
                </c:pt>
                <c:pt idx="5">
                  <c:v>-3.5692587681871342E-2</c:v>
                </c:pt>
                <c:pt idx="6">
                  <c:v>-3.9913315845781581E-2</c:v>
                </c:pt>
                <c:pt idx="7">
                  <c:v>-3.6714430442794703E-2</c:v>
                </c:pt>
                <c:pt idx="8">
                  <c:v>-3.6837703650344805E-2</c:v>
                </c:pt>
                <c:pt idx="9">
                  <c:v>-3.2336443941266252E-2</c:v>
                </c:pt>
                <c:pt idx="10">
                  <c:v>-2.901481018977722E-2</c:v>
                </c:pt>
                <c:pt idx="11">
                  <c:v>-2.3130622332662894E-2</c:v>
                </c:pt>
                <c:pt idx="12">
                  <c:v>-1.9285614163039134E-2</c:v>
                </c:pt>
                <c:pt idx="13">
                  <c:v>-1.5441407844456139E-2</c:v>
                </c:pt>
                <c:pt idx="14">
                  <c:v>-1.1064562422025276E-2</c:v>
                </c:pt>
                <c:pt idx="15">
                  <c:v>-8.0276136201355968E-3</c:v>
                </c:pt>
                <c:pt idx="16">
                  <c:v>-5.1490253259245744E-3</c:v>
                </c:pt>
                <c:pt idx="17">
                  <c:v>-2.5225596720556825E-3</c:v>
                </c:pt>
                <c:pt idx="18">
                  <c:v>-1.2694861570035671E-3</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B-B6E8-4D6F-8851-1688C8E770C5}"/>
            </c:ext>
          </c:extLst>
        </c:ser>
        <c:ser>
          <c:idx val="13"/>
          <c:order val="19"/>
          <c:tx>
            <c:strRef>
              <c:f>'[SEDRES - Projeção Relação de Coortes.xlsx]Tabelas_Graficos'!$U$85</c:f>
              <c:strCache>
                <c:ptCount val="1"/>
                <c:pt idx="0">
                  <c:v>2040</c:v>
                </c:pt>
              </c:strCache>
            </c:strRef>
          </c:tx>
          <c:spPr>
            <a:ln w="22225" cap="rnd">
              <a:solidFill>
                <a:schemeClr val="accent2"/>
              </a:solidFill>
              <a:prstDash val="sysDash"/>
              <a:round/>
            </a:ln>
            <a:effectLst/>
          </c:spPr>
          <c:marker>
            <c:symbol val="none"/>
          </c:marker>
          <c:xVal>
            <c:numRef>
              <c:f>'[SEDRES - Projeção Relação de Coortes.xlsx]Tabelas_Graficos'!$U$86:$U$104</c:f>
              <c:numCache>
                <c:formatCode>General</c:formatCode>
                <c:ptCount val="19"/>
                <c:pt idx="0">
                  <c:v>-3.1119865732670043E-2</c:v>
                </c:pt>
                <c:pt idx="1">
                  <c:v>-3.2043642640689506E-2</c:v>
                </c:pt>
                <c:pt idx="2">
                  <c:v>-3.3476523257129909E-2</c:v>
                </c:pt>
                <c:pt idx="3">
                  <c:v>-3.5107936201779176E-2</c:v>
                </c:pt>
                <c:pt idx="4">
                  <c:v>-3.4914989362939818E-2</c:v>
                </c:pt>
                <c:pt idx="5">
                  <c:v>-3.2255180410733046E-2</c:v>
                </c:pt>
                <c:pt idx="6">
                  <c:v>-3.1755446575830924E-2</c:v>
                </c:pt>
                <c:pt idx="7">
                  <c:v>-3.2694847612884097E-2</c:v>
                </c:pt>
                <c:pt idx="8">
                  <c:v>-3.6951062784872986E-2</c:v>
                </c:pt>
                <c:pt idx="9">
                  <c:v>-3.3499126243881454E-2</c:v>
                </c:pt>
                <c:pt idx="10">
                  <c:v>-3.3194101627995104E-2</c:v>
                </c:pt>
                <c:pt idx="11">
                  <c:v>-2.8724521456101264E-2</c:v>
                </c:pt>
                <c:pt idx="12">
                  <c:v>-2.5107679434167803E-2</c:v>
                </c:pt>
                <c:pt idx="13">
                  <c:v>-1.945518436226051E-2</c:v>
                </c:pt>
                <c:pt idx="14">
                  <c:v>-1.5368596513177589E-2</c:v>
                </c:pt>
                <c:pt idx="15">
                  <c:v>-1.0986754378483688E-2</c:v>
                </c:pt>
                <c:pt idx="16">
                  <c:v>-6.2436274421189646E-3</c:v>
                </c:pt>
                <c:pt idx="17">
                  <c:v>-2.9978368281343326E-3</c:v>
                </c:pt>
                <c:pt idx="18">
                  <c:v>-1.7026308358764936E-3</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C-B6E8-4D6F-8851-1688C8E770C5}"/>
            </c:ext>
          </c:extLst>
        </c:ser>
        <c:ser>
          <c:idx val="15"/>
          <c:order val="21"/>
          <c:tx>
            <c:strRef>
              <c:f>'[SEDRES - Projeção Relação de Coortes.xlsx]Tabelas_Graficos'!$W$85</c:f>
              <c:strCache>
                <c:ptCount val="1"/>
                <c:pt idx="0">
                  <c:v>2050</c:v>
                </c:pt>
              </c:strCache>
            </c:strRef>
          </c:tx>
          <c:spPr>
            <a:ln w="22225" cap="rnd">
              <a:solidFill>
                <a:srgbClr val="FF0000"/>
              </a:solidFill>
              <a:prstDash val="sysDash"/>
              <a:round/>
            </a:ln>
            <a:effectLst/>
          </c:spPr>
          <c:marker>
            <c:symbol val="none"/>
          </c:marker>
          <c:xVal>
            <c:numRef>
              <c:f>'[SEDRES - Projeção Relação de Coortes.xlsx]Tabelas_Graficos'!$W$86:$W$104</c:f>
              <c:numCache>
                <c:formatCode>General</c:formatCode>
                <c:ptCount val="19"/>
                <c:pt idx="0">
                  <c:v>-2.988258832909594E-2</c:v>
                </c:pt>
                <c:pt idx="1">
                  <c:v>-3.0218195049130009E-2</c:v>
                </c:pt>
                <c:pt idx="2">
                  <c:v>-3.0451404294446881E-2</c:v>
                </c:pt>
                <c:pt idx="3">
                  <c:v>-3.1121082647400298E-2</c:v>
                </c:pt>
                <c:pt idx="4">
                  <c:v>-3.1587991625568551E-2</c:v>
                </c:pt>
                <c:pt idx="5">
                  <c:v>-3.1801701456364864E-2</c:v>
                </c:pt>
                <c:pt idx="6">
                  <c:v>-3.15943143245042E-2</c:v>
                </c:pt>
                <c:pt idx="7">
                  <c:v>-3.0186852129445461E-2</c:v>
                </c:pt>
                <c:pt idx="8">
                  <c:v>-3.0138918695633655E-2</c:v>
                </c:pt>
                <c:pt idx="9">
                  <c:v>-3.0622719951914342E-2</c:v>
                </c:pt>
                <c:pt idx="10">
                  <c:v>-3.4209664723402027E-2</c:v>
                </c:pt>
                <c:pt idx="11">
                  <c:v>-3.0593498838943068E-2</c:v>
                </c:pt>
                <c:pt idx="12">
                  <c:v>-2.9611843751829139E-2</c:v>
                </c:pt>
                <c:pt idx="13">
                  <c:v>-2.4960736975682685E-2</c:v>
                </c:pt>
                <c:pt idx="14">
                  <c:v>-2.0717261246379168E-2</c:v>
                </c:pt>
                <c:pt idx="15">
                  <c:v>-1.4384039613821556E-2</c:v>
                </c:pt>
                <c:pt idx="16">
                  <c:v>-9.0800630755009416E-3</c:v>
                </c:pt>
                <c:pt idx="17">
                  <c:v>-4.3749555651336142E-3</c:v>
                </c:pt>
                <c:pt idx="18">
                  <c:v>-2.2588333049267306E-3</c:v>
                </c:pt>
              </c:numCache>
            </c:numRef>
          </c:xVal>
          <c:yVal>
            <c:numRef>
              <c:f>'[SEDRES - Projeção Relação de Coortes.xlsx]Tabelas_Graficos'!$A$86:$A$104</c:f>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D-B6E8-4D6F-8851-1688C8E770C5}"/>
            </c:ext>
          </c:extLst>
        </c:ser>
        <c:dLbls>
          <c:showLegendKey val="0"/>
          <c:showVal val="0"/>
          <c:showCatName val="0"/>
          <c:showSerName val="0"/>
          <c:showPercent val="0"/>
          <c:showBubbleSize val="0"/>
        </c:dLbls>
        <c:axId val="1206620927"/>
        <c:axId val="1206621343"/>
        <c:extLst>
          <c:ext xmlns:c15="http://schemas.microsoft.com/office/drawing/2012/chart" uri="{02D57815-91ED-43cb-92C2-25804820EDAC}">
            <c15:filteredScatterSeries>
              <c15:ser>
                <c:idx val="0"/>
                <c:order val="6"/>
                <c:tx>
                  <c:strRef>
                    <c:extLst>
                      <c:ext uri="{02D57815-91ED-43cb-92C2-25804820EDAC}">
                        <c15:formulaRef>
                          <c15:sqref>'[SEDRES - Projeção Relação de Coortes.xlsx]Tabelas_Graficos'!$E$85</c15:sqref>
                        </c15:formulaRef>
                      </c:ext>
                    </c:extLst>
                    <c:strCache>
                      <c:ptCount val="1"/>
                      <c:pt idx="0">
                        <c:v>2015</c:v>
                      </c:pt>
                    </c:strCache>
                  </c:strRef>
                </c:tx>
                <c:spPr>
                  <a:ln w="22225" cap="rnd">
                    <a:solidFill>
                      <a:schemeClr val="accent2">
                        <a:lumMod val="75000"/>
                      </a:schemeClr>
                    </a:solidFill>
                    <a:prstDash val="sysDash"/>
                    <a:round/>
                  </a:ln>
                  <a:effectLst/>
                </c:spPr>
                <c:marker>
                  <c:symbol val="none"/>
                </c:marker>
                <c:xVal>
                  <c:numRef>
                    <c:extLst>
                      <c:ext uri="{02D57815-91ED-43cb-92C2-25804820EDAC}">
                        <c15:formulaRef>
                          <c15:sqref>'[SEDRES - Projeção Relação de Coortes.xlsx]Tabelas_Graficos'!$E$86:$E$104</c15:sqref>
                        </c15:formulaRef>
                      </c:ext>
                    </c:extLst>
                    <c:numCache>
                      <c:formatCode>General</c:formatCode>
                      <c:ptCount val="19"/>
                      <c:pt idx="0">
                        <c:v>3.9067887764781394E-2</c:v>
                      </c:pt>
                      <c:pt idx="1">
                        <c:v>4.1017847452877787E-2</c:v>
                      </c:pt>
                      <c:pt idx="2">
                        <c:v>4.1207984280497774E-2</c:v>
                      </c:pt>
                      <c:pt idx="3">
                        <c:v>4.7510586951684856E-2</c:v>
                      </c:pt>
                      <c:pt idx="4">
                        <c:v>4.6758688174257351E-2</c:v>
                      </c:pt>
                      <c:pt idx="5">
                        <c:v>4.8022314346451968E-2</c:v>
                      </c:pt>
                      <c:pt idx="6">
                        <c:v>4.2477540691203519E-2</c:v>
                      </c:pt>
                      <c:pt idx="7">
                        <c:v>4.0029995538999552E-2</c:v>
                      </c:pt>
                      <c:pt idx="8">
                        <c:v>3.2828936729994464E-2</c:v>
                      </c:pt>
                      <c:pt idx="9">
                        <c:v>2.9677395327647973E-2</c:v>
                      </c:pt>
                      <c:pt idx="10">
                        <c:v>2.5290584749313699E-2</c:v>
                      </c:pt>
                      <c:pt idx="11">
                        <c:v>2.1330177451083381E-2</c:v>
                      </c:pt>
                      <c:pt idx="12">
                        <c:v>1.757278788935656E-2</c:v>
                      </c:pt>
                      <c:pt idx="13">
                        <c:v>1.5385155485861052E-2</c:v>
                      </c:pt>
                      <c:pt idx="14">
                        <c:v>1.1851602012331607E-2</c:v>
                      </c:pt>
                      <c:pt idx="15">
                        <c:v>9.7521736257056013E-3</c:v>
                      </c:pt>
                      <c:pt idx="16">
                        <c:v>5.8511421945901289E-3</c:v>
                      </c:pt>
                      <c:pt idx="17">
                        <c:v>3.4192388339192941E-3</c:v>
                      </c:pt>
                      <c:pt idx="18">
                        <c:v>1.9854301215185628E-3</c:v>
                      </c:pt>
                    </c:numCache>
                  </c:numRef>
                </c:xVal>
                <c:yVal>
                  <c:numRef>
                    <c:extLst>
                      <c:ext uri="{02D57815-91ED-43cb-92C2-25804820EDAC}">
                        <c15:formulaRef>
                          <c15:sqref>'[SEDRES - Projeção Relação de Coortes.xlsx]Tabelas_Graficos'!$A$86:$A$104</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c:ext xmlns:c16="http://schemas.microsoft.com/office/drawing/2014/chart" uri="{C3380CC4-5D6E-409C-BE32-E72D297353CC}">
                    <c16:uniqueId val="{0000000E-B6E8-4D6F-8851-1688C8E770C5}"/>
                  </c:ext>
                </c:extLst>
              </c15:ser>
            </c15:filteredScatterSeries>
            <c15:filteredScatterSeries>
              <c15:ser>
                <c:idx val="2"/>
                <c:order val="8"/>
                <c:tx>
                  <c:strRef>
                    <c:extLst xmlns:c15="http://schemas.microsoft.com/office/drawing/2012/chart">
                      <c:ext xmlns:c15="http://schemas.microsoft.com/office/drawing/2012/chart" uri="{02D57815-91ED-43cb-92C2-25804820EDAC}">
                        <c15:formulaRef>
                          <c15:sqref>'[SEDRES - Projeção Relação de Coortes.xlsx]Tabelas_Graficos'!$G$85</c15:sqref>
                        </c15:formulaRef>
                      </c:ext>
                    </c:extLst>
                    <c:strCache>
                      <c:ptCount val="1"/>
                      <c:pt idx="0">
                        <c:v>2025</c:v>
                      </c:pt>
                    </c:strCache>
                  </c:strRef>
                </c:tx>
                <c:spPr>
                  <a:ln w="22225" cap="rnd">
                    <a:solidFill>
                      <a:srgbClr val="92D050"/>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Coortes.xlsx]Tabelas_Graficos'!$G$86:$G$104</c15:sqref>
                        </c15:formulaRef>
                      </c:ext>
                    </c:extLst>
                    <c:numCache>
                      <c:formatCode>General</c:formatCode>
                      <c:ptCount val="19"/>
                      <c:pt idx="0">
                        <c:v>3.6251917117098617E-2</c:v>
                      </c:pt>
                      <c:pt idx="1">
                        <c:v>3.7161388895142144E-2</c:v>
                      </c:pt>
                      <c:pt idx="2">
                        <c:v>3.6194530063850532E-2</c:v>
                      </c:pt>
                      <c:pt idx="3">
                        <c:v>3.8094869439857536E-2</c:v>
                      </c:pt>
                      <c:pt idx="4">
                        <c:v>3.7782040459531929E-2</c:v>
                      </c:pt>
                      <c:pt idx="5">
                        <c:v>4.2640689975737472E-2</c:v>
                      </c:pt>
                      <c:pt idx="6">
                        <c:v>4.1774210724100869E-2</c:v>
                      </c:pt>
                      <c:pt idx="7">
                        <c:v>4.3458209736169047E-2</c:v>
                      </c:pt>
                      <c:pt idx="8">
                        <c:v>3.8688324703794477E-2</c:v>
                      </c:pt>
                      <c:pt idx="9">
                        <c:v>3.632805893911651E-2</c:v>
                      </c:pt>
                      <c:pt idx="10">
                        <c:v>2.9318488297561618E-2</c:v>
                      </c:pt>
                      <c:pt idx="11">
                        <c:v>2.6253892777831935E-2</c:v>
                      </c:pt>
                      <c:pt idx="12">
                        <c:v>2.1945447529251212E-2</c:v>
                      </c:pt>
                      <c:pt idx="13">
                        <c:v>1.7610039922844972E-2</c:v>
                      </c:pt>
                      <c:pt idx="14">
                        <c:v>1.3629712618162274E-2</c:v>
                      </c:pt>
                      <c:pt idx="15">
                        <c:v>1.0656635899650043E-2</c:v>
                      </c:pt>
                      <c:pt idx="16">
                        <c:v>7.0727524405607171E-3</c:v>
                      </c:pt>
                      <c:pt idx="17">
                        <c:v>4.7819599061555834E-3</c:v>
                      </c:pt>
                      <c:pt idx="18">
                        <c:v>2.1494748512179149E-3</c:v>
                      </c:pt>
                    </c:numCache>
                  </c:numRef>
                </c:xVal>
                <c:yVal>
                  <c:numRef>
                    <c:extLst xmlns:c15="http://schemas.microsoft.com/office/drawing/2012/chart">
                      <c:ext xmlns:c15="http://schemas.microsoft.com/office/drawing/2012/chart" uri="{02D57815-91ED-43cb-92C2-25804820EDAC}">
                        <c15:formulaRef>
                          <c15:sqref>'[SEDRES - Projeção Relação de Coortes.xlsx]Tabelas_Graficos'!$A$86:$A$104</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0F-B6E8-4D6F-8851-1688C8E770C5}"/>
                  </c:ext>
                </c:extLst>
              </c15:ser>
            </c15:filteredScatterSeries>
            <c15:filteredScatterSeries>
              <c15:ser>
                <c:idx val="4"/>
                <c:order val="10"/>
                <c:tx>
                  <c:strRef>
                    <c:extLst xmlns:c15="http://schemas.microsoft.com/office/drawing/2012/chart">
                      <c:ext xmlns:c15="http://schemas.microsoft.com/office/drawing/2012/chart" uri="{02D57815-91ED-43cb-92C2-25804820EDAC}">
                        <c15:formulaRef>
                          <c15:sqref>'[SEDRES - Projeção Relação de Coortes.xlsx]Tabelas_Graficos'!$I$85</c15:sqref>
                        </c15:formulaRef>
                      </c:ext>
                    </c:extLst>
                    <c:strCache>
                      <c:ptCount val="1"/>
                      <c:pt idx="0">
                        <c:v>2035</c:v>
                      </c:pt>
                    </c:strCache>
                  </c:strRef>
                </c:tx>
                <c:spPr>
                  <a:ln w="22225" cap="rnd">
                    <a:solidFill>
                      <a:srgbClr val="0070C0"/>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Coortes.xlsx]Tabelas_Graficos'!$I$86:$I$104</c15:sqref>
                        </c15:formulaRef>
                      </c:ext>
                    </c:extLst>
                    <c:numCache>
                      <c:formatCode>General</c:formatCode>
                      <c:ptCount val="19"/>
                      <c:pt idx="0">
                        <c:v>3.1145236715167453E-2</c:v>
                      </c:pt>
                      <c:pt idx="1">
                        <c:v>3.2664847527053641E-2</c:v>
                      </c:pt>
                      <c:pt idx="2">
                        <c:v>3.4523594295291886E-2</c:v>
                      </c:pt>
                      <c:pt idx="3">
                        <c:v>3.5411806852879764E-2</c:v>
                      </c:pt>
                      <c:pt idx="4">
                        <c:v>3.3882543870164747E-2</c:v>
                      </c:pt>
                      <c:pt idx="5">
                        <c:v>3.4807538295551714E-2</c:v>
                      </c:pt>
                      <c:pt idx="6">
                        <c:v>3.4612566786965095E-2</c:v>
                      </c:pt>
                      <c:pt idx="7">
                        <c:v>3.9737524822269145E-2</c:v>
                      </c:pt>
                      <c:pt idx="8">
                        <c:v>3.9183228074492926E-2</c:v>
                      </c:pt>
                      <c:pt idx="9">
                        <c:v>4.0645327618403386E-2</c:v>
                      </c:pt>
                      <c:pt idx="10">
                        <c:v>3.5666775980699512E-2</c:v>
                      </c:pt>
                      <c:pt idx="11">
                        <c:v>3.3197253020589026E-2</c:v>
                      </c:pt>
                      <c:pt idx="12">
                        <c:v>2.6318022667961134E-2</c:v>
                      </c:pt>
                      <c:pt idx="13">
                        <c:v>2.2490315174205133E-2</c:v>
                      </c:pt>
                      <c:pt idx="14">
                        <c:v>1.777838100871475E-2</c:v>
                      </c:pt>
                      <c:pt idx="15">
                        <c:v>1.2834342502882665E-2</c:v>
                      </c:pt>
                      <c:pt idx="16">
                        <c:v>8.6749717944106502E-3</c:v>
                      </c:pt>
                      <c:pt idx="17">
                        <c:v>5.6951847199627802E-3</c:v>
                      </c:pt>
                      <c:pt idx="18">
                        <c:v>3.0525392547770813E-3</c:v>
                      </c:pt>
                    </c:numCache>
                  </c:numRef>
                </c:xVal>
                <c:yVal>
                  <c:numRef>
                    <c:extLst xmlns:c15="http://schemas.microsoft.com/office/drawing/2012/chart">
                      <c:ext xmlns:c15="http://schemas.microsoft.com/office/drawing/2012/chart" uri="{02D57815-91ED-43cb-92C2-25804820EDAC}">
                        <c15:formulaRef>
                          <c15:sqref>'[SEDRES - Projeção Relação de Coortes.xlsx]Tabelas_Graficos'!$A$86:$A$104</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0-B6E8-4D6F-8851-1688C8E770C5}"/>
                  </c:ext>
                </c:extLst>
              </c15:ser>
            </c15:filteredScatterSeries>
            <c15:filteredScatterSeries>
              <c15:ser>
                <c:idx val="6"/>
                <c:order val="12"/>
                <c:tx>
                  <c:strRef>
                    <c:extLst xmlns:c15="http://schemas.microsoft.com/office/drawing/2012/chart">
                      <c:ext xmlns:c15="http://schemas.microsoft.com/office/drawing/2012/chart" uri="{02D57815-91ED-43cb-92C2-25804820EDAC}">
                        <c15:formulaRef>
                          <c15:sqref>'[SEDRES - Projeção Relação de Coortes.xlsx]Tabelas_Graficos'!$K$85</c15:sqref>
                        </c15:formulaRef>
                      </c:ext>
                    </c:extLst>
                    <c:strCache>
                      <c:ptCount val="1"/>
                      <c:pt idx="0">
                        <c:v>2045</c:v>
                      </c:pt>
                    </c:strCache>
                  </c:strRef>
                </c:tx>
                <c:spPr>
                  <a:ln w="22225" cap="rnd">
                    <a:solidFill>
                      <a:schemeClr val="bg1">
                        <a:lumMod val="50000"/>
                      </a:schemeClr>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Coortes.xlsx]Tabelas_Graficos'!$K$86:$K$104</c15:sqref>
                        </c15:formulaRef>
                      </c:ext>
                    </c:extLst>
                    <c:numCache>
                      <c:formatCode>General</c:formatCode>
                      <c:ptCount val="19"/>
                      <c:pt idx="0">
                        <c:v>2.9058410915922435E-2</c:v>
                      </c:pt>
                      <c:pt idx="1">
                        <c:v>2.9407413715777968E-2</c:v>
                      </c:pt>
                      <c:pt idx="2">
                        <c:v>3.0330658816057322E-2</c:v>
                      </c:pt>
                      <c:pt idx="3">
                        <c:v>3.1770106110121467E-2</c:v>
                      </c:pt>
                      <c:pt idx="4">
                        <c:v>3.2982152768408546E-2</c:v>
                      </c:pt>
                      <c:pt idx="5">
                        <c:v>3.2967473296953327E-2</c:v>
                      </c:pt>
                      <c:pt idx="6">
                        <c:v>3.1581437058103359E-2</c:v>
                      </c:pt>
                      <c:pt idx="7">
                        <c:v>3.3138238469204356E-2</c:v>
                      </c:pt>
                      <c:pt idx="8">
                        <c:v>3.3250837505781096E-2</c:v>
                      </c:pt>
                      <c:pt idx="9">
                        <c:v>3.807855419085978E-2</c:v>
                      </c:pt>
                      <c:pt idx="10">
                        <c:v>3.7045901929708538E-2</c:v>
                      </c:pt>
                      <c:pt idx="11">
                        <c:v>3.8158327563685292E-2</c:v>
                      </c:pt>
                      <c:pt idx="12">
                        <c:v>3.2922205840933409E-2</c:v>
                      </c:pt>
                      <c:pt idx="13">
                        <c:v>2.9324179350122801E-2</c:v>
                      </c:pt>
                      <c:pt idx="14">
                        <c:v>2.2041505954178565E-2</c:v>
                      </c:pt>
                      <c:pt idx="15">
                        <c:v>1.7029127979680949E-2</c:v>
                      </c:pt>
                      <c:pt idx="16">
                        <c:v>1.1877151774637813E-2</c:v>
                      </c:pt>
                      <c:pt idx="17">
                        <c:v>7.2835889664376119E-3</c:v>
                      </c:pt>
                      <c:pt idx="18">
                        <c:v>4.1302342572428806E-3</c:v>
                      </c:pt>
                    </c:numCache>
                  </c:numRef>
                </c:xVal>
                <c:yVal>
                  <c:numRef>
                    <c:extLst xmlns:c15="http://schemas.microsoft.com/office/drawing/2012/chart">
                      <c:ext xmlns:c15="http://schemas.microsoft.com/office/drawing/2012/chart" uri="{02D57815-91ED-43cb-92C2-25804820EDAC}">
                        <c15:formulaRef>
                          <c15:sqref>'[SEDRES - Projeção Relação de Coortes.xlsx]Tabelas_Graficos'!$A$86:$A$104</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1-B6E8-4D6F-8851-1688C8E770C5}"/>
                  </c:ext>
                </c:extLst>
              </c15:ser>
            </c15:filteredScatterSeries>
            <c15:filteredScatterSeries>
              <c15:ser>
                <c:idx val="8"/>
                <c:order val="14"/>
                <c:tx>
                  <c:strRef>
                    <c:extLst xmlns:c15="http://schemas.microsoft.com/office/drawing/2012/chart">
                      <c:ext xmlns:c15="http://schemas.microsoft.com/office/drawing/2012/chart" uri="{02D57815-91ED-43cb-92C2-25804820EDAC}">
                        <c15:formulaRef>
                          <c15:sqref>'[SEDRES - Projeção Relação de Coortes.xlsx]Tabelas_Graficos'!$P$85</c15:sqref>
                        </c15:formulaRef>
                      </c:ext>
                    </c:extLst>
                    <c:strCache>
                      <c:ptCount val="1"/>
                      <c:pt idx="0">
                        <c:v>2015</c:v>
                      </c:pt>
                    </c:strCache>
                  </c:strRef>
                </c:tx>
                <c:spPr>
                  <a:ln w="22225" cap="rnd">
                    <a:solidFill>
                      <a:schemeClr val="accent2">
                        <a:lumMod val="75000"/>
                      </a:schemeClr>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Coortes.xlsx]Tabelas_Graficos'!$P$86:$P$104</c15:sqref>
                        </c15:formulaRef>
                      </c:ext>
                    </c:extLst>
                    <c:numCache>
                      <c:formatCode>General</c:formatCode>
                      <c:ptCount val="19"/>
                      <c:pt idx="0">
                        <c:v>-4.0823399318207297E-2</c:v>
                      </c:pt>
                      <c:pt idx="1">
                        <c:v>-4.143307637990655E-2</c:v>
                      </c:pt>
                      <c:pt idx="2">
                        <c:v>-4.3058486939225371E-2</c:v>
                      </c:pt>
                      <c:pt idx="3">
                        <c:v>-4.9263894729824162E-2</c:v>
                      </c:pt>
                      <c:pt idx="4">
                        <c:v>-4.5182697033931747E-2</c:v>
                      </c:pt>
                      <c:pt idx="5">
                        <c:v>-4.4478307871877107E-2</c:v>
                      </c:pt>
                      <c:pt idx="6">
                        <c:v>-3.9071731703803833E-2</c:v>
                      </c:pt>
                      <c:pt idx="7">
                        <c:v>-3.5791488622156302E-2</c:v>
                      </c:pt>
                      <c:pt idx="8">
                        <c:v>-2.9276031386587392E-2</c:v>
                      </c:pt>
                      <c:pt idx="9">
                        <c:v>-2.5178734950263734E-2</c:v>
                      </c:pt>
                      <c:pt idx="10">
                        <c:v>-2.1029515023448079E-2</c:v>
                      </c:pt>
                      <c:pt idx="11">
                        <c:v>-1.6226966406973395E-2</c:v>
                      </c:pt>
                      <c:pt idx="12">
                        <c:v>-1.3546512154840392E-2</c:v>
                      </c:pt>
                      <c:pt idx="13">
                        <c:v>-1.1638109841951136E-2</c:v>
                      </c:pt>
                      <c:pt idx="14">
                        <c:v>-9.4800017406519894E-3</c:v>
                      </c:pt>
                      <c:pt idx="15">
                        <c:v>-7.0684356733352284E-3</c:v>
                      </c:pt>
                      <c:pt idx="16">
                        <c:v>-3.6526665503051501E-3</c:v>
                      </c:pt>
                      <c:pt idx="17">
                        <c:v>-1.7514235244891537E-3</c:v>
                      </c:pt>
                      <c:pt idx="18">
                        <c:v>-1.0110505261453908E-3</c:v>
                      </c:pt>
                    </c:numCache>
                  </c:numRef>
                </c:xVal>
                <c:yVal>
                  <c:numRef>
                    <c:extLst xmlns:c15="http://schemas.microsoft.com/office/drawing/2012/chart">
                      <c:ext xmlns:c15="http://schemas.microsoft.com/office/drawing/2012/chart" uri="{02D57815-91ED-43cb-92C2-25804820EDAC}">
                        <c15:formulaRef>
                          <c15:sqref>'[SEDRES - Projeção Relação de Coortes.xlsx]Tabelas_Graficos'!$A$86:$A$104</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2-B6E8-4D6F-8851-1688C8E770C5}"/>
                  </c:ext>
                </c:extLst>
              </c15:ser>
            </c15:filteredScatterSeries>
            <c15:filteredScatterSeries>
              <c15:ser>
                <c:idx val="10"/>
                <c:order val="16"/>
                <c:tx>
                  <c:strRef>
                    <c:extLst xmlns:c15="http://schemas.microsoft.com/office/drawing/2012/chart">
                      <c:ext xmlns:c15="http://schemas.microsoft.com/office/drawing/2012/chart" uri="{02D57815-91ED-43cb-92C2-25804820EDAC}">
                        <c15:formulaRef>
                          <c15:sqref>'[SEDRES - Projeção Relação de Coortes.xlsx]Tabelas_Graficos'!$R$85</c15:sqref>
                        </c15:formulaRef>
                      </c:ext>
                    </c:extLst>
                    <c:strCache>
                      <c:ptCount val="1"/>
                      <c:pt idx="0">
                        <c:v>2025</c:v>
                      </c:pt>
                    </c:strCache>
                  </c:strRef>
                </c:tx>
                <c:spPr>
                  <a:ln w="22225" cap="rnd">
                    <a:solidFill>
                      <a:srgbClr val="92D050"/>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Coortes.xlsx]Tabelas_Graficos'!$R$86:$R$104</c15:sqref>
                        </c15:formulaRef>
                      </c:ext>
                    </c:extLst>
                    <c:numCache>
                      <c:formatCode>General</c:formatCode>
                      <c:ptCount val="19"/>
                      <c:pt idx="0">
                        <c:v>-3.793792444517529E-2</c:v>
                      </c:pt>
                      <c:pt idx="1">
                        <c:v>-3.8782586559861339E-2</c:v>
                      </c:pt>
                      <c:pt idx="2">
                        <c:v>-3.7602937741902411E-2</c:v>
                      </c:pt>
                      <c:pt idx="3">
                        <c:v>-3.8011892941050569E-2</c:v>
                      </c:pt>
                      <c:pt idx="4">
                        <c:v>-3.8540054178550505E-2</c:v>
                      </c:pt>
                      <c:pt idx="5">
                        <c:v>-4.2410894125513382E-2</c:v>
                      </c:pt>
                      <c:pt idx="6">
                        <c:v>-3.848784258803202E-2</c:v>
                      </c:pt>
                      <c:pt idx="7">
                        <c:v>-3.8844235063552425E-2</c:v>
                      </c:pt>
                      <c:pt idx="8">
                        <c:v>-3.4421299185598171E-2</c:v>
                      </c:pt>
                      <c:pt idx="9">
                        <c:v>-3.1022381439305118E-2</c:v>
                      </c:pt>
                      <c:pt idx="10">
                        <c:v>-2.5004927818308337E-2</c:v>
                      </c:pt>
                      <c:pt idx="11">
                        <c:v>-2.1180681247087826E-2</c:v>
                      </c:pt>
                      <c:pt idx="12">
                        <c:v>-1.7206639109887647E-2</c:v>
                      </c:pt>
                      <c:pt idx="13">
                        <c:v>-1.2855124602017017E-2</c:v>
                      </c:pt>
                      <c:pt idx="14">
                        <c:v>-1.0092215288776058E-2</c:v>
                      </c:pt>
                      <c:pt idx="15">
                        <c:v>-7.6407061309131576E-3</c:v>
                      </c:pt>
                      <c:pt idx="16">
                        <c:v>-4.8311552029507761E-3</c:v>
                      </c:pt>
                      <c:pt idx="17">
                        <c:v>-2.3222168310376773E-3</c:v>
                      </c:pt>
                      <c:pt idx="18">
                        <c:v>-1.0116412028448351E-3</c:v>
                      </c:pt>
                    </c:numCache>
                  </c:numRef>
                </c:xVal>
                <c:yVal>
                  <c:numRef>
                    <c:extLst xmlns:c15="http://schemas.microsoft.com/office/drawing/2012/chart">
                      <c:ext xmlns:c15="http://schemas.microsoft.com/office/drawing/2012/chart" uri="{02D57815-91ED-43cb-92C2-25804820EDAC}">
                        <c15:formulaRef>
                          <c15:sqref>'[SEDRES - Projeção Relação de Coortes.xlsx]Tabelas_Graficos'!$A$86:$A$104</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3-B6E8-4D6F-8851-1688C8E770C5}"/>
                  </c:ext>
                </c:extLst>
              </c15:ser>
            </c15:filteredScatterSeries>
            <c15:filteredScatterSeries>
              <c15:ser>
                <c:idx val="12"/>
                <c:order val="18"/>
                <c:tx>
                  <c:strRef>
                    <c:extLst xmlns:c15="http://schemas.microsoft.com/office/drawing/2012/chart">
                      <c:ext xmlns:c15="http://schemas.microsoft.com/office/drawing/2012/chart" uri="{02D57815-91ED-43cb-92C2-25804820EDAC}">
                        <c15:formulaRef>
                          <c15:sqref>'[SEDRES - Projeção Relação de Coortes.xlsx]Tabelas_Graficos'!$T$85</c15:sqref>
                        </c15:formulaRef>
                      </c:ext>
                    </c:extLst>
                    <c:strCache>
                      <c:ptCount val="1"/>
                      <c:pt idx="0">
                        <c:v>2035</c:v>
                      </c:pt>
                    </c:strCache>
                  </c:strRef>
                </c:tx>
                <c:spPr>
                  <a:ln w="22225" cap="rnd">
                    <a:solidFill>
                      <a:srgbClr val="0070C0"/>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Coortes.xlsx]Tabelas_Graficos'!$T$86:$T$104</c15:sqref>
                        </c15:formulaRef>
                      </c:ext>
                    </c:extLst>
                    <c:numCache>
                      <c:formatCode>General</c:formatCode>
                      <c:ptCount val="19"/>
                      <c:pt idx="0">
                        <c:v>-3.2607061442171119E-2</c:v>
                      </c:pt>
                      <c:pt idx="1">
                        <c:v>-3.4117404702652697E-2</c:v>
                      </c:pt>
                      <c:pt idx="2">
                        <c:v>-3.5925996728474019E-2</c:v>
                      </c:pt>
                      <c:pt idx="3">
                        <c:v>-3.6559295590306441E-2</c:v>
                      </c:pt>
                      <c:pt idx="4">
                        <c:v>-3.4479510242348584E-2</c:v>
                      </c:pt>
                      <c:pt idx="5">
                        <c:v>-3.3358278737094592E-2</c:v>
                      </c:pt>
                      <c:pt idx="6">
                        <c:v>-3.3792095871583369E-2</c:v>
                      </c:pt>
                      <c:pt idx="7">
                        <c:v>-3.837514925005793E-2</c:v>
                      </c:pt>
                      <c:pt idx="8">
                        <c:v>-3.5100530409513699E-2</c:v>
                      </c:pt>
                      <c:pt idx="9">
                        <c:v>-3.4902513915718941E-2</c:v>
                      </c:pt>
                      <c:pt idx="10">
                        <c:v>-3.0516270279134963E-2</c:v>
                      </c:pt>
                      <c:pt idx="11">
                        <c:v>-2.708230150272788E-2</c:v>
                      </c:pt>
                      <c:pt idx="12">
                        <c:v>-2.1260989594607062E-2</c:v>
                      </c:pt>
                      <c:pt idx="13">
                        <c:v>-1.7483164702599998E-2</c:v>
                      </c:pt>
                      <c:pt idx="14">
                        <c:v>-1.344353303453275E-2</c:v>
                      </c:pt>
                      <c:pt idx="15">
                        <c:v>-8.9376238917449457E-3</c:v>
                      </c:pt>
                      <c:pt idx="16">
                        <c:v>-5.508143821140018E-3</c:v>
                      </c:pt>
                      <c:pt idx="17">
                        <c:v>-2.7464050928906743E-3</c:v>
                      </c:pt>
                      <c:pt idx="18">
                        <c:v>-1.4817302082580296E-3</c:v>
                      </c:pt>
                    </c:numCache>
                  </c:numRef>
                </c:xVal>
                <c:yVal>
                  <c:numRef>
                    <c:extLst xmlns:c15="http://schemas.microsoft.com/office/drawing/2012/chart">
                      <c:ext xmlns:c15="http://schemas.microsoft.com/office/drawing/2012/chart" uri="{02D57815-91ED-43cb-92C2-25804820EDAC}">
                        <c15:formulaRef>
                          <c15:sqref>'[SEDRES - Projeção Relação de Coortes.xlsx]Tabelas_Graficos'!$A$86:$A$104</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4-B6E8-4D6F-8851-1688C8E770C5}"/>
                  </c:ext>
                </c:extLst>
              </c15:ser>
            </c15:filteredScatterSeries>
            <c15:filteredScatterSeries>
              <c15:ser>
                <c:idx val="14"/>
                <c:order val="20"/>
                <c:tx>
                  <c:strRef>
                    <c:extLst xmlns:c15="http://schemas.microsoft.com/office/drawing/2012/chart">
                      <c:ext xmlns:c15="http://schemas.microsoft.com/office/drawing/2012/chart" uri="{02D57815-91ED-43cb-92C2-25804820EDAC}">
                        <c15:formulaRef>
                          <c15:sqref>'[SEDRES - Projeção Relação de Coortes.xlsx]Tabelas_Graficos'!$V$85</c15:sqref>
                        </c15:formulaRef>
                      </c:ext>
                    </c:extLst>
                    <c:strCache>
                      <c:ptCount val="1"/>
                      <c:pt idx="0">
                        <c:v>2045</c:v>
                      </c:pt>
                    </c:strCache>
                  </c:strRef>
                </c:tx>
                <c:spPr>
                  <a:ln w="22225" cap="rnd">
                    <a:solidFill>
                      <a:schemeClr val="bg1">
                        <a:lumMod val="50000"/>
                      </a:schemeClr>
                    </a:solidFill>
                    <a:prstDash val="sysDash"/>
                    <a:round/>
                  </a:ln>
                  <a:effectLst/>
                </c:spPr>
                <c:marker>
                  <c:symbol val="none"/>
                </c:marker>
                <c:xVal>
                  <c:numRef>
                    <c:extLst xmlns:c15="http://schemas.microsoft.com/office/drawing/2012/chart">
                      <c:ext xmlns:c15="http://schemas.microsoft.com/office/drawing/2012/chart" uri="{02D57815-91ED-43cb-92C2-25804820EDAC}">
                        <c15:formulaRef>
                          <c15:sqref>'[SEDRES - Projeção Relação de Coortes.xlsx]Tabelas_Graficos'!$V$86:$V$104</c15:sqref>
                        </c15:formulaRef>
                      </c:ext>
                    </c:extLst>
                    <c:numCache>
                      <c:formatCode>General</c:formatCode>
                      <c:ptCount val="19"/>
                      <c:pt idx="0">
                        <c:v>-3.0432753252960496E-2</c:v>
                      </c:pt>
                      <c:pt idx="1">
                        <c:v>-3.0732998874555651E-2</c:v>
                      </c:pt>
                      <c:pt idx="2">
                        <c:v>-3.1588921266367163E-2</c:v>
                      </c:pt>
                      <c:pt idx="3">
                        <c:v>-3.2843046767111188E-2</c:v>
                      </c:pt>
                      <c:pt idx="4">
                        <c:v>-3.365665744411709E-2</c:v>
                      </c:pt>
                      <c:pt idx="5">
                        <c:v>-3.2843618078418763E-2</c:v>
                      </c:pt>
                      <c:pt idx="6">
                        <c:v>-3.0845860098023384E-2</c:v>
                      </c:pt>
                      <c:pt idx="7">
                        <c:v>-3.0903588267882299E-2</c:v>
                      </c:pt>
                      <c:pt idx="8">
                        <c:v>-3.1670907476027986E-2</c:v>
                      </c:pt>
                      <c:pt idx="9">
                        <c:v>-3.5491114624864768E-2</c:v>
                      </c:pt>
                      <c:pt idx="10">
                        <c:v>-3.2065118145966472E-2</c:v>
                      </c:pt>
                      <c:pt idx="11">
                        <c:v>-3.145830547117226E-2</c:v>
                      </c:pt>
                      <c:pt idx="12">
                        <c:v>-2.6836425337602436E-2</c:v>
                      </c:pt>
                      <c:pt idx="13">
                        <c:v>-2.3158031412545636E-2</c:v>
                      </c:pt>
                      <c:pt idx="14">
                        <c:v>-1.7250788932780883E-2</c:v>
                      </c:pt>
                      <c:pt idx="15">
                        <c:v>-1.2683655193346988E-2</c:v>
                      </c:pt>
                      <c:pt idx="16">
                        <c:v>-7.7716781811337423E-3</c:v>
                      </c:pt>
                      <c:pt idx="17">
                        <c:v>-3.4665961335279857E-3</c:v>
                      </c:pt>
                      <c:pt idx="18">
                        <c:v>-1.922428577777363E-3</c:v>
                      </c:pt>
                    </c:numCache>
                  </c:numRef>
                </c:xVal>
                <c:yVal>
                  <c:numRef>
                    <c:extLst xmlns:c15="http://schemas.microsoft.com/office/drawing/2012/chart">
                      <c:ext xmlns:c15="http://schemas.microsoft.com/office/drawing/2012/chart" uri="{02D57815-91ED-43cb-92C2-25804820EDAC}">
                        <c15:formulaRef>
                          <c15:sqref>'[SEDRES - Projeção Relação de Coortes.xlsx]Tabelas_Graficos'!$A$86:$A$104</c15:sqref>
                        </c15:formulaRef>
                      </c:ext>
                    </c:extLst>
                    <c:numCache>
                      <c:formatCode>General</c:formatCode>
                      <c:ptCount val="19"/>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numCache>
                  </c:numRef>
                </c:yVal>
                <c:smooth val="1"/>
                <c:extLst xmlns:c15="http://schemas.microsoft.com/office/drawing/2012/chart">
                  <c:ext xmlns:c16="http://schemas.microsoft.com/office/drawing/2014/chart" uri="{C3380CC4-5D6E-409C-BE32-E72D297353CC}">
                    <c16:uniqueId val="{00000015-B6E8-4D6F-8851-1688C8E770C5}"/>
                  </c:ext>
                </c:extLst>
              </c15:ser>
            </c15:filteredScatterSeries>
          </c:ext>
        </c:extLst>
      </c:scatterChart>
      <c:valAx>
        <c:axId val="1206620927"/>
        <c:scaling>
          <c:orientation val="minMax"/>
        </c:scaling>
        <c:delete val="0"/>
        <c:axPos val="b"/>
        <c:majorGridlines>
          <c:spPr>
            <a:ln w="9525" cap="flat" cmpd="sng" algn="ctr">
              <a:solidFill>
                <a:schemeClr val="tx1">
                  <a:lumMod val="15000"/>
                  <a:lumOff val="85000"/>
                </a:schemeClr>
              </a:solidFill>
              <a:round/>
            </a:ln>
            <a:effectLst/>
          </c:spPr>
        </c:majorGridlines>
        <c:numFmt formatCode="0.00;0.00" sourceLinked="0"/>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206621343"/>
        <c:crosses val="autoZero"/>
        <c:crossBetween val="midCat"/>
      </c:valAx>
      <c:valAx>
        <c:axId val="1206621343"/>
        <c:scaling>
          <c:orientation val="minMax"/>
          <c:max val="90"/>
        </c:scaling>
        <c:delete val="0"/>
        <c:axPos val="l"/>
        <c:numFmt formatCode="General" sourceLinked="1"/>
        <c:majorTickMark val="none"/>
        <c:minorTickMark val="none"/>
        <c:tickLblPos val="low"/>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206620927"/>
        <c:crosses val="autoZero"/>
        <c:crossBetween val="midCat"/>
      </c:valAx>
      <c:spPr>
        <a:noFill/>
        <a:ln>
          <a:noFill/>
        </a:ln>
        <a:effectLst/>
      </c:spPr>
    </c:plotArea>
    <c:legend>
      <c:legendPos val="b"/>
      <c:legendEntry>
        <c:idx val="1"/>
        <c:delete val="1"/>
      </c:legendEntry>
      <c:legendEntry>
        <c:idx val="2"/>
        <c:delete val="1"/>
      </c:legendEntry>
      <c:legendEntry>
        <c:idx val="5"/>
        <c:delete val="1"/>
      </c:legendEntry>
      <c:legendEntry>
        <c:idx val="6"/>
        <c:delete val="1"/>
      </c:legendEntry>
      <c:legendEntry>
        <c:idx val="7"/>
        <c:delete val="1"/>
      </c:legendEntry>
      <c:legendEntry>
        <c:idx val="8"/>
        <c:delete val="1"/>
      </c:legendEntry>
      <c:legendEntry>
        <c:idx val="9"/>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100921505495725"/>
          <c:y val="3.8161318300086733E-2"/>
          <c:w val="0.84678583324081291"/>
          <c:h val="0.74537795958506059"/>
        </c:manualLayout>
      </c:layout>
      <c:lineChart>
        <c:grouping val="standard"/>
        <c:varyColors val="0"/>
        <c:ser>
          <c:idx val="0"/>
          <c:order val="0"/>
          <c:tx>
            <c:strRef>
              <c:f>'[SEDRES - Projeção Relação de Coortes.xlsx]Tabelas_Graficos'!$B$48</c:f>
              <c:strCache>
                <c:ptCount val="1"/>
                <c:pt idx="0">
                  <c:v>RDJ</c:v>
                </c:pt>
              </c:strCache>
            </c:strRef>
          </c:tx>
          <c:spPr>
            <a:ln w="22225" cap="rnd">
              <a:solidFill>
                <a:schemeClr val="accent2"/>
              </a:solidFill>
              <a:round/>
            </a:ln>
            <a:effectLst/>
          </c:spPr>
          <c:marker>
            <c:symbol val="diamond"/>
            <c:size val="6"/>
            <c:spPr>
              <a:solidFill>
                <a:schemeClr val="accent2"/>
              </a:solidFill>
              <a:ln w="9525">
                <a:solidFill>
                  <a:schemeClr val="accent2"/>
                </a:solidFill>
                <a:round/>
              </a:ln>
              <a:effectLst/>
            </c:spPr>
          </c:marker>
          <c:cat>
            <c:numRef>
              <c:f>'[SEDRES - Projeção Relação de Coortes.xlsx]Tabelas_Graficos'!$A$49:$A$59</c:f>
              <c:numCache>
                <c:formatCode>General</c:formatCode>
                <c:ptCount val="7"/>
                <c:pt idx="0">
                  <c:v>1991</c:v>
                </c:pt>
                <c:pt idx="1">
                  <c:v>2000</c:v>
                </c:pt>
                <c:pt idx="2">
                  <c:v>2010</c:v>
                </c:pt>
                <c:pt idx="3">
                  <c:v>2020</c:v>
                </c:pt>
                <c:pt idx="4">
                  <c:v>2030</c:v>
                </c:pt>
                <c:pt idx="5">
                  <c:v>2040</c:v>
                </c:pt>
                <c:pt idx="6">
                  <c:v>2050</c:v>
                </c:pt>
              </c:numCache>
              <c:extLst/>
            </c:numRef>
          </c:cat>
          <c:val>
            <c:numRef>
              <c:f>'[SEDRES - Projeção Relação de Coortes.xlsx]Tabelas_Graficos'!$B$49:$B$59</c:f>
              <c:numCache>
                <c:formatCode>0.00</c:formatCode>
                <c:ptCount val="7"/>
                <c:pt idx="0">
                  <c:v>70.8778718479996</c:v>
                </c:pt>
                <c:pt idx="1">
                  <c:v>56.797657872926685</c:v>
                </c:pt>
                <c:pt idx="2">
                  <c:v>41.442809245297127</c:v>
                </c:pt>
                <c:pt idx="3">
                  <c:v>34.569856875923207</c:v>
                </c:pt>
                <c:pt idx="4">
                  <c:v>31.485879312675419</c:v>
                </c:pt>
                <c:pt idx="5">
                  <c:v>28.039297963062261</c:v>
                </c:pt>
                <c:pt idx="6">
                  <c:v>27.543397755823396</c:v>
                </c:pt>
              </c:numCache>
              <c:extLst/>
            </c:numRef>
          </c:val>
          <c:smooth val="0"/>
          <c:extLst>
            <c:ext xmlns:c16="http://schemas.microsoft.com/office/drawing/2014/chart" uri="{C3380CC4-5D6E-409C-BE32-E72D297353CC}">
              <c16:uniqueId val="{00000000-BF1D-47CA-A425-7137D7356E92}"/>
            </c:ext>
          </c:extLst>
        </c:ser>
        <c:ser>
          <c:idx val="1"/>
          <c:order val="1"/>
          <c:tx>
            <c:strRef>
              <c:f>'[SEDRES - Projeção Relação de Coortes.xlsx]Tabelas_Graficos'!$C$48</c:f>
              <c:strCache>
                <c:ptCount val="1"/>
                <c:pt idx="0">
                  <c:v>RDI</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numRef>
              <c:f>'[SEDRES - Projeção Relação de Coortes.xlsx]Tabelas_Graficos'!$A$49:$A$59</c:f>
              <c:numCache>
                <c:formatCode>General</c:formatCode>
                <c:ptCount val="7"/>
                <c:pt idx="0">
                  <c:v>1991</c:v>
                </c:pt>
                <c:pt idx="1">
                  <c:v>2000</c:v>
                </c:pt>
                <c:pt idx="2">
                  <c:v>2010</c:v>
                </c:pt>
                <c:pt idx="3">
                  <c:v>2020</c:v>
                </c:pt>
                <c:pt idx="4">
                  <c:v>2030</c:v>
                </c:pt>
                <c:pt idx="5">
                  <c:v>2040</c:v>
                </c:pt>
                <c:pt idx="6">
                  <c:v>2050</c:v>
                </c:pt>
              </c:numCache>
              <c:extLst/>
            </c:numRef>
          </c:cat>
          <c:val>
            <c:numRef>
              <c:f>'[SEDRES - Projeção Relação de Coortes.xlsx]Tabelas_Graficos'!$C$49:$C$59</c:f>
              <c:numCache>
                <c:formatCode>0.00</c:formatCode>
                <c:ptCount val="7"/>
                <c:pt idx="0">
                  <c:v>10.93120371767956</c:v>
                </c:pt>
                <c:pt idx="1">
                  <c:v>11.068416086337233</c:v>
                </c:pt>
                <c:pt idx="2">
                  <c:v>12.148686185538551</c:v>
                </c:pt>
                <c:pt idx="3">
                  <c:v>12.90727666065496</c:v>
                </c:pt>
                <c:pt idx="4">
                  <c:v>15.559624187839836</c:v>
                </c:pt>
                <c:pt idx="5">
                  <c:v>20.169148841462096</c:v>
                </c:pt>
                <c:pt idx="6">
                  <c:v>27.886637206649841</c:v>
                </c:pt>
              </c:numCache>
              <c:extLst/>
            </c:numRef>
          </c:val>
          <c:smooth val="0"/>
          <c:extLst>
            <c:ext xmlns:c16="http://schemas.microsoft.com/office/drawing/2014/chart" uri="{C3380CC4-5D6E-409C-BE32-E72D297353CC}">
              <c16:uniqueId val="{00000001-BF1D-47CA-A425-7137D7356E92}"/>
            </c:ext>
          </c:extLst>
        </c:ser>
        <c:ser>
          <c:idx val="2"/>
          <c:order val="2"/>
          <c:tx>
            <c:strRef>
              <c:f>'[SEDRES - Projeção Relação de Coortes.xlsx]Tabelas_Graficos'!$D$48</c:f>
              <c:strCache>
                <c:ptCount val="1"/>
                <c:pt idx="0">
                  <c:v>RDT</c:v>
                </c:pt>
              </c:strCache>
            </c:strRef>
          </c:tx>
          <c:spPr>
            <a:ln w="22225" cap="rnd">
              <a:solidFill>
                <a:schemeClr val="accent6"/>
              </a:solidFill>
              <a:round/>
            </a:ln>
            <a:effectLst/>
          </c:spPr>
          <c:marker>
            <c:symbol val="triangle"/>
            <c:size val="6"/>
            <c:spPr>
              <a:solidFill>
                <a:schemeClr val="accent6"/>
              </a:solidFill>
              <a:ln w="9525">
                <a:solidFill>
                  <a:schemeClr val="accent6"/>
                </a:solidFill>
                <a:round/>
              </a:ln>
              <a:effectLst/>
            </c:spPr>
          </c:marker>
          <c:cat>
            <c:numRef>
              <c:f>'[SEDRES - Projeção Relação de Coortes.xlsx]Tabelas_Graficos'!$A$49:$A$59</c:f>
              <c:numCache>
                <c:formatCode>General</c:formatCode>
                <c:ptCount val="7"/>
                <c:pt idx="0">
                  <c:v>1991</c:v>
                </c:pt>
                <c:pt idx="1">
                  <c:v>2000</c:v>
                </c:pt>
                <c:pt idx="2">
                  <c:v>2010</c:v>
                </c:pt>
                <c:pt idx="3">
                  <c:v>2020</c:v>
                </c:pt>
                <c:pt idx="4">
                  <c:v>2030</c:v>
                </c:pt>
                <c:pt idx="5">
                  <c:v>2040</c:v>
                </c:pt>
                <c:pt idx="6">
                  <c:v>2050</c:v>
                </c:pt>
              </c:numCache>
              <c:extLst/>
            </c:numRef>
          </c:cat>
          <c:val>
            <c:numRef>
              <c:f>'[SEDRES - Projeção Relação de Coortes.xlsx]Tabelas_Graficos'!$D$49:$D$59</c:f>
              <c:numCache>
                <c:formatCode>0.00</c:formatCode>
                <c:ptCount val="7"/>
                <c:pt idx="0">
                  <c:v>81.809075565679152</c:v>
                </c:pt>
                <c:pt idx="1">
                  <c:v>67.866073959263929</c:v>
                </c:pt>
                <c:pt idx="2">
                  <c:v>53.591495430835678</c:v>
                </c:pt>
                <c:pt idx="3">
                  <c:v>47.477133536578172</c:v>
                </c:pt>
                <c:pt idx="4">
                  <c:v>47.045503500515252</c:v>
                </c:pt>
                <c:pt idx="5">
                  <c:v>48.208446804524357</c:v>
                </c:pt>
                <c:pt idx="6">
                  <c:v>55.430034962473229</c:v>
                </c:pt>
              </c:numCache>
              <c:extLst/>
            </c:numRef>
          </c:val>
          <c:smooth val="0"/>
          <c:extLst>
            <c:ext xmlns:c16="http://schemas.microsoft.com/office/drawing/2014/chart" uri="{C3380CC4-5D6E-409C-BE32-E72D297353CC}">
              <c16:uniqueId val="{00000002-BF1D-47CA-A425-7137D7356E92}"/>
            </c:ext>
          </c:extLst>
        </c:ser>
        <c:dLbls>
          <c:showLegendKey val="0"/>
          <c:showVal val="0"/>
          <c:showCatName val="0"/>
          <c:showSerName val="0"/>
          <c:showPercent val="0"/>
          <c:showBubbleSize val="0"/>
        </c:dLbls>
        <c:marker val="1"/>
        <c:smooth val="0"/>
        <c:axId val="335989855"/>
        <c:axId val="335979039"/>
      </c:lineChart>
      <c:catAx>
        <c:axId val="3359898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35979039"/>
        <c:crosses val="autoZero"/>
        <c:auto val="1"/>
        <c:lblAlgn val="ctr"/>
        <c:lblOffset val="100"/>
        <c:noMultiLvlLbl val="0"/>
      </c:catAx>
      <c:valAx>
        <c:axId val="335979039"/>
        <c:scaling>
          <c:orientation val="minMax"/>
        </c:scaling>
        <c:delete val="0"/>
        <c:axPos val="l"/>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35989855"/>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25</Pages>
  <Words>7340</Words>
  <Characters>39636</Characters>
  <Application>Microsoft Office Word</Application>
  <DocSecurity>0</DocSecurity>
  <Lines>330</Lines>
  <Paragraphs>93</Paragraphs>
  <ScaleCrop>false</ScaleCrop>
  <Company/>
  <LinksUpToDate>false</LinksUpToDate>
  <CharactersWithSpaces>46883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Jaine HP</cp:lastModifiedBy>
  <cp:revision>1077</cp:revision>
  <dcterms:created xsi:type="dcterms:W3CDTF">2022-05-20T13:04:00Z</dcterms:created>
  <dcterms:modified xsi:type="dcterms:W3CDTF">2022-08-15T22:57:00Z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