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FB7D2" w14:textId="643BFE2F" w:rsidR="00A9361D" w:rsidRPr="00AD42FB" w:rsidRDefault="00000000" w:rsidP="00911AC9">
      <w:pPr>
        <w:pStyle w:val="HeaderandFooter"/>
        <w:spacing w:line="360" w:lineRule="auto"/>
        <w:jc w:val="center"/>
        <w:rPr>
          <w:rFonts w:ascii="Times New Roman" w:hAnsi="Times New Roman" w:cs="Times New Roman"/>
          <w:b/>
          <w:bCs/>
          <w:sz w:val="28"/>
          <w:szCs w:val="28"/>
        </w:rPr>
      </w:pPr>
      <w:bookmarkStart w:id="0" w:name="_Toc104146377"/>
      <w:bookmarkStart w:id="1" w:name="_Toc106375336"/>
      <w:bookmarkStart w:id="2" w:name="_Toc104141069"/>
      <w:r w:rsidRPr="00AD42FB">
        <w:rPr>
          <w:rFonts w:ascii="Times New Roman" w:hAnsi="Times New Roman" w:cs="Times New Roman"/>
          <w:b/>
          <w:bCs/>
          <w:sz w:val="28"/>
          <w:szCs w:val="28"/>
        </w:rPr>
        <w:t xml:space="preserve">DESIGUALDADE INTRARREGIONAL DE RENDA NO NORDESTE DURANTE O PERÍODO PANDÊMICO DE </w:t>
      </w:r>
      <w:bookmarkEnd w:id="0"/>
      <w:bookmarkEnd w:id="1"/>
      <w:bookmarkEnd w:id="2"/>
      <w:r w:rsidRPr="00AD42FB">
        <w:rPr>
          <w:rFonts w:ascii="Times New Roman" w:hAnsi="Times New Roman" w:cs="Times New Roman"/>
          <w:b/>
          <w:bCs/>
          <w:sz w:val="28"/>
          <w:szCs w:val="28"/>
        </w:rPr>
        <w:t>2020: uma análise a partir da decomposição do índice de Gini</w:t>
      </w:r>
    </w:p>
    <w:p w14:paraId="376BECF9" w14:textId="77777777" w:rsidR="00A9361D" w:rsidRDefault="00A9361D">
      <w:pPr>
        <w:spacing w:line="360" w:lineRule="auto"/>
        <w:jc w:val="center"/>
      </w:pPr>
    </w:p>
    <w:p w14:paraId="0C849977" w14:textId="77777777" w:rsidR="00A9361D" w:rsidRDefault="00000000">
      <w:pPr>
        <w:pStyle w:val="Ttulo"/>
        <w:jc w:val="both"/>
        <w:rPr>
          <w:rFonts w:ascii="Times New Roman" w:hAnsi="Times New Roman"/>
          <w:sz w:val="24"/>
        </w:rPr>
      </w:pPr>
      <w:r>
        <w:rPr>
          <w:rFonts w:ascii="Times New Roman" w:hAnsi="Times New Roman"/>
          <w:sz w:val="24"/>
        </w:rPr>
        <w:t>RESUMO</w:t>
      </w:r>
    </w:p>
    <w:p w14:paraId="56002BCB" w14:textId="6C9224A3" w:rsidR="00A9361D"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Em 2020, surgiu uma pandemia, conhecida como pandemia do Novo Coronavírus, que abalou o mundo e o país, com reflexos, também, no Nordeste. Além de evidenciar as disparidades, a pandemia resultou em uma crise econômica e social, impondo a necessidade de um conjunto de medidas, como: as de isolamento social para impedir a proliferação do vírus e aquelas associadas à proteção do emprego e da renda. O presente estudo tem como objetivo analisar a importância do auxílio emergencial e o impacto da  pandemia na desigualdade de renda domiciliar </w:t>
      </w:r>
      <w:r>
        <w:rPr>
          <w:rFonts w:ascii="Times New Roman" w:hAnsi="Times New Roman" w:cs="Times New Roman"/>
          <w:i/>
          <w:iCs/>
          <w:sz w:val="24"/>
          <w:szCs w:val="24"/>
        </w:rPr>
        <w:t>per capita</w:t>
      </w:r>
      <w:r>
        <w:rPr>
          <w:rFonts w:ascii="Times New Roman" w:hAnsi="Times New Roman" w:cs="Times New Roman"/>
          <w:sz w:val="24"/>
          <w:szCs w:val="24"/>
        </w:rPr>
        <w:t xml:space="preserve"> (RDPC), mensurada pelo Índice de Gini, a partir dos dados da PNAD COVID19, para todos os estados da região Nordeste. Para alcançar tal objetivo, utilizou-se como fonte de dados, os microdados mensais da Pesquisa Nacional por Amostra de Domicílios – PNAD COVID19. A partir dos resultados obtidos, a presença do auxílio emergencial em 2020 aponta para uma tendência inicial de redução das desigualdades de renda em todos os estados do Nordeste.</w:t>
      </w:r>
    </w:p>
    <w:p w14:paraId="5F9CE21C" w14:textId="77777777" w:rsidR="00A9361D" w:rsidRDefault="00A9361D">
      <w:pPr>
        <w:spacing w:after="0" w:line="240" w:lineRule="auto"/>
        <w:jc w:val="both"/>
        <w:rPr>
          <w:rFonts w:ascii="Times New Roman" w:hAnsi="Times New Roman" w:cs="Times New Roman"/>
          <w:sz w:val="24"/>
          <w:szCs w:val="24"/>
        </w:rPr>
      </w:pPr>
    </w:p>
    <w:p w14:paraId="209B446F" w14:textId="30CFBFA8" w:rsidR="00A9361D"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Pr>
          <w:rFonts w:ascii="Times New Roman" w:hAnsi="Times New Roman" w:cs="Times New Roman"/>
          <w:sz w:val="24"/>
          <w:szCs w:val="24"/>
        </w:rPr>
        <w:t>: Desigualdade de renda; Auxílio Emergencial; Nordeste; Coronavírus; Pandemia.</w:t>
      </w:r>
    </w:p>
    <w:p w14:paraId="7F9D1E40" w14:textId="77777777" w:rsidR="00A9361D" w:rsidRDefault="00A9361D">
      <w:pPr>
        <w:spacing w:after="0" w:line="360" w:lineRule="auto"/>
        <w:jc w:val="both"/>
        <w:rPr>
          <w:rFonts w:ascii="Times New Roman" w:hAnsi="Times New Roman" w:cs="Times New Roman"/>
          <w:sz w:val="24"/>
          <w:szCs w:val="24"/>
        </w:rPr>
      </w:pPr>
    </w:p>
    <w:p w14:paraId="499E8BD7" w14:textId="77777777" w:rsidR="00A9361D"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 06</w:t>
      </w:r>
      <w:r>
        <w:rPr>
          <w:rFonts w:ascii="Times New Roman" w:hAnsi="Times New Roman" w:cs="Times New Roman"/>
          <w:sz w:val="24"/>
          <w:szCs w:val="24"/>
        </w:rPr>
        <w:t>: Estado, Políticas Públicas e Desenvolvimento Regional em um cenário pós-Pandemia</w:t>
      </w:r>
    </w:p>
    <w:p w14:paraId="6267840E" w14:textId="77777777" w:rsidR="00A9361D" w:rsidRDefault="00A9361D">
      <w:pPr>
        <w:spacing w:after="0" w:line="360" w:lineRule="auto"/>
        <w:jc w:val="both"/>
        <w:rPr>
          <w:rFonts w:ascii="Times New Roman" w:hAnsi="Times New Roman" w:cs="Times New Roman"/>
          <w:sz w:val="24"/>
          <w:szCs w:val="24"/>
        </w:rPr>
      </w:pPr>
    </w:p>
    <w:p w14:paraId="3841FBD5" w14:textId="77777777" w:rsidR="00A9361D" w:rsidRDefault="00000000">
      <w:pPr>
        <w:pStyle w:val="PargrafodaLista"/>
        <w:numPr>
          <w:ilvl w:val="0"/>
          <w:numId w:val="6"/>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INTRODUÇÃO</w:t>
      </w:r>
    </w:p>
    <w:p w14:paraId="5666DFB0" w14:textId="77777777" w:rsidR="00A9361D" w:rsidRDefault="00000000">
      <w:pPr>
        <w:pStyle w:val="SemEspaamento"/>
        <w:ind w:firstLine="709"/>
        <w:rPr>
          <w:color w:val="auto"/>
        </w:rPr>
      </w:pPr>
      <w:r>
        <w:rPr>
          <w:color w:val="auto"/>
        </w:rPr>
        <w:t>No início de 2020, um fenômeno inesperado abalou a sociedade em todo o mundo. Trata-se da pandemia do Novo Coronavírus (COVID-19), que provocou impactos econômicos e sociais em todos os países e pressionou os estados a adotarem medidas para o controle da disseminação do vírus. Entre elas, medidas de distanciamento/isolamento social, que, inevitavelmente, levaram a restrições das atividades econômicas, o que demandou um conjunto de medidas sociais para garantir que as pessoas pudessem ficar em casa, sem perdas expressivas em termos de renda.</w:t>
      </w:r>
    </w:p>
    <w:p w14:paraId="43A03D73" w14:textId="77777777" w:rsidR="00A9361D" w:rsidRDefault="00000000">
      <w:pPr>
        <w:pStyle w:val="SemEspaamento"/>
        <w:ind w:firstLine="709"/>
        <w:rPr>
          <w:color w:val="auto"/>
        </w:rPr>
      </w:pPr>
      <w:r>
        <w:rPr>
          <w:color w:val="auto"/>
        </w:rPr>
        <w:lastRenderedPageBreak/>
        <w:t>Como maneira de reduzir os efeitos deletérios da pandemia na sociedade brasileira e o desaparecimento do poder de compra do trabalhador, o Governo Federal, após pressão popular, entre outras medidas, por meio da Lei Nº 13.982 de 2 de abril de 2020 (BRASIL, 2020d), instituiu os padrões de caracterização da circunstância de vulnerabilidade social para fins de elegibilidade ao benefício intitulado Auxílio Emergencial (AE).</w:t>
      </w:r>
    </w:p>
    <w:p w14:paraId="75624ECC" w14:textId="5E5F03A0" w:rsidR="00A9361D" w:rsidRDefault="00000000">
      <w:pPr>
        <w:pStyle w:val="SemEspaamento"/>
        <w:ind w:firstLine="709"/>
        <w:rPr>
          <w:color w:val="auto"/>
        </w:rPr>
      </w:pPr>
      <w:r>
        <w:rPr>
          <w:color w:val="auto"/>
        </w:rPr>
        <w:t xml:space="preserve">O presente trabalho tem como objetivo analisar a importância do auxílio emergencial e seu impacto no período pandêmico de 2020 para a desigualdade de renda domiciliar </w:t>
      </w:r>
      <w:r>
        <w:rPr>
          <w:i/>
          <w:iCs/>
          <w:color w:val="auto"/>
        </w:rPr>
        <w:t xml:space="preserve">per capita </w:t>
      </w:r>
      <w:r>
        <w:rPr>
          <w:color w:val="auto"/>
        </w:rPr>
        <w:t>(RDPC), mensurada pelo Índice de Gini, a partir dos dados da PNAD COVID19, para todos os estados da região Nordeste.</w:t>
      </w:r>
    </w:p>
    <w:p w14:paraId="5775E923" w14:textId="77777777" w:rsidR="00A9361D" w:rsidRDefault="00000000">
      <w:pPr>
        <w:pStyle w:val="SemEspaamento"/>
        <w:ind w:firstLine="709"/>
        <w:rPr>
          <w:color w:val="auto"/>
        </w:rPr>
      </w:pPr>
      <w:r>
        <w:rPr>
          <w:color w:val="auto"/>
        </w:rPr>
        <w:t xml:space="preserve"> Esse trabalho mostra-se pertinente, sobretudo, pela abordagem de uma temática atual que trará ganhos para a comunidade acadêmica e para a sociedade como um todo. Para realizar esse estudo, será estimado o Índice de Gini da renda corrente, bem como sua decomposição a partir de suas diversas fontes, com base na metodologia apresentada por Hoffman (2009). Para alcançar tal objetivo, utilizou-se como fonte de dados, os microdados mensais da Pesquisa Nacional por Amostra de Domicílios – PNAD COVID19, para os meses de maio de 2020 até novembro de 2020, coletados em caráter experimental pelo IBGE.</w:t>
      </w:r>
    </w:p>
    <w:p w14:paraId="617DB576" w14:textId="1002E2D7" w:rsidR="00A9361D" w:rsidRDefault="00000000">
      <w:pPr>
        <w:pStyle w:val="SemEspaamento"/>
        <w:ind w:firstLine="709"/>
        <w:rPr>
          <w:color w:val="auto"/>
        </w:rPr>
      </w:pPr>
      <w:r>
        <w:rPr>
          <w:color w:val="auto"/>
        </w:rPr>
        <w:t>O estudo visa responder a seguinte pergunta: quais foram os efeitos do Auxílio Emergencial de 2020 nas disparidades de renda existentes no Nordeste no ano de 2020?</w:t>
      </w:r>
    </w:p>
    <w:p w14:paraId="2EA7503A" w14:textId="52322D68" w:rsidR="00A9361D" w:rsidRDefault="00000000">
      <w:pPr>
        <w:pStyle w:val="SemEspaamento"/>
        <w:ind w:firstLine="709"/>
        <w:rPr>
          <w:color w:val="auto"/>
        </w:rPr>
      </w:pPr>
      <w:r>
        <w:rPr>
          <w:color w:val="auto"/>
        </w:rPr>
        <w:t>Além desta introdução, o trabalho também conta com mais quatro seções. Na segunda estão presentes os aspectos metodológicos que norteiam o estudo. A terceira aborta a  pandemia em 2020 e as medidas adotadas. A quarta traz os resultados da análise sobre a desigualdade intrarregional de renda no Nordeste durante a pandemia a partir dos dados da PNAD COVID19 e o impacto do Auxílio Emergencial. Na quinta são feitas as considerações finais.</w:t>
      </w:r>
    </w:p>
    <w:p w14:paraId="63BD8B2C" w14:textId="77777777" w:rsidR="00A9361D" w:rsidRDefault="00000000">
      <w:pPr>
        <w:pStyle w:val="PargrafodaLista"/>
        <w:numPr>
          <w:ilvl w:val="0"/>
          <w:numId w:val="6"/>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ASPECTOS METODOLÓGICOS</w:t>
      </w:r>
    </w:p>
    <w:p w14:paraId="79910979"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As estimativas aqui realizadas estão baseadas nos microdados mensais da Pesquisa Nacional por Amostra de Domicílios – PNAD COVID19, coletada de forma experimental pelo IBGE para os meses de maio de 2020 até novembro de 2020.</w:t>
      </w:r>
    </w:p>
    <w:p w14:paraId="4C2555C7"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À Pesquisa Nacional por Amostra de Domicílios – PNAD COVID19, ela foi a “primeira pesquisa divulgada com o selo de Estatística Experimental”, teve a disponibilização de seus </w:t>
      </w:r>
      <w:r>
        <w:rPr>
          <w:rFonts w:ascii="Times New Roman" w:hAnsi="Times New Roman" w:cs="Times New Roman"/>
          <w:sz w:val="24"/>
          <w:szCs w:val="24"/>
        </w:rPr>
        <w:lastRenderedPageBreak/>
        <w:t>microdados realizada a partir do mês de maio de 2020 e foi realizada por um período limitado, de maio a novembro de 2020. É importante enfatizar que: “a PNAD COVID19 está sendo apresentada como Estatística Experimental pois ainda está sob avaliação, ou seja, ainda não atingiu um grau completo de maturidade em termos de harmonização, cobertura ou metodologia” (IBGE, 2020a, p. 4).</w:t>
      </w:r>
    </w:p>
    <w:p w14:paraId="4F587FA5" w14:textId="77777777" w:rsidR="00A9361D" w:rsidRDefault="00000000">
      <w:pPr>
        <w:spacing w:after="0" w:line="360" w:lineRule="auto"/>
        <w:ind w:firstLine="709"/>
        <w:jc w:val="both"/>
      </w:pPr>
      <w:r>
        <w:rPr>
          <w:rFonts w:ascii="Times New Roman" w:hAnsi="Times New Roman" w:cs="Times New Roman"/>
          <w:sz w:val="24"/>
          <w:szCs w:val="24"/>
        </w:rPr>
        <w:t>Seguindo a metodologia desenvolvida por Hoffmann (2009),</w:t>
      </w:r>
      <w:r>
        <w:rPr>
          <w:rFonts w:ascii="Times New Roman" w:hAnsi="Times New Roman" w:cs="Times New Roman"/>
          <w:sz w:val="24"/>
          <w:szCs w:val="24"/>
          <w:lang w:eastAsia="pt-BR"/>
        </w:rPr>
        <w:t xml:space="preserve"> o rendimento domiciliar </w:t>
      </w:r>
      <w:r>
        <w:rPr>
          <w:rFonts w:ascii="Times New Roman" w:hAnsi="Times New Roman" w:cs="Times New Roman"/>
          <w:i/>
          <w:iCs/>
          <w:sz w:val="24"/>
          <w:szCs w:val="24"/>
          <w:lang w:eastAsia="pt-BR"/>
        </w:rPr>
        <w:t>per capita</w:t>
      </w:r>
      <w:r>
        <w:rPr>
          <w:rFonts w:ascii="Times New Roman" w:hAnsi="Times New Roman" w:cs="Times New Roman"/>
          <w:sz w:val="24"/>
          <w:szCs w:val="24"/>
          <w:lang w:eastAsia="pt-BR"/>
        </w:rPr>
        <w:t xml:space="preserve"> (RDPC) utilizado neste trabalho é definido como a razão entre o rendimento domiciliar e o número de moradores, exceto as pessoas cuja condição no domicílio é pensionista, empregado doméstico ou parente de empregado doméstico. Destaca-se, ainda, que serão considerados apenas os domicílios particulares permanentes com declaração de rendimento domiciliar, ou seja, excluem-se os domicílios particulares permanentes sem declaração de renda (HOFFMANN, 2009).</w:t>
      </w:r>
    </w:p>
    <w:p w14:paraId="1125BA4E" w14:textId="77777777" w:rsidR="00A9361D" w:rsidRDefault="00000000">
      <w:pPr>
        <w:spacing w:after="0" w:line="360" w:lineRule="auto"/>
        <w:ind w:firstLine="709"/>
        <w:jc w:val="both"/>
      </w:pPr>
      <w:r>
        <w:rPr>
          <w:rFonts w:ascii="Times New Roman" w:hAnsi="Times New Roman" w:cs="Times New Roman"/>
          <w:sz w:val="24"/>
          <w:szCs w:val="24"/>
        </w:rPr>
        <w:t>Para realizar a coleta de dados utilizou-se, inicialmente, um filtro para os 9 estados do Nordeste, utilizando os números das Unidades da Federação presentes no dicionário da própria PNAD COVID19. Por se tratar de uma pesquisa domiciliar, aplica-se o filtro para pensionistas, empregado(a) doméstico(a) e parentes do(a) empregado(a) doméstico(a), para que, ao calcular a renda média ou a desigualdade de renda com base no domicílio, essas rendas não apareçam, conforme proposta metodológica definida por Hoffmann (2009). Posteriormente, tomando como referência a metodologia utilizada por Trovão e Leite (2020), realiza-se uma agregação por domicílio e, em seguida, a divisão pelo número de moradores das diversas fontes de rendimento captadas na pesquisa, a saber: 1) Todos os trabalhos em dinheiro; 2) Aposentadorias e pensões; 3) Pensão alimentícia, doação ou mesada; 4) Programa Bolsa Família; 5) BPC-LOAS; 6) Auxílio Emergencial; 7) Seguro-desemprego e 8) Aluguel, arrendamento, aplicações financeiras, bolsa de estudos etc. Considerou-se, portanto, a soma dessas oito parcelas para o cálculo da RDPC de todas as fontes. O cálculo do índice de Gini para a RDPC de todas as fontes e sua posterior decomposição estão baseados no método de decomposição do índice de Gini e na medida da progressividade de uma parcela da renda apresentada em Hoffmann (2009).</w:t>
      </w:r>
    </w:p>
    <w:p w14:paraId="6F69023F" w14:textId="77777777" w:rsidR="00A9361D" w:rsidRDefault="00A9361D">
      <w:pPr>
        <w:spacing w:after="0" w:line="360" w:lineRule="auto"/>
        <w:ind w:firstLine="709"/>
        <w:jc w:val="both"/>
        <w:rPr>
          <w:rFonts w:ascii="Times New Roman" w:hAnsi="Times New Roman" w:cs="Times New Roman"/>
          <w:b/>
          <w:bCs/>
          <w:sz w:val="24"/>
          <w:szCs w:val="24"/>
        </w:rPr>
      </w:pPr>
    </w:p>
    <w:p w14:paraId="2A8828C5" w14:textId="77777777" w:rsidR="00A9361D" w:rsidRDefault="00000000">
      <w:pPr>
        <w:pStyle w:val="PargrafodaLista"/>
        <w:numPr>
          <w:ilvl w:val="0"/>
          <w:numId w:val="5"/>
        </w:numPr>
        <w:spacing w:after="0" w:line="360" w:lineRule="auto"/>
        <w:jc w:val="both"/>
        <w:rPr>
          <w:rFonts w:ascii="Times New Roman" w:hAnsi="Times New Roman" w:cs="Times New Roman"/>
          <w:b/>
          <w:bCs/>
          <w:color w:val="FF0000"/>
          <w:sz w:val="24"/>
          <w:szCs w:val="24"/>
        </w:rPr>
      </w:pPr>
      <w:r>
        <w:rPr>
          <w:rFonts w:ascii="Times New Roman" w:hAnsi="Times New Roman" w:cs="Times New Roman"/>
          <w:b/>
          <w:bCs/>
        </w:rPr>
        <w:t xml:space="preserve"> </w:t>
      </w:r>
      <w:r w:rsidRPr="00AD42FB">
        <w:rPr>
          <w:rFonts w:ascii="Times New Roman" w:hAnsi="Times New Roman" w:cs="Times New Roman"/>
          <w:b/>
          <w:bCs/>
          <w:sz w:val="24"/>
          <w:szCs w:val="24"/>
        </w:rPr>
        <w:t>A PANDEMIA DA COVID19 E AS MEDIDAS ADOTADAS</w:t>
      </w:r>
    </w:p>
    <w:p w14:paraId="4490C709" w14:textId="77777777" w:rsidR="00A9361D" w:rsidRDefault="00000000">
      <w:pPr>
        <w:pStyle w:val="SemEspaamento"/>
        <w:ind w:firstLine="709"/>
        <w:rPr>
          <w:b/>
          <w:bCs/>
          <w:color w:val="auto"/>
        </w:rPr>
      </w:pPr>
      <w:r>
        <w:rPr>
          <w:color w:val="auto"/>
        </w:rPr>
        <w:lastRenderedPageBreak/>
        <w:t>No início de 2020, surgiu uma nova pandemia, chamada de pandemia do Novo Coronavírus (COVID-19). Conforme Trovão e Leite (2020), a pandemia causada pelo Sars-Cov-2, uma espécie de coronavírus de alto grau de contágio e, inicialmente, sem remédio o vacina conhecidos</w:t>
      </w:r>
      <w:r>
        <w:rPr>
          <w:rStyle w:val="FootnoteAnchor"/>
          <w:color w:val="auto"/>
        </w:rPr>
        <w:footnoteReference w:id="1"/>
      </w:r>
      <w:r>
        <w:rPr>
          <w:color w:val="auto"/>
        </w:rPr>
        <w:t>, provocou o surgimento de uma grave crise que se inicia no contexto sanitário, levando à saturação alguns sistemas públicos de saúde, e que impôs a necessidade da adoção de medidas emergenciais, como as de isolamento social, para conter a propagação do vírus, mas que se expande para outras dimensões, convertendo-se em uma crise econômica e social</w:t>
      </w:r>
      <w:r>
        <w:t xml:space="preserve">.  </w:t>
      </w:r>
      <w:r>
        <w:rPr>
          <w:color w:val="auto"/>
        </w:rPr>
        <w:t xml:space="preserve">O novo vírus, até meados de junho de 2022, foi responsável pela morte de aproximadamente 660 mil brasileiros (destes, 20% de residentes da região Nordeste) (CORONAVÍRUS BRASIL, 2022). </w:t>
      </w:r>
    </w:p>
    <w:p w14:paraId="01308A53" w14:textId="0585043E" w:rsidR="00A9361D" w:rsidRDefault="00000000">
      <w:pPr>
        <w:pStyle w:val="SemEspaamento"/>
        <w:ind w:firstLine="709"/>
      </w:pPr>
      <w:r>
        <w:rPr>
          <w:color w:val="auto"/>
          <w:szCs w:val="24"/>
        </w:rPr>
        <w:t>Fora a questão</w:t>
      </w:r>
      <w:r>
        <w:rPr>
          <w:color w:val="auto"/>
        </w:rPr>
        <w:t xml:space="preserve"> </w:t>
      </w:r>
      <w:r>
        <w:rPr>
          <w:color w:val="auto"/>
          <w:szCs w:val="24"/>
        </w:rPr>
        <w:t>humanitária, a pandemia trouxe repercussões econômicas e sociais consideráveis ao paralisar setores de</w:t>
      </w:r>
      <w:r>
        <w:rPr>
          <w:color w:val="auto"/>
        </w:rPr>
        <w:t xml:space="preserve"> </w:t>
      </w:r>
      <w:r>
        <w:rPr>
          <w:color w:val="auto"/>
          <w:szCs w:val="24"/>
        </w:rPr>
        <w:t>atividade não essenciais, porém de grande relevância para o emprego e renda, o que provocou um aumento da pobreza e do desemprego (MONTE, 2020).</w:t>
      </w:r>
    </w:p>
    <w:p w14:paraId="3E3754C4" w14:textId="77777777" w:rsidR="00A9361D" w:rsidRDefault="00000000">
      <w:pPr>
        <w:pStyle w:val="SemEspaamento"/>
        <w:ind w:firstLine="709"/>
      </w:pPr>
      <w:r>
        <w:rPr>
          <w:color w:val="auto"/>
        </w:rPr>
        <w:t>De acordo com Trovão e Leite (2020), a redução do ritmo da atividade econômica resultante das necessárias medidas de isolamento social proporcionou um significativo choque negativo de oferta, que logo após se converteu em um choque de demanda, causado pela redução dos investimentos e, sobretudo, pela queda do consumo das famílias, reflexo da perda de postos de trabalho ou paralisação de suas atividades e consequente redução de suas rendas.</w:t>
      </w:r>
    </w:p>
    <w:p w14:paraId="6BBBA909" w14:textId="77777777" w:rsidR="00A9361D" w:rsidRDefault="00000000">
      <w:pPr>
        <w:pStyle w:val="SemEspaamento"/>
        <w:ind w:firstLine="709"/>
      </w:pPr>
      <w:r>
        <w:rPr>
          <w:color w:val="auto"/>
        </w:rPr>
        <w:t xml:space="preserve">Para Trovão e Araújo (2020), a crise imposta pela pandemia da Covid-19 abalou o mundo do trabalho em todos os seus segmentos. Tanto trabalhadores formais quanto informais foram impactados. </w:t>
      </w:r>
    </w:p>
    <w:p w14:paraId="1950AEAA" w14:textId="77777777" w:rsidR="00A9361D" w:rsidRDefault="00000000">
      <w:pPr>
        <w:spacing w:after="0" w:line="360" w:lineRule="auto"/>
        <w:ind w:firstLine="709"/>
        <w:jc w:val="both"/>
      </w:pPr>
      <w:r>
        <w:rPr>
          <w:rFonts w:ascii="Times New Roman" w:hAnsi="Times New Roman" w:cs="Times New Roman"/>
          <w:sz w:val="24"/>
          <w:szCs w:val="24"/>
        </w:rPr>
        <w:t xml:space="preserve">Essa conjuntura desencadeou uma pressão popular pela ação do Estado em termos mundiais, que obteve defensores em todos os setores da sociedade, que vão do empresariado, percorrendo as universidades e a grande mídia, chegando à própria classe trabalhadora, a mais afetada. No caso brasileiro, foi elaborado um conjunto de medidas voltadas especialmente para empresas e trabalhadores, tanto pelo Governo Federal quanto pelos Estados e Municípios. Em relação à população (ocupada ou não), as medidas empregadas pelo governo federal brasileiro </w:t>
      </w:r>
      <w:r>
        <w:rPr>
          <w:rFonts w:ascii="Times New Roman" w:hAnsi="Times New Roman" w:cs="Times New Roman"/>
          <w:sz w:val="24"/>
          <w:szCs w:val="24"/>
        </w:rPr>
        <w:lastRenderedPageBreak/>
        <w:t>estão fundamentadas em dois programas emergenciais</w:t>
      </w:r>
      <w:r>
        <w:rPr>
          <w:rFonts w:ascii="Times New Roman" w:hAnsi="Times New Roman" w:cs="Times New Roman"/>
          <w:color w:val="FF0000"/>
          <w:sz w:val="24"/>
          <w:szCs w:val="24"/>
        </w:rPr>
        <w:t xml:space="preserve"> </w:t>
      </w:r>
      <w:r>
        <w:rPr>
          <w:rFonts w:ascii="Times New Roman" w:hAnsi="Times New Roman" w:cs="Times New Roman"/>
          <w:sz w:val="24"/>
          <w:szCs w:val="24"/>
        </w:rPr>
        <w:t>que buscaram atender: a) trabalhadores formais; e b) trabalhadores informais, microempreendedores individuais (MEI) e beneficiários de programas de transferência de renda como o Bolsa Família (TROVÃO; ARAÚJO, 2020).</w:t>
      </w:r>
    </w:p>
    <w:p w14:paraId="474974EB" w14:textId="77777777" w:rsidR="00A9361D" w:rsidRDefault="00000000">
      <w:pPr>
        <w:spacing w:after="0" w:line="360" w:lineRule="auto"/>
        <w:ind w:firstLine="709"/>
        <w:jc w:val="both"/>
      </w:pPr>
      <w:r>
        <w:rPr>
          <w:rFonts w:ascii="Times New Roman" w:hAnsi="Times New Roman" w:cs="Times New Roman"/>
          <w:color w:val="000000" w:themeColor="text1"/>
          <w:sz w:val="24"/>
          <w:szCs w:val="24"/>
        </w:rPr>
        <w:t>A</w:t>
      </w:r>
      <w:r>
        <w:rPr>
          <w:rFonts w:ascii="Times New Roman" w:hAnsi="Times New Roman" w:cs="Times New Roman"/>
          <w:color w:val="FF0000"/>
          <w:sz w:val="24"/>
          <w:szCs w:val="24"/>
        </w:rPr>
        <w:t xml:space="preserve"> </w:t>
      </w:r>
      <w:r>
        <w:rPr>
          <w:rFonts w:ascii="Times New Roman" w:hAnsi="Times New Roman" w:cs="Times New Roman"/>
          <w:sz w:val="24"/>
          <w:szCs w:val="24"/>
        </w:rPr>
        <w:t>principal medida adotada para atender aos trabalhadores formais foi a Medida Provisória n° 936, de 1° de abril de 2020, posteriormente convertida na Lei n° 14.020, de 6 de julho de 2020, a qual:</w:t>
      </w:r>
    </w:p>
    <w:p w14:paraId="681727F2" w14:textId="77777777" w:rsidR="00A9361D" w:rsidRDefault="00000000">
      <w:pPr>
        <w:pStyle w:val="SemEspaamento"/>
        <w:spacing w:before="120" w:after="240" w:line="240" w:lineRule="auto"/>
        <w:ind w:left="2268"/>
      </w:pPr>
      <w:r>
        <w:rPr>
          <w:color w:val="auto"/>
          <w:sz w:val="20"/>
          <w:szCs w:val="20"/>
        </w:rPr>
        <w:t>Institui o Programa Emergencial de Manutenção do Emprego e da Renda e dispõe sobre medidas complementares para enfrentamento do estado de calamidade pública reconhecido pelo Decreto Legislativo n° 6, de 20 de março de 2020, e da emergência de saúde pública de importância internacional decorrente do coronavírus, de que trata a Lei n° 13.979, de 6 de fevereiro de 2020</w:t>
      </w:r>
      <w:r>
        <w:rPr>
          <w:rStyle w:val="FootnoteAnchor"/>
          <w:color w:val="auto"/>
          <w:sz w:val="20"/>
          <w:szCs w:val="20"/>
        </w:rPr>
        <w:footnoteReference w:id="2"/>
      </w:r>
      <w:r>
        <w:rPr>
          <w:color w:val="auto"/>
          <w:sz w:val="20"/>
          <w:szCs w:val="20"/>
        </w:rPr>
        <w:t xml:space="preserve"> (MEDIDA PROVISÓRIA N° 936, DE 1° DE ABRIL DE 2020, CONVERTIDA NA LEI N° 14.020, DE 6 DE JULHO DE 2020)</w:t>
      </w:r>
      <w:r>
        <w:rPr>
          <w:rStyle w:val="FootnoteAnchor"/>
          <w:color w:val="auto"/>
          <w:sz w:val="20"/>
          <w:szCs w:val="20"/>
        </w:rPr>
        <w:footnoteReference w:id="3"/>
      </w:r>
    </w:p>
    <w:p w14:paraId="5B64612E" w14:textId="61893806" w:rsidR="00A9361D" w:rsidRDefault="00A9361D">
      <w:pPr>
        <w:spacing w:after="0" w:line="360" w:lineRule="auto"/>
        <w:ind w:firstLine="709"/>
        <w:jc w:val="both"/>
      </w:pPr>
    </w:p>
    <w:p w14:paraId="34F0FBA0" w14:textId="27281E6E" w:rsidR="00A9361D" w:rsidRDefault="00000000">
      <w:pPr>
        <w:spacing w:after="0" w:line="360" w:lineRule="auto"/>
        <w:ind w:firstLine="709"/>
        <w:jc w:val="both"/>
      </w:pPr>
      <w:r>
        <w:rPr>
          <w:rFonts w:ascii="Times New Roman" w:hAnsi="Times New Roman" w:cs="Times New Roman"/>
          <w:sz w:val="24"/>
          <w:szCs w:val="24"/>
        </w:rPr>
        <w:t>Já à medida que contempla os trabalhadores informais, microempreendedores individuais (MEI) e beneficiários de programas de transferência de renda como o Bolsa Família (PBF) ficou conhecida como Auxílio Emergencial (AE). De acordo com Trovão e Araújo (2020), as medidas empregadas pelo governo para atenuar os impactos da crise provocada pelo coronavírus também atenderam aos informais, após forte pressão popular. Estes trabalhadores tinham visto sua renda despencar repentinamente por conta da queda/interrupção da atividade econômica. Depois de propor um valor de benefício de apenas R$ 200,00 para tais trabalhadores, o governo federal lançou um auxílio emergencial de R$ 600,00 e R$ 1.200,00 (para “a mulher provedora de família monoparental”), após rígida disputa no Congresso Nacional.</w:t>
      </w:r>
    </w:p>
    <w:p w14:paraId="1BF201C5" w14:textId="77777777" w:rsidR="00A9361D" w:rsidRDefault="00000000">
      <w:pPr>
        <w:spacing w:after="0" w:line="360" w:lineRule="auto"/>
        <w:ind w:firstLine="709"/>
        <w:jc w:val="both"/>
      </w:pPr>
      <w:r>
        <w:rPr>
          <w:rFonts w:ascii="Times New Roman" w:hAnsi="Times New Roman" w:cs="Times New Roman"/>
          <w:sz w:val="24"/>
          <w:szCs w:val="24"/>
        </w:rPr>
        <w:t xml:space="preserve">Conforme os autores, esses valores se mostraram tardios e insuficientes, sobretudo, pelo fato de que a liberação dos valores teve início apenas no dia 9 de abril e de forma lenta, muito tempo após as medidas de isolamento social entrarem em vigor, definidas conforme o decreto </w:t>
      </w:r>
      <w:r>
        <w:rPr>
          <w:rFonts w:ascii="Times New Roman" w:hAnsi="Times New Roman" w:cs="Times New Roman"/>
          <w:sz w:val="24"/>
          <w:szCs w:val="24"/>
        </w:rPr>
        <w:lastRenderedPageBreak/>
        <w:t>n° 10. 282, de 20 de março de 2020</w:t>
      </w:r>
      <w:r>
        <w:rPr>
          <w:rStyle w:val="FootnoteAnchor"/>
          <w:rFonts w:ascii="Times New Roman" w:hAnsi="Times New Roman" w:cs="Times New Roman"/>
          <w:sz w:val="24"/>
          <w:szCs w:val="24"/>
        </w:rPr>
        <w:footnoteReference w:id="4"/>
      </w:r>
      <w:r>
        <w:rPr>
          <w:rFonts w:ascii="Times New Roman" w:hAnsi="Times New Roman" w:cs="Times New Roman"/>
          <w:sz w:val="24"/>
          <w:szCs w:val="24"/>
        </w:rPr>
        <w:t>, que regulamenta a Lei nº 13.979, de 6 de fevereiro de 2020, para determinar os serviços públicos e as atividades essenciais.</w:t>
      </w:r>
    </w:p>
    <w:p w14:paraId="2E3A9179" w14:textId="77777777" w:rsidR="00A9361D" w:rsidRDefault="00000000">
      <w:pPr>
        <w:spacing w:after="0" w:line="360" w:lineRule="auto"/>
        <w:ind w:firstLine="709"/>
        <w:jc w:val="both"/>
      </w:pPr>
      <w:r>
        <w:rPr>
          <w:rFonts w:ascii="Times New Roman" w:hAnsi="Times New Roman" w:cs="Times New Roman"/>
          <w:sz w:val="24"/>
          <w:szCs w:val="24"/>
        </w:rPr>
        <w:t>A Lei que definia os critérios para o auxílio emergencial é a Lei n° 13.982, de 2 de abril de 2020, trazia no seu Art. 2° os requisitos necessários para os beneficiários:</w:t>
      </w:r>
    </w:p>
    <w:p w14:paraId="17EB9D8F" w14:textId="77777777" w:rsidR="00A9361D" w:rsidRDefault="00000000">
      <w:pPr>
        <w:spacing w:before="120" w:after="240" w:line="240" w:lineRule="auto"/>
        <w:ind w:left="2268"/>
        <w:jc w:val="both"/>
      </w:pPr>
      <w:r>
        <w:rPr>
          <w:rFonts w:ascii="Times New Roman" w:hAnsi="Times New Roman" w:cs="Times New Roman"/>
          <w:color w:val="000000"/>
          <w:sz w:val="20"/>
          <w:szCs w:val="20"/>
        </w:rPr>
        <w:t>Durante o período de 3 (três) meses, a contar da publicação desta Lei, será concedido auxílio emergencial no valor de R$ 600,00 (seiscentos reais) mensais ao trabalhador que cumpra cumulativamente os seguintes requisitos: 1) seja maior de 18 (dezoito) anos de idade, salvo no caso de mães adolescentes; 2) não tenha emprego formal ativo; 3) não seja titular de benefício previdenciário ou assistencial ou beneficiário do seguro-desemprego ou de programa de transferência de renda federal, ressalvado, o BF; 4) cuja renda familiar mensal </w:t>
      </w:r>
      <w:r>
        <w:rPr>
          <w:rFonts w:ascii="Times New Roman" w:hAnsi="Times New Roman" w:cs="Times New Roman"/>
          <w:i/>
          <w:iCs/>
          <w:color w:val="000000"/>
          <w:sz w:val="20"/>
          <w:szCs w:val="20"/>
        </w:rPr>
        <w:t>per capita</w:t>
      </w:r>
      <w:r>
        <w:rPr>
          <w:rFonts w:ascii="Times New Roman" w:hAnsi="Times New Roman" w:cs="Times New Roman"/>
          <w:b/>
          <w:bCs/>
          <w:color w:val="000000"/>
          <w:sz w:val="20"/>
          <w:szCs w:val="20"/>
        </w:rPr>
        <w:t> </w:t>
      </w:r>
      <w:r>
        <w:rPr>
          <w:rFonts w:ascii="Times New Roman" w:hAnsi="Times New Roman" w:cs="Times New Roman"/>
          <w:color w:val="000000"/>
          <w:sz w:val="20"/>
          <w:szCs w:val="20"/>
        </w:rPr>
        <w:t>seja de até 1/2 (meio) salário-mínimo ou a renda familiar mensal total seja de até 3 (três) salários mínimos; 5) que, no ano de 2018, não tenha recebido rendimentos tributáveis acima de R$ 28.559,70 (vinte e oito mil, quinhentos e cinquenta e nove reais e setenta centavos); 6) exerça atividade na condição de microempreendedor individual (MEI) ou ser contribuinte individual do Regime Geral de Previdência Social ou ser trabalhador informal, seja empregado, autônomo ou desempregado, de qualquer natureza, inclusive o intermitente inativo, inscrito no Cadastro Único para Programas Sociais do Governo Federal (</w:t>
      </w:r>
      <w:proofErr w:type="spellStart"/>
      <w:r>
        <w:rPr>
          <w:rFonts w:ascii="Times New Roman" w:hAnsi="Times New Roman" w:cs="Times New Roman"/>
          <w:color w:val="000000"/>
          <w:sz w:val="20"/>
          <w:szCs w:val="20"/>
        </w:rPr>
        <w:t>CadÚnico</w:t>
      </w:r>
      <w:proofErr w:type="spellEnd"/>
      <w:r>
        <w:rPr>
          <w:rFonts w:ascii="Times New Roman" w:hAnsi="Times New Roman" w:cs="Times New Roman"/>
          <w:color w:val="000000"/>
          <w:sz w:val="20"/>
          <w:szCs w:val="20"/>
        </w:rPr>
        <w:t>) até 20 de março de 2020 (LEI N° 13.982, DE 2 DE ABRIL DE 2020)</w:t>
      </w:r>
      <w:r>
        <w:rPr>
          <w:rStyle w:val="FootnoteAnchor"/>
          <w:rFonts w:ascii="Times New Roman" w:hAnsi="Times New Roman" w:cs="Times New Roman"/>
          <w:color w:val="000000"/>
          <w:sz w:val="20"/>
          <w:szCs w:val="20"/>
        </w:rPr>
        <w:footnoteReference w:id="5"/>
      </w:r>
    </w:p>
    <w:p w14:paraId="45083F2E" w14:textId="77777777" w:rsidR="00A9361D" w:rsidRDefault="00000000">
      <w:pPr>
        <w:ind w:firstLine="709"/>
      </w:pPr>
      <w:r>
        <w:rPr>
          <w:rFonts w:ascii="Times New Roman" w:hAnsi="Times New Roman"/>
          <w:sz w:val="24"/>
        </w:rPr>
        <w:t xml:space="preserve">Posteriormente, houve uma prorrogação do auxílio por meio do Decreto n° 10.412, de 30 de junho de 2020, que: </w:t>
      </w:r>
    </w:p>
    <w:p w14:paraId="686CA572" w14:textId="77777777" w:rsidR="00A9361D" w:rsidRDefault="00000000">
      <w:pPr>
        <w:ind w:left="2268"/>
        <w:rPr>
          <w:rFonts w:ascii="Times New Roman" w:hAnsi="Times New Roman" w:cs="Times New Roman"/>
          <w:sz w:val="20"/>
          <w:szCs w:val="20"/>
        </w:rPr>
      </w:pPr>
      <w:r>
        <w:rPr>
          <w:rFonts w:ascii="Times New Roman" w:hAnsi="Times New Roman" w:cs="Times New Roman"/>
          <w:sz w:val="20"/>
          <w:szCs w:val="20"/>
        </w:rPr>
        <w:tab/>
      </w:r>
    </w:p>
    <w:p w14:paraId="2B13E92C" w14:textId="77777777" w:rsidR="00A9361D" w:rsidRDefault="00000000">
      <w:pPr>
        <w:spacing w:before="120" w:after="240" w:line="240" w:lineRule="auto"/>
        <w:ind w:left="2268"/>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Altera o Decreto nº 10.316, de 7 de abril de 2020, para prorrogar o período de pagamento do auxílio emergencial de que trata a Lei nº 13.982, de 2 de abril de 2020. </w:t>
      </w:r>
      <w:hyperlink r:id="rId9" w:anchor="art9a" w:history="1">
        <w:r>
          <w:rPr>
            <w:rStyle w:val="Hyperlink"/>
            <w:rFonts w:ascii="Times New Roman" w:hAnsi="Times New Roman"/>
            <w:color w:val="000000" w:themeColor="text1"/>
            <w:sz w:val="20"/>
            <w:szCs w:val="20"/>
            <w:u w:val="none"/>
          </w:rPr>
          <w:t>“Art. 9º- A</w:t>
        </w:r>
      </w:hyperlink>
      <w:r>
        <w:rPr>
          <w:rFonts w:ascii="Times New Roman" w:hAnsi="Times New Roman" w:cs="Times New Roman"/>
          <w:color w:val="000000" w:themeColor="text1"/>
          <w:sz w:val="20"/>
          <w:szCs w:val="20"/>
        </w:rPr>
        <w:t>  Fica prorrogado o auxílio emergencial, previsto no </w:t>
      </w:r>
      <w:hyperlink r:id="rId10" w:anchor="art2" w:history="1">
        <w:r>
          <w:rPr>
            <w:rStyle w:val="Hyperlink"/>
            <w:rFonts w:ascii="Times New Roman" w:hAnsi="Times New Roman"/>
            <w:color w:val="000000" w:themeColor="text1"/>
            <w:sz w:val="20"/>
            <w:szCs w:val="20"/>
            <w:u w:val="none"/>
          </w:rPr>
          <w:t>art. 2º da Lei nº 13.982, de 2020</w:t>
        </w:r>
      </w:hyperlink>
      <w:r>
        <w:rPr>
          <w:rFonts w:ascii="Times New Roman" w:hAnsi="Times New Roman" w:cs="Times New Roman"/>
          <w:color w:val="000000" w:themeColor="text1"/>
          <w:sz w:val="20"/>
          <w:szCs w:val="20"/>
        </w:rPr>
        <w:t>, pelo período complementar de dois meses, na hipótese de requerimento realizado até 2 de julho de 2020, desde que o requerente seja considerado elegível nos termos do disposto na referida Lei (DECRETO N° 10.412, DE 30 DE JUNHO DE 2020)</w:t>
      </w:r>
      <w:r>
        <w:rPr>
          <w:rStyle w:val="FootnoteAnchor"/>
          <w:rFonts w:ascii="Times New Roman" w:hAnsi="Times New Roman" w:cs="Times New Roman"/>
          <w:color w:val="000000" w:themeColor="text1"/>
          <w:sz w:val="20"/>
          <w:szCs w:val="20"/>
        </w:rPr>
        <w:footnoteReference w:id="6"/>
      </w:r>
    </w:p>
    <w:p w14:paraId="2D39D5E6" w14:textId="2765FFD4" w:rsidR="00A9361D" w:rsidRPr="00AD42FB" w:rsidRDefault="00000000" w:rsidP="00AD42FB">
      <w:pPr>
        <w:spacing w:after="0" w:line="360" w:lineRule="auto"/>
        <w:ind w:firstLine="709"/>
        <w:jc w:val="both"/>
        <w:rPr>
          <w:sz w:val="24"/>
          <w:szCs w:val="24"/>
        </w:rPr>
      </w:pPr>
      <w:r>
        <w:rPr>
          <w:rFonts w:ascii="Times New Roman" w:hAnsi="Times New Roman" w:cs="Times New Roman"/>
          <w:sz w:val="24"/>
          <w:szCs w:val="24"/>
        </w:rPr>
        <w:t>E ainda em 2020, a Medida Provisória n° 1.000, de 2 de setembro de 2020, prorrogou o auxílio emergencial em até quatro parcelar, contudo, com valores menores, de R$ 300,00 e R$600,00 (</w:t>
      </w:r>
      <w:r>
        <w:rPr>
          <w:rFonts w:ascii="Times New Roman" w:hAnsi="Times New Roman" w:cs="Times New Roman"/>
          <w:color w:val="000000"/>
          <w:sz w:val="24"/>
          <w:szCs w:val="24"/>
          <w:shd w:val="clear" w:color="auto" w:fill="FFFFFF"/>
        </w:rPr>
        <w:t>para “a mulher provedora de família monoparental”), conforme a MP n° 1.000</w:t>
      </w:r>
      <w:r w:rsidR="00AD42FB">
        <w:rPr>
          <w:rFonts w:ascii="Times New Roman" w:hAnsi="Times New Roman" w:cs="Times New Roman"/>
          <w:color w:val="000000"/>
          <w:sz w:val="24"/>
          <w:szCs w:val="24"/>
          <w:shd w:val="clear" w:color="auto" w:fill="FFFFFF"/>
        </w:rPr>
        <w:t xml:space="preserve">. </w:t>
      </w:r>
      <w:r w:rsidRPr="00AD42FB">
        <w:rPr>
          <w:rFonts w:ascii="Times New Roman" w:hAnsi="Times New Roman" w:cs="Times New Roman"/>
          <w:color w:val="000000"/>
          <w:sz w:val="24"/>
          <w:szCs w:val="24"/>
          <w:shd w:val="clear" w:color="auto" w:fill="FFFFFF"/>
        </w:rPr>
        <w:t xml:space="preserve">Fica instituído, até 31 de dezembro de 2020, o auxílio emergencial residual a ser pago em até quatro parcelas mensais no valor de R$ 300,00 (trezentos reais) ao trabalhador beneficiário do auxílio emergencial de que trata o art. 2º da Lei nº 13.982, de 2 de abril de 2020, a contar da data de </w:t>
      </w:r>
      <w:r w:rsidRPr="00AD42FB">
        <w:rPr>
          <w:rFonts w:ascii="Times New Roman" w:hAnsi="Times New Roman" w:cs="Times New Roman"/>
          <w:color w:val="000000"/>
          <w:sz w:val="24"/>
          <w:szCs w:val="24"/>
          <w:shd w:val="clear" w:color="auto" w:fill="FFFFFF"/>
        </w:rPr>
        <w:lastRenderedPageBreak/>
        <w:t>publicação desta Medida Provisória (MEDIDA PROVISÓRIA N° 1.000, DE 2 DE SETEMBRO DE 2020)</w:t>
      </w:r>
      <w:r w:rsidRPr="00AD42FB">
        <w:rPr>
          <w:rStyle w:val="FootnoteAnchor"/>
          <w:rFonts w:ascii="Times New Roman" w:hAnsi="Times New Roman" w:cs="Times New Roman"/>
          <w:color w:val="000000"/>
          <w:sz w:val="24"/>
          <w:szCs w:val="24"/>
          <w:shd w:val="clear" w:color="auto" w:fill="FFFFFF"/>
        </w:rPr>
        <w:footnoteReference w:id="7"/>
      </w:r>
      <w:r w:rsidRPr="00AD42FB">
        <w:rPr>
          <w:rFonts w:ascii="Times New Roman" w:hAnsi="Times New Roman" w:cs="Times New Roman"/>
          <w:color w:val="000000"/>
          <w:sz w:val="24"/>
          <w:szCs w:val="24"/>
          <w:shd w:val="clear" w:color="auto" w:fill="FFFFFF"/>
        </w:rPr>
        <w:t>.</w:t>
      </w:r>
    </w:p>
    <w:p w14:paraId="1ECFAD00" w14:textId="77777777" w:rsidR="00A9361D" w:rsidRDefault="00000000" w:rsidP="00AD42FB">
      <w:pPr>
        <w:spacing w:after="0" w:line="360" w:lineRule="auto"/>
        <w:ind w:firstLine="709"/>
        <w:jc w:val="both"/>
      </w:pPr>
      <w:r>
        <w:rPr>
          <w:rFonts w:ascii="Times New Roman" w:hAnsi="Times New Roman" w:cs="Times New Roman"/>
          <w:sz w:val="24"/>
          <w:szCs w:val="24"/>
          <w:shd w:val="clear" w:color="auto" w:fill="FFFFFF"/>
        </w:rPr>
        <w:t>Sobre o número de beneficiários elegíveis para o auxílio emergencial, segundo Araújo e Silva (2020, p. 3), “os potenciais elegíveis para o auxílio emergencial, segundo dados da PNADC, eram de 56 milhões de pessoas, em 2019”.  Conforme informações do Governo Federal para junho 2020, o auxílio emergencial teve 108,4 milhões de pessoas cadastradas. Desses, 64,1 milhões de brasileiros foram contemplados. Até a realização do pagamento da terceira parcela, no início de 2020, 42,2 milhões de pessoas foram consideradas inelegíveis. Nesse período, ainda havia 2 milhões de pedidos em análise e 1,3 milhão em reanálise (BRASIL, 2021; ARAUJO; SILVA, 2020). Esse atraso no processamento ocorreu principalmente pela dificuldade e os problemas de acesso ao aplicativo destinado para realizar os pagamentos (CAIXA TEM), além da própria dificuldade de acesso à internet e manuseio, que a população teve desde a implementação do auxílio emergencial no início de 2020. Vale ressaltar também as grandes filas e aglomerações que ocorreram nas agências bancárias e lotéricas para que essa população pudesse sacar o auxílio oferecido pelo governo, potencializando os riscos quanto a contaminação da COVID-19 (ARAÚJO; SILVA, 2020, p. 3). Ainda segundo Araújo e Silva (2020), houve também um grande problema de insegurança quanto ao pagamento das parcelas entre os beneficiários do auxílio emergencial, pela própria dinâmica abordada pelo aplicativo CAIXA TEM e pelas modificações no calendário de pagamentos das parcelas do auxílio emergencial de 2020.</w:t>
      </w:r>
    </w:p>
    <w:p w14:paraId="202CA7AD" w14:textId="77777777" w:rsidR="00A9361D" w:rsidRDefault="00000000">
      <w:pPr>
        <w:pStyle w:val="SemEspaamento"/>
        <w:ind w:firstLine="708"/>
        <w:rPr>
          <w:color w:val="000000" w:themeColor="text1"/>
          <w:szCs w:val="24"/>
        </w:rPr>
      </w:pPr>
      <w:r>
        <w:rPr>
          <w:color w:val="000000" w:themeColor="text1"/>
          <w:szCs w:val="24"/>
        </w:rPr>
        <w:t>Em síntese, como já detalhado, no ano de 2020 o governo federal disponibilizou 9 parcelas para os beneficiários que conseguiram aderir ao programa desde o começo, sendo 5 parcelas nos valores de R$ 600,00 e R$ 1.200 (de acordo com o critério estabelecido) e outras 4 referentes a prorrogação do programa, mas com valores de R$ 300,00 e R$ 600,00.</w:t>
      </w:r>
    </w:p>
    <w:p w14:paraId="6C29670B" w14:textId="77777777" w:rsidR="00A9361D" w:rsidRDefault="00A9361D">
      <w:pPr>
        <w:pStyle w:val="SemEspaamento"/>
        <w:ind w:firstLine="708"/>
      </w:pPr>
    </w:p>
    <w:p w14:paraId="0B6310FA" w14:textId="77777777" w:rsidR="00A9361D" w:rsidRDefault="00A9361D">
      <w:pPr>
        <w:spacing w:after="0" w:line="240" w:lineRule="auto"/>
        <w:rPr>
          <w:rFonts w:ascii="Times New Roman" w:hAnsi="Times New Roman" w:cs="Times New Roman"/>
          <w:sz w:val="20"/>
          <w:szCs w:val="20"/>
        </w:rPr>
      </w:pPr>
    </w:p>
    <w:p w14:paraId="728F0396" w14:textId="77777777" w:rsidR="00A9361D" w:rsidRDefault="00000000">
      <w:pPr>
        <w:pStyle w:val="PargrafodaLista"/>
        <w:numPr>
          <w:ilvl w:val="0"/>
          <w:numId w:val="1"/>
        </w:numPr>
        <w:spacing w:after="0" w:line="360" w:lineRule="auto"/>
        <w:ind w:left="284" w:hanging="284"/>
        <w:rPr>
          <w:rFonts w:ascii="Times New Roman" w:hAnsi="Times New Roman" w:cs="Times New Roman"/>
          <w:b/>
          <w:bCs/>
          <w:sz w:val="24"/>
          <w:szCs w:val="24"/>
        </w:rPr>
      </w:pPr>
      <w:r>
        <w:rPr>
          <w:rFonts w:ascii="Times New Roman" w:hAnsi="Times New Roman" w:cs="Times New Roman"/>
          <w:b/>
          <w:bCs/>
          <w:sz w:val="24"/>
          <w:szCs w:val="24"/>
        </w:rPr>
        <w:t>DESIGUALDADE INTRARREGIONAL DE RENDA NO NORDESTE DURANTE A PANDEMIA A PARTIR DOS DADOS DA PNAD COVID19</w:t>
      </w:r>
    </w:p>
    <w:p w14:paraId="7389773E" w14:textId="77777777" w:rsidR="00A9361D" w:rsidRDefault="0000000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A partir dos dados da PNAD COVID19, pode-se perceber os desdobramentos relacionados as disparidades de renda na região Nordeste, no ano pandêmico de 2020, com a presença do auxílio emergencial, nas duas fases da primeira versão do Auxílio Emergencial (AE).</w:t>
      </w:r>
    </w:p>
    <w:p w14:paraId="7BB07922" w14:textId="77777777" w:rsidR="00A9361D" w:rsidRDefault="00000000">
      <w:pPr>
        <w:spacing w:after="0" w:line="360" w:lineRule="auto"/>
        <w:ind w:firstLine="708"/>
        <w:jc w:val="both"/>
      </w:pPr>
      <w:r>
        <w:rPr>
          <w:rFonts w:ascii="Times New Roman" w:hAnsi="Times New Roman" w:cs="Times New Roman"/>
          <w:sz w:val="24"/>
          <w:szCs w:val="24"/>
        </w:rPr>
        <w:t xml:space="preserve">No Gráfico 1, apresenta-se a evolução do Índice de Gini para o rendimento de todas as fontes ao longo dos meses em que a PNAD COVID19 foi pesquisada (maio a novembro de 2020), o que contempla as duas fases em termos de valores pagos do auxílio emergencial (AE). Ressalta-se, inicialmente, que a região Nordeste, em maio de 2020, apresentava um Índice de Gini de 0,449 e com importantes diferenças regionais, variando de 0,402 para o Maranhão (menor grau de concentração de renda) e chegando a 0,470 no Rio Grande do Norte (maior grau de concentração). Dos nove estados do Nordeste, cinco apresentavam um Índice de Gini abaixo da média regional no mesmo período (Maranhão, Alagoas, Bahia, Piauí e Ceará), enquanto quatro estavam acima da média da região (Paraíba, Sergipe, Pernambuco e Rio Grande do Norte). </w:t>
      </w:r>
    </w:p>
    <w:p w14:paraId="3C24180B" w14:textId="77777777" w:rsidR="00A9361D" w:rsidRDefault="0000000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Nota-se, já no início do pagamento do AE, uma tendência de queda no índice de Gini para a grande maioria dos estados, refletindo uma melhora na distribuição de renda desses e, consequentemente, uma tendência a queda da desigualdade para a região. Apenas o Ceará apresenta um leve crescimento do Gini no mês de junho.</w:t>
      </w:r>
    </w:p>
    <w:p w14:paraId="4FBB403A" w14:textId="77777777" w:rsidR="00A9361D" w:rsidRDefault="00000000">
      <w:pPr>
        <w:spacing w:after="0" w:line="360" w:lineRule="auto"/>
        <w:ind w:firstLine="708"/>
        <w:jc w:val="both"/>
      </w:pPr>
      <w:r>
        <w:rPr>
          <w:rFonts w:ascii="Times New Roman" w:hAnsi="Times New Roman" w:cs="Times New Roman"/>
          <w:sz w:val="24"/>
          <w:szCs w:val="24"/>
        </w:rPr>
        <w:t>Contudo, é possível observar uma reversão desse processo que se inicia em setembro para alguns estados, e em outubro de maneira generalizada. Essa mudança pode ser explicada tanto pelo fato de que esse tipo de política de transferência de renda tende a gerar impacto maiores no momento de sua implantação, o que implica que novas quedas na desigualdade fiquem a cargo de alterações nos valores dos benefícios, quanto pela decisão política de reduzir o valor do auxílio, caracterizando o que se denominou de segunda fase do AE.</w:t>
      </w:r>
    </w:p>
    <w:p w14:paraId="5D9BCFEE" w14:textId="77777777" w:rsidR="00A9361D" w:rsidRDefault="0000000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Merece destaque o estado do Maranhão, que obteve no decorrer do ano os melhores resultados do Índice de Gini, chegando a 0,399 no mês de junho de 2020. Essa tendência muda de forma significativa a partir no mês de setembro, com a implementação dos novos valores do AE, através da Medidas Provisórias de n° 1.000, o que fez com que o índice de Gini do Maranhão chegasse a 0,472.</w:t>
      </w:r>
    </w:p>
    <w:p w14:paraId="3D84B5A7" w14:textId="77777777" w:rsidR="00A9361D" w:rsidRDefault="00000000">
      <w:pPr>
        <w:spacing w:after="0" w:line="360" w:lineRule="auto"/>
        <w:ind w:firstLine="708"/>
        <w:jc w:val="both"/>
      </w:pPr>
      <w:r>
        <w:rPr>
          <w:rFonts w:ascii="Times New Roman" w:hAnsi="Times New Roman" w:cs="Times New Roman"/>
          <w:sz w:val="24"/>
          <w:szCs w:val="24"/>
        </w:rPr>
        <w:lastRenderedPageBreak/>
        <w:t>Merece destaque o estado de Sergipe, que apresentou um Índice de Gini de 0,514 no mês de outubro, ultrapassando outros estados e tornando-se o estado com maior grau de concentração de renda da região</w:t>
      </w:r>
      <w:r>
        <w:rPr>
          <w:rFonts w:ascii="Times New Roman" w:hAnsi="Times New Roman" w:cs="Times New Roman"/>
          <w:b/>
          <w:bCs/>
          <w:sz w:val="24"/>
          <w:szCs w:val="24"/>
        </w:rPr>
        <w:t xml:space="preserve"> </w:t>
      </w:r>
      <w:r>
        <w:rPr>
          <w:rFonts w:ascii="Times New Roman" w:hAnsi="Times New Roman" w:cs="Times New Roman"/>
          <w:sz w:val="24"/>
          <w:szCs w:val="24"/>
        </w:rPr>
        <w:t>nesse período. Os estados do Rio Grande do Norte (0,496) e de Pernambuco (0,484), permaneceram com Índices de Gini mais elevados que a média da região, posições reforçadas pelos valores observados para o mês de novembro. Já a Paraíba, que ao longo desse período apresentou sempre índices um pouco acima da média regional, em novembro, apresentou um Índice de Gini que cresceu menos que os das demais unidades da federação, ficando abaixo da média da região (0,483 na PB contra 0,488 no NE).</w:t>
      </w:r>
    </w:p>
    <w:p w14:paraId="20E113A5" w14:textId="252714E5" w:rsidR="00A9361D" w:rsidRDefault="00000000" w:rsidP="0028195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 maneira geral, o Gráfico 1 revela uma tendência inicial de redução da desigualdade de renda mensurada pelo Índice de Gini que foi revertida, a partir de setembro, na maioria dos casos e, a partir de outubro, quando se observa um crescimento generalizado da desigualdade de renda. Vale ressaltar que, apesar das medidas adotadas para reduzir os impactos socioeconômicos da pandemia, o Índice de Gini da região e dos estados no fim do período analisado, é comparativamente maior que o inicial. </w:t>
      </w:r>
      <w:bookmarkStart w:id="3" w:name="_Toc106375465"/>
    </w:p>
    <w:p w14:paraId="675953C1" w14:textId="77777777" w:rsidR="00281952" w:rsidRDefault="00281952" w:rsidP="00281952">
      <w:pPr>
        <w:spacing w:after="0" w:line="360" w:lineRule="auto"/>
        <w:ind w:firstLine="708"/>
        <w:jc w:val="both"/>
        <w:rPr>
          <w:rFonts w:ascii="Times New Roman" w:hAnsi="Times New Roman"/>
          <w:b/>
          <w:iCs/>
          <w:sz w:val="24"/>
          <w:szCs w:val="18"/>
        </w:rPr>
      </w:pPr>
    </w:p>
    <w:p w14:paraId="75BB6D71" w14:textId="77777777" w:rsidR="00A9361D" w:rsidRDefault="00000000">
      <w:pPr>
        <w:pStyle w:val="Legenda"/>
      </w:pPr>
      <w:r>
        <w:t>Gráfico 1 - Nordeste e estados da região: Evolução do Índice de Gini para o rendimento de todas as fontes, de maio a novembro de 2020</w:t>
      </w:r>
      <w:bookmarkEnd w:id="3"/>
    </w:p>
    <w:p w14:paraId="32627359" w14:textId="56D36410" w:rsidR="00A9361D" w:rsidRDefault="004A1C82">
      <w:pPr>
        <w:spacing w:after="200" w:line="240" w:lineRule="auto"/>
        <w:jc w:val="center"/>
        <w:rPr>
          <w:rFonts w:ascii="Times New Roman" w:hAnsi="Times New Roman" w:cs="Times New Roman"/>
          <w:b/>
          <w:bCs/>
          <w:sz w:val="24"/>
          <w:szCs w:val="24"/>
        </w:rPr>
      </w:pPr>
      <w:r>
        <w:rPr>
          <w:noProof/>
        </w:rPr>
        <w:drawing>
          <wp:inline distT="0" distB="0" distL="0" distR="0" wp14:anchorId="06B29CF2" wp14:editId="4B938BE4">
            <wp:extent cx="5040000" cy="2880000"/>
            <wp:effectExtent l="0" t="0" r="8255" b="15875"/>
            <wp:docPr id="17" name="Gráfico 17">
              <a:extLst xmlns:a="http://schemas.openxmlformats.org/drawingml/2006/main">
                <a:ext uri="{FF2B5EF4-FFF2-40B4-BE49-F238E27FC236}">
                  <a16:creationId xmlns:a16="http://schemas.microsoft.com/office/drawing/2014/main" id="{16632D4D-80AF-4EC2-D876-D113EC888D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5EFFB5F" w14:textId="77777777" w:rsidR="00A9361D" w:rsidRDefault="00000000">
      <w:pPr>
        <w:spacing w:after="0" w:line="360" w:lineRule="auto"/>
        <w:jc w:val="both"/>
        <w:rPr>
          <w:rFonts w:ascii="Times New Roman" w:hAnsi="Times New Roman"/>
          <w:sz w:val="20"/>
          <w:szCs w:val="20"/>
        </w:rPr>
      </w:pPr>
      <w:r>
        <w:rPr>
          <w:rFonts w:ascii="Times New Roman" w:hAnsi="Times New Roman"/>
          <w:sz w:val="20"/>
          <w:szCs w:val="20"/>
        </w:rPr>
        <w:t xml:space="preserve"> Fonte: PNAD COVID19. Elaboração própria.</w:t>
      </w:r>
    </w:p>
    <w:p w14:paraId="628B1D6A" w14:textId="77777777" w:rsidR="00A9361D" w:rsidRDefault="00A9361D">
      <w:pPr>
        <w:spacing w:after="0" w:line="360" w:lineRule="auto"/>
        <w:jc w:val="both"/>
        <w:rPr>
          <w:rFonts w:ascii="Times New Roman" w:hAnsi="Times New Roman"/>
          <w:sz w:val="20"/>
          <w:szCs w:val="20"/>
        </w:rPr>
      </w:pPr>
    </w:p>
    <w:p w14:paraId="0DF4444D" w14:textId="77777777" w:rsidR="00A9361D" w:rsidRDefault="00000000">
      <w:pPr>
        <w:pStyle w:val="PargrafodaLista"/>
        <w:numPr>
          <w:ilvl w:val="0"/>
          <w:numId w:val="2"/>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Decomposição do Índice de Gini por fonte de renda no Nordeste durante a pandemia a partir dos dados da PNAD COVID19</w:t>
      </w:r>
    </w:p>
    <w:p w14:paraId="6EECFAD0" w14:textId="77777777" w:rsidR="00A9361D" w:rsidRDefault="00000000">
      <w:pPr>
        <w:spacing w:after="0" w:line="360" w:lineRule="auto"/>
        <w:ind w:firstLine="709"/>
        <w:jc w:val="both"/>
      </w:pPr>
      <w:r>
        <w:rPr>
          <w:rFonts w:ascii="Times New Roman" w:hAnsi="Times New Roman"/>
          <w:sz w:val="24"/>
          <w:szCs w:val="24"/>
        </w:rPr>
        <w:t>Nessa parte, será realizada uma análise da decomposição do Índice de Gini por fontes de renda, a partir da análise da média do Nordeste. Para isso, considera-se o peso relativo de cada parcela no total da renda e a progressividade de cada parcela.</w:t>
      </w:r>
    </w:p>
    <w:p w14:paraId="145EEA49" w14:textId="6328CCFC"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partir do Gráfico 2, percebe-se que, apesar do impacto negativo da pandemia do novo coronavírus no mercado de trabalho, o rendimento de todos os trabalhos manteve-se como a principal fonte de renda para o a região, retomando o seu crescimento, de modo significativo, já a partir de agosto de 2020.  </w:t>
      </w:r>
    </w:p>
    <w:p w14:paraId="184EBB94"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Ainda assim, é relevante destacar o peso da fonte de rendimento Auxílio Emergencial (AE), que ganhou participação na formação da renda regional de forma considerável. Esse movimento de aumento do peso do rendimento do AE com relativa manutenção da renda oriunda do mercado de trabalho, também pode ser observado na maioria dos estados da região.</w:t>
      </w:r>
    </w:p>
    <w:p w14:paraId="5F9A4599" w14:textId="4DA794D9" w:rsidR="00A9361D" w:rsidRDefault="00000000" w:rsidP="00C4014B">
      <w:pPr>
        <w:spacing w:after="0" w:line="360"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Destaca-se a participação do AE na renda total da região no mês de junho de 2020, quando essa atinge seu máximo, passando a perder força de forma mais significativa a partir do mês de setembro. Essa última tendência pode ser explicada pela queda nos valores do Auxílio Emergencial para R$ 600,00 e R$ 300,00, e pelo retorno das atividades econômicas.</w:t>
      </w:r>
      <w:r>
        <w:rPr>
          <w:rFonts w:ascii="Times New Roman" w:hAnsi="Times New Roman" w:cs="Times New Roman"/>
          <w:color w:val="FF0000"/>
          <w:sz w:val="24"/>
          <w:szCs w:val="24"/>
        </w:rPr>
        <w:t xml:space="preserve"> </w:t>
      </w:r>
    </w:p>
    <w:p w14:paraId="541F359A" w14:textId="77777777" w:rsidR="00C4014B" w:rsidRDefault="00C4014B">
      <w:pPr>
        <w:spacing w:after="0" w:line="240" w:lineRule="auto"/>
        <w:rPr>
          <w:rFonts w:ascii="Times New Roman" w:hAnsi="Times New Roman"/>
          <w:b/>
          <w:iCs/>
          <w:sz w:val="24"/>
          <w:szCs w:val="18"/>
        </w:rPr>
      </w:pPr>
      <w:bookmarkStart w:id="4" w:name="_Toc106375467"/>
      <w:r>
        <w:br w:type="page"/>
      </w:r>
    </w:p>
    <w:p w14:paraId="3C6CEBFA" w14:textId="31062752" w:rsidR="00A9361D" w:rsidRDefault="00000000">
      <w:pPr>
        <w:pStyle w:val="Legenda"/>
      </w:pPr>
      <w:r>
        <w:lastRenderedPageBreak/>
        <w:t>Gráfico 2 - Nordeste: Peso relativo de cada parcela no total da renda segundo suas diferentes fontes (%), de maio a novembro de 2020</w:t>
      </w:r>
      <w:bookmarkEnd w:id="4"/>
    </w:p>
    <w:p w14:paraId="39A5B727" w14:textId="77777777" w:rsidR="00A9361D" w:rsidRDefault="00000000">
      <w:pPr>
        <w:pStyle w:val="Legenda"/>
        <w:jc w:val="center"/>
        <w:rPr>
          <w:sz w:val="20"/>
          <w:szCs w:val="20"/>
        </w:rPr>
      </w:pPr>
      <w:r>
        <w:rPr>
          <w:noProof/>
        </w:rPr>
        <w:drawing>
          <wp:inline distT="0" distB="0" distL="0" distR="0" wp14:anchorId="03B34DAE" wp14:editId="10B7C0E4">
            <wp:extent cx="5242560" cy="2423160"/>
            <wp:effectExtent l="0" t="0" r="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702B23" w14:textId="77777777" w:rsidR="00A9361D" w:rsidRDefault="00000000">
      <w:pPr>
        <w:pStyle w:val="Legenda"/>
        <w:rPr>
          <w:sz w:val="20"/>
          <w:szCs w:val="20"/>
        </w:rPr>
      </w:pPr>
      <w:r>
        <w:rPr>
          <w:sz w:val="20"/>
          <w:szCs w:val="20"/>
        </w:rPr>
        <w:t xml:space="preserve"> </w:t>
      </w:r>
      <w:r>
        <w:rPr>
          <w:b w:val="0"/>
          <w:bCs/>
          <w:sz w:val="20"/>
          <w:szCs w:val="20"/>
        </w:rPr>
        <w:t>Fonte: PNAD COVID19. Elaboração própria.</w:t>
      </w:r>
    </w:p>
    <w:p w14:paraId="5B339AA1" w14:textId="2AD0B98A" w:rsidR="00A9361D" w:rsidRDefault="00000000">
      <w:pPr>
        <w:spacing w:after="0" w:line="360" w:lineRule="auto"/>
        <w:ind w:firstLine="709"/>
        <w:jc w:val="both"/>
        <w:rPr>
          <w:rFonts w:ascii="Times New Roman" w:hAnsi="Times New Roman"/>
          <w:color w:val="FF0000"/>
          <w:sz w:val="24"/>
          <w:szCs w:val="24"/>
        </w:rPr>
      </w:pPr>
      <w:r>
        <w:rPr>
          <w:rFonts w:ascii="Times New Roman" w:hAnsi="Times New Roman"/>
          <w:sz w:val="24"/>
          <w:szCs w:val="24"/>
        </w:rPr>
        <w:t xml:space="preserve">O Gráfico 3, indica a progressividade de cada fonte de renda para a composição dos Índices de Gini, nos meses analisados, para o Nordeste. Percebe-se um salto das progressividades das fontes de rendimento que tem por função mitigar a vulnerabilidade da população nordestina (BPC, PBF, Seguro-desemprego e AE), no transcorrer dos meses, com destaque para Programa Bolsa Família (PBF) e o AE. Esse aumento é observado, sobretudo, nos meses de diminuição nos valores pagos aos beneficiários do AE. Isso ocorre por dois fatores: 1) uma redução do peso relativo dos programas de transferência renda simultaneamente a um aumento da participação dos rendimentos de todos os trabalhos, decorrente da retomada da atividade econômica; e 2) porque a parcela que teve seu peso relativo aumentado, os rendimentos de todos os trabalhos, é expressivamente regressiva, o que evidencia ainda mais a importância das rendas ligadas à </w:t>
      </w:r>
      <w:r>
        <w:rPr>
          <w:rFonts w:ascii="Times New Roman" w:hAnsi="Times New Roman" w:cs="Times New Roman"/>
          <w:sz w:val="24"/>
          <w:szCs w:val="24"/>
        </w:rPr>
        <w:t>política de transferência de renda.</w:t>
      </w:r>
    </w:p>
    <w:p w14:paraId="65C0062D" w14:textId="77777777" w:rsidR="00A9361D" w:rsidRDefault="00000000">
      <w:pPr>
        <w:spacing w:after="0" w:line="360" w:lineRule="auto"/>
        <w:ind w:firstLine="709"/>
        <w:jc w:val="both"/>
        <w:rPr>
          <w:rFonts w:ascii="Times New Roman" w:hAnsi="Times New Roman"/>
          <w:sz w:val="24"/>
          <w:szCs w:val="24"/>
        </w:rPr>
      </w:pPr>
      <w:r>
        <w:rPr>
          <w:rFonts w:ascii="Times New Roman" w:hAnsi="Times New Roman"/>
          <w:sz w:val="24"/>
          <w:szCs w:val="24"/>
        </w:rPr>
        <w:t>Em novembro de 2020, a progressividade das fontes de rendimento do Programa Bolsa Família e do Auxílio Emergencial (0,91 e 0,56, respectivamente) foram as mais elevadas da série. Esses dados reforçam a importância e o potencial dessas políticas para reduzir as disparidades de renda na região (Ver Gráfico 3).</w:t>
      </w:r>
    </w:p>
    <w:p w14:paraId="12B9D793" w14:textId="77777777" w:rsidR="00A9361D" w:rsidRDefault="00A9361D">
      <w:pPr>
        <w:spacing w:after="0" w:line="360" w:lineRule="auto"/>
        <w:ind w:firstLine="709"/>
        <w:jc w:val="both"/>
        <w:rPr>
          <w:rFonts w:ascii="Times New Roman" w:hAnsi="Times New Roman"/>
          <w:sz w:val="24"/>
          <w:szCs w:val="24"/>
        </w:rPr>
      </w:pPr>
    </w:p>
    <w:p w14:paraId="7E8FD31A" w14:textId="18191884" w:rsidR="00A9361D" w:rsidRDefault="00000000">
      <w:pPr>
        <w:pStyle w:val="Legenda"/>
      </w:pPr>
      <w:bookmarkStart w:id="5" w:name="_Toc106375468"/>
      <w:r>
        <w:lastRenderedPageBreak/>
        <w:t>Gráfico 3 - Nordeste: Progressividade para o Índice de Gini para a renda pessoal na região, segundo fonte de renda, de maio a novembro de 2020</w:t>
      </w:r>
      <w:bookmarkEnd w:id="5"/>
    </w:p>
    <w:p w14:paraId="6EA28F31" w14:textId="77777777" w:rsidR="00A9361D" w:rsidRDefault="00000000">
      <w:pPr>
        <w:jc w:val="center"/>
        <w:rPr>
          <w:rFonts w:ascii="Times New Roman" w:hAnsi="Times New Roman"/>
          <w:sz w:val="20"/>
          <w:szCs w:val="20"/>
        </w:rPr>
      </w:pPr>
      <w:r>
        <w:rPr>
          <w:noProof/>
        </w:rPr>
        <w:drawing>
          <wp:inline distT="0" distB="0" distL="0" distR="0" wp14:anchorId="746F928A" wp14:editId="77559C4F">
            <wp:extent cx="5760085" cy="2879725"/>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5C49A7" w14:textId="77777777" w:rsidR="00A9361D" w:rsidRDefault="00000000">
      <w:pPr>
        <w:rPr>
          <w:rFonts w:ascii="Times New Roman" w:hAnsi="Times New Roman"/>
          <w:sz w:val="20"/>
          <w:szCs w:val="20"/>
        </w:rPr>
      </w:pPr>
      <w:r>
        <w:rPr>
          <w:rFonts w:ascii="Times New Roman" w:hAnsi="Times New Roman"/>
          <w:sz w:val="20"/>
          <w:szCs w:val="20"/>
        </w:rPr>
        <w:t>Fonte: PNAD COVID19. Elaboração própria.</w:t>
      </w:r>
    </w:p>
    <w:p w14:paraId="08827971" w14:textId="77777777" w:rsidR="00A9361D" w:rsidRDefault="00000000">
      <w:pPr>
        <w:pStyle w:val="PargrafodaLista"/>
        <w:numPr>
          <w:ilvl w:val="1"/>
          <w:numId w:val="3"/>
        </w:numPr>
        <w:tabs>
          <w:tab w:val="left" w:pos="851"/>
        </w:tabs>
        <w:spacing w:after="0" w:line="360" w:lineRule="auto"/>
        <w:ind w:left="567" w:hanging="141"/>
        <w:jc w:val="both"/>
        <w:outlineLvl w:val="1"/>
        <w:rPr>
          <w:rFonts w:ascii="Times New Roman" w:hAnsi="Times New Roman"/>
          <w:b/>
          <w:bCs/>
          <w:sz w:val="24"/>
          <w:szCs w:val="24"/>
        </w:rPr>
      </w:pPr>
      <w:bookmarkStart w:id="6" w:name="_Toc106375341"/>
      <w:r>
        <w:rPr>
          <w:rFonts w:ascii="Times New Roman" w:hAnsi="Times New Roman" w:cs="Times New Roman"/>
          <w:b/>
          <w:bCs/>
          <w:sz w:val="24"/>
          <w:szCs w:val="24"/>
        </w:rPr>
        <w:t>Decomposição do Índice de Gini por fontes de renda durante a pandemia e recorte intrarregional no Nordeste, a partir dos dados da PNAD COVID 19</w:t>
      </w:r>
      <w:bookmarkEnd w:id="6"/>
    </w:p>
    <w:p w14:paraId="10799B93" w14:textId="77777777" w:rsidR="00A9361D" w:rsidRDefault="00000000">
      <w:pPr>
        <w:pStyle w:val="PargrafodaLista"/>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Nesta seção será realizada a análise da participação de cada fonte para a composição da renda total dos domicílios e da progressividade das parcelas que compõem essa mesma renda para as unidades federativas nordestinas, a partir de três recortes, com base nas similaridades de estrutura produtiva, grau de pobreza e/ou riqueza dos estados. Os estados da região foram divididos nos seguintes grupos: I) Bahia, Pernambuco e Ceará, estados ainda com maiores participações demográficas e populacionais na região; II) Maranhão e Piauí, estados com importante crescimento econômico nos anos 2000, mas que ainda apresentam os piores indicadores socioeconômicos, como os menores rendimentos médios do trabalho e os maiores índices de pobreza e; III) Sergipe, Alagoas, Paraíba e Rio Grande do Norte, que apresentam estruturas produtivas diferentes mas tem em comum uma formação histórica litorânea e influencia pelos setores agrícolas e extrativos..</w:t>
      </w:r>
    </w:p>
    <w:p w14:paraId="245220BC" w14:textId="77777777" w:rsidR="00A9361D" w:rsidRDefault="00A9361D">
      <w:pPr>
        <w:pStyle w:val="PargrafodaLista"/>
        <w:spacing w:after="0" w:line="360" w:lineRule="auto"/>
        <w:ind w:left="0" w:firstLine="709"/>
        <w:jc w:val="both"/>
        <w:rPr>
          <w:rFonts w:ascii="Times New Roman" w:hAnsi="Times New Roman" w:cs="Times New Roman"/>
          <w:sz w:val="24"/>
          <w:szCs w:val="24"/>
        </w:rPr>
      </w:pPr>
    </w:p>
    <w:p w14:paraId="7DBE86F6" w14:textId="77777777" w:rsidR="00A9361D" w:rsidRDefault="00000000">
      <w:pPr>
        <w:pStyle w:val="PargrafodaLista"/>
        <w:numPr>
          <w:ilvl w:val="0"/>
          <w:numId w:val="4"/>
        </w:numPr>
        <w:spacing w:after="0" w:line="360" w:lineRule="auto"/>
        <w:ind w:left="426" w:firstLine="425"/>
        <w:jc w:val="both"/>
        <w:outlineLvl w:val="2"/>
        <w:rPr>
          <w:rFonts w:ascii="Times New Roman" w:hAnsi="Times New Roman" w:cs="Times New Roman"/>
          <w:i/>
          <w:iCs/>
          <w:sz w:val="24"/>
          <w:szCs w:val="24"/>
        </w:rPr>
      </w:pPr>
      <w:bookmarkStart w:id="7" w:name="_Toc106375342"/>
      <w:r>
        <w:rPr>
          <w:rFonts w:ascii="Times New Roman" w:hAnsi="Times New Roman" w:cs="Times New Roman"/>
          <w:i/>
          <w:iCs/>
          <w:sz w:val="24"/>
          <w:szCs w:val="24"/>
        </w:rPr>
        <w:t>Bahia, Pernambuco e Ceará</w:t>
      </w:r>
      <w:bookmarkEnd w:id="7"/>
    </w:p>
    <w:p w14:paraId="114C9430" w14:textId="47D431F3"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Para os estados da Bahia, Pernambuco e Ceará também é possível observar a relevância dos rendimentos do trabalho no total da renda dos domicílios, bem como a importância do auxílio emergencial durante o primeiro ano da pandemia (Gráficos 4, 5 e 6).</w:t>
      </w:r>
      <w:r>
        <w:rPr>
          <w:rFonts w:ascii="Times New Roman" w:hAnsi="Times New Roman" w:cs="Times New Roman"/>
          <w:b/>
          <w:bCs/>
          <w:sz w:val="24"/>
          <w:szCs w:val="24"/>
        </w:rPr>
        <w:t xml:space="preserve"> </w:t>
      </w:r>
      <w:r>
        <w:rPr>
          <w:rFonts w:ascii="Times New Roman" w:hAnsi="Times New Roman" w:cs="Times New Roman"/>
          <w:sz w:val="24"/>
          <w:szCs w:val="24"/>
        </w:rPr>
        <w:t xml:space="preserve">O peso relativo dos rendimentos de todos os trabalhos caiu, porém, mantendo-se como a principal fonte de renda da população desses estados. </w:t>
      </w:r>
    </w:p>
    <w:p w14:paraId="41DDC2FD"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A participação dos rendimentos do auxílio emergencial no estado da Bahia foi relativamente maior que a média da região em praticamente todo o período analisado, sobretudo no mês de julho (21,9% na BA contra 20,7% no NE). Pernambuco e Ceará, por sua vez, apresentam pesos relativos menores que a média regional em todo o período analisado.</w:t>
      </w:r>
    </w:p>
    <w:p w14:paraId="738E3DAC"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partir do mês de agosto na Bahia e em Pernambuco, e do mês de setembro no Ceará, é possível verificar o aumento da participação da fonte de rendimento de todos os trabalhos, o que reflete, de um lado, o retorno das atividades econômicas, mesmo que de maneira lenta, e, de outro lado, a redução dos valores do auxílio emergencial e sua perda de importância na renda domiciliar (efeito composição)</w:t>
      </w:r>
      <w:r>
        <w:rPr>
          <w:rFonts w:ascii="Times New Roman" w:hAnsi="Times New Roman" w:cs="Times New Roman"/>
          <w:i/>
          <w:iCs/>
          <w:sz w:val="24"/>
          <w:szCs w:val="24"/>
        </w:rPr>
        <w:t>.</w:t>
      </w:r>
      <w:bookmarkStart w:id="8" w:name="_Toc106375469"/>
    </w:p>
    <w:p w14:paraId="32E0E08D" w14:textId="77777777" w:rsidR="00A9361D" w:rsidRDefault="00A9361D">
      <w:pPr>
        <w:spacing w:after="0" w:line="360" w:lineRule="auto"/>
        <w:ind w:firstLine="709"/>
        <w:jc w:val="both"/>
        <w:rPr>
          <w:rFonts w:ascii="Times New Roman" w:hAnsi="Times New Roman" w:cs="Times New Roman"/>
          <w:sz w:val="24"/>
          <w:szCs w:val="24"/>
        </w:rPr>
      </w:pPr>
    </w:p>
    <w:p w14:paraId="78135ECE" w14:textId="696BF6D8" w:rsidR="00A9361D" w:rsidRDefault="00000000">
      <w:pPr>
        <w:pStyle w:val="Legenda"/>
      </w:pPr>
      <w:r>
        <w:t>Gráfico 4 - Bahia: Peso relativo de cada parcela no total da renda segundo suas diferentes fontes (%), de maio a novembro de 2020</w:t>
      </w:r>
      <w:bookmarkEnd w:id="8"/>
    </w:p>
    <w:p w14:paraId="1A290005" w14:textId="77777777" w:rsidR="00A9361D" w:rsidRDefault="00000000">
      <w:pPr>
        <w:pStyle w:val="Legenda"/>
        <w:jc w:val="center"/>
        <w:rPr>
          <w:b w:val="0"/>
          <w:bCs/>
          <w:sz w:val="20"/>
          <w:szCs w:val="20"/>
        </w:rPr>
      </w:pPr>
      <w:r>
        <w:rPr>
          <w:noProof/>
        </w:rPr>
        <w:drawing>
          <wp:inline distT="0" distB="0" distL="0" distR="0" wp14:anchorId="2A5A7D5C" wp14:editId="6C87F33C">
            <wp:extent cx="5039995" cy="216027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F28AF8" w14:textId="77777777" w:rsidR="00A9361D" w:rsidRDefault="00000000">
      <w:pPr>
        <w:pStyle w:val="Legenda"/>
        <w:rPr>
          <w:b w:val="0"/>
          <w:bCs/>
          <w:sz w:val="20"/>
          <w:szCs w:val="20"/>
        </w:rPr>
      </w:pPr>
      <w:r>
        <w:rPr>
          <w:b w:val="0"/>
          <w:bCs/>
          <w:sz w:val="20"/>
          <w:szCs w:val="20"/>
        </w:rPr>
        <w:t>Fonte: PNAD COVID19. Elaboração própria.</w:t>
      </w:r>
    </w:p>
    <w:p w14:paraId="40CA2D0D" w14:textId="4AF2FE13" w:rsidR="00A9361D" w:rsidRDefault="00000000">
      <w:pPr>
        <w:spacing w:after="0" w:line="360" w:lineRule="auto"/>
        <w:ind w:firstLine="709"/>
        <w:jc w:val="both"/>
        <w:rPr>
          <w:rFonts w:ascii="Times New Roman" w:hAnsi="Times New Roman"/>
          <w:sz w:val="24"/>
          <w:szCs w:val="24"/>
        </w:rPr>
      </w:pPr>
      <w:r>
        <w:rPr>
          <w:rFonts w:ascii="Times New Roman" w:hAnsi="Times New Roman"/>
          <w:sz w:val="24"/>
          <w:szCs w:val="24"/>
        </w:rPr>
        <w:t xml:space="preserve">O maior peso relativo do rendimento auxílio emergencial em Pernambuco foi no mês de junho, mesmo assim, esse peso foi menor que a média regional (19,1% em PE contra 20,9% </w:t>
      </w:r>
      <w:r>
        <w:rPr>
          <w:rFonts w:ascii="Times New Roman" w:hAnsi="Times New Roman"/>
          <w:sz w:val="24"/>
          <w:szCs w:val="24"/>
        </w:rPr>
        <w:lastRenderedPageBreak/>
        <w:t>no NE). E, no caso pernambucano, verifica-se uma perda dessa fonte de rendimento já a partir do mês de julho (Gráfico 5).</w:t>
      </w:r>
    </w:p>
    <w:p w14:paraId="272F2736" w14:textId="77777777" w:rsidR="00A9361D" w:rsidRDefault="00A9361D">
      <w:pPr>
        <w:spacing w:after="0" w:line="360" w:lineRule="auto"/>
        <w:ind w:firstLine="709"/>
        <w:jc w:val="both"/>
        <w:rPr>
          <w:rFonts w:ascii="Times New Roman" w:hAnsi="Times New Roman"/>
          <w:sz w:val="24"/>
          <w:szCs w:val="24"/>
        </w:rPr>
      </w:pPr>
    </w:p>
    <w:p w14:paraId="57001423" w14:textId="06ED0C00" w:rsidR="00A9361D" w:rsidRDefault="00000000">
      <w:pPr>
        <w:pStyle w:val="Legenda"/>
      </w:pPr>
      <w:bookmarkStart w:id="9" w:name="_Toc106375470"/>
      <w:r>
        <w:t>Gráfico 5 - Pernambuco: Peso relativo de cada parcela no total da renda segundo suas diferentes fontes (%), de maio a novembro de 2020</w:t>
      </w:r>
      <w:bookmarkEnd w:id="9"/>
    </w:p>
    <w:p w14:paraId="39117488" w14:textId="77777777" w:rsidR="00A9361D" w:rsidRDefault="00000000">
      <w:pPr>
        <w:pStyle w:val="Legenda"/>
        <w:jc w:val="center"/>
        <w:rPr>
          <w:b w:val="0"/>
          <w:bCs/>
          <w:sz w:val="20"/>
          <w:szCs w:val="20"/>
        </w:rPr>
      </w:pPr>
      <w:r>
        <w:rPr>
          <w:noProof/>
        </w:rPr>
        <w:drawing>
          <wp:inline distT="0" distB="0" distL="0" distR="0" wp14:anchorId="368B2335" wp14:editId="12D27D00">
            <wp:extent cx="5039995" cy="2160270"/>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B05BDF" w14:textId="77777777" w:rsidR="00A9361D" w:rsidRDefault="00000000">
      <w:pPr>
        <w:pStyle w:val="Legenda"/>
        <w:rPr>
          <w:b w:val="0"/>
          <w:bCs/>
          <w:sz w:val="20"/>
          <w:szCs w:val="20"/>
        </w:rPr>
      </w:pPr>
      <w:r>
        <w:rPr>
          <w:b w:val="0"/>
          <w:bCs/>
          <w:sz w:val="20"/>
          <w:szCs w:val="20"/>
        </w:rPr>
        <w:t>Fonte: PNAD COVID19. Elaboração própria.</w:t>
      </w:r>
    </w:p>
    <w:p w14:paraId="21C16B61" w14:textId="3098A5EE" w:rsidR="00A9361D" w:rsidRDefault="00000000">
      <w:pPr>
        <w:spacing w:after="0" w:line="360" w:lineRule="auto"/>
        <w:ind w:firstLine="709"/>
        <w:jc w:val="both"/>
        <w:rPr>
          <w:rFonts w:ascii="Times New Roman" w:hAnsi="Times New Roman"/>
          <w:sz w:val="24"/>
          <w:szCs w:val="24"/>
        </w:rPr>
      </w:pPr>
      <w:r>
        <w:rPr>
          <w:rFonts w:ascii="Times New Roman" w:hAnsi="Times New Roman"/>
          <w:sz w:val="24"/>
          <w:szCs w:val="24"/>
        </w:rPr>
        <w:t>Já no Ceará, os rendimentos do auxílio emergencial apresentaram maior participação no mês de junho e estes também foram menores que a média regional (20,2% no CE contra 20,9% no NE). Contudo, observou-se uma participação relativa importante do AE na composição total da renda até agosto, iniciando uma perda dessa fonte de rendimento de forma significativa a partir do mês de setembro (Gráfico 6).</w:t>
      </w:r>
      <w:bookmarkStart w:id="10" w:name="_Toc106375471"/>
    </w:p>
    <w:p w14:paraId="14413B56" w14:textId="77777777" w:rsidR="00A9361D" w:rsidRDefault="00A9361D">
      <w:pPr>
        <w:spacing w:after="0" w:line="360" w:lineRule="auto"/>
        <w:ind w:firstLine="709"/>
        <w:jc w:val="both"/>
        <w:rPr>
          <w:rFonts w:ascii="Times New Roman" w:hAnsi="Times New Roman"/>
          <w:b/>
          <w:iCs/>
          <w:sz w:val="24"/>
          <w:szCs w:val="18"/>
        </w:rPr>
      </w:pPr>
    </w:p>
    <w:p w14:paraId="66897A81" w14:textId="77777777" w:rsidR="00A14CFA" w:rsidRDefault="00A14CFA">
      <w:pPr>
        <w:spacing w:after="0" w:line="240" w:lineRule="auto"/>
        <w:rPr>
          <w:rFonts w:ascii="Times New Roman" w:hAnsi="Times New Roman"/>
          <w:b/>
          <w:iCs/>
          <w:sz w:val="24"/>
          <w:szCs w:val="18"/>
        </w:rPr>
      </w:pPr>
      <w:r>
        <w:br w:type="page"/>
      </w:r>
    </w:p>
    <w:p w14:paraId="258E1694" w14:textId="68A6EAC5" w:rsidR="00A9361D" w:rsidRDefault="00000000">
      <w:pPr>
        <w:pStyle w:val="Legenda"/>
      </w:pPr>
      <w:r>
        <w:lastRenderedPageBreak/>
        <w:t>Gráfico 6 - Ceará: Peso relativo de cada parcela no total da renda segundo suas diferentes fontes (%), de maio a novembro de 2020</w:t>
      </w:r>
      <w:bookmarkEnd w:id="10"/>
    </w:p>
    <w:p w14:paraId="5704F86B" w14:textId="77777777" w:rsidR="00A9361D" w:rsidRDefault="00000000">
      <w:pPr>
        <w:pStyle w:val="Legenda"/>
        <w:jc w:val="center"/>
        <w:rPr>
          <w:b w:val="0"/>
          <w:bCs/>
          <w:sz w:val="20"/>
          <w:szCs w:val="20"/>
        </w:rPr>
      </w:pPr>
      <w:r>
        <w:rPr>
          <w:noProof/>
        </w:rPr>
        <w:drawing>
          <wp:inline distT="0" distB="0" distL="0" distR="0" wp14:anchorId="30122D30" wp14:editId="445C4927">
            <wp:extent cx="5039995" cy="2160270"/>
            <wp:effectExtent l="0" t="0" r="0" b="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BAF3BD" w14:textId="77777777" w:rsidR="00A9361D" w:rsidRDefault="00000000">
      <w:pPr>
        <w:pStyle w:val="Legenda"/>
        <w:rPr>
          <w:b w:val="0"/>
          <w:bCs/>
          <w:sz w:val="20"/>
          <w:szCs w:val="20"/>
        </w:rPr>
      </w:pPr>
      <w:r>
        <w:rPr>
          <w:b w:val="0"/>
          <w:bCs/>
          <w:sz w:val="20"/>
          <w:szCs w:val="20"/>
        </w:rPr>
        <w:t>Fonte: PNAD COVID19. Elaboração própria.</w:t>
      </w:r>
    </w:p>
    <w:p w14:paraId="432595D1" w14:textId="66F9C186" w:rsidR="00A9361D" w:rsidRDefault="00000000">
      <w:pPr>
        <w:spacing w:after="0" w:line="360" w:lineRule="auto"/>
        <w:ind w:firstLine="709"/>
        <w:jc w:val="both"/>
        <w:rPr>
          <w:rFonts w:ascii="Times New Roman" w:hAnsi="Times New Roman"/>
          <w:sz w:val="24"/>
          <w:szCs w:val="24"/>
        </w:rPr>
      </w:pPr>
      <w:r>
        <w:rPr>
          <w:rFonts w:ascii="Times New Roman" w:hAnsi="Times New Roman" w:cs="Times New Roman"/>
          <w:sz w:val="24"/>
          <w:szCs w:val="24"/>
        </w:rPr>
        <w:t xml:space="preserve">Quanto às progressividades das fontes de renda na conformação do Índice de Gini dos rendimentos domiciliares </w:t>
      </w:r>
      <w:r>
        <w:rPr>
          <w:rFonts w:ascii="Times New Roman" w:hAnsi="Times New Roman" w:cs="Times New Roman"/>
          <w:i/>
          <w:iCs/>
          <w:sz w:val="24"/>
          <w:szCs w:val="24"/>
        </w:rPr>
        <w:t xml:space="preserve">per capita </w:t>
      </w:r>
      <w:r>
        <w:rPr>
          <w:rFonts w:ascii="Times New Roman" w:hAnsi="Times New Roman" w:cs="Times New Roman"/>
          <w:sz w:val="24"/>
          <w:szCs w:val="24"/>
        </w:rPr>
        <w:t xml:space="preserve">no primeiro recorte, , </w:t>
      </w:r>
      <w:r>
        <w:rPr>
          <w:rFonts w:ascii="Times New Roman" w:hAnsi="Times New Roman"/>
          <w:sz w:val="24"/>
          <w:szCs w:val="24"/>
        </w:rPr>
        <w:t>percebe-se a mesma tendência observada na região, no que diz respeito à importância e aumento da progressividade das fontes de rendimento do Programa Bolsa Família (PBF) e do Auxílio Emergencial (AE).</w:t>
      </w:r>
    </w:p>
    <w:p w14:paraId="13F14C05"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sz w:val="24"/>
          <w:szCs w:val="24"/>
        </w:rPr>
        <w:t xml:space="preserve">Os </w:t>
      </w:r>
      <w:r>
        <w:rPr>
          <w:rFonts w:ascii="Times New Roman" w:hAnsi="Times New Roman" w:cs="Times New Roman"/>
          <w:sz w:val="24"/>
          <w:szCs w:val="24"/>
        </w:rPr>
        <w:t>estados apresentam uma progressividade média maior que a regional ao longo de quase todo período analisado, sobretudo nos meses finais, no caso da Bahia e de Pernambuco. No mês de novembro a progressividade do PBF era de 0,92 na BA, 0,94 em PE e 0,89 no CE contra 0,91 no NE. No Ceará, a maior progressividade do PBF aconteceu no mês de outubro (0,91 no CE contra 0,90 no NE). Já a do AE era de 0,56 na BA, 0,61 em PE, 0,60 no CE contra 0,56 n NE, como é possível observar na Tabela  1.</w:t>
      </w:r>
    </w:p>
    <w:p w14:paraId="2AFE0E2B" w14:textId="77777777" w:rsidR="00A9361D" w:rsidRDefault="00A9361D">
      <w:pPr>
        <w:spacing w:after="0" w:line="360" w:lineRule="auto"/>
        <w:ind w:firstLine="709"/>
        <w:jc w:val="both"/>
        <w:rPr>
          <w:rFonts w:ascii="Times New Roman" w:hAnsi="Times New Roman" w:cs="Times New Roman"/>
          <w:sz w:val="24"/>
          <w:szCs w:val="24"/>
        </w:rPr>
      </w:pPr>
    </w:p>
    <w:p w14:paraId="6F7263DB" w14:textId="77777777" w:rsidR="00A9361D" w:rsidRDefault="00000000">
      <w:pPr>
        <w:pStyle w:val="Legenda"/>
        <w:jc w:val="center"/>
        <w:rPr>
          <w:rFonts w:cs="Times New Roman"/>
          <w:b w:val="0"/>
          <w:bCs/>
          <w:i/>
          <w:iCs w:val="0"/>
          <w:szCs w:val="24"/>
        </w:rPr>
      </w:pPr>
      <w:bookmarkStart w:id="11" w:name="_Toc106375174"/>
      <w:r>
        <w:t>Tabela 1 - Bahia, Pernambuco e Ceará: Progressividade para o Índice de Gini para a renda pessoal, segundo fonte de renda, de maio a novembro de 2020</w:t>
      </w:r>
      <w:bookmarkEnd w:id="11"/>
    </w:p>
    <w:tbl>
      <w:tblPr>
        <w:tblW w:w="9292" w:type="dxa"/>
        <w:tblCellMar>
          <w:left w:w="70" w:type="dxa"/>
          <w:right w:w="70" w:type="dxa"/>
        </w:tblCellMar>
        <w:tblLook w:val="04A0" w:firstRow="1" w:lastRow="0" w:firstColumn="1" w:lastColumn="0" w:noHBand="0" w:noVBand="1"/>
      </w:tblPr>
      <w:tblGrid>
        <w:gridCol w:w="3753"/>
        <w:gridCol w:w="710"/>
        <w:gridCol w:w="709"/>
        <w:gridCol w:w="731"/>
        <w:gridCol w:w="710"/>
        <w:gridCol w:w="892"/>
        <w:gridCol w:w="821"/>
        <w:gridCol w:w="966"/>
      </w:tblGrid>
      <w:tr w:rsidR="00A9361D" w14:paraId="2300E45B" w14:textId="77777777">
        <w:trPr>
          <w:trHeight w:val="291"/>
        </w:trPr>
        <w:tc>
          <w:tcPr>
            <w:tcW w:w="3752" w:type="dxa"/>
            <w:tcBorders>
              <w:top w:val="single" w:sz="4" w:space="0" w:color="000000"/>
              <w:bottom w:val="single" w:sz="4" w:space="0" w:color="000000"/>
            </w:tcBorders>
            <w:shd w:val="clear" w:color="auto" w:fill="auto"/>
            <w:vAlign w:val="center"/>
          </w:tcPr>
          <w:p w14:paraId="126DB967"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Descrição da fonte de renda</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6E6D2D"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Maio</w:t>
            </w:r>
          </w:p>
        </w:tc>
        <w:tc>
          <w:tcPr>
            <w:tcW w:w="709" w:type="dxa"/>
            <w:tcBorders>
              <w:top w:val="single" w:sz="4" w:space="0" w:color="000000"/>
              <w:bottom w:val="single" w:sz="4" w:space="0" w:color="000000"/>
              <w:right w:val="single" w:sz="4" w:space="0" w:color="000000"/>
            </w:tcBorders>
            <w:shd w:val="clear" w:color="auto" w:fill="auto"/>
            <w:vAlign w:val="bottom"/>
          </w:tcPr>
          <w:p w14:paraId="255F1923"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Junho</w:t>
            </w:r>
          </w:p>
        </w:tc>
        <w:tc>
          <w:tcPr>
            <w:tcW w:w="731" w:type="dxa"/>
            <w:tcBorders>
              <w:top w:val="single" w:sz="4" w:space="0" w:color="000000"/>
              <w:bottom w:val="single" w:sz="4" w:space="0" w:color="000000"/>
              <w:right w:val="single" w:sz="4" w:space="0" w:color="000000"/>
            </w:tcBorders>
            <w:shd w:val="clear" w:color="auto" w:fill="auto"/>
            <w:vAlign w:val="bottom"/>
          </w:tcPr>
          <w:p w14:paraId="4C54199F"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Julho</w:t>
            </w:r>
          </w:p>
        </w:tc>
        <w:tc>
          <w:tcPr>
            <w:tcW w:w="710" w:type="dxa"/>
            <w:tcBorders>
              <w:top w:val="single" w:sz="4" w:space="0" w:color="000000"/>
              <w:bottom w:val="single" w:sz="4" w:space="0" w:color="000000"/>
              <w:right w:val="single" w:sz="4" w:space="0" w:color="000000"/>
            </w:tcBorders>
            <w:shd w:val="clear" w:color="auto" w:fill="auto"/>
            <w:vAlign w:val="bottom"/>
          </w:tcPr>
          <w:p w14:paraId="5167D4A8"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 xml:space="preserve">Agosto </w:t>
            </w:r>
          </w:p>
        </w:tc>
        <w:tc>
          <w:tcPr>
            <w:tcW w:w="892" w:type="dxa"/>
            <w:tcBorders>
              <w:top w:val="single" w:sz="4" w:space="0" w:color="000000"/>
              <w:bottom w:val="single" w:sz="4" w:space="0" w:color="000000"/>
              <w:right w:val="single" w:sz="4" w:space="0" w:color="000000"/>
            </w:tcBorders>
            <w:shd w:val="clear" w:color="auto" w:fill="auto"/>
            <w:vAlign w:val="bottom"/>
          </w:tcPr>
          <w:p w14:paraId="17562074"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 xml:space="preserve">Setembro </w:t>
            </w:r>
          </w:p>
        </w:tc>
        <w:tc>
          <w:tcPr>
            <w:tcW w:w="821" w:type="dxa"/>
            <w:tcBorders>
              <w:top w:val="single" w:sz="4" w:space="0" w:color="000000"/>
              <w:bottom w:val="single" w:sz="4" w:space="0" w:color="000000"/>
              <w:right w:val="single" w:sz="4" w:space="0" w:color="000000"/>
            </w:tcBorders>
            <w:shd w:val="clear" w:color="auto" w:fill="auto"/>
            <w:vAlign w:val="bottom"/>
          </w:tcPr>
          <w:p w14:paraId="5E27B970"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Outubro</w:t>
            </w:r>
          </w:p>
        </w:tc>
        <w:tc>
          <w:tcPr>
            <w:tcW w:w="966" w:type="dxa"/>
            <w:tcBorders>
              <w:top w:val="single" w:sz="4" w:space="0" w:color="000000"/>
              <w:bottom w:val="single" w:sz="4" w:space="0" w:color="000000"/>
            </w:tcBorders>
            <w:shd w:val="clear" w:color="auto" w:fill="auto"/>
            <w:vAlign w:val="bottom"/>
          </w:tcPr>
          <w:p w14:paraId="3501D97A"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Novembro</w:t>
            </w:r>
          </w:p>
        </w:tc>
      </w:tr>
      <w:tr w:rsidR="00A9361D" w14:paraId="1D9D0E83" w14:textId="77777777">
        <w:trPr>
          <w:trHeight w:val="291"/>
        </w:trPr>
        <w:tc>
          <w:tcPr>
            <w:tcW w:w="9291" w:type="dxa"/>
            <w:gridSpan w:val="8"/>
            <w:tcBorders>
              <w:top w:val="single" w:sz="4" w:space="0" w:color="000000"/>
              <w:bottom w:val="single" w:sz="4" w:space="0" w:color="000000"/>
            </w:tcBorders>
            <w:shd w:val="clear" w:color="auto" w:fill="auto"/>
            <w:vAlign w:val="center"/>
          </w:tcPr>
          <w:p w14:paraId="74453206"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Bahia</w:t>
            </w:r>
          </w:p>
        </w:tc>
      </w:tr>
      <w:tr w:rsidR="00A9361D" w14:paraId="6582583C" w14:textId="77777777">
        <w:trPr>
          <w:trHeight w:val="291"/>
        </w:trPr>
        <w:tc>
          <w:tcPr>
            <w:tcW w:w="3752" w:type="dxa"/>
            <w:shd w:val="clear" w:color="auto" w:fill="auto"/>
            <w:vAlign w:val="center"/>
          </w:tcPr>
          <w:p w14:paraId="2D4274A8"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Todos os trabalhos</w:t>
            </w:r>
          </w:p>
        </w:tc>
        <w:tc>
          <w:tcPr>
            <w:tcW w:w="710" w:type="dxa"/>
            <w:shd w:val="clear" w:color="auto" w:fill="auto"/>
            <w:vAlign w:val="center"/>
          </w:tcPr>
          <w:p w14:paraId="69822C4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709" w:type="dxa"/>
            <w:shd w:val="clear" w:color="auto" w:fill="auto"/>
            <w:vAlign w:val="center"/>
          </w:tcPr>
          <w:p w14:paraId="41EA1C3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731" w:type="dxa"/>
            <w:shd w:val="clear" w:color="auto" w:fill="auto"/>
            <w:vAlign w:val="center"/>
          </w:tcPr>
          <w:p w14:paraId="4D49B4E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710" w:type="dxa"/>
            <w:shd w:val="clear" w:color="auto" w:fill="auto"/>
            <w:vAlign w:val="center"/>
          </w:tcPr>
          <w:p w14:paraId="1FAD3DC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892" w:type="dxa"/>
            <w:shd w:val="clear" w:color="auto" w:fill="auto"/>
            <w:vAlign w:val="center"/>
          </w:tcPr>
          <w:p w14:paraId="542903C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821" w:type="dxa"/>
            <w:shd w:val="clear" w:color="auto" w:fill="auto"/>
            <w:vAlign w:val="center"/>
          </w:tcPr>
          <w:p w14:paraId="448260A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966" w:type="dxa"/>
            <w:shd w:val="clear" w:color="auto" w:fill="auto"/>
            <w:vAlign w:val="center"/>
          </w:tcPr>
          <w:p w14:paraId="58C3AAF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r>
      <w:tr w:rsidR="00A9361D" w14:paraId="05AB61BF" w14:textId="77777777">
        <w:trPr>
          <w:trHeight w:val="291"/>
        </w:trPr>
        <w:tc>
          <w:tcPr>
            <w:tcW w:w="3752" w:type="dxa"/>
            <w:shd w:val="clear" w:color="auto" w:fill="auto"/>
            <w:vAlign w:val="center"/>
          </w:tcPr>
          <w:p w14:paraId="547FF0D4"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Aposentadorias e pensões</w:t>
            </w:r>
          </w:p>
        </w:tc>
        <w:tc>
          <w:tcPr>
            <w:tcW w:w="710" w:type="dxa"/>
            <w:shd w:val="clear" w:color="auto" w:fill="auto"/>
            <w:vAlign w:val="center"/>
          </w:tcPr>
          <w:p w14:paraId="4B46D89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-0,08</w:t>
            </w:r>
          </w:p>
        </w:tc>
        <w:tc>
          <w:tcPr>
            <w:tcW w:w="709" w:type="dxa"/>
            <w:shd w:val="clear" w:color="auto" w:fill="auto"/>
            <w:vAlign w:val="center"/>
          </w:tcPr>
          <w:p w14:paraId="77F0286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731" w:type="dxa"/>
            <w:shd w:val="clear" w:color="auto" w:fill="auto"/>
            <w:vAlign w:val="center"/>
          </w:tcPr>
          <w:p w14:paraId="534B6B9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710" w:type="dxa"/>
            <w:shd w:val="clear" w:color="auto" w:fill="auto"/>
            <w:vAlign w:val="center"/>
          </w:tcPr>
          <w:p w14:paraId="0F6C185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892" w:type="dxa"/>
            <w:shd w:val="clear" w:color="auto" w:fill="auto"/>
            <w:vAlign w:val="center"/>
          </w:tcPr>
          <w:p w14:paraId="40ED8A5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-0,07</w:t>
            </w:r>
          </w:p>
        </w:tc>
        <w:tc>
          <w:tcPr>
            <w:tcW w:w="821" w:type="dxa"/>
            <w:shd w:val="clear" w:color="auto" w:fill="auto"/>
            <w:vAlign w:val="center"/>
          </w:tcPr>
          <w:p w14:paraId="73E0AD7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-0,05</w:t>
            </w:r>
          </w:p>
        </w:tc>
        <w:tc>
          <w:tcPr>
            <w:tcW w:w="966" w:type="dxa"/>
            <w:shd w:val="clear" w:color="auto" w:fill="auto"/>
            <w:vAlign w:val="center"/>
          </w:tcPr>
          <w:p w14:paraId="0D6C0FE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-0,05</w:t>
            </w:r>
          </w:p>
        </w:tc>
      </w:tr>
      <w:tr w:rsidR="00A9361D" w14:paraId="373C885B" w14:textId="77777777">
        <w:trPr>
          <w:trHeight w:val="291"/>
        </w:trPr>
        <w:tc>
          <w:tcPr>
            <w:tcW w:w="3752" w:type="dxa"/>
            <w:shd w:val="clear" w:color="auto" w:fill="auto"/>
            <w:vAlign w:val="center"/>
          </w:tcPr>
          <w:p w14:paraId="1AD198C8"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Doação, pensão alimentícia ou mesada</w:t>
            </w:r>
          </w:p>
        </w:tc>
        <w:tc>
          <w:tcPr>
            <w:tcW w:w="710" w:type="dxa"/>
            <w:shd w:val="clear" w:color="auto" w:fill="auto"/>
            <w:vAlign w:val="center"/>
          </w:tcPr>
          <w:p w14:paraId="75DEF39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709" w:type="dxa"/>
            <w:shd w:val="clear" w:color="auto" w:fill="auto"/>
            <w:vAlign w:val="center"/>
          </w:tcPr>
          <w:p w14:paraId="0532E36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731" w:type="dxa"/>
            <w:shd w:val="clear" w:color="auto" w:fill="auto"/>
            <w:vAlign w:val="center"/>
          </w:tcPr>
          <w:p w14:paraId="0C49FB0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710" w:type="dxa"/>
            <w:shd w:val="clear" w:color="auto" w:fill="auto"/>
            <w:vAlign w:val="center"/>
          </w:tcPr>
          <w:p w14:paraId="0D30CA0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892" w:type="dxa"/>
            <w:shd w:val="clear" w:color="auto" w:fill="auto"/>
            <w:vAlign w:val="center"/>
          </w:tcPr>
          <w:p w14:paraId="23C38A7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c>
          <w:tcPr>
            <w:tcW w:w="821" w:type="dxa"/>
            <w:shd w:val="clear" w:color="auto" w:fill="auto"/>
            <w:vAlign w:val="center"/>
          </w:tcPr>
          <w:p w14:paraId="1FA3F73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0,26</w:t>
            </w:r>
          </w:p>
        </w:tc>
        <w:tc>
          <w:tcPr>
            <w:tcW w:w="966" w:type="dxa"/>
            <w:shd w:val="clear" w:color="auto" w:fill="auto"/>
            <w:vAlign w:val="center"/>
          </w:tcPr>
          <w:p w14:paraId="704F8F6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0,31</w:t>
            </w:r>
          </w:p>
        </w:tc>
      </w:tr>
      <w:tr w:rsidR="00A9361D" w14:paraId="5D65DAFB" w14:textId="77777777">
        <w:trPr>
          <w:trHeight w:val="291"/>
        </w:trPr>
        <w:tc>
          <w:tcPr>
            <w:tcW w:w="3752" w:type="dxa"/>
            <w:shd w:val="clear" w:color="auto" w:fill="auto"/>
            <w:vAlign w:val="center"/>
          </w:tcPr>
          <w:p w14:paraId="2847D850"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Bolsa Família</w:t>
            </w:r>
          </w:p>
        </w:tc>
        <w:tc>
          <w:tcPr>
            <w:tcW w:w="710" w:type="dxa"/>
            <w:shd w:val="clear" w:color="auto" w:fill="auto"/>
            <w:vAlign w:val="center"/>
          </w:tcPr>
          <w:p w14:paraId="674232F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0,68</w:t>
            </w:r>
          </w:p>
        </w:tc>
        <w:tc>
          <w:tcPr>
            <w:tcW w:w="709" w:type="dxa"/>
            <w:shd w:val="clear" w:color="auto" w:fill="auto"/>
            <w:vAlign w:val="center"/>
          </w:tcPr>
          <w:p w14:paraId="71A995D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0,79</w:t>
            </w:r>
          </w:p>
        </w:tc>
        <w:tc>
          <w:tcPr>
            <w:tcW w:w="731" w:type="dxa"/>
            <w:shd w:val="clear" w:color="auto" w:fill="auto"/>
            <w:vAlign w:val="center"/>
          </w:tcPr>
          <w:p w14:paraId="11E5C20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0,75</w:t>
            </w:r>
          </w:p>
        </w:tc>
        <w:tc>
          <w:tcPr>
            <w:tcW w:w="710" w:type="dxa"/>
            <w:shd w:val="clear" w:color="auto" w:fill="auto"/>
            <w:vAlign w:val="center"/>
          </w:tcPr>
          <w:p w14:paraId="3651627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0,83</w:t>
            </w:r>
          </w:p>
        </w:tc>
        <w:tc>
          <w:tcPr>
            <w:tcW w:w="892" w:type="dxa"/>
            <w:shd w:val="clear" w:color="auto" w:fill="auto"/>
            <w:vAlign w:val="center"/>
          </w:tcPr>
          <w:p w14:paraId="6B3BDDA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0,83</w:t>
            </w:r>
          </w:p>
        </w:tc>
        <w:tc>
          <w:tcPr>
            <w:tcW w:w="821" w:type="dxa"/>
            <w:shd w:val="clear" w:color="auto" w:fill="auto"/>
            <w:vAlign w:val="center"/>
          </w:tcPr>
          <w:p w14:paraId="72B328C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0,93</w:t>
            </w:r>
          </w:p>
        </w:tc>
        <w:tc>
          <w:tcPr>
            <w:tcW w:w="966" w:type="dxa"/>
            <w:shd w:val="clear" w:color="auto" w:fill="auto"/>
            <w:vAlign w:val="center"/>
          </w:tcPr>
          <w:p w14:paraId="5E2F734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0,92</w:t>
            </w:r>
          </w:p>
        </w:tc>
      </w:tr>
      <w:tr w:rsidR="00A9361D" w14:paraId="6DEE3B56" w14:textId="77777777">
        <w:trPr>
          <w:trHeight w:val="291"/>
        </w:trPr>
        <w:tc>
          <w:tcPr>
            <w:tcW w:w="3752" w:type="dxa"/>
            <w:shd w:val="clear" w:color="auto" w:fill="auto"/>
            <w:vAlign w:val="center"/>
          </w:tcPr>
          <w:p w14:paraId="278EC2E0"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BPC-LOAS</w:t>
            </w:r>
          </w:p>
        </w:tc>
        <w:tc>
          <w:tcPr>
            <w:tcW w:w="710" w:type="dxa"/>
            <w:shd w:val="clear" w:color="auto" w:fill="auto"/>
            <w:vAlign w:val="center"/>
          </w:tcPr>
          <w:p w14:paraId="2AD6D03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709" w:type="dxa"/>
            <w:shd w:val="clear" w:color="auto" w:fill="auto"/>
            <w:vAlign w:val="center"/>
          </w:tcPr>
          <w:p w14:paraId="0DFF64D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c>
          <w:tcPr>
            <w:tcW w:w="731" w:type="dxa"/>
            <w:shd w:val="clear" w:color="auto" w:fill="auto"/>
            <w:vAlign w:val="center"/>
          </w:tcPr>
          <w:p w14:paraId="19CD4EA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c>
          <w:tcPr>
            <w:tcW w:w="710" w:type="dxa"/>
            <w:shd w:val="clear" w:color="auto" w:fill="auto"/>
            <w:vAlign w:val="center"/>
          </w:tcPr>
          <w:p w14:paraId="744FF4E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0,27</w:t>
            </w:r>
          </w:p>
        </w:tc>
        <w:tc>
          <w:tcPr>
            <w:tcW w:w="892" w:type="dxa"/>
            <w:shd w:val="clear" w:color="auto" w:fill="auto"/>
            <w:vAlign w:val="center"/>
          </w:tcPr>
          <w:p w14:paraId="3A73024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0,27</w:t>
            </w:r>
          </w:p>
        </w:tc>
        <w:tc>
          <w:tcPr>
            <w:tcW w:w="821" w:type="dxa"/>
            <w:shd w:val="clear" w:color="auto" w:fill="auto"/>
            <w:vAlign w:val="center"/>
          </w:tcPr>
          <w:p w14:paraId="692B5F3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0,30</w:t>
            </w:r>
          </w:p>
        </w:tc>
        <w:tc>
          <w:tcPr>
            <w:tcW w:w="966" w:type="dxa"/>
            <w:shd w:val="clear" w:color="auto" w:fill="auto"/>
            <w:vAlign w:val="center"/>
          </w:tcPr>
          <w:p w14:paraId="3FEFCF3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r>
      <w:tr w:rsidR="00A9361D" w14:paraId="6E2132BC" w14:textId="77777777">
        <w:trPr>
          <w:trHeight w:val="291"/>
        </w:trPr>
        <w:tc>
          <w:tcPr>
            <w:tcW w:w="3752" w:type="dxa"/>
            <w:shd w:val="clear" w:color="auto" w:fill="auto"/>
            <w:vAlign w:val="center"/>
          </w:tcPr>
          <w:p w14:paraId="67674CD3"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lastRenderedPageBreak/>
              <w:t>Auxílio Emergencial</w:t>
            </w:r>
          </w:p>
        </w:tc>
        <w:tc>
          <w:tcPr>
            <w:tcW w:w="710" w:type="dxa"/>
            <w:shd w:val="clear" w:color="auto" w:fill="auto"/>
            <w:vAlign w:val="center"/>
          </w:tcPr>
          <w:p w14:paraId="00FB1AC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0,46</w:t>
            </w:r>
          </w:p>
        </w:tc>
        <w:tc>
          <w:tcPr>
            <w:tcW w:w="709" w:type="dxa"/>
            <w:shd w:val="clear" w:color="auto" w:fill="auto"/>
            <w:vAlign w:val="center"/>
          </w:tcPr>
          <w:p w14:paraId="3C3F6C9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0,47</w:t>
            </w:r>
          </w:p>
        </w:tc>
        <w:tc>
          <w:tcPr>
            <w:tcW w:w="731" w:type="dxa"/>
            <w:shd w:val="clear" w:color="auto" w:fill="auto"/>
            <w:vAlign w:val="center"/>
          </w:tcPr>
          <w:p w14:paraId="6835689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0,46</w:t>
            </w:r>
          </w:p>
        </w:tc>
        <w:tc>
          <w:tcPr>
            <w:tcW w:w="710" w:type="dxa"/>
            <w:shd w:val="clear" w:color="auto" w:fill="auto"/>
            <w:vAlign w:val="center"/>
          </w:tcPr>
          <w:p w14:paraId="63FB6E8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0,48</w:t>
            </w:r>
          </w:p>
        </w:tc>
        <w:tc>
          <w:tcPr>
            <w:tcW w:w="892" w:type="dxa"/>
            <w:shd w:val="clear" w:color="auto" w:fill="auto"/>
            <w:vAlign w:val="center"/>
          </w:tcPr>
          <w:p w14:paraId="3FCD32C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0,48</w:t>
            </w:r>
          </w:p>
        </w:tc>
        <w:tc>
          <w:tcPr>
            <w:tcW w:w="821" w:type="dxa"/>
            <w:shd w:val="clear" w:color="auto" w:fill="auto"/>
            <w:vAlign w:val="center"/>
          </w:tcPr>
          <w:p w14:paraId="3E21B31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0,49</w:t>
            </w:r>
          </w:p>
        </w:tc>
        <w:tc>
          <w:tcPr>
            <w:tcW w:w="966" w:type="dxa"/>
            <w:shd w:val="clear" w:color="auto" w:fill="auto"/>
            <w:vAlign w:val="center"/>
          </w:tcPr>
          <w:p w14:paraId="2DDF648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0,56</w:t>
            </w:r>
          </w:p>
        </w:tc>
      </w:tr>
      <w:tr w:rsidR="00A9361D" w14:paraId="0A7783DD" w14:textId="77777777">
        <w:trPr>
          <w:trHeight w:val="291"/>
        </w:trPr>
        <w:tc>
          <w:tcPr>
            <w:tcW w:w="3752" w:type="dxa"/>
            <w:shd w:val="clear" w:color="auto" w:fill="auto"/>
            <w:vAlign w:val="center"/>
          </w:tcPr>
          <w:p w14:paraId="0AA45B60"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Seguro-desemprego</w:t>
            </w:r>
          </w:p>
        </w:tc>
        <w:tc>
          <w:tcPr>
            <w:tcW w:w="710" w:type="dxa"/>
            <w:shd w:val="clear" w:color="auto" w:fill="auto"/>
            <w:vAlign w:val="center"/>
          </w:tcPr>
          <w:p w14:paraId="5E5215C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709" w:type="dxa"/>
            <w:shd w:val="clear" w:color="auto" w:fill="auto"/>
            <w:vAlign w:val="center"/>
          </w:tcPr>
          <w:p w14:paraId="0E19DA4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0,14</w:t>
            </w:r>
          </w:p>
        </w:tc>
        <w:tc>
          <w:tcPr>
            <w:tcW w:w="731" w:type="dxa"/>
            <w:shd w:val="clear" w:color="auto" w:fill="auto"/>
            <w:vAlign w:val="center"/>
          </w:tcPr>
          <w:p w14:paraId="10D7494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710" w:type="dxa"/>
            <w:shd w:val="clear" w:color="auto" w:fill="auto"/>
            <w:vAlign w:val="center"/>
          </w:tcPr>
          <w:p w14:paraId="2E231C2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-0,01</w:t>
            </w:r>
          </w:p>
        </w:tc>
        <w:tc>
          <w:tcPr>
            <w:tcW w:w="892" w:type="dxa"/>
            <w:shd w:val="clear" w:color="auto" w:fill="auto"/>
            <w:vAlign w:val="center"/>
          </w:tcPr>
          <w:p w14:paraId="13FD066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0,02</w:t>
            </w:r>
          </w:p>
        </w:tc>
        <w:tc>
          <w:tcPr>
            <w:tcW w:w="821" w:type="dxa"/>
            <w:shd w:val="clear" w:color="auto" w:fill="auto"/>
            <w:vAlign w:val="center"/>
          </w:tcPr>
          <w:p w14:paraId="6CEC44C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966" w:type="dxa"/>
            <w:shd w:val="clear" w:color="auto" w:fill="auto"/>
            <w:vAlign w:val="center"/>
          </w:tcPr>
          <w:p w14:paraId="3F17ADE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-0,03</w:t>
            </w:r>
          </w:p>
        </w:tc>
      </w:tr>
      <w:tr w:rsidR="00A9361D" w14:paraId="7D2395AA" w14:textId="77777777">
        <w:trPr>
          <w:trHeight w:val="291"/>
        </w:trPr>
        <w:tc>
          <w:tcPr>
            <w:tcW w:w="3752" w:type="dxa"/>
            <w:shd w:val="clear" w:color="auto" w:fill="auto"/>
            <w:vAlign w:val="center"/>
          </w:tcPr>
          <w:p w14:paraId="260A5BF3"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Aluguel, arrendamento, aplicações financeiras etc.</w:t>
            </w:r>
          </w:p>
        </w:tc>
        <w:tc>
          <w:tcPr>
            <w:tcW w:w="710" w:type="dxa"/>
            <w:shd w:val="clear" w:color="auto" w:fill="auto"/>
            <w:vAlign w:val="center"/>
          </w:tcPr>
          <w:p w14:paraId="767648A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-0,30</w:t>
            </w:r>
          </w:p>
        </w:tc>
        <w:tc>
          <w:tcPr>
            <w:tcW w:w="709" w:type="dxa"/>
            <w:shd w:val="clear" w:color="auto" w:fill="auto"/>
            <w:vAlign w:val="center"/>
          </w:tcPr>
          <w:p w14:paraId="32CD09A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c>
          <w:tcPr>
            <w:tcW w:w="731" w:type="dxa"/>
            <w:shd w:val="clear" w:color="auto" w:fill="auto"/>
            <w:vAlign w:val="center"/>
          </w:tcPr>
          <w:p w14:paraId="7EF90CE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-0,30</w:t>
            </w:r>
          </w:p>
        </w:tc>
        <w:tc>
          <w:tcPr>
            <w:tcW w:w="710" w:type="dxa"/>
            <w:shd w:val="clear" w:color="auto" w:fill="auto"/>
            <w:vAlign w:val="center"/>
          </w:tcPr>
          <w:p w14:paraId="33702E8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-0,27</w:t>
            </w:r>
          </w:p>
        </w:tc>
        <w:tc>
          <w:tcPr>
            <w:tcW w:w="892" w:type="dxa"/>
            <w:shd w:val="clear" w:color="auto" w:fill="auto"/>
            <w:vAlign w:val="center"/>
          </w:tcPr>
          <w:p w14:paraId="71B6487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-0,35</w:t>
            </w:r>
          </w:p>
        </w:tc>
        <w:tc>
          <w:tcPr>
            <w:tcW w:w="821" w:type="dxa"/>
            <w:shd w:val="clear" w:color="auto" w:fill="auto"/>
            <w:vAlign w:val="center"/>
          </w:tcPr>
          <w:p w14:paraId="7906B90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c>
          <w:tcPr>
            <w:tcW w:w="966" w:type="dxa"/>
            <w:shd w:val="clear" w:color="auto" w:fill="auto"/>
            <w:vAlign w:val="center"/>
          </w:tcPr>
          <w:p w14:paraId="11F4F33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-0,29</w:t>
            </w:r>
          </w:p>
        </w:tc>
      </w:tr>
      <w:tr w:rsidR="00A9361D" w14:paraId="5D9FD1DF" w14:textId="77777777">
        <w:trPr>
          <w:trHeight w:val="291"/>
        </w:trPr>
        <w:tc>
          <w:tcPr>
            <w:tcW w:w="9291" w:type="dxa"/>
            <w:gridSpan w:val="8"/>
            <w:tcBorders>
              <w:top w:val="single" w:sz="4" w:space="0" w:color="000000"/>
              <w:bottom w:val="single" w:sz="4" w:space="0" w:color="000000"/>
            </w:tcBorders>
            <w:shd w:val="clear" w:color="auto" w:fill="auto"/>
            <w:vAlign w:val="center"/>
          </w:tcPr>
          <w:p w14:paraId="5931914B"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Pernambuco</w:t>
            </w:r>
          </w:p>
        </w:tc>
      </w:tr>
      <w:tr w:rsidR="00A9361D" w14:paraId="6399E9C9" w14:textId="77777777">
        <w:trPr>
          <w:trHeight w:val="291"/>
        </w:trPr>
        <w:tc>
          <w:tcPr>
            <w:tcW w:w="3752" w:type="dxa"/>
            <w:shd w:val="clear" w:color="auto" w:fill="auto"/>
            <w:vAlign w:val="center"/>
          </w:tcPr>
          <w:p w14:paraId="574339DE"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Todos os trabalhos</w:t>
            </w:r>
          </w:p>
        </w:tc>
        <w:tc>
          <w:tcPr>
            <w:tcW w:w="710" w:type="dxa"/>
            <w:shd w:val="clear" w:color="auto" w:fill="auto"/>
            <w:vAlign w:val="center"/>
          </w:tcPr>
          <w:p w14:paraId="490FDC0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-0,14</w:t>
            </w:r>
          </w:p>
        </w:tc>
        <w:tc>
          <w:tcPr>
            <w:tcW w:w="709" w:type="dxa"/>
            <w:shd w:val="clear" w:color="auto" w:fill="auto"/>
            <w:vAlign w:val="center"/>
          </w:tcPr>
          <w:p w14:paraId="0078E55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731" w:type="dxa"/>
            <w:shd w:val="clear" w:color="auto" w:fill="auto"/>
            <w:vAlign w:val="center"/>
          </w:tcPr>
          <w:p w14:paraId="39030A8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-0,14</w:t>
            </w:r>
          </w:p>
        </w:tc>
        <w:tc>
          <w:tcPr>
            <w:tcW w:w="710" w:type="dxa"/>
            <w:shd w:val="clear" w:color="auto" w:fill="auto"/>
            <w:vAlign w:val="center"/>
          </w:tcPr>
          <w:p w14:paraId="44B8BC2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-0,13</w:t>
            </w:r>
          </w:p>
        </w:tc>
        <w:tc>
          <w:tcPr>
            <w:tcW w:w="892" w:type="dxa"/>
            <w:shd w:val="clear" w:color="auto" w:fill="auto"/>
            <w:vAlign w:val="center"/>
          </w:tcPr>
          <w:p w14:paraId="7E17364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-0,13</w:t>
            </w:r>
          </w:p>
        </w:tc>
        <w:tc>
          <w:tcPr>
            <w:tcW w:w="821" w:type="dxa"/>
            <w:shd w:val="clear" w:color="auto" w:fill="auto"/>
            <w:vAlign w:val="center"/>
          </w:tcPr>
          <w:p w14:paraId="5B8A234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966" w:type="dxa"/>
            <w:shd w:val="clear" w:color="auto" w:fill="auto"/>
            <w:vAlign w:val="center"/>
          </w:tcPr>
          <w:p w14:paraId="5D781A6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r>
      <w:tr w:rsidR="00A9361D" w14:paraId="42E2F722" w14:textId="77777777">
        <w:trPr>
          <w:trHeight w:val="291"/>
        </w:trPr>
        <w:tc>
          <w:tcPr>
            <w:tcW w:w="3752" w:type="dxa"/>
            <w:shd w:val="clear" w:color="auto" w:fill="auto"/>
            <w:vAlign w:val="center"/>
          </w:tcPr>
          <w:p w14:paraId="22AAB457"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Aposentadorias e pensões</w:t>
            </w:r>
          </w:p>
        </w:tc>
        <w:tc>
          <w:tcPr>
            <w:tcW w:w="710" w:type="dxa"/>
            <w:shd w:val="clear" w:color="auto" w:fill="auto"/>
            <w:vAlign w:val="center"/>
          </w:tcPr>
          <w:p w14:paraId="09D52BC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709" w:type="dxa"/>
            <w:shd w:val="clear" w:color="auto" w:fill="auto"/>
            <w:vAlign w:val="center"/>
          </w:tcPr>
          <w:p w14:paraId="51FE01C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731" w:type="dxa"/>
            <w:shd w:val="clear" w:color="auto" w:fill="auto"/>
            <w:vAlign w:val="center"/>
          </w:tcPr>
          <w:p w14:paraId="18982DB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710" w:type="dxa"/>
            <w:shd w:val="clear" w:color="auto" w:fill="auto"/>
            <w:vAlign w:val="center"/>
          </w:tcPr>
          <w:p w14:paraId="211F160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-0,12</w:t>
            </w:r>
          </w:p>
        </w:tc>
        <w:tc>
          <w:tcPr>
            <w:tcW w:w="892" w:type="dxa"/>
            <w:shd w:val="clear" w:color="auto" w:fill="auto"/>
            <w:vAlign w:val="center"/>
          </w:tcPr>
          <w:p w14:paraId="409C119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821" w:type="dxa"/>
            <w:shd w:val="clear" w:color="auto" w:fill="auto"/>
            <w:vAlign w:val="center"/>
          </w:tcPr>
          <w:p w14:paraId="3E5C611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-0,08</w:t>
            </w:r>
          </w:p>
        </w:tc>
        <w:tc>
          <w:tcPr>
            <w:tcW w:w="966" w:type="dxa"/>
            <w:shd w:val="clear" w:color="auto" w:fill="auto"/>
            <w:vAlign w:val="center"/>
          </w:tcPr>
          <w:p w14:paraId="7904A96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-0,07</w:t>
            </w:r>
          </w:p>
        </w:tc>
      </w:tr>
      <w:tr w:rsidR="00A9361D" w14:paraId="717C6971" w14:textId="77777777">
        <w:trPr>
          <w:trHeight w:val="291"/>
        </w:trPr>
        <w:tc>
          <w:tcPr>
            <w:tcW w:w="3752" w:type="dxa"/>
            <w:shd w:val="clear" w:color="auto" w:fill="auto"/>
            <w:vAlign w:val="center"/>
          </w:tcPr>
          <w:p w14:paraId="182FA7CC"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Doação, pensão alimentícia ou mesada</w:t>
            </w:r>
          </w:p>
        </w:tc>
        <w:tc>
          <w:tcPr>
            <w:tcW w:w="710" w:type="dxa"/>
            <w:shd w:val="clear" w:color="auto" w:fill="auto"/>
            <w:vAlign w:val="center"/>
          </w:tcPr>
          <w:p w14:paraId="77450BC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709" w:type="dxa"/>
            <w:shd w:val="clear" w:color="auto" w:fill="auto"/>
            <w:vAlign w:val="center"/>
          </w:tcPr>
          <w:p w14:paraId="2EE1ED3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0,03</w:t>
            </w:r>
          </w:p>
        </w:tc>
        <w:tc>
          <w:tcPr>
            <w:tcW w:w="731" w:type="dxa"/>
            <w:shd w:val="clear" w:color="auto" w:fill="auto"/>
            <w:vAlign w:val="center"/>
          </w:tcPr>
          <w:p w14:paraId="2C56570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0,08</w:t>
            </w:r>
          </w:p>
        </w:tc>
        <w:tc>
          <w:tcPr>
            <w:tcW w:w="710" w:type="dxa"/>
            <w:shd w:val="clear" w:color="auto" w:fill="auto"/>
            <w:vAlign w:val="center"/>
          </w:tcPr>
          <w:p w14:paraId="0755B80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0,08</w:t>
            </w:r>
          </w:p>
        </w:tc>
        <w:tc>
          <w:tcPr>
            <w:tcW w:w="892" w:type="dxa"/>
            <w:shd w:val="clear" w:color="auto" w:fill="auto"/>
            <w:vAlign w:val="center"/>
          </w:tcPr>
          <w:p w14:paraId="7E80DFF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821" w:type="dxa"/>
            <w:shd w:val="clear" w:color="auto" w:fill="auto"/>
            <w:vAlign w:val="center"/>
          </w:tcPr>
          <w:p w14:paraId="311E071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966" w:type="dxa"/>
            <w:shd w:val="clear" w:color="auto" w:fill="auto"/>
            <w:vAlign w:val="center"/>
          </w:tcPr>
          <w:p w14:paraId="6803B67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0,14</w:t>
            </w:r>
          </w:p>
        </w:tc>
      </w:tr>
      <w:tr w:rsidR="00A9361D" w14:paraId="5889C7A5" w14:textId="77777777">
        <w:trPr>
          <w:trHeight w:val="291"/>
        </w:trPr>
        <w:tc>
          <w:tcPr>
            <w:tcW w:w="3752" w:type="dxa"/>
            <w:shd w:val="clear" w:color="auto" w:fill="auto"/>
            <w:vAlign w:val="center"/>
          </w:tcPr>
          <w:p w14:paraId="4CE60F4F"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Bolsa Família</w:t>
            </w:r>
          </w:p>
        </w:tc>
        <w:tc>
          <w:tcPr>
            <w:tcW w:w="710" w:type="dxa"/>
            <w:shd w:val="clear" w:color="auto" w:fill="auto"/>
            <w:vAlign w:val="center"/>
          </w:tcPr>
          <w:p w14:paraId="30E61BE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0,73</w:t>
            </w:r>
          </w:p>
        </w:tc>
        <w:tc>
          <w:tcPr>
            <w:tcW w:w="709" w:type="dxa"/>
            <w:shd w:val="clear" w:color="auto" w:fill="auto"/>
            <w:vAlign w:val="center"/>
          </w:tcPr>
          <w:p w14:paraId="06C9040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0,73</w:t>
            </w:r>
          </w:p>
        </w:tc>
        <w:tc>
          <w:tcPr>
            <w:tcW w:w="731" w:type="dxa"/>
            <w:shd w:val="clear" w:color="auto" w:fill="auto"/>
            <w:vAlign w:val="center"/>
          </w:tcPr>
          <w:p w14:paraId="68AB256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0,73</w:t>
            </w:r>
          </w:p>
        </w:tc>
        <w:tc>
          <w:tcPr>
            <w:tcW w:w="710" w:type="dxa"/>
            <w:shd w:val="clear" w:color="auto" w:fill="auto"/>
            <w:vAlign w:val="center"/>
          </w:tcPr>
          <w:p w14:paraId="08C5C89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0,75</w:t>
            </w:r>
          </w:p>
        </w:tc>
        <w:tc>
          <w:tcPr>
            <w:tcW w:w="892" w:type="dxa"/>
            <w:shd w:val="clear" w:color="auto" w:fill="auto"/>
            <w:vAlign w:val="center"/>
          </w:tcPr>
          <w:p w14:paraId="26AE08B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0,76</w:t>
            </w:r>
          </w:p>
        </w:tc>
        <w:tc>
          <w:tcPr>
            <w:tcW w:w="821" w:type="dxa"/>
            <w:shd w:val="clear" w:color="auto" w:fill="auto"/>
            <w:vAlign w:val="center"/>
          </w:tcPr>
          <w:p w14:paraId="7D918B4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0,90</w:t>
            </w:r>
          </w:p>
        </w:tc>
        <w:tc>
          <w:tcPr>
            <w:tcW w:w="966" w:type="dxa"/>
            <w:shd w:val="clear" w:color="auto" w:fill="auto"/>
            <w:vAlign w:val="center"/>
          </w:tcPr>
          <w:p w14:paraId="539A10F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0,94</w:t>
            </w:r>
          </w:p>
        </w:tc>
      </w:tr>
      <w:tr w:rsidR="00A9361D" w14:paraId="128F5AD1" w14:textId="77777777">
        <w:trPr>
          <w:trHeight w:val="291"/>
        </w:trPr>
        <w:tc>
          <w:tcPr>
            <w:tcW w:w="3752" w:type="dxa"/>
            <w:shd w:val="clear" w:color="auto" w:fill="auto"/>
            <w:vAlign w:val="center"/>
          </w:tcPr>
          <w:p w14:paraId="38BCDEB5"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BPC-LOAS</w:t>
            </w:r>
          </w:p>
        </w:tc>
        <w:tc>
          <w:tcPr>
            <w:tcW w:w="710" w:type="dxa"/>
            <w:shd w:val="clear" w:color="auto" w:fill="auto"/>
            <w:vAlign w:val="center"/>
          </w:tcPr>
          <w:p w14:paraId="40B8907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0,24</w:t>
            </w:r>
          </w:p>
        </w:tc>
        <w:tc>
          <w:tcPr>
            <w:tcW w:w="709" w:type="dxa"/>
            <w:shd w:val="clear" w:color="auto" w:fill="auto"/>
            <w:vAlign w:val="center"/>
          </w:tcPr>
          <w:p w14:paraId="038AB60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0,23</w:t>
            </w:r>
          </w:p>
        </w:tc>
        <w:tc>
          <w:tcPr>
            <w:tcW w:w="731" w:type="dxa"/>
            <w:shd w:val="clear" w:color="auto" w:fill="auto"/>
            <w:vAlign w:val="center"/>
          </w:tcPr>
          <w:p w14:paraId="7B75854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0,26</w:t>
            </w:r>
          </w:p>
        </w:tc>
        <w:tc>
          <w:tcPr>
            <w:tcW w:w="710" w:type="dxa"/>
            <w:shd w:val="clear" w:color="auto" w:fill="auto"/>
            <w:vAlign w:val="center"/>
          </w:tcPr>
          <w:p w14:paraId="6687D09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c>
          <w:tcPr>
            <w:tcW w:w="892" w:type="dxa"/>
            <w:shd w:val="clear" w:color="auto" w:fill="auto"/>
            <w:vAlign w:val="center"/>
          </w:tcPr>
          <w:p w14:paraId="035AD16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c>
          <w:tcPr>
            <w:tcW w:w="821" w:type="dxa"/>
            <w:shd w:val="clear" w:color="auto" w:fill="auto"/>
            <w:vAlign w:val="center"/>
          </w:tcPr>
          <w:p w14:paraId="4E20495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0,26</w:t>
            </w:r>
          </w:p>
        </w:tc>
        <w:tc>
          <w:tcPr>
            <w:tcW w:w="966" w:type="dxa"/>
            <w:shd w:val="clear" w:color="auto" w:fill="auto"/>
            <w:vAlign w:val="center"/>
          </w:tcPr>
          <w:p w14:paraId="47AB52A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0,30</w:t>
            </w:r>
          </w:p>
        </w:tc>
      </w:tr>
      <w:tr w:rsidR="00A9361D" w14:paraId="315D30CB" w14:textId="77777777">
        <w:trPr>
          <w:trHeight w:val="291"/>
        </w:trPr>
        <w:tc>
          <w:tcPr>
            <w:tcW w:w="3752" w:type="dxa"/>
            <w:shd w:val="clear" w:color="auto" w:fill="auto"/>
            <w:vAlign w:val="center"/>
          </w:tcPr>
          <w:p w14:paraId="209BBE99"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Auxílio Emergencial</w:t>
            </w:r>
          </w:p>
        </w:tc>
        <w:tc>
          <w:tcPr>
            <w:tcW w:w="710" w:type="dxa"/>
            <w:shd w:val="clear" w:color="auto" w:fill="auto"/>
            <w:vAlign w:val="center"/>
          </w:tcPr>
          <w:p w14:paraId="11EBAFA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709" w:type="dxa"/>
            <w:shd w:val="clear" w:color="auto" w:fill="auto"/>
            <w:vAlign w:val="center"/>
          </w:tcPr>
          <w:p w14:paraId="19BF4D4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731" w:type="dxa"/>
            <w:shd w:val="clear" w:color="auto" w:fill="auto"/>
            <w:vAlign w:val="center"/>
          </w:tcPr>
          <w:p w14:paraId="5B035C1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710" w:type="dxa"/>
            <w:shd w:val="clear" w:color="auto" w:fill="auto"/>
            <w:vAlign w:val="center"/>
          </w:tcPr>
          <w:p w14:paraId="2AF03E3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0,52</w:t>
            </w:r>
          </w:p>
        </w:tc>
        <w:tc>
          <w:tcPr>
            <w:tcW w:w="892" w:type="dxa"/>
            <w:shd w:val="clear" w:color="auto" w:fill="auto"/>
            <w:vAlign w:val="center"/>
          </w:tcPr>
          <w:p w14:paraId="5D8F7A6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0,52</w:t>
            </w:r>
          </w:p>
        </w:tc>
        <w:tc>
          <w:tcPr>
            <w:tcW w:w="821" w:type="dxa"/>
            <w:shd w:val="clear" w:color="auto" w:fill="auto"/>
            <w:vAlign w:val="center"/>
          </w:tcPr>
          <w:p w14:paraId="6456B02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0,53</w:t>
            </w:r>
          </w:p>
        </w:tc>
        <w:tc>
          <w:tcPr>
            <w:tcW w:w="966" w:type="dxa"/>
            <w:shd w:val="clear" w:color="auto" w:fill="auto"/>
            <w:vAlign w:val="center"/>
          </w:tcPr>
          <w:p w14:paraId="6CAFDA7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0,61</w:t>
            </w:r>
          </w:p>
        </w:tc>
      </w:tr>
      <w:tr w:rsidR="00A9361D" w14:paraId="0B47AA1A" w14:textId="77777777">
        <w:trPr>
          <w:trHeight w:val="291"/>
        </w:trPr>
        <w:tc>
          <w:tcPr>
            <w:tcW w:w="3752" w:type="dxa"/>
            <w:shd w:val="clear" w:color="auto" w:fill="auto"/>
            <w:vAlign w:val="center"/>
          </w:tcPr>
          <w:p w14:paraId="5F25B7AE"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Seguro-desemprego</w:t>
            </w:r>
          </w:p>
        </w:tc>
        <w:tc>
          <w:tcPr>
            <w:tcW w:w="710" w:type="dxa"/>
            <w:shd w:val="clear" w:color="auto" w:fill="auto"/>
            <w:vAlign w:val="center"/>
          </w:tcPr>
          <w:p w14:paraId="4504898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709" w:type="dxa"/>
            <w:shd w:val="clear" w:color="auto" w:fill="auto"/>
            <w:vAlign w:val="center"/>
          </w:tcPr>
          <w:p w14:paraId="5A1D729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731" w:type="dxa"/>
            <w:shd w:val="clear" w:color="auto" w:fill="auto"/>
            <w:vAlign w:val="center"/>
          </w:tcPr>
          <w:p w14:paraId="36C1BD3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710" w:type="dxa"/>
            <w:shd w:val="clear" w:color="auto" w:fill="auto"/>
            <w:vAlign w:val="center"/>
          </w:tcPr>
          <w:p w14:paraId="4184767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0,19</w:t>
            </w:r>
          </w:p>
        </w:tc>
        <w:tc>
          <w:tcPr>
            <w:tcW w:w="892" w:type="dxa"/>
            <w:shd w:val="clear" w:color="auto" w:fill="auto"/>
            <w:vAlign w:val="center"/>
          </w:tcPr>
          <w:p w14:paraId="11C28A4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0,19</w:t>
            </w:r>
          </w:p>
        </w:tc>
        <w:tc>
          <w:tcPr>
            <w:tcW w:w="821" w:type="dxa"/>
            <w:shd w:val="clear" w:color="auto" w:fill="auto"/>
            <w:vAlign w:val="center"/>
          </w:tcPr>
          <w:p w14:paraId="6F3EA83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966" w:type="dxa"/>
            <w:shd w:val="clear" w:color="auto" w:fill="auto"/>
            <w:vAlign w:val="center"/>
          </w:tcPr>
          <w:p w14:paraId="51C8468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r>
      <w:tr w:rsidR="00A9361D" w14:paraId="7E34944B" w14:textId="77777777">
        <w:trPr>
          <w:trHeight w:val="291"/>
        </w:trPr>
        <w:tc>
          <w:tcPr>
            <w:tcW w:w="3752" w:type="dxa"/>
            <w:shd w:val="clear" w:color="auto" w:fill="auto"/>
            <w:vAlign w:val="center"/>
          </w:tcPr>
          <w:p w14:paraId="57556C3A"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Aluguel, arrendamento, aplicações financeiras etc.</w:t>
            </w:r>
          </w:p>
        </w:tc>
        <w:tc>
          <w:tcPr>
            <w:tcW w:w="710" w:type="dxa"/>
            <w:shd w:val="clear" w:color="auto" w:fill="auto"/>
            <w:vAlign w:val="center"/>
          </w:tcPr>
          <w:p w14:paraId="0325E38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-0,33</w:t>
            </w:r>
          </w:p>
        </w:tc>
        <w:tc>
          <w:tcPr>
            <w:tcW w:w="709" w:type="dxa"/>
            <w:shd w:val="clear" w:color="auto" w:fill="auto"/>
            <w:vAlign w:val="center"/>
          </w:tcPr>
          <w:p w14:paraId="5F96B8E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-0,30</w:t>
            </w:r>
          </w:p>
        </w:tc>
        <w:tc>
          <w:tcPr>
            <w:tcW w:w="731" w:type="dxa"/>
            <w:shd w:val="clear" w:color="auto" w:fill="auto"/>
            <w:vAlign w:val="center"/>
          </w:tcPr>
          <w:p w14:paraId="3440C10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-0,31</w:t>
            </w:r>
          </w:p>
        </w:tc>
        <w:tc>
          <w:tcPr>
            <w:tcW w:w="710" w:type="dxa"/>
            <w:shd w:val="clear" w:color="auto" w:fill="auto"/>
            <w:vAlign w:val="center"/>
          </w:tcPr>
          <w:p w14:paraId="333AEA9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-0,31</w:t>
            </w:r>
          </w:p>
        </w:tc>
        <w:tc>
          <w:tcPr>
            <w:tcW w:w="892" w:type="dxa"/>
            <w:shd w:val="clear" w:color="auto" w:fill="auto"/>
            <w:vAlign w:val="center"/>
          </w:tcPr>
          <w:p w14:paraId="7647492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-0,28</w:t>
            </w:r>
          </w:p>
        </w:tc>
        <w:tc>
          <w:tcPr>
            <w:tcW w:w="821" w:type="dxa"/>
            <w:shd w:val="clear" w:color="auto" w:fill="auto"/>
            <w:vAlign w:val="center"/>
          </w:tcPr>
          <w:p w14:paraId="27CF096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-0,29</w:t>
            </w:r>
          </w:p>
        </w:tc>
        <w:tc>
          <w:tcPr>
            <w:tcW w:w="966" w:type="dxa"/>
            <w:shd w:val="clear" w:color="auto" w:fill="auto"/>
            <w:vAlign w:val="center"/>
          </w:tcPr>
          <w:p w14:paraId="4CA8AE5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-0,29</w:t>
            </w:r>
          </w:p>
        </w:tc>
      </w:tr>
      <w:tr w:rsidR="00A9361D" w14:paraId="6097A9BF" w14:textId="77777777">
        <w:trPr>
          <w:trHeight w:val="291"/>
        </w:trPr>
        <w:tc>
          <w:tcPr>
            <w:tcW w:w="9291" w:type="dxa"/>
            <w:gridSpan w:val="8"/>
            <w:tcBorders>
              <w:top w:val="single" w:sz="4" w:space="0" w:color="000000"/>
              <w:bottom w:val="single" w:sz="4" w:space="0" w:color="000000"/>
            </w:tcBorders>
            <w:shd w:val="clear" w:color="auto" w:fill="auto"/>
            <w:vAlign w:val="center"/>
          </w:tcPr>
          <w:p w14:paraId="422A01E6"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Ceará</w:t>
            </w:r>
          </w:p>
        </w:tc>
      </w:tr>
      <w:tr w:rsidR="00A9361D" w14:paraId="7F95EE83" w14:textId="77777777">
        <w:trPr>
          <w:trHeight w:val="291"/>
        </w:trPr>
        <w:tc>
          <w:tcPr>
            <w:tcW w:w="3752" w:type="dxa"/>
            <w:shd w:val="clear" w:color="auto" w:fill="auto"/>
            <w:vAlign w:val="center"/>
          </w:tcPr>
          <w:p w14:paraId="3557F262"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Todos os trabalhos</w:t>
            </w:r>
          </w:p>
        </w:tc>
        <w:tc>
          <w:tcPr>
            <w:tcW w:w="710" w:type="dxa"/>
            <w:shd w:val="clear" w:color="auto" w:fill="auto"/>
            <w:vAlign w:val="center"/>
          </w:tcPr>
          <w:p w14:paraId="09FA65F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709" w:type="dxa"/>
            <w:shd w:val="clear" w:color="auto" w:fill="auto"/>
            <w:vAlign w:val="center"/>
          </w:tcPr>
          <w:p w14:paraId="66261F0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731" w:type="dxa"/>
            <w:shd w:val="clear" w:color="auto" w:fill="auto"/>
            <w:vAlign w:val="center"/>
          </w:tcPr>
          <w:p w14:paraId="5F80294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710" w:type="dxa"/>
            <w:shd w:val="clear" w:color="auto" w:fill="auto"/>
            <w:vAlign w:val="center"/>
          </w:tcPr>
          <w:p w14:paraId="52BC604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892" w:type="dxa"/>
            <w:shd w:val="clear" w:color="auto" w:fill="auto"/>
            <w:vAlign w:val="center"/>
          </w:tcPr>
          <w:p w14:paraId="1FC7968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821" w:type="dxa"/>
            <w:shd w:val="clear" w:color="auto" w:fill="auto"/>
            <w:vAlign w:val="center"/>
          </w:tcPr>
          <w:p w14:paraId="46E6C57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966" w:type="dxa"/>
            <w:shd w:val="clear" w:color="auto" w:fill="auto"/>
            <w:vAlign w:val="center"/>
          </w:tcPr>
          <w:p w14:paraId="1E32027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r>
      <w:tr w:rsidR="00A9361D" w14:paraId="4D916176" w14:textId="77777777">
        <w:trPr>
          <w:trHeight w:val="291"/>
        </w:trPr>
        <w:tc>
          <w:tcPr>
            <w:tcW w:w="3752" w:type="dxa"/>
            <w:shd w:val="clear" w:color="auto" w:fill="auto"/>
            <w:vAlign w:val="center"/>
          </w:tcPr>
          <w:p w14:paraId="35EC22E2"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Aposentadorias e pensões</w:t>
            </w:r>
          </w:p>
        </w:tc>
        <w:tc>
          <w:tcPr>
            <w:tcW w:w="710" w:type="dxa"/>
            <w:shd w:val="clear" w:color="auto" w:fill="auto"/>
            <w:vAlign w:val="center"/>
          </w:tcPr>
          <w:p w14:paraId="3F03055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709" w:type="dxa"/>
            <w:shd w:val="clear" w:color="auto" w:fill="auto"/>
            <w:vAlign w:val="center"/>
          </w:tcPr>
          <w:p w14:paraId="71F131F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731" w:type="dxa"/>
            <w:shd w:val="clear" w:color="auto" w:fill="auto"/>
            <w:vAlign w:val="center"/>
          </w:tcPr>
          <w:p w14:paraId="4D16127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710" w:type="dxa"/>
            <w:shd w:val="clear" w:color="auto" w:fill="auto"/>
            <w:vAlign w:val="center"/>
          </w:tcPr>
          <w:p w14:paraId="62CF3B5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892" w:type="dxa"/>
            <w:shd w:val="clear" w:color="auto" w:fill="auto"/>
            <w:vAlign w:val="center"/>
          </w:tcPr>
          <w:p w14:paraId="4323755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821" w:type="dxa"/>
            <w:shd w:val="clear" w:color="auto" w:fill="auto"/>
            <w:vAlign w:val="center"/>
          </w:tcPr>
          <w:p w14:paraId="42590EB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-0,07</w:t>
            </w:r>
          </w:p>
        </w:tc>
        <w:tc>
          <w:tcPr>
            <w:tcW w:w="966" w:type="dxa"/>
            <w:shd w:val="clear" w:color="auto" w:fill="auto"/>
            <w:vAlign w:val="center"/>
          </w:tcPr>
          <w:p w14:paraId="6D96CF0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r>
      <w:tr w:rsidR="00A9361D" w14:paraId="001330D3" w14:textId="77777777">
        <w:trPr>
          <w:trHeight w:val="291"/>
        </w:trPr>
        <w:tc>
          <w:tcPr>
            <w:tcW w:w="3752" w:type="dxa"/>
            <w:shd w:val="clear" w:color="auto" w:fill="auto"/>
            <w:vAlign w:val="center"/>
          </w:tcPr>
          <w:p w14:paraId="5D54D9EF"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Doação, pensão alimentícia ou mesada</w:t>
            </w:r>
          </w:p>
        </w:tc>
        <w:tc>
          <w:tcPr>
            <w:tcW w:w="710" w:type="dxa"/>
            <w:shd w:val="clear" w:color="auto" w:fill="auto"/>
            <w:vAlign w:val="center"/>
          </w:tcPr>
          <w:p w14:paraId="1B399F8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709" w:type="dxa"/>
            <w:shd w:val="clear" w:color="auto" w:fill="auto"/>
            <w:vAlign w:val="center"/>
          </w:tcPr>
          <w:p w14:paraId="0CA9177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-0,01</w:t>
            </w:r>
          </w:p>
        </w:tc>
        <w:tc>
          <w:tcPr>
            <w:tcW w:w="731" w:type="dxa"/>
            <w:shd w:val="clear" w:color="auto" w:fill="auto"/>
            <w:vAlign w:val="center"/>
          </w:tcPr>
          <w:p w14:paraId="4DF616E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0,07</w:t>
            </w:r>
          </w:p>
        </w:tc>
        <w:tc>
          <w:tcPr>
            <w:tcW w:w="710" w:type="dxa"/>
            <w:shd w:val="clear" w:color="auto" w:fill="auto"/>
            <w:vAlign w:val="center"/>
          </w:tcPr>
          <w:p w14:paraId="74D8B01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0,01</w:t>
            </w:r>
          </w:p>
        </w:tc>
        <w:tc>
          <w:tcPr>
            <w:tcW w:w="892" w:type="dxa"/>
            <w:shd w:val="clear" w:color="auto" w:fill="auto"/>
            <w:vAlign w:val="center"/>
          </w:tcPr>
          <w:p w14:paraId="37E87A5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0,02</w:t>
            </w:r>
          </w:p>
        </w:tc>
        <w:tc>
          <w:tcPr>
            <w:tcW w:w="821" w:type="dxa"/>
            <w:shd w:val="clear" w:color="auto" w:fill="auto"/>
            <w:vAlign w:val="center"/>
          </w:tcPr>
          <w:p w14:paraId="6CA9109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-0,05</w:t>
            </w:r>
          </w:p>
        </w:tc>
        <w:tc>
          <w:tcPr>
            <w:tcW w:w="966" w:type="dxa"/>
            <w:shd w:val="clear" w:color="auto" w:fill="auto"/>
            <w:vAlign w:val="center"/>
          </w:tcPr>
          <w:p w14:paraId="2CEFA17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-0,04</w:t>
            </w:r>
          </w:p>
        </w:tc>
      </w:tr>
      <w:tr w:rsidR="00A9361D" w14:paraId="65277C4F" w14:textId="77777777">
        <w:trPr>
          <w:trHeight w:val="291"/>
        </w:trPr>
        <w:tc>
          <w:tcPr>
            <w:tcW w:w="3752" w:type="dxa"/>
            <w:shd w:val="clear" w:color="auto" w:fill="auto"/>
            <w:vAlign w:val="center"/>
          </w:tcPr>
          <w:p w14:paraId="7B44BE27"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Bolsa Família</w:t>
            </w:r>
          </w:p>
        </w:tc>
        <w:tc>
          <w:tcPr>
            <w:tcW w:w="710" w:type="dxa"/>
            <w:shd w:val="clear" w:color="auto" w:fill="auto"/>
            <w:vAlign w:val="center"/>
          </w:tcPr>
          <w:p w14:paraId="173FE48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0,71</w:t>
            </w:r>
          </w:p>
        </w:tc>
        <w:tc>
          <w:tcPr>
            <w:tcW w:w="709" w:type="dxa"/>
            <w:shd w:val="clear" w:color="auto" w:fill="auto"/>
            <w:vAlign w:val="center"/>
          </w:tcPr>
          <w:p w14:paraId="092E774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0,75</w:t>
            </w:r>
          </w:p>
        </w:tc>
        <w:tc>
          <w:tcPr>
            <w:tcW w:w="731" w:type="dxa"/>
            <w:shd w:val="clear" w:color="auto" w:fill="auto"/>
            <w:vAlign w:val="center"/>
          </w:tcPr>
          <w:p w14:paraId="56A33BD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0,73</w:t>
            </w:r>
          </w:p>
        </w:tc>
        <w:tc>
          <w:tcPr>
            <w:tcW w:w="710" w:type="dxa"/>
            <w:shd w:val="clear" w:color="auto" w:fill="auto"/>
            <w:vAlign w:val="center"/>
          </w:tcPr>
          <w:p w14:paraId="4F3B2E1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0,72</w:t>
            </w:r>
          </w:p>
        </w:tc>
        <w:tc>
          <w:tcPr>
            <w:tcW w:w="892" w:type="dxa"/>
            <w:shd w:val="clear" w:color="auto" w:fill="auto"/>
            <w:vAlign w:val="center"/>
          </w:tcPr>
          <w:p w14:paraId="2C63649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0,75</w:t>
            </w:r>
          </w:p>
        </w:tc>
        <w:tc>
          <w:tcPr>
            <w:tcW w:w="821" w:type="dxa"/>
            <w:shd w:val="clear" w:color="auto" w:fill="auto"/>
            <w:vAlign w:val="center"/>
          </w:tcPr>
          <w:p w14:paraId="7C17F9C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0,91</w:t>
            </w:r>
          </w:p>
        </w:tc>
        <w:tc>
          <w:tcPr>
            <w:tcW w:w="966" w:type="dxa"/>
            <w:shd w:val="clear" w:color="auto" w:fill="auto"/>
            <w:vAlign w:val="center"/>
          </w:tcPr>
          <w:p w14:paraId="3ED7501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0,89</w:t>
            </w:r>
          </w:p>
        </w:tc>
      </w:tr>
      <w:tr w:rsidR="00A9361D" w14:paraId="2C09B654" w14:textId="77777777">
        <w:trPr>
          <w:trHeight w:val="291"/>
        </w:trPr>
        <w:tc>
          <w:tcPr>
            <w:tcW w:w="3752" w:type="dxa"/>
            <w:shd w:val="clear" w:color="auto" w:fill="auto"/>
            <w:vAlign w:val="center"/>
          </w:tcPr>
          <w:p w14:paraId="36D8BE43"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BPC-LOAS</w:t>
            </w:r>
          </w:p>
        </w:tc>
        <w:tc>
          <w:tcPr>
            <w:tcW w:w="710" w:type="dxa"/>
            <w:shd w:val="clear" w:color="auto" w:fill="auto"/>
            <w:vAlign w:val="center"/>
          </w:tcPr>
          <w:p w14:paraId="3407E8D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0,29</w:t>
            </w:r>
          </w:p>
        </w:tc>
        <w:tc>
          <w:tcPr>
            <w:tcW w:w="709" w:type="dxa"/>
            <w:shd w:val="clear" w:color="auto" w:fill="auto"/>
            <w:vAlign w:val="center"/>
          </w:tcPr>
          <w:p w14:paraId="2E7BFAB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0,26</w:t>
            </w:r>
          </w:p>
        </w:tc>
        <w:tc>
          <w:tcPr>
            <w:tcW w:w="731" w:type="dxa"/>
            <w:shd w:val="clear" w:color="auto" w:fill="auto"/>
            <w:vAlign w:val="center"/>
          </w:tcPr>
          <w:p w14:paraId="654DEEF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0,31</w:t>
            </w:r>
          </w:p>
        </w:tc>
        <w:tc>
          <w:tcPr>
            <w:tcW w:w="710" w:type="dxa"/>
            <w:shd w:val="clear" w:color="auto" w:fill="auto"/>
            <w:vAlign w:val="center"/>
          </w:tcPr>
          <w:p w14:paraId="79D51AD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0,28</w:t>
            </w:r>
          </w:p>
        </w:tc>
        <w:tc>
          <w:tcPr>
            <w:tcW w:w="892" w:type="dxa"/>
            <w:shd w:val="clear" w:color="auto" w:fill="auto"/>
            <w:vAlign w:val="center"/>
          </w:tcPr>
          <w:p w14:paraId="7F73DB9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0,30</w:t>
            </w:r>
          </w:p>
        </w:tc>
        <w:tc>
          <w:tcPr>
            <w:tcW w:w="821" w:type="dxa"/>
            <w:shd w:val="clear" w:color="auto" w:fill="auto"/>
            <w:vAlign w:val="center"/>
          </w:tcPr>
          <w:p w14:paraId="1ABCD55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0,31</w:t>
            </w:r>
          </w:p>
        </w:tc>
        <w:tc>
          <w:tcPr>
            <w:tcW w:w="966" w:type="dxa"/>
            <w:shd w:val="clear" w:color="auto" w:fill="auto"/>
            <w:vAlign w:val="center"/>
          </w:tcPr>
          <w:p w14:paraId="5951A3E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0,33</w:t>
            </w:r>
          </w:p>
        </w:tc>
      </w:tr>
      <w:tr w:rsidR="00A9361D" w14:paraId="0EF8F06E" w14:textId="77777777">
        <w:trPr>
          <w:trHeight w:val="291"/>
        </w:trPr>
        <w:tc>
          <w:tcPr>
            <w:tcW w:w="3752" w:type="dxa"/>
            <w:shd w:val="clear" w:color="auto" w:fill="auto"/>
            <w:vAlign w:val="center"/>
          </w:tcPr>
          <w:p w14:paraId="0BA46D17"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Auxílio Emergencial</w:t>
            </w:r>
          </w:p>
        </w:tc>
        <w:tc>
          <w:tcPr>
            <w:tcW w:w="710" w:type="dxa"/>
            <w:shd w:val="clear" w:color="auto" w:fill="auto"/>
            <w:vAlign w:val="center"/>
          </w:tcPr>
          <w:p w14:paraId="3DF9C42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709" w:type="dxa"/>
            <w:shd w:val="clear" w:color="auto" w:fill="auto"/>
            <w:vAlign w:val="center"/>
          </w:tcPr>
          <w:p w14:paraId="31E6D9D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731" w:type="dxa"/>
            <w:shd w:val="clear" w:color="auto" w:fill="auto"/>
            <w:vAlign w:val="center"/>
          </w:tcPr>
          <w:p w14:paraId="0041015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0,52</w:t>
            </w:r>
          </w:p>
        </w:tc>
        <w:tc>
          <w:tcPr>
            <w:tcW w:w="710" w:type="dxa"/>
            <w:shd w:val="clear" w:color="auto" w:fill="auto"/>
            <w:vAlign w:val="center"/>
          </w:tcPr>
          <w:p w14:paraId="58DD9C2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892" w:type="dxa"/>
            <w:shd w:val="clear" w:color="auto" w:fill="auto"/>
            <w:vAlign w:val="center"/>
          </w:tcPr>
          <w:p w14:paraId="48BC88C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0,53</w:t>
            </w:r>
          </w:p>
        </w:tc>
        <w:tc>
          <w:tcPr>
            <w:tcW w:w="821" w:type="dxa"/>
            <w:shd w:val="clear" w:color="auto" w:fill="auto"/>
            <w:vAlign w:val="center"/>
          </w:tcPr>
          <w:p w14:paraId="03D8A8F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0,56</w:t>
            </w:r>
          </w:p>
        </w:tc>
        <w:tc>
          <w:tcPr>
            <w:tcW w:w="966" w:type="dxa"/>
            <w:shd w:val="clear" w:color="auto" w:fill="auto"/>
            <w:vAlign w:val="center"/>
          </w:tcPr>
          <w:p w14:paraId="29D5ED2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0,60</w:t>
            </w:r>
          </w:p>
        </w:tc>
      </w:tr>
      <w:tr w:rsidR="00A9361D" w14:paraId="2AC628AB" w14:textId="77777777">
        <w:trPr>
          <w:trHeight w:val="291"/>
        </w:trPr>
        <w:tc>
          <w:tcPr>
            <w:tcW w:w="3752" w:type="dxa"/>
            <w:shd w:val="clear" w:color="auto" w:fill="auto"/>
            <w:vAlign w:val="center"/>
          </w:tcPr>
          <w:p w14:paraId="7F2C62F4"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Seguro-desemprego</w:t>
            </w:r>
          </w:p>
        </w:tc>
        <w:tc>
          <w:tcPr>
            <w:tcW w:w="710" w:type="dxa"/>
            <w:shd w:val="clear" w:color="auto" w:fill="auto"/>
            <w:vAlign w:val="center"/>
          </w:tcPr>
          <w:p w14:paraId="64DD374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0,22</w:t>
            </w:r>
          </w:p>
        </w:tc>
        <w:tc>
          <w:tcPr>
            <w:tcW w:w="709" w:type="dxa"/>
            <w:shd w:val="clear" w:color="auto" w:fill="auto"/>
            <w:vAlign w:val="center"/>
          </w:tcPr>
          <w:p w14:paraId="159E9CC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0,19</w:t>
            </w:r>
          </w:p>
        </w:tc>
        <w:tc>
          <w:tcPr>
            <w:tcW w:w="731" w:type="dxa"/>
            <w:shd w:val="clear" w:color="auto" w:fill="auto"/>
            <w:vAlign w:val="center"/>
          </w:tcPr>
          <w:p w14:paraId="00F0323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710" w:type="dxa"/>
            <w:shd w:val="clear" w:color="auto" w:fill="auto"/>
            <w:vAlign w:val="center"/>
          </w:tcPr>
          <w:p w14:paraId="19C23D5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892" w:type="dxa"/>
            <w:shd w:val="clear" w:color="auto" w:fill="auto"/>
            <w:vAlign w:val="center"/>
          </w:tcPr>
          <w:p w14:paraId="4BB9288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821" w:type="dxa"/>
            <w:shd w:val="clear" w:color="auto" w:fill="auto"/>
            <w:vAlign w:val="center"/>
          </w:tcPr>
          <w:p w14:paraId="1953845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0,20</w:t>
            </w:r>
          </w:p>
        </w:tc>
        <w:tc>
          <w:tcPr>
            <w:tcW w:w="966" w:type="dxa"/>
            <w:shd w:val="clear" w:color="auto" w:fill="auto"/>
            <w:vAlign w:val="center"/>
          </w:tcPr>
          <w:p w14:paraId="3407D01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r>
      <w:tr w:rsidR="00A9361D" w14:paraId="4B0E9D60" w14:textId="77777777">
        <w:trPr>
          <w:trHeight w:val="291"/>
        </w:trPr>
        <w:tc>
          <w:tcPr>
            <w:tcW w:w="3752" w:type="dxa"/>
            <w:tcBorders>
              <w:bottom w:val="single" w:sz="4" w:space="0" w:color="000000"/>
            </w:tcBorders>
            <w:shd w:val="clear" w:color="auto" w:fill="auto"/>
            <w:vAlign w:val="center"/>
          </w:tcPr>
          <w:p w14:paraId="0F12F1B4"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Aluguel, arrendamento, aplicações financeiras etc.</w:t>
            </w:r>
          </w:p>
        </w:tc>
        <w:tc>
          <w:tcPr>
            <w:tcW w:w="710" w:type="dxa"/>
            <w:tcBorders>
              <w:bottom w:val="single" w:sz="4" w:space="0" w:color="000000"/>
            </w:tcBorders>
            <w:shd w:val="clear" w:color="auto" w:fill="auto"/>
            <w:vAlign w:val="center"/>
          </w:tcPr>
          <w:p w14:paraId="64CF481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-0,33</w:t>
            </w:r>
          </w:p>
        </w:tc>
        <w:tc>
          <w:tcPr>
            <w:tcW w:w="709" w:type="dxa"/>
            <w:tcBorders>
              <w:bottom w:val="single" w:sz="4" w:space="0" w:color="000000"/>
            </w:tcBorders>
            <w:shd w:val="clear" w:color="auto" w:fill="auto"/>
            <w:vAlign w:val="center"/>
          </w:tcPr>
          <w:p w14:paraId="7F0DF2B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c>
          <w:tcPr>
            <w:tcW w:w="731" w:type="dxa"/>
            <w:tcBorders>
              <w:bottom w:val="single" w:sz="4" w:space="0" w:color="000000"/>
            </w:tcBorders>
            <w:shd w:val="clear" w:color="auto" w:fill="auto"/>
            <w:vAlign w:val="center"/>
          </w:tcPr>
          <w:p w14:paraId="5526796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-0,36</w:t>
            </w:r>
          </w:p>
        </w:tc>
        <w:tc>
          <w:tcPr>
            <w:tcW w:w="710" w:type="dxa"/>
            <w:tcBorders>
              <w:bottom w:val="single" w:sz="4" w:space="0" w:color="000000"/>
            </w:tcBorders>
            <w:shd w:val="clear" w:color="auto" w:fill="auto"/>
            <w:vAlign w:val="center"/>
          </w:tcPr>
          <w:p w14:paraId="400C538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-0,36</w:t>
            </w:r>
          </w:p>
        </w:tc>
        <w:tc>
          <w:tcPr>
            <w:tcW w:w="892" w:type="dxa"/>
            <w:tcBorders>
              <w:bottom w:val="single" w:sz="4" w:space="0" w:color="000000"/>
            </w:tcBorders>
            <w:shd w:val="clear" w:color="auto" w:fill="auto"/>
            <w:vAlign w:val="center"/>
          </w:tcPr>
          <w:p w14:paraId="33ED96E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c>
          <w:tcPr>
            <w:tcW w:w="821" w:type="dxa"/>
            <w:tcBorders>
              <w:bottom w:val="single" w:sz="4" w:space="0" w:color="000000"/>
            </w:tcBorders>
            <w:shd w:val="clear" w:color="auto" w:fill="auto"/>
            <w:vAlign w:val="center"/>
          </w:tcPr>
          <w:p w14:paraId="3CC3A1A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-0,26</w:t>
            </w:r>
          </w:p>
        </w:tc>
        <w:tc>
          <w:tcPr>
            <w:tcW w:w="966" w:type="dxa"/>
            <w:tcBorders>
              <w:bottom w:val="single" w:sz="4" w:space="0" w:color="000000"/>
            </w:tcBorders>
            <w:shd w:val="clear" w:color="auto" w:fill="auto"/>
            <w:vAlign w:val="center"/>
          </w:tcPr>
          <w:p w14:paraId="381CFC7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-0,31</w:t>
            </w:r>
          </w:p>
        </w:tc>
      </w:tr>
    </w:tbl>
    <w:p w14:paraId="0AB8498A" w14:textId="77777777" w:rsidR="00A9361D" w:rsidRDefault="00000000">
      <w:pPr>
        <w:pStyle w:val="Legenda"/>
        <w:keepNext/>
        <w:rPr>
          <w:i/>
          <w:iCs w:val="0"/>
          <w:sz w:val="20"/>
          <w:szCs w:val="20"/>
        </w:rPr>
      </w:pPr>
      <w:r>
        <w:rPr>
          <w:sz w:val="20"/>
          <w:szCs w:val="20"/>
        </w:rPr>
        <w:t xml:space="preserve"> </w:t>
      </w:r>
      <w:r>
        <w:rPr>
          <w:iCs w:val="0"/>
          <w:sz w:val="20"/>
          <w:szCs w:val="20"/>
        </w:rPr>
        <w:t>Fonte: PNAD COVID19. Elaboração própria.</w:t>
      </w:r>
    </w:p>
    <w:p w14:paraId="5AE9E88E" w14:textId="77777777" w:rsidR="00A9361D" w:rsidRDefault="00A9361D"/>
    <w:p w14:paraId="5A8B7CFB" w14:textId="77777777" w:rsidR="00A9361D" w:rsidRDefault="00000000">
      <w:pPr>
        <w:pStyle w:val="PargrafodaLista"/>
        <w:numPr>
          <w:ilvl w:val="0"/>
          <w:numId w:val="7"/>
        </w:numPr>
        <w:tabs>
          <w:tab w:val="left" w:pos="993"/>
        </w:tabs>
        <w:ind w:left="1134"/>
        <w:outlineLvl w:val="2"/>
        <w:rPr>
          <w:i/>
          <w:iCs/>
        </w:rPr>
      </w:pPr>
      <w:bookmarkStart w:id="12" w:name="_Toc106375343"/>
      <w:r>
        <w:rPr>
          <w:rFonts w:ascii="Times New Roman" w:hAnsi="Times New Roman" w:cs="Times New Roman"/>
          <w:i/>
          <w:iCs/>
          <w:sz w:val="24"/>
          <w:szCs w:val="24"/>
        </w:rPr>
        <w:t>Maranhão e Piauí</w:t>
      </w:r>
      <w:bookmarkEnd w:id="12"/>
    </w:p>
    <w:p w14:paraId="34468A84"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No segundo recorte, composto pelos estados do Maranhão e Piauí, assim como nos estados maiores, a mesma tendência regional de forte relevância dos rendimentos de todos os trabalhos e expressiva importância do AE pode ser observada. Contudo, para esses estados, a política do AE foi ainda mais significativa para a redução do Índice de Gini e a participação dos rendimentos de todos os trabalhos era menor que a média regional ao longo de todo o período analisado.</w:t>
      </w:r>
    </w:p>
    <w:p w14:paraId="113CC1EC"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Maranhão, verifica-se um maior peso relativo dos rendimentos do auxílio emergencial, sendo relativamente maior que a média regional em todo o período, com destaque para o mês de junho (27,2% contra 20,9% no NE). Essa maior participação do AE para o </w:t>
      </w:r>
      <w:r>
        <w:rPr>
          <w:rFonts w:ascii="Times New Roman" w:hAnsi="Times New Roman" w:cs="Times New Roman"/>
          <w:sz w:val="24"/>
          <w:szCs w:val="24"/>
        </w:rPr>
        <w:lastRenderedPageBreak/>
        <w:t>Maranhão evidencia que este apresenta uma condição de maior vulnerabilidade de sua população, comparativamente ao demais estados da região.</w:t>
      </w:r>
    </w:p>
    <w:p w14:paraId="62E837A6" w14:textId="77777777" w:rsidR="00A9361D" w:rsidRDefault="00A9361D">
      <w:pPr>
        <w:spacing w:after="0" w:line="240" w:lineRule="auto"/>
        <w:rPr>
          <w:rFonts w:ascii="Times New Roman" w:hAnsi="Times New Roman"/>
          <w:b/>
          <w:iCs/>
          <w:sz w:val="24"/>
          <w:szCs w:val="18"/>
        </w:rPr>
      </w:pPr>
      <w:bookmarkStart w:id="13" w:name="_Toc106375472"/>
    </w:p>
    <w:p w14:paraId="01ABCF00" w14:textId="16822645" w:rsidR="00A9361D" w:rsidRDefault="00000000">
      <w:pPr>
        <w:pStyle w:val="Legenda"/>
      </w:pPr>
      <w:r>
        <w:t>Gráfico 7 - Maranhão: Peso relativo de cada parcela no total da renda segundo suas diferentes fontes (%), de maio a novembro de 2020</w:t>
      </w:r>
      <w:bookmarkEnd w:id="13"/>
    </w:p>
    <w:p w14:paraId="3730D17F" w14:textId="77777777" w:rsidR="00A9361D" w:rsidRDefault="00000000">
      <w:pPr>
        <w:pStyle w:val="Legenda"/>
        <w:jc w:val="center"/>
        <w:rPr>
          <w:b w:val="0"/>
          <w:bCs/>
          <w:sz w:val="20"/>
          <w:szCs w:val="20"/>
        </w:rPr>
      </w:pPr>
      <w:r>
        <w:rPr>
          <w:noProof/>
        </w:rPr>
        <w:drawing>
          <wp:inline distT="0" distB="0" distL="0" distR="0" wp14:anchorId="236F3848" wp14:editId="7CCEF732">
            <wp:extent cx="5039995" cy="2160270"/>
            <wp:effectExtent l="0" t="0" r="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6E1CC34" w14:textId="77777777" w:rsidR="00A9361D" w:rsidRDefault="00000000">
      <w:pPr>
        <w:pStyle w:val="Legenda"/>
        <w:rPr>
          <w:b w:val="0"/>
          <w:bCs/>
          <w:sz w:val="20"/>
          <w:szCs w:val="20"/>
        </w:rPr>
      </w:pPr>
      <w:r>
        <w:rPr>
          <w:b w:val="0"/>
          <w:bCs/>
          <w:sz w:val="20"/>
          <w:szCs w:val="20"/>
        </w:rPr>
        <w:t>Fonte: PNAD COVID19. Elaboração própria.</w:t>
      </w:r>
    </w:p>
    <w:p w14:paraId="7F63DA47" w14:textId="77777777" w:rsidR="00A9361D" w:rsidRDefault="00000000">
      <w:pPr>
        <w:spacing w:after="0" w:line="360" w:lineRule="auto"/>
        <w:ind w:firstLine="709"/>
        <w:jc w:val="both"/>
        <w:rPr>
          <w:rFonts w:ascii="Times New Roman" w:hAnsi="Times New Roman"/>
          <w:sz w:val="24"/>
          <w:szCs w:val="24"/>
        </w:rPr>
      </w:pPr>
      <w:r>
        <w:rPr>
          <w:rFonts w:ascii="Times New Roman" w:hAnsi="Times New Roman" w:cs="Times New Roman"/>
          <w:sz w:val="24"/>
          <w:szCs w:val="24"/>
        </w:rPr>
        <w:t xml:space="preserve">No Piauí, por sua vez, o maior peso relativo do rendimento auxílio emergencial </w:t>
      </w:r>
      <w:r>
        <w:rPr>
          <w:rFonts w:ascii="Times New Roman" w:hAnsi="Times New Roman"/>
          <w:sz w:val="24"/>
          <w:szCs w:val="24"/>
        </w:rPr>
        <w:t>ocorreu no mês de julho (21% contra 20,7% NE). Maranhão e Piauí apresentaram uma importante participação relativa do AE na composição total da renda também até agosto, iniciando uma perda dessa fonte de rendimento de forma significativa a partir de então (Gráficos 7 e 8).</w:t>
      </w:r>
      <w:bookmarkStart w:id="14" w:name="_Toc106375473"/>
    </w:p>
    <w:p w14:paraId="34B9CB82" w14:textId="77777777" w:rsidR="00A9361D" w:rsidRDefault="00A9361D">
      <w:pPr>
        <w:spacing w:after="0" w:line="360" w:lineRule="auto"/>
        <w:ind w:firstLine="709"/>
        <w:jc w:val="both"/>
        <w:rPr>
          <w:rFonts w:ascii="Times New Roman" w:hAnsi="Times New Roman"/>
          <w:b/>
          <w:iCs/>
          <w:sz w:val="24"/>
          <w:szCs w:val="18"/>
        </w:rPr>
      </w:pPr>
    </w:p>
    <w:p w14:paraId="56C0FB7D" w14:textId="5FFB37CA" w:rsidR="00A9361D" w:rsidRDefault="00000000">
      <w:pPr>
        <w:pStyle w:val="Legenda"/>
      </w:pPr>
      <w:r>
        <w:t>Gráfico 8 - Piauí: Peso relativo de cada parcela no total da renda segundo suas diferentes fontes (%), de maio a novembro de 2020</w:t>
      </w:r>
      <w:bookmarkEnd w:id="14"/>
    </w:p>
    <w:p w14:paraId="447CCC44" w14:textId="77777777" w:rsidR="00A9361D" w:rsidRDefault="00000000">
      <w:pPr>
        <w:pStyle w:val="Legenda"/>
        <w:jc w:val="center"/>
        <w:rPr>
          <w:b w:val="0"/>
          <w:bCs/>
          <w:sz w:val="20"/>
          <w:szCs w:val="20"/>
        </w:rPr>
      </w:pPr>
      <w:r>
        <w:rPr>
          <w:noProof/>
        </w:rPr>
        <w:drawing>
          <wp:inline distT="0" distB="0" distL="0" distR="0" wp14:anchorId="2AEE3F96" wp14:editId="110A323D">
            <wp:extent cx="5039995" cy="2160270"/>
            <wp:effectExtent l="0" t="0" r="0" b="0"/>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B52F17" w14:textId="77777777" w:rsidR="00A9361D" w:rsidRDefault="00000000">
      <w:pPr>
        <w:pStyle w:val="Legenda"/>
        <w:rPr>
          <w:b w:val="0"/>
          <w:bCs/>
          <w:sz w:val="20"/>
          <w:szCs w:val="20"/>
        </w:rPr>
      </w:pPr>
      <w:r>
        <w:rPr>
          <w:b w:val="0"/>
          <w:bCs/>
          <w:sz w:val="20"/>
          <w:szCs w:val="20"/>
        </w:rPr>
        <w:lastRenderedPageBreak/>
        <w:t>Fonte: PNAD COVID19. Elaboração própria.</w:t>
      </w:r>
    </w:p>
    <w:p w14:paraId="7BDC256C" w14:textId="43983379"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que se refere à progressividade das fontes de rendimento do PBF e do AE, à importância e crescente </w:t>
      </w:r>
      <w:proofErr w:type="gramStart"/>
      <w:r>
        <w:rPr>
          <w:rFonts w:ascii="Times New Roman" w:hAnsi="Times New Roman" w:cs="Times New Roman"/>
          <w:sz w:val="24"/>
          <w:szCs w:val="24"/>
        </w:rPr>
        <w:t>progressividade também podem</w:t>
      </w:r>
      <w:proofErr w:type="gramEnd"/>
      <w:r>
        <w:rPr>
          <w:rFonts w:ascii="Times New Roman" w:hAnsi="Times New Roman" w:cs="Times New Roman"/>
          <w:sz w:val="24"/>
          <w:szCs w:val="24"/>
        </w:rPr>
        <w:t xml:space="preserve"> ser observadas para o Maranhão e Piauí (Tabela 2). Contudo, em proporções divergentes. </w:t>
      </w:r>
    </w:p>
    <w:p w14:paraId="4794968C"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 Maranhão apresentou progressividade menor que a média regional, tanto para o PBF quanto para o AE, em todo o período. No mês de novembro, a progressividade do PBF era de 0,83 no MA contra 0,91 no NE, já a do AE era de 0,41 no MA e de 0,56 no NE.</w:t>
      </w:r>
    </w:p>
    <w:p w14:paraId="2A60626F"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Em relação ao Piauí, este estado apresenta progressividade maior que a regional em alguns meses para essas fontes de rendimento. No mês de novembro, a progressividade do PBF era de 0,96 no PI contra 0,91 no NE. Já a progressividade do AE, também em novembro, foi de 0,59 no PI e de 0,56 no NE.</w:t>
      </w:r>
    </w:p>
    <w:p w14:paraId="4EAD138A" w14:textId="77777777" w:rsidR="00A9361D" w:rsidRDefault="00A9361D">
      <w:pPr>
        <w:spacing w:after="0" w:line="360" w:lineRule="auto"/>
        <w:ind w:firstLine="709"/>
        <w:jc w:val="both"/>
        <w:rPr>
          <w:rFonts w:ascii="Times New Roman" w:hAnsi="Times New Roman" w:cs="Times New Roman"/>
          <w:sz w:val="24"/>
          <w:szCs w:val="24"/>
        </w:rPr>
      </w:pPr>
    </w:p>
    <w:p w14:paraId="60D37F74" w14:textId="77777777" w:rsidR="00A9361D" w:rsidRDefault="00000000">
      <w:pPr>
        <w:pStyle w:val="Legenda"/>
        <w:jc w:val="center"/>
        <w:rPr>
          <w:rFonts w:cs="Times New Roman"/>
          <w:b w:val="0"/>
          <w:bCs/>
          <w:i/>
          <w:iCs w:val="0"/>
          <w:szCs w:val="24"/>
        </w:rPr>
      </w:pPr>
      <w:bookmarkStart w:id="15" w:name="_Toc106375175"/>
      <w:r>
        <w:t>Tabela 2 - Maranhão e Piauí: Progressividade para o Índice de Gini para a renda pessoal, segundo fonte de renda, de maio a novembro de 2020</w:t>
      </w:r>
      <w:bookmarkEnd w:id="15"/>
    </w:p>
    <w:tbl>
      <w:tblPr>
        <w:tblW w:w="9362" w:type="dxa"/>
        <w:tblCellMar>
          <w:left w:w="70" w:type="dxa"/>
          <w:right w:w="70" w:type="dxa"/>
        </w:tblCellMar>
        <w:tblLook w:val="04A0" w:firstRow="1" w:lastRow="0" w:firstColumn="1" w:lastColumn="0" w:noHBand="0" w:noVBand="1"/>
      </w:tblPr>
      <w:tblGrid>
        <w:gridCol w:w="3852"/>
        <w:gridCol w:w="649"/>
        <w:gridCol w:w="650"/>
        <w:gridCol w:w="664"/>
        <w:gridCol w:w="722"/>
        <w:gridCol w:w="980"/>
        <w:gridCol w:w="849"/>
        <w:gridCol w:w="996"/>
      </w:tblGrid>
      <w:tr w:rsidR="00A9361D" w14:paraId="409614D9" w14:textId="77777777">
        <w:trPr>
          <w:trHeight w:val="284"/>
        </w:trPr>
        <w:tc>
          <w:tcPr>
            <w:tcW w:w="3851" w:type="dxa"/>
            <w:tcBorders>
              <w:top w:val="single" w:sz="4" w:space="0" w:color="000000"/>
              <w:bottom w:val="single" w:sz="4" w:space="0" w:color="000000"/>
            </w:tcBorders>
            <w:shd w:val="clear" w:color="auto" w:fill="auto"/>
            <w:vAlign w:val="center"/>
          </w:tcPr>
          <w:p w14:paraId="2CCD7BAE"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Descrição da fonte de renda</w:t>
            </w:r>
          </w:p>
        </w:tc>
        <w:tc>
          <w:tcPr>
            <w:tcW w:w="64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0E8352"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Maio</w:t>
            </w:r>
          </w:p>
        </w:tc>
        <w:tc>
          <w:tcPr>
            <w:tcW w:w="650" w:type="dxa"/>
            <w:tcBorders>
              <w:top w:val="single" w:sz="4" w:space="0" w:color="000000"/>
              <w:bottom w:val="single" w:sz="4" w:space="0" w:color="000000"/>
              <w:right w:val="single" w:sz="4" w:space="0" w:color="000000"/>
            </w:tcBorders>
            <w:shd w:val="clear" w:color="auto" w:fill="auto"/>
            <w:vAlign w:val="bottom"/>
          </w:tcPr>
          <w:p w14:paraId="61D0DB12"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Junho</w:t>
            </w:r>
          </w:p>
        </w:tc>
        <w:tc>
          <w:tcPr>
            <w:tcW w:w="664" w:type="dxa"/>
            <w:tcBorders>
              <w:top w:val="single" w:sz="4" w:space="0" w:color="000000"/>
              <w:bottom w:val="single" w:sz="4" w:space="0" w:color="000000"/>
              <w:right w:val="single" w:sz="4" w:space="0" w:color="000000"/>
            </w:tcBorders>
            <w:shd w:val="clear" w:color="auto" w:fill="auto"/>
            <w:vAlign w:val="bottom"/>
          </w:tcPr>
          <w:p w14:paraId="24712C2A"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Julho</w:t>
            </w:r>
          </w:p>
        </w:tc>
        <w:tc>
          <w:tcPr>
            <w:tcW w:w="722" w:type="dxa"/>
            <w:tcBorders>
              <w:top w:val="single" w:sz="4" w:space="0" w:color="000000"/>
              <w:bottom w:val="single" w:sz="4" w:space="0" w:color="000000"/>
              <w:right w:val="single" w:sz="4" w:space="0" w:color="000000"/>
            </w:tcBorders>
            <w:shd w:val="clear" w:color="auto" w:fill="auto"/>
            <w:vAlign w:val="bottom"/>
          </w:tcPr>
          <w:p w14:paraId="24B80CF1"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 xml:space="preserve">Agosto </w:t>
            </w:r>
          </w:p>
        </w:tc>
        <w:tc>
          <w:tcPr>
            <w:tcW w:w="980" w:type="dxa"/>
            <w:tcBorders>
              <w:top w:val="single" w:sz="4" w:space="0" w:color="000000"/>
              <w:bottom w:val="single" w:sz="4" w:space="0" w:color="000000"/>
              <w:right w:val="single" w:sz="4" w:space="0" w:color="000000"/>
            </w:tcBorders>
            <w:shd w:val="clear" w:color="auto" w:fill="auto"/>
            <w:vAlign w:val="bottom"/>
          </w:tcPr>
          <w:p w14:paraId="43D5508B"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 xml:space="preserve">Setembro </w:t>
            </w:r>
          </w:p>
        </w:tc>
        <w:tc>
          <w:tcPr>
            <w:tcW w:w="849" w:type="dxa"/>
            <w:tcBorders>
              <w:top w:val="single" w:sz="4" w:space="0" w:color="000000"/>
              <w:bottom w:val="single" w:sz="4" w:space="0" w:color="000000"/>
              <w:right w:val="single" w:sz="4" w:space="0" w:color="000000"/>
            </w:tcBorders>
            <w:shd w:val="clear" w:color="auto" w:fill="auto"/>
            <w:vAlign w:val="bottom"/>
          </w:tcPr>
          <w:p w14:paraId="697FB9EA"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Outubro</w:t>
            </w:r>
          </w:p>
        </w:tc>
        <w:tc>
          <w:tcPr>
            <w:tcW w:w="996" w:type="dxa"/>
            <w:tcBorders>
              <w:top w:val="single" w:sz="4" w:space="0" w:color="000000"/>
              <w:bottom w:val="single" w:sz="4" w:space="0" w:color="000000"/>
            </w:tcBorders>
            <w:shd w:val="clear" w:color="auto" w:fill="auto"/>
            <w:vAlign w:val="bottom"/>
          </w:tcPr>
          <w:p w14:paraId="640C228B"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Novembro</w:t>
            </w:r>
          </w:p>
        </w:tc>
      </w:tr>
      <w:tr w:rsidR="00A9361D" w14:paraId="25E1AA24" w14:textId="77777777">
        <w:trPr>
          <w:trHeight w:val="284"/>
        </w:trPr>
        <w:tc>
          <w:tcPr>
            <w:tcW w:w="9361" w:type="dxa"/>
            <w:gridSpan w:val="8"/>
            <w:tcBorders>
              <w:top w:val="single" w:sz="4" w:space="0" w:color="000000"/>
              <w:bottom w:val="single" w:sz="4" w:space="0" w:color="000000"/>
            </w:tcBorders>
            <w:shd w:val="clear" w:color="auto" w:fill="auto"/>
            <w:vAlign w:val="center"/>
          </w:tcPr>
          <w:p w14:paraId="58AAA751"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Maranhão</w:t>
            </w:r>
          </w:p>
        </w:tc>
      </w:tr>
      <w:tr w:rsidR="00A9361D" w14:paraId="3B98D5C4" w14:textId="77777777">
        <w:trPr>
          <w:trHeight w:val="284"/>
        </w:trPr>
        <w:tc>
          <w:tcPr>
            <w:tcW w:w="3851" w:type="dxa"/>
            <w:shd w:val="clear" w:color="auto" w:fill="auto"/>
            <w:vAlign w:val="center"/>
          </w:tcPr>
          <w:p w14:paraId="5D48E724"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Todos os trabalhos</w:t>
            </w:r>
          </w:p>
        </w:tc>
        <w:tc>
          <w:tcPr>
            <w:tcW w:w="649" w:type="dxa"/>
            <w:shd w:val="clear" w:color="auto" w:fill="auto"/>
            <w:vAlign w:val="bottom"/>
          </w:tcPr>
          <w:p w14:paraId="50D8358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650" w:type="dxa"/>
            <w:shd w:val="clear" w:color="auto" w:fill="auto"/>
            <w:vAlign w:val="center"/>
          </w:tcPr>
          <w:p w14:paraId="118A7A00"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-0,18</w:t>
            </w:r>
          </w:p>
        </w:tc>
        <w:tc>
          <w:tcPr>
            <w:tcW w:w="664" w:type="dxa"/>
            <w:shd w:val="clear" w:color="auto" w:fill="auto"/>
            <w:vAlign w:val="bottom"/>
          </w:tcPr>
          <w:p w14:paraId="0877127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-0,18</w:t>
            </w:r>
          </w:p>
        </w:tc>
        <w:tc>
          <w:tcPr>
            <w:tcW w:w="722" w:type="dxa"/>
            <w:shd w:val="clear" w:color="auto" w:fill="auto"/>
            <w:vAlign w:val="bottom"/>
          </w:tcPr>
          <w:p w14:paraId="5B0B349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980" w:type="dxa"/>
            <w:shd w:val="clear" w:color="auto" w:fill="auto"/>
            <w:vAlign w:val="bottom"/>
          </w:tcPr>
          <w:p w14:paraId="57EE7AB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849" w:type="dxa"/>
            <w:shd w:val="clear" w:color="auto" w:fill="auto"/>
            <w:vAlign w:val="bottom"/>
          </w:tcPr>
          <w:p w14:paraId="72E7DA0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-0,12</w:t>
            </w:r>
          </w:p>
        </w:tc>
        <w:tc>
          <w:tcPr>
            <w:tcW w:w="996" w:type="dxa"/>
            <w:shd w:val="clear" w:color="auto" w:fill="auto"/>
            <w:vAlign w:val="bottom"/>
          </w:tcPr>
          <w:p w14:paraId="43A5682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r>
      <w:tr w:rsidR="00A9361D" w14:paraId="0B2405B6" w14:textId="77777777">
        <w:trPr>
          <w:trHeight w:val="284"/>
        </w:trPr>
        <w:tc>
          <w:tcPr>
            <w:tcW w:w="3851" w:type="dxa"/>
            <w:shd w:val="clear" w:color="auto" w:fill="auto"/>
            <w:vAlign w:val="center"/>
          </w:tcPr>
          <w:p w14:paraId="714D8BE1"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Aposentadorias e pensões</w:t>
            </w:r>
          </w:p>
        </w:tc>
        <w:tc>
          <w:tcPr>
            <w:tcW w:w="649" w:type="dxa"/>
            <w:shd w:val="clear" w:color="auto" w:fill="auto"/>
            <w:vAlign w:val="bottom"/>
          </w:tcPr>
          <w:p w14:paraId="46FC221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650" w:type="dxa"/>
            <w:shd w:val="clear" w:color="auto" w:fill="auto"/>
            <w:vAlign w:val="center"/>
          </w:tcPr>
          <w:p w14:paraId="51B57140"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-0,11</w:t>
            </w:r>
          </w:p>
        </w:tc>
        <w:tc>
          <w:tcPr>
            <w:tcW w:w="664" w:type="dxa"/>
            <w:shd w:val="clear" w:color="auto" w:fill="auto"/>
            <w:vAlign w:val="bottom"/>
          </w:tcPr>
          <w:p w14:paraId="38C67F5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722" w:type="dxa"/>
            <w:shd w:val="clear" w:color="auto" w:fill="auto"/>
            <w:vAlign w:val="bottom"/>
          </w:tcPr>
          <w:p w14:paraId="3210E7D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-0,10</w:t>
            </w:r>
          </w:p>
        </w:tc>
        <w:tc>
          <w:tcPr>
            <w:tcW w:w="980" w:type="dxa"/>
            <w:shd w:val="clear" w:color="auto" w:fill="auto"/>
            <w:vAlign w:val="bottom"/>
          </w:tcPr>
          <w:p w14:paraId="4D9A901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849" w:type="dxa"/>
            <w:shd w:val="clear" w:color="auto" w:fill="auto"/>
            <w:vAlign w:val="bottom"/>
          </w:tcPr>
          <w:p w14:paraId="3D95FD7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-0,05</w:t>
            </w:r>
          </w:p>
        </w:tc>
        <w:tc>
          <w:tcPr>
            <w:tcW w:w="996" w:type="dxa"/>
            <w:shd w:val="clear" w:color="auto" w:fill="auto"/>
            <w:vAlign w:val="bottom"/>
          </w:tcPr>
          <w:p w14:paraId="3E2ACDC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-0,04</w:t>
            </w:r>
          </w:p>
        </w:tc>
      </w:tr>
      <w:tr w:rsidR="00A9361D" w14:paraId="23387968" w14:textId="77777777">
        <w:trPr>
          <w:trHeight w:val="284"/>
        </w:trPr>
        <w:tc>
          <w:tcPr>
            <w:tcW w:w="3851" w:type="dxa"/>
            <w:shd w:val="clear" w:color="auto" w:fill="auto"/>
            <w:vAlign w:val="center"/>
          </w:tcPr>
          <w:p w14:paraId="7FFBCB1D"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Doação, pensão alimentícia ou mesada</w:t>
            </w:r>
          </w:p>
        </w:tc>
        <w:tc>
          <w:tcPr>
            <w:tcW w:w="649" w:type="dxa"/>
            <w:shd w:val="clear" w:color="auto" w:fill="auto"/>
            <w:vAlign w:val="bottom"/>
          </w:tcPr>
          <w:p w14:paraId="79AC19F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650" w:type="dxa"/>
            <w:shd w:val="clear" w:color="auto" w:fill="auto"/>
            <w:vAlign w:val="center"/>
          </w:tcPr>
          <w:p w14:paraId="5A6DBB87"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0,04</w:t>
            </w:r>
          </w:p>
        </w:tc>
        <w:tc>
          <w:tcPr>
            <w:tcW w:w="664" w:type="dxa"/>
            <w:shd w:val="clear" w:color="auto" w:fill="auto"/>
            <w:vAlign w:val="bottom"/>
          </w:tcPr>
          <w:p w14:paraId="3EC001E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722" w:type="dxa"/>
            <w:shd w:val="clear" w:color="auto" w:fill="auto"/>
            <w:vAlign w:val="bottom"/>
          </w:tcPr>
          <w:p w14:paraId="67170A2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0,13</w:t>
            </w:r>
          </w:p>
        </w:tc>
        <w:tc>
          <w:tcPr>
            <w:tcW w:w="980" w:type="dxa"/>
            <w:shd w:val="clear" w:color="auto" w:fill="auto"/>
            <w:vAlign w:val="bottom"/>
          </w:tcPr>
          <w:p w14:paraId="79ECB22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0,15</w:t>
            </w:r>
          </w:p>
        </w:tc>
        <w:tc>
          <w:tcPr>
            <w:tcW w:w="849" w:type="dxa"/>
            <w:shd w:val="clear" w:color="auto" w:fill="auto"/>
            <w:vAlign w:val="bottom"/>
          </w:tcPr>
          <w:p w14:paraId="087BB9B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0,16</w:t>
            </w:r>
          </w:p>
        </w:tc>
        <w:tc>
          <w:tcPr>
            <w:tcW w:w="996" w:type="dxa"/>
            <w:shd w:val="clear" w:color="auto" w:fill="auto"/>
            <w:vAlign w:val="bottom"/>
          </w:tcPr>
          <w:p w14:paraId="0D9188C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r>
      <w:tr w:rsidR="00A9361D" w14:paraId="0DEAF78F" w14:textId="77777777">
        <w:trPr>
          <w:trHeight w:val="284"/>
        </w:trPr>
        <w:tc>
          <w:tcPr>
            <w:tcW w:w="3851" w:type="dxa"/>
            <w:shd w:val="clear" w:color="auto" w:fill="auto"/>
            <w:vAlign w:val="center"/>
          </w:tcPr>
          <w:p w14:paraId="48965915"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Bolsa Família</w:t>
            </w:r>
          </w:p>
        </w:tc>
        <w:tc>
          <w:tcPr>
            <w:tcW w:w="649" w:type="dxa"/>
            <w:shd w:val="clear" w:color="auto" w:fill="auto"/>
            <w:vAlign w:val="bottom"/>
          </w:tcPr>
          <w:p w14:paraId="4AE44D5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0,59</w:t>
            </w:r>
          </w:p>
        </w:tc>
        <w:tc>
          <w:tcPr>
            <w:tcW w:w="650" w:type="dxa"/>
            <w:shd w:val="clear" w:color="auto" w:fill="auto"/>
            <w:vAlign w:val="bottom"/>
          </w:tcPr>
          <w:p w14:paraId="33783D8D"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0,60</w:t>
            </w:r>
          </w:p>
        </w:tc>
        <w:tc>
          <w:tcPr>
            <w:tcW w:w="664" w:type="dxa"/>
            <w:shd w:val="clear" w:color="auto" w:fill="auto"/>
            <w:vAlign w:val="bottom"/>
          </w:tcPr>
          <w:p w14:paraId="26DE2B7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0,61</w:t>
            </w:r>
          </w:p>
        </w:tc>
        <w:tc>
          <w:tcPr>
            <w:tcW w:w="722" w:type="dxa"/>
            <w:shd w:val="clear" w:color="auto" w:fill="auto"/>
            <w:vAlign w:val="bottom"/>
          </w:tcPr>
          <w:p w14:paraId="3436DEA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0,63</w:t>
            </w:r>
          </w:p>
        </w:tc>
        <w:tc>
          <w:tcPr>
            <w:tcW w:w="980" w:type="dxa"/>
            <w:shd w:val="clear" w:color="auto" w:fill="auto"/>
            <w:vAlign w:val="bottom"/>
          </w:tcPr>
          <w:p w14:paraId="3809A09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0,64</w:t>
            </w:r>
          </w:p>
        </w:tc>
        <w:tc>
          <w:tcPr>
            <w:tcW w:w="849" w:type="dxa"/>
            <w:shd w:val="clear" w:color="auto" w:fill="auto"/>
            <w:vAlign w:val="bottom"/>
          </w:tcPr>
          <w:p w14:paraId="646373F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0,81</w:t>
            </w:r>
          </w:p>
        </w:tc>
        <w:tc>
          <w:tcPr>
            <w:tcW w:w="996" w:type="dxa"/>
            <w:shd w:val="clear" w:color="auto" w:fill="auto"/>
            <w:vAlign w:val="bottom"/>
          </w:tcPr>
          <w:p w14:paraId="5665794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0,83</w:t>
            </w:r>
          </w:p>
        </w:tc>
      </w:tr>
      <w:tr w:rsidR="00A9361D" w14:paraId="23417128" w14:textId="77777777">
        <w:trPr>
          <w:trHeight w:val="284"/>
        </w:trPr>
        <w:tc>
          <w:tcPr>
            <w:tcW w:w="3851" w:type="dxa"/>
            <w:shd w:val="clear" w:color="auto" w:fill="auto"/>
            <w:vAlign w:val="center"/>
          </w:tcPr>
          <w:p w14:paraId="0A27DD1A"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BPC-LOAS</w:t>
            </w:r>
          </w:p>
        </w:tc>
        <w:tc>
          <w:tcPr>
            <w:tcW w:w="649" w:type="dxa"/>
            <w:shd w:val="clear" w:color="auto" w:fill="auto"/>
            <w:vAlign w:val="bottom"/>
          </w:tcPr>
          <w:p w14:paraId="3659F21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0,19</w:t>
            </w:r>
          </w:p>
        </w:tc>
        <w:tc>
          <w:tcPr>
            <w:tcW w:w="650" w:type="dxa"/>
            <w:shd w:val="clear" w:color="auto" w:fill="auto"/>
            <w:vAlign w:val="center"/>
          </w:tcPr>
          <w:p w14:paraId="33A9D079"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0,14</w:t>
            </w:r>
          </w:p>
        </w:tc>
        <w:tc>
          <w:tcPr>
            <w:tcW w:w="664" w:type="dxa"/>
            <w:shd w:val="clear" w:color="auto" w:fill="auto"/>
            <w:vAlign w:val="bottom"/>
          </w:tcPr>
          <w:p w14:paraId="14AF838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722" w:type="dxa"/>
            <w:shd w:val="clear" w:color="auto" w:fill="auto"/>
            <w:vAlign w:val="bottom"/>
          </w:tcPr>
          <w:p w14:paraId="2C56B10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0,23</w:t>
            </w:r>
          </w:p>
        </w:tc>
        <w:tc>
          <w:tcPr>
            <w:tcW w:w="980" w:type="dxa"/>
            <w:shd w:val="clear" w:color="auto" w:fill="auto"/>
            <w:vAlign w:val="bottom"/>
          </w:tcPr>
          <w:p w14:paraId="14D16C1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0,22</w:t>
            </w:r>
          </w:p>
        </w:tc>
        <w:tc>
          <w:tcPr>
            <w:tcW w:w="849" w:type="dxa"/>
            <w:shd w:val="clear" w:color="auto" w:fill="auto"/>
            <w:vAlign w:val="bottom"/>
          </w:tcPr>
          <w:p w14:paraId="412BE04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0,20</w:t>
            </w:r>
          </w:p>
        </w:tc>
        <w:tc>
          <w:tcPr>
            <w:tcW w:w="996" w:type="dxa"/>
            <w:shd w:val="clear" w:color="auto" w:fill="auto"/>
            <w:vAlign w:val="bottom"/>
          </w:tcPr>
          <w:p w14:paraId="4B47F9A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0,21</w:t>
            </w:r>
          </w:p>
        </w:tc>
      </w:tr>
      <w:tr w:rsidR="00A9361D" w14:paraId="7C3ED45B" w14:textId="77777777">
        <w:trPr>
          <w:trHeight w:val="284"/>
        </w:trPr>
        <w:tc>
          <w:tcPr>
            <w:tcW w:w="3851" w:type="dxa"/>
            <w:shd w:val="clear" w:color="auto" w:fill="auto"/>
            <w:vAlign w:val="center"/>
          </w:tcPr>
          <w:p w14:paraId="209EDE2E"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Auxílio Emergencial</w:t>
            </w:r>
          </w:p>
        </w:tc>
        <w:tc>
          <w:tcPr>
            <w:tcW w:w="649" w:type="dxa"/>
            <w:shd w:val="clear" w:color="auto" w:fill="auto"/>
            <w:vAlign w:val="bottom"/>
          </w:tcPr>
          <w:p w14:paraId="09BE4B9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0,37</w:t>
            </w:r>
          </w:p>
        </w:tc>
        <w:tc>
          <w:tcPr>
            <w:tcW w:w="650" w:type="dxa"/>
            <w:shd w:val="clear" w:color="auto" w:fill="auto"/>
            <w:vAlign w:val="center"/>
          </w:tcPr>
          <w:p w14:paraId="646711F5"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0,36</w:t>
            </w:r>
          </w:p>
        </w:tc>
        <w:tc>
          <w:tcPr>
            <w:tcW w:w="664" w:type="dxa"/>
            <w:shd w:val="clear" w:color="auto" w:fill="auto"/>
            <w:vAlign w:val="bottom"/>
          </w:tcPr>
          <w:p w14:paraId="6128DAF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0,38</w:t>
            </w:r>
          </w:p>
        </w:tc>
        <w:tc>
          <w:tcPr>
            <w:tcW w:w="722" w:type="dxa"/>
            <w:shd w:val="clear" w:color="auto" w:fill="auto"/>
            <w:vAlign w:val="bottom"/>
          </w:tcPr>
          <w:p w14:paraId="776606D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0,37</w:t>
            </w:r>
          </w:p>
        </w:tc>
        <w:tc>
          <w:tcPr>
            <w:tcW w:w="980" w:type="dxa"/>
            <w:shd w:val="clear" w:color="auto" w:fill="auto"/>
            <w:vAlign w:val="bottom"/>
          </w:tcPr>
          <w:p w14:paraId="2020FAF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0,35</w:t>
            </w:r>
          </w:p>
        </w:tc>
        <w:tc>
          <w:tcPr>
            <w:tcW w:w="849" w:type="dxa"/>
            <w:shd w:val="clear" w:color="auto" w:fill="auto"/>
            <w:vAlign w:val="bottom"/>
          </w:tcPr>
          <w:p w14:paraId="2C478FD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0,35</w:t>
            </w:r>
          </w:p>
        </w:tc>
        <w:tc>
          <w:tcPr>
            <w:tcW w:w="996" w:type="dxa"/>
            <w:shd w:val="clear" w:color="auto" w:fill="auto"/>
            <w:vAlign w:val="bottom"/>
          </w:tcPr>
          <w:p w14:paraId="5066365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0,41</w:t>
            </w:r>
          </w:p>
        </w:tc>
      </w:tr>
      <w:tr w:rsidR="00A9361D" w14:paraId="040B2725" w14:textId="77777777">
        <w:trPr>
          <w:trHeight w:val="284"/>
        </w:trPr>
        <w:tc>
          <w:tcPr>
            <w:tcW w:w="3851" w:type="dxa"/>
            <w:shd w:val="clear" w:color="auto" w:fill="auto"/>
            <w:vAlign w:val="center"/>
          </w:tcPr>
          <w:p w14:paraId="1165AED5"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Seguro-desemprego</w:t>
            </w:r>
          </w:p>
        </w:tc>
        <w:tc>
          <w:tcPr>
            <w:tcW w:w="649" w:type="dxa"/>
            <w:shd w:val="clear" w:color="auto" w:fill="auto"/>
            <w:vAlign w:val="bottom"/>
          </w:tcPr>
          <w:p w14:paraId="04F0D9F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650" w:type="dxa"/>
            <w:shd w:val="clear" w:color="auto" w:fill="auto"/>
            <w:vAlign w:val="bottom"/>
          </w:tcPr>
          <w:p w14:paraId="26E61E70"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-0,18</w:t>
            </w:r>
          </w:p>
        </w:tc>
        <w:tc>
          <w:tcPr>
            <w:tcW w:w="664" w:type="dxa"/>
            <w:shd w:val="clear" w:color="auto" w:fill="auto"/>
            <w:vAlign w:val="bottom"/>
          </w:tcPr>
          <w:p w14:paraId="652A7C6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-0,12</w:t>
            </w:r>
          </w:p>
        </w:tc>
        <w:tc>
          <w:tcPr>
            <w:tcW w:w="722" w:type="dxa"/>
            <w:shd w:val="clear" w:color="auto" w:fill="auto"/>
            <w:vAlign w:val="bottom"/>
          </w:tcPr>
          <w:p w14:paraId="29F2C9A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0,01</w:t>
            </w:r>
          </w:p>
        </w:tc>
        <w:tc>
          <w:tcPr>
            <w:tcW w:w="980" w:type="dxa"/>
            <w:shd w:val="clear" w:color="auto" w:fill="auto"/>
            <w:vAlign w:val="bottom"/>
          </w:tcPr>
          <w:p w14:paraId="622F679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-0,12</w:t>
            </w:r>
          </w:p>
        </w:tc>
        <w:tc>
          <w:tcPr>
            <w:tcW w:w="849" w:type="dxa"/>
            <w:shd w:val="clear" w:color="auto" w:fill="auto"/>
            <w:vAlign w:val="bottom"/>
          </w:tcPr>
          <w:p w14:paraId="4FA59D6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-0,01</w:t>
            </w:r>
          </w:p>
        </w:tc>
        <w:tc>
          <w:tcPr>
            <w:tcW w:w="996" w:type="dxa"/>
            <w:shd w:val="clear" w:color="auto" w:fill="auto"/>
            <w:vAlign w:val="bottom"/>
          </w:tcPr>
          <w:p w14:paraId="1F93CC2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0,00</w:t>
            </w:r>
          </w:p>
        </w:tc>
      </w:tr>
      <w:tr w:rsidR="00A9361D" w14:paraId="78480F01" w14:textId="77777777">
        <w:trPr>
          <w:trHeight w:val="284"/>
        </w:trPr>
        <w:tc>
          <w:tcPr>
            <w:tcW w:w="3851" w:type="dxa"/>
            <w:shd w:val="clear" w:color="auto" w:fill="auto"/>
            <w:vAlign w:val="center"/>
          </w:tcPr>
          <w:p w14:paraId="3AE97468"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Aluguel, arrendamento, aplicações financeiras etc.</w:t>
            </w:r>
          </w:p>
        </w:tc>
        <w:tc>
          <w:tcPr>
            <w:tcW w:w="649" w:type="dxa"/>
            <w:shd w:val="clear" w:color="auto" w:fill="auto"/>
            <w:vAlign w:val="bottom"/>
          </w:tcPr>
          <w:p w14:paraId="29239BF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-0,37</w:t>
            </w:r>
          </w:p>
        </w:tc>
        <w:tc>
          <w:tcPr>
            <w:tcW w:w="650" w:type="dxa"/>
            <w:shd w:val="clear" w:color="auto" w:fill="auto"/>
            <w:vAlign w:val="bottom"/>
          </w:tcPr>
          <w:p w14:paraId="56221E14"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-0,36</w:t>
            </w:r>
          </w:p>
        </w:tc>
        <w:tc>
          <w:tcPr>
            <w:tcW w:w="664" w:type="dxa"/>
            <w:shd w:val="clear" w:color="auto" w:fill="auto"/>
            <w:vAlign w:val="bottom"/>
          </w:tcPr>
          <w:p w14:paraId="75E8C19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-0,34</w:t>
            </w:r>
          </w:p>
        </w:tc>
        <w:tc>
          <w:tcPr>
            <w:tcW w:w="722" w:type="dxa"/>
            <w:shd w:val="clear" w:color="auto" w:fill="auto"/>
            <w:vAlign w:val="bottom"/>
          </w:tcPr>
          <w:p w14:paraId="7D571C3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-0,42</w:t>
            </w:r>
          </w:p>
        </w:tc>
        <w:tc>
          <w:tcPr>
            <w:tcW w:w="980" w:type="dxa"/>
            <w:shd w:val="clear" w:color="auto" w:fill="auto"/>
            <w:vAlign w:val="bottom"/>
          </w:tcPr>
          <w:p w14:paraId="11E22E8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-0,35</w:t>
            </w:r>
          </w:p>
        </w:tc>
        <w:tc>
          <w:tcPr>
            <w:tcW w:w="849" w:type="dxa"/>
            <w:shd w:val="clear" w:color="auto" w:fill="auto"/>
            <w:vAlign w:val="bottom"/>
          </w:tcPr>
          <w:p w14:paraId="2D2045C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c>
          <w:tcPr>
            <w:tcW w:w="996" w:type="dxa"/>
            <w:shd w:val="clear" w:color="auto" w:fill="auto"/>
            <w:vAlign w:val="bottom"/>
          </w:tcPr>
          <w:p w14:paraId="4A213DA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-0,28</w:t>
            </w:r>
          </w:p>
        </w:tc>
      </w:tr>
      <w:tr w:rsidR="00A9361D" w14:paraId="358D945C" w14:textId="77777777">
        <w:trPr>
          <w:trHeight w:val="284"/>
        </w:trPr>
        <w:tc>
          <w:tcPr>
            <w:tcW w:w="9361" w:type="dxa"/>
            <w:gridSpan w:val="8"/>
            <w:tcBorders>
              <w:top w:val="single" w:sz="4" w:space="0" w:color="000000"/>
              <w:bottom w:val="single" w:sz="4" w:space="0" w:color="000000"/>
            </w:tcBorders>
            <w:shd w:val="clear" w:color="auto" w:fill="auto"/>
            <w:vAlign w:val="center"/>
          </w:tcPr>
          <w:p w14:paraId="7F748E8C" w14:textId="77777777" w:rsidR="00A9361D" w:rsidRDefault="00000000">
            <w:pPr>
              <w:spacing w:after="0" w:line="240" w:lineRule="auto"/>
              <w:jc w:val="center"/>
              <w:rPr>
                <w:rFonts w:ascii="Times New Roman" w:eastAsia="Times New Roman" w:hAnsi="Times New Roman" w:cs="Times New Roman"/>
                <w:b/>
                <w:bCs/>
                <w:color w:val="000000"/>
                <w:sz w:val="18"/>
                <w:szCs w:val="18"/>
                <w:lang w:eastAsia="pt-BR"/>
              </w:rPr>
            </w:pPr>
            <w:r>
              <w:rPr>
                <w:rFonts w:ascii="Times New Roman" w:eastAsia="Times New Roman" w:hAnsi="Times New Roman" w:cs="Times New Roman"/>
                <w:b/>
                <w:bCs/>
                <w:color w:val="000000"/>
                <w:sz w:val="18"/>
                <w:szCs w:val="18"/>
                <w:lang w:eastAsia="pt-BR"/>
              </w:rPr>
              <w:t>Piauí</w:t>
            </w:r>
          </w:p>
        </w:tc>
      </w:tr>
      <w:tr w:rsidR="00A9361D" w14:paraId="3C369413" w14:textId="77777777">
        <w:trPr>
          <w:trHeight w:val="284"/>
        </w:trPr>
        <w:tc>
          <w:tcPr>
            <w:tcW w:w="3851" w:type="dxa"/>
            <w:shd w:val="clear" w:color="auto" w:fill="auto"/>
            <w:vAlign w:val="center"/>
          </w:tcPr>
          <w:p w14:paraId="13815EDF"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Todos os trabalhos</w:t>
            </w:r>
          </w:p>
        </w:tc>
        <w:tc>
          <w:tcPr>
            <w:tcW w:w="649" w:type="dxa"/>
            <w:shd w:val="clear" w:color="auto" w:fill="auto"/>
            <w:vAlign w:val="bottom"/>
          </w:tcPr>
          <w:p w14:paraId="6521557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-0,18</w:t>
            </w:r>
          </w:p>
        </w:tc>
        <w:tc>
          <w:tcPr>
            <w:tcW w:w="650" w:type="dxa"/>
            <w:shd w:val="clear" w:color="auto" w:fill="auto"/>
            <w:vAlign w:val="center"/>
          </w:tcPr>
          <w:p w14:paraId="4AD9C3BA"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-0,17</w:t>
            </w:r>
          </w:p>
        </w:tc>
        <w:tc>
          <w:tcPr>
            <w:tcW w:w="664" w:type="dxa"/>
            <w:shd w:val="clear" w:color="auto" w:fill="auto"/>
            <w:vAlign w:val="bottom"/>
          </w:tcPr>
          <w:p w14:paraId="1F36813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722" w:type="dxa"/>
            <w:shd w:val="clear" w:color="auto" w:fill="auto"/>
            <w:vAlign w:val="center"/>
          </w:tcPr>
          <w:p w14:paraId="0907581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-0,18</w:t>
            </w:r>
          </w:p>
        </w:tc>
        <w:tc>
          <w:tcPr>
            <w:tcW w:w="980" w:type="dxa"/>
            <w:shd w:val="clear" w:color="auto" w:fill="auto"/>
            <w:vAlign w:val="bottom"/>
          </w:tcPr>
          <w:p w14:paraId="79CA7C8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-0,17</w:t>
            </w:r>
          </w:p>
        </w:tc>
        <w:tc>
          <w:tcPr>
            <w:tcW w:w="849" w:type="dxa"/>
            <w:shd w:val="clear" w:color="auto" w:fill="auto"/>
            <w:vAlign w:val="bottom"/>
          </w:tcPr>
          <w:p w14:paraId="68177C7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-0,12</w:t>
            </w:r>
          </w:p>
        </w:tc>
        <w:tc>
          <w:tcPr>
            <w:tcW w:w="996" w:type="dxa"/>
            <w:shd w:val="clear" w:color="auto" w:fill="auto"/>
            <w:vAlign w:val="bottom"/>
          </w:tcPr>
          <w:p w14:paraId="680FAB9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r>
      <w:tr w:rsidR="00A9361D" w14:paraId="00CA28F0" w14:textId="77777777">
        <w:trPr>
          <w:trHeight w:val="284"/>
        </w:trPr>
        <w:tc>
          <w:tcPr>
            <w:tcW w:w="3851" w:type="dxa"/>
            <w:shd w:val="clear" w:color="auto" w:fill="auto"/>
            <w:vAlign w:val="center"/>
          </w:tcPr>
          <w:p w14:paraId="14DB7D0A"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Aposentadorias e pensões</w:t>
            </w:r>
          </w:p>
        </w:tc>
        <w:tc>
          <w:tcPr>
            <w:tcW w:w="649" w:type="dxa"/>
            <w:shd w:val="clear" w:color="auto" w:fill="auto"/>
            <w:vAlign w:val="bottom"/>
          </w:tcPr>
          <w:p w14:paraId="43589DD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-0,07</w:t>
            </w:r>
          </w:p>
        </w:tc>
        <w:tc>
          <w:tcPr>
            <w:tcW w:w="650" w:type="dxa"/>
            <w:shd w:val="clear" w:color="auto" w:fill="auto"/>
            <w:vAlign w:val="center"/>
          </w:tcPr>
          <w:p w14:paraId="39ABCCDF"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-0,11</w:t>
            </w:r>
          </w:p>
        </w:tc>
        <w:tc>
          <w:tcPr>
            <w:tcW w:w="664" w:type="dxa"/>
            <w:shd w:val="clear" w:color="auto" w:fill="auto"/>
            <w:vAlign w:val="bottom"/>
          </w:tcPr>
          <w:p w14:paraId="0EDF4E5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-0,11</w:t>
            </w:r>
          </w:p>
        </w:tc>
        <w:tc>
          <w:tcPr>
            <w:tcW w:w="722" w:type="dxa"/>
            <w:shd w:val="clear" w:color="auto" w:fill="auto"/>
            <w:vAlign w:val="center"/>
          </w:tcPr>
          <w:p w14:paraId="27CD5CD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980" w:type="dxa"/>
            <w:shd w:val="clear" w:color="auto" w:fill="auto"/>
            <w:vAlign w:val="bottom"/>
          </w:tcPr>
          <w:p w14:paraId="0C6E5F0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-0,08</w:t>
            </w:r>
          </w:p>
        </w:tc>
        <w:tc>
          <w:tcPr>
            <w:tcW w:w="849" w:type="dxa"/>
            <w:shd w:val="clear" w:color="auto" w:fill="auto"/>
            <w:vAlign w:val="bottom"/>
          </w:tcPr>
          <w:p w14:paraId="01410DC7"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-0,06</w:t>
            </w:r>
          </w:p>
        </w:tc>
        <w:tc>
          <w:tcPr>
            <w:tcW w:w="996" w:type="dxa"/>
            <w:shd w:val="clear" w:color="auto" w:fill="auto"/>
            <w:vAlign w:val="bottom"/>
          </w:tcPr>
          <w:p w14:paraId="37BA4A89"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-0,05</w:t>
            </w:r>
          </w:p>
        </w:tc>
      </w:tr>
      <w:tr w:rsidR="00A9361D" w14:paraId="53CA531D" w14:textId="77777777">
        <w:trPr>
          <w:trHeight w:val="284"/>
        </w:trPr>
        <w:tc>
          <w:tcPr>
            <w:tcW w:w="3851" w:type="dxa"/>
            <w:shd w:val="clear" w:color="auto" w:fill="auto"/>
            <w:vAlign w:val="center"/>
          </w:tcPr>
          <w:p w14:paraId="669142D9"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Doação, pensão alimentícia ou mesada</w:t>
            </w:r>
          </w:p>
        </w:tc>
        <w:tc>
          <w:tcPr>
            <w:tcW w:w="649" w:type="dxa"/>
            <w:shd w:val="clear" w:color="auto" w:fill="auto"/>
            <w:vAlign w:val="bottom"/>
          </w:tcPr>
          <w:p w14:paraId="6DBE597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0,03</w:t>
            </w:r>
          </w:p>
        </w:tc>
        <w:tc>
          <w:tcPr>
            <w:tcW w:w="650" w:type="dxa"/>
            <w:shd w:val="clear" w:color="auto" w:fill="auto"/>
            <w:vAlign w:val="center"/>
          </w:tcPr>
          <w:p w14:paraId="3A7C3A33"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-0,04</w:t>
            </w:r>
          </w:p>
        </w:tc>
        <w:tc>
          <w:tcPr>
            <w:tcW w:w="664" w:type="dxa"/>
            <w:shd w:val="clear" w:color="auto" w:fill="auto"/>
            <w:vAlign w:val="bottom"/>
          </w:tcPr>
          <w:p w14:paraId="4AD1811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0,04</w:t>
            </w:r>
          </w:p>
        </w:tc>
        <w:tc>
          <w:tcPr>
            <w:tcW w:w="722" w:type="dxa"/>
            <w:shd w:val="clear" w:color="auto" w:fill="auto"/>
            <w:vAlign w:val="center"/>
          </w:tcPr>
          <w:p w14:paraId="6251D23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0,04</w:t>
            </w:r>
          </w:p>
        </w:tc>
        <w:tc>
          <w:tcPr>
            <w:tcW w:w="980" w:type="dxa"/>
            <w:shd w:val="clear" w:color="auto" w:fill="auto"/>
            <w:vAlign w:val="bottom"/>
          </w:tcPr>
          <w:p w14:paraId="77F9EAF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-0,03</w:t>
            </w:r>
          </w:p>
        </w:tc>
        <w:tc>
          <w:tcPr>
            <w:tcW w:w="849" w:type="dxa"/>
            <w:shd w:val="clear" w:color="auto" w:fill="auto"/>
            <w:vAlign w:val="bottom"/>
          </w:tcPr>
          <w:p w14:paraId="49B8941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0,08</w:t>
            </w:r>
          </w:p>
        </w:tc>
        <w:tc>
          <w:tcPr>
            <w:tcW w:w="996" w:type="dxa"/>
            <w:shd w:val="clear" w:color="auto" w:fill="auto"/>
            <w:vAlign w:val="bottom"/>
          </w:tcPr>
          <w:p w14:paraId="49155E2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0,04</w:t>
            </w:r>
          </w:p>
        </w:tc>
      </w:tr>
      <w:tr w:rsidR="00A9361D" w14:paraId="5FBB4DC4" w14:textId="77777777">
        <w:trPr>
          <w:trHeight w:val="284"/>
        </w:trPr>
        <w:tc>
          <w:tcPr>
            <w:tcW w:w="3851" w:type="dxa"/>
            <w:shd w:val="clear" w:color="auto" w:fill="auto"/>
            <w:vAlign w:val="center"/>
          </w:tcPr>
          <w:p w14:paraId="13E361EB"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Bolsa Família</w:t>
            </w:r>
          </w:p>
        </w:tc>
        <w:tc>
          <w:tcPr>
            <w:tcW w:w="649" w:type="dxa"/>
            <w:shd w:val="clear" w:color="auto" w:fill="auto"/>
            <w:vAlign w:val="bottom"/>
          </w:tcPr>
          <w:p w14:paraId="15303AC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0,69</w:t>
            </w:r>
          </w:p>
        </w:tc>
        <w:tc>
          <w:tcPr>
            <w:tcW w:w="650" w:type="dxa"/>
            <w:shd w:val="clear" w:color="auto" w:fill="auto"/>
            <w:vAlign w:val="center"/>
          </w:tcPr>
          <w:p w14:paraId="764CC0C8"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0,69</w:t>
            </w:r>
          </w:p>
        </w:tc>
        <w:tc>
          <w:tcPr>
            <w:tcW w:w="664" w:type="dxa"/>
            <w:shd w:val="clear" w:color="auto" w:fill="auto"/>
            <w:vAlign w:val="bottom"/>
          </w:tcPr>
          <w:p w14:paraId="798CB196"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0,72</w:t>
            </w:r>
          </w:p>
        </w:tc>
        <w:tc>
          <w:tcPr>
            <w:tcW w:w="722" w:type="dxa"/>
            <w:shd w:val="clear" w:color="auto" w:fill="auto"/>
            <w:vAlign w:val="center"/>
          </w:tcPr>
          <w:p w14:paraId="2585CE4A"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0,71</w:t>
            </w:r>
          </w:p>
        </w:tc>
        <w:tc>
          <w:tcPr>
            <w:tcW w:w="980" w:type="dxa"/>
            <w:shd w:val="clear" w:color="auto" w:fill="auto"/>
            <w:vAlign w:val="bottom"/>
          </w:tcPr>
          <w:p w14:paraId="1947BE0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0,63</w:t>
            </w:r>
          </w:p>
        </w:tc>
        <w:tc>
          <w:tcPr>
            <w:tcW w:w="849" w:type="dxa"/>
            <w:shd w:val="clear" w:color="auto" w:fill="auto"/>
            <w:vAlign w:val="bottom"/>
          </w:tcPr>
          <w:p w14:paraId="705207E1"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0,93</w:t>
            </w:r>
          </w:p>
        </w:tc>
        <w:tc>
          <w:tcPr>
            <w:tcW w:w="996" w:type="dxa"/>
            <w:shd w:val="clear" w:color="auto" w:fill="auto"/>
            <w:vAlign w:val="bottom"/>
          </w:tcPr>
          <w:p w14:paraId="16052DD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0,96</w:t>
            </w:r>
          </w:p>
        </w:tc>
      </w:tr>
      <w:tr w:rsidR="00A9361D" w14:paraId="5EBA436D" w14:textId="77777777">
        <w:trPr>
          <w:trHeight w:val="284"/>
        </w:trPr>
        <w:tc>
          <w:tcPr>
            <w:tcW w:w="3851" w:type="dxa"/>
            <w:shd w:val="clear" w:color="auto" w:fill="auto"/>
            <w:vAlign w:val="center"/>
          </w:tcPr>
          <w:p w14:paraId="2FA343CD"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BPC-LOAS</w:t>
            </w:r>
          </w:p>
        </w:tc>
        <w:tc>
          <w:tcPr>
            <w:tcW w:w="649" w:type="dxa"/>
            <w:shd w:val="clear" w:color="auto" w:fill="auto"/>
            <w:vAlign w:val="bottom"/>
          </w:tcPr>
          <w:p w14:paraId="256CE30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0,32</w:t>
            </w:r>
          </w:p>
        </w:tc>
        <w:tc>
          <w:tcPr>
            <w:tcW w:w="650" w:type="dxa"/>
            <w:shd w:val="clear" w:color="auto" w:fill="auto"/>
            <w:vAlign w:val="center"/>
          </w:tcPr>
          <w:p w14:paraId="5D4DFE99"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0,26</w:t>
            </w:r>
          </w:p>
        </w:tc>
        <w:tc>
          <w:tcPr>
            <w:tcW w:w="664" w:type="dxa"/>
            <w:shd w:val="clear" w:color="auto" w:fill="auto"/>
            <w:vAlign w:val="bottom"/>
          </w:tcPr>
          <w:p w14:paraId="142D0DE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0,29</w:t>
            </w:r>
          </w:p>
        </w:tc>
        <w:tc>
          <w:tcPr>
            <w:tcW w:w="722" w:type="dxa"/>
            <w:shd w:val="clear" w:color="auto" w:fill="auto"/>
            <w:vAlign w:val="center"/>
          </w:tcPr>
          <w:p w14:paraId="1F79F922"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0,33</w:t>
            </w:r>
          </w:p>
        </w:tc>
        <w:tc>
          <w:tcPr>
            <w:tcW w:w="980" w:type="dxa"/>
            <w:shd w:val="clear" w:color="auto" w:fill="auto"/>
            <w:vAlign w:val="bottom"/>
          </w:tcPr>
          <w:p w14:paraId="25574E0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0,37</w:t>
            </w:r>
          </w:p>
        </w:tc>
        <w:tc>
          <w:tcPr>
            <w:tcW w:w="849" w:type="dxa"/>
            <w:shd w:val="clear" w:color="auto" w:fill="auto"/>
            <w:vAlign w:val="bottom"/>
          </w:tcPr>
          <w:p w14:paraId="2158BFE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0,37</w:t>
            </w:r>
          </w:p>
        </w:tc>
        <w:tc>
          <w:tcPr>
            <w:tcW w:w="996" w:type="dxa"/>
            <w:shd w:val="clear" w:color="auto" w:fill="auto"/>
            <w:vAlign w:val="bottom"/>
          </w:tcPr>
          <w:p w14:paraId="64C7C41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0,37</w:t>
            </w:r>
          </w:p>
        </w:tc>
      </w:tr>
      <w:tr w:rsidR="00A9361D" w14:paraId="38318B42" w14:textId="77777777">
        <w:trPr>
          <w:trHeight w:val="284"/>
        </w:trPr>
        <w:tc>
          <w:tcPr>
            <w:tcW w:w="3851" w:type="dxa"/>
            <w:shd w:val="clear" w:color="auto" w:fill="auto"/>
            <w:vAlign w:val="center"/>
          </w:tcPr>
          <w:p w14:paraId="2AB998B9"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Auxílio Emergencial</w:t>
            </w:r>
          </w:p>
        </w:tc>
        <w:tc>
          <w:tcPr>
            <w:tcW w:w="649" w:type="dxa"/>
            <w:shd w:val="clear" w:color="auto" w:fill="auto"/>
            <w:vAlign w:val="bottom"/>
          </w:tcPr>
          <w:p w14:paraId="2D24A8C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0,51</w:t>
            </w:r>
          </w:p>
        </w:tc>
        <w:tc>
          <w:tcPr>
            <w:tcW w:w="650" w:type="dxa"/>
            <w:shd w:val="clear" w:color="auto" w:fill="auto"/>
            <w:vAlign w:val="center"/>
          </w:tcPr>
          <w:p w14:paraId="726CB821"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0,52</w:t>
            </w:r>
          </w:p>
        </w:tc>
        <w:tc>
          <w:tcPr>
            <w:tcW w:w="664" w:type="dxa"/>
            <w:shd w:val="clear" w:color="auto" w:fill="auto"/>
            <w:vAlign w:val="bottom"/>
          </w:tcPr>
          <w:p w14:paraId="4FE0CD43"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0,52</w:t>
            </w:r>
          </w:p>
        </w:tc>
        <w:tc>
          <w:tcPr>
            <w:tcW w:w="722" w:type="dxa"/>
            <w:shd w:val="clear" w:color="auto" w:fill="auto"/>
            <w:vAlign w:val="center"/>
          </w:tcPr>
          <w:p w14:paraId="7E2F662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0,53</w:t>
            </w:r>
          </w:p>
        </w:tc>
        <w:tc>
          <w:tcPr>
            <w:tcW w:w="980" w:type="dxa"/>
            <w:shd w:val="clear" w:color="auto" w:fill="auto"/>
            <w:vAlign w:val="bottom"/>
          </w:tcPr>
          <w:p w14:paraId="7B6F6FDC"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0,52</w:t>
            </w:r>
          </w:p>
        </w:tc>
        <w:tc>
          <w:tcPr>
            <w:tcW w:w="849" w:type="dxa"/>
            <w:shd w:val="clear" w:color="auto" w:fill="auto"/>
            <w:vAlign w:val="bottom"/>
          </w:tcPr>
          <w:p w14:paraId="7D234F0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0,54</w:t>
            </w:r>
          </w:p>
        </w:tc>
        <w:tc>
          <w:tcPr>
            <w:tcW w:w="996" w:type="dxa"/>
            <w:shd w:val="clear" w:color="auto" w:fill="auto"/>
            <w:vAlign w:val="bottom"/>
          </w:tcPr>
          <w:p w14:paraId="4E9B55A5"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0,59</w:t>
            </w:r>
          </w:p>
        </w:tc>
      </w:tr>
      <w:tr w:rsidR="00A9361D" w14:paraId="23C6B8F5" w14:textId="77777777">
        <w:trPr>
          <w:trHeight w:val="284"/>
        </w:trPr>
        <w:tc>
          <w:tcPr>
            <w:tcW w:w="3851" w:type="dxa"/>
            <w:shd w:val="clear" w:color="auto" w:fill="auto"/>
            <w:vAlign w:val="center"/>
          </w:tcPr>
          <w:p w14:paraId="5FB84787"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Seguro-desemprego</w:t>
            </w:r>
          </w:p>
        </w:tc>
        <w:tc>
          <w:tcPr>
            <w:tcW w:w="649" w:type="dxa"/>
            <w:shd w:val="clear" w:color="auto" w:fill="auto"/>
            <w:vAlign w:val="bottom"/>
          </w:tcPr>
          <w:p w14:paraId="3B9CFD1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0,18</w:t>
            </w:r>
          </w:p>
        </w:tc>
        <w:tc>
          <w:tcPr>
            <w:tcW w:w="650" w:type="dxa"/>
            <w:shd w:val="clear" w:color="auto" w:fill="auto"/>
            <w:vAlign w:val="center"/>
          </w:tcPr>
          <w:p w14:paraId="10A6C057"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-0,02</w:t>
            </w:r>
          </w:p>
        </w:tc>
        <w:tc>
          <w:tcPr>
            <w:tcW w:w="664" w:type="dxa"/>
            <w:shd w:val="clear" w:color="auto" w:fill="auto"/>
            <w:vAlign w:val="bottom"/>
          </w:tcPr>
          <w:p w14:paraId="682D80A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-0,02</w:t>
            </w:r>
          </w:p>
        </w:tc>
        <w:tc>
          <w:tcPr>
            <w:tcW w:w="722" w:type="dxa"/>
            <w:shd w:val="clear" w:color="auto" w:fill="auto"/>
            <w:vAlign w:val="center"/>
          </w:tcPr>
          <w:p w14:paraId="34AE5A18"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0,02</w:t>
            </w:r>
          </w:p>
        </w:tc>
        <w:tc>
          <w:tcPr>
            <w:tcW w:w="980" w:type="dxa"/>
            <w:shd w:val="clear" w:color="auto" w:fill="auto"/>
            <w:vAlign w:val="bottom"/>
          </w:tcPr>
          <w:p w14:paraId="1FC31E1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-0,09</w:t>
            </w:r>
          </w:p>
        </w:tc>
        <w:tc>
          <w:tcPr>
            <w:tcW w:w="849" w:type="dxa"/>
            <w:shd w:val="clear" w:color="auto" w:fill="auto"/>
            <w:vAlign w:val="bottom"/>
          </w:tcPr>
          <w:p w14:paraId="1B671EB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0,18</w:t>
            </w:r>
          </w:p>
        </w:tc>
        <w:tc>
          <w:tcPr>
            <w:tcW w:w="996" w:type="dxa"/>
            <w:shd w:val="clear" w:color="auto" w:fill="auto"/>
            <w:vAlign w:val="bottom"/>
          </w:tcPr>
          <w:p w14:paraId="5E13418D"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0,18</w:t>
            </w:r>
          </w:p>
        </w:tc>
      </w:tr>
      <w:tr w:rsidR="00A9361D" w14:paraId="403D67EF" w14:textId="77777777">
        <w:trPr>
          <w:trHeight w:val="284"/>
        </w:trPr>
        <w:tc>
          <w:tcPr>
            <w:tcW w:w="3851" w:type="dxa"/>
            <w:tcBorders>
              <w:bottom w:val="single" w:sz="4" w:space="0" w:color="000000"/>
            </w:tcBorders>
            <w:shd w:val="clear" w:color="auto" w:fill="auto"/>
            <w:vAlign w:val="center"/>
          </w:tcPr>
          <w:p w14:paraId="19B256B7" w14:textId="77777777" w:rsidR="00A9361D" w:rsidRDefault="00000000">
            <w:pPr>
              <w:spacing w:after="0" w:line="240" w:lineRule="auto"/>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Aluguel, arrendamento, aplicações financeiras etc.</w:t>
            </w:r>
          </w:p>
        </w:tc>
        <w:tc>
          <w:tcPr>
            <w:tcW w:w="649" w:type="dxa"/>
            <w:tcBorders>
              <w:bottom w:val="single" w:sz="4" w:space="0" w:color="000000"/>
            </w:tcBorders>
            <w:shd w:val="clear" w:color="auto" w:fill="auto"/>
            <w:vAlign w:val="bottom"/>
          </w:tcPr>
          <w:p w14:paraId="69B5576F"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-0,33</w:t>
            </w:r>
          </w:p>
        </w:tc>
        <w:tc>
          <w:tcPr>
            <w:tcW w:w="650" w:type="dxa"/>
            <w:tcBorders>
              <w:bottom w:val="single" w:sz="4" w:space="0" w:color="000000"/>
            </w:tcBorders>
            <w:shd w:val="clear" w:color="auto" w:fill="auto"/>
            <w:vAlign w:val="bottom"/>
          </w:tcPr>
          <w:p w14:paraId="6CE83CED" w14:textId="77777777" w:rsidR="00A9361D" w:rsidRDefault="00000000">
            <w:pPr>
              <w:spacing w:after="0" w:line="240" w:lineRule="auto"/>
              <w:jc w:val="center"/>
              <w:rPr>
                <w:rFonts w:ascii="Times New t" w:eastAsia="Times New Roman" w:hAnsi="Times New t" w:cs="Calibri"/>
                <w:color w:val="000000"/>
                <w:sz w:val="18"/>
                <w:szCs w:val="18"/>
                <w:lang w:eastAsia="pt-BR"/>
              </w:rPr>
            </w:pPr>
            <w:r>
              <w:rPr>
                <w:rFonts w:ascii="Times New t" w:eastAsia="Times New Roman" w:hAnsi="Times New t" w:cs="Calibri"/>
                <w:color w:val="000000"/>
                <w:sz w:val="18"/>
                <w:szCs w:val="18"/>
                <w:lang w:eastAsia="pt-BR"/>
              </w:rPr>
              <w:t>-0,28</w:t>
            </w:r>
          </w:p>
        </w:tc>
        <w:tc>
          <w:tcPr>
            <w:tcW w:w="664" w:type="dxa"/>
            <w:tcBorders>
              <w:bottom w:val="single" w:sz="4" w:space="0" w:color="000000"/>
            </w:tcBorders>
            <w:shd w:val="clear" w:color="auto" w:fill="auto"/>
            <w:vAlign w:val="bottom"/>
          </w:tcPr>
          <w:p w14:paraId="247636C0"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-0,34</w:t>
            </w:r>
          </w:p>
        </w:tc>
        <w:tc>
          <w:tcPr>
            <w:tcW w:w="722" w:type="dxa"/>
            <w:tcBorders>
              <w:bottom w:val="single" w:sz="4" w:space="0" w:color="000000"/>
            </w:tcBorders>
            <w:shd w:val="clear" w:color="auto" w:fill="auto"/>
            <w:vAlign w:val="bottom"/>
          </w:tcPr>
          <w:p w14:paraId="661F37E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-0,29</w:t>
            </w:r>
          </w:p>
        </w:tc>
        <w:tc>
          <w:tcPr>
            <w:tcW w:w="980" w:type="dxa"/>
            <w:tcBorders>
              <w:bottom w:val="single" w:sz="4" w:space="0" w:color="000000"/>
            </w:tcBorders>
            <w:shd w:val="clear" w:color="auto" w:fill="auto"/>
            <w:vAlign w:val="bottom"/>
          </w:tcPr>
          <w:p w14:paraId="56B0255B"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-0,33</w:t>
            </w:r>
          </w:p>
        </w:tc>
        <w:tc>
          <w:tcPr>
            <w:tcW w:w="849" w:type="dxa"/>
            <w:tcBorders>
              <w:bottom w:val="single" w:sz="4" w:space="0" w:color="000000"/>
            </w:tcBorders>
            <w:shd w:val="clear" w:color="auto" w:fill="auto"/>
            <w:vAlign w:val="bottom"/>
          </w:tcPr>
          <w:p w14:paraId="3E95F3BE"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-0,28</w:t>
            </w:r>
          </w:p>
        </w:tc>
        <w:tc>
          <w:tcPr>
            <w:tcW w:w="996" w:type="dxa"/>
            <w:tcBorders>
              <w:bottom w:val="single" w:sz="4" w:space="0" w:color="000000"/>
            </w:tcBorders>
            <w:shd w:val="clear" w:color="auto" w:fill="auto"/>
            <w:vAlign w:val="bottom"/>
          </w:tcPr>
          <w:p w14:paraId="19B49824" w14:textId="77777777" w:rsidR="00A9361D" w:rsidRDefault="00000000">
            <w:pPr>
              <w:spacing w:after="0" w:line="240" w:lineRule="auto"/>
              <w:jc w:val="center"/>
              <w:rPr>
                <w:rFonts w:ascii="Times New Roman" w:eastAsia="Times New Roman" w:hAnsi="Times New Roman" w:cs="Times New Roman"/>
                <w:color w:val="000000"/>
                <w:sz w:val="18"/>
                <w:szCs w:val="18"/>
                <w:lang w:eastAsia="pt-BR"/>
              </w:rPr>
            </w:pPr>
            <w:r>
              <w:rPr>
                <w:rFonts w:ascii="Times New Roman" w:eastAsia="Times New Roman" w:hAnsi="Times New Roman" w:cs="Times New Roman"/>
                <w:color w:val="000000"/>
                <w:sz w:val="18"/>
                <w:szCs w:val="18"/>
                <w:lang w:eastAsia="pt-BR"/>
              </w:rPr>
              <w:t>-0,25</w:t>
            </w:r>
          </w:p>
        </w:tc>
      </w:tr>
    </w:tbl>
    <w:p w14:paraId="0EC900E9" w14:textId="77777777" w:rsidR="00A9361D" w:rsidRDefault="00000000">
      <w:pPr>
        <w:rPr>
          <w:rFonts w:ascii="Times New Roman" w:hAnsi="Times New Roman" w:cs="Times New Roman"/>
        </w:rPr>
      </w:pPr>
      <w:r>
        <w:rPr>
          <w:rFonts w:ascii="Times New Roman" w:hAnsi="Times New Roman"/>
          <w:iCs/>
          <w:sz w:val="20"/>
          <w:szCs w:val="20"/>
        </w:rPr>
        <w:t>Fonte: PNAD COVID19. Elaboração própria.</w:t>
      </w:r>
      <w:r>
        <w:rPr>
          <w:rFonts w:ascii="Times New Roman" w:hAnsi="Times New Roman" w:cs="Times New Roman"/>
          <w:sz w:val="24"/>
          <w:szCs w:val="24"/>
        </w:rPr>
        <w:tab/>
      </w:r>
    </w:p>
    <w:p w14:paraId="5034B041" w14:textId="77777777" w:rsidR="00A9361D" w:rsidRDefault="00A9361D"/>
    <w:p w14:paraId="105A7DA4" w14:textId="77777777" w:rsidR="00A9361D" w:rsidRDefault="00000000">
      <w:pPr>
        <w:pStyle w:val="PargrafodaLista"/>
        <w:numPr>
          <w:ilvl w:val="0"/>
          <w:numId w:val="8"/>
        </w:numPr>
        <w:ind w:left="1276" w:hanging="578"/>
        <w:outlineLvl w:val="2"/>
        <w:rPr>
          <w:i/>
          <w:iCs/>
        </w:rPr>
      </w:pPr>
      <w:bookmarkStart w:id="16" w:name="_Toc106375344"/>
      <w:r>
        <w:rPr>
          <w:rFonts w:ascii="Times New Roman" w:hAnsi="Times New Roman" w:cs="Times New Roman"/>
          <w:i/>
          <w:iCs/>
          <w:sz w:val="24"/>
          <w:szCs w:val="24"/>
        </w:rPr>
        <w:lastRenderedPageBreak/>
        <w:t>Sergipe, Alagoas, Paraíba e Rio Grande do Norte</w:t>
      </w:r>
      <w:bookmarkEnd w:id="16"/>
    </w:p>
    <w:p w14:paraId="7A92AFC0"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estados de Sergipe, Alagoas, Paraíba e Rio Grande do Norte também seguem a dinâmica regional e dos estados já analisados anteriormente de maior participação dos rendimentos de todos os trabalhos no total da renda e de grande importância do AE durante o período de maio a novembro de 2020. </w:t>
      </w:r>
    </w:p>
    <w:p w14:paraId="686D5B46"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Alagoas, o peso relativo da fonte de rendimento do auxílio emergencial (AE) é mais próximo do observado no recorde dos estados do Maranhão e Piauí, chegando a ser superior ao do Piauí em todo o período e ao do Maranhão em outubro e novembro. O estado de Alagoas também apresenta uma participação do AE comparativamente maior que a média regional em todo período, com ênfase para o mês de agosto (24,8% em AL contra 20,3% no NE), o que evidencia que, assim como visto no Maranhão, o estado de Alagoas apresenta uma condição de maior vulnerabilidade da sua população, quando comparado à dos demais estados do Nordeste. </w:t>
      </w:r>
    </w:p>
    <w:p w14:paraId="46537674" w14:textId="77777777" w:rsidR="00A9361D"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No que se refere ao rendimento de todos os trabalhos, Alagoas seguiu perdendo participação dessa fonte de rendimento até agosto e só começa a recuperar de maneira mais ativa a partir de setembro (Gráfico 9). </w:t>
      </w:r>
      <w:bookmarkStart w:id="17" w:name="_Toc106375474"/>
    </w:p>
    <w:p w14:paraId="0AF41ACF" w14:textId="77777777" w:rsidR="00A9361D" w:rsidRDefault="00A9361D">
      <w:pPr>
        <w:spacing w:after="0" w:line="360" w:lineRule="auto"/>
        <w:jc w:val="both"/>
        <w:rPr>
          <w:rFonts w:ascii="Times New Roman" w:hAnsi="Times New Roman" w:cs="Times New Roman"/>
          <w:sz w:val="24"/>
          <w:szCs w:val="24"/>
        </w:rPr>
      </w:pPr>
    </w:p>
    <w:p w14:paraId="51B5226F" w14:textId="62A76E09" w:rsidR="00A9361D" w:rsidRDefault="00000000">
      <w:pPr>
        <w:pStyle w:val="Legenda"/>
      </w:pPr>
      <w:r>
        <w:t>Gráfico 9 - Alagoas: Peso relativo de cada parcela no total da renda segundo suas diferentes fontes (%), de maio a novembro de 2020</w:t>
      </w:r>
      <w:bookmarkEnd w:id="17"/>
    </w:p>
    <w:p w14:paraId="2CF6CEBF" w14:textId="77777777" w:rsidR="00A9361D" w:rsidRDefault="00000000">
      <w:pPr>
        <w:pStyle w:val="Legenda"/>
        <w:jc w:val="center"/>
        <w:rPr>
          <w:b w:val="0"/>
          <w:bCs/>
          <w:sz w:val="20"/>
          <w:szCs w:val="20"/>
        </w:rPr>
      </w:pPr>
      <w:r>
        <w:rPr>
          <w:noProof/>
        </w:rPr>
        <w:drawing>
          <wp:inline distT="0" distB="0" distL="0" distR="0" wp14:anchorId="4F361258" wp14:editId="686A9F0B">
            <wp:extent cx="5039995" cy="2160270"/>
            <wp:effectExtent l="0" t="0" r="0" b="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6647BC" w14:textId="77777777" w:rsidR="00A9361D" w:rsidRDefault="00000000">
      <w:pPr>
        <w:pStyle w:val="Legenda"/>
        <w:rPr>
          <w:b w:val="0"/>
          <w:bCs/>
          <w:sz w:val="20"/>
          <w:szCs w:val="20"/>
        </w:rPr>
      </w:pPr>
      <w:r>
        <w:rPr>
          <w:b w:val="0"/>
          <w:bCs/>
          <w:sz w:val="20"/>
          <w:szCs w:val="20"/>
        </w:rPr>
        <w:t>Fonte: PNAD COVID19. Elaboração própria.</w:t>
      </w:r>
    </w:p>
    <w:p w14:paraId="55DAC2AC" w14:textId="77777777" w:rsidR="00A9361D" w:rsidRDefault="00000000">
      <w:pPr>
        <w:spacing w:after="0" w:line="360" w:lineRule="auto"/>
        <w:ind w:firstLine="709"/>
        <w:jc w:val="both"/>
        <w:rPr>
          <w:rFonts w:ascii="Times New Roman" w:hAnsi="Times New Roman"/>
          <w:sz w:val="24"/>
          <w:szCs w:val="24"/>
        </w:rPr>
      </w:pPr>
      <w:r>
        <w:rPr>
          <w:rFonts w:ascii="Times New Roman" w:hAnsi="Times New Roman" w:cs="Times New Roman"/>
          <w:sz w:val="24"/>
          <w:szCs w:val="24"/>
        </w:rPr>
        <w:lastRenderedPageBreak/>
        <w:t xml:space="preserve">Em Sergipe, o maior peso relativo do rendimento do auxílio emergencial </w:t>
      </w:r>
      <w:r>
        <w:rPr>
          <w:rFonts w:ascii="Times New Roman" w:hAnsi="Times New Roman"/>
          <w:sz w:val="24"/>
          <w:szCs w:val="24"/>
        </w:rPr>
        <w:t>ocorreu no mês de julho (19,6% e 20,7% no NE), não sendo maior que a média regional. Este estado só inicia uma perda de participação dessa fonte de rendimento a partir do mês de agosto.</w:t>
      </w:r>
    </w:p>
    <w:p w14:paraId="446B3659" w14:textId="77777777" w:rsidR="00A9361D" w:rsidRDefault="00A9361D">
      <w:pPr>
        <w:spacing w:after="0" w:line="360" w:lineRule="auto"/>
        <w:ind w:firstLine="709"/>
        <w:jc w:val="both"/>
        <w:rPr>
          <w:rFonts w:ascii="Times New Roman" w:hAnsi="Times New Roman"/>
          <w:sz w:val="24"/>
          <w:szCs w:val="24"/>
        </w:rPr>
      </w:pPr>
    </w:p>
    <w:p w14:paraId="6010C374" w14:textId="32D236AB" w:rsidR="00A9361D" w:rsidRDefault="00000000">
      <w:pPr>
        <w:pStyle w:val="Legenda"/>
      </w:pPr>
      <w:bookmarkStart w:id="18" w:name="_Toc106375475"/>
      <w:r>
        <w:t>Gráfico 10 - Sergipe: Peso relativo de cada parcela no total da renda segundo suas diferentes fontes (%), de maio a novembro de 2020</w:t>
      </w:r>
      <w:bookmarkEnd w:id="18"/>
    </w:p>
    <w:p w14:paraId="7E273225" w14:textId="77777777" w:rsidR="00A9361D" w:rsidRDefault="00000000">
      <w:pPr>
        <w:pStyle w:val="Legenda"/>
        <w:jc w:val="center"/>
        <w:rPr>
          <w:b w:val="0"/>
          <w:bCs/>
          <w:sz w:val="20"/>
          <w:szCs w:val="20"/>
        </w:rPr>
      </w:pPr>
      <w:r>
        <w:rPr>
          <w:noProof/>
        </w:rPr>
        <w:drawing>
          <wp:inline distT="0" distB="0" distL="0" distR="0" wp14:anchorId="5D646A79" wp14:editId="705578FF">
            <wp:extent cx="5039995" cy="2160270"/>
            <wp:effectExtent l="0" t="0" r="0"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0BBC30E" w14:textId="77777777" w:rsidR="00A9361D" w:rsidRDefault="00000000">
      <w:pPr>
        <w:pStyle w:val="Legenda"/>
      </w:pPr>
      <w:r>
        <w:rPr>
          <w:b w:val="0"/>
          <w:bCs/>
          <w:sz w:val="20"/>
          <w:szCs w:val="20"/>
        </w:rPr>
        <w:t>Fonte: PNAD COVID19. Elaboração própria.</w:t>
      </w:r>
    </w:p>
    <w:p w14:paraId="7E36D59C" w14:textId="77777777" w:rsidR="00A9361D" w:rsidRDefault="00000000">
      <w:pPr>
        <w:spacing w:after="0" w:line="360" w:lineRule="auto"/>
        <w:ind w:firstLine="709"/>
        <w:jc w:val="both"/>
        <w:rPr>
          <w:rFonts w:ascii="Times New Roman" w:hAnsi="Times New Roman"/>
          <w:color w:val="000000" w:themeColor="text1"/>
          <w:sz w:val="24"/>
          <w:szCs w:val="24"/>
        </w:rPr>
      </w:pPr>
      <w:r>
        <w:rPr>
          <w:rFonts w:ascii="Times New Roman" w:hAnsi="Times New Roman" w:cs="Times New Roman"/>
          <w:color w:val="000000" w:themeColor="text1"/>
          <w:sz w:val="24"/>
          <w:szCs w:val="24"/>
        </w:rPr>
        <w:t xml:space="preserve">Na Paraíba, como na maioria dos estados nordestinos, o maior peso relativo do rendimento do auxílio emergencial </w:t>
      </w:r>
      <w:r>
        <w:rPr>
          <w:rFonts w:ascii="Times New Roman" w:hAnsi="Times New Roman"/>
          <w:color w:val="000000" w:themeColor="text1"/>
          <w:sz w:val="24"/>
          <w:szCs w:val="24"/>
        </w:rPr>
        <w:t>ocorreu no mês de junho (19% contra 20,9% NE). A participação do AE no total da renda na Paraíba não foi maior que a média regional entre maio e novembro de 2020. Esta fonte de rendimento começa a perder peso relativo a partir do mês de julho no estado, chegando a responder por apenas 9,8% em novembro (próximo aos 9,6% de PE, mas acima dos 8,6% do RN).</w:t>
      </w:r>
      <w:bookmarkStart w:id="19" w:name="_Toc106375476"/>
    </w:p>
    <w:p w14:paraId="18ADC699" w14:textId="77777777" w:rsidR="00A9361D" w:rsidRDefault="00A9361D">
      <w:pPr>
        <w:spacing w:after="0" w:line="360" w:lineRule="auto"/>
        <w:ind w:firstLine="709"/>
        <w:jc w:val="both"/>
        <w:rPr>
          <w:rFonts w:ascii="Times New Roman" w:hAnsi="Times New Roman"/>
          <w:color w:val="000000" w:themeColor="text1"/>
          <w:sz w:val="24"/>
          <w:szCs w:val="24"/>
        </w:rPr>
      </w:pPr>
    </w:p>
    <w:p w14:paraId="5309C011" w14:textId="77777777" w:rsidR="001F52DD" w:rsidRDefault="001F52DD">
      <w:pPr>
        <w:spacing w:after="0" w:line="240" w:lineRule="auto"/>
        <w:rPr>
          <w:rFonts w:ascii="Times New Roman" w:hAnsi="Times New Roman"/>
          <w:b/>
          <w:iCs/>
          <w:sz w:val="24"/>
          <w:szCs w:val="18"/>
        </w:rPr>
      </w:pPr>
      <w:r>
        <w:br w:type="page"/>
      </w:r>
    </w:p>
    <w:p w14:paraId="5DA8980C" w14:textId="3BC6C1E8" w:rsidR="00A9361D" w:rsidRDefault="00000000">
      <w:pPr>
        <w:pStyle w:val="Legenda"/>
      </w:pPr>
      <w:r>
        <w:lastRenderedPageBreak/>
        <w:t>Gráfico 11 - Paraíba: Peso relativo de cada parcela no total da renda segundo suas diferentes fontes (%), de maio a novembro de 2020</w:t>
      </w:r>
      <w:bookmarkEnd w:id="19"/>
    </w:p>
    <w:p w14:paraId="27DDF49B" w14:textId="77777777" w:rsidR="00A9361D" w:rsidRDefault="00000000">
      <w:pPr>
        <w:pStyle w:val="Legenda"/>
        <w:jc w:val="center"/>
        <w:rPr>
          <w:sz w:val="20"/>
          <w:szCs w:val="20"/>
        </w:rPr>
      </w:pPr>
      <w:r>
        <w:rPr>
          <w:noProof/>
        </w:rPr>
        <w:drawing>
          <wp:inline distT="0" distB="0" distL="0" distR="0" wp14:anchorId="1A0FD510" wp14:editId="6C6D7531">
            <wp:extent cx="5039995" cy="2160270"/>
            <wp:effectExtent l="0" t="0" r="0" b="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8FD9589" w14:textId="77777777" w:rsidR="00A9361D" w:rsidRDefault="00000000">
      <w:pPr>
        <w:pStyle w:val="Legenda"/>
        <w:rPr>
          <w:b w:val="0"/>
          <w:bCs/>
          <w:sz w:val="20"/>
          <w:szCs w:val="20"/>
        </w:rPr>
      </w:pPr>
      <w:r>
        <w:rPr>
          <w:b w:val="0"/>
          <w:bCs/>
          <w:sz w:val="20"/>
          <w:szCs w:val="20"/>
        </w:rPr>
        <w:t>Fonte: PNAD COVID19. Elaboração própria.</w:t>
      </w:r>
    </w:p>
    <w:p w14:paraId="035E573B" w14:textId="77777777" w:rsidR="00A9361D" w:rsidRDefault="00000000">
      <w:pPr>
        <w:spacing w:after="0" w:line="360" w:lineRule="auto"/>
        <w:ind w:firstLine="709"/>
        <w:jc w:val="both"/>
        <w:rPr>
          <w:rFonts w:ascii="Times New Roman" w:hAnsi="Times New Roman"/>
          <w:color w:val="000000" w:themeColor="text1"/>
          <w:sz w:val="24"/>
          <w:szCs w:val="24"/>
        </w:rPr>
      </w:pPr>
      <w:r>
        <w:rPr>
          <w:rFonts w:ascii="Times New Roman" w:hAnsi="Times New Roman" w:cs="Times New Roman"/>
          <w:color w:val="000000" w:themeColor="text1"/>
          <w:sz w:val="24"/>
          <w:szCs w:val="24"/>
        </w:rPr>
        <w:t xml:space="preserve">No Rio Grande do Norte, o maior peso relativo do rendimento auxílio emergencial </w:t>
      </w:r>
      <w:r>
        <w:rPr>
          <w:rFonts w:ascii="Times New Roman" w:hAnsi="Times New Roman"/>
          <w:color w:val="000000" w:themeColor="text1"/>
          <w:sz w:val="24"/>
          <w:szCs w:val="24"/>
        </w:rPr>
        <w:t>ocorreu também no mês de junho (16,6% contra 20,9% NE). Esse estado apresentou a menor participação dos rendimentos do AE, comparativamente aos demais estados, ao longo de toda a série analisada (Gráfico 13).</w:t>
      </w:r>
    </w:p>
    <w:p w14:paraId="55451739" w14:textId="77777777" w:rsidR="00A9361D" w:rsidRDefault="00A9361D">
      <w:pPr>
        <w:spacing w:after="0" w:line="360" w:lineRule="auto"/>
        <w:ind w:firstLine="709"/>
        <w:jc w:val="both"/>
        <w:rPr>
          <w:rFonts w:ascii="Times New Roman" w:hAnsi="Times New Roman"/>
          <w:color w:val="000000" w:themeColor="text1"/>
          <w:sz w:val="24"/>
          <w:szCs w:val="24"/>
        </w:rPr>
      </w:pPr>
    </w:p>
    <w:p w14:paraId="5698C6AA" w14:textId="4539B219" w:rsidR="00A9361D" w:rsidRDefault="00000000">
      <w:pPr>
        <w:pStyle w:val="Legenda"/>
        <w:rPr>
          <w:rFonts w:cs="Times New Roman"/>
          <w:b w:val="0"/>
          <w:bCs/>
          <w:szCs w:val="24"/>
        </w:rPr>
      </w:pPr>
      <w:bookmarkStart w:id="20" w:name="_Toc106375477"/>
      <w:r>
        <w:t>Gráfico 12 - Rio Grande do Norte: Peso relativo de cada parcela no total da renda segundo suas diferentes fontes (%), de maio a novembro de 2020</w:t>
      </w:r>
      <w:bookmarkEnd w:id="20"/>
    </w:p>
    <w:p w14:paraId="3E0A433F" w14:textId="77777777" w:rsidR="00A9361D" w:rsidRDefault="00000000">
      <w:pPr>
        <w:spacing w:after="200" w:line="240" w:lineRule="auto"/>
        <w:jc w:val="center"/>
        <w:rPr>
          <w:rFonts w:ascii="Times New Roman" w:hAnsi="Times New Roman"/>
          <w:iCs/>
          <w:sz w:val="20"/>
          <w:szCs w:val="20"/>
        </w:rPr>
      </w:pPr>
      <w:r>
        <w:rPr>
          <w:noProof/>
        </w:rPr>
        <w:drawing>
          <wp:inline distT="0" distB="0" distL="0" distR="0" wp14:anchorId="3E35C359" wp14:editId="2F941290">
            <wp:extent cx="5039995" cy="2160270"/>
            <wp:effectExtent l="0" t="0" r="0" b="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AC29969" w14:textId="77777777" w:rsidR="00A9361D" w:rsidRDefault="00000000">
      <w:pPr>
        <w:spacing w:after="200" w:line="240" w:lineRule="auto"/>
      </w:pPr>
      <w:r>
        <w:rPr>
          <w:rFonts w:ascii="Times New Roman" w:hAnsi="Times New Roman"/>
          <w:iCs/>
          <w:sz w:val="20"/>
          <w:szCs w:val="20"/>
        </w:rPr>
        <w:t>Fonte: PNAD COVID19. Elaboração própria.</w:t>
      </w:r>
    </w:p>
    <w:p w14:paraId="06841C9A" w14:textId="77777777" w:rsidR="00A9361D" w:rsidRDefault="00000000">
      <w:pPr>
        <w:spacing w:after="0" w:line="360" w:lineRule="auto"/>
        <w:ind w:firstLine="709"/>
        <w:jc w:val="both"/>
        <w:rPr>
          <w:rFonts w:ascii="Times New Roman" w:hAnsi="Times New Roman"/>
          <w:sz w:val="24"/>
          <w:szCs w:val="24"/>
        </w:rPr>
      </w:pPr>
      <w:r>
        <w:rPr>
          <w:rFonts w:ascii="Times New Roman" w:hAnsi="Times New Roman" w:cs="Times New Roman"/>
          <w:sz w:val="24"/>
          <w:szCs w:val="24"/>
        </w:rPr>
        <w:lastRenderedPageBreak/>
        <w:t xml:space="preserve">Quanto às progressividades das fontes de renda na conformação do Índice de Gini dos rendimentos domiciliares </w:t>
      </w:r>
      <w:r>
        <w:rPr>
          <w:rFonts w:ascii="Times New Roman" w:hAnsi="Times New Roman" w:cs="Times New Roman"/>
          <w:i/>
          <w:iCs/>
          <w:sz w:val="24"/>
          <w:szCs w:val="24"/>
        </w:rPr>
        <w:t xml:space="preserve">per capita </w:t>
      </w:r>
      <w:r>
        <w:rPr>
          <w:rFonts w:ascii="Times New Roman" w:hAnsi="Times New Roman" w:cs="Times New Roman"/>
          <w:sz w:val="24"/>
          <w:szCs w:val="24"/>
        </w:rPr>
        <w:t xml:space="preserve">no recorte para os estados de Alagoas, Sergipe, Paraíba e Rio Grande do Norte, </w:t>
      </w:r>
      <w:r>
        <w:rPr>
          <w:rFonts w:ascii="Times New Roman" w:hAnsi="Times New Roman"/>
          <w:sz w:val="24"/>
          <w:szCs w:val="24"/>
        </w:rPr>
        <w:t>nota-se a mesma tendência observada na região no que diz respeito à relevância e ampliação da progressividade das fontes de rendimento PBF e AE (Tabela 3). Entretanto, o estado de Alagoas, apresenta menor progressividade que a média regional em todo o período analisado, bem semelhante ao observado para o Maranhão. No mês de novembro, a progressividade para o PBF era de 0,75 em AL e de 0,91 no NE, já a do AE era de 0,36 em AL e de 0,56 no NE.</w:t>
      </w:r>
    </w:p>
    <w:p w14:paraId="1549F00D" w14:textId="77777777" w:rsidR="00A9361D" w:rsidRDefault="00000000">
      <w:pPr>
        <w:spacing w:after="0" w:line="360" w:lineRule="auto"/>
        <w:ind w:firstLine="708"/>
        <w:jc w:val="both"/>
        <w:rPr>
          <w:rStyle w:val="Ttulo2Char"/>
          <w:rFonts w:ascii="Times New Roman" w:hAnsi="Times New Roman" w:cs="Times New Roman"/>
          <w:color w:val="000000" w:themeColor="text1"/>
          <w:sz w:val="24"/>
          <w:szCs w:val="24"/>
        </w:rPr>
      </w:pPr>
      <w:r>
        <w:rPr>
          <w:rFonts w:ascii="Times New Roman" w:hAnsi="Times New Roman"/>
          <w:color w:val="000000" w:themeColor="text1"/>
          <w:sz w:val="24"/>
          <w:szCs w:val="24"/>
        </w:rPr>
        <w:t xml:space="preserve">Sergipe e Rio Grande do Norte, por sua vez, exibiam progressividade para o PBF e AE acima da média regional ao longo de todo o período. </w:t>
      </w:r>
      <w:r>
        <w:rPr>
          <w:rStyle w:val="Ttulo2Char"/>
          <w:rFonts w:ascii="Times New Roman" w:hAnsi="Times New Roman" w:cs="Times New Roman"/>
          <w:color w:val="000000" w:themeColor="text1"/>
          <w:sz w:val="24"/>
          <w:szCs w:val="24"/>
        </w:rPr>
        <w:t xml:space="preserve">A Paraíba apresenta progressividade para o AE maior que a média regional em todo o período, enquanto que a do PBF em alguns momentos foi maior e, em outros, menor. </w:t>
      </w:r>
    </w:p>
    <w:p w14:paraId="508AEDBA" w14:textId="77777777" w:rsidR="00A9361D" w:rsidRDefault="0000000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Na Paraíba, em novembro, a progressividade era de 0,93 (contra 0,91 no NE para o PBF e de0,61 (contra 0,56 no NE) para o AE. No Rio Grande do Norte, a maior progressividade do PBF acontece no mês de outubro (1,02 no RN contra 0,90 no NE), sendo a maior, inclusive, comparativamente aos demais estados da região.</w:t>
      </w:r>
    </w:p>
    <w:p w14:paraId="7CCECB96" w14:textId="77777777" w:rsidR="00A9361D" w:rsidRDefault="00A9361D">
      <w:pPr>
        <w:jc w:val="both"/>
        <w:rPr>
          <w:rFonts w:ascii="Times New Roman" w:hAnsi="Times New Roman" w:cs="Times New Roman"/>
          <w:sz w:val="24"/>
          <w:szCs w:val="24"/>
        </w:rPr>
      </w:pPr>
    </w:p>
    <w:p w14:paraId="24654396" w14:textId="77777777" w:rsidR="00A9361D" w:rsidRDefault="00000000">
      <w:pPr>
        <w:pStyle w:val="Legenda"/>
        <w:jc w:val="center"/>
      </w:pPr>
      <w:bookmarkStart w:id="21" w:name="_Toc106375176"/>
      <w:r>
        <w:t>Tabela 3 - Alagoas, Sergipe, Paraíba e Rio Grande do Norte: Progressividade para o Índice de Gini para a renda pessoal, segundo fonte de renda, de maio a novembro de 2020</w:t>
      </w:r>
      <w:bookmarkEnd w:id="21"/>
    </w:p>
    <w:tbl>
      <w:tblPr>
        <w:tblW w:w="9235" w:type="dxa"/>
        <w:tblCellMar>
          <w:left w:w="70" w:type="dxa"/>
          <w:right w:w="70" w:type="dxa"/>
        </w:tblCellMar>
        <w:tblLook w:val="04A0" w:firstRow="1" w:lastRow="0" w:firstColumn="1" w:lastColumn="0" w:noHBand="0" w:noVBand="1"/>
      </w:tblPr>
      <w:tblGrid>
        <w:gridCol w:w="3577"/>
        <w:gridCol w:w="772"/>
        <w:gridCol w:w="773"/>
        <w:gridCol w:w="773"/>
        <w:gridCol w:w="706"/>
        <w:gridCol w:w="928"/>
        <w:gridCol w:w="806"/>
        <w:gridCol w:w="900"/>
      </w:tblGrid>
      <w:tr w:rsidR="00A9361D" w14:paraId="05A58525" w14:textId="77777777">
        <w:trPr>
          <w:trHeight w:val="234"/>
        </w:trPr>
        <w:tc>
          <w:tcPr>
            <w:tcW w:w="3576" w:type="dxa"/>
            <w:tcBorders>
              <w:top w:val="single" w:sz="4" w:space="0" w:color="000000"/>
              <w:bottom w:val="single" w:sz="4" w:space="0" w:color="000000"/>
            </w:tcBorders>
            <w:shd w:val="clear" w:color="auto" w:fill="auto"/>
            <w:vAlign w:val="center"/>
          </w:tcPr>
          <w:p w14:paraId="5BDEA257"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Descrição da fonte de renda</w:t>
            </w:r>
          </w:p>
        </w:tc>
        <w:tc>
          <w:tcPr>
            <w:tcW w:w="77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06BD13"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Maio</w:t>
            </w:r>
          </w:p>
        </w:tc>
        <w:tc>
          <w:tcPr>
            <w:tcW w:w="773" w:type="dxa"/>
            <w:tcBorders>
              <w:top w:val="single" w:sz="4" w:space="0" w:color="000000"/>
              <w:bottom w:val="single" w:sz="4" w:space="0" w:color="000000"/>
              <w:right w:val="single" w:sz="4" w:space="0" w:color="000000"/>
            </w:tcBorders>
            <w:shd w:val="clear" w:color="auto" w:fill="auto"/>
            <w:vAlign w:val="bottom"/>
          </w:tcPr>
          <w:p w14:paraId="289030BC"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Junho</w:t>
            </w:r>
          </w:p>
        </w:tc>
        <w:tc>
          <w:tcPr>
            <w:tcW w:w="773" w:type="dxa"/>
            <w:tcBorders>
              <w:top w:val="single" w:sz="4" w:space="0" w:color="000000"/>
              <w:bottom w:val="single" w:sz="4" w:space="0" w:color="000000"/>
              <w:right w:val="single" w:sz="4" w:space="0" w:color="000000"/>
            </w:tcBorders>
            <w:shd w:val="clear" w:color="auto" w:fill="auto"/>
            <w:vAlign w:val="bottom"/>
          </w:tcPr>
          <w:p w14:paraId="3EAA63EE"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Julho</w:t>
            </w:r>
          </w:p>
        </w:tc>
        <w:tc>
          <w:tcPr>
            <w:tcW w:w="706" w:type="dxa"/>
            <w:tcBorders>
              <w:top w:val="single" w:sz="4" w:space="0" w:color="000000"/>
              <w:bottom w:val="single" w:sz="4" w:space="0" w:color="000000"/>
              <w:right w:val="single" w:sz="4" w:space="0" w:color="000000"/>
            </w:tcBorders>
            <w:shd w:val="clear" w:color="auto" w:fill="auto"/>
            <w:vAlign w:val="bottom"/>
          </w:tcPr>
          <w:p w14:paraId="29C86DD1"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 xml:space="preserve">Agosto </w:t>
            </w:r>
          </w:p>
        </w:tc>
        <w:tc>
          <w:tcPr>
            <w:tcW w:w="928" w:type="dxa"/>
            <w:tcBorders>
              <w:top w:val="single" w:sz="4" w:space="0" w:color="000000"/>
              <w:bottom w:val="single" w:sz="4" w:space="0" w:color="000000"/>
              <w:right w:val="single" w:sz="4" w:space="0" w:color="000000"/>
            </w:tcBorders>
            <w:shd w:val="clear" w:color="auto" w:fill="auto"/>
            <w:vAlign w:val="bottom"/>
          </w:tcPr>
          <w:p w14:paraId="0929A1ED"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 xml:space="preserve">Setembro </w:t>
            </w:r>
          </w:p>
        </w:tc>
        <w:tc>
          <w:tcPr>
            <w:tcW w:w="806" w:type="dxa"/>
            <w:tcBorders>
              <w:top w:val="single" w:sz="4" w:space="0" w:color="000000"/>
              <w:bottom w:val="single" w:sz="4" w:space="0" w:color="000000"/>
              <w:right w:val="single" w:sz="4" w:space="0" w:color="000000"/>
            </w:tcBorders>
            <w:shd w:val="clear" w:color="auto" w:fill="auto"/>
            <w:vAlign w:val="bottom"/>
          </w:tcPr>
          <w:p w14:paraId="1D35C104"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Outubro</w:t>
            </w:r>
          </w:p>
        </w:tc>
        <w:tc>
          <w:tcPr>
            <w:tcW w:w="900" w:type="dxa"/>
            <w:tcBorders>
              <w:top w:val="single" w:sz="4" w:space="0" w:color="000000"/>
              <w:bottom w:val="single" w:sz="4" w:space="0" w:color="000000"/>
            </w:tcBorders>
            <w:shd w:val="clear" w:color="auto" w:fill="auto"/>
            <w:vAlign w:val="bottom"/>
          </w:tcPr>
          <w:p w14:paraId="323A679B"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Novembro</w:t>
            </w:r>
          </w:p>
        </w:tc>
      </w:tr>
      <w:tr w:rsidR="00A9361D" w14:paraId="04FF86F7" w14:textId="77777777">
        <w:trPr>
          <w:trHeight w:val="234"/>
        </w:trPr>
        <w:tc>
          <w:tcPr>
            <w:tcW w:w="9234" w:type="dxa"/>
            <w:gridSpan w:val="8"/>
            <w:tcBorders>
              <w:top w:val="single" w:sz="4" w:space="0" w:color="000000"/>
              <w:bottom w:val="single" w:sz="4" w:space="0" w:color="000000"/>
            </w:tcBorders>
            <w:shd w:val="clear" w:color="auto" w:fill="auto"/>
            <w:vAlign w:val="center"/>
          </w:tcPr>
          <w:p w14:paraId="39F19C22"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Alagoas</w:t>
            </w:r>
          </w:p>
        </w:tc>
      </w:tr>
      <w:tr w:rsidR="00A9361D" w14:paraId="6BAA01A7" w14:textId="77777777">
        <w:trPr>
          <w:trHeight w:val="234"/>
        </w:trPr>
        <w:tc>
          <w:tcPr>
            <w:tcW w:w="3576" w:type="dxa"/>
            <w:shd w:val="clear" w:color="auto" w:fill="auto"/>
            <w:vAlign w:val="center"/>
          </w:tcPr>
          <w:p w14:paraId="59E97790"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Todos os trabalhos</w:t>
            </w:r>
          </w:p>
        </w:tc>
        <w:tc>
          <w:tcPr>
            <w:tcW w:w="772" w:type="dxa"/>
            <w:shd w:val="clear" w:color="auto" w:fill="auto"/>
            <w:vAlign w:val="bottom"/>
          </w:tcPr>
          <w:p w14:paraId="6C9CB43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773" w:type="dxa"/>
            <w:shd w:val="clear" w:color="auto" w:fill="auto"/>
            <w:vAlign w:val="bottom"/>
          </w:tcPr>
          <w:p w14:paraId="52BB7BB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773" w:type="dxa"/>
            <w:shd w:val="clear" w:color="auto" w:fill="auto"/>
            <w:vAlign w:val="bottom"/>
          </w:tcPr>
          <w:p w14:paraId="7D855F7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706" w:type="dxa"/>
            <w:shd w:val="clear" w:color="auto" w:fill="auto"/>
            <w:vAlign w:val="bottom"/>
          </w:tcPr>
          <w:p w14:paraId="00AC1F1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928" w:type="dxa"/>
            <w:shd w:val="clear" w:color="auto" w:fill="auto"/>
            <w:vAlign w:val="bottom"/>
          </w:tcPr>
          <w:p w14:paraId="66326F1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806" w:type="dxa"/>
            <w:shd w:val="clear" w:color="auto" w:fill="auto"/>
            <w:vAlign w:val="bottom"/>
          </w:tcPr>
          <w:p w14:paraId="37DC406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900" w:type="dxa"/>
            <w:shd w:val="clear" w:color="auto" w:fill="auto"/>
            <w:vAlign w:val="bottom"/>
          </w:tcPr>
          <w:p w14:paraId="179FE1E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-0,09</w:t>
            </w:r>
          </w:p>
        </w:tc>
      </w:tr>
      <w:tr w:rsidR="00A9361D" w14:paraId="095A47C4" w14:textId="77777777">
        <w:trPr>
          <w:trHeight w:val="234"/>
        </w:trPr>
        <w:tc>
          <w:tcPr>
            <w:tcW w:w="3576" w:type="dxa"/>
            <w:shd w:val="clear" w:color="auto" w:fill="auto"/>
            <w:vAlign w:val="center"/>
          </w:tcPr>
          <w:p w14:paraId="740E6059"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Aposentadorias e pensões</w:t>
            </w:r>
          </w:p>
        </w:tc>
        <w:tc>
          <w:tcPr>
            <w:tcW w:w="772" w:type="dxa"/>
            <w:shd w:val="clear" w:color="auto" w:fill="auto"/>
            <w:vAlign w:val="bottom"/>
          </w:tcPr>
          <w:p w14:paraId="669319C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773" w:type="dxa"/>
            <w:shd w:val="clear" w:color="auto" w:fill="auto"/>
            <w:vAlign w:val="bottom"/>
          </w:tcPr>
          <w:p w14:paraId="3450292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773" w:type="dxa"/>
            <w:shd w:val="clear" w:color="auto" w:fill="auto"/>
            <w:vAlign w:val="bottom"/>
          </w:tcPr>
          <w:p w14:paraId="02488D4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706" w:type="dxa"/>
            <w:shd w:val="clear" w:color="auto" w:fill="auto"/>
            <w:vAlign w:val="bottom"/>
          </w:tcPr>
          <w:p w14:paraId="3461704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c>
          <w:tcPr>
            <w:tcW w:w="928" w:type="dxa"/>
            <w:shd w:val="clear" w:color="auto" w:fill="auto"/>
            <w:vAlign w:val="bottom"/>
          </w:tcPr>
          <w:p w14:paraId="191E360F"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806" w:type="dxa"/>
            <w:shd w:val="clear" w:color="auto" w:fill="auto"/>
            <w:vAlign w:val="bottom"/>
          </w:tcPr>
          <w:p w14:paraId="370CA02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900" w:type="dxa"/>
            <w:shd w:val="clear" w:color="auto" w:fill="auto"/>
            <w:vAlign w:val="bottom"/>
          </w:tcPr>
          <w:p w14:paraId="7A682B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r>
      <w:tr w:rsidR="00A9361D" w14:paraId="2EEBC472" w14:textId="77777777">
        <w:trPr>
          <w:trHeight w:val="234"/>
        </w:trPr>
        <w:tc>
          <w:tcPr>
            <w:tcW w:w="3576" w:type="dxa"/>
            <w:shd w:val="clear" w:color="auto" w:fill="auto"/>
            <w:vAlign w:val="center"/>
          </w:tcPr>
          <w:p w14:paraId="677FD163"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Doação, pensão alimentícia ou mesada</w:t>
            </w:r>
          </w:p>
        </w:tc>
        <w:tc>
          <w:tcPr>
            <w:tcW w:w="772" w:type="dxa"/>
            <w:shd w:val="clear" w:color="auto" w:fill="auto"/>
            <w:vAlign w:val="bottom"/>
          </w:tcPr>
          <w:p w14:paraId="2D90C31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773" w:type="dxa"/>
            <w:shd w:val="clear" w:color="auto" w:fill="auto"/>
            <w:vAlign w:val="bottom"/>
          </w:tcPr>
          <w:p w14:paraId="25993A6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0,31</w:t>
            </w:r>
          </w:p>
        </w:tc>
        <w:tc>
          <w:tcPr>
            <w:tcW w:w="773" w:type="dxa"/>
            <w:shd w:val="clear" w:color="auto" w:fill="auto"/>
            <w:vAlign w:val="bottom"/>
          </w:tcPr>
          <w:p w14:paraId="02631EC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0,27</w:t>
            </w:r>
          </w:p>
        </w:tc>
        <w:tc>
          <w:tcPr>
            <w:tcW w:w="706" w:type="dxa"/>
            <w:shd w:val="clear" w:color="auto" w:fill="auto"/>
            <w:vAlign w:val="bottom"/>
          </w:tcPr>
          <w:p w14:paraId="2F9F533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0,25</w:t>
            </w:r>
          </w:p>
        </w:tc>
        <w:tc>
          <w:tcPr>
            <w:tcW w:w="928" w:type="dxa"/>
            <w:shd w:val="clear" w:color="auto" w:fill="auto"/>
            <w:vAlign w:val="bottom"/>
          </w:tcPr>
          <w:p w14:paraId="0E491A7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806" w:type="dxa"/>
            <w:shd w:val="clear" w:color="auto" w:fill="auto"/>
            <w:vAlign w:val="bottom"/>
          </w:tcPr>
          <w:p w14:paraId="25880BE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0,27</w:t>
            </w:r>
          </w:p>
        </w:tc>
        <w:tc>
          <w:tcPr>
            <w:tcW w:w="900" w:type="dxa"/>
            <w:shd w:val="clear" w:color="auto" w:fill="auto"/>
            <w:vAlign w:val="bottom"/>
          </w:tcPr>
          <w:p w14:paraId="6F3DBF9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0,20</w:t>
            </w:r>
          </w:p>
        </w:tc>
      </w:tr>
      <w:tr w:rsidR="00A9361D" w14:paraId="0D75C3EC" w14:textId="77777777">
        <w:trPr>
          <w:trHeight w:val="234"/>
        </w:trPr>
        <w:tc>
          <w:tcPr>
            <w:tcW w:w="3576" w:type="dxa"/>
            <w:shd w:val="clear" w:color="auto" w:fill="auto"/>
            <w:vAlign w:val="center"/>
          </w:tcPr>
          <w:p w14:paraId="25DC1312"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Bolsa Família</w:t>
            </w:r>
          </w:p>
        </w:tc>
        <w:tc>
          <w:tcPr>
            <w:tcW w:w="772" w:type="dxa"/>
            <w:shd w:val="clear" w:color="auto" w:fill="auto"/>
            <w:vAlign w:val="bottom"/>
          </w:tcPr>
          <w:p w14:paraId="06D4623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0,67</w:t>
            </w:r>
          </w:p>
        </w:tc>
        <w:tc>
          <w:tcPr>
            <w:tcW w:w="773" w:type="dxa"/>
            <w:shd w:val="clear" w:color="auto" w:fill="auto"/>
            <w:vAlign w:val="bottom"/>
          </w:tcPr>
          <w:p w14:paraId="1CC8DF8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0,60</w:t>
            </w:r>
          </w:p>
        </w:tc>
        <w:tc>
          <w:tcPr>
            <w:tcW w:w="773" w:type="dxa"/>
            <w:shd w:val="clear" w:color="auto" w:fill="auto"/>
            <w:vAlign w:val="bottom"/>
          </w:tcPr>
          <w:p w14:paraId="6134081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0,58</w:t>
            </w:r>
          </w:p>
        </w:tc>
        <w:tc>
          <w:tcPr>
            <w:tcW w:w="706" w:type="dxa"/>
            <w:shd w:val="clear" w:color="auto" w:fill="auto"/>
            <w:vAlign w:val="bottom"/>
          </w:tcPr>
          <w:p w14:paraId="2426861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0,54</w:t>
            </w:r>
          </w:p>
        </w:tc>
        <w:tc>
          <w:tcPr>
            <w:tcW w:w="928" w:type="dxa"/>
            <w:shd w:val="clear" w:color="auto" w:fill="auto"/>
            <w:vAlign w:val="bottom"/>
          </w:tcPr>
          <w:p w14:paraId="74F1E06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0,57</w:t>
            </w:r>
          </w:p>
        </w:tc>
        <w:tc>
          <w:tcPr>
            <w:tcW w:w="806" w:type="dxa"/>
            <w:shd w:val="clear" w:color="auto" w:fill="auto"/>
            <w:vAlign w:val="bottom"/>
          </w:tcPr>
          <w:p w14:paraId="7E3A283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0,71</w:t>
            </w:r>
          </w:p>
        </w:tc>
        <w:tc>
          <w:tcPr>
            <w:tcW w:w="900" w:type="dxa"/>
            <w:shd w:val="clear" w:color="auto" w:fill="auto"/>
            <w:vAlign w:val="bottom"/>
          </w:tcPr>
          <w:p w14:paraId="1826396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0,75</w:t>
            </w:r>
          </w:p>
        </w:tc>
      </w:tr>
      <w:tr w:rsidR="00A9361D" w14:paraId="05957932" w14:textId="77777777">
        <w:trPr>
          <w:trHeight w:val="234"/>
        </w:trPr>
        <w:tc>
          <w:tcPr>
            <w:tcW w:w="3576" w:type="dxa"/>
            <w:shd w:val="clear" w:color="auto" w:fill="auto"/>
            <w:vAlign w:val="center"/>
          </w:tcPr>
          <w:p w14:paraId="79E9E67C"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BPC-LOAS</w:t>
            </w:r>
          </w:p>
        </w:tc>
        <w:tc>
          <w:tcPr>
            <w:tcW w:w="772" w:type="dxa"/>
            <w:shd w:val="clear" w:color="auto" w:fill="auto"/>
            <w:vAlign w:val="bottom"/>
          </w:tcPr>
          <w:p w14:paraId="1D3C144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0,22</w:t>
            </w:r>
          </w:p>
        </w:tc>
        <w:tc>
          <w:tcPr>
            <w:tcW w:w="773" w:type="dxa"/>
            <w:shd w:val="clear" w:color="auto" w:fill="auto"/>
            <w:vAlign w:val="bottom"/>
          </w:tcPr>
          <w:p w14:paraId="24E239D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0,20</w:t>
            </w:r>
          </w:p>
        </w:tc>
        <w:tc>
          <w:tcPr>
            <w:tcW w:w="773" w:type="dxa"/>
            <w:shd w:val="clear" w:color="auto" w:fill="auto"/>
            <w:vAlign w:val="bottom"/>
          </w:tcPr>
          <w:p w14:paraId="15D29FD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0,23</w:t>
            </w:r>
          </w:p>
        </w:tc>
        <w:tc>
          <w:tcPr>
            <w:tcW w:w="706" w:type="dxa"/>
            <w:shd w:val="clear" w:color="auto" w:fill="auto"/>
            <w:vAlign w:val="bottom"/>
          </w:tcPr>
          <w:p w14:paraId="4C4BAD3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0,24</w:t>
            </w:r>
          </w:p>
        </w:tc>
        <w:tc>
          <w:tcPr>
            <w:tcW w:w="928" w:type="dxa"/>
            <w:shd w:val="clear" w:color="auto" w:fill="auto"/>
            <w:vAlign w:val="bottom"/>
          </w:tcPr>
          <w:p w14:paraId="0E3FE45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0,19</w:t>
            </w:r>
          </w:p>
        </w:tc>
        <w:tc>
          <w:tcPr>
            <w:tcW w:w="806" w:type="dxa"/>
            <w:shd w:val="clear" w:color="auto" w:fill="auto"/>
            <w:vAlign w:val="bottom"/>
          </w:tcPr>
          <w:p w14:paraId="4428295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0,23</w:t>
            </w:r>
          </w:p>
        </w:tc>
        <w:tc>
          <w:tcPr>
            <w:tcW w:w="900" w:type="dxa"/>
            <w:shd w:val="clear" w:color="auto" w:fill="auto"/>
            <w:vAlign w:val="bottom"/>
          </w:tcPr>
          <w:p w14:paraId="53C69D8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0,24</w:t>
            </w:r>
          </w:p>
        </w:tc>
      </w:tr>
      <w:tr w:rsidR="00A9361D" w14:paraId="3DFE04E3" w14:textId="77777777">
        <w:trPr>
          <w:trHeight w:val="234"/>
        </w:trPr>
        <w:tc>
          <w:tcPr>
            <w:tcW w:w="3576" w:type="dxa"/>
            <w:shd w:val="clear" w:color="auto" w:fill="auto"/>
            <w:vAlign w:val="center"/>
          </w:tcPr>
          <w:p w14:paraId="52571508"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Auxílio Emergencial</w:t>
            </w:r>
          </w:p>
        </w:tc>
        <w:tc>
          <w:tcPr>
            <w:tcW w:w="772" w:type="dxa"/>
            <w:shd w:val="clear" w:color="auto" w:fill="auto"/>
            <w:vAlign w:val="bottom"/>
          </w:tcPr>
          <w:p w14:paraId="71CEB1A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0,46</w:t>
            </w:r>
          </w:p>
        </w:tc>
        <w:tc>
          <w:tcPr>
            <w:tcW w:w="773" w:type="dxa"/>
            <w:shd w:val="clear" w:color="auto" w:fill="auto"/>
            <w:vAlign w:val="bottom"/>
          </w:tcPr>
          <w:p w14:paraId="2181C35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0,42</w:t>
            </w:r>
          </w:p>
        </w:tc>
        <w:tc>
          <w:tcPr>
            <w:tcW w:w="773" w:type="dxa"/>
            <w:shd w:val="clear" w:color="auto" w:fill="auto"/>
            <w:vAlign w:val="bottom"/>
          </w:tcPr>
          <w:p w14:paraId="0A2F7D4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0,39</w:t>
            </w:r>
          </w:p>
        </w:tc>
        <w:tc>
          <w:tcPr>
            <w:tcW w:w="706" w:type="dxa"/>
            <w:shd w:val="clear" w:color="auto" w:fill="auto"/>
            <w:vAlign w:val="bottom"/>
          </w:tcPr>
          <w:p w14:paraId="5AE6E29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0,37</w:t>
            </w:r>
          </w:p>
        </w:tc>
        <w:tc>
          <w:tcPr>
            <w:tcW w:w="928" w:type="dxa"/>
            <w:shd w:val="clear" w:color="auto" w:fill="auto"/>
            <w:vAlign w:val="bottom"/>
          </w:tcPr>
          <w:p w14:paraId="6690939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0,36</w:t>
            </w:r>
          </w:p>
        </w:tc>
        <w:tc>
          <w:tcPr>
            <w:tcW w:w="806" w:type="dxa"/>
            <w:shd w:val="clear" w:color="auto" w:fill="auto"/>
            <w:vAlign w:val="bottom"/>
          </w:tcPr>
          <w:p w14:paraId="537B4A5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0,35</w:t>
            </w:r>
          </w:p>
        </w:tc>
        <w:tc>
          <w:tcPr>
            <w:tcW w:w="900" w:type="dxa"/>
            <w:shd w:val="clear" w:color="auto" w:fill="auto"/>
            <w:vAlign w:val="bottom"/>
          </w:tcPr>
          <w:p w14:paraId="3BE0E6A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0,36</w:t>
            </w:r>
          </w:p>
        </w:tc>
      </w:tr>
      <w:tr w:rsidR="00A9361D" w14:paraId="230CD882" w14:textId="77777777">
        <w:trPr>
          <w:trHeight w:val="234"/>
        </w:trPr>
        <w:tc>
          <w:tcPr>
            <w:tcW w:w="3576" w:type="dxa"/>
            <w:shd w:val="clear" w:color="auto" w:fill="auto"/>
            <w:vAlign w:val="center"/>
          </w:tcPr>
          <w:p w14:paraId="550E5F57"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Seguro-desemprego</w:t>
            </w:r>
          </w:p>
        </w:tc>
        <w:tc>
          <w:tcPr>
            <w:tcW w:w="772" w:type="dxa"/>
            <w:shd w:val="clear" w:color="auto" w:fill="auto"/>
            <w:vAlign w:val="bottom"/>
          </w:tcPr>
          <w:p w14:paraId="236C758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773" w:type="dxa"/>
            <w:shd w:val="clear" w:color="auto" w:fill="auto"/>
            <w:vAlign w:val="bottom"/>
          </w:tcPr>
          <w:p w14:paraId="12E4BB1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-0,01</w:t>
            </w:r>
          </w:p>
        </w:tc>
        <w:tc>
          <w:tcPr>
            <w:tcW w:w="773" w:type="dxa"/>
            <w:shd w:val="clear" w:color="auto" w:fill="auto"/>
            <w:vAlign w:val="bottom"/>
          </w:tcPr>
          <w:p w14:paraId="6BEA4A6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0,01</w:t>
            </w:r>
          </w:p>
        </w:tc>
        <w:tc>
          <w:tcPr>
            <w:tcW w:w="706" w:type="dxa"/>
            <w:shd w:val="clear" w:color="auto" w:fill="auto"/>
            <w:vAlign w:val="bottom"/>
          </w:tcPr>
          <w:p w14:paraId="1635449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c>
          <w:tcPr>
            <w:tcW w:w="928" w:type="dxa"/>
            <w:shd w:val="clear" w:color="auto" w:fill="auto"/>
            <w:vAlign w:val="bottom"/>
          </w:tcPr>
          <w:p w14:paraId="1494E90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0,03</w:t>
            </w:r>
          </w:p>
        </w:tc>
        <w:tc>
          <w:tcPr>
            <w:tcW w:w="806" w:type="dxa"/>
            <w:shd w:val="clear" w:color="auto" w:fill="auto"/>
            <w:vAlign w:val="bottom"/>
          </w:tcPr>
          <w:p w14:paraId="2FBBEC9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900" w:type="dxa"/>
            <w:shd w:val="clear" w:color="auto" w:fill="auto"/>
            <w:vAlign w:val="bottom"/>
          </w:tcPr>
          <w:p w14:paraId="5770F25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0,27</w:t>
            </w:r>
          </w:p>
        </w:tc>
      </w:tr>
      <w:tr w:rsidR="00A9361D" w14:paraId="6383475F" w14:textId="77777777">
        <w:trPr>
          <w:trHeight w:val="234"/>
        </w:trPr>
        <w:tc>
          <w:tcPr>
            <w:tcW w:w="3576" w:type="dxa"/>
            <w:shd w:val="clear" w:color="auto" w:fill="auto"/>
            <w:vAlign w:val="center"/>
          </w:tcPr>
          <w:p w14:paraId="3EDAA6DA"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 xml:space="preserve">Aluguel, arrendamento, aplicações financeiras </w:t>
            </w:r>
            <w:proofErr w:type="spellStart"/>
            <w:r>
              <w:rPr>
                <w:rFonts w:ascii="Times New Roman" w:eastAsia="Times New Roman" w:hAnsi="Times New Roman" w:cs="Times New Roman"/>
                <w:color w:val="000000"/>
                <w:sz w:val="16"/>
                <w:szCs w:val="16"/>
                <w:lang w:eastAsia="pt-BR"/>
              </w:rPr>
              <w:t>etc</w:t>
            </w:r>
            <w:proofErr w:type="spellEnd"/>
          </w:p>
        </w:tc>
        <w:tc>
          <w:tcPr>
            <w:tcW w:w="772" w:type="dxa"/>
            <w:shd w:val="clear" w:color="auto" w:fill="auto"/>
            <w:vAlign w:val="bottom"/>
          </w:tcPr>
          <w:p w14:paraId="653FD8C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773" w:type="dxa"/>
            <w:shd w:val="clear" w:color="auto" w:fill="auto"/>
            <w:vAlign w:val="bottom"/>
          </w:tcPr>
          <w:p w14:paraId="5D6D27F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773" w:type="dxa"/>
            <w:shd w:val="clear" w:color="auto" w:fill="auto"/>
            <w:vAlign w:val="bottom"/>
          </w:tcPr>
          <w:p w14:paraId="3FA3BD8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706" w:type="dxa"/>
            <w:shd w:val="clear" w:color="auto" w:fill="auto"/>
            <w:vAlign w:val="bottom"/>
          </w:tcPr>
          <w:p w14:paraId="07AA826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-0,19</w:t>
            </w:r>
          </w:p>
        </w:tc>
        <w:tc>
          <w:tcPr>
            <w:tcW w:w="928" w:type="dxa"/>
            <w:shd w:val="clear" w:color="auto" w:fill="auto"/>
            <w:vAlign w:val="bottom"/>
          </w:tcPr>
          <w:p w14:paraId="3358FF7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806" w:type="dxa"/>
            <w:shd w:val="clear" w:color="auto" w:fill="auto"/>
            <w:vAlign w:val="bottom"/>
          </w:tcPr>
          <w:p w14:paraId="784D102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-0,24</w:t>
            </w:r>
          </w:p>
        </w:tc>
        <w:tc>
          <w:tcPr>
            <w:tcW w:w="900" w:type="dxa"/>
            <w:shd w:val="clear" w:color="auto" w:fill="auto"/>
            <w:vAlign w:val="bottom"/>
          </w:tcPr>
          <w:p w14:paraId="3F70C00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r>
      <w:tr w:rsidR="00A9361D" w14:paraId="02620C76" w14:textId="77777777">
        <w:trPr>
          <w:trHeight w:val="234"/>
        </w:trPr>
        <w:tc>
          <w:tcPr>
            <w:tcW w:w="9234" w:type="dxa"/>
            <w:gridSpan w:val="8"/>
            <w:tcBorders>
              <w:top w:val="single" w:sz="4" w:space="0" w:color="000000"/>
              <w:bottom w:val="single" w:sz="4" w:space="0" w:color="000000"/>
            </w:tcBorders>
            <w:shd w:val="clear" w:color="auto" w:fill="auto"/>
            <w:vAlign w:val="center"/>
          </w:tcPr>
          <w:p w14:paraId="3E55F342"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Sergipe</w:t>
            </w:r>
          </w:p>
        </w:tc>
      </w:tr>
      <w:tr w:rsidR="00A9361D" w14:paraId="3D988AD0" w14:textId="77777777">
        <w:trPr>
          <w:trHeight w:val="234"/>
        </w:trPr>
        <w:tc>
          <w:tcPr>
            <w:tcW w:w="3576" w:type="dxa"/>
            <w:shd w:val="clear" w:color="auto" w:fill="auto"/>
            <w:vAlign w:val="center"/>
          </w:tcPr>
          <w:p w14:paraId="0684CA69"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Todos os trabalhos</w:t>
            </w:r>
          </w:p>
        </w:tc>
        <w:tc>
          <w:tcPr>
            <w:tcW w:w="772" w:type="dxa"/>
            <w:shd w:val="clear" w:color="auto" w:fill="auto"/>
            <w:vAlign w:val="bottom"/>
          </w:tcPr>
          <w:p w14:paraId="2F55D2D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773" w:type="dxa"/>
            <w:shd w:val="clear" w:color="auto" w:fill="auto"/>
            <w:vAlign w:val="bottom"/>
          </w:tcPr>
          <w:p w14:paraId="0A85A75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c>
          <w:tcPr>
            <w:tcW w:w="773" w:type="dxa"/>
            <w:shd w:val="clear" w:color="auto" w:fill="auto"/>
            <w:vAlign w:val="bottom"/>
          </w:tcPr>
          <w:p w14:paraId="4472404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706" w:type="dxa"/>
            <w:shd w:val="clear" w:color="auto" w:fill="auto"/>
            <w:vAlign w:val="center"/>
          </w:tcPr>
          <w:p w14:paraId="6E191A2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928" w:type="dxa"/>
            <w:shd w:val="clear" w:color="auto" w:fill="auto"/>
            <w:vAlign w:val="bottom"/>
          </w:tcPr>
          <w:p w14:paraId="540C51D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c>
          <w:tcPr>
            <w:tcW w:w="806" w:type="dxa"/>
            <w:shd w:val="clear" w:color="auto" w:fill="auto"/>
            <w:vAlign w:val="bottom"/>
          </w:tcPr>
          <w:p w14:paraId="77AC3D4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-0,09</w:t>
            </w:r>
          </w:p>
        </w:tc>
        <w:tc>
          <w:tcPr>
            <w:tcW w:w="900" w:type="dxa"/>
            <w:shd w:val="clear" w:color="auto" w:fill="auto"/>
            <w:vAlign w:val="bottom"/>
          </w:tcPr>
          <w:p w14:paraId="25B8CCE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r>
      <w:tr w:rsidR="00A9361D" w14:paraId="02B4596E" w14:textId="77777777">
        <w:trPr>
          <w:trHeight w:val="234"/>
        </w:trPr>
        <w:tc>
          <w:tcPr>
            <w:tcW w:w="3576" w:type="dxa"/>
            <w:shd w:val="clear" w:color="auto" w:fill="auto"/>
            <w:vAlign w:val="center"/>
          </w:tcPr>
          <w:p w14:paraId="20121472"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Aposentadorias e pensões</w:t>
            </w:r>
          </w:p>
        </w:tc>
        <w:tc>
          <w:tcPr>
            <w:tcW w:w="772" w:type="dxa"/>
            <w:shd w:val="clear" w:color="auto" w:fill="auto"/>
            <w:vAlign w:val="bottom"/>
          </w:tcPr>
          <w:p w14:paraId="70A72CC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773" w:type="dxa"/>
            <w:shd w:val="clear" w:color="auto" w:fill="auto"/>
            <w:vAlign w:val="bottom"/>
          </w:tcPr>
          <w:p w14:paraId="586EE16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-0,20</w:t>
            </w:r>
          </w:p>
        </w:tc>
        <w:tc>
          <w:tcPr>
            <w:tcW w:w="773" w:type="dxa"/>
            <w:shd w:val="clear" w:color="auto" w:fill="auto"/>
            <w:vAlign w:val="bottom"/>
          </w:tcPr>
          <w:p w14:paraId="30CA355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-0,19</w:t>
            </w:r>
          </w:p>
        </w:tc>
        <w:tc>
          <w:tcPr>
            <w:tcW w:w="706" w:type="dxa"/>
            <w:shd w:val="clear" w:color="auto" w:fill="auto"/>
            <w:vAlign w:val="center"/>
          </w:tcPr>
          <w:p w14:paraId="586C126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928" w:type="dxa"/>
            <w:shd w:val="clear" w:color="auto" w:fill="auto"/>
            <w:vAlign w:val="bottom"/>
          </w:tcPr>
          <w:p w14:paraId="450BF40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806" w:type="dxa"/>
            <w:shd w:val="clear" w:color="auto" w:fill="auto"/>
            <w:vAlign w:val="bottom"/>
          </w:tcPr>
          <w:p w14:paraId="769DAA3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c>
          <w:tcPr>
            <w:tcW w:w="900" w:type="dxa"/>
            <w:shd w:val="clear" w:color="auto" w:fill="auto"/>
            <w:vAlign w:val="bottom"/>
          </w:tcPr>
          <w:p w14:paraId="19984C5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r>
      <w:tr w:rsidR="00A9361D" w14:paraId="72FDB83A" w14:textId="77777777">
        <w:trPr>
          <w:trHeight w:val="234"/>
        </w:trPr>
        <w:tc>
          <w:tcPr>
            <w:tcW w:w="3576" w:type="dxa"/>
            <w:shd w:val="clear" w:color="auto" w:fill="auto"/>
            <w:vAlign w:val="center"/>
          </w:tcPr>
          <w:p w14:paraId="5BD7858F"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Doação, pensão alimentícia ou mesada</w:t>
            </w:r>
          </w:p>
        </w:tc>
        <w:tc>
          <w:tcPr>
            <w:tcW w:w="772" w:type="dxa"/>
            <w:shd w:val="clear" w:color="auto" w:fill="auto"/>
            <w:vAlign w:val="bottom"/>
          </w:tcPr>
          <w:p w14:paraId="762BAC6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0,37</w:t>
            </w:r>
          </w:p>
        </w:tc>
        <w:tc>
          <w:tcPr>
            <w:tcW w:w="773" w:type="dxa"/>
            <w:shd w:val="clear" w:color="auto" w:fill="auto"/>
            <w:vAlign w:val="bottom"/>
          </w:tcPr>
          <w:p w14:paraId="0482842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0,37</w:t>
            </w:r>
          </w:p>
        </w:tc>
        <w:tc>
          <w:tcPr>
            <w:tcW w:w="773" w:type="dxa"/>
            <w:shd w:val="clear" w:color="auto" w:fill="auto"/>
            <w:vAlign w:val="bottom"/>
          </w:tcPr>
          <w:p w14:paraId="1E157D3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706" w:type="dxa"/>
            <w:shd w:val="clear" w:color="auto" w:fill="auto"/>
            <w:vAlign w:val="center"/>
          </w:tcPr>
          <w:p w14:paraId="3970F8F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0,38</w:t>
            </w:r>
          </w:p>
        </w:tc>
        <w:tc>
          <w:tcPr>
            <w:tcW w:w="928" w:type="dxa"/>
            <w:shd w:val="clear" w:color="auto" w:fill="auto"/>
            <w:vAlign w:val="bottom"/>
          </w:tcPr>
          <w:p w14:paraId="3E0C546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0,32</w:t>
            </w:r>
          </w:p>
        </w:tc>
        <w:tc>
          <w:tcPr>
            <w:tcW w:w="806" w:type="dxa"/>
            <w:shd w:val="clear" w:color="auto" w:fill="auto"/>
            <w:vAlign w:val="bottom"/>
          </w:tcPr>
          <w:p w14:paraId="7A0FCFF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0,47</w:t>
            </w:r>
          </w:p>
        </w:tc>
        <w:tc>
          <w:tcPr>
            <w:tcW w:w="900" w:type="dxa"/>
            <w:shd w:val="clear" w:color="auto" w:fill="auto"/>
            <w:vAlign w:val="bottom"/>
          </w:tcPr>
          <w:p w14:paraId="4BAAD01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0,40</w:t>
            </w:r>
          </w:p>
        </w:tc>
      </w:tr>
      <w:tr w:rsidR="00A9361D" w14:paraId="26767EBE" w14:textId="77777777">
        <w:trPr>
          <w:trHeight w:val="234"/>
        </w:trPr>
        <w:tc>
          <w:tcPr>
            <w:tcW w:w="3576" w:type="dxa"/>
            <w:shd w:val="clear" w:color="auto" w:fill="auto"/>
            <w:vAlign w:val="center"/>
          </w:tcPr>
          <w:p w14:paraId="0A9179EA"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Bolsa Família</w:t>
            </w:r>
          </w:p>
        </w:tc>
        <w:tc>
          <w:tcPr>
            <w:tcW w:w="772" w:type="dxa"/>
            <w:shd w:val="clear" w:color="auto" w:fill="auto"/>
            <w:vAlign w:val="bottom"/>
          </w:tcPr>
          <w:p w14:paraId="09FECEC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0,86</w:t>
            </w:r>
          </w:p>
        </w:tc>
        <w:tc>
          <w:tcPr>
            <w:tcW w:w="773" w:type="dxa"/>
            <w:shd w:val="clear" w:color="auto" w:fill="auto"/>
            <w:vAlign w:val="bottom"/>
          </w:tcPr>
          <w:p w14:paraId="0F4EF6F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0,73</w:t>
            </w:r>
          </w:p>
        </w:tc>
        <w:tc>
          <w:tcPr>
            <w:tcW w:w="773" w:type="dxa"/>
            <w:shd w:val="clear" w:color="auto" w:fill="auto"/>
            <w:vAlign w:val="bottom"/>
          </w:tcPr>
          <w:p w14:paraId="6366342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0,84</w:t>
            </w:r>
          </w:p>
        </w:tc>
        <w:tc>
          <w:tcPr>
            <w:tcW w:w="706" w:type="dxa"/>
            <w:shd w:val="clear" w:color="auto" w:fill="auto"/>
            <w:vAlign w:val="center"/>
          </w:tcPr>
          <w:p w14:paraId="62ECB49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0,88</w:t>
            </w:r>
          </w:p>
        </w:tc>
        <w:tc>
          <w:tcPr>
            <w:tcW w:w="928" w:type="dxa"/>
            <w:shd w:val="clear" w:color="auto" w:fill="auto"/>
            <w:vAlign w:val="bottom"/>
          </w:tcPr>
          <w:p w14:paraId="2DD98DB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0,93</w:t>
            </w:r>
          </w:p>
        </w:tc>
        <w:tc>
          <w:tcPr>
            <w:tcW w:w="806" w:type="dxa"/>
            <w:shd w:val="clear" w:color="auto" w:fill="auto"/>
            <w:vAlign w:val="bottom"/>
          </w:tcPr>
          <w:p w14:paraId="0E1EF63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0,99</w:t>
            </w:r>
          </w:p>
        </w:tc>
        <w:tc>
          <w:tcPr>
            <w:tcW w:w="900" w:type="dxa"/>
            <w:shd w:val="clear" w:color="auto" w:fill="auto"/>
            <w:vAlign w:val="bottom"/>
          </w:tcPr>
          <w:p w14:paraId="54D9113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0,95</w:t>
            </w:r>
          </w:p>
        </w:tc>
      </w:tr>
      <w:tr w:rsidR="00A9361D" w14:paraId="3E7538F5" w14:textId="77777777">
        <w:trPr>
          <w:trHeight w:val="234"/>
        </w:trPr>
        <w:tc>
          <w:tcPr>
            <w:tcW w:w="3576" w:type="dxa"/>
            <w:shd w:val="clear" w:color="auto" w:fill="auto"/>
            <w:vAlign w:val="center"/>
          </w:tcPr>
          <w:p w14:paraId="2AE8F9FE"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BPC-LOAS</w:t>
            </w:r>
          </w:p>
        </w:tc>
        <w:tc>
          <w:tcPr>
            <w:tcW w:w="772" w:type="dxa"/>
            <w:shd w:val="clear" w:color="auto" w:fill="auto"/>
            <w:vAlign w:val="bottom"/>
          </w:tcPr>
          <w:p w14:paraId="46CB5D3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0,26</w:t>
            </w:r>
          </w:p>
        </w:tc>
        <w:tc>
          <w:tcPr>
            <w:tcW w:w="773" w:type="dxa"/>
            <w:shd w:val="clear" w:color="auto" w:fill="auto"/>
            <w:vAlign w:val="bottom"/>
          </w:tcPr>
          <w:p w14:paraId="02C4D07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0,29</w:t>
            </w:r>
          </w:p>
        </w:tc>
        <w:tc>
          <w:tcPr>
            <w:tcW w:w="773" w:type="dxa"/>
            <w:shd w:val="clear" w:color="auto" w:fill="auto"/>
            <w:vAlign w:val="bottom"/>
          </w:tcPr>
          <w:p w14:paraId="537D4C6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0,30</w:t>
            </w:r>
          </w:p>
        </w:tc>
        <w:tc>
          <w:tcPr>
            <w:tcW w:w="706" w:type="dxa"/>
            <w:shd w:val="clear" w:color="auto" w:fill="auto"/>
            <w:vAlign w:val="center"/>
          </w:tcPr>
          <w:p w14:paraId="08E7EA1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0,32</w:t>
            </w:r>
          </w:p>
        </w:tc>
        <w:tc>
          <w:tcPr>
            <w:tcW w:w="928" w:type="dxa"/>
            <w:shd w:val="clear" w:color="auto" w:fill="auto"/>
            <w:vAlign w:val="bottom"/>
          </w:tcPr>
          <w:p w14:paraId="440CAF2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806" w:type="dxa"/>
            <w:shd w:val="clear" w:color="auto" w:fill="auto"/>
            <w:vAlign w:val="bottom"/>
          </w:tcPr>
          <w:p w14:paraId="35A83E7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900" w:type="dxa"/>
            <w:shd w:val="clear" w:color="auto" w:fill="auto"/>
            <w:vAlign w:val="bottom"/>
          </w:tcPr>
          <w:p w14:paraId="12721AA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0,34</w:t>
            </w:r>
          </w:p>
        </w:tc>
      </w:tr>
      <w:tr w:rsidR="00A9361D" w14:paraId="5B81F28E" w14:textId="77777777">
        <w:trPr>
          <w:trHeight w:val="234"/>
        </w:trPr>
        <w:tc>
          <w:tcPr>
            <w:tcW w:w="3576" w:type="dxa"/>
            <w:shd w:val="clear" w:color="auto" w:fill="auto"/>
            <w:vAlign w:val="center"/>
          </w:tcPr>
          <w:p w14:paraId="3216E300"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Auxílio Emergencial</w:t>
            </w:r>
          </w:p>
        </w:tc>
        <w:tc>
          <w:tcPr>
            <w:tcW w:w="772" w:type="dxa"/>
            <w:shd w:val="clear" w:color="auto" w:fill="auto"/>
            <w:vAlign w:val="bottom"/>
          </w:tcPr>
          <w:p w14:paraId="330F423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0,55</w:t>
            </w:r>
          </w:p>
        </w:tc>
        <w:tc>
          <w:tcPr>
            <w:tcW w:w="773" w:type="dxa"/>
            <w:shd w:val="clear" w:color="auto" w:fill="auto"/>
            <w:vAlign w:val="bottom"/>
          </w:tcPr>
          <w:p w14:paraId="6B6C92F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0,54</w:t>
            </w:r>
          </w:p>
        </w:tc>
        <w:tc>
          <w:tcPr>
            <w:tcW w:w="773" w:type="dxa"/>
            <w:shd w:val="clear" w:color="auto" w:fill="auto"/>
            <w:vAlign w:val="bottom"/>
          </w:tcPr>
          <w:p w14:paraId="3F50180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0,54</w:t>
            </w:r>
          </w:p>
        </w:tc>
        <w:tc>
          <w:tcPr>
            <w:tcW w:w="706" w:type="dxa"/>
            <w:shd w:val="clear" w:color="auto" w:fill="auto"/>
            <w:vAlign w:val="center"/>
          </w:tcPr>
          <w:p w14:paraId="7EB5B06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0,54</w:t>
            </w:r>
          </w:p>
        </w:tc>
        <w:tc>
          <w:tcPr>
            <w:tcW w:w="928" w:type="dxa"/>
            <w:shd w:val="clear" w:color="auto" w:fill="auto"/>
            <w:vAlign w:val="bottom"/>
          </w:tcPr>
          <w:p w14:paraId="1B3D820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0,53</w:t>
            </w:r>
          </w:p>
        </w:tc>
        <w:tc>
          <w:tcPr>
            <w:tcW w:w="806" w:type="dxa"/>
            <w:shd w:val="clear" w:color="auto" w:fill="auto"/>
            <w:vAlign w:val="bottom"/>
          </w:tcPr>
          <w:p w14:paraId="21B18D3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0,57</w:t>
            </w:r>
          </w:p>
        </w:tc>
        <w:tc>
          <w:tcPr>
            <w:tcW w:w="900" w:type="dxa"/>
            <w:shd w:val="clear" w:color="auto" w:fill="auto"/>
            <w:vAlign w:val="bottom"/>
          </w:tcPr>
          <w:p w14:paraId="33839F4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0,61</w:t>
            </w:r>
          </w:p>
        </w:tc>
      </w:tr>
      <w:tr w:rsidR="00A9361D" w14:paraId="10E7CC67" w14:textId="77777777">
        <w:trPr>
          <w:trHeight w:val="234"/>
        </w:trPr>
        <w:tc>
          <w:tcPr>
            <w:tcW w:w="3576" w:type="dxa"/>
            <w:shd w:val="clear" w:color="auto" w:fill="auto"/>
            <w:vAlign w:val="center"/>
          </w:tcPr>
          <w:p w14:paraId="23431F48"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lastRenderedPageBreak/>
              <w:t>Seguro-desemprego</w:t>
            </w:r>
          </w:p>
        </w:tc>
        <w:tc>
          <w:tcPr>
            <w:tcW w:w="772" w:type="dxa"/>
            <w:shd w:val="clear" w:color="auto" w:fill="auto"/>
            <w:vAlign w:val="bottom"/>
          </w:tcPr>
          <w:p w14:paraId="6113E3FF"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773" w:type="dxa"/>
            <w:shd w:val="clear" w:color="auto" w:fill="auto"/>
            <w:vAlign w:val="bottom"/>
          </w:tcPr>
          <w:p w14:paraId="531E9B7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0,32</w:t>
            </w:r>
          </w:p>
        </w:tc>
        <w:tc>
          <w:tcPr>
            <w:tcW w:w="773" w:type="dxa"/>
            <w:shd w:val="clear" w:color="auto" w:fill="auto"/>
            <w:vAlign w:val="bottom"/>
          </w:tcPr>
          <w:p w14:paraId="583FA27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706" w:type="dxa"/>
            <w:shd w:val="clear" w:color="auto" w:fill="auto"/>
            <w:vAlign w:val="center"/>
          </w:tcPr>
          <w:p w14:paraId="1C486E7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0,26</w:t>
            </w:r>
          </w:p>
        </w:tc>
        <w:tc>
          <w:tcPr>
            <w:tcW w:w="928" w:type="dxa"/>
            <w:shd w:val="clear" w:color="auto" w:fill="auto"/>
            <w:vAlign w:val="bottom"/>
          </w:tcPr>
          <w:p w14:paraId="21C2D72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0,32</w:t>
            </w:r>
          </w:p>
        </w:tc>
        <w:tc>
          <w:tcPr>
            <w:tcW w:w="806" w:type="dxa"/>
            <w:shd w:val="clear" w:color="auto" w:fill="auto"/>
            <w:vAlign w:val="bottom"/>
          </w:tcPr>
          <w:p w14:paraId="4AC39ED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0,31</w:t>
            </w:r>
          </w:p>
        </w:tc>
        <w:tc>
          <w:tcPr>
            <w:tcW w:w="900" w:type="dxa"/>
            <w:shd w:val="clear" w:color="auto" w:fill="auto"/>
            <w:vAlign w:val="bottom"/>
          </w:tcPr>
          <w:p w14:paraId="4DB0C0F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0,29</w:t>
            </w:r>
          </w:p>
        </w:tc>
      </w:tr>
      <w:tr w:rsidR="00A9361D" w14:paraId="78757A4C" w14:textId="77777777">
        <w:trPr>
          <w:trHeight w:val="234"/>
        </w:trPr>
        <w:tc>
          <w:tcPr>
            <w:tcW w:w="3576" w:type="dxa"/>
            <w:shd w:val="clear" w:color="auto" w:fill="auto"/>
            <w:vAlign w:val="center"/>
          </w:tcPr>
          <w:p w14:paraId="27994AE2"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 xml:space="preserve">Aluguel, arrendamento, aplicações financeiras </w:t>
            </w:r>
            <w:proofErr w:type="spellStart"/>
            <w:r>
              <w:rPr>
                <w:rFonts w:ascii="Times New Roman" w:eastAsia="Times New Roman" w:hAnsi="Times New Roman" w:cs="Times New Roman"/>
                <w:color w:val="000000"/>
                <w:sz w:val="16"/>
                <w:szCs w:val="16"/>
                <w:lang w:eastAsia="pt-BR"/>
              </w:rPr>
              <w:t>etc</w:t>
            </w:r>
            <w:proofErr w:type="spellEnd"/>
          </w:p>
        </w:tc>
        <w:tc>
          <w:tcPr>
            <w:tcW w:w="772" w:type="dxa"/>
            <w:shd w:val="clear" w:color="auto" w:fill="auto"/>
            <w:vAlign w:val="bottom"/>
          </w:tcPr>
          <w:p w14:paraId="3EDA942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-0,18</w:t>
            </w:r>
          </w:p>
        </w:tc>
        <w:tc>
          <w:tcPr>
            <w:tcW w:w="773" w:type="dxa"/>
            <w:shd w:val="clear" w:color="auto" w:fill="auto"/>
            <w:vAlign w:val="bottom"/>
          </w:tcPr>
          <w:p w14:paraId="62732E2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773" w:type="dxa"/>
            <w:shd w:val="clear" w:color="auto" w:fill="auto"/>
            <w:vAlign w:val="bottom"/>
          </w:tcPr>
          <w:p w14:paraId="77BF7E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-0,19</w:t>
            </w:r>
          </w:p>
        </w:tc>
        <w:tc>
          <w:tcPr>
            <w:tcW w:w="706" w:type="dxa"/>
            <w:shd w:val="clear" w:color="auto" w:fill="auto"/>
            <w:vAlign w:val="bottom"/>
          </w:tcPr>
          <w:p w14:paraId="086565B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-0,19</w:t>
            </w:r>
          </w:p>
        </w:tc>
        <w:tc>
          <w:tcPr>
            <w:tcW w:w="928" w:type="dxa"/>
            <w:shd w:val="clear" w:color="auto" w:fill="auto"/>
            <w:vAlign w:val="bottom"/>
          </w:tcPr>
          <w:p w14:paraId="34FB2C1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806" w:type="dxa"/>
            <w:shd w:val="clear" w:color="auto" w:fill="auto"/>
            <w:vAlign w:val="bottom"/>
          </w:tcPr>
          <w:p w14:paraId="22D8353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900" w:type="dxa"/>
            <w:shd w:val="clear" w:color="auto" w:fill="auto"/>
            <w:vAlign w:val="bottom"/>
          </w:tcPr>
          <w:p w14:paraId="5B7D7EC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r>
      <w:tr w:rsidR="00A9361D" w14:paraId="64A759B9" w14:textId="77777777">
        <w:trPr>
          <w:trHeight w:val="234"/>
        </w:trPr>
        <w:tc>
          <w:tcPr>
            <w:tcW w:w="9234" w:type="dxa"/>
            <w:gridSpan w:val="8"/>
            <w:tcBorders>
              <w:top w:val="single" w:sz="4" w:space="0" w:color="000000"/>
              <w:bottom w:val="single" w:sz="4" w:space="0" w:color="000000"/>
            </w:tcBorders>
            <w:shd w:val="clear" w:color="auto" w:fill="auto"/>
            <w:vAlign w:val="center"/>
          </w:tcPr>
          <w:p w14:paraId="4DE1A5ED"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Paraíba</w:t>
            </w:r>
          </w:p>
        </w:tc>
      </w:tr>
      <w:tr w:rsidR="00A9361D" w14:paraId="79A9E381" w14:textId="77777777">
        <w:trPr>
          <w:trHeight w:val="234"/>
        </w:trPr>
        <w:tc>
          <w:tcPr>
            <w:tcW w:w="3576" w:type="dxa"/>
            <w:shd w:val="clear" w:color="auto" w:fill="auto"/>
            <w:vAlign w:val="center"/>
          </w:tcPr>
          <w:p w14:paraId="032A0C3E"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Todos os trabalhos</w:t>
            </w:r>
          </w:p>
        </w:tc>
        <w:tc>
          <w:tcPr>
            <w:tcW w:w="772" w:type="dxa"/>
            <w:shd w:val="clear" w:color="auto" w:fill="auto"/>
            <w:vAlign w:val="bottom"/>
          </w:tcPr>
          <w:p w14:paraId="7F24479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773" w:type="dxa"/>
            <w:shd w:val="clear" w:color="auto" w:fill="auto"/>
            <w:vAlign w:val="bottom"/>
          </w:tcPr>
          <w:p w14:paraId="2DDA637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773" w:type="dxa"/>
            <w:shd w:val="clear" w:color="auto" w:fill="auto"/>
            <w:vAlign w:val="bottom"/>
          </w:tcPr>
          <w:p w14:paraId="2E278CD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706" w:type="dxa"/>
            <w:shd w:val="clear" w:color="auto" w:fill="auto"/>
            <w:vAlign w:val="bottom"/>
          </w:tcPr>
          <w:p w14:paraId="3E5343E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928" w:type="dxa"/>
            <w:shd w:val="clear" w:color="auto" w:fill="auto"/>
            <w:vAlign w:val="bottom"/>
          </w:tcPr>
          <w:p w14:paraId="1B603A4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806" w:type="dxa"/>
            <w:shd w:val="clear" w:color="auto" w:fill="auto"/>
            <w:vAlign w:val="bottom"/>
          </w:tcPr>
          <w:p w14:paraId="55A77A7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-0,11</w:t>
            </w:r>
          </w:p>
        </w:tc>
        <w:tc>
          <w:tcPr>
            <w:tcW w:w="900" w:type="dxa"/>
            <w:shd w:val="clear" w:color="auto" w:fill="auto"/>
            <w:vAlign w:val="bottom"/>
          </w:tcPr>
          <w:p w14:paraId="151249E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r>
      <w:tr w:rsidR="00A9361D" w14:paraId="3ABF701D" w14:textId="77777777">
        <w:trPr>
          <w:trHeight w:val="234"/>
        </w:trPr>
        <w:tc>
          <w:tcPr>
            <w:tcW w:w="3576" w:type="dxa"/>
            <w:shd w:val="clear" w:color="auto" w:fill="auto"/>
            <w:vAlign w:val="center"/>
          </w:tcPr>
          <w:p w14:paraId="0589BBBC"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Aposentadorias e pensões</w:t>
            </w:r>
          </w:p>
        </w:tc>
        <w:tc>
          <w:tcPr>
            <w:tcW w:w="772" w:type="dxa"/>
            <w:shd w:val="clear" w:color="auto" w:fill="auto"/>
            <w:vAlign w:val="bottom"/>
          </w:tcPr>
          <w:p w14:paraId="0FF3D61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-0,06</w:t>
            </w:r>
          </w:p>
        </w:tc>
        <w:tc>
          <w:tcPr>
            <w:tcW w:w="773" w:type="dxa"/>
            <w:shd w:val="clear" w:color="auto" w:fill="auto"/>
            <w:vAlign w:val="bottom"/>
          </w:tcPr>
          <w:p w14:paraId="186A06E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-0,11</w:t>
            </w:r>
          </w:p>
        </w:tc>
        <w:tc>
          <w:tcPr>
            <w:tcW w:w="773" w:type="dxa"/>
            <w:shd w:val="clear" w:color="auto" w:fill="auto"/>
            <w:vAlign w:val="bottom"/>
          </w:tcPr>
          <w:p w14:paraId="36989D9F"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706" w:type="dxa"/>
            <w:shd w:val="clear" w:color="auto" w:fill="auto"/>
            <w:vAlign w:val="bottom"/>
          </w:tcPr>
          <w:p w14:paraId="17E3A95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c>
          <w:tcPr>
            <w:tcW w:w="928" w:type="dxa"/>
            <w:shd w:val="clear" w:color="auto" w:fill="auto"/>
            <w:vAlign w:val="bottom"/>
          </w:tcPr>
          <w:p w14:paraId="13E43A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c>
          <w:tcPr>
            <w:tcW w:w="806" w:type="dxa"/>
            <w:shd w:val="clear" w:color="auto" w:fill="auto"/>
            <w:vAlign w:val="bottom"/>
          </w:tcPr>
          <w:p w14:paraId="35A5672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900" w:type="dxa"/>
            <w:shd w:val="clear" w:color="auto" w:fill="auto"/>
            <w:vAlign w:val="bottom"/>
          </w:tcPr>
          <w:p w14:paraId="2572A8B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r>
      <w:tr w:rsidR="00A9361D" w14:paraId="7029C37B" w14:textId="77777777">
        <w:trPr>
          <w:trHeight w:val="234"/>
        </w:trPr>
        <w:tc>
          <w:tcPr>
            <w:tcW w:w="3576" w:type="dxa"/>
            <w:shd w:val="clear" w:color="auto" w:fill="auto"/>
            <w:vAlign w:val="center"/>
          </w:tcPr>
          <w:p w14:paraId="5D3CD722"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Doação, pensão alimentícia ou mesada</w:t>
            </w:r>
          </w:p>
        </w:tc>
        <w:tc>
          <w:tcPr>
            <w:tcW w:w="772" w:type="dxa"/>
            <w:shd w:val="clear" w:color="auto" w:fill="auto"/>
            <w:vAlign w:val="bottom"/>
          </w:tcPr>
          <w:p w14:paraId="021621F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773" w:type="dxa"/>
            <w:shd w:val="clear" w:color="auto" w:fill="auto"/>
            <w:vAlign w:val="bottom"/>
          </w:tcPr>
          <w:p w14:paraId="26211EA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0,04</w:t>
            </w:r>
          </w:p>
        </w:tc>
        <w:tc>
          <w:tcPr>
            <w:tcW w:w="773" w:type="dxa"/>
            <w:shd w:val="clear" w:color="auto" w:fill="auto"/>
            <w:vAlign w:val="bottom"/>
          </w:tcPr>
          <w:p w14:paraId="5FA1A91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0,04</w:t>
            </w:r>
          </w:p>
        </w:tc>
        <w:tc>
          <w:tcPr>
            <w:tcW w:w="706" w:type="dxa"/>
            <w:shd w:val="clear" w:color="auto" w:fill="auto"/>
            <w:vAlign w:val="bottom"/>
          </w:tcPr>
          <w:p w14:paraId="57DFA4B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0,00</w:t>
            </w:r>
          </w:p>
        </w:tc>
        <w:tc>
          <w:tcPr>
            <w:tcW w:w="928" w:type="dxa"/>
            <w:shd w:val="clear" w:color="auto" w:fill="auto"/>
            <w:vAlign w:val="bottom"/>
          </w:tcPr>
          <w:p w14:paraId="39BF4C3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806" w:type="dxa"/>
            <w:shd w:val="clear" w:color="auto" w:fill="auto"/>
            <w:vAlign w:val="bottom"/>
          </w:tcPr>
          <w:p w14:paraId="7ADB88E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900" w:type="dxa"/>
            <w:shd w:val="clear" w:color="auto" w:fill="auto"/>
            <w:vAlign w:val="bottom"/>
          </w:tcPr>
          <w:p w14:paraId="531F3B1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r>
      <w:tr w:rsidR="00A9361D" w14:paraId="6B027DD7" w14:textId="77777777">
        <w:trPr>
          <w:trHeight w:val="234"/>
        </w:trPr>
        <w:tc>
          <w:tcPr>
            <w:tcW w:w="3576" w:type="dxa"/>
            <w:shd w:val="clear" w:color="auto" w:fill="auto"/>
            <w:vAlign w:val="center"/>
          </w:tcPr>
          <w:p w14:paraId="0D3D2A64"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Bolsa Família</w:t>
            </w:r>
          </w:p>
        </w:tc>
        <w:tc>
          <w:tcPr>
            <w:tcW w:w="772" w:type="dxa"/>
            <w:shd w:val="clear" w:color="auto" w:fill="auto"/>
            <w:vAlign w:val="bottom"/>
          </w:tcPr>
          <w:p w14:paraId="7E8FF69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0,72</w:t>
            </w:r>
          </w:p>
        </w:tc>
        <w:tc>
          <w:tcPr>
            <w:tcW w:w="773" w:type="dxa"/>
            <w:shd w:val="clear" w:color="auto" w:fill="auto"/>
            <w:vAlign w:val="bottom"/>
          </w:tcPr>
          <w:p w14:paraId="73F4353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0,72</w:t>
            </w:r>
          </w:p>
        </w:tc>
        <w:tc>
          <w:tcPr>
            <w:tcW w:w="773" w:type="dxa"/>
            <w:shd w:val="clear" w:color="auto" w:fill="auto"/>
            <w:vAlign w:val="bottom"/>
          </w:tcPr>
          <w:p w14:paraId="7AAAF6C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0,67</w:t>
            </w:r>
          </w:p>
        </w:tc>
        <w:tc>
          <w:tcPr>
            <w:tcW w:w="706" w:type="dxa"/>
            <w:shd w:val="clear" w:color="auto" w:fill="auto"/>
            <w:vAlign w:val="bottom"/>
          </w:tcPr>
          <w:p w14:paraId="0BC9B16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0,68</w:t>
            </w:r>
          </w:p>
        </w:tc>
        <w:tc>
          <w:tcPr>
            <w:tcW w:w="928" w:type="dxa"/>
            <w:shd w:val="clear" w:color="auto" w:fill="auto"/>
            <w:vAlign w:val="bottom"/>
          </w:tcPr>
          <w:p w14:paraId="53A8253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0,66</w:t>
            </w:r>
          </w:p>
        </w:tc>
        <w:tc>
          <w:tcPr>
            <w:tcW w:w="806" w:type="dxa"/>
            <w:shd w:val="clear" w:color="auto" w:fill="auto"/>
            <w:vAlign w:val="bottom"/>
          </w:tcPr>
          <w:p w14:paraId="74A8BCE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0,86</w:t>
            </w:r>
          </w:p>
        </w:tc>
        <w:tc>
          <w:tcPr>
            <w:tcW w:w="900" w:type="dxa"/>
            <w:shd w:val="clear" w:color="auto" w:fill="auto"/>
            <w:vAlign w:val="bottom"/>
          </w:tcPr>
          <w:p w14:paraId="0863781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0,93</w:t>
            </w:r>
          </w:p>
        </w:tc>
      </w:tr>
      <w:tr w:rsidR="00A9361D" w14:paraId="64D65FAD" w14:textId="77777777">
        <w:trPr>
          <w:trHeight w:val="234"/>
        </w:trPr>
        <w:tc>
          <w:tcPr>
            <w:tcW w:w="3576" w:type="dxa"/>
            <w:shd w:val="clear" w:color="auto" w:fill="auto"/>
            <w:vAlign w:val="center"/>
          </w:tcPr>
          <w:p w14:paraId="59A2947E"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BPC-LOAS</w:t>
            </w:r>
          </w:p>
        </w:tc>
        <w:tc>
          <w:tcPr>
            <w:tcW w:w="772" w:type="dxa"/>
            <w:shd w:val="clear" w:color="auto" w:fill="auto"/>
            <w:vAlign w:val="bottom"/>
          </w:tcPr>
          <w:p w14:paraId="4D279B7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0,31</w:t>
            </w:r>
          </w:p>
        </w:tc>
        <w:tc>
          <w:tcPr>
            <w:tcW w:w="773" w:type="dxa"/>
            <w:shd w:val="clear" w:color="auto" w:fill="auto"/>
            <w:vAlign w:val="bottom"/>
          </w:tcPr>
          <w:p w14:paraId="0384CB9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0,26</w:t>
            </w:r>
          </w:p>
        </w:tc>
        <w:tc>
          <w:tcPr>
            <w:tcW w:w="773" w:type="dxa"/>
            <w:shd w:val="clear" w:color="auto" w:fill="auto"/>
            <w:vAlign w:val="bottom"/>
          </w:tcPr>
          <w:p w14:paraId="1883877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0,26</w:t>
            </w:r>
          </w:p>
        </w:tc>
        <w:tc>
          <w:tcPr>
            <w:tcW w:w="706" w:type="dxa"/>
            <w:shd w:val="clear" w:color="auto" w:fill="auto"/>
            <w:vAlign w:val="bottom"/>
          </w:tcPr>
          <w:p w14:paraId="08F0ED1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0,28</w:t>
            </w:r>
          </w:p>
        </w:tc>
        <w:tc>
          <w:tcPr>
            <w:tcW w:w="928" w:type="dxa"/>
            <w:shd w:val="clear" w:color="auto" w:fill="auto"/>
            <w:vAlign w:val="bottom"/>
          </w:tcPr>
          <w:p w14:paraId="1DC49E2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0,29</w:t>
            </w:r>
          </w:p>
        </w:tc>
        <w:tc>
          <w:tcPr>
            <w:tcW w:w="806" w:type="dxa"/>
            <w:shd w:val="clear" w:color="auto" w:fill="auto"/>
            <w:vAlign w:val="bottom"/>
          </w:tcPr>
          <w:p w14:paraId="1AF39E8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0,35</w:t>
            </w:r>
          </w:p>
        </w:tc>
        <w:tc>
          <w:tcPr>
            <w:tcW w:w="900" w:type="dxa"/>
            <w:shd w:val="clear" w:color="auto" w:fill="auto"/>
            <w:vAlign w:val="bottom"/>
          </w:tcPr>
          <w:p w14:paraId="0F16480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0,30</w:t>
            </w:r>
          </w:p>
        </w:tc>
      </w:tr>
      <w:tr w:rsidR="00A9361D" w14:paraId="1401FE22" w14:textId="77777777">
        <w:trPr>
          <w:trHeight w:val="234"/>
        </w:trPr>
        <w:tc>
          <w:tcPr>
            <w:tcW w:w="3576" w:type="dxa"/>
            <w:shd w:val="clear" w:color="auto" w:fill="auto"/>
            <w:vAlign w:val="center"/>
          </w:tcPr>
          <w:p w14:paraId="0F216AF5"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Auxílio Emergencial</w:t>
            </w:r>
          </w:p>
        </w:tc>
        <w:tc>
          <w:tcPr>
            <w:tcW w:w="772" w:type="dxa"/>
            <w:shd w:val="clear" w:color="auto" w:fill="auto"/>
            <w:vAlign w:val="bottom"/>
          </w:tcPr>
          <w:p w14:paraId="1010FD3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0,53</w:t>
            </w:r>
          </w:p>
        </w:tc>
        <w:tc>
          <w:tcPr>
            <w:tcW w:w="773" w:type="dxa"/>
            <w:shd w:val="clear" w:color="auto" w:fill="auto"/>
            <w:vAlign w:val="bottom"/>
          </w:tcPr>
          <w:p w14:paraId="76CDFF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0,55</w:t>
            </w:r>
          </w:p>
        </w:tc>
        <w:tc>
          <w:tcPr>
            <w:tcW w:w="773" w:type="dxa"/>
            <w:shd w:val="clear" w:color="auto" w:fill="auto"/>
            <w:vAlign w:val="bottom"/>
          </w:tcPr>
          <w:p w14:paraId="57D0461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0,55</w:t>
            </w:r>
          </w:p>
        </w:tc>
        <w:tc>
          <w:tcPr>
            <w:tcW w:w="706" w:type="dxa"/>
            <w:shd w:val="clear" w:color="auto" w:fill="auto"/>
            <w:vAlign w:val="bottom"/>
          </w:tcPr>
          <w:p w14:paraId="6C1CCF3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0,53</w:t>
            </w:r>
          </w:p>
        </w:tc>
        <w:tc>
          <w:tcPr>
            <w:tcW w:w="928" w:type="dxa"/>
            <w:shd w:val="clear" w:color="auto" w:fill="auto"/>
            <w:vAlign w:val="bottom"/>
          </w:tcPr>
          <w:p w14:paraId="2846776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0,53</w:t>
            </w:r>
          </w:p>
        </w:tc>
        <w:tc>
          <w:tcPr>
            <w:tcW w:w="806" w:type="dxa"/>
            <w:shd w:val="clear" w:color="auto" w:fill="auto"/>
            <w:vAlign w:val="bottom"/>
          </w:tcPr>
          <w:p w14:paraId="325F7F2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0,57</w:t>
            </w:r>
          </w:p>
        </w:tc>
        <w:tc>
          <w:tcPr>
            <w:tcW w:w="900" w:type="dxa"/>
            <w:shd w:val="clear" w:color="auto" w:fill="auto"/>
            <w:vAlign w:val="bottom"/>
          </w:tcPr>
          <w:p w14:paraId="149E327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0,61</w:t>
            </w:r>
          </w:p>
        </w:tc>
      </w:tr>
      <w:tr w:rsidR="00A9361D" w14:paraId="7CDF1D50" w14:textId="77777777">
        <w:trPr>
          <w:trHeight w:val="234"/>
        </w:trPr>
        <w:tc>
          <w:tcPr>
            <w:tcW w:w="3576" w:type="dxa"/>
            <w:shd w:val="clear" w:color="auto" w:fill="auto"/>
            <w:vAlign w:val="center"/>
          </w:tcPr>
          <w:p w14:paraId="2B7F131A"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Seguro-desemprego</w:t>
            </w:r>
          </w:p>
        </w:tc>
        <w:tc>
          <w:tcPr>
            <w:tcW w:w="772" w:type="dxa"/>
            <w:shd w:val="clear" w:color="auto" w:fill="auto"/>
            <w:vAlign w:val="bottom"/>
          </w:tcPr>
          <w:p w14:paraId="450CA17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773" w:type="dxa"/>
            <w:shd w:val="clear" w:color="auto" w:fill="auto"/>
            <w:vAlign w:val="bottom"/>
          </w:tcPr>
          <w:p w14:paraId="109C187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0,25</w:t>
            </w:r>
          </w:p>
        </w:tc>
        <w:tc>
          <w:tcPr>
            <w:tcW w:w="773" w:type="dxa"/>
            <w:shd w:val="clear" w:color="auto" w:fill="auto"/>
            <w:vAlign w:val="bottom"/>
          </w:tcPr>
          <w:p w14:paraId="4F63883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0,11</w:t>
            </w:r>
          </w:p>
        </w:tc>
        <w:tc>
          <w:tcPr>
            <w:tcW w:w="706" w:type="dxa"/>
            <w:shd w:val="clear" w:color="auto" w:fill="auto"/>
            <w:vAlign w:val="bottom"/>
          </w:tcPr>
          <w:p w14:paraId="386C760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0,16</w:t>
            </w:r>
          </w:p>
        </w:tc>
        <w:tc>
          <w:tcPr>
            <w:tcW w:w="928" w:type="dxa"/>
            <w:shd w:val="clear" w:color="auto" w:fill="auto"/>
            <w:vAlign w:val="bottom"/>
          </w:tcPr>
          <w:p w14:paraId="33F997A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0,18</w:t>
            </w:r>
          </w:p>
        </w:tc>
        <w:tc>
          <w:tcPr>
            <w:tcW w:w="806" w:type="dxa"/>
            <w:shd w:val="clear" w:color="auto" w:fill="auto"/>
            <w:vAlign w:val="bottom"/>
          </w:tcPr>
          <w:p w14:paraId="093CC89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0,02</w:t>
            </w:r>
          </w:p>
        </w:tc>
        <w:tc>
          <w:tcPr>
            <w:tcW w:w="900" w:type="dxa"/>
            <w:shd w:val="clear" w:color="auto" w:fill="auto"/>
            <w:vAlign w:val="bottom"/>
          </w:tcPr>
          <w:p w14:paraId="7BE78B7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0,11</w:t>
            </w:r>
          </w:p>
        </w:tc>
      </w:tr>
      <w:tr w:rsidR="00A9361D" w14:paraId="27C48A60" w14:textId="77777777">
        <w:trPr>
          <w:trHeight w:val="234"/>
        </w:trPr>
        <w:tc>
          <w:tcPr>
            <w:tcW w:w="3576" w:type="dxa"/>
            <w:shd w:val="clear" w:color="auto" w:fill="auto"/>
            <w:vAlign w:val="center"/>
          </w:tcPr>
          <w:p w14:paraId="16747D47"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 xml:space="preserve">Aluguel, arrendamento, aplicações financeiras </w:t>
            </w:r>
            <w:proofErr w:type="spellStart"/>
            <w:r>
              <w:rPr>
                <w:rFonts w:ascii="Times New Roman" w:eastAsia="Times New Roman" w:hAnsi="Times New Roman" w:cs="Times New Roman"/>
                <w:color w:val="000000"/>
                <w:sz w:val="16"/>
                <w:szCs w:val="16"/>
                <w:lang w:eastAsia="pt-BR"/>
              </w:rPr>
              <w:t>etc</w:t>
            </w:r>
            <w:proofErr w:type="spellEnd"/>
          </w:p>
        </w:tc>
        <w:tc>
          <w:tcPr>
            <w:tcW w:w="772" w:type="dxa"/>
            <w:shd w:val="clear" w:color="auto" w:fill="auto"/>
            <w:vAlign w:val="bottom"/>
          </w:tcPr>
          <w:p w14:paraId="0DF6BFF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-0,37</w:t>
            </w:r>
          </w:p>
        </w:tc>
        <w:tc>
          <w:tcPr>
            <w:tcW w:w="773" w:type="dxa"/>
            <w:shd w:val="clear" w:color="auto" w:fill="auto"/>
            <w:vAlign w:val="bottom"/>
          </w:tcPr>
          <w:p w14:paraId="4E2F694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-0,36</w:t>
            </w:r>
          </w:p>
        </w:tc>
        <w:tc>
          <w:tcPr>
            <w:tcW w:w="773" w:type="dxa"/>
            <w:shd w:val="clear" w:color="auto" w:fill="auto"/>
            <w:vAlign w:val="bottom"/>
          </w:tcPr>
          <w:p w14:paraId="0BE5CC7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706" w:type="dxa"/>
            <w:shd w:val="clear" w:color="auto" w:fill="auto"/>
            <w:vAlign w:val="bottom"/>
          </w:tcPr>
          <w:p w14:paraId="09E2A42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-0,37</w:t>
            </w:r>
          </w:p>
        </w:tc>
        <w:tc>
          <w:tcPr>
            <w:tcW w:w="928" w:type="dxa"/>
            <w:shd w:val="clear" w:color="auto" w:fill="auto"/>
            <w:vAlign w:val="bottom"/>
          </w:tcPr>
          <w:p w14:paraId="56BFAC8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-0,34</w:t>
            </w:r>
          </w:p>
        </w:tc>
        <w:tc>
          <w:tcPr>
            <w:tcW w:w="806" w:type="dxa"/>
            <w:shd w:val="clear" w:color="auto" w:fill="auto"/>
            <w:vAlign w:val="bottom"/>
          </w:tcPr>
          <w:p w14:paraId="124B954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-0,30</w:t>
            </w:r>
          </w:p>
        </w:tc>
        <w:tc>
          <w:tcPr>
            <w:tcW w:w="900" w:type="dxa"/>
            <w:shd w:val="clear" w:color="auto" w:fill="auto"/>
            <w:vAlign w:val="bottom"/>
          </w:tcPr>
          <w:p w14:paraId="78A9DE5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-0,30</w:t>
            </w:r>
          </w:p>
        </w:tc>
      </w:tr>
      <w:tr w:rsidR="00A9361D" w14:paraId="460AFC77" w14:textId="77777777">
        <w:trPr>
          <w:trHeight w:val="234"/>
        </w:trPr>
        <w:tc>
          <w:tcPr>
            <w:tcW w:w="9234" w:type="dxa"/>
            <w:gridSpan w:val="8"/>
            <w:tcBorders>
              <w:top w:val="single" w:sz="4" w:space="0" w:color="000000"/>
              <w:bottom w:val="single" w:sz="4" w:space="0" w:color="000000"/>
            </w:tcBorders>
            <w:shd w:val="clear" w:color="auto" w:fill="auto"/>
            <w:vAlign w:val="bottom"/>
          </w:tcPr>
          <w:p w14:paraId="39FD50A1" w14:textId="77777777" w:rsidR="00A9361D" w:rsidRDefault="00000000">
            <w:pPr>
              <w:spacing w:after="0" w:line="240" w:lineRule="auto"/>
              <w:jc w:val="center"/>
              <w:rPr>
                <w:rFonts w:ascii="Times New Roman" w:eastAsia="Times New Roman" w:hAnsi="Times New Roman" w:cs="Times New Roman"/>
                <w:b/>
                <w:bCs/>
                <w:color w:val="000000"/>
                <w:sz w:val="16"/>
                <w:szCs w:val="16"/>
                <w:lang w:eastAsia="pt-BR"/>
              </w:rPr>
            </w:pPr>
            <w:r>
              <w:rPr>
                <w:rFonts w:ascii="Times New Roman" w:eastAsia="Times New Roman" w:hAnsi="Times New Roman" w:cs="Times New Roman"/>
                <w:b/>
                <w:bCs/>
                <w:color w:val="000000"/>
                <w:sz w:val="16"/>
                <w:szCs w:val="16"/>
                <w:lang w:eastAsia="pt-BR"/>
              </w:rPr>
              <w:t>Rio Grande do Norte</w:t>
            </w:r>
          </w:p>
        </w:tc>
      </w:tr>
      <w:tr w:rsidR="00A9361D" w14:paraId="6A697BBD" w14:textId="77777777">
        <w:trPr>
          <w:trHeight w:val="234"/>
        </w:trPr>
        <w:tc>
          <w:tcPr>
            <w:tcW w:w="3576" w:type="dxa"/>
            <w:shd w:val="clear" w:color="auto" w:fill="auto"/>
            <w:vAlign w:val="center"/>
          </w:tcPr>
          <w:p w14:paraId="2E84421D"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Todos os trabalhos</w:t>
            </w:r>
          </w:p>
        </w:tc>
        <w:tc>
          <w:tcPr>
            <w:tcW w:w="772" w:type="dxa"/>
            <w:shd w:val="clear" w:color="auto" w:fill="auto"/>
            <w:vAlign w:val="bottom"/>
          </w:tcPr>
          <w:p w14:paraId="22E9270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c>
          <w:tcPr>
            <w:tcW w:w="773" w:type="dxa"/>
            <w:shd w:val="clear" w:color="auto" w:fill="auto"/>
            <w:vAlign w:val="bottom"/>
          </w:tcPr>
          <w:p w14:paraId="658C19B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773" w:type="dxa"/>
            <w:shd w:val="clear" w:color="auto" w:fill="auto"/>
            <w:vAlign w:val="bottom"/>
          </w:tcPr>
          <w:p w14:paraId="4AC3E60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706" w:type="dxa"/>
            <w:shd w:val="clear" w:color="auto" w:fill="auto"/>
            <w:vAlign w:val="bottom"/>
          </w:tcPr>
          <w:p w14:paraId="585BDB1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c>
          <w:tcPr>
            <w:tcW w:w="928" w:type="dxa"/>
            <w:shd w:val="clear" w:color="auto" w:fill="auto"/>
            <w:vAlign w:val="bottom"/>
          </w:tcPr>
          <w:p w14:paraId="56F06DE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806" w:type="dxa"/>
            <w:shd w:val="clear" w:color="auto" w:fill="auto"/>
            <w:vAlign w:val="bottom"/>
          </w:tcPr>
          <w:p w14:paraId="60B3FB8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900" w:type="dxa"/>
            <w:shd w:val="clear" w:color="auto" w:fill="auto"/>
            <w:vAlign w:val="bottom"/>
          </w:tcPr>
          <w:p w14:paraId="73C512A7"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-0,09</w:t>
            </w:r>
          </w:p>
        </w:tc>
      </w:tr>
      <w:tr w:rsidR="00A9361D" w14:paraId="71C12CCB" w14:textId="77777777">
        <w:trPr>
          <w:trHeight w:val="234"/>
        </w:trPr>
        <w:tc>
          <w:tcPr>
            <w:tcW w:w="3576" w:type="dxa"/>
            <w:shd w:val="clear" w:color="auto" w:fill="auto"/>
            <w:vAlign w:val="center"/>
          </w:tcPr>
          <w:p w14:paraId="6BBCF13A"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Aposentadorias e pensões</w:t>
            </w:r>
          </w:p>
        </w:tc>
        <w:tc>
          <w:tcPr>
            <w:tcW w:w="772" w:type="dxa"/>
            <w:shd w:val="clear" w:color="auto" w:fill="auto"/>
            <w:vAlign w:val="bottom"/>
          </w:tcPr>
          <w:p w14:paraId="4A7F29A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773" w:type="dxa"/>
            <w:shd w:val="clear" w:color="auto" w:fill="auto"/>
            <w:vAlign w:val="bottom"/>
          </w:tcPr>
          <w:p w14:paraId="0B6E58A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-0,10</w:t>
            </w:r>
          </w:p>
        </w:tc>
        <w:tc>
          <w:tcPr>
            <w:tcW w:w="773" w:type="dxa"/>
            <w:shd w:val="clear" w:color="auto" w:fill="auto"/>
            <w:vAlign w:val="bottom"/>
          </w:tcPr>
          <w:p w14:paraId="234C5FE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-0,06</w:t>
            </w:r>
          </w:p>
        </w:tc>
        <w:tc>
          <w:tcPr>
            <w:tcW w:w="706" w:type="dxa"/>
            <w:shd w:val="clear" w:color="auto" w:fill="auto"/>
            <w:vAlign w:val="bottom"/>
          </w:tcPr>
          <w:p w14:paraId="4407FB3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928" w:type="dxa"/>
            <w:shd w:val="clear" w:color="auto" w:fill="auto"/>
            <w:vAlign w:val="bottom"/>
          </w:tcPr>
          <w:p w14:paraId="013CF56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-0,09</w:t>
            </w:r>
          </w:p>
        </w:tc>
        <w:tc>
          <w:tcPr>
            <w:tcW w:w="806" w:type="dxa"/>
            <w:shd w:val="clear" w:color="auto" w:fill="auto"/>
            <w:vAlign w:val="bottom"/>
          </w:tcPr>
          <w:p w14:paraId="1A9E248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-0,05</w:t>
            </w:r>
          </w:p>
        </w:tc>
        <w:tc>
          <w:tcPr>
            <w:tcW w:w="900" w:type="dxa"/>
            <w:shd w:val="clear" w:color="auto" w:fill="auto"/>
            <w:vAlign w:val="bottom"/>
          </w:tcPr>
          <w:p w14:paraId="3FEC929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-0,06</w:t>
            </w:r>
          </w:p>
        </w:tc>
      </w:tr>
      <w:tr w:rsidR="00A9361D" w14:paraId="5E4220F6" w14:textId="77777777">
        <w:trPr>
          <w:trHeight w:val="234"/>
        </w:trPr>
        <w:tc>
          <w:tcPr>
            <w:tcW w:w="3576" w:type="dxa"/>
            <w:shd w:val="clear" w:color="auto" w:fill="auto"/>
            <w:vAlign w:val="center"/>
          </w:tcPr>
          <w:p w14:paraId="1AE0603C"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Doação, pensão alimentícia ou mesada</w:t>
            </w:r>
          </w:p>
        </w:tc>
        <w:tc>
          <w:tcPr>
            <w:tcW w:w="772" w:type="dxa"/>
            <w:shd w:val="clear" w:color="auto" w:fill="auto"/>
            <w:vAlign w:val="bottom"/>
          </w:tcPr>
          <w:p w14:paraId="2CD8944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0,04</w:t>
            </w:r>
          </w:p>
        </w:tc>
        <w:tc>
          <w:tcPr>
            <w:tcW w:w="773" w:type="dxa"/>
            <w:shd w:val="clear" w:color="auto" w:fill="auto"/>
            <w:vAlign w:val="bottom"/>
          </w:tcPr>
          <w:p w14:paraId="0BBCF6EF"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0,09</w:t>
            </w:r>
          </w:p>
        </w:tc>
        <w:tc>
          <w:tcPr>
            <w:tcW w:w="773" w:type="dxa"/>
            <w:shd w:val="clear" w:color="auto" w:fill="auto"/>
            <w:vAlign w:val="bottom"/>
          </w:tcPr>
          <w:p w14:paraId="6B59D67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706" w:type="dxa"/>
            <w:shd w:val="clear" w:color="auto" w:fill="auto"/>
            <w:vAlign w:val="bottom"/>
          </w:tcPr>
          <w:p w14:paraId="70854A1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c>
          <w:tcPr>
            <w:tcW w:w="928" w:type="dxa"/>
            <w:shd w:val="clear" w:color="auto" w:fill="auto"/>
            <w:vAlign w:val="bottom"/>
          </w:tcPr>
          <w:p w14:paraId="4477B99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0,07</w:t>
            </w:r>
          </w:p>
        </w:tc>
        <w:tc>
          <w:tcPr>
            <w:tcW w:w="806" w:type="dxa"/>
            <w:shd w:val="clear" w:color="auto" w:fill="auto"/>
            <w:vAlign w:val="bottom"/>
          </w:tcPr>
          <w:p w14:paraId="40184F2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0,12</w:t>
            </w:r>
          </w:p>
        </w:tc>
        <w:tc>
          <w:tcPr>
            <w:tcW w:w="900" w:type="dxa"/>
            <w:shd w:val="clear" w:color="auto" w:fill="auto"/>
            <w:vAlign w:val="bottom"/>
          </w:tcPr>
          <w:p w14:paraId="7FA0FE2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r>
      <w:tr w:rsidR="00A9361D" w14:paraId="3A6D25F7" w14:textId="77777777">
        <w:trPr>
          <w:trHeight w:val="234"/>
        </w:trPr>
        <w:tc>
          <w:tcPr>
            <w:tcW w:w="3576" w:type="dxa"/>
            <w:shd w:val="clear" w:color="auto" w:fill="auto"/>
            <w:vAlign w:val="center"/>
          </w:tcPr>
          <w:p w14:paraId="29F769A4"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Bolsa Família</w:t>
            </w:r>
          </w:p>
        </w:tc>
        <w:tc>
          <w:tcPr>
            <w:tcW w:w="772" w:type="dxa"/>
            <w:shd w:val="clear" w:color="auto" w:fill="auto"/>
            <w:vAlign w:val="bottom"/>
          </w:tcPr>
          <w:p w14:paraId="139C7E1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0,83</w:t>
            </w:r>
          </w:p>
        </w:tc>
        <w:tc>
          <w:tcPr>
            <w:tcW w:w="773" w:type="dxa"/>
            <w:shd w:val="clear" w:color="auto" w:fill="auto"/>
            <w:vAlign w:val="bottom"/>
          </w:tcPr>
          <w:p w14:paraId="759EE79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0,84</w:t>
            </w:r>
          </w:p>
        </w:tc>
        <w:tc>
          <w:tcPr>
            <w:tcW w:w="773" w:type="dxa"/>
            <w:shd w:val="clear" w:color="auto" w:fill="auto"/>
            <w:vAlign w:val="bottom"/>
          </w:tcPr>
          <w:p w14:paraId="6C2769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0,85</w:t>
            </w:r>
          </w:p>
        </w:tc>
        <w:tc>
          <w:tcPr>
            <w:tcW w:w="706" w:type="dxa"/>
            <w:shd w:val="clear" w:color="auto" w:fill="auto"/>
            <w:vAlign w:val="bottom"/>
          </w:tcPr>
          <w:p w14:paraId="3F07C8E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0,83</w:t>
            </w:r>
          </w:p>
        </w:tc>
        <w:tc>
          <w:tcPr>
            <w:tcW w:w="928" w:type="dxa"/>
            <w:shd w:val="clear" w:color="auto" w:fill="auto"/>
            <w:vAlign w:val="bottom"/>
          </w:tcPr>
          <w:p w14:paraId="28B2A7E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0,75</w:t>
            </w:r>
          </w:p>
        </w:tc>
        <w:tc>
          <w:tcPr>
            <w:tcW w:w="806" w:type="dxa"/>
            <w:shd w:val="clear" w:color="auto" w:fill="auto"/>
            <w:vAlign w:val="bottom"/>
          </w:tcPr>
          <w:p w14:paraId="68DEF611"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1,02</w:t>
            </w:r>
          </w:p>
        </w:tc>
        <w:tc>
          <w:tcPr>
            <w:tcW w:w="900" w:type="dxa"/>
            <w:shd w:val="clear" w:color="auto" w:fill="auto"/>
            <w:vAlign w:val="bottom"/>
          </w:tcPr>
          <w:p w14:paraId="4C92E522"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0,97</w:t>
            </w:r>
          </w:p>
        </w:tc>
      </w:tr>
      <w:tr w:rsidR="00A9361D" w14:paraId="3899D5FD" w14:textId="77777777">
        <w:trPr>
          <w:trHeight w:val="234"/>
        </w:trPr>
        <w:tc>
          <w:tcPr>
            <w:tcW w:w="3576" w:type="dxa"/>
            <w:shd w:val="clear" w:color="auto" w:fill="auto"/>
            <w:vAlign w:val="center"/>
          </w:tcPr>
          <w:p w14:paraId="08563BB1"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BPC-LOAS</w:t>
            </w:r>
          </w:p>
        </w:tc>
        <w:tc>
          <w:tcPr>
            <w:tcW w:w="772" w:type="dxa"/>
            <w:shd w:val="clear" w:color="auto" w:fill="auto"/>
            <w:vAlign w:val="bottom"/>
          </w:tcPr>
          <w:p w14:paraId="6F3CA94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0,33</w:t>
            </w:r>
          </w:p>
        </w:tc>
        <w:tc>
          <w:tcPr>
            <w:tcW w:w="773" w:type="dxa"/>
            <w:shd w:val="clear" w:color="auto" w:fill="auto"/>
            <w:vAlign w:val="bottom"/>
          </w:tcPr>
          <w:p w14:paraId="0537CB10"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0,37</w:t>
            </w:r>
          </w:p>
        </w:tc>
        <w:tc>
          <w:tcPr>
            <w:tcW w:w="773" w:type="dxa"/>
            <w:shd w:val="clear" w:color="auto" w:fill="auto"/>
            <w:vAlign w:val="bottom"/>
          </w:tcPr>
          <w:p w14:paraId="4875E16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0,38</w:t>
            </w:r>
          </w:p>
        </w:tc>
        <w:tc>
          <w:tcPr>
            <w:tcW w:w="706" w:type="dxa"/>
            <w:shd w:val="clear" w:color="auto" w:fill="auto"/>
            <w:vAlign w:val="bottom"/>
          </w:tcPr>
          <w:p w14:paraId="6D5610C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0,40</w:t>
            </w:r>
          </w:p>
        </w:tc>
        <w:tc>
          <w:tcPr>
            <w:tcW w:w="928" w:type="dxa"/>
            <w:shd w:val="clear" w:color="auto" w:fill="auto"/>
            <w:vAlign w:val="bottom"/>
          </w:tcPr>
          <w:p w14:paraId="19CE77A4"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0,40</w:t>
            </w:r>
          </w:p>
        </w:tc>
        <w:tc>
          <w:tcPr>
            <w:tcW w:w="806" w:type="dxa"/>
            <w:shd w:val="clear" w:color="auto" w:fill="auto"/>
            <w:vAlign w:val="bottom"/>
          </w:tcPr>
          <w:p w14:paraId="20D07DD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0,44</w:t>
            </w:r>
          </w:p>
        </w:tc>
        <w:tc>
          <w:tcPr>
            <w:tcW w:w="900" w:type="dxa"/>
            <w:shd w:val="clear" w:color="auto" w:fill="auto"/>
            <w:vAlign w:val="bottom"/>
          </w:tcPr>
          <w:p w14:paraId="79792BFF"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0,44</w:t>
            </w:r>
          </w:p>
        </w:tc>
      </w:tr>
      <w:tr w:rsidR="00A9361D" w14:paraId="4EAF67E7" w14:textId="77777777">
        <w:trPr>
          <w:trHeight w:val="234"/>
        </w:trPr>
        <w:tc>
          <w:tcPr>
            <w:tcW w:w="3576" w:type="dxa"/>
            <w:shd w:val="clear" w:color="auto" w:fill="auto"/>
            <w:vAlign w:val="center"/>
          </w:tcPr>
          <w:p w14:paraId="00B32A99"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Auxílio Emergencial</w:t>
            </w:r>
          </w:p>
        </w:tc>
        <w:tc>
          <w:tcPr>
            <w:tcW w:w="772" w:type="dxa"/>
            <w:shd w:val="clear" w:color="auto" w:fill="auto"/>
            <w:vAlign w:val="bottom"/>
          </w:tcPr>
          <w:p w14:paraId="7475E15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0,57</w:t>
            </w:r>
          </w:p>
        </w:tc>
        <w:tc>
          <w:tcPr>
            <w:tcW w:w="773" w:type="dxa"/>
            <w:shd w:val="clear" w:color="auto" w:fill="auto"/>
            <w:vAlign w:val="bottom"/>
          </w:tcPr>
          <w:p w14:paraId="69526B1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0,58</w:t>
            </w:r>
          </w:p>
        </w:tc>
        <w:tc>
          <w:tcPr>
            <w:tcW w:w="773" w:type="dxa"/>
            <w:shd w:val="clear" w:color="auto" w:fill="auto"/>
            <w:vAlign w:val="bottom"/>
          </w:tcPr>
          <w:p w14:paraId="19E36EC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0,58</w:t>
            </w:r>
          </w:p>
        </w:tc>
        <w:tc>
          <w:tcPr>
            <w:tcW w:w="706" w:type="dxa"/>
            <w:shd w:val="clear" w:color="auto" w:fill="auto"/>
            <w:vAlign w:val="bottom"/>
          </w:tcPr>
          <w:p w14:paraId="451DBA2F"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0,57</w:t>
            </w:r>
          </w:p>
        </w:tc>
        <w:tc>
          <w:tcPr>
            <w:tcW w:w="928" w:type="dxa"/>
            <w:shd w:val="clear" w:color="auto" w:fill="auto"/>
            <w:vAlign w:val="bottom"/>
          </w:tcPr>
          <w:p w14:paraId="207C7A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0,59</w:t>
            </w:r>
          </w:p>
        </w:tc>
        <w:tc>
          <w:tcPr>
            <w:tcW w:w="806" w:type="dxa"/>
            <w:shd w:val="clear" w:color="auto" w:fill="auto"/>
            <w:vAlign w:val="bottom"/>
          </w:tcPr>
          <w:p w14:paraId="6274BA7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0,60</w:t>
            </w:r>
          </w:p>
        </w:tc>
        <w:tc>
          <w:tcPr>
            <w:tcW w:w="900" w:type="dxa"/>
            <w:shd w:val="clear" w:color="auto" w:fill="auto"/>
            <w:vAlign w:val="bottom"/>
          </w:tcPr>
          <w:p w14:paraId="3322875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0,66</w:t>
            </w:r>
          </w:p>
        </w:tc>
      </w:tr>
      <w:tr w:rsidR="00A9361D" w14:paraId="7F94812E" w14:textId="77777777">
        <w:trPr>
          <w:trHeight w:val="234"/>
        </w:trPr>
        <w:tc>
          <w:tcPr>
            <w:tcW w:w="3576" w:type="dxa"/>
            <w:shd w:val="clear" w:color="auto" w:fill="auto"/>
            <w:vAlign w:val="center"/>
          </w:tcPr>
          <w:p w14:paraId="3A31EB73"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Seguro-desemprego</w:t>
            </w:r>
          </w:p>
        </w:tc>
        <w:tc>
          <w:tcPr>
            <w:tcW w:w="772" w:type="dxa"/>
            <w:shd w:val="clear" w:color="auto" w:fill="auto"/>
            <w:vAlign w:val="bottom"/>
          </w:tcPr>
          <w:p w14:paraId="28226F2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773" w:type="dxa"/>
            <w:shd w:val="clear" w:color="auto" w:fill="auto"/>
            <w:vAlign w:val="bottom"/>
          </w:tcPr>
          <w:p w14:paraId="4C0ECC8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0,24</w:t>
            </w:r>
          </w:p>
        </w:tc>
        <w:tc>
          <w:tcPr>
            <w:tcW w:w="773" w:type="dxa"/>
            <w:shd w:val="clear" w:color="auto" w:fill="auto"/>
            <w:vAlign w:val="bottom"/>
          </w:tcPr>
          <w:p w14:paraId="6EC890E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0,18</w:t>
            </w:r>
          </w:p>
        </w:tc>
        <w:tc>
          <w:tcPr>
            <w:tcW w:w="706" w:type="dxa"/>
            <w:shd w:val="clear" w:color="auto" w:fill="auto"/>
            <w:vAlign w:val="bottom"/>
          </w:tcPr>
          <w:p w14:paraId="1F6C13E3"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0,08</w:t>
            </w:r>
          </w:p>
        </w:tc>
        <w:tc>
          <w:tcPr>
            <w:tcW w:w="928" w:type="dxa"/>
            <w:shd w:val="clear" w:color="auto" w:fill="auto"/>
            <w:vAlign w:val="bottom"/>
          </w:tcPr>
          <w:p w14:paraId="1043ABD5"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0,05</w:t>
            </w:r>
          </w:p>
        </w:tc>
        <w:tc>
          <w:tcPr>
            <w:tcW w:w="806" w:type="dxa"/>
            <w:shd w:val="clear" w:color="auto" w:fill="auto"/>
            <w:vAlign w:val="bottom"/>
          </w:tcPr>
          <w:p w14:paraId="0F23BEFB"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0,17</w:t>
            </w:r>
          </w:p>
        </w:tc>
        <w:tc>
          <w:tcPr>
            <w:tcW w:w="900" w:type="dxa"/>
            <w:shd w:val="clear" w:color="auto" w:fill="auto"/>
            <w:vAlign w:val="bottom"/>
          </w:tcPr>
          <w:p w14:paraId="69626A4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0,19</w:t>
            </w:r>
          </w:p>
        </w:tc>
      </w:tr>
      <w:tr w:rsidR="00A9361D" w14:paraId="538A130B" w14:textId="77777777">
        <w:trPr>
          <w:trHeight w:val="234"/>
        </w:trPr>
        <w:tc>
          <w:tcPr>
            <w:tcW w:w="3576" w:type="dxa"/>
            <w:tcBorders>
              <w:bottom w:val="single" w:sz="4" w:space="0" w:color="000000"/>
            </w:tcBorders>
            <w:shd w:val="clear" w:color="auto" w:fill="auto"/>
            <w:vAlign w:val="center"/>
          </w:tcPr>
          <w:p w14:paraId="7F2CBBEA" w14:textId="77777777" w:rsidR="00A9361D" w:rsidRDefault="00000000">
            <w:pPr>
              <w:spacing w:after="0" w:line="240" w:lineRule="auto"/>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 xml:space="preserve">Aluguel, arrendamento, aplicações financeiras </w:t>
            </w:r>
            <w:proofErr w:type="spellStart"/>
            <w:r>
              <w:rPr>
                <w:rFonts w:ascii="Times New Roman" w:eastAsia="Times New Roman" w:hAnsi="Times New Roman" w:cs="Times New Roman"/>
                <w:color w:val="000000"/>
                <w:sz w:val="16"/>
                <w:szCs w:val="16"/>
                <w:lang w:eastAsia="pt-BR"/>
              </w:rPr>
              <w:t>etc</w:t>
            </w:r>
            <w:proofErr w:type="spellEnd"/>
          </w:p>
        </w:tc>
        <w:tc>
          <w:tcPr>
            <w:tcW w:w="772" w:type="dxa"/>
            <w:tcBorders>
              <w:bottom w:val="single" w:sz="4" w:space="0" w:color="000000"/>
            </w:tcBorders>
            <w:shd w:val="clear" w:color="auto" w:fill="auto"/>
            <w:vAlign w:val="bottom"/>
          </w:tcPr>
          <w:p w14:paraId="72320A19"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-0,13</w:t>
            </w:r>
          </w:p>
        </w:tc>
        <w:tc>
          <w:tcPr>
            <w:tcW w:w="773" w:type="dxa"/>
            <w:tcBorders>
              <w:bottom w:val="single" w:sz="4" w:space="0" w:color="000000"/>
            </w:tcBorders>
            <w:shd w:val="clear" w:color="auto" w:fill="auto"/>
            <w:vAlign w:val="bottom"/>
          </w:tcPr>
          <w:p w14:paraId="04BA584C"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-0,22</w:t>
            </w:r>
          </w:p>
        </w:tc>
        <w:tc>
          <w:tcPr>
            <w:tcW w:w="773" w:type="dxa"/>
            <w:tcBorders>
              <w:bottom w:val="single" w:sz="4" w:space="0" w:color="000000"/>
            </w:tcBorders>
            <w:shd w:val="clear" w:color="auto" w:fill="auto"/>
            <w:vAlign w:val="bottom"/>
          </w:tcPr>
          <w:p w14:paraId="7BDA0EC8"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-0,26</w:t>
            </w:r>
          </w:p>
        </w:tc>
        <w:tc>
          <w:tcPr>
            <w:tcW w:w="706" w:type="dxa"/>
            <w:tcBorders>
              <w:bottom w:val="single" w:sz="4" w:space="0" w:color="000000"/>
            </w:tcBorders>
            <w:shd w:val="clear" w:color="auto" w:fill="auto"/>
            <w:vAlign w:val="bottom"/>
          </w:tcPr>
          <w:p w14:paraId="7776112E"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-0,20</w:t>
            </w:r>
          </w:p>
        </w:tc>
        <w:tc>
          <w:tcPr>
            <w:tcW w:w="928" w:type="dxa"/>
            <w:tcBorders>
              <w:bottom w:val="single" w:sz="4" w:space="0" w:color="000000"/>
            </w:tcBorders>
            <w:shd w:val="clear" w:color="auto" w:fill="auto"/>
            <w:vAlign w:val="bottom"/>
          </w:tcPr>
          <w:p w14:paraId="077DFBBD"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-0,25</w:t>
            </w:r>
          </w:p>
        </w:tc>
        <w:tc>
          <w:tcPr>
            <w:tcW w:w="806" w:type="dxa"/>
            <w:tcBorders>
              <w:bottom w:val="single" w:sz="4" w:space="0" w:color="000000"/>
            </w:tcBorders>
            <w:shd w:val="clear" w:color="auto" w:fill="auto"/>
            <w:vAlign w:val="bottom"/>
          </w:tcPr>
          <w:p w14:paraId="072F360A"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-0,14</w:t>
            </w:r>
          </w:p>
        </w:tc>
        <w:tc>
          <w:tcPr>
            <w:tcW w:w="900" w:type="dxa"/>
            <w:tcBorders>
              <w:bottom w:val="single" w:sz="4" w:space="0" w:color="000000"/>
            </w:tcBorders>
            <w:shd w:val="clear" w:color="auto" w:fill="auto"/>
            <w:vAlign w:val="bottom"/>
          </w:tcPr>
          <w:p w14:paraId="3938CFD6" w14:textId="77777777" w:rsidR="00A9361D" w:rsidRDefault="00000000">
            <w:pPr>
              <w:spacing w:after="0" w:line="240" w:lineRule="auto"/>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color w:val="000000"/>
                <w:sz w:val="16"/>
                <w:szCs w:val="16"/>
                <w:lang w:eastAsia="pt-BR"/>
              </w:rPr>
              <w:t>-0,15</w:t>
            </w:r>
          </w:p>
        </w:tc>
      </w:tr>
    </w:tbl>
    <w:p w14:paraId="73095FB7" w14:textId="77777777" w:rsidR="00A9361D" w:rsidRDefault="00000000">
      <w:pPr>
        <w:spacing w:after="200" w:line="240" w:lineRule="auto"/>
      </w:pPr>
      <w:r>
        <w:rPr>
          <w:rFonts w:ascii="Times New Roman" w:hAnsi="Times New Roman"/>
          <w:iCs/>
          <w:sz w:val="20"/>
          <w:szCs w:val="20"/>
        </w:rPr>
        <w:t>Fonte: PNAD COVID19. Elaboração própria.</w:t>
      </w:r>
    </w:p>
    <w:p w14:paraId="49A9DDB3" w14:textId="77777777" w:rsidR="00A9361D" w:rsidRDefault="00A9361D">
      <w:pPr>
        <w:spacing w:after="0" w:line="240" w:lineRule="auto"/>
        <w:jc w:val="both"/>
        <w:rPr>
          <w:rFonts w:ascii="Times New Roman" w:hAnsi="Times New Roman" w:cs="Times New Roman"/>
          <w:b/>
          <w:bCs/>
          <w:sz w:val="24"/>
          <w:szCs w:val="24"/>
        </w:rPr>
      </w:pPr>
    </w:p>
    <w:p w14:paraId="7EC68A62" w14:textId="2AF03DD9" w:rsidR="00A9361D" w:rsidRPr="005566E0" w:rsidRDefault="00000000" w:rsidP="005566E0">
      <w:pPr>
        <w:pStyle w:val="PargrafodaLista"/>
        <w:numPr>
          <w:ilvl w:val="0"/>
          <w:numId w:val="1"/>
        </w:numPr>
        <w:spacing w:after="0" w:line="360" w:lineRule="auto"/>
        <w:ind w:left="284" w:hanging="284"/>
        <w:rPr>
          <w:rFonts w:ascii="Times New Roman" w:hAnsi="Times New Roman" w:cs="Times New Roman"/>
          <w:b/>
          <w:bCs/>
          <w:sz w:val="24"/>
          <w:szCs w:val="24"/>
        </w:rPr>
      </w:pPr>
      <w:r>
        <w:rPr>
          <w:rFonts w:ascii="Times New Roman" w:hAnsi="Times New Roman" w:cs="Times New Roman"/>
          <w:b/>
          <w:bCs/>
          <w:sz w:val="24"/>
          <w:szCs w:val="24"/>
        </w:rPr>
        <w:t>CONSIDERAÇÕES FINAIS</w:t>
      </w:r>
    </w:p>
    <w:p w14:paraId="21B7DB3F" w14:textId="77777777" w:rsidR="00A9361D" w:rsidRDefault="00000000">
      <w:pPr>
        <w:spacing w:after="0"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A análise realizada mostra que o comportamento da desigualdade de renda mensurada pelo Índice de Gini dos rendimentos domiciliares per capita de todas as fontes no Nordeste e em seus estados sofreu influência significativa do programa do Auxílio Emergencial ao longo dos meses analisados de 2020. Inicialmente, verifica-se uma tendência de queda da desigualdade de renda nos estados nordestinos até o mês de agosto de 2020, quando o auxílio emergencial cumpriu um papel central de garantir renda para a população mais vulnerável do Nordeste. O destaque vai para o Maranhão, que apresentou o menor Gini da região no mês de junho (0,399). Todavia, observou-se uma reversão dessa trajetória de queda da desigualdade a partir de setembro para a média do Nordeste e para os estados do Ceará, Maranhão e Paraíba, Pernambuco, Rio Grande do Norte. Nos demais estados, essa reversão também ocorreu, porém, a partir de outubro. Essa nova fase pode ser explicada pela diminuição do valor do auxílio emergencial a ser pago aos beneficiários partir desses meses e pelo retorno das atividades econômicas.</w:t>
      </w:r>
    </w:p>
    <w:p w14:paraId="2562CD4A" w14:textId="0F14332C" w:rsidR="00A9361D" w:rsidRDefault="00000000">
      <w:pPr>
        <w:spacing w:after="0"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As mudanças realizadas pelo Governo Federal para o Novo Auxílio Emergencial de 2021, como a reestruturação do seu público-alvo, a queda no número de beneficiários e a </w:t>
      </w:r>
      <w:r>
        <w:rPr>
          <w:rFonts w:ascii="Times New Roman" w:hAnsi="Times New Roman"/>
          <w:color w:val="000000" w:themeColor="text1"/>
          <w:sz w:val="24"/>
          <w:szCs w:val="24"/>
        </w:rPr>
        <w:lastRenderedPageBreak/>
        <w:t>redução expressiva em seu valor médio, no contexto de novas rodadas de medidas de isolamento social, contribuíram para agravar a crise imposta pela pandemia no ano de 2021. É importante ressaltar também os desafios para às políticas sociais de transferências de renda que se colocam a partir do fim do Programa Bolsa Família e da criação do Auxílio Brasil, com seus prováveis impactos sobre a renda em um contexto de elevação das disparidades. Assim, é de suma importância a necessidade de se pensar políticas sociais e de transferência de renda mais efetivas e de longo prazo, para buscar transformações estruturais na concentração da renda em termos regionais e, consequentemente, enfrentar de maneira mais profunda as disparidades de renda e a pobreza na região.</w:t>
      </w:r>
    </w:p>
    <w:p w14:paraId="14FBD995" w14:textId="77777777" w:rsidR="00AD42FB" w:rsidRDefault="00AD42FB">
      <w:pPr>
        <w:spacing w:after="0" w:line="360" w:lineRule="auto"/>
        <w:ind w:firstLine="708"/>
        <w:jc w:val="both"/>
        <w:rPr>
          <w:rFonts w:ascii="Times New Roman" w:hAnsi="Times New Roman"/>
          <w:color w:val="000000" w:themeColor="text1"/>
          <w:sz w:val="24"/>
          <w:szCs w:val="24"/>
        </w:rPr>
      </w:pPr>
    </w:p>
    <w:p w14:paraId="3D4D2810" w14:textId="77777777" w:rsidR="00A9361D"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5406CA93" w14:textId="77777777" w:rsidR="00A9361D" w:rsidRDefault="00A9361D">
      <w:pPr>
        <w:spacing w:after="0" w:line="240" w:lineRule="auto"/>
        <w:jc w:val="both"/>
        <w:rPr>
          <w:rFonts w:ascii="Times New Roman" w:hAnsi="Times New Roman" w:cs="Times New Roman"/>
          <w:b/>
          <w:bCs/>
          <w:sz w:val="24"/>
          <w:szCs w:val="24"/>
        </w:rPr>
      </w:pPr>
    </w:p>
    <w:p w14:paraId="23963E4C" w14:textId="77777777" w:rsidR="00A9361D" w:rsidRDefault="00000000">
      <w:pPr>
        <w:pStyle w:val="PargrafodaLista"/>
        <w:spacing w:after="0" w:line="240" w:lineRule="auto"/>
        <w:ind w:left="0"/>
        <w:rPr>
          <w:rFonts w:ascii="Times New Roman" w:hAnsi="Times New Roman"/>
          <w:sz w:val="24"/>
        </w:rPr>
      </w:pPr>
      <w:r>
        <w:rPr>
          <w:rFonts w:ascii="Times New Roman" w:hAnsi="Times New Roman"/>
          <w:sz w:val="24"/>
        </w:rPr>
        <w:t xml:space="preserve">AGÊNCIA BRASIL (2020). </w:t>
      </w:r>
      <w:r>
        <w:rPr>
          <w:rFonts w:ascii="Times New Roman" w:hAnsi="Times New Roman"/>
          <w:b/>
          <w:bCs/>
          <w:sz w:val="24"/>
        </w:rPr>
        <w:t>Ministério da Saúde confirma primeiro caso de coronavírus no Brasil</w:t>
      </w:r>
      <w:r>
        <w:rPr>
          <w:rFonts w:ascii="Times New Roman" w:hAnsi="Times New Roman"/>
          <w:sz w:val="24"/>
        </w:rPr>
        <w:t>. Disponível em: &lt;https://agenciabrasil.ebc.com.br/saude/noticia/2020-02/ministerio-da-saude-confirma-primeiro-caso-de-coronavirus-no-brasil&gt;. Acesso em: 28 de fevereiro de 2022.</w:t>
      </w:r>
    </w:p>
    <w:p w14:paraId="55E0BBBB" w14:textId="77777777" w:rsidR="00A9361D" w:rsidRDefault="00000000">
      <w:pPr>
        <w:pStyle w:val="PargrafodaLista"/>
        <w:spacing w:after="0" w:line="240" w:lineRule="auto"/>
        <w:ind w:left="0"/>
      </w:pPr>
      <w:r>
        <w:rPr>
          <w:rFonts w:ascii="Times New Roman" w:hAnsi="Times New Roman"/>
          <w:sz w:val="24"/>
        </w:rPr>
        <w:t xml:space="preserve">BRASIL (2020a). </w:t>
      </w:r>
      <w:r>
        <w:rPr>
          <w:rFonts w:ascii="Times New Roman" w:hAnsi="Times New Roman"/>
          <w:b/>
          <w:bCs/>
          <w:sz w:val="24"/>
        </w:rPr>
        <w:t>Medida Provisória n° 936, de 1° de abril de 2020</w:t>
      </w:r>
      <w:r>
        <w:rPr>
          <w:rFonts w:ascii="Times New Roman" w:hAnsi="Times New Roman"/>
          <w:sz w:val="24"/>
        </w:rPr>
        <w:t>. Disponível em: &lt;</w:t>
      </w:r>
      <w:r>
        <w:t xml:space="preserve"> </w:t>
      </w:r>
      <w:r>
        <w:rPr>
          <w:rFonts w:ascii="Times New Roman" w:hAnsi="Times New Roman"/>
          <w:sz w:val="24"/>
        </w:rPr>
        <w:t>http://www.planalto.gov.br/ccivil_03/_Ato2019-2022/2020/Mpv/mpv936.htm&gt;. Acesso em: 28 de fevereiro do 2022.</w:t>
      </w:r>
    </w:p>
    <w:p w14:paraId="298ED1C5" w14:textId="77777777" w:rsidR="00A9361D" w:rsidRDefault="00A9361D">
      <w:pPr>
        <w:pStyle w:val="PargrafodaLista"/>
        <w:spacing w:after="0" w:line="240" w:lineRule="auto"/>
        <w:ind w:left="0"/>
        <w:rPr>
          <w:rFonts w:ascii="Times New Roman" w:hAnsi="Times New Roman"/>
          <w:sz w:val="24"/>
        </w:rPr>
      </w:pPr>
    </w:p>
    <w:p w14:paraId="67124E6D" w14:textId="77777777" w:rsidR="00A9361D" w:rsidRDefault="00000000">
      <w:pPr>
        <w:spacing w:after="0" w:line="240" w:lineRule="auto"/>
        <w:rPr>
          <w:rFonts w:ascii="Times New Roman" w:hAnsi="Times New Roman"/>
          <w:sz w:val="24"/>
          <w:szCs w:val="24"/>
        </w:rPr>
      </w:pPr>
      <w:r>
        <w:rPr>
          <w:rFonts w:ascii="Times New Roman" w:hAnsi="Times New Roman"/>
          <w:sz w:val="24"/>
          <w:szCs w:val="24"/>
        </w:rPr>
        <w:t>BRASIL (2020b). Lei n°, 14. 020, de 6 de julho de 2020. Disponível em: &lt;http://www.planalto.gov.br/ccivil_03/_ato2019-2022/2020/lei/L14020.htm#:~:text=Institui%20o%20Programa%20Emergencial%20de,decorrente%20do%20coronav%C3%ADrus%2C%20de%20que&gt;. Acesso em 28 de fevereiro de 2020.</w:t>
      </w:r>
    </w:p>
    <w:p w14:paraId="44579FF6" w14:textId="77777777" w:rsidR="00A9361D" w:rsidRDefault="00A9361D">
      <w:pPr>
        <w:spacing w:after="0" w:line="240" w:lineRule="auto"/>
        <w:rPr>
          <w:rFonts w:ascii="Times New Roman" w:hAnsi="Times New Roman"/>
          <w:sz w:val="24"/>
          <w:szCs w:val="24"/>
        </w:rPr>
      </w:pPr>
    </w:p>
    <w:p w14:paraId="70A07D93" w14:textId="77777777" w:rsidR="00A9361D" w:rsidRDefault="00000000">
      <w:pPr>
        <w:pStyle w:val="PargrafodaLista"/>
        <w:spacing w:after="0" w:line="240" w:lineRule="auto"/>
        <w:ind w:left="0"/>
      </w:pPr>
      <w:r>
        <w:rPr>
          <w:rFonts w:ascii="Times New Roman" w:hAnsi="Times New Roman"/>
          <w:sz w:val="24"/>
        </w:rPr>
        <w:t xml:space="preserve">BRASIL (2020c). </w:t>
      </w:r>
      <w:r>
        <w:rPr>
          <w:rFonts w:ascii="Times New Roman" w:hAnsi="Times New Roman"/>
          <w:b/>
          <w:bCs/>
          <w:sz w:val="24"/>
        </w:rPr>
        <w:t>Decreto n° 10.282, de 20 de março de 2020</w:t>
      </w:r>
      <w:r>
        <w:rPr>
          <w:rFonts w:ascii="Times New Roman" w:hAnsi="Times New Roman"/>
          <w:sz w:val="24"/>
        </w:rPr>
        <w:t>. Disponível em: &lt;</w:t>
      </w:r>
      <w:r>
        <w:t xml:space="preserve"> </w:t>
      </w:r>
      <w:r>
        <w:rPr>
          <w:rFonts w:ascii="Times New Roman" w:hAnsi="Times New Roman"/>
          <w:sz w:val="24"/>
        </w:rPr>
        <w:t>http://www.planalto.gov.br/ccivil_03/_ato2019-2022/2020/decreto/D10282.htm&gt;. Acesso em: 01 de março de 2022.</w:t>
      </w:r>
    </w:p>
    <w:p w14:paraId="57FE6F1B" w14:textId="77777777" w:rsidR="00A9361D" w:rsidRDefault="00A9361D">
      <w:pPr>
        <w:pStyle w:val="PargrafodaLista"/>
        <w:spacing w:after="0" w:line="240" w:lineRule="auto"/>
        <w:ind w:left="0"/>
        <w:rPr>
          <w:rFonts w:ascii="Times New Roman" w:hAnsi="Times New Roman"/>
          <w:b/>
          <w:bCs/>
          <w:sz w:val="24"/>
        </w:rPr>
      </w:pPr>
    </w:p>
    <w:p w14:paraId="56F93EA4" w14:textId="77777777" w:rsidR="00A9361D" w:rsidRDefault="00000000">
      <w:pPr>
        <w:pStyle w:val="PargrafodaLista"/>
        <w:spacing w:after="0" w:line="240" w:lineRule="auto"/>
        <w:ind w:left="0"/>
      </w:pPr>
      <w:r>
        <w:rPr>
          <w:rFonts w:ascii="Times New Roman" w:hAnsi="Times New Roman"/>
          <w:sz w:val="24"/>
        </w:rPr>
        <w:t xml:space="preserve">BRASIL (2020d). </w:t>
      </w:r>
      <w:r>
        <w:rPr>
          <w:rFonts w:ascii="Times New Roman" w:hAnsi="Times New Roman"/>
          <w:b/>
          <w:bCs/>
          <w:sz w:val="24"/>
        </w:rPr>
        <w:t>Lei n° 13.982, de 2 de abril de 2020</w:t>
      </w:r>
      <w:r>
        <w:rPr>
          <w:rFonts w:ascii="Times New Roman" w:hAnsi="Times New Roman"/>
          <w:sz w:val="24"/>
        </w:rPr>
        <w:t>. Disponível em: &lt;</w:t>
      </w:r>
      <w:r>
        <w:t xml:space="preserve"> </w:t>
      </w:r>
      <w:r>
        <w:rPr>
          <w:rFonts w:ascii="Times New Roman" w:hAnsi="Times New Roman"/>
          <w:sz w:val="24"/>
        </w:rPr>
        <w:t>http://www.planalto.gov.br/ccivil_03/_ato2019-2022/2020/lei/l13982.htm&gt;. Acesso em: 02 de março de 2020.</w:t>
      </w:r>
    </w:p>
    <w:p w14:paraId="32E4FFA2" w14:textId="77777777" w:rsidR="00A9361D" w:rsidRDefault="00A9361D">
      <w:pPr>
        <w:spacing w:after="0" w:line="240" w:lineRule="auto"/>
        <w:rPr>
          <w:rFonts w:ascii="Times New Roman" w:hAnsi="Times New Roman"/>
          <w:sz w:val="24"/>
          <w:szCs w:val="24"/>
        </w:rPr>
      </w:pPr>
    </w:p>
    <w:p w14:paraId="162FAC77" w14:textId="77777777" w:rsidR="00A9361D" w:rsidRDefault="00000000">
      <w:pPr>
        <w:spacing w:after="0" w:line="240" w:lineRule="auto"/>
        <w:rPr>
          <w:rFonts w:ascii="Times New Roman" w:hAnsi="Times New Roman"/>
          <w:sz w:val="24"/>
          <w:szCs w:val="24"/>
        </w:rPr>
      </w:pPr>
      <w:r>
        <w:rPr>
          <w:rFonts w:ascii="Times New Roman" w:hAnsi="Times New Roman"/>
          <w:sz w:val="24"/>
          <w:szCs w:val="24"/>
        </w:rPr>
        <w:t>BRASIL (2020e). Decreto n° 10.412, de 30 de junho de 2020. Disponível em: &lt; http://www.planalto.gov.br/ccivil_03/_ato2019-2022/2020/decreto/D10412.htm#:~:text=DECRETO%20N%C2%BA%2010.412%2C%20DE%2030,que%20lhe%20confere%20o%20art.&gt;. Acesso em: 04 de março de 2022.</w:t>
      </w:r>
    </w:p>
    <w:p w14:paraId="3DF81710" w14:textId="77777777" w:rsidR="00A9361D" w:rsidRDefault="00A9361D">
      <w:pPr>
        <w:spacing w:after="0" w:line="240" w:lineRule="auto"/>
        <w:rPr>
          <w:rFonts w:ascii="Times New Roman" w:hAnsi="Times New Roman"/>
          <w:sz w:val="24"/>
          <w:szCs w:val="24"/>
        </w:rPr>
      </w:pPr>
    </w:p>
    <w:p w14:paraId="7199A5BD" w14:textId="77777777" w:rsidR="00A9361D" w:rsidRDefault="00000000">
      <w:pPr>
        <w:pStyle w:val="PargrafodaLista"/>
        <w:spacing w:after="0" w:line="240" w:lineRule="auto"/>
        <w:ind w:left="0"/>
        <w:rPr>
          <w:rFonts w:ascii="Times New Roman" w:hAnsi="Times New Roman"/>
          <w:sz w:val="24"/>
        </w:rPr>
      </w:pPr>
      <w:r>
        <w:rPr>
          <w:rFonts w:ascii="Times New Roman" w:hAnsi="Times New Roman"/>
          <w:sz w:val="24"/>
        </w:rPr>
        <w:lastRenderedPageBreak/>
        <w:t xml:space="preserve">BRASIL (2020f). </w:t>
      </w:r>
      <w:r>
        <w:rPr>
          <w:rFonts w:ascii="Times New Roman" w:hAnsi="Times New Roman"/>
          <w:b/>
          <w:bCs/>
          <w:sz w:val="24"/>
        </w:rPr>
        <w:t xml:space="preserve">Medida Provisória n° 1.000, de 2 de setembro de 2020. </w:t>
      </w:r>
      <w:r>
        <w:rPr>
          <w:rFonts w:ascii="Times New Roman" w:hAnsi="Times New Roman"/>
          <w:sz w:val="24"/>
        </w:rPr>
        <w:t>Disponível em: &lt; http://www.planalto.gov.br/ccivil_03/_ato2019-2022/2020/Mpv/mpv1000.htm&gt;. Acesso em: 05 de março de 2020.</w:t>
      </w:r>
    </w:p>
    <w:p w14:paraId="2E783733" w14:textId="77777777" w:rsidR="00A9361D" w:rsidRDefault="00A9361D">
      <w:pPr>
        <w:spacing w:after="0" w:line="240" w:lineRule="auto"/>
        <w:jc w:val="both"/>
        <w:rPr>
          <w:rFonts w:ascii="Times New Roman" w:hAnsi="Times New Roman" w:cs="Times New Roman"/>
          <w:b/>
          <w:bCs/>
          <w:sz w:val="24"/>
          <w:szCs w:val="24"/>
        </w:rPr>
      </w:pPr>
    </w:p>
    <w:p w14:paraId="54EA7CF6" w14:textId="77777777" w:rsidR="00A9361D" w:rsidRDefault="00000000">
      <w:pPr>
        <w:spacing w:after="0" w:line="240" w:lineRule="auto"/>
      </w:pPr>
      <w:r>
        <w:rPr>
          <w:rFonts w:ascii="Times New Roman" w:hAnsi="Times New Roman"/>
          <w:sz w:val="24"/>
          <w:szCs w:val="24"/>
        </w:rPr>
        <w:t xml:space="preserve">CORONAVÍRUS BRASIL. </w:t>
      </w:r>
      <w:r>
        <w:rPr>
          <w:rFonts w:ascii="Times New Roman" w:hAnsi="Times New Roman"/>
          <w:b/>
          <w:bCs/>
          <w:sz w:val="24"/>
          <w:szCs w:val="24"/>
        </w:rPr>
        <w:t>COVID19 Painel Coronavírus.</w:t>
      </w:r>
      <w:r>
        <w:rPr>
          <w:rFonts w:ascii="Times New Roman" w:hAnsi="Times New Roman"/>
          <w:sz w:val="24"/>
          <w:szCs w:val="24"/>
        </w:rPr>
        <w:t xml:space="preserve"> Disponível em: &lt;</w:t>
      </w:r>
      <w:r>
        <w:t xml:space="preserve"> </w:t>
      </w:r>
      <w:r>
        <w:rPr>
          <w:rFonts w:ascii="Times New Roman" w:hAnsi="Times New Roman"/>
          <w:sz w:val="24"/>
          <w:szCs w:val="24"/>
        </w:rPr>
        <w:t>https://covid.saude.gov.br/&gt;. Acesso em: 10 de junho de 2022.</w:t>
      </w:r>
    </w:p>
    <w:p w14:paraId="42C8D69D" w14:textId="77777777" w:rsidR="00A9361D" w:rsidRDefault="00A9361D">
      <w:pPr>
        <w:spacing w:after="0" w:line="240" w:lineRule="auto"/>
      </w:pPr>
    </w:p>
    <w:p w14:paraId="2DDE186F" w14:textId="77777777" w:rsidR="00A9361D" w:rsidRDefault="00000000">
      <w:pPr>
        <w:spacing w:after="0" w:line="240" w:lineRule="auto"/>
        <w:rPr>
          <w:rFonts w:ascii="Times New Roman" w:hAnsi="Times New Roman"/>
          <w:sz w:val="24"/>
          <w:szCs w:val="24"/>
        </w:rPr>
      </w:pPr>
      <w:r>
        <w:rPr>
          <w:rFonts w:ascii="Times New Roman" w:hAnsi="Times New Roman"/>
          <w:sz w:val="24"/>
          <w:szCs w:val="24"/>
        </w:rPr>
        <w:t>IBGE (2020a). Pesquisa Nacional por Amostra de Domicílios PNAD COVID19:</w:t>
      </w:r>
      <w:r>
        <w:rPr>
          <w:rFonts w:ascii="Times New Roman" w:hAnsi="Times New Roman"/>
          <w:b/>
          <w:bCs/>
          <w:sz w:val="24"/>
          <w:szCs w:val="24"/>
        </w:rPr>
        <w:t xml:space="preserve"> maio/2020: resultado mensal.</w:t>
      </w:r>
      <w:r>
        <w:rPr>
          <w:rFonts w:ascii="Times New Roman" w:hAnsi="Times New Roman"/>
          <w:sz w:val="24"/>
          <w:szCs w:val="24"/>
        </w:rPr>
        <w:t xml:space="preserve"> IBGE, Rio de Janeiro, 2020. Disponível em: &lt;</w:t>
      </w:r>
      <w:r>
        <w:t xml:space="preserve"> </w:t>
      </w:r>
      <w:r>
        <w:rPr>
          <w:rFonts w:ascii="Times New Roman" w:hAnsi="Times New Roman"/>
          <w:sz w:val="24"/>
          <w:szCs w:val="24"/>
        </w:rPr>
        <w:t>https://biblioteca.ibge.gov.br/index.php/biblioteca-catalogo?view=detalhes&amp;id=2101727&gt;. Acesso em: 13 de março de 2022.</w:t>
      </w:r>
    </w:p>
    <w:p w14:paraId="3C5C142B" w14:textId="77777777" w:rsidR="00A9361D" w:rsidRDefault="00A9361D">
      <w:pPr>
        <w:tabs>
          <w:tab w:val="left" w:pos="7250"/>
        </w:tabs>
        <w:spacing w:after="0" w:line="240" w:lineRule="auto"/>
        <w:rPr>
          <w:rFonts w:ascii="Times New Roman" w:hAnsi="Times New Roman"/>
          <w:sz w:val="24"/>
        </w:rPr>
      </w:pPr>
    </w:p>
    <w:p w14:paraId="337E9827" w14:textId="77777777" w:rsidR="00A9361D" w:rsidRDefault="00000000">
      <w:pPr>
        <w:spacing w:after="0" w:line="240" w:lineRule="auto"/>
        <w:rPr>
          <w:rFonts w:ascii="Times New Roman" w:hAnsi="Times New Roman"/>
          <w:sz w:val="24"/>
          <w:szCs w:val="24"/>
        </w:rPr>
      </w:pPr>
      <w:r>
        <w:rPr>
          <w:rFonts w:ascii="Times New Roman" w:hAnsi="Times New Roman"/>
          <w:sz w:val="24"/>
          <w:szCs w:val="24"/>
        </w:rPr>
        <w:t xml:space="preserve">HOFFMANN, Rodolfo. Desigualdade da distribuição da renda no Brasil: a contribuição de aposentadorias e pensões e de outras parcelas do rendimento domiciliar </w:t>
      </w:r>
      <w:r>
        <w:rPr>
          <w:rFonts w:ascii="Times New Roman" w:hAnsi="Times New Roman"/>
          <w:i/>
          <w:iCs/>
          <w:sz w:val="24"/>
          <w:szCs w:val="24"/>
        </w:rPr>
        <w:t>per capita</w:t>
      </w:r>
      <w:r>
        <w:rPr>
          <w:rFonts w:ascii="Times New Roman" w:hAnsi="Times New Roman"/>
          <w:b/>
          <w:bCs/>
          <w:sz w:val="24"/>
          <w:szCs w:val="24"/>
        </w:rPr>
        <w:t>. Economia e Sociedade</w:t>
      </w:r>
      <w:r>
        <w:rPr>
          <w:rFonts w:ascii="Times New Roman" w:hAnsi="Times New Roman"/>
          <w:sz w:val="24"/>
          <w:szCs w:val="24"/>
        </w:rPr>
        <w:t>, v. 18, n. 1 (35), p. 213-231. Campinas, 2009.</w:t>
      </w:r>
    </w:p>
    <w:p w14:paraId="1A9FE48A" w14:textId="77777777" w:rsidR="00A9361D" w:rsidRDefault="00A9361D">
      <w:pPr>
        <w:spacing w:after="0" w:line="240" w:lineRule="auto"/>
        <w:rPr>
          <w:rFonts w:ascii="Times New Roman" w:hAnsi="Times New Roman"/>
          <w:sz w:val="24"/>
          <w:szCs w:val="24"/>
        </w:rPr>
      </w:pPr>
    </w:p>
    <w:p w14:paraId="030F49D8" w14:textId="77777777" w:rsidR="00A9361D" w:rsidRDefault="00000000">
      <w:pPr>
        <w:spacing w:after="0" w:line="240" w:lineRule="auto"/>
        <w:rPr>
          <w:rFonts w:ascii="Times New Roman" w:hAnsi="Times New Roman"/>
          <w:sz w:val="24"/>
          <w:szCs w:val="24"/>
        </w:rPr>
      </w:pPr>
      <w:r>
        <w:rPr>
          <w:rFonts w:ascii="Times New Roman" w:hAnsi="Times New Roman"/>
          <w:sz w:val="24"/>
          <w:szCs w:val="24"/>
        </w:rPr>
        <w:t>MONTE, Paulo Aguiar do</w:t>
      </w:r>
      <w:r>
        <w:rPr>
          <w:rFonts w:ascii="Times New Roman" w:hAnsi="Times New Roman"/>
          <w:b/>
          <w:bCs/>
          <w:sz w:val="24"/>
          <w:szCs w:val="24"/>
        </w:rPr>
        <w:t xml:space="preserve">. Auxílio Emergencial e seu impacto na redução da desigualdade e pobreza. </w:t>
      </w:r>
      <w:r>
        <w:rPr>
          <w:rFonts w:ascii="Times New Roman" w:hAnsi="Times New Roman"/>
          <w:sz w:val="24"/>
          <w:szCs w:val="24"/>
        </w:rPr>
        <w:t>ANPEC - XXV Encontro Regional de Economia. Disponível em: &lt;</w:t>
      </w:r>
      <w:r>
        <w:t xml:space="preserve"> </w:t>
      </w:r>
      <w:r>
        <w:rPr>
          <w:rFonts w:ascii="Times New Roman" w:hAnsi="Times New Roman"/>
          <w:sz w:val="24"/>
          <w:szCs w:val="24"/>
        </w:rPr>
        <w:t>http://www.anpec.org.br/nordeste/2020/submissao/arquivos_identificados/105-1c9403577ef3d3dd8fa1ad114b268474.pdf&gt;. Acesso em: 25 de fevereiro de 2022.</w:t>
      </w:r>
    </w:p>
    <w:p w14:paraId="7C90906C" w14:textId="77777777" w:rsidR="00A9361D" w:rsidRDefault="00A9361D">
      <w:pPr>
        <w:spacing w:after="0" w:line="240" w:lineRule="auto"/>
        <w:rPr>
          <w:rFonts w:ascii="Times New Roman" w:hAnsi="Times New Roman"/>
          <w:sz w:val="24"/>
          <w:szCs w:val="24"/>
        </w:rPr>
      </w:pPr>
    </w:p>
    <w:p w14:paraId="51017ED7" w14:textId="77777777" w:rsidR="00A9361D" w:rsidRDefault="00000000">
      <w:pPr>
        <w:spacing w:after="0" w:line="240" w:lineRule="auto"/>
      </w:pPr>
      <w:r>
        <w:rPr>
          <w:rFonts w:ascii="Times New Roman" w:hAnsi="Times New Roman"/>
          <w:sz w:val="24"/>
          <w:szCs w:val="24"/>
        </w:rPr>
        <w:t>TROVÃO, Cassiano José Bezerra Marques; ARAÚJO, Juliana Bacelar de. Desenvolvimento e mercado de trabalho em tempos de Covid-19: os impactos dos auxílios emergenciais na</w:t>
      </w:r>
    </w:p>
    <w:p w14:paraId="416BD566" w14:textId="77777777" w:rsidR="00A9361D" w:rsidRDefault="00000000">
      <w:pPr>
        <w:spacing w:after="0" w:line="240" w:lineRule="auto"/>
      </w:pPr>
      <w:r>
        <w:rPr>
          <w:rFonts w:ascii="Times New Roman" w:hAnsi="Times New Roman"/>
          <w:sz w:val="24"/>
          <w:szCs w:val="24"/>
        </w:rPr>
        <w:t xml:space="preserve">Região Metropolitana de Natal e no Rio Grande do Norte. </w:t>
      </w:r>
      <w:r>
        <w:rPr>
          <w:rFonts w:ascii="Times New Roman" w:hAnsi="Times New Roman"/>
          <w:i/>
          <w:iCs/>
          <w:sz w:val="24"/>
          <w:szCs w:val="24"/>
        </w:rPr>
        <w:t>In</w:t>
      </w:r>
      <w:r>
        <w:rPr>
          <w:rFonts w:ascii="Times New Roman" w:hAnsi="Times New Roman"/>
          <w:sz w:val="24"/>
          <w:szCs w:val="24"/>
        </w:rPr>
        <w:t xml:space="preserve">: </w:t>
      </w:r>
      <w:r>
        <w:rPr>
          <w:rFonts w:ascii="Times New Roman" w:hAnsi="Times New Roman"/>
          <w:b/>
          <w:bCs/>
          <w:sz w:val="24"/>
          <w:szCs w:val="24"/>
        </w:rPr>
        <w:t>Em tempos de pandemia</w:t>
      </w:r>
      <w:r>
        <w:rPr>
          <w:rFonts w:ascii="Times New Roman" w:hAnsi="Times New Roman"/>
          <w:sz w:val="24"/>
          <w:szCs w:val="24"/>
        </w:rPr>
        <w:t xml:space="preserve">: contribuições do Observatório das Metrópoles: núcleo Natal / organizadores Maria do Livramento Miranda Clementino, </w:t>
      </w:r>
      <w:proofErr w:type="spellStart"/>
      <w:r>
        <w:rPr>
          <w:rFonts w:ascii="Times New Roman" w:hAnsi="Times New Roman"/>
          <w:sz w:val="24"/>
          <w:szCs w:val="24"/>
        </w:rPr>
        <w:t>Lindijane</w:t>
      </w:r>
      <w:proofErr w:type="spellEnd"/>
      <w:r>
        <w:rPr>
          <w:rFonts w:ascii="Times New Roman" w:hAnsi="Times New Roman"/>
          <w:sz w:val="24"/>
          <w:szCs w:val="24"/>
        </w:rPr>
        <w:t xml:space="preserve"> de Souza Bento Almeida, </w:t>
      </w:r>
      <w:proofErr w:type="spellStart"/>
      <w:r>
        <w:rPr>
          <w:rFonts w:ascii="Times New Roman" w:hAnsi="Times New Roman"/>
          <w:sz w:val="24"/>
          <w:szCs w:val="24"/>
        </w:rPr>
        <w:t>Brunno</w:t>
      </w:r>
      <w:proofErr w:type="spellEnd"/>
      <w:r>
        <w:rPr>
          <w:rFonts w:ascii="Times New Roman" w:hAnsi="Times New Roman"/>
          <w:sz w:val="24"/>
          <w:szCs w:val="24"/>
        </w:rPr>
        <w:t xml:space="preserve"> Costa do Nascimento Silva. - 1. ed. - Rio de Janeiro: Letra Capital, 2020. p. 201-224.</w:t>
      </w:r>
    </w:p>
    <w:p w14:paraId="60E674FB" w14:textId="77777777" w:rsidR="00A9361D" w:rsidRDefault="00A9361D">
      <w:pPr>
        <w:spacing w:after="0" w:line="240" w:lineRule="auto"/>
      </w:pPr>
    </w:p>
    <w:p w14:paraId="0422B39A" w14:textId="77777777" w:rsidR="00A9361D" w:rsidRDefault="00000000">
      <w:pPr>
        <w:pStyle w:val="SemEspaamento"/>
        <w:spacing w:line="240" w:lineRule="auto"/>
        <w:jc w:val="left"/>
      </w:pPr>
      <w:r>
        <w:rPr>
          <w:color w:val="auto"/>
          <w:lang w:eastAsia="pt-BR"/>
        </w:rPr>
        <w:t xml:space="preserve">TROVÃO, Cassiano José Bezerra Marques; LEITE, Fabrício Pitombo. Desigualdade de renda em tempos de pandemia: uma análise de decomposição do Índice de Gini a partir da PNAD Covid19. </w:t>
      </w:r>
      <w:r>
        <w:rPr>
          <w:b/>
          <w:bCs/>
          <w:color w:val="auto"/>
          <w:lang w:eastAsia="pt-BR"/>
        </w:rPr>
        <w:t>BRAZILIAN KEYNESIAN REVIEW</w:t>
      </w:r>
      <w:r>
        <w:rPr>
          <w:color w:val="auto"/>
          <w:lang w:eastAsia="pt-BR"/>
        </w:rPr>
        <w:t>, 6(2), p.313-327, 2</w:t>
      </w:r>
      <w:r>
        <w:rPr>
          <w:color w:val="auto"/>
          <w:vertAlign w:val="superscript"/>
          <w:lang w:eastAsia="pt-BR"/>
        </w:rPr>
        <w:t>nd</w:t>
      </w:r>
      <w:r>
        <w:rPr>
          <w:color w:val="auto"/>
          <w:lang w:eastAsia="pt-BR"/>
        </w:rPr>
        <w:t xml:space="preserve"> </w:t>
      </w:r>
      <w:proofErr w:type="spellStart"/>
      <w:r>
        <w:rPr>
          <w:color w:val="auto"/>
          <w:lang w:eastAsia="pt-BR"/>
        </w:rPr>
        <w:t>Semester</w:t>
      </w:r>
      <w:proofErr w:type="spellEnd"/>
      <w:r>
        <w:rPr>
          <w:color w:val="auto"/>
          <w:lang w:eastAsia="pt-BR"/>
        </w:rPr>
        <w:t>/2020.</w:t>
      </w:r>
    </w:p>
    <w:p w14:paraId="4250DC6F" w14:textId="77777777" w:rsidR="00A9361D" w:rsidRDefault="00A9361D">
      <w:pPr>
        <w:tabs>
          <w:tab w:val="left" w:pos="7250"/>
        </w:tabs>
        <w:spacing w:after="0" w:line="240" w:lineRule="auto"/>
        <w:rPr>
          <w:rFonts w:ascii="Times New Roman" w:hAnsi="Times New Roman"/>
          <w:sz w:val="24"/>
        </w:rPr>
      </w:pPr>
    </w:p>
    <w:p w14:paraId="33255EB9" w14:textId="77777777" w:rsidR="00A9361D" w:rsidRDefault="00A9361D">
      <w:pPr>
        <w:tabs>
          <w:tab w:val="left" w:pos="7250"/>
        </w:tabs>
        <w:spacing w:after="0" w:line="240" w:lineRule="auto"/>
        <w:rPr>
          <w:rFonts w:ascii="Times New Roman" w:hAnsi="Times New Roman"/>
          <w:sz w:val="24"/>
        </w:rPr>
      </w:pPr>
    </w:p>
    <w:p w14:paraId="3BAFB53A" w14:textId="77777777" w:rsidR="00A9361D" w:rsidRDefault="00A9361D">
      <w:pPr>
        <w:tabs>
          <w:tab w:val="left" w:pos="7250"/>
        </w:tabs>
        <w:spacing w:after="0" w:line="240" w:lineRule="auto"/>
        <w:rPr>
          <w:rFonts w:ascii="Times New Roman" w:hAnsi="Times New Roman"/>
          <w:sz w:val="24"/>
        </w:rPr>
      </w:pPr>
    </w:p>
    <w:p w14:paraId="5EC839A0" w14:textId="77777777" w:rsidR="00A9361D" w:rsidRDefault="00A9361D">
      <w:pPr>
        <w:spacing w:after="0" w:line="360" w:lineRule="auto"/>
        <w:jc w:val="both"/>
        <w:rPr>
          <w:rFonts w:ascii="Times New Roman" w:hAnsi="Times New Roman" w:cs="Times New Roman"/>
          <w:sz w:val="24"/>
          <w:szCs w:val="24"/>
        </w:rPr>
      </w:pPr>
    </w:p>
    <w:sectPr w:rsidR="00A9361D">
      <w:headerReference w:type="default" r:id="rId23"/>
      <w:footerReference w:type="default" r:id="rId24"/>
      <w:pgSz w:w="11906" w:h="16838"/>
      <w:pgMar w:top="1701" w:right="1134" w:bottom="1134" w:left="1701" w:header="851"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FE4ED" w14:textId="77777777" w:rsidR="00060388" w:rsidRDefault="00060388">
      <w:pPr>
        <w:spacing w:after="0" w:line="240" w:lineRule="auto"/>
      </w:pPr>
      <w:r>
        <w:separator/>
      </w:r>
    </w:p>
  </w:endnote>
  <w:endnote w:type="continuationSeparator" w:id="0">
    <w:p w14:paraId="5B55F63F" w14:textId="77777777" w:rsidR="00060388" w:rsidRDefault="00060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BoldMT">
    <w:altName w:val="Arial"/>
    <w:charset w:val="01"/>
    <w:family w:val="roman"/>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imes New 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BC328" w14:textId="77777777" w:rsidR="00A9361D" w:rsidRDefault="00000000">
    <w:pPr>
      <w:pStyle w:val="Rodap"/>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0" distR="0" simplePos="0" relativeHeight="55" behindDoc="1" locked="0" layoutInCell="1" allowOverlap="1" wp14:anchorId="4105301D" wp14:editId="7F13987B">
              <wp:simplePos x="0" y="0"/>
              <wp:positionH relativeFrom="margin">
                <wp:posOffset>-547370</wp:posOffset>
              </wp:positionH>
              <wp:positionV relativeFrom="paragraph">
                <wp:posOffset>152400</wp:posOffset>
              </wp:positionV>
              <wp:extent cx="6506210" cy="10160"/>
              <wp:effectExtent l="0" t="0" r="28575" b="28575"/>
              <wp:wrapNone/>
              <wp:docPr id="16" name="Conector Reto 3"/>
              <wp:cNvGraphicFramePr/>
              <a:graphic xmlns:a="http://schemas.openxmlformats.org/drawingml/2006/main">
                <a:graphicData uri="http://schemas.microsoft.com/office/word/2010/wordprocessingShape">
                  <wps:wsp>
                    <wps:cNvCnPr/>
                    <wps:spPr>
                      <a:xfrm>
                        <a:off x="0" y="0"/>
                        <a:ext cx="6505560" cy="9360"/>
                      </a:xfrm>
                      <a:prstGeom prst="line">
                        <a:avLst/>
                      </a:prstGeom>
                      <a:ln>
                        <a:solidFill>
                          <a:srgbClr val="00B05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43.1pt,12pt" to="469.1pt,12.7pt" ID="Conector Reto 3" stroked="t" style="position:absolute;mso-position-horizontal-relative:margin" wp14:anchorId="7BE0BF65">
              <v:stroke color="#00b050" weight="6480" joinstyle="miter" endcap="flat"/>
              <v:fill o:detectmouseclick="t" on="false"/>
            </v:line>
          </w:pict>
        </mc:Fallback>
      </mc:AlternateContent>
    </w:r>
  </w:p>
  <w:p w14:paraId="513AB092" w14:textId="77777777" w:rsidR="00A9361D" w:rsidRDefault="00A9361D">
    <w:pPr>
      <w:pStyle w:val="Rodap"/>
      <w:jc w:val="both"/>
      <w:rPr>
        <w:rFonts w:ascii="Times New Roman" w:hAnsi="Times New Roman" w:cs="Times New Roman"/>
        <w:sz w:val="20"/>
        <w:szCs w:val="20"/>
      </w:rPr>
    </w:pPr>
  </w:p>
  <w:p w14:paraId="53949F1D" w14:textId="77777777" w:rsidR="00A9361D" w:rsidRDefault="00000000">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07A8FFB8" w14:textId="77777777" w:rsidR="00A9361D" w:rsidRDefault="00A9361D">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89A9E" w14:textId="77777777" w:rsidR="00060388" w:rsidRDefault="00060388">
      <w:pPr>
        <w:rPr>
          <w:sz w:val="12"/>
        </w:rPr>
      </w:pPr>
      <w:r>
        <w:separator/>
      </w:r>
    </w:p>
  </w:footnote>
  <w:footnote w:type="continuationSeparator" w:id="0">
    <w:p w14:paraId="7D7CA769" w14:textId="77777777" w:rsidR="00060388" w:rsidRDefault="00060388">
      <w:pPr>
        <w:rPr>
          <w:sz w:val="12"/>
        </w:rPr>
      </w:pPr>
      <w:r>
        <w:continuationSeparator/>
      </w:r>
    </w:p>
  </w:footnote>
  <w:footnote w:id="1">
    <w:p w14:paraId="334E4626"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 xml:space="preserve"> A vacinação em todo o país foi iniciada em janeiro de 2021. Ver Agência Brasil (2021).</w:t>
      </w:r>
    </w:p>
  </w:footnote>
  <w:footnote w:id="2">
    <w:p w14:paraId="5CE5E8A2"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A LEI N° 13. 979, DE 6 DE FEVEREIRO DE 2020 “Dispõe sobre as medidas para enfrentamento da emergência de saúde pública de importância internacional decorrente do coronavírus responsável pelo surto de 2019” (BRASIL, 2020a). Até essa data o Brasil não registrava casos de pessoas infectadas pelo coronavírus, o primeiro caso ocorreu no dia 26 de fevereiro de 2020 (AGÊNCIA BRASIL, 2020).</w:t>
      </w:r>
    </w:p>
  </w:footnote>
  <w:footnote w:id="3">
    <w:p w14:paraId="7B1A7DF8"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 xml:space="preserve"> Ver Brasil (2020a) e BRASIL (2020b).</w:t>
      </w:r>
    </w:p>
  </w:footnote>
  <w:footnote w:id="4">
    <w:p w14:paraId="425F7B3F"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 xml:space="preserve"> Ver Basil (2020c).</w:t>
      </w:r>
    </w:p>
  </w:footnote>
  <w:footnote w:id="5">
    <w:p w14:paraId="6407E5F1"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 xml:space="preserve"> Ver Brasil (2020d).</w:t>
      </w:r>
    </w:p>
  </w:footnote>
  <w:footnote w:id="6">
    <w:p w14:paraId="1E0D4863"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 xml:space="preserve"> Ver Brasil (2020e).</w:t>
      </w:r>
    </w:p>
  </w:footnote>
  <w:footnote w:id="7">
    <w:p w14:paraId="7E9EBEC6" w14:textId="77777777" w:rsidR="00A9361D" w:rsidRDefault="00000000">
      <w:pPr>
        <w:pStyle w:val="Textodenotaderodap"/>
        <w:jc w:val="both"/>
        <w:rPr>
          <w:rFonts w:ascii="Times New Roman" w:hAnsi="Times New Roman" w:cs="Times New Roman"/>
        </w:rPr>
      </w:pPr>
      <w:r>
        <w:rPr>
          <w:rStyle w:val="FootnoteCharacters"/>
        </w:rPr>
        <w:footnoteRef/>
      </w:r>
      <w:r>
        <w:rPr>
          <w:rFonts w:ascii="Times New Roman" w:hAnsi="Times New Roman" w:cs="Times New Roman"/>
        </w:rPr>
        <w:t xml:space="preserve"> Ver Brasil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1CC5" w14:textId="77777777" w:rsidR="00A9361D" w:rsidRDefault="00000000">
    <w:pPr>
      <w:pStyle w:val="Cabealho"/>
      <w:jc w:val="center"/>
    </w:pPr>
    <w:r>
      <w:rPr>
        <w:noProof/>
      </w:rPr>
      <mc:AlternateContent>
        <mc:Choice Requires="wps">
          <w:drawing>
            <wp:anchor distT="0" distB="0" distL="0" distR="0" simplePos="0" relativeHeight="28" behindDoc="1" locked="0" layoutInCell="1" allowOverlap="1" wp14:anchorId="01704289" wp14:editId="4AB53AF1">
              <wp:simplePos x="0" y="0"/>
              <wp:positionH relativeFrom="column">
                <wp:posOffset>-494665</wp:posOffset>
              </wp:positionH>
              <wp:positionV relativeFrom="paragraph">
                <wp:posOffset>970915</wp:posOffset>
              </wp:positionV>
              <wp:extent cx="6506210" cy="10160"/>
              <wp:effectExtent l="0" t="0" r="28575" b="28575"/>
              <wp:wrapNone/>
              <wp:docPr id="13" name="Conector Reto 1"/>
              <wp:cNvGraphicFramePr/>
              <a:graphic xmlns:a="http://schemas.openxmlformats.org/drawingml/2006/main">
                <a:graphicData uri="http://schemas.microsoft.com/office/word/2010/wordprocessingShape">
                  <wps:wsp>
                    <wps:cNvCnPr/>
                    <wps:spPr>
                      <a:xfrm>
                        <a:off x="0" y="0"/>
                        <a:ext cx="6505560" cy="9360"/>
                      </a:xfrm>
                      <a:prstGeom prst="line">
                        <a:avLst/>
                      </a:prstGeom>
                      <a:ln>
                        <a:solidFill>
                          <a:srgbClr val="00B05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38.95pt,76.45pt" to="473.25pt,77.15pt" ID="Conector Reto 1" stroked="t" style="position:absolute" wp14:anchorId="77FB4302">
              <v:stroke color="#00b050" weight="6480" joinstyle="miter" endcap="flat"/>
              <v:fill o:detectmouseclick="t" on="false"/>
            </v:line>
          </w:pict>
        </mc:Fallback>
      </mc:AlternateContent>
    </w:r>
    <w:r>
      <w:rPr>
        <w:noProof/>
      </w:rPr>
      <mc:AlternateContent>
        <mc:Choice Requires="wps">
          <w:drawing>
            <wp:inline distT="0" distB="0" distL="0" distR="0" wp14:anchorId="25A2F9BC" wp14:editId="7853597D">
              <wp:extent cx="305435" cy="305435"/>
              <wp:effectExtent l="0" t="0" r="0" b="0"/>
              <wp:docPr id="14" name="Shape2"/>
              <wp:cNvGraphicFramePr/>
              <a:graphic xmlns:a="http://schemas.openxmlformats.org/drawingml/2006/main">
                <a:graphicData uri="http://schemas.microsoft.com/office/word/2010/wordprocessingShape">
                  <wps:wsp>
                    <wps:cNvSpPr/>
                    <wps:spPr>
                      <a:xfrm>
                        <a:off x="0" y="0"/>
                        <a:ext cx="304920" cy="304920"/>
                      </a:xfrm>
                      <a:prstGeom prst="rect">
                        <a:avLst/>
                      </a:prstGeom>
                      <a:no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Shape2" stroked="f" style="position:absolute;margin-left:0pt;margin-top:-24.05pt;width:23.95pt;height:23.95pt;mso-position-vertical:top" wp14:anchorId="1925BD8E">
              <w10:wrap type="none"/>
              <v:fill o:detectmouseclick="t" on="false"/>
              <v:stroke color="#3465a4" joinstyle="round" endcap="flat"/>
            </v:rect>
          </w:pict>
        </mc:Fallback>
      </mc:AlternateContent>
    </w:r>
    <w:r>
      <w:t xml:space="preserve"> </w:t>
    </w:r>
    <w:r>
      <w:rPr>
        <w:noProof/>
      </w:rPr>
      <w:drawing>
        <wp:inline distT="0" distB="0" distL="0" distR="0" wp14:anchorId="309D1975" wp14:editId="15E65986">
          <wp:extent cx="2637790" cy="901065"/>
          <wp:effectExtent l="0" t="0" r="0" b="0"/>
          <wp:docPr id="1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2"/>
                  <pic:cNvPicPr>
                    <a:picLocks noChangeAspect="1" noChangeArrowheads="1"/>
                  </pic:cNvPicPr>
                </pic:nvPicPr>
                <pic:blipFill>
                  <a:blip r:embed="rId1"/>
                  <a:stretch>
                    <a:fillRect/>
                  </a:stretch>
                </pic:blipFill>
                <pic:spPr bwMode="auto">
                  <a:xfrm>
                    <a:off x="0" y="0"/>
                    <a:ext cx="2637790" cy="901065"/>
                  </a:xfrm>
                  <a:prstGeom prst="rect">
                    <a:avLst/>
                  </a:prstGeom>
                </pic:spPr>
              </pic:pic>
            </a:graphicData>
          </a:graphic>
        </wp:inline>
      </w:drawing>
    </w:r>
  </w:p>
  <w:p w14:paraId="23BB7920" w14:textId="77777777" w:rsidR="00A9361D" w:rsidRDefault="00A9361D">
    <w:pPr>
      <w:pStyle w:val="Cabealho"/>
      <w:jc w:val="center"/>
    </w:pPr>
  </w:p>
  <w:p w14:paraId="6A228602" w14:textId="77777777" w:rsidR="00A9361D" w:rsidRDefault="00A9361D">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91037"/>
    <w:multiLevelType w:val="multilevel"/>
    <w:tmpl w:val="A46682E8"/>
    <w:lvl w:ilvl="0">
      <w:start w:val="4"/>
      <w:numFmt w:val="decimal"/>
      <w:lvlText w:val="%1.2.2"/>
      <w:lvlJc w:val="left"/>
      <w:pPr>
        <w:tabs>
          <w:tab w:val="num" w:pos="0"/>
        </w:tabs>
        <w:ind w:left="720" w:hanging="360"/>
      </w:pPr>
      <w:rPr>
        <w:rFonts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4E6564"/>
    <w:multiLevelType w:val="multilevel"/>
    <w:tmpl w:val="07E2C030"/>
    <w:lvl w:ilvl="0">
      <w:start w:val="4"/>
      <w:numFmt w:val="decimal"/>
      <w:lvlText w:val="%1.2.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DAB0729"/>
    <w:multiLevelType w:val="multilevel"/>
    <w:tmpl w:val="E50CB192"/>
    <w:lvl w:ilvl="0">
      <w:start w:val="3"/>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E9779B1"/>
    <w:multiLevelType w:val="multilevel"/>
    <w:tmpl w:val="8DC2C7F0"/>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EBE2452"/>
    <w:multiLevelType w:val="multilevel"/>
    <w:tmpl w:val="454E11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8456978"/>
    <w:multiLevelType w:val="multilevel"/>
    <w:tmpl w:val="D85268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578349D"/>
    <w:multiLevelType w:val="multilevel"/>
    <w:tmpl w:val="4E22D7C8"/>
    <w:lvl w:ilvl="0">
      <w:start w:val="3"/>
      <w:numFmt w:val="decimal"/>
      <w:lvlText w:val="%1"/>
      <w:lvlJc w:val="left"/>
      <w:pPr>
        <w:tabs>
          <w:tab w:val="num" w:pos="0"/>
        </w:tabs>
        <w:ind w:left="360" w:hanging="360"/>
      </w:pPr>
      <w:rPr>
        <w:color w:val="171717"/>
        <w:sz w:val="24"/>
      </w:rPr>
    </w:lvl>
    <w:lvl w:ilvl="1">
      <w:start w:val="4"/>
      <w:numFmt w:val="decimal"/>
      <w:lvlText w:val="%2.2"/>
      <w:lvlJc w:val="left"/>
      <w:pPr>
        <w:tabs>
          <w:tab w:val="num" w:pos="0"/>
        </w:tabs>
        <w:ind w:left="720" w:hanging="360"/>
      </w:pPr>
    </w:lvl>
    <w:lvl w:ilvl="2">
      <w:start w:val="1"/>
      <w:numFmt w:val="decimal"/>
      <w:lvlText w:val="%1.%2.%3"/>
      <w:lvlJc w:val="left"/>
      <w:pPr>
        <w:tabs>
          <w:tab w:val="num" w:pos="0"/>
        </w:tabs>
        <w:ind w:left="720" w:hanging="720"/>
      </w:pPr>
      <w:rPr>
        <w:rFonts w:cs="Times New Roman"/>
        <w:color w:val="171717"/>
        <w:sz w:val="24"/>
      </w:rPr>
    </w:lvl>
    <w:lvl w:ilvl="3">
      <w:start w:val="1"/>
      <w:numFmt w:val="decimal"/>
      <w:lvlText w:val="%1.%2.%3.%4"/>
      <w:lvlJc w:val="left"/>
      <w:pPr>
        <w:tabs>
          <w:tab w:val="num" w:pos="0"/>
        </w:tabs>
        <w:ind w:left="720" w:hanging="720"/>
      </w:pPr>
      <w:rPr>
        <w:color w:val="171717"/>
        <w:sz w:val="24"/>
      </w:rPr>
    </w:lvl>
    <w:lvl w:ilvl="4">
      <w:start w:val="1"/>
      <w:numFmt w:val="decimal"/>
      <w:lvlText w:val="%1.%2.%3.%4.%5"/>
      <w:lvlJc w:val="left"/>
      <w:pPr>
        <w:tabs>
          <w:tab w:val="num" w:pos="0"/>
        </w:tabs>
        <w:ind w:left="720" w:hanging="720"/>
      </w:pPr>
      <w:rPr>
        <w:color w:val="171717"/>
        <w:sz w:val="24"/>
      </w:rPr>
    </w:lvl>
    <w:lvl w:ilvl="5">
      <w:start w:val="1"/>
      <w:numFmt w:val="decimal"/>
      <w:lvlText w:val="%1.%2.%3.%4.%5.%6"/>
      <w:lvlJc w:val="left"/>
      <w:pPr>
        <w:tabs>
          <w:tab w:val="num" w:pos="0"/>
        </w:tabs>
        <w:ind w:left="1080" w:hanging="1080"/>
      </w:pPr>
      <w:rPr>
        <w:color w:val="171717"/>
        <w:sz w:val="24"/>
      </w:rPr>
    </w:lvl>
    <w:lvl w:ilvl="6">
      <w:start w:val="1"/>
      <w:numFmt w:val="decimal"/>
      <w:lvlText w:val="%1.%2.%3.%4.%5.%6.%7"/>
      <w:lvlJc w:val="left"/>
      <w:pPr>
        <w:tabs>
          <w:tab w:val="num" w:pos="0"/>
        </w:tabs>
        <w:ind w:left="1080" w:hanging="1080"/>
      </w:pPr>
      <w:rPr>
        <w:color w:val="171717"/>
        <w:sz w:val="24"/>
      </w:rPr>
    </w:lvl>
    <w:lvl w:ilvl="7">
      <w:start w:val="1"/>
      <w:numFmt w:val="decimal"/>
      <w:lvlText w:val="%1.%2.%3.%4.%5.%6.%7.%8"/>
      <w:lvlJc w:val="left"/>
      <w:pPr>
        <w:tabs>
          <w:tab w:val="num" w:pos="0"/>
        </w:tabs>
        <w:ind w:left="1440" w:hanging="1440"/>
      </w:pPr>
      <w:rPr>
        <w:color w:val="171717"/>
        <w:sz w:val="24"/>
      </w:rPr>
    </w:lvl>
    <w:lvl w:ilvl="8">
      <w:start w:val="1"/>
      <w:numFmt w:val="decimal"/>
      <w:lvlText w:val="%1.%2.%3.%4.%5.%6.%7.%8.%9"/>
      <w:lvlJc w:val="left"/>
      <w:pPr>
        <w:tabs>
          <w:tab w:val="num" w:pos="0"/>
        </w:tabs>
        <w:ind w:left="1440" w:hanging="1440"/>
      </w:pPr>
      <w:rPr>
        <w:color w:val="171717"/>
        <w:sz w:val="24"/>
      </w:rPr>
    </w:lvl>
  </w:abstractNum>
  <w:abstractNum w:abstractNumId="7" w15:restartNumberingAfterBreak="0">
    <w:nsid w:val="55A567DC"/>
    <w:multiLevelType w:val="multilevel"/>
    <w:tmpl w:val="792C0F00"/>
    <w:lvl w:ilvl="0">
      <w:start w:val="4"/>
      <w:numFmt w:val="decimal"/>
      <w:lvlText w:val="%1.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5721B47"/>
    <w:multiLevelType w:val="multilevel"/>
    <w:tmpl w:val="693CB02C"/>
    <w:lvl w:ilvl="0">
      <w:start w:val="4"/>
      <w:numFmt w:val="decimal"/>
      <w:lvlText w:val="%1.2.3"/>
      <w:lvlJc w:val="left"/>
      <w:pPr>
        <w:tabs>
          <w:tab w:val="num" w:pos="0"/>
        </w:tabs>
        <w:ind w:left="720" w:hanging="360"/>
      </w:pPr>
      <w:rPr>
        <w:rFonts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946687350">
    <w:abstractNumId w:val="3"/>
  </w:num>
  <w:num w:numId="2" w16cid:durableId="595865757">
    <w:abstractNumId w:val="7"/>
  </w:num>
  <w:num w:numId="3" w16cid:durableId="1002009028">
    <w:abstractNumId w:val="6"/>
  </w:num>
  <w:num w:numId="4" w16cid:durableId="1195462362">
    <w:abstractNumId w:val="1"/>
  </w:num>
  <w:num w:numId="5" w16cid:durableId="1608198063">
    <w:abstractNumId w:val="2"/>
  </w:num>
  <w:num w:numId="6" w16cid:durableId="1428624095">
    <w:abstractNumId w:val="5"/>
  </w:num>
  <w:num w:numId="7" w16cid:durableId="353926277">
    <w:abstractNumId w:val="0"/>
  </w:num>
  <w:num w:numId="8" w16cid:durableId="2100978920">
    <w:abstractNumId w:val="8"/>
  </w:num>
  <w:num w:numId="9" w16cid:durableId="1458834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1D"/>
    <w:rsid w:val="00060388"/>
    <w:rsid w:val="001F52DD"/>
    <w:rsid w:val="00281952"/>
    <w:rsid w:val="003048E7"/>
    <w:rsid w:val="004A1C82"/>
    <w:rsid w:val="005566E0"/>
    <w:rsid w:val="00911AC9"/>
    <w:rsid w:val="00A14CFA"/>
    <w:rsid w:val="00A64466"/>
    <w:rsid w:val="00A930BA"/>
    <w:rsid w:val="00A9361D"/>
    <w:rsid w:val="00AC684B"/>
    <w:rsid w:val="00AD42FB"/>
    <w:rsid w:val="00C4014B"/>
    <w:rsid w:val="00D03F72"/>
  </w:rsids>
  <m:mathPr>
    <m:mathFont m:val="Cambria Math"/>
    <m:brkBin m:val="before"/>
    <m:brkBinSub m:val="--"/>
    <m:smallFrac m:val="0"/>
    <m:dispDef/>
    <m:lMargin m:val="0"/>
    <m:rMargin m:val="0"/>
    <m:defJc m:val="centerGroup"/>
    <m:wrapIndent m:val="1440"/>
    <m:intLim m:val="subSup"/>
    <m:naryLim m:val="undOvr"/>
  </m:mathPr>
  <w:themeFontLang w:val="pt-BR"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E736"/>
  <w15:docId w15:val="{17242B97-F35C-4B75-9BAB-892FDE3C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B031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920D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qFormat/>
    <w:rPr>
      <w:rFonts w:ascii="Arial-BoldMT" w:hAnsi="Arial-BoldMT"/>
      <w:b/>
      <w:bCs/>
      <w:color w:val="242021"/>
      <w:sz w:val="22"/>
      <w:szCs w:val="22"/>
    </w:rPr>
  </w:style>
  <w:style w:type="character" w:customStyle="1" w:styleId="Corpodetexto3Char">
    <w:name w:val="Corpo de texto 3 Char"/>
    <w:basedOn w:val="Fontepargpadro"/>
    <w:link w:val="Corpodetexto3"/>
    <w:qFormat/>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qFormat/>
    <w:rPr>
      <w:rFonts w:ascii="Arial" w:eastAsia="Times New Roman" w:hAnsi="Arial" w:cs="Times New Roman"/>
      <w:b/>
      <w:sz w:val="28"/>
      <w:szCs w:val="24"/>
      <w:lang w:val="en-GB" w:eastAsia="pt-BR"/>
    </w:rPr>
  </w:style>
  <w:style w:type="character" w:customStyle="1" w:styleId="Ttulo1Char">
    <w:name w:val="Título 1 Char"/>
    <w:basedOn w:val="Fontepargpadro"/>
    <w:link w:val="Ttulo1"/>
    <w:uiPriority w:val="9"/>
    <w:qFormat/>
    <w:rsid w:val="00B03146"/>
    <w:rPr>
      <w:rFonts w:asciiTheme="majorHAnsi" w:eastAsiaTheme="majorEastAsia" w:hAnsiTheme="majorHAnsi" w:cstheme="majorBidi"/>
      <w:color w:val="2F5496" w:themeColor="accent1" w:themeShade="BF"/>
      <w:sz w:val="32"/>
      <w:szCs w:val="32"/>
      <w:lang w:eastAsia="en-US"/>
    </w:rPr>
  </w:style>
  <w:style w:type="character" w:customStyle="1" w:styleId="TextodenotaderodapChar">
    <w:name w:val="Texto de nota de rodapé Char"/>
    <w:basedOn w:val="Fontepargpadro"/>
    <w:link w:val="Textodenotaderodap"/>
    <w:uiPriority w:val="99"/>
    <w:semiHidden/>
    <w:qFormat/>
    <w:rsid w:val="00A8452D"/>
    <w:rPr>
      <w:lang w:eastAsia="en-US"/>
    </w:rPr>
  </w:style>
  <w:style w:type="character" w:customStyle="1" w:styleId="FootnoteCharacters">
    <w:name w:val="Footnote Characters"/>
    <w:basedOn w:val="Fontepargpadro"/>
    <w:uiPriority w:val="99"/>
    <w:semiHidden/>
    <w:unhideWhenUsed/>
    <w:qFormat/>
    <w:rsid w:val="00920DDC"/>
    <w:rPr>
      <w:vertAlign w:val="superscript"/>
    </w:rPr>
  </w:style>
  <w:style w:type="character" w:customStyle="1" w:styleId="FootnoteAnchor">
    <w:name w:val="Footnote Anchor"/>
    <w:rsid w:val="00A8452D"/>
    <w:rPr>
      <w:vertAlign w:val="superscript"/>
    </w:rPr>
  </w:style>
  <w:style w:type="character" w:styleId="Hyperlink">
    <w:name w:val="Hyperlink"/>
    <w:uiPriority w:val="99"/>
    <w:unhideWhenUsed/>
    <w:rsid w:val="00920DDC"/>
    <w:rPr>
      <w:color w:val="0000FF"/>
      <w:u w:val="single"/>
    </w:rPr>
  </w:style>
  <w:style w:type="character" w:customStyle="1" w:styleId="Ttulo2Char">
    <w:name w:val="Título 2 Char"/>
    <w:basedOn w:val="Fontepargpadro"/>
    <w:link w:val="Ttulo2"/>
    <w:uiPriority w:val="9"/>
    <w:qFormat/>
    <w:rsid w:val="00920DDC"/>
    <w:rPr>
      <w:rFonts w:asciiTheme="majorHAnsi" w:eastAsiaTheme="majorEastAsia" w:hAnsiTheme="majorHAnsi" w:cstheme="majorBidi"/>
      <w:color w:val="2F5496" w:themeColor="accent1" w:themeShade="BF"/>
      <w:sz w:val="26"/>
      <w:szCs w:val="26"/>
      <w:lang w:eastAsia="en-US"/>
    </w:rPr>
  </w:style>
  <w:style w:type="character" w:styleId="Refdecomentrio">
    <w:name w:val="annotation reference"/>
    <w:uiPriority w:val="99"/>
    <w:semiHidden/>
    <w:unhideWhenUsed/>
    <w:qFormat/>
    <w:rsid w:val="00920DDC"/>
    <w:rPr>
      <w:sz w:val="16"/>
      <w:szCs w:val="16"/>
    </w:rPr>
  </w:style>
  <w:style w:type="character" w:customStyle="1" w:styleId="TextodecomentrioChar">
    <w:name w:val="Texto de comentário Char"/>
    <w:basedOn w:val="Fontepargpadro"/>
    <w:link w:val="Textodecomentrio"/>
    <w:uiPriority w:val="99"/>
    <w:qFormat/>
    <w:rsid w:val="00920DDC"/>
    <w:rPr>
      <w:rFonts w:ascii="Calibri" w:eastAsia="Calibri" w:hAnsi="Calibri" w:cs="Times New Roman"/>
      <w:lang w:eastAsia="en-US"/>
    </w:rPr>
  </w:style>
  <w:style w:type="character" w:customStyle="1" w:styleId="AssuntodocomentrioChar">
    <w:name w:val="Assunto do comentário Char"/>
    <w:basedOn w:val="TextodecomentrioChar"/>
    <w:link w:val="Assuntodocomentrio"/>
    <w:uiPriority w:val="99"/>
    <w:semiHidden/>
    <w:qFormat/>
    <w:rsid w:val="00920DDC"/>
    <w:rPr>
      <w:rFonts w:ascii="Calibri" w:eastAsia="Calibri" w:hAnsi="Calibri" w:cs="Times New Roman"/>
      <w:b/>
      <w:bCs/>
      <w:lang w:eastAsia="en-US"/>
    </w:rPr>
  </w:style>
  <w:style w:type="character" w:customStyle="1" w:styleId="TextodenotadefimChar">
    <w:name w:val="Texto de nota de fim Char"/>
    <w:basedOn w:val="Fontepargpadro"/>
    <w:link w:val="Textodenotadefim"/>
    <w:uiPriority w:val="99"/>
    <w:semiHidden/>
    <w:qFormat/>
    <w:rsid w:val="00920DDC"/>
    <w:rPr>
      <w:lang w:eastAsia="en-US"/>
    </w:rPr>
  </w:style>
  <w:style w:type="character" w:customStyle="1" w:styleId="EndnoteCharacters">
    <w:name w:val="Endnote Characters"/>
    <w:basedOn w:val="Fontepargpadro"/>
    <w:uiPriority w:val="99"/>
    <w:semiHidden/>
    <w:unhideWhenUsed/>
    <w:qFormat/>
    <w:rsid w:val="00920DDC"/>
    <w:rPr>
      <w:vertAlign w:val="superscript"/>
    </w:rPr>
  </w:style>
  <w:style w:type="character" w:customStyle="1" w:styleId="EndnoteAnchor">
    <w:name w:val="Endnote Anchor"/>
    <w:rPr>
      <w:vertAlign w:val="superscript"/>
    </w:rPr>
  </w:style>
  <w:style w:type="character" w:styleId="MenoPendente">
    <w:name w:val="Unresolved Mention"/>
    <w:basedOn w:val="Fontepargpadro"/>
    <w:uiPriority w:val="99"/>
    <w:semiHidden/>
    <w:unhideWhenUsed/>
    <w:qFormat/>
    <w:rsid w:val="00920DDC"/>
    <w:rPr>
      <w:color w:val="605E5C"/>
      <w:shd w:val="clear" w:color="auto" w:fill="E1DFDD"/>
    </w:rPr>
  </w:style>
  <w:style w:type="character" w:styleId="HiperlinkVisitado">
    <w:name w:val="FollowedHyperlink"/>
    <w:basedOn w:val="Fontepargpadro"/>
    <w:uiPriority w:val="99"/>
    <w:semiHidden/>
    <w:unhideWhenUsed/>
    <w:rsid w:val="00920DDC"/>
    <w:rPr>
      <w:color w:val="800080"/>
      <w:u w:val="single"/>
    </w:rPr>
  </w:style>
  <w:style w:type="paragraph" w:customStyle="1" w:styleId="Heading">
    <w:name w:val="Heading"/>
    <w:basedOn w:val="Normal"/>
    <w:next w:val="Corpodetexto"/>
    <w:qFormat/>
    <w:pPr>
      <w:keepNext/>
      <w:spacing w:before="240" w:after="120"/>
    </w:pPr>
    <w:rPr>
      <w:rFonts w:ascii="Liberation Sans" w:eastAsia="Noto Sans CJK SC"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next w:val="Normal"/>
    <w:uiPriority w:val="35"/>
    <w:unhideWhenUsed/>
    <w:qFormat/>
    <w:rsid w:val="007A3C77"/>
    <w:pPr>
      <w:spacing w:after="200" w:line="240" w:lineRule="auto"/>
    </w:pPr>
    <w:rPr>
      <w:rFonts w:ascii="Times New Roman" w:hAnsi="Times New Roman"/>
      <w:b/>
      <w:iCs/>
      <w:sz w:val="24"/>
      <w:szCs w:val="18"/>
    </w:rPr>
  </w:style>
  <w:style w:type="paragraph" w:customStyle="1" w:styleId="Index">
    <w:name w:val="Index"/>
    <w:basedOn w:val="Normal"/>
    <w:qFormat/>
    <w:pPr>
      <w:suppressLineNumbers/>
    </w:pPr>
    <w:rPr>
      <w:rFonts w:cs="Lohit Devanagari"/>
    </w:rPr>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customStyle="1" w:styleId="HeaderandFooter">
    <w:name w:val="Header and Footer"/>
    <w:basedOn w:val="Normal"/>
    <w:qFormat/>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SemEspaamento">
    <w:name w:val="No Spacing"/>
    <w:uiPriority w:val="1"/>
    <w:qFormat/>
    <w:rsid w:val="00A8452D"/>
    <w:pPr>
      <w:spacing w:line="360" w:lineRule="auto"/>
      <w:jc w:val="both"/>
    </w:pPr>
    <w:rPr>
      <w:rFonts w:ascii="Times New Roman" w:eastAsia="Calibri" w:hAnsi="Times New Roman" w:cs="Times New Roman"/>
      <w:color w:val="FF0000"/>
      <w:sz w:val="24"/>
      <w:szCs w:val="22"/>
      <w:lang w:eastAsia="en-US"/>
    </w:rPr>
  </w:style>
  <w:style w:type="paragraph" w:styleId="Textodenotaderodap">
    <w:name w:val="footnote text"/>
    <w:basedOn w:val="Normal"/>
    <w:link w:val="TextodenotaderodapChar"/>
    <w:uiPriority w:val="99"/>
    <w:semiHidden/>
    <w:unhideWhenUsed/>
    <w:rsid w:val="00A8452D"/>
    <w:pPr>
      <w:spacing w:after="0" w:line="240" w:lineRule="auto"/>
    </w:pPr>
    <w:rPr>
      <w:sz w:val="20"/>
      <w:szCs w:val="20"/>
    </w:rPr>
  </w:style>
  <w:style w:type="paragraph" w:styleId="PargrafodaLista">
    <w:name w:val="List Paragraph"/>
    <w:basedOn w:val="Normal"/>
    <w:uiPriority w:val="34"/>
    <w:qFormat/>
    <w:rsid w:val="002E5225"/>
    <w:pPr>
      <w:ind w:left="720"/>
      <w:contextualSpacing/>
    </w:pPr>
  </w:style>
  <w:style w:type="paragraph" w:customStyle="1" w:styleId="Estilo1">
    <w:name w:val="Estilo1"/>
    <w:basedOn w:val="Legenda"/>
    <w:qFormat/>
    <w:rsid w:val="00920DDC"/>
    <w:pPr>
      <w:keepNext/>
      <w:spacing w:after="0"/>
      <w:jc w:val="center"/>
    </w:pPr>
  </w:style>
  <w:style w:type="paragraph" w:customStyle="1" w:styleId="Default">
    <w:name w:val="Default"/>
    <w:qFormat/>
    <w:rsid w:val="00920DDC"/>
    <w:rPr>
      <w:rFonts w:ascii="Arial" w:eastAsia="Calibri" w:hAnsi="Arial" w:cs="Arial"/>
      <w:color w:val="000000"/>
      <w:sz w:val="24"/>
      <w:szCs w:val="24"/>
      <w:lang w:eastAsia="en-US"/>
    </w:rPr>
  </w:style>
  <w:style w:type="paragraph" w:styleId="Textodecomentrio">
    <w:name w:val="annotation text"/>
    <w:basedOn w:val="Normal"/>
    <w:link w:val="TextodecomentrioChar"/>
    <w:uiPriority w:val="99"/>
    <w:unhideWhenUsed/>
    <w:qFormat/>
    <w:rsid w:val="00920DDC"/>
    <w:pPr>
      <w:spacing w:after="200" w:line="276" w:lineRule="auto"/>
    </w:pPr>
    <w:rPr>
      <w:rFonts w:ascii="Calibri" w:eastAsia="Calibri" w:hAnsi="Calibri" w:cs="Times New Roman"/>
      <w:sz w:val="20"/>
      <w:szCs w:val="20"/>
    </w:rPr>
  </w:style>
  <w:style w:type="paragraph" w:styleId="Reviso">
    <w:name w:val="Revision"/>
    <w:uiPriority w:val="99"/>
    <w:semiHidden/>
    <w:qFormat/>
    <w:rsid w:val="00920DDC"/>
    <w:rPr>
      <w:sz w:val="22"/>
      <w:szCs w:val="22"/>
      <w:lang w:eastAsia="en-US"/>
    </w:rPr>
  </w:style>
  <w:style w:type="paragraph" w:styleId="Assuntodocomentrio">
    <w:name w:val="annotation subject"/>
    <w:basedOn w:val="Textodecomentrio"/>
    <w:next w:val="Textodecomentrio"/>
    <w:link w:val="AssuntodocomentrioChar"/>
    <w:uiPriority w:val="99"/>
    <w:semiHidden/>
    <w:unhideWhenUsed/>
    <w:qFormat/>
    <w:rsid w:val="00920DDC"/>
    <w:pPr>
      <w:spacing w:after="160" w:line="240" w:lineRule="auto"/>
    </w:pPr>
    <w:rPr>
      <w:rFonts w:asciiTheme="minorHAnsi" w:eastAsiaTheme="minorHAnsi" w:hAnsiTheme="minorHAnsi" w:cstheme="minorBidi"/>
      <w:b/>
      <w:bCs/>
    </w:rPr>
  </w:style>
  <w:style w:type="paragraph" w:styleId="CabealhodoSumrio">
    <w:name w:val="TOC Heading"/>
    <w:basedOn w:val="Ttulo1"/>
    <w:next w:val="Normal"/>
    <w:uiPriority w:val="39"/>
    <w:unhideWhenUsed/>
    <w:qFormat/>
    <w:rsid w:val="00920DDC"/>
    <w:rPr>
      <w:lang w:eastAsia="pt-BR"/>
    </w:rPr>
  </w:style>
  <w:style w:type="paragraph" w:styleId="Sumrio1">
    <w:name w:val="toc 1"/>
    <w:basedOn w:val="Normal"/>
    <w:next w:val="Normal"/>
    <w:autoRedefine/>
    <w:uiPriority w:val="39"/>
    <w:unhideWhenUsed/>
    <w:rsid w:val="00920DDC"/>
    <w:pPr>
      <w:tabs>
        <w:tab w:val="right" w:leader="dot" w:pos="9061"/>
      </w:tabs>
      <w:spacing w:after="100"/>
    </w:pPr>
  </w:style>
  <w:style w:type="paragraph" w:styleId="Sumrio2">
    <w:name w:val="toc 2"/>
    <w:basedOn w:val="Normal"/>
    <w:next w:val="Normal"/>
    <w:autoRedefine/>
    <w:uiPriority w:val="39"/>
    <w:unhideWhenUsed/>
    <w:rsid w:val="00920DDC"/>
    <w:pPr>
      <w:tabs>
        <w:tab w:val="left" w:pos="880"/>
        <w:tab w:val="right" w:leader="dot" w:pos="9061"/>
      </w:tabs>
      <w:spacing w:after="100"/>
      <w:ind w:left="220"/>
    </w:pPr>
  </w:style>
  <w:style w:type="paragraph" w:customStyle="1" w:styleId="Naturezadotrabalho">
    <w:name w:val="Natureza do trabalho"/>
    <w:basedOn w:val="Normal"/>
    <w:qFormat/>
    <w:rsid w:val="00920DDC"/>
    <w:pPr>
      <w:spacing w:after="0" w:line="240" w:lineRule="auto"/>
      <w:ind w:left="4536"/>
      <w:jc w:val="both"/>
    </w:pPr>
    <w:rPr>
      <w:rFonts w:ascii="Arial" w:eastAsia="Calibri" w:hAnsi="Arial" w:cs="Arial"/>
      <w:sz w:val="20"/>
      <w:lang w:eastAsia="zh-CN"/>
    </w:rPr>
  </w:style>
  <w:style w:type="paragraph" w:customStyle="1" w:styleId="Ttulopr-textual">
    <w:name w:val="Título pré-textual"/>
    <w:basedOn w:val="Normal"/>
    <w:next w:val="Normal"/>
    <w:qFormat/>
    <w:rsid w:val="00920DDC"/>
    <w:pPr>
      <w:spacing w:after="0" w:line="360" w:lineRule="auto"/>
      <w:jc w:val="center"/>
    </w:pPr>
    <w:rPr>
      <w:rFonts w:ascii="Arial" w:eastAsia="Calibri" w:hAnsi="Arial" w:cs="Arial"/>
      <w:b/>
      <w:caps/>
      <w:sz w:val="24"/>
      <w:lang w:eastAsia="zh-CN"/>
    </w:rPr>
  </w:style>
  <w:style w:type="paragraph" w:styleId="ndicedeilustraes">
    <w:name w:val="table of figures"/>
    <w:basedOn w:val="Normal"/>
    <w:next w:val="Normal"/>
    <w:uiPriority w:val="99"/>
    <w:unhideWhenUsed/>
    <w:qFormat/>
    <w:rsid w:val="00920DDC"/>
    <w:pPr>
      <w:spacing w:after="0"/>
    </w:pPr>
    <w:rPr>
      <w:rFonts w:ascii="Times New Roman" w:hAnsi="Times New Roman"/>
      <w:b/>
      <w:sz w:val="24"/>
    </w:rPr>
  </w:style>
  <w:style w:type="paragraph" w:styleId="Textodenotadefim">
    <w:name w:val="endnote text"/>
    <w:basedOn w:val="Normal"/>
    <w:link w:val="TextodenotadefimChar"/>
    <w:uiPriority w:val="99"/>
    <w:semiHidden/>
    <w:unhideWhenUsed/>
    <w:rsid w:val="00920DDC"/>
    <w:pPr>
      <w:spacing w:after="0" w:line="240" w:lineRule="auto"/>
    </w:pPr>
    <w:rPr>
      <w:sz w:val="20"/>
      <w:szCs w:val="20"/>
    </w:rPr>
  </w:style>
  <w:style w:type="paragraph" w:customStyle="1" w:styleId="Capa-Folhaderosto">
    <w:name w:val="Capa-Folha de rosto"/>
    <w:basedOn w:val="Normal"/>
    <w:qFormat/>
    <w:rsid w:val="00920DDC"/>
    <w:pPr>
      <w:spacing w:after="0" w:line="360" w:lineRule="auto"/>
      <w:jc w:val="center"/>
    </w:pPr>
    <w:rPr>
      <w:rFonts w:ascii="Arial" w:eastAsia="Calibri" w:hAnsi="Arial" w:cs="Arial"/>
      <w:caps/>
      <w:sz w:val="24"/>
      <w:lang w:eastAsia="zh-CN"/>
    </w:rPr>
  </w:style>
  <w:style w:type="paragraph" w:customStyle="1" w:styleId="Texto">
    <w:name w:val="Texto"/>
    <w:basedOn w:val="Normal"/>
    <w:qFormat/>
    <w:rsid w:val="00920DDC"/>
    <w:pPr>
      <w:spacing w:after="0" w:line="360" w:lineRule="auto"/>
      <w:ind w:firstLine="851"/>
      <w:jc w:val="both"/>
    </w:pPr>
    <w:rPr>
      <w:rFonts w:ascii="Arial" w:eastAsia="Calibri" w:hAnsi="Arial" w:cs="Arial"/>
      <w:sz w:val="24"/>
      <w:lang w:eastAsia="zh-CN"/>
    </w:rPr>
  </w:style>
  <w:style w:type="paragraph" w:customStyle="1" w:styleId="msonormal0">
    <w:name w:val="msonormal"/>
    <w:basedOn w:val="Normal"/>
    <w:qFormat/>
    <w:rsid w:val="00920DDC"/>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xl65">
    <w:name w:val="xl65"/>
    <w:basedOn w:val="Normal"/>
    <w:qFormat/>
    <w:rsid w:val="00920DDC"/>
    <w:pPr>
      <w:spacing w:beforeAutospacing="1" w:afterAutospacing="1" w:line="240" w:lineRule="auto"/>
      <w:jc w:val="center"/>
    </w:pPr>
    <w:rPr>
      <w:rFonts w:ascii="Times New Roman" w:eastAsia="Times New Roman" w:hAnsi="Times New Roman" w:cs="Times New Roman"/>
      <w:sz w:val="24"/>
      <w:szCs w:val="24"/>
      <w:lang w:eastAsia="pt-BR"/>
    </w:rPr>
  </w:style>
  <w:style w:type="paragraph" w:customStyle="1" w:styleId="xl66">
    <w:name w:val="xl66"/>
    <w:basedOn w:val="Normal"/>
    <w:qFormat/>
    <w:rsid w:val="00920DDC"/>
    <w:pPr>
      <w:spacing w:beforeAutospacing="1" w:afterAutospacing="1" w:line="240" w:lineRule="auto"/>
      <w:jc w:val="center"/>
    </w:pPr>
    <w:rPr>
      <w:rFonts w:ascii="Times New Roman" w:eastAsia="Times New Roman" w:hAnsi="Times New Roman" w:cs="Times New Roman"/>
      <w:sz w:val="24"/>
      <w:szCs w:val="24"/>
      <w:lang w:eastAsia="pt-BR"/>
    </w:rPr>
  </w:style>
  <w:style w:type="paragraph" w:customStyle="1" w:styleId="xl67">
    <w:name w:val="xl67"/>
    <w:basedOn w:val="Normal"/>
    <w:qFormat/>
    <w:rsid w:val="00920DDC"/>
    <w:pPr>
      <w:spacing w:beforeAutospacing="1" w:afterAutospacing="1" w:line="240" w:lineRule="auto"/>
      <w:jc w:val="center"/>
    </w:pPr>
    <w:rPr>
      <w:rFonts w:ascii="Times New Roman" w:eastAsia="Times New Roman" w:hAnsi="Times New Roman" w:cs="Times New Roman"/>
      <w:b/>
      <w:bCs/>
      <w:sz w:val="24"/>
      <w:szCs w:val="24"/>
      <w:lang w:eastAsia="pt-BR"/>
    </w:rPr>
  </w:style>
  <w:style w:type="paragraph" w:customStyle="1" w:styleId="xl68">
    <w:name w:val="xl68"/>
    <w:basedOn w:val="Normal"/>
    <w:qFormat/>
    <w:rsid w:val="00920DDC"/>
    <w:pPr>
      <w:pBdr>
        <w:top w:val="single" w:sz="4"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69">
    <w:name w:val="xl69"/>
    <w:basedOn w:val="Normal"/>
    <w:qFormat/>
    <w:rsid w:val="00920DDC"/>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0">
    <w:name w:val="xl70"/>
    <w:basedOn w:val="Normal"/>
    <w:qFormat/>
    <w:rsid w:val="00920DDC"/>
    <w:pPr>
      <w:pBdr>
        <w:top w:val="single" w:sz="4" w:space="0" w:color="000000"/>
        <w:bottom w:val="single" w:sz="4" w:space="0" w:color="000000"/>
      </w:pBdr>
      <w:spacing w:beforeAutospacing="1" w:afterAutospacing="1" w:line="240" w:lineRule="auto"/>
      <w:jc w:val="center"/>
    </w:pPr>
    <w:rPr>
      <w:rFonts w:ascii="Times New Roman" w:eastAsia="Times New Roman" w:hAnsi="Times New Roman" w:cs="Times New Roman"/>
      <w:sz w:val="18"/>
      <w:szCs w:val="18"/>
      <w:lang w:eastAsia="pt-BR"/>
    </w:rPr>
  </w:style>
  <w:style w:type="paragraph" w:customStyle="1" w:styleId="xl71">
    <w:name w:val="xl71"/>
    <w:basedOn w:val="Normal"/>
    <w:qFormat/>
    <w:rsid w:val="00920DDC"/>
    <w:pPr>
      <w:pBdr>
        <w:bottom w:val="single" w:sz="4"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2">
    <w:name w:val="xl72"/>
    <w:basedOn w:val="Normal"/>
    <w:qFormat/>
    <w:rsid w:val="00920DDC"/>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3">
    <w:name w:val="xl73"/>
    <w:basedOn w:val="Normal"/>
    <w:qFormat/>
    <w:rsid w:val="00920DDC"/>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4">
    <w:name w:val="xl74"/>
    <w:basedOn w:val="Normal"/>
    <w:qFormat/>
    <w:rsid w:val="00920DDC"/>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color w:val="000000"/>
      <w:sz w:val="18"/>
      <w:szCs w:val="18"/>
      <w:lang w:eastAsia="pt-BR"/>
    </w:rPr>
  </w:style>
  <w:style w:type="paragraph" w:customStyle="1" w:styleId="xl75">
    <w:name w:val="xl75"/>
    <w:basedOn w:val="Normal"/>
    <w:qFormat/>
    <w:rsid w:val="00920DDC"/>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color w:val="000000"/>
      <w:sz w:val="18"/>
      <w:szCs w:val="18"/>
      <w:lang w:eastAsia="pt-BR"/>
    </w:rPr>
  </w:style>
  <w:style w:type="paragraph" w:customStyle="1" w:styleId="xl76">
    <w:name w:val="xl76"/>
    <w:basedOn w:val="Normal"/>
    <w:qFormat/>
    <w:rsid w:val="00920DDC"/>
    <w:pPr>
      <w:pBdr>
        <w:bottom w:val="single" w:sz="4" w:space="0" w:color="000000"/>
      </w:pBdr>
      <w:spacing w:beforeAutospacing="1" w:afterAutospacing="1" w:line="240" w:lineRule="auto"/>
      <w:jc w:val="center"/>
      <w:textAlignment w:val="center"/>
    </w:pPr>
    <w:rPr>
      <w:rFonts w:ascii="Times New Roman" w:eastAsia="Times New Roman" w:hAnsi="Times New Roman" w:cs="Times New Roman"/>
      <w:color w:val="000000"/>
      <w:sz w:val="18"/>
      <w:szCs w:val="18"/>
      <w:lang w:eastAsia="pt-BR"/>
    </w:rPr>
  </w:style>
  <w:style w:type="paragraph" w:customStyle="1" w:styleId="xl77">
    <w:name w:val="xl77"/>
    <w:basedOn w:val="Normal"/>
    <w:qFormat/>
    <w:rsid w:val="00920DDC"/>
    <w:pPr>
      <w:pBdr>
        <w:top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color w:val="000000"/>
      <w:sz w:val="18"/>
      <w:szCs w:val="18"/>
      <w:lang w:eastAsia="pt-BR"/>
    </w:rPr>
  </w:style>
  <w:style w:type="paragraph" w:customStyle="1" w:styleId="xl78">
    <w:name w:val="xl78"/>
    <w:basedOn w:val="Normal"/>
    <w:qFormat/>
    <w:rsid w:val="00920DDC"/>
    <w:pPr>
      <w:spacing w:beforeAutospacing="1" w:afterAutospacing="1" w:line="240" w:lineRule="auto"/>
      <w:jc w:val="center"/>
      <w:textAlignment w:val="center"/>
    </w:pPr>
    <w:rPr>
      <w:rFonts w:ascii="Times New Roman" w:eastAsia="Times New Roman" w:hAnsi="Times New Roman" w:cs="Times New Roman"/>
      <w:sz w:val="18"/>
      <w:szCs w:val="18"/>
      <w:lang w:eastAsia="pt-BR"/>
    </w:rPr>
  </w:style>
  <w:style w:type="paragraph" w:customStyle="1" w:styleId="xl79">
    <w:name w:val="xl79"/>
    <w:basedOn w:val="Normal"/>
    <w:qFormat/>
    <w:rsid w:val="00920DDC"/>
    <w:pPr>
      <w:spacing w:beforeAutospacing="1" w:afterAutospacing="1" w:line="240" w:lineRule="auto"/>
      <w:jc w:val="center"/>
    </w:pPr>
    <w:rPr>
      <w:rFonts w:ascii="Times New Roman" w:eastAsia="Times New Roman" w:hAnsi="Times New Roman" w:cs="Times New Roman"/>
      <w:sz w:val="18"/>
      <w:szCs w:val="18"/>
      <w:lang w:eastAsia="pt-BR"/>
    </w:rPr>
  </w:style>
  <w:style w:type="paragraph" w:customStyle="1" w:styleId="xl80">
    <w:name w:val="xl80"/>
    <w:basedOn w:val="Normal"/>
    <w:qFormat/>
    <w:rsid w:val="00920DDC"/>
    <w:pPr>
      <w:spacing w:beforeAutospacing="1" w:afterAutospacing="1" w:line="240" w:lineRule="auto"/>
      <w:jc w:val="center"/>
    </w:pPr>
    <w:rPr>
      <w:rFonts w:ascii="Times New Roman" w:eastAsia="Times New Roman" w:hAnsi="Times New Roman" w:cs="Times New Roman"/>
      <w:color w:val="000000"/>
      <w:sz w:val="18"/>
      <w:szCs w:val="18"/>
      <w:lang w:eastAsia="pt-BR"/>
    </w:rPr>
  </w:style>
  <w:style w:type="paragraph" w:customStyle="1" w:styleId="xl81">
    <w:name w:val="xl81"/>
    <w:basedOn w:val="Normal"/>
    <w:qFormat/>
    <w:rsid w:val="00920DDC"/>
    <w:pPr>
      <w:spacing w:beforeAutospacing="1" w:afterAutospacing="1" w:line="240" w:lineRule="auto"/>
      <w:jc w:val="center"/>
    </w:pPr>
    <w:rPr>
      <w:rFonts w:ascii="Times New Roman" w:eastAsia="Times New Roman" w:hAnsi="Times New Roman" w:cs="Times New Roman"/>
      <w:sz w:val="18"/>
      <w:szCs w:val="18"/>
      <w:lang w:eastAsia="pt-BR"/>
    </w:rPr>
  </w:style>
  <w:style w:type="paragraph" w:customStyle="1" w:styleId="xl82">
    <w:name w:val="xl82"/>
    <w:basedOn w:val="Normal"/>
    <w:qFormat/>
    <w:rsid w:val="00920DDC"/>
    <w:pPr>
      <w:pBdr>
        <w:bottom w:val="single" w:sz="4" w:space="0" w:color="000000"/>
      </w:pBdr>
      <w:spacing w:beforeAutospacing="1" w:afterAutospacing="1" w:line="240" w:lineRule="auto"/>
      <w:jc w:val="center"/>
    </w:pPr>
    <w:rPr>
      <w:rFonts w:ascii="Times New Roman" w:eastAsia="Times New Roman" w:hAnsi="Times New Roman" w:cs="Times New Roman"/>
      <w:sz w:val="18"/>
      <w:szCs w:val="18"/>
      <w:lang w:eastAsia="pt-BR"/>
    </w:rPr>
  </w:style>
  <w:style w:type="paragraph" w:customStyle="1" w:styleId="xl83">
    <w:name w:val="xl83"/>
    <w:basedOn w:val="Normal"/>
    <w:qFormat/>
    <w:rsid w:val="00920DDC"/>
    <w:pPr>
      <w:pBdr>
        <w:bottom w:val="single" w:sz="4" w:space="0" w:color="000000"/>
      </w:pBdr>
      <w:spacing w:beforeAutospacing="1" w:afterAutospacing="1" w:line="240" w:lineRule="auto"/>
      <w:jc w:val="center"/>
    </w:pPr>
    <w:rPr>
      <w:rFonts w:ascii="Times New Roman" w:eastAsia="Times New Roman" w:hAnsi="Times New Roman" w:cs="Times New Roman"/>
      <w:sz w:val="18"/>
      <w:szCs w:val="18"/>
      <w:lang w:eastAsia="pt-BR"/>
    </w:rPr>
  </w:style>
  <w:style w:type="paragraph" w:styleId="Sumrio3">
    <w:name w:val="toc 3"/>
    <w:basedOn w:val="Normal"/>
    <w:next w:val="Normal"/>
    <w:autoRedefine/>
    <w:uiPriority w:val="39"/>
    <w:unhideWhenUsed/>
    <w:rsid w:val="00920DDC"/>
    <w:pPr>
      <w:spacing w:after="100"/>
      <w:ind w:left="440"/>
    </w:pPr>
  </w:style>
  <w:style w:type="paragraph" w:customStyle="1" w:styleId="xl63">
    <w:name w:val="xl63"/>
    <w:basedOn w:val="Normal"/>
    <w:qFormat/>
    <w:rsid w:val="00920DDC"/>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color w:val="000000"/>
      <w:sz w:val="18"/>
      <w:szCs w:val="18"/>
      <w:lang w:eastAsia="pt-BR"/>
    </w:rPr>
  </w:style>
  <w:style w:type="paragraph" w:customStyle="1" w:styleId="xl64">
    <w:name w:val="xl64"/>
    <w:basedOn w:val="Normal"/>
    <w:qFormat/>
    <w:rsid w:val="00920DDC"/>
    <w:pPr>
      <w:spacing w:beforeAutospacing="1" w:afterAutospacing="1" w:line="240" w:lineRule="auto"/>
      <w:jc w:val="center"/>
    </w:pPr>
    <w:rPr>
      <w:rFonts w:ascii="Times New Roman" w:eastAsia="Times New Roman" w:hAnsi="Times New Roman" w:cs="Times New Roman"/>
      <w:color w:val="000000"/>
      <w:sz w:val="18"/>
      <w:szCs w:val="18"/>
      <w:lang w:eastAsia="pt-BR"/>
    </w:rPr>
  </w:style>
  <w:style w:type="table" w:styleId="Tabelacomgrade">
    <w:name w:val="Table Grid"/>
    <w:basedOn w:val="Tabelanormal"/>
    <w:uiPriority w:val="59"/>
    <w:rsid w:val="00920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header" Target="header1.xml"/><Relationship Id="rId10" Type="http://schemas.openxmlformats.org/officeDocument/2006/relationships/hyperlink" Target="http://www.planalto.gov.br/ccivil_03/_ato2019-2022/2020/Lei/L13982.htm" TargetMode="External"/><Relationship Id="rId19" Type="http://schemas.openxmlformats.org/officeDocument/2006/relationships/chart" Target="charts/chart9.xml"/><Relationship Id="rId4" Type="http://schemas.openxmlformats.org/officeDocument/2006/relationships/styles" Target="styles.xml"/><Relationship Id="rId9" Type="http://schemas.openxmlformats.org/officeDocument/2006/relationships/hyperlink" Target="http://www.planalto.gov.br/ccivil_03/_ato2019-2022/2020/decreto/D10316.htm" TargetMode="External"/><Relationship Id="rId14" Type="http://schemas.openxmlformats.org/officeDocument/2006/relationships/chart" Target="charts/chart4.xml"/><Relationship Id="rId22" Type="http://schemas.openxmlformats.org/officeDocument/2006/relationships/chart" Target="charts/chart1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oann\OneDrive\Documentos\Mestrado\DISSERTA&#199;&#195;O\textos%20para%20o%20cap&#237;tulo%203\DADOS%20ORGANIZADOS%20E%20GR&#193;FICO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'gráficos PNAD COVID-19'!$A$133</c:f>
              <c:strCache>
                <c:ptCount val="1"/>
                <c:pt idx="0">
                  <c:v>Nordeste</c:v>
                </c:pt>
              </c:strCache>
            </c:strRef>
          </c:tx>
          <c:spPr>
            <a:ln w="28575" cap="rnd">
              <a:solidFill>
                <a:schemeClr val="accent1"/>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COVID-19'!$B$133:$H$133</c:f>
              <c:numCache>
                <c:formatCode>0.000</c:formatCode>
                <c:ptCount val="7"/>
                <c:pt idx="0">
                  <c:v>0.44901997033667307</c:v>
                </c:pt>
                <c:pt idx="1">
                  <c:v>0.44475262149806094</c:v>
                </c:pt>
                <c:pt idx="2">
                  <c:v>0.43693342932096435</c:v>
                </c:pt>
                <c:pt idx="3">
                  <c:v>0.43573636193645693</c:v>
                </c:pt>
                <c:pt idx="4">
                  <c:v>0.4400845216713975</c:v>
                </c:pt>
                <c:pt idx="5">
                  <c:v>0.47599529257822742</c:v>
                </c:pt>
                <c:pt idx="6">
                  <c:v>0.48779085789494753</c:v>
                </c:pt>
              </c:numCache>
            </c:numRef>
          </c:val>
          <c:smooth val="0"/>
          <c:extLst>
            <c:ext xmlns:c16="http://schemas.microsoft.com/office/drawing/2014/chart" uri="{C3380CC4-5D6E-409C-BE32-E72D297353CC}">
              <c16:uniqueId val="{00000000-4CBC-4662-8698-13F6B7C07122}"/>
            </c:ext>
          </c:extLst>
        </c:ser>
        <c:ser>
          <c:idx val="1"/>
          <c:order val="1"/>
          <c:tx>
            <c:strRef>
              <c:f>'gráficos PNAD COVID-19'!$A$134</c:f>
              <c:strCache>
                <c:ptCount val="1"/>
                <c:pt idx="0">
                  <c:v>Alagoas</c:v>
                </c:pt>
              </c:strCache>
            </c:strRef>
          </c:tx>
          <c:spPr>
            <a:ln w="28575" cap="rnd">
              <a:solidFill>
                <a:schemeClr val="accent2"/>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COVID-19'!$B$134:$H$134</c:f>
              <c:numCache>
                <c:formatCode>0.000</c:formatCode>
                <c:ptCount val="7"/>
                <c:pt idx="0">
                  <c:v>0.43640000000000001</c:v>
                </c:pt>
                <c:pt idx="1">
                  <c:v>0.42927220005713906</c:v>
                </c:pt>
                <c:pt idx="2">
                  <c:v>0.41193717800000007</c:v>
                </c:pt>
                <c:pt idx="3">
                  <c:v>0.41509013099999997</c:v>
                </c:pt>
                <c:pt idx="4">
                  <c:v>0.41436888945047984</c:v>
                </c:pt>
                <c:pt idx="5">
                  <c:v>0.4429897690821486</c:v>
                </c:pt>
                <c:pt idx="6">
                  <c:v>0.46792445769224306</c:v>
                </c:pt>
              </c:numCache>
            </c:numRef>
          </c:val>
          <c:smooth val="0"/>
          <c:extLst>
            <c:ext xmlns:c16="http://schemas.microsoft.com/office/drawing/2014/chart" uri="{C3380CC4-5D6E-409C-BE32-E72D297353CC}">
              <c16:uniqueId val="{00000001-4CBC-4662-8698-13F6B7C07122}"/>
            </c:ext>
          </c:extLst>
        </c:ser>
        <c:ser>
          <c:idx val="2"/>
          <c:order val="2"/>
          <c:tx>
            <c:strRef>
              <c:f>'gráficos PNAD COVID-19'!$A$135</c:f>
              <c:strCache>
                <c:ptCount val="1"/>
                <c:pt idx="0">
                  <c:v>Bahia</c:v>
                </c:pt>
              </c:strCache>
            </c:strRef>
          </c:tx>
          <c:spPr>
            <a:ln w="28575" cap="rnd">
              <a:solidFill>
                <a:schemeClr val="accent3"/>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COVID-19'!$B$135:$H$135</c:f>
              <c:numCache>
                <c:formatCode>0.000</c:formatCode>
                <c:ptCount val="7"/>
                <c:pt idx="0">
                  <c:v>0.44330000000000003</c:v>
                </c:pt>
                <c:pt idx="1">
                  <c:v>0.44094310706144724</c:v>
                </c:pt>
                <c:pt idx="2">
                  <c:v>0.42139741100000006</c:v>
                </c:pt>
                <c:pt idx="3">
                  <c:v>0.42789385600000002</c:v>
                </c:pt>
                <c:pt idx="4">
                  <c:v>0.42695787422428183</c:v>
                </c:pt>
                <c:pt idx="5">
                  <c:v>0.46340757699999996</c:v>
                </c:pt>
                <c:pt idx="6">
                  <c:v>0.48039731199999997</c:v>
                </c:pt>
              </c:numCache>
            </c:numRef>
          </c:val>
          <c:smooth val="0"/>
          <c:extLst>
            <c:ext xmlns:c16="http://schemas.microsoft.com/office/drawing/2014/chart" uri="{C3380CC4-5D6E-409C-BE32-E72D297353CC}">
              <c16:uniqueId val="{00000002-4CBC-4662-8698-13F6B7C07122}"/>
            </c:ext>
          </c:extLst>
        </c:ser>
        <c:ser>
          <c:idx val="3"/>
          <c:order val="3"/>
          <c:tx>
            <c:strRef>
              <c:f>'gráficos PNAD COVID-19'!$A$136</c:f>
              <c:strCache>
                <c:ptCount val="1"/>
                <c:pt idx="0">
                  <c:v>Ceará</c:v>
                </c:pt>
              </c:strCache>
            </c:strRef>
          </c:tx>
          <c:spPr>
            <a:ln w="28575" cap="rnd">
              <a:solidFill>
                <a:schemeClr val="accent4"/>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COVID-19'!$B$136:$H$136</c:f>
              <c:numCache>
                <c:formatCode>0.000</c:formatCode>
                <c:ptCount val="7"/>
                <c:pt idx="0">
                  <c:v>0.44719940000000002</c:v>
                </c:pt>
                <c:pt idx="1">
                  <c:v>0.44949632334845169</c:v>
                </c:pt>
                <c:pt idx="2">
                  <c:v>0.44716092900000004</c:v>
                </c:pt>
                <c:pt idx="3">
                  <c:v>0.43437139999999996</c:v>
                </c:pt>
                <c:pt idx="4">
                  <c:v>0.44302445799999995</c:v>
                </c:pt>
                <c:pt idx="5">
                  <c:v>0.47728779200000004</c:v>
                </c:pt>
                <c:pt idx="6">
                  <c:v>0.48260035799999995</c:v>
                </c:pt>
              </c:numCache>
            </c:numRef>
          </c:val>
          <c:smooth val="0"/>
          <c:extLst>
            <c:ext xmlns:c16="http://schemas.microsoft.com/office/drawing/2014/chart" uri="{C3380CC4-5D6E-409C-BE32-E72D297353CC}">
              <c16:uniqueId val="{00000003-4CBC-4662-8698-13F6B7C07122}"/>
            </c:ext>
          </c:extLst>
        </c:ser>
        <c:ser>
          <c:idx val="4"/>
          <c:order val="4"/>
          <c:tx>
            <c:strRef>
              <c:f>'gráficos PNAD COVID-19'!$A$137</c:f>
              <c:strCache>
                <c:ptCount val="1"/>
                <c:pt idx="0">
                  <c:v>Maranhão</c:v>
                </c:pt>
              </c:strCache>
            </c:strRef>
          </c:tx>
          <c:spPr>
            <a:ln w="28575" cap="rnd">
              <a:solidFill>
                <a:schemeClr val="accent5"/>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COVID-19'!$B$137:$H$137</c:f>
              <c:numCache>
                <c:formatCode>0.000</c:formatCode>
                <c:ptCount val="7"/>
                <c:pt idx="0">
                  <c:v>0.40178000000000003</c:v>
                </c:pt>
                <c:pt idx="1">
                  <c:v>0.39859514361475035</c:v>
                </c:pt>
                <c:pt idx="2">
                  <c:v>0.40176514000000002</c:v>
                </c:pt>
                <c:pt idx="3">
                  <c:v>0.40549238800000004</c:v>
                </c:pt>
                <c:pt idx="4">
                  <c:v>0.42055167300000007</c:v>
                </c:pt>
                <c:pt idx="5">
                  <c:v>0.458373739</c:v>
                </c:pt>
                <c:pt idx="6">
                  <c:v>0.47198488300000008</c:v>
                </c:pt>
              </c:numCache>
            </c:numRef>
          </c:val>
          <c:smooth val="0"/>
          <c:extLst>
            <c:ext xmlns:c16="http://schemas.microsoft.com/office/drawing/2014/chart" uri="{C3380CC4-5D6E-409C-BE32-E72D297353CC}">
              <c16:uniqueId val="{00000004-4CBC-4662-8698-13F6B7C07122}"/>
            </c:ext>
          </c:extLst>
        </c:ser>
        <c:ser>
          <c:idx val="5"/>
          <c:order val="5"/>
          <c:tx>
            <c:strRef>
              <c:f>'gráficos PNAD COVID-19'!$A$138</c:f>
              <c:strCache>
                <c:ptCount val="1"/>
                <c:pt idx="0">
                  <c:v>Paraíba</c:v>
                </c:pt>
              </c:strCache>
            </c:strRef>
          </c:tx>
          <c:spPr>
            <a:ln w="28575" cap="rnd">
              <a:solidFill>
                <a:schemeClr val="accent6"/>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COVID-19'!$B$138:$H$138</c:f>
              <c:numCache>
                <c:formatCode>0.000</c:formatCode>
                <c:ptCount val="7"/>
                <c:pt idx="0">
                  <c:v>0.46039999999999998</c:v>
                </c:pt>
                <c:pt idx="1">
                  <c:v>0.45632974076702004</c:v>
                </c:pt>
                <c:pt idx="2">
                  <c:v>0.44590422122754547</c:v>
                </c:pt>
                <c:pt idx="3">
                  <c:v>0.44116619200000001</c:v>
                </c:pt>
                <c:pt idx="4">
                  <c:v>0.445584957</c:v>
                </c:pt>
                <c:pt idx="5">
                  <c:v>0.477146599</c:v>
                </c:pt>
                <c:pt idx="6">
                  <c:v>0.48334768899999997</c:v>
                </c:pt>
              </c:numCache>
            </c:numRef>
          </c:val>
          <c:smooth val="0"/>
          <c:extLst>
            <c:ext xmlns:c16="http://schemas.microsoft.com/office/drawing/2014/chart" uri="{C3380CC4-5D6E-409C-BE32-E72D297353CC}">
              <c16:uniqueId val="{00000005-4CBC-4662-8698-13F6B7C07122}"/>
            </c:ext>
          </c:extLst>
        </c:ser>
        <c:ser>
          <c:idx val="6"/>
          <c:order val="6"/>
          <c:tx>
            <c:strRef>
              <c:f>'gráficos PNAD COVID-19'!$A$139</c:f>
              <c:strCache>
                <c:ptCount val="1"/>
                <c:pt idx="0">
                  <c:v>Pernambuco</c:v>
                </c:pt>
              </c:strCache>
            </c:strRef>
          </c:tx>
          <c:spPr>
            <a:ln w="28575" cap="rnd">
              <a:solidFill>
                <a:schemeClr val="accent1">
                  <a:lumMod val="60000"/>
                </a:schemeClr>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COVID-19'!$B$139:$H$139</c:f>
              <c:numCache>
                <c:formatCode>0.000</c:formatCode>
                <c:ptCount val="7"/>
                <c:pt idx="0">
                  <c:v>0.46739999999999998</c:v>
                </c:pt>
                <c:pt idx="1">
                  <c:v>0.45633338828107167</c:v>
                </c:pt>
                <c:pt idx="2">
                  <c:v>0.44958317399999997</c:v>
                </c:pt>
                <c:pt idx="3">
                  <c:v>0.44742323900000003</c:v>
                </c:pt>
                <c:pt idx="4">
                  <c:v>0.45193525200000001</c:v>
                </c:pt>
                <c:pt idx="5">
                  <c:v>0.48374800400000001</c:v>
                </c:pt>
                <c:pt idx="6">
                  <c:v>0.49877535300000003</c:v>
                </c:pt>
              </c:numCache>
            </c:numRef>
          </c:val>
          <c:smooth val="0"/>
          <c:extLst>
            <c:ext xmlns:c16="http://schemas.microsoft.com/office/drawing/2014/chart" uri="{C3380CC4-5D6E-409C-BE32-E72D297353CC}">
              <c16:uniqueId val="{00000006-4CBC-4662-8698-13F6B7C07122}"/>
            </c:ext>
          </c:extLst>
        </c:ser>
        <c:ser>
          <c:idx val="7"/>
          <c:order val="7"/>
          <c:tx>
            <c:strRef>
              <c:f>'gráficos PNAD COVID-19'!$A$140</c:f>
              <c:strCache>
                <c:ptCount val="1"/>
                <c:pt idx="0">
                  <c:v>Piauí</c:v>
                </c:pt>
              </c:strCache>
            </c:strRef>
          </c:tx>
          <c:spPr>
            <a:ln w="28575" cap="rnd">
              <a:solidFill>
                <a:schemeClr val="accent2">
                  <a:lumMod val="60000"/>
                </a:schemeClr>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COVID-19'!$B$140:$H$140</c:f>
              <c:numCache>
                <c:formatCode>0.000</c:formatCode>
                <c:ptCount val="7"/>
                <c:pt idx="0">
                  <c:v>0.44566470000000002</c:v>
                </c:pt>
                <c:pt idx="1">
                  <c:v>0.43909850331223937</c:v>
                </c:pt>
                <c:pt idx="2">
                  <c:v>0.43736513399999999</c:v>
                </c:pt>
                <c:pt idx="3">
                  <c:v>0.43706286200000011</c:v>
                </c:pt>
                <c:pt idx="4">
                  <c:v>0.43451630700000005</c:v>
                </c:pt>
                <c:pt idx="5">
                  <c:v>0.47024147099999991</c:v>
                </c:pt>
                <c:pt idx="6">
                  <c:v>0.48105676800000002</c:v>
                </c:pt>
              </c:numCache>
            </c:numRef>
          </c:val>
          <c:smooth val="0"/>
          <c:extLst>
            <c:ext xmlns:c16="http://schemas.microsoft.com/office/drawing/2014/chart" uri="{C3380CC4-5D6E-409C-BE32-E72D297353CC}">
              <c16:uniqueId val="{00000007-4CBC-4662-8698-13F6B7C07122}"/>
            </c:ext>
          </c:extLst>
        </c:ser>
        <c:ser>
          <c:idx val="8"/>
          <c:order val="8"/>
          <c:tx>
            <c:strRef>
              <c:f>'gráficos PNAD COVID-19'!$A$141</c:f>
              <c:strCache>
                <c:ptCount val="1"/>
                <c:pt idx="0">
                  <c:v>Rio Grande do Norte</c:v>
                </c:pt>
              </c:strCache>
            </c:strRef>
          </c:tx>
          <c:spPr>
            <a:ln w="28575" cap="rnd">
              <a:solidFill>
                <a:schemeClr val="accent3">
                  <a:lumMod val="60000"/>
                </a:schemeClr>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COVID-19'!$B$141:$H$141</c:f>
              <c:numCache>
                <c:formatCode>0.000</c:formatCode>
                <c:ptCount val="7"/>
                <c:pt idx="0">
                  <c:v>0.4698658</c:v>
                </c:pt>
                <c:pt idx="1">
                  <c:v>0.46808294493521879</c:v>
                </c:pt>
                <c:pt idx="2">
                  <c:v>0.46306204099999998</c:v>
                </c:pt>
                <c:pt idx="3">
                  <c:v>0.45736586899999998</c:v>
                </c:pt>
                <c:pt idx="4">
                  <c:v>0.46275695000000006</c:v>
                </c:pt>
                <c:pt idx="5">
                  <c:v>0.49619821099999994</c:v>
                </c:pt>
                <c:pt idx="6">
                  <c:v>0.50572507299999991</c:v>
                </c:pt>
              </c:numCache>
            </c:numRef>
          </c:val>
          <c:smooth val="0"/>
          <c:extLst>
            <c:ext xmlns:c16="http://schemas.microsoft.com/office/drawing/2014/chart" uri="{C3380CC4-5D6E-409C-BE32-E72D297353CC}">
              <c16:uniqueId val="{00000008-4CBC-4662-8698-13F6B7C07122}"/>
            </c:ext>
          </c:extLst>
        </c:ser>
        <c:ser>
          <c:idx val="9"/>
          <c:order val="9"/>
          <c:tx>
            <c:strRef>
              <c:f>'gráficos PNAD COVID-19'!$A$142</c:f>
              <c:strCache>
                <c:ptCount val="1"/>
                <c:pt idx="0">
                  <c:v>Sergipe</c:v>
                </c:pt>
              </c:strCache>
            </c:strRef>
          </c:tx>
          <c:spPr>
            <a:ln w="28575" cap="rnd">
              <a:solidFill>
                <a:schemeClr val="accent4">
                  <a:lumMod val="60000"/>
                </a:schemeClr>
              </a:solidFill>
              <a:round/>
            </a:ln>
            <a:effectLst/>
          </c:spPr>
          <c:marker>
            <c:symbol val="none"/>
          </c:marker>
          <c:cat>
            <c:strRef>
              <c:f>'gráficos PNAD COVID-19'!$B$132:$H$132</c:f>
              <c:strCache>
                <c:ptCount val="7"/>
                <c:pt idx="0">
                  <c:v>mai/20</c:v>
                </c:pt>
                <c:pt idx="1">
                  <c:v>jun/20</c:v>
                </c:pt>
                <c:pt idx="2">
                  <c:v>jul/20</c:v>
                </c:pt>
                <c:pt idx="3">
                  <c:v>ago/20</c:v>
                </c:pt>
                <c:pt idx="4">
                  <c:v>set/20</c:v>
                </c:pt>
                <c:pt idx="5">
                  <c:v>out/20</c:v>
                </c:pt>
                <c:pt idx="6">
                  <c:v>nov/20</c:v>
                </c:pt>
              </c:strCache>
            </c:strRef>
          </c:cat>
          <c:val>
            <c:numRef>
              <c:f>'gráficos PNAD COVID-19'!$B$142:$H$142</c:f>
              <c:numCache>
                <c:formatCode>0.000</c:formatCode>
                <c:ptCount val="7"/>
                <c:pt idx="0">
                  <c:v>0.46560000000000001</c:v>
                </c:pt>
                <c:pt idx="1">
                  <c:v>0.45887116121203231</c:v>
                </c:pt>
                <c:pt idx="2">
                  <c:v>0.45592744199999996</c:v>
                </c:pt>
                <c:pt idx="3">
                  <c:v>0.455052703</c:v>
                </c:pt>
                <c:pt idx="4">
                  <c:v>0.45262577599999992</c:v>
                </c:pt>
                <c:pt idx="5">
                  <c:v>0.51353934000000001</c:v>
                </c:pt>
                <c:pt idx="6">
                  <c:v>0.50464406299999998</c:v>
                </c:pt>
              </c:numCache>
            </c:numRef>
          </c:val>
          <c:smooth val="0"/>
          <c:extLst>
            <c:ext xmlns:c16="http://schemas.microsoft.com/office/drawing/2014/chart" uri="{C3380CC4-5D6E-409C-BE32-E72D297353CC}">
              <c16:uniqueId val="{00000009-4CBC-4662-8698-13F6B7C07122}"/>
            </c:ext>
          </c:extLst>
        </c:ser>
        <c:dLbls>
          <c:showLegendKey val="0"/>
          <c:showVal val="0"/>
          <c:showCatName val="0"/>
          <c:showSerName val="0"/>
          <c:showPercent val="0"/>
          <c:showBubbleSize val="0"/>
        </c:dLbls>
        <c:smooth val="0"/>
        <c:axId val="1722666335"/>
        <c:axId val="1722663839"/>
      </c:lineChart>
      <c:catAx>
        <c:axId val="1722666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22663839"/>
        <c:crosses val="autoZero"/>
        <c:auto val="1"/>
        <c:lblAlgn val="ctr"/>
        <c:lblOffset val="100"/>
        <c:noMultiLvlLbl val="0"/>
      </c:catAx>
      <c:valAx>
        <c:axId val="1722663839"/>
        <c:scaling>
          <c:orientation val="minMax"/>
          <c:max val="0.51400000000000001"/>
          <c:min val="0.39000000000000007"/>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72266633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t-B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0.52053466527024295</c:v>
                </c:pt>
                <c:pt idx="1">
                  <c:v>0.50944565413604403</c:v>
                </c:pt>
                <c:pt idx="2">
                  <c:v>0.52322183800450195</c:v>
                </c:pt>
                <c:pt idx="3">
                  <c:v>0.53088155496720801</c:v>
                </c:pt>
                <c:pt idx="4">
                  <c:v>0.54010970348764398</c:v>
                </c:pt>
                <c:pt idx="5">
                  <c:v>0.58156809146105504</c:v>
                </c:pt>
                <c:pt idx="6">
                  <c:v>0.60303924399700004</c:v>
                </c:pt>
              </c:numCache>
            </c:numRef>
          </c:val>
          <c:extLst>
            <c:ext xmlns:c16="http://schemas.microsoft.com/office/drawing/2014/chart" uri="{C3380CC4-5D6E-409C-BE32-E72D297353CC}">
              <c16:uniqueId val="{00000000-3F72-446A-90E8-6417E7852EEA}"/>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0.22862445119900601</c:v>
                </c:pt>
                <c:pt idx="1">
                  <c:v>0.22938933934917899</c:v>
                </c:pt>
                <c:pt idx="2">
                  <c:v>0.22007569164548799</c:v>
                </c:pt>
                <c:pt idx="3">
                  <c:v>0.21971052188906201</c:v>
                </c:pt>
                <c:pt idx="4">
                  <c:v>0.21713000228109799</c:v>
                </c:pt>
                <c:pt idx="5">
                  <c:v>0.230003384372584</c:v>
                </c:pt>
                <c:pt idx="6">
                  <c:v>0.233603455141184</c:v>
                </c:pt>
              </c:numCache>
            </c:numRef>
          </c:val>
          <c:extLst>
            <c:ext xmlns:c16="http://schemas.microsoft.com/office/drawing/2014/chart" uri="{C3380CC4-5D6E-409C-BE32-E72D297353CC}">
              <c16:uniqueId val="{00000001-3F72-446A-90E8-6417E7852EEA}"/>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9.5004241327811892E-3</c:v>
                </c:pt>
                <c:pt idx="1">
                  <c:v>8.6307394169542802E-3</c:v>
                </c:pt>
                <c:pt idx="2">
                  <c:v>8.3250494816295203E-3</c:v>
                </c:pt>
                <c:pt idx="3">
                  <c:v>7.8678054887275795E-3</c:v>
                </c:pt>
                <c:pt idx="4">
                  <c:v>7.8105127924105403E-3</c:v>
                </c:pt>
                <c:pt idx="5">
                  <c:v>8.0409349716942403E-3</c:v>
                </c:pt>
                <c:pt idx="6">
                  <c:v>8.3893306019340603E-3</c:v>
                </c:pt>
              </c:numCache>
            </c:numRef>
          </c:val>
          <c:extLst>
            <c:ext xmlns:c16="http://schemas.microsoft.com/office/drawing/2014/chart" uri="{C3380CC4-5D6E-409C-BE32-E72D297353CC}">
              <c16:uniqueId val="{00000002-3F72-446A-90E8-6417E7852EEA}"/>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1.1543247199365701E-2</c:v>
                </c:pt>
                <c:pt idx="1">
                  <c:v>6.0331255833863404E-3</c:v>
                </c:pt>
                <c:pt idx="2">
                  <c:v>4.2288307567314902E-3</c:v>
                </c:pt>
                <c:pt idx="3">
                  <c:v>3.3996409137893599E-3</c:v>
                </c:pt>
                <c:pt idx="4">
                  <c:v>3.1521060695158102E-3</c:v>
                </c:pt>
                <c:pt idx="5">
                  <c:v>8.75389991314518E-3</c:v>
                </c:pt>
                <c:pt idx="6">
                  <c:v>1.03042891466357E-2</c:v>
                </c:pt>
              </c:numCache>
            </c:numRef>
          </c:val>
          <c:extLst>
            <c:ext xmlns:c16="http://schemas.microsoft.com/office/drawing/2014/chart" uri="{C3380CC4-5D6E-409C-BE32-E72D297353CC}">
              <c16:uniqueId val="{00000003-3F72-446A-90E8-6417E7852EEA}"/>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1.4591902963577E-2</c:v>
                </c:pt>
                <c:pt idx="1">
                  <c:v>1.5882189496995699E-2</c:v>
                </c:pt>
                <c:pt idx="2">
                  <c:v>1.6007495092731899E-2</c:v>
                </c:pt>
                <c:pt idx="3">
                  <c:v>1.61998012748256E-2</c:v>
                </c:pt>
                <c:pt idx="4">
                  <c:v>1.6554242452588699E-2</c:v>
                </c:pt>
                <c:pt idx="5">
                  <c:v>1.753937154995E-2</c:v>
                </c:pt>
                <c:pt idx="6">
                  <c:v>1.7997406553682E-2</c:v>
                </c:pt>
              </c:numCache>
            </c:numRef>
          </c:val>
          <c:extLst>
            <c:ext xmlns:c16="http://schemas.microsoft.com/office/drawing/2014/chart" uri="{C3380CC4-5D6E-409C-BE32-E72D297353CC}">
              <c16:uniqueId val="{00000004-3F72-446A-90E8-6417E7852EEA}"/>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0.19344652550278901</c:v>
                </c:pt>
                <c:pt idx="1">
                  <c:v>0.20869728565988799</c:v>
                </c:pt>
                <c:pt idx="2">
                  <c:v>0.206839497677828</c:v>
                </c:pt>
                <c:pt idx="3">
                  <c:v>0.20320410271268299</c:v>
                </c:pt>
                <c:pt idx="4">
                  <c:v>0.19586826613185701</c:v>
                </c:pt>
                <c:pt idx="5">
                  <c:v>0.134650269940464</c:v>
                </c:pt>
                <c:pt idx="6">
                  <c:v>0.10765379431114901</c:v>
                </c:pt>
              </c:numCache>
            </c:numRef>
          </c:val>
          <c:extLst>
            <c:ext xmlns:c16="http://schemas.microsoft.com/office/drawing/2014/chart" uri="{C3380CC4-5D6E-409C-BE32-E72D297353CC}">
              <c16:uniqueId val="{00000005-3F72-446A-90E8-6417E7852EEA}"/>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8.1022362082429199E-3</c:v>
                </c:pt>
                <c:pt idx="1">
                  <c:v>7.5898562533621801E-3</c:v>
                </c:pt>
                <c:pt idx="2">
                  <c:v>8.0409468823673409E-3</c:v>
                </c:pt>
                <c:pt idx="3">
                  <c:v>5.9946502686799002E-3</c:v>
                </c:pt>
                <c:pt idx="4">
                  <c:v>5.9876629126553796E-3</c:v>
                </c:pt>
                <c:pt idx="5">
                  <c:v>5.2727957216002E-3</c:v>
                </c:pt>
                <c:pt idx="6">
                  <c:v>4.3123105360129898E-3</c:v>
                </c:pt>
              </c:numCache>
            </c:numRef>
          </c:val>
          <c:extLst>
            <c:ext xmlns:c16="http://schemas.microsoft.com/office/drawing/2014/chart" uri="{C3380CC4-5D6E-409C-BE32-E72D297353CC}">
              <c16:uniqueId val="{00000006-3F72-446A-90E8-6417E7852EEA}"/>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1.36565475239948E-2</c:v>
                </c:pt>
                <c:pt idx="1">
                  <c:v>1.43318101041916E-2</c:v>
                </c:pt>
                <c:pt idx="2">
                  <c:v>1.3260650458721801E-2</c:v>
                </c:pt>
                <c:pt idx="3">
                  <c:v>1.2741922485024801E-2</c:v>
                </c:pt>
                <c:pt idx="4">
                  <c:v>1.33875038722311E-2</c:v>
                </c:pt>
                <c:pt idx="5">
                  <c:v>1.41712520695071E-2</c:v>
                </c:pt>
                <c:pt idx="6">
                  <c:v>1.4700169712402201E-2</c:v>
                </c:pt>
              </c:numCache>
            </c:numRef>
          </c:val>
          <c:extLst>
            <c:ext xmlns:c16="http://schemas.microsoft.com/office/drawing/2014/chart" uri="{C3380CC4-5D6E-409C-BE32-E72D297353CC}">
              <c16:uniqueId val="{00000007-3F72-446A-90E8-6417E7852EEA}"/>
            </c:ext>
          </c:extLst>
        </c:ser>
        <c:dLbls>
          <c:showLegendKey val="0"/>
          <c:showVal val="0"/>
          <c:showCatName val="0"/>
          <c:showSerName val="0"/>
          <c:showPercent val="0"/>
          <c:showBubbleSize val="0"/>
        </c:dLbls>
        <c:gapWidth val="150"/>
        <c:overlap val="100"/>
        <c:axId val="84623797"/>
        <c:axId val="45689343"/>
      </c:barChart>
      <c:catAx>
        <c:axId val="84623797"/>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Calibri Light"/>
              </a:defRPr>
            </a:pPr>
            <a:endParaRPr lang="pt-BR"/>
          </a:p>
        </c:txPr>
        <c:crossAx val="45689343"/>
        <c:crosses val="autoZero"/>
        <c:auto val="1"/>
        <c:lblAlgn val="ctr"/>
        <c:lblOffset val="100"/>
        <c:noMultiLvlLbl val="0"/>
      </c:catAx>
      <c:valAx>
        <c:axId val="45689343"/>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Light"/>
              </a:defRPr>
            </a:pPr>
            <a:endParaRPr lang="pt-BR"/>
          </a:p>
        </c:txPr>
        <c:crossAx val="84623797"/>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clustered"/>
        <c:varyColors val="0"/>
        <c:ser>
          <c:idx val="0"/>
          <c:order val="0"/>
          <c:tx>
            <c:strRef>
              <c:f>label 0</c:f>
              <c:strCache>
                <c:ptCount val="1"/>
                <c:pt idx="0">
                  <c:v>Todos os trabalhos</c:v>
                </c:pt>
              </c:strCache>
            </c:strRef>
          </c:tx>
          <c:spPr>
            <a:solidFill>
              <a:srgbClr val="4472C4"/>
            </a:solidFill>
            <a:ln>
              <a:noFill/>
            </a:ln>
          </c:spPr>
          <c:invertIfNegative val="0"/>
          <c:dPt>
            <c:idx val="5"/>
            <c:invertIfNegative val="0"/>
            <c:bubble3D val="0"/>
            <c:extLst>
              <c:ext xmlns:c16="http://schemas.microsoft.com/office/drawing/2014/chart" uri="{C3380CC4-5D6E-409C-BE32-E72D297353CC}">
                <c16:uniqueId val="{00000001-60A0-451E-A685-1F60001785D6}"/>
              </c:ext>
            </c:extLst>
          </c:dPt>
          <c:dPt>
            <c:idx val="6"/>
            <c:invertIfNegative val="0"/>
            <c:bubble3D val="0"/>
            <c:extLst>
              <c:ext xmlns:c16="http://schemas.microsoft.com/office/drawing/2014/chart" uri="{C3380CC4-5D6E-409C-BE32-E72D297353CC}">
                <c16:uniqueId val="{00000003-60A0-451E-A685-1F60001785D6}"/>
              </c:ext>
            </c:extLst>
          </c:dPt>
          <c:dLbls>
            <c:dLbl>
              <c:idx val="5"/>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1-60A0-451E-A685-1F60001785D6}"/>
                </c:ext>
              </c:extLst>
            </c:dLbl>
            <c:dLbl>
              <c:idx val="6"/>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3-60A0-451E-A685-1F60001785D6}"/>
                </c:ext>
              </c:extLst>
            </c:dLbl>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-0.155337652770245</c:v>
                </c:pt>
                <c:pt idx="1">
                  <c:v>-0.16111076628902099</c:v>
                </c:pt>
                <c:pt idx="2">
                  <c:v>-0.15880975310649201</c:v>
                </c:pt>
                <c:pt idx="3">
                  <c:v>-0.15148008889615</c:v>
                </c:pt>
                <c:pt idx="4">
                  <c:v>-0.14726068893657801</c:v>
                </c:pt>
                <c:pt idx="5">
                  <c:v>-0.107599679313098</c:v>
                </c:pt>
                <c:pt idx="6">
                  <c:v>-9.7299448762304702E-2</c:v>
                </c:pt>
              </c:numCache>
            </c:numRef>
          </c:val>
          <c:extLst>
            <c:ext xmlns:c16="http://schemas.microsoft.com/office/drawing/2014/chart" uri="{C3380CC4-5D6E-409C-BE32-E72D297353CC}">
              <c16:uniqueId val="{00000004-60A0-451E-A685-1F60001785D6}"/>
            </c:ext>
          </c:extLst>
        </c:ser>
        <c:ser>
          <c:idx val="1"/>
          <c:order val="1"/>
          <c:tx>
            <c:strRef>
              <c:f>label 1</c:f>
              <c:strCache>
                <c:ptCount val="1"/>
                <c:pt idx="0">
                  <c:v>Aposentadorias e pensões</c:v>
                </c:pt>
              </c:strCache>
            </c:strRef>
          </c:tx>
          <c:spPr>
            <a:solidFill>
              <a:srgbClr val="ED7D31"/>
            </a:solidFill>
            <a:ln>
              <a:noFill/>
            </a:ln>
          </c:spPr>
          <c:invertIfNegative val="0"/>
          <c:dPt>
            <c:idx val="0"/>
            <c:invertIfNegative val="0"/>
            <c:bubble3D val="0"/>
            <c:extLst>
              <c:ext xmlns:c16="http://schemas.microsoft.com/office/drawing/2014/chart" uri="{C3380CC4-5D6E-409C-BE32-E72D297353CC}">
                <c16:uniqueId val="{00000006-60A0-451E-A685-1F60001785D6}"/>
              </c:ext>
            </c:extLst>
          </c:dPt>
          <c:dPt>
            <c:idx val="1"/>
            <c:invertIfNegative val="0"/>
            <c:bubble3D val="0"/>
            <c:extLst>
              <c:ext xmlns:c16="http://schemas.microsoft.com/office/drawing/2014/chart" uri="{C3380CC4-5D6E-409C-BE32-E72D297353CC}">
                <c16:uniqueId val="{00000008-60A0-451E-A685-1F60001785D6}"/>
              </c:ext>
            </c:extLst>
          </c:dPt>
          <c:dPt>
            <c:idx val="2"/>
            <c:invertIfNegative val="0"/>
            <c:bubble3D val="0"/>
            <c:extLst>
              <c:ext xmlns:c16="http://schemas.microsoft.com/office/drawing/2014/chart" uri="{C3380CC4-5D6E-409C-BE32-E72D297353CC}">
                <c16:uniqueId val="{0000000A-60A0-451E-A685-1F60001785D6}"/>
              </c:ext>
            </c:extLst>
          </c:dPt>
          <c:dPt>
            <c:idx val="3"/>
            <c:invertIfNegative val="0"/>
            <c:bubble3D val="0"/>
            <c:extLst>
              <c:ext xmlns:c16="http://schemas.microsoft.com/office/drawing/2014/chart" uri="{C3380CC4-5D6E-409C-BE32-E72D297353CC}">
                <c16:uniqueId val="{0000000C-60A0-451E-A685-1F60001785D6}"/>
              </c:ext>
            </c:extLst>
          </c:dPt>
          <c:dPt>
            <c:idx val="4"/>
            <c:invertIfNegative val="0"/>
            <c:bubble3D val="0"/>
            <c:extLst>
              <c:ext xmlns:c16="http://schemas.microsoft.com/office/drawing/2014/chart" uri="{C3380CC4-5D6E-409C-BE32-E72D297353CC}">
                <c16:uniqueId val="{0000000E-60A0-451E-A685-1F60001785D6}"/>
              </c:ext>
            </c:extLst>
          </c:dPt>
          <c:dPt>
            <c:idx val="5"/>
            <c:invertIfNegative val="0"/>
            <c:bubble3D val="0"/>
            <c:extLst>
              <c:ext xmlns:c16="http://schemas.microsoft.com/office/drawing/2014/chart" uri="{C3380CC4-5D6E-409C-BE32-E72D297353CC}">
                <c16:uniqueId val="{00000010-60A0-451E-A685-1F60001785D6}"/>
              </c:ext>
            </c:extLst>
          </c:dPt>
          <c:dPt>
            <c:idx val="6"/>
            <c:invertIfNegative val="0"/>
            <c:bubble3D val="0"/>
            <c:extLst>
              <c:ext xmlns:c16="http://schemas.microsoft.com/office/drawing/2014/chart" uri="{C3380CC4-5D6E-409C-BE32-E72D297353CC}">
                <c16:uniqueId val="{00000012-60A0-451E-A685-1F60001785D6}"/>
              </c:ext>
            </c:extLst>
          </c:dPt>
          <c:dLbls>
            <c:dLbl>
              <c:idx val="0"/>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6-60A0-451E-A685-1F60001785D6}"/>
                </c:ext>
              </c:extLst>
            </c:dLbl>
            <c:dLbl>
              <c:idx val="1"/>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8-60A0-451E-A685-1F60001785D6}"/>
                </c:ext>
              </c:extLst>
            </c:dLbl>
            <c:dLbl>
              <c:idx val="2"/>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A-60A0-451E-A685-1F60001785D6}"/>
                </c:ext>
              </c:extLst>
            </c:dLbl>
            <c:dLbl>
              <c:idx val="3"/>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C-60A0-451E-A685-1F60001785D6}"/>
                </c:ext>
              </c:extLst>
            </c:dLbl>
            <c:dLbl>
              <c:idx val="4"/>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E-60A0-451E-A685-1F60001785D6}"/>
                </c:ext>
              </c:extLst>
            </c:dLbl>
            <c:dLbl>
              <c:idx val="5"/>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10-60A0-451E-A685-1F60001785D6}"/>
                </c:ext>
              </c:extLst>
            </c:dLbl>
            <c:dLbl>
              <c:idx val="6"/>
              <c:numFmt formatCode="0.00" sourceLinked="0"/>
              <c:spPr/>
              <c:txPr>
                <a:bodyPr/>
                <a:lstStyle/>
                <a:p>
                  <a:pPr>
                    <a:defRPr sz="1000" b="0" strike="noStrike" spc="-1">
                      <a:solidFill>
                        <a:srgbClr val="000000"/>
                      </a:solidFill>
                      <a:latin typeface="Calibri"/>
                    </a:defRPr>
                  </a:pPr>
                  <a:endParaRPr lang="pt-BR"/>
                </a:p>
              </c:txPr>
              <c:dLblPos val="outEnd"/>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12-60A0-451E-A685-1F60001785D6}"/>
                </c:ext>
              </c:extLst>
            </c:dLbl>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-9.4720723919301295E-2</c:v>
                </c:pt>
                <c:pt idx="1">
                  <c:v>-0.108409450970242</c:v>
                </c:pt>
                <c:pt idx="2">
                  <c:v>-0.101415666901948</c:v>
                </c:pt>
                <c:pt idx="3">
                  <c:v>-0.103436638648305</c:v>
                </c:pt>
                <c:pt idx="4">
                  <c:v>-9.1562490799490498E-2</c:v>
                </c:pt>
                <c:pt idx="5">
                  <c:v>-6.6528361316721601E-2</c:v>
                </c:pt>
                <c:pt idx="6">
                  <c:v>-5.9895019986021501E-2</c:v>
                </c:pt>
              </c:numCache>
            </c:numRef>
          </c:val>
          <c:extLst>
            <c:ext xmlns:c16="http://schemas.microsoft.com/office/drawing/2014/chart" uri="{C3380CC4-5D6E-409C-BE32-E72D297353CC}">
              <c16:uniqueId val="{00000013-60A0-451E-A685-1F60001785D6}"/>
            </c:ext>
          </c:extLst>
        </c:ser>
        <c:ser>
          <c:idx val="2"/>
          <c:order val="2"/>
          <c:tx>
            <c:strRef>
              <c:f>label 2</c:f>
              <c:strCache>
                <c:ptCount val="1"/>
                <c:pt idx="0">
                  <c:v>Doação, pensão alimentícia ou mesada</c:v>
                </c:pt>
              </c:strCache>
            </c:strRef>
          </c:tx>
          <c:spPr>
            <a:solidFill>
              <a:srgbClr val="A5A5A5"/>
            </a:solidFill>
            <a:ln>
              <a:noFill/>
            </a:ln>
          </c:spPr>
          <c:invertIfNegative val="0"/>
          <c:dLbls>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6.2025012824243199E-2</c:v>
                </c:pt>
                <c:pt idx="1">
                  <c:v>5.6725742214427603E-2</c:v>
                </c:pt>
                <c:pt idx="2">
                  <c:v>9.11598875679622E-2</c:v>
                </c:pt>
                <c:pt idx="3">
                  <c:v>0.102053612467008</c:v>
                </c:pt>
                <c:pt idx="4">
                  <c:v>0.118882201363097</c:v>
                </c:pt>
                <c:pt idx="5">
                  <c:v>0.138559132522174</c:v>
                </c:pt>
                <c:pt idx="6">
                  <c:v>0.16242090654296701</c:v>
                </c:pt>
              </c:numCache>
            </c:numRef>
          </c:val>
          <c:extLst>
            <c:ext xmlns:c16="http://schemas.microsoft.com/office/drawing/2014/chart" uri="{C3380CC4-5D6E-409C-BE32-E72D297353CC}">
              <c16:uniqueId val="{00000014-60A0-451E-A685-1F60001785D6}"/>
            </c:ext>
          </c:extLst>
        </c:ser>
        <c:ser>
          <c:idx val="3"/>
          <c:order val="3"/>
          <c:tx>
            <c:strRef>
              <c:f>label 3</c:f>
              <c:strCache>
                <c:ptCount val="1"/>
                <c:pt idx="0">
                  <c:v>Bolsa Família</c:v>
                </c:pt>
              </c:strCache>
            </c:strRef>
          </c:tx>
          <c:spPr>
            <a:solidFill>
              <a:srgbClr val="FFC000"/>
            </a:solidFill>
            <a:ln>
              <a:noFill/>
            </a:ln>
          </c:spPr>
          <c:invertIfNegative val="0"/>
          <c:dLbls>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0.69881573333535096</c:v>
                </c:pt>
                <c:pt idx="1">
                  <c:v>0.72002630917448096</c:v>
                </c:pt>
                <c:pt idx="2">
                  <c:v>0.70388427490871996</c:v>
                </c:pt>
                <c:pt idx="3">
                  <c:v>0.70745381893692405</c:v>
                </c:pt>
                <c:pt idx="4">
                  <c:v>0.71432184944700805</c:v>
                </c:pt>
                <c:pt idx="5">
                  <c:v>0.90050159804166097</c:v>
                </c:pt>
                <c:pt idx="6">
                  <c:v>0.91082658072282496</c:v>
                </c:pt>
              </c:numCache>
            </c:numRef>
          </c:val>
          <c:extLst>
            <c:ext xmlns:c16="http://schemas.microsoft.com/office/drawing/2014/chart" uri="{C3380CC4-5D6E-409C-BE32-E72D297353CC}">
              <c16:uniqueId val="{00000015-60A0-451E-A685-1F60001785D6}"/>
            </c:ext>
          </c:extLst>
        </c:ser>
        <c:ser>
          <c:idx val="4"/>
          <c:order val="4"/>
          <c:tx>
            <c:strRef>
              <c:f>label 4</c:f>
              <c:strCache>
                <c:ptCount val="1"/>
                <c:pt idx="0">
                  <c:v>BPC-LOAS</c:v>
                </c:pt>
              </c:strCache>
            </c:strRef>
          </c:tx>
          <c:spPr>
            <a:solidFill>
              <a:srgbClr val="5B9BD5"/>
            </a:solidFill>
            <a:ln>
              <a:noFill/>
            </a:ln>
          </c:spPr>
          <c:invertIfNegative val="0"/>
          <c:dLbls>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0.243872762862967</c:v>
                </c:pt>
                <c:pt idx="1">
                  <c:v>0.24496262446214701</c:v>
                </c:pt>
                <c:pt idx="2">
                  <c:v>0.26536926923681697</c:v>
                </c:pt>
                <c:pt idx="3">
                  <c:v>0.27441687678691801</c:v>
                </c:pt>
                <c:pt idx="4">
                  <c:v>0.28109078843433799</c:v>
                </c:pt>
                <c:pt idx="5">
                  <c:v>0.29999145848639902</c:v>
                </c:pt>
                <c:pt idx="6">
                  <c:v>0.31246104527484098</c:v>
                </c:pt>
              </c:numCache>
            </c:numRef>
          </c:val>
          <c:extLst>
            <c:ext xmlns:c16="http://schemas.microsoft.com/office/drawing/2014/chart" uri="{C3380CC4-5D6E-409C-BE32-E72D297353CC}">
              <c16:uniqueId val="{00000016-60A0-451E-A685-1F60001785D6}"/>
            </c:ext>
          </c:extLst>
        </c:ser>
        <c:ser>
          <c:idx val="5"/>
          <c:order val="5"/>
          <c:tx>
            <c:strRef>
              <c:f>label 5</c:f>
              <c:strCache>
                <c:ptCount val="1"/>
                <c:pt idx="0">
                  <c:v>Auxílio Emergencial</c:v>
                </c:pt>
              </c:strCache>
            </c:strRef>
          </c:tx>
          <c:spPr>
            <a:solidFill>
              <a:srgbClr val="70AD47"/>
            </a:solidFill>
            <a:ln>
              <a:noFill/>
            </a:ln>
          </c:spPr>
          <c:invertIfNegative val="0"/>
          <c:dLbls>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0.48442290727466603</c:v>
                </c:pt>
                <c:pt idx="1">
                  <c:v>0.48820913685899597</c:v>
                </c:pt>
                <c:pt idx="2">
                  <c:v>0.48814137070316999</c:v>
                </c:pt>
                <c:pt idx="3">
                  <c:v>0.48697901265786903</c:v>
                </c:pt>
                <c:pt idx="4">
                  <c:v>0.48706547662636401</c:v>
                </c:pt>
                <c:pt idx="5">
                  <c:v>0.49931982968873201</c:v>
                </c:pt>
                <c:pt idx="6">
                  <c:v>0.557089770684563</c:v>
                </c:pt>
              </c:numCache>
            </c:numRef>
          </c:val>
          <c:extLst>
            <c:ext xmlns:c16="http://schemas.microsoft.com/office/drawing/2014/chart" uri="{C3380CC4-5D6E-409C-BE32-E72D297353CC}">
              <c16:uniqueId val="{00000017-60A0-451E-A685-1F60001785D6}"/>
            </c:ext>
          </c:extLst>
        </c:ser>
        <c:ser>
          <c:idx val="6"/>
          <c:order val="6"/>
          <c:tx>
            <c:strRef>
              <c:f>label 6</c:f>
              <c:strCache>
                <c:ptCount val="1"/>
                <c:pt idx="0">
                  <c:v>Seguro-desemprego</c:v>
                </c:pt>
              </c:strCache>
            </c:strRef>
          </c:tx>
          <c:spPr>
            <a:solidFill>
              <a:srgbClr val="264478"/>
            </a:solidFill>
            <a:ln>
              <a:noFill/>
            </a:ln>
          </c:spPr>
          <c:invertIfNegative val="0"/>
          <c:dLbls>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0.100069481469785</c:v>
                </c:pt>
                <c:pt idx="1">
                  <c:v>9.8126137686197698E-2</c:v>
                </c:pt>
                <c:pt idx="2">
                  <c:v>8.8694829736831501E-2</c:v>
                </c:pt>
                <c:pt idx="3">
                  <c:v>8.8639089806676494E-2</c:v>
                </c:pt>
                <c:pt idx="4">
                  <c:v>7.3092912654075803E-2</c:v>
                </c:pt>
                <c:pt idx="5">
                  <c:v>7.9615637695120894E-2</c:v>
                </c:pt>
                <c:pt idx="6">
                  <c:v>9.8383228149637694E-2</c:v>
                </c:pt>
              </c:numCache>
            </c:numRef>
          </c:val>
          <c:extLst>
            <c:ext xmlns:c16="http://schemas.microsoft.com/office/drawing/2014/chart" uri="{C3380CC4-5D6E-409C-BE32-E72D297353CC}">
              <c16:uniqueId val="{00000018-60A0-451E-A685-1F60001785D6}"/>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numFmt formatCode="0.00" sourceLinked="0"/>
            <c:spPr>
              <a:noFill/>
              <a:ln>
                <a:noFill/>
              </a:ln>
              <a:effectLst/>
            </c:spPr>
            <c:txPr>
              <a:bodyPr/>
              <a:lstStyle/>
              <a:p>
                <a:pPr>
                  <a:defRPr sz="800" b="0" strike="noStrike" spc="-1">
                    <a:solidFill>
                      <a:srgbClr val="404040"/>
                    </a:solidFill>
                    <a:latin typeface="Calibri"/>
                  </a:defRPr>
                </a:pPr>
                <a:endParaRPr lang="pt-BR"/>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-0.30908563233920999</c:v>
                </c:pt>
                <c:pt idx="1">
                  <c:v>-0.30782364223490899</c:v>
                </c:pt>
                <c:pt idx="2">
                  <c:v>-0.32062286160633702</c:v>
                </c:pt>
                <c:pt idx="3">
                  <c:v>-0.31368236981805298</c:v>
                </c:pt>
                <c:pt idx="4">
                  <c:v>-0.31774627622797402</c:v>
                </c:pt>
                <c:pt idx="5">
                  <c:v>-0.28464428662522201</c:v>
                </c:pt>
                <c:pt idx="6">
                  <c:v>-0.27901232816461502</c:v>
                </c:pt>
              </c:numCache>
            </c:numRef>
          </c:val>
          <c:extLst>
            <c:ext xmlns:c16="http://schemas.microsoft.com/office/drawing/2014/chart" uri="{C3380CC4-5D6E-409C-BE32-E72D297353CC}">
              <c16:uniqueId val="{00000019-60A0-451E-A685-1F60001785D6}"/>
            </c:ext>
          </c:extLst>
        </c:ser>
        <c:dLbls>
          <c:showLegendKey val="0"/>
          <c:showVal val="0"/>
          <c:showCatName val="0"/>
          <c:showSerName val="0"/>
          <c:showPercent val="0"/>
          <c:showBubbleSize val="0"/>
        </c:dLbls>
        <c:gapWidth val="219"/>
        <c:overlap val="-27"/>
        <c:axId val="55488088"/>
        <c:axId val="31015977"/>
      </c:barChart>
      <c:catAx>
        <c:axId val="55488088"/>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900" b="0" strike="noStrike" spc="-1">
                <a:solidFill>
                  <a:srgbClr val="595959"/>
                </a:solidFill>
                <a:latin typeface="Calibri"/>
              </a:defRPr>
            </a:pPr>
            <a:endParaRPr lang="pt-BR"/>
          </a:p>
        </c:txPr>
        <c:crossAx val="31015977"/>
        <c:crosses val="autoZero"/>
        <c:auto val="1"/>
        <c:lblAlgn val="ctr"/>
        <c:lblOffset val="100"/>
        <c:noMultiLvlLbl val="0"/>
      </c:catAx>
      <c:valAx>
        <c:axId val="31015977"/>
        <c:scaling>
          <c:orientation val="minMax"/>
        </c:scaling>
        <c:delete val="0"/>
        <c:axPos val="l"/>
        <c:majorGridlines>
          <c:spPr>
            <a:ln w="9360">
              <a:solidFill>
                <a:srgbClr val="D9D9D9"/>
              </a:solidFill>
              <a:round/>
            </a:ln>
          </c:spPr>
        </c:majorGridlines>
        <c:numFmt formatCode="0.00" sourceLinked="0"/>
        <c:majorTickMark val="none"/>
        <c:minorTickMark val="none"/>
        <c:tickLblPos val="nextTo"/>
        <c:spPr>
          <a:ln w="6480">
            <a:noFill/>
          </a:ln>
        </c:spPr>
        <c:txPr>
          <a:bodyPr/>
          <a:lstStyle/>
          <a:p>
            <a:pPr>
              <a:defRPr sz="800" b="0" strike="noStrike" spc="-1">
                <a:solidFill>
                  <a:srgbClr val="595959"/>
                </a:solidFill>
                <a:latin typeface="Calibri Light"/>
              </a:defRPr>
            </a:pPr>
            <a:endParaRPr lang="pt-BR"/>
          </a:p>
        </c:txPr>
        <c:crossAx val="55488088"/>
        <c:crosses val="autoZero"/>
        <c:crossBetween val="between"/>
      </c:valAx>
      <c:spPr>
        <a:noFill/>
        <a:ln>
          <a:noFill/>
        </a:ln>
      </c:spPr>
    </c:plotArea>
    <c:legend>
      <c:legendPos val="b"/>
      <c:overlay val="0"/>
      <c:spPr>
        <a:noFill/>
        <a:ln>
          <a:noFill/>
        </a:ln>
      </c:spPr>
      <c:txPr>
        <a:bodyPr/>
        <a:lstStyle/>
        <a:p>
          <a:pPr>
            <a:defRPr sz="800" b="0" strike="noStrike" spc="-1">
              <a:solidFill>
                <a:srgbClr val="595959"/>
              </a:solidFill>
              <a:latin typeface="Calibri"/>
            </a:defRPr>
          </a:pPr>
          <a:endParaRPr lang="pt-BR"/>
        </a:p>
      </c:txPr>
    </c:legend>
    <c:plotVisOnly val="1"/>
    <c:dispBlanksAs val="gap"/>
    <c:showDLblsOverMax val="1"/>
  </c:chart>
  <c:spPr>
    <a:solidFill>
      <a:srgbClr val="FFFFFF"/>
    </a:solidFill>
    <a:ln w="9360">
      <a:solidFill>
        <a:srgbClr val="D9D9D9"/>
      </a:solidFill>
      <a:round/>
    </a:ln>
  </c:spPr>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0.52271236286826395</c:v>
                </c:pt>
                <c:pt idx="1">
                  <c:v>0.51587270432640198</c:v>
                </c:pt>
                <c:pt idx="2">
                  <c:v>0.52252033799999997</c:v>
                </c:pt>
                <c:pt idx="3">
                  <c:v>0.53311632200000003</c:v>
                </c:pt>
                <c:pt idx="4">
                  <c:v>0.54265340358510805</c:v>
                </c:pt>
                <c:pt idx="5">
                  <c:v>0.58595289800000006</c:v>
                </c:pt>
                <c:pt idx="6">
                  <c:v>0.60979682899999998</c:v>
                </c:pt>
              </c:numCache>
            </c:numRef>
          </c:val>
          <c:extLst>
            <c:ext xmlns:c16="http://schemas.microsoft.com/office/drawing/2014/chart" uri="{C3380CC4-5D6E-409C-BE32-E72D297353CC}">
              <c16:uniqueId val="{00000000-65F7-4474-AAC2-5FF9C274AAEF}"/>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0.22221495371906899</c:v>
                </c:pt>
                <c:pt idx="1">
                  <c:v>0.22369338586582799</c:v>
                </c:pt>
                <c:pt idx="2">
                  <c:v>0.21581027899999999</c:v>
                </c:pt>
                <c:pt idx="3">
                  <c:v>0.21664266900000001</c:v>
                </c:pt>
                <c:pt idx="4">
                  <c:v>0.20980061661983199</c:v>
                </c:pt>
                <c:pt idx="5">
                  <c:v>0.22361346800000001</c:v>
                </c:pt>
                <c:pt idx="6">
                  <c:v>0.228653357</c:v>
                </c:pt>
              </c:numCache>
            </c:numRef>
          </c:val>
          <c:extLst>
            <c:ext xmlns:c16="http://schemas.microsoft.com/office/drawing/2014/chart" uri="{C3380CC4-5D6E-409C-BE32-E72D297353CC}">
              <c16:uniqueId val="{00000001-65F7-4474-AAC2-5FF9C274AAEF}"/>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7.6250543808782899E-3</c:v>
                </c:pt>
                <c:pt idx="1">
                  <c:v>7.6159248044353296E-3</c:v>
                </c:pt>
                <c:pt idx="2">
                  <c:v>7.3852149999999997E-3</c:v>
                </c:pt>
                <c:pt idx="3">
                  <c:v>7.2664110000000004E-3</c:v>
                </c:pt>
                <c:pt idx="4">
                  <c:v>7.2807085277339203E-3</c:v>
                </c:pt>
                <c:pt idx="5">
                  <c:v>6.9291279999999997E-3</c:v>
                </c:pt>
                <c:pt idx="6">
                  <c:v>7.4611699999999996E-3</c:v>
                </c:pt>
              </c:numCache>
            </c:numRef>
          </c:val>
          <c:extLst>
            <c:ext xmlns:c16="http://schemas.microsoft.com/office/drawing/2014/chart" uri="{C3380CC4-5D6E-409C-BE32-E72D297353CC}">
              <c16:uniqueId val="{00000002-65F7-4474-AAC2-5FF9C274AAEF}"/>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9.7497647277330797E-3</c:v>
                </c:pt>
                <c:pt idx="1">
                  <c:v>2.46884342061704E-3</c:v>
                </c:pt>
                <c:pt idx="2">
                  <c:v>9.6146700000000003E-4</c:v>
                </c:pt>
                <c:pt idx="3">
                  <c:v>5.1206299999999999E-4</c:v>
                </c:pt>
                <c:pt idx="4">
                  <c:v>4.0696115832800398E-4</c:v>
                </c:pt>
                <c:pt idx="5">
                  <c:v>1.0679805000000001E-2</c:v>
                </c:pt>
                <c:pt idx="6">
                  <c:v>1.2224305E-2</c:v>
                </c:pt>
              </c:numCache>
            </c:numRef>
          </c:val>
          <c:extLst>
            <c:ext xmlns:c16="http://schemas.microsoft.com/office/drawing/2014/chart" uri="{C3380CC4-5D6E-409C-BE32-E72D297353CC}">
              <c16:uniqueId val="{00000003-65F7-4474-AAC2-5FF9C274AAEF}"/>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1.09369277519428E-2</c:v>
                </c:pt>
                <c:pt idx="1">
                  <c:v>1.31130413020845E-2</c:v>
                </c:pt>
                <c:pt idx="2">
                  <c:v>1.3730865E-2</c:v>
                </c:pt>
                <c:pt idx="3">
                  <c:v>1.376936E-2</c:v>
                </c:pt>
                <c:pt idx="4">
                  <c:v>1.43459341224544E-2</c:v>
                </c:pt>
                <c:pt idx="5">
                  <c:v>1.5296976E-2</c:v>
                </c:pt>
                <c:pt idx="6">
                  <c:v>1.5647062999999999E-2</c:v>
                </c:pt>
              </c:numCache>
            </c:numRef>
          </c:val>
          <c:extLst>
            <c:ext xmlns:c16="http://schemas.microsoft.com/office/drawing/2014/chart" uri="{C3380CC4-5D6E-409C-BE32-E72D297353CC}">
              <c16:uniqueId val="{00000004-65F7-4474-AAC2-5FF9C274AAEF}"/>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0.20570233491224901</c:v>
                </c:pt>
                <c:pt idx="1">
                  <c:v>0.21477930777971699</c:v>
                </c:pt>
                <c:pt idx="2">
                  <c:v>0.21851832800000001</c:v>
                </c:pt>
                <c:pt idx="3">
                  <c:v>0.21006280199999999</c:v>
                </c:pt>
                <c:pt idx="4">
                  <c:v>0.20453630941703199</c:v>
                </c:pt>
                <c:pt idx="5">
                  <c:v>0.13493665699999999</c:v>
                </c:pt>
                <c:pt idx="6">
                  <c:v>0.10463937700000001</c:v>
                </c:pt>
              </c:numCache>
            </c:numRef>
          </c:val>
          <c:extLst>
            <c:ext xmlns:c16="http://schemas.microsoft.com/office/drawing/2014/chart" uri="{C3380CC4-5D6E-409C-BE32-E72D297353CC}">
              <c16:uniqueId val="{00000005-65F7-4474-AAC2-5FF9C274AAEF}"/>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8.0148921500038297E-3</c:v>
                </c:pt>
                <c:pt idx="1">
                  <c:v>7.5567637367469102E-3</c:v>
                </c:pt>
                <c:pt idx="2">
                  <c:v>8.5680870000000003E-3</c:v>
                </c:pt>
                <c:pt idx="3">
                  <c:v>6.1333159999999998E-3</c:v>
                </c:pt>
                <c:pt idx="4">
                  <c:v>5.4432130610020599E-3</c:v>
                </c:pt>
                <c:pt idx="5">
                  <c:v>5.7445309999999998E-3</c:v>
                </c:pt>
                <c:pt idx="6">
                  <c:v>5.1662460000000002E-3</c:v>
                </c:pt>
              </c:numCache>
            </c:numRef>
          </c:val>
          <c:extLst>
            <c:ext xmlns:c16="http://schemas.microsoft.com/office/drawing/2014/chart" uri="{C3380CC4-5D6E-409C-BE32-E72D297353CC}">
              <c16:uniqueId val="{00000006-65F7-4474-AAC2-5FF9C274AAEF}"/>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1.30437094898591E-2</c:v>
                </c:pt>
                <c:pt idx="1">
                  <c:v>1.4900028764168601E-2</c:v>
                </c:pt>
                <c:pt idx="2">
                  <c:v>1.2505420999999999E-2</c:v>
                </c:pt>
                <c:pt idx="3">
                  <c:v>1.2497058E-2</c:v>
                </c:pt>
                <c:pt idx="4">
                  <c:v>1.55328535085096E-2</c:v>
                </c:pt>
                <c:pt idx="5">
                  <c:v>1.6846535999999999E-2</c:v>
                </c:pt>
                <c:pt idx="6">
                  <c:v>1.6411650999999999E-2</c:v>
                </c:pt>
              </c:numCache>
            </c:numRef>
          </c:val>
          <c:extLst>
            <c:ext xmlns:c16="http://schemas.microsoft.com/office/drawing/2014/chart" uri="{C3380CC4-5D6E-409C-BE32-E72D297353CC}">
              <c16:uniqueId val="{00000007-65F7-4474-AAC2-5FF9C274AAEF}"/>
            </c:ext>
          </c:extLst>
        </c:ser>
        <c:dLbls>
          <c:showLegendKey val="0"/>
          <c:showVal val="0"/>
          <c:showCatName val="0"/>
          <c:showSerName val="0"/>
          <c:showPercent val="0"/>
          <c:showBubbleSize val="0"/>
        </c:dLbls>
        <c:gapWidth val="150"/>
        <c:overlap val="100"/>
        <c:axId val="79849043"/>
        <c:axId val="17979787"/>
      </c:barChart>
      <c:catAx>
        <c:axId val="79849043"/>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Calibri"/>
              </a:defRPr>
            </a:pPr>
            <a:endParaRPr lang="pt-BR"/>
          </a:p>
        </c:txPr>
        <c:crossAx val="17979787"/>
        <c:crosses val="autoZero"/>
        <c:auto val="1"/>
        <c:lblAlgn val="ctr"/>
        <c:lblOffset val="100"/>
        <c:noMultiLvlLbl val="0"/>
      </c:catAx>
      <c:valAx>
        <c:axId val="17979787"/>
        <c:scaling>
          <c:orientation val="minMax"/>
          <c:max val="1"/>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a:defRPr>
            </a:pPr>
            <a:endParaRPr lang="pt-BR"/>
          </a:p>
        </c:txPr>
        <c:crossAx val="79849043"/>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a:defRPr>
          </a:pPr>
          <a:endParaRPr lang="pt-BR"/>
        </a:p>
      </c:txPr>
    </c:legend>
    <c:plotVisOnly val="1"/>
    <c:dispBlanksAs val="gap"/>
    <c:showDLblsOverMax val="1"/>
  </c:chart>
  <c:spPr>
    <a:solidFill>
      <a:srgbClr val="FFFFFF"/>
    </a:solidFill>
    <a:ln w="9360">
      <a:solidFill>
        <a:srgbClr val="D9D9D9"/>
      </a:solidFill>
      <a:round/>
    </a:ln>
  </c:spPr>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0.54610278503629905</c:v>
                </c:pt>
                <c:pt idx="1">
                  <c:v>0.53840164305140104</c:v>
                </c:pt>
                <c:pt idx="2">
                  <c:v>0.55255544400000001</c:v>
                </c:pt>
                <c:pt idx="3">
                  <c:v>0.55954037700000003</c:v>
                </c:pt>
                <c:pt idx="4">
                  <c:v>0.57231681700000003</c:v>
                </c:pt>
                <c:pt idx="5">
                  <c:v>0.61237750800000001</c:v>
                </c:pt>
                <c:pt idx="6">
                  <c:v>0.63766659599999997</c:v>
                </c:pt>
              </c:numCache>
            </c:numRef>
          </c:val>
          <c:extLst>
            <c:ext xmlns:c16="http://schemas.microsoft.com/office/drawing/2014/chart" uri="{C3380CC4-5D6E-409C-BE32-E72D297353CC}">
              <c16:uniqueId val="{00000000-4DC4-49FB-ADDB-CDB3A268DF20}"/>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0.220374179439774</c:v>
                </c:pt>
                <c:pt idx="1">
                  <c:v>0.21604768015744599</c:v>
                </c:pt>
                <c:pt idx="2">
                  <c:v>0.209929529</c:v>
                </c:pt>
                <c:pt idx="3">
                  <c:v>0.21344016900000001</c:v>
                </c:pt>
                <c:pt idx="4">
                  <c:v>0.209175526</c:v>
                </c:pt>
                <c:pt idx="5">
                  <c:v>0.21343067900000001</c:v>
                </c:pt>
                <c:pt idx="6">
                  <c:v>0.21515269300000001</c:v>
                </c:pt>
              </c:numCache>
            </c:numRef>
          </c:val>
          <c:extLst>
            <c:ext xmlns:c16="http://schemas.microsoft.com/office/drawing/2014/chart" uri="{C3380CC4-5D6E-409C-BE32-E72D297353CC}">
              <c16:uniqueId val="{00000001-4DC4-49FB-ADDB-CDB3A268DF20}"/>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1.0279099037266501E-2</c:v>
                </c:pt>
                <c:pt idx="1">
                  <c:v>8.5592173008593193E-3</c:v>
                </c:pt>
                <c:pt idx="2">
                  <c:v>8.0734020000000004E-3</c:v>
                </c:pt>
                <c:pt idx="3">
                  <c:v>7.4389310000000002E-3</c:v>
                </c:pt>
                <c:pt idx="4">
                  <c:v>6.8957649999999999E-3</c:v>
                </c:pt>
                <c:pt idx="5">
                  <c:v>6.9371149999999998E-3</c:v>
                </c:pt>
                <c:pt idx="6">
                  <c:v>7.3089390000000004E-3</c:v>
                </c:pt>
              </c:numCache>
            </c:numRef>
          </c:val>
          <c:extLst>
            <c:ext xmlns:c16="http://schemas.microsoft.com/office/drawing/2014/chart" uri="{C3380CC4-5D6E-409C-BE32-E72D297353CC}">
              <c16:uniqueId val="{00000002-4DC4-49FB-ADDB-CDB3A268DF20}"/>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1.1699687305600601E-2</c:v>
                </c:pt>
                <c:pt idx="1">
                  <c:v>5.4453525024807598E-3</c:v>
                </c:pt>
                <c:pt idx="2">
                  <c:v>4.8999120000000002E-3</c:v>
                </c:pt>
                <c:pt idx="3">
                  <c:v>4.636322E-3</c:v>
                </c:pt>
                <c:pt idx="4">
                  <c:v>5.0782420000000002E-3</c:v>
                </c:pt>
                <c:pt idx="5">
                  <c:v>7.6238870000000002E-3</c:v>
                </c:pt>
                <c:pt idx="6">
                  <c:v>8.5339030000000007E-3</c:v>
                </c:pt>
              </c:numCache>
            </c:numRef>
          </c:val>
          <c:extLst>
            <c:ext xmlns:c16="http://schemas.microsoft.com/office/drawing/2014/chart" uri="{C3380CC4-5D6E-409C-BE32-E72D297353CC}">
              <c16:uniqueId val="{00000003-4DC4-49FB-ADDB-CDB3A268DF20}"/>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1.3522978723445401E-2</c:v>
                </c:pt>
                <c:pt idx="1">
                  <c:v>1.5155623490925099E-2</c:v>
                </c:pt>
                <c:pt idx="2">
                  <c:v>1.4669303E-2</c:v>
                </c:pt>
                <c:pt idx="3">
                  <c:v>1.5446889E-2</c:v>
                </c:pt>
                <c:pt idx="4">
                  <c:v>1.5002629E-2</c:v>
                </c:pt>
                <c:pt idx="5">
                  <c:v>1.5692975000000001E-2</c:v>
                </c:pt>
                <c:pt idx="6">
                  <c:v>1.5809083000000002E-2</c:v>
                </c:pt>
              </c:numCache>
            </c:numRef>
          </c:val>
          <c:extLst>
            <c:ext xmlns:c16="http://schemas.microsoft.com/office/drawing/2014/chart" uri="{C3380CC4-5D6E-409C-BE32-E72D297353CC}">
              <c16:uniqueId val="{00000004-4DC4-49FB-ADDB-CDB3A268DF20}"/>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0.170819275941093</c:v>
                </c:pt>
                <c:pt idx="1">
                  <c:v>0.19103387014763301</c:v>
                </c:pt>
                <c:pt idx="2">
                  <c:v>0.18696400799999999</c:v>
                </c:pt>
                <c:pt idx="3">
                  <c:v>0.17807630799999999</c:v>
                </c:pt>
                <c:pt idx="4">
                  <c:v>0.17146461599999999</c:v>
                </c:pt>
                <c:pt idx="5">
                  <c:v>0.12495002400000001</c:v>
                </c:pt>
                <c:pt idx="6">
                  <c:v>9.6460988999999997E-2</c:v>
                </c:pt>
              </c:numCache>
            </c:numRef>
          </c:val>
          <c:extLst>
            <c:ext xmlns:c16="http://schemas.microsoft.com/office/drawing/2014/chart" uri="{C3380CC4-5D6E-409C-BE32-E72D297353CC}">
              <c16:uniqueId val="{00000005-4DC4-49FB-ADDB-CDB3A268DF20}"/>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9.5543544735313193E-3</c:v>
                </c:pt>
                <c:pt idx="1">
                  <c:v>6.8724620322551796E-3</c:v>
                </c:pt>
                <c:pt idx="2">
                  <c:v>7.5279939999999997E-3</c:v>
                </c:pt>
                <c:pt idx="3">
                  <c:v>6.0487689999999998E-3</c:v>
                </c:pt>
                <c:pt idx="4">
                  <c:v>6.9144920000000004E-3</c:v>
                </c:pt>
                <c:pt idx="5">
                  <c:v>5.6558650000000004E-3</c:v>
                </c:pt>
                <c:pt idx="6">
                  <c:v>4.449822E-3</c:v>
                </c:pt>
              </c:numCache>
            </c:numRef>
          </c:val>
          <c:extLst>
            <c:ext xmlns:c16="http://schemas.microsoft.com/office/drawing/2014/chart" uri="{C3380CC4-5D6E-409C-BE32-E72D297353CC}">
              <c16:uniqueId val="{00000006-4DC4-49FB-ADDB-CDB3A268DF20}"/>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1.7647640042989701E-2</c:v>
                </c:pt>
                <c:pt idx="1">
                  <c:v>1.8484151316999899E-2</c:v>
                </c:pt>
                <c:pt idx="2">
                  <c:v>1.5380408E-2</c:v>
                </c:pt>
                <c:pt idx="3">
                  <c:v>1.5372235E-2</c:v>
                </c:pt>
                <c:pt idx="4">
                  <c:v>1.3151914000000001E-2</c:v>
                </c:pt>
                <c:pt idx="5">
                  <c:v>1.3331947E-2</c:v>
                </c:pt>
                <c:pt idx="6">
                  <c:v>1.4617976E-2</c:v>
                </c:pt>
              </c:numCache>
            </c:numRef>
          </c:val>
          <c:extLst>
            <c:ext xmlns:c16="http://schemas.microsoft.com/office/drawing/2014/chart" uri="{C3380CC4-5D6E-409C-BE32-E72D297353CC}">
              <c16:uniqueId val="{00000007-4DC4-49FB-ADDB-CDB3A268DF20}"/>
            </c:ext>
          </c:extLst>
        </c:ser>
        <c:dLbls>
          <c:showLegendKey val="0"/>
          <c:showVal val="0"/>
          <c:showCatName val="0"/>
          <c:showSerName val="0"/>
          <c:showPercent val="0"/>
          <c:showBubbleSize val="0"/>
        </c:dLbls>
        <c:gapWidth val="150"/>
        <c:overlap val="100"/>
        <c:axId val="39078974"/>
        <c:axId val="57662"/>
      </c:barChart>
      <c:catAx>
        <c:axId val="39078974"/>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Calibri Light"/>
              </a:defRPr>
            </a:pPr>
            <a:endParaRPr lang="pt-BR"/>
          </a:p>
        </c:txPr>
        <c:crossAx val="57662"/>
        <c:crosses val="autoZero"/>
        <c:auto val="1"/>
        <c:lblAlgn val="ctr"/>
        <c:lblOffset val="100"/>
        <c:noMultiLvlLbl val="0"/>
      </c:catAx>
      <c:valAx>
        <c:axId val="57662"/>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Light"/>
              </a:defRPr>
            </a:pPr>
            <a:endParaRPr lang="pt-BR"/>
          </a:p>
        </c:txPr>
        <c:crossAx val="39078974"/>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0.51914089968953303</c:v>
                </c:pt>
                <c:pt idx="1">
                  <c:v>0.51089396286611699</c:v>
                </c:pt>
                <c:pt idx="2">
                  <c:v>0.53097760800000005</c:v>
                </c:pt>
                <c:pt idx="3">
                  <c:v>0.52470975900000005</c:v>
                </c:pt>
                <c:pt idx="4">
                  <c:v>0.53984696300000001</c:v>
                </c:pt>
                <c:pt idx="5">
                  <c:v>0.58367957599999998</c:v>
                </c:pt>
                <c:pt idx="6">
                  <c:v>0.60344553599999995</c:v>
                </c:pt>
              </c:numCache>
            </c:numRef>
          </c:val>
          <c:extLst>
            <c:ext xmlns:c16="http://schemas.microsoft.com/office/drawing/2014/chart" uri="{C3380CC4-5D6E-409C-BE32-E72D297353CC}">
              <c16:uniqueId val="{00000000-159C-41C2-A3BC-207DADBF89FA}"/>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0.22634990822481399</c:v>
                </c:pt>
                <c:pt idx="1">
                  <c:v>0.22455371525654699</c:v>
                </c:pt>
                <c:pt idx="2">
                  <c:v>0.214716825</c:v>
                </c:pt>
                <c:pt idx="3">
                  <c:v>0.22008918699999999</c:v>
                </c:pt>
                <c:pt idx="4">
                  <c:v>0.21576948300000001</c:v>
                </c:pt>
                <c:pt idx="5">
                  <c:v>0.226159423</c:v>
                </c:pt>
                <c:pt idx="6">
                  <c:v>0.22963982199999999</c:v>
                </c:pt>
              </c:numCache>
            </c:numRef>
          </c:val>
          <c:extLst>
            <c:ext xmlns:c16="http://schemas.microsoft.com/office/drawing/2014/chart" uri="{C3380CC4-5D6E-409C-BE32-E72D297353CC}">
              <c16:uniqueId val="{00000001-159C-41C2-A3BC-207DADBF89FA}"/>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1.1566885078426599E-2</c:v>
                </c:pt>
                <c:pt idx="1">
                  <c:v>1.05341622895201E-2</c:v>
                </c:pt>
                <c:pt idx="2">
                  <c:v>8.6057730000000006E-3</c:v>
                </c:pt>
                <c:pt idx="3">
                  <c:v>9.1873860000000005E-3</c:v>
                </c:pt>
                <c:pt idx="4">
                  <c:v>9.2485650000000003E-3</c:v>
                </c:pt>
                <c:pt idx="5">
                  <c:v>1.0780562E-2</c:v>
                </c:pt>
                <c:pt idx="6">
                  <c:v>1.0267652E-2</c:v>
                </c:pt>
              </c:numCache>
            </c:numRef>
          </c:val>
          <c:extLst>
            <c:ext xmlns:c16="http://schemas.microsoft.com/office/drawing/2014/chart" uri="{C3380CC4-5D6E-409C-BE32-E72D297353CC}">
              <c16:uniqueId val="{00000002-159C-41C2-A3BC-207DADBF89FA}"/>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1.1831659310812899E-2</c:v>
                </c:pt>
                <c:pt idx="1">
                  <c:v>8.4854181223599397E-3</c:v>
                </c:pt>
                <c:pt idx="2">
                  <c:v>5.635246E-3</c:v>
                </c:pt>
                <c:pt idx="3">
                  <c:v>4.6847019999999998E-3</c:v>
                </c:pt>
                <c:pt idx="4">
                  <c:v>4.0897779999999996E-3</c:v>
                </c:pt>
                <c:pt idx="5">
                  <c:v>6.4512600000000003E-3</c:v>
                </c:pt>
                <c:pt idx="6">
                  <c:v>7.1983300000000002E-3</c:v>
                </c:pt>
              </c:numCache>
            </c:numRef>
          </c:val>
          <c:extLst>
            <c:ext xmlns:c16="http://schemas.microsoft.com/office/drawing/2014/chart" uri="{C3380CC4-5D6E-409C-BE32-E72D297353CC}">
              <c16:uniqueId val="{00000003-159C-41C2-A3BC-207DADBF89FA}"/>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1.8216464889852398E-2</c:v>
                </c:pt>
                <c:pt idx="1">
                  <c:v>1.8955902606655601E-2</c:v>
                </c:pt>
                <c:pt idx="2">
                  <c:v>1.8614519999999999E-2</c:v>
                </c:pt>
                <c:pt idx="3">
                  <c:v>1.8781458000000001E-2</c:v>
                </c:pt>
                <c:pt idx="4">
                  <c:v>1.8936545999999999E-2</c:v>
                </c:pt>
                <c:pt idx="5">
                  <c:v>1.9936783E-2</c:v>
                </c:pt>
                <c:pt idx="6">
                  <c:v>1.9999665E-2</c:v>
                </c:pt>
              </c:numCache>
            </c:numRef>
          </c:val>
          <c:extLst>
            <c:ext xmlns:c16="http://schemas.microsoft.com/office/drawing/2014/chart" uri="{C3380CC4-5D6E-409C-BE32-E72D297353CC}">
              <c16:uniqueId val="{00000004-159C-41C2-A3BC-207DADBF89FA}"/>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0.18991673208822599</c:v>
                </c:pt>
                <c:pt idx="1">
                  <c:v>0.201935064880916</c:v>
                </c:pt>
                <c:pt idx="2">
                  <c:v>0.19406921499999999</c:v>
                </c:pt>
                <c:pt idx="3">
                  <c:v>0.19626341899999999</c:v>
                </c:pt>
                <c:pt idx="4">
                  <c:v>0.18696143100000001</c:v>
                </c:pt>
                <c:pt idx="5">
                  <c:v>0.12894509200000001</c:v>
                </c:pt>
                <c:pt idx="6">
                  <c:v>0.105659697</c:v>
                </c:pt>
              </c:numCache>
            </c:numRef>
          </c:val>
          <c:extLst>
            <c:ext xmlns:c16="http://schemas.microsoft.com/office/drawing/2014/chart" uri="{C3380CC4-5D6E-409C-BE32-E72D297353CC}">
              <c16:uniqueId val="{00000005-159C-41C2-A3BC-207DADBF89FA}"/>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7.7474105239340703E-3</c:v>
                </c:pt>
                <c:pt idx="1">
                  <c:v>8.65142629097208E-3</c:v>
                </c:pt>
                <c:pt idx="2">
                  <c:v>9.2599069999999995E-3</c:v>
                </c:pt>
                <c:pt idx="3">
                  <c:v>8.0173009999999992E-3</c:v>
                </c:pt>
                <c:pt idx="4">
                  <c:v>8.0774929999999998E-3</c:v>
                </c:pt>
                <c:pt idx="5">
                  <c:v>6.313478E-3</c:v>
                </c:pt>
                <c:pt idx="6">
                  <c:v>3.7355320000000002E-3</c:v>
                </c:pt>
              </c:numCache>
            </c:numRef>
          </c:val>
          <c:extLst>
            <c:ext xmlns:c16="http://schemas.microsoft.com/office/drawing/2014/chart" uri="{C3380CC4-5D6E-409C-BE32-E72D297353CC}">
              <c16:uniqueId val="{00000006-159C-41C2-A3BC-207DADBF89FA}"/>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1.5230040194401001E-2</c:v>
                </c:pt>
                <c:pt idx="1">
                  <c:v>1.5990347686912099E-2</c:v>
                </c:pt>
                <c:pt idx="2">
                  <c:v>1.8120906999999999E-2</c:v>
                </c:pt>
                <c:pt idx="3">
                  <c:v>1.8266787E-2</c:v>
                </c:pt>
                <c:pt idx="4">
                  <c:v>1.706974E-2</c:v>
                </c:pt>
                <c:pt idx="5">
                  <c:v>1.7733826000000001E-2</c:v>
                </c:pt>
                <c:pt idx="6">
                  <c:v>2.0053765000000001E-2</c:v>
                </c:pt>
              </c:numCache>
            </c:numRef>
          </c:val>
          <c:extLst>
            <c:ext xmlns:c16="http://schemas.microsoft.com/office/drawing/2014/chart" uri="{C3380CC4-5D6E-409C-BE32-E72D297353CC}">
              <c16:uniqueId val="{00000007-159C-41C2-A3BC-207DADBF89FA}"/>
            </c:ext>
          </c:extLst>
        </c:ser>
        <c:dLbls>
          <c:showLegendKey val="0"/>
          <c:showVal val="0"/>
          <c:showCatName val="0"/>
          <c:showSerName val="0"/>
          <c:showPercent val="0"/>
          <c:showBubbleSize val="0"/>
        </c:dLbls>
        <c:gapWidth val="150"/>
        <c:overlap val="100"/>
        <c:axId val="83620823"/>
        <c:axId val="3703766"/>
      </c:barChart>
      <c:catAx>
        <c:axId val="83620823"/>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Calibri Light"/>
              </a:defRPr>
            </a:pPr>
            <a:endParaRPr lang="pt-BR"/>
          </a:p>
        </c:txPr>
        <c:crossAx val="3703766"/>
        <c:crosses val="autoZero"/>
        <c:auto val="1"/>
        <c:lblAlgn val="ctr"/>
        <c:lblOffset val="100"/>
        <c:noMultiLvlLbl val="0"/>
      </c:catAx>
      <c:valAx>
        <c:axId val="3703766"/>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Light"/>
              </a:defRPr>
            </a:pPr>
            <a:endParaRPr lang="pt-BR"/>
          </a:p>
        </c:txPr>
        <c:crossAx val="83620823"/>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0.48517055285407101</c:v>
                </c:pt>
                <c:pt idx="1">
                  <c:v>0.46363738820727002</c:v>
                </c:pt>
                <c:pt idx="2">
                  <c:v>0.480381848</c:v>
                </c:pt>
                <c:pt idx="3">
                  <c:v>0.49368271600000002</c:v>
                </c:pt>
                <c:pt idx="4">
                  <c:v>0.509484402</c:v>
                </c:pt>
                <c:pt idx="5">
                  <c:v>0.55114578400000003</c:v>
                </c:pt>
                <c:pt idx="6">
                  <c:v>0.58218108899999998</c:v>
                </c:pt>
              </c:numCache>
            </c:numRef>
          </c:val>
          <c:extLst>
            <c:ext xmlns:c16="http://schemas.microsoft.com/office/drawing/2014/chart" uri="{C3380CC4-5D6E-409C-BE32-E72D297353CC}">
              <c16:uniqueId val="{00000000-6E30-4B05-B130-250703D77D7E}"/>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0.20446178258759201</c:v>
                </c:pt>
                <c:pt idx="1">
                  <c:v>0.20581966900547199</c:v>
                </c:pt>
                <c:pt idx="2">
                  <c:v>0.20343186499999999</c:v>
                </c:pt>
                <c:pt idx="3">
                  <c:v>0.201735199</c:v>
                </c:pt>
                <c:pt idx="4">
                  <c:v>0.19850680000000001</c:v>
                </c:pt>
                <c:pt idx="5">
                  <c:v>0.22076501900000001</c:v>
                </c:pt>
                <c:pt idx="6">
                  <c:v>0.225844925</c:v>
                </c:pt>
              </c:numCache>
            </c:numRef>
          </c:val>
          <c:extLst>
            <c:ext xmlns:c16="http://schemas.microsoft.com/office/drawing/2014/chart" uri="{C3380CC4-5D6E-409C-BE32-E72D297353CC}">
              <c16:uniqueId val="{00000001-6E30-4B05-B130-250703D77D7E}"/>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8.3043726063846395E-3</c:v>
                </c:pt>
                <c:pt idx="1">
                  <c:v>6.9029775427533304E-3</c:v>
                </c:pt>
                <c:pt idx="2">
                  <c:v>8.224683E-3</c:v>
                </c:pt>
                <c:pt idx="3">
                  <c:v>6.5650329999999996E-3</c:v>
                </c:pt>
                <c:pt idx="4">
                  <c:v>6.1211820000000002E-3</c:v>
                </c:pt>
                <c:pt idx="5">
                  <c:v>6.8275749999999998E-3</c:v>
                </c:pt>
                <c:pt idx="6">
                  <c:v>6.8242160000000001E-3</c:v>
                </c:pt>
              </c:numCache>
            </c:numRef>
          </c:val>
          <c:extLst>
            <c:ext xmlns:c16="http://schemas.microsoft.com/office/drawing/2014/chart" uri="{C3380CC4-5D6E-409C-BE32-E72D297353CC}">
              <c16:uniqueId val="{00000002-6E30-4B05-B130-250703D77D7E}"/>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2.1826301446311501E-2</c:v>
                </c:pt>
                <c:pt idx="1">
                  <c:v>1.52334886978758E-2</c:v>
                </c:pt>
                <c:pt idx="2">
                  <c:v>9.7467649999999992E-3</c:v>
                </c:pt>
                <c:pt idx="3">
                  <c:v>6.8955029999999999E-3</c:v>
                </c:pt>
                <c:pt idx="4">
                  <c:v>5.8480839999999999E-3</c:v>
                </c:pt>
                <c:pt idx="5">
                  <c:v>1.3640637000000001E-2</c:v>
                </c:pt>
                <c:pt idx="6">
                  <c:v>1.7099941E-2</c:v>
                </c:pt>
              </c:numCache>
            </c:numRef>
          </c:val>
          <c:extLst>
            <c:ext xmlns:c16="http://schemas.microsoft.com/office/drawing/2014/chart" uri="{C3380CC4-5D6E-409C-BE32-E72D297353CC}">
              <c16:uniqueId val="{00000003-6E30-4B05-B130-250703D77D7E}"/>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1.38820451652044E-2</c:v>
                </c:pt>
                <c:pt idx="1">
                  <c:v>1.4548656452612699E-2</c:v>
                </c:pt>
                <c:pt idx="2">
                  <c:v>1.3939160000000001E-2</c:v>
                </c:pt>
                <c:pt idx="3">
                  <c:v>1.452109E-2</c:v>
                </c:pt>
                <c:pt idx="4">
                  <c:v>1.5365929E-2</c:v>
                </c:pt>
                <c:pt idx="5">
                  <c:v>1.5963728999999999E-2</c:v>
                </c:pt>
                <c:pt idx="6">
                  <c:v>1.5711224999999999E-2</c:v>
                </c:pt>
              </c:numCache>
            </c:numRef>
          </c:val>
          <c:extLst>
            <c:ext xmlns:c16="http://schemas.microsoft.com/office/drawing/2014/chart" uri="{C3380CC4-5D6E-409C-BE32-E72D297353CC}">
              <c16:uniqueId val="{00000004-6E30-4B05-B130-250703D77D7E}"/>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0.24615215277550501</c:v>
                </c:pt>
                <c:pt idx="1">
                  <c:v>0.27209174135700698</c:v>
                </c:pt>
                <c:pt idx="2">
                  <c:v>0.26541379399999998</c:v>
                </c:pt>
                <c:pt idx="3">
                  <c:v>0.26447072900000002</c:v>
                </c:pt>
                <c:pt idx="4">
                  <c:v>0.25279915400000003</c:v>
                </c:pt>
                <c:pt idx="5">
                  <c:v>0.17833238400000001</c:v>
                </c:pt>
                <c:pt idx="6">
                  <c:v>0.13991303799999999</c:v>
                </c:pt>
              </c:numCache>
            </c:numRef>
          </c:val>
          <c:extLst>
            <c:ext xmlns:c16="http://schemas.microsoft.com/office/drawing/2014/chart" uri="{C3380CC4-5D6E-409C-BE32-E72D297353CC}">
              <c16:uniqueId val="{00000005-6E30-4B05-B130-250703D77D7E}"/>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1.11364770697902E-2</c:v>
                </c:pt>
                <c:pt idx="1">
                  <c:v>1.28644843731315E-2</c:v>
                </c:pt>
                <c:pt idx="2">
                  <c:v>1.2331664000000001E-2</c:v>
                </c:pt>
                <c:pt idx="3">
                  <c:v>5.3006420000000004E-3</c:v>
                </c:pt>
                <c:pt idx="4">
                  <c:v>5.7139369999999997E-3</c:v>
                </c:pt>
                <c:pt idx="5">
                  <c:v>5.333122E-3</c:v>
                </c:pt>
                <c:pt idx="6">
                  <c:v>4.4937279999999998E-3</c:v>
                </c:pt>
              </c:numCache>
            </c:numRef>
          </c:val>
          <c:extLst>
            <c:ext xmlns:c16="http://schemas.microsoft.com/office/drawing/2014/chart" uri="{C3380CC4-5D6E-409C-BE32-E72D297353CC}">
              <c16:uniqueId val="{00000006-6E30-4B05-B130-250703D77D7E}"/>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9.0663154951418808E-3</c:v>
                </c:pt>
                <c:pt idx="1">
                  <c:v>8.9015943638776907E-3</c:v>
                </c:pt>
                <c:pt idx="2">
                  <c:v>6.5302210000000001E-3</c:v>
                </c:pt>
                <c:pt idx="3">
                  <c:v>6.8290879999999997E-3</c:v>
                </c:pt>
                <c:pt idx="4">
                  <c:v>6.1605119999999999E-3</c:v>
                </c:pt>
                <c:pt idx="5">
                  <c:v>7.9917500000000006E-3</c:v>
                </c:pt>
                <c:pt idx="6">
                  <c:v>7.9318380000000001E-3</c:v>
                </c:pt>
              </c:numCache>
            </c:numRef>
          </c:val>
          <c:extLst>
            <c:ext xmlns:c16="http://schemas.microsoft.com/office/drawing/2014/chart" uri="{C3380CC4-5D6E-409C-BE32-E72D297353CC}">
              <c16:uniqueId val="{00000007-6E30-4B05-B130-250703D77D7E}"/>
            </c:ext>
          </c:extLst>
        </c:ser>
        <c:dLbls>
          <c:showLegendKey val="0"/>
          <c:showVal val="0"/>
          <c:showCatName val="0"/>
          <c:showSerName val="0"/>
          <c:showPercent val="0"/>
          <c:showBubbleSize val="0"/>
        </c:dLbls>
        <c:gapWidth val="150"/>
        <c:overlap val="100"/>
        <c:axId val="27940266"/>
        <c:axId val="96835932"/>
      </c:barChart>
      <c:catAx>
        <c:axId val="27940266"/>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Times New Roman"/>
              </a:defRPr>
            </a:pPr>
            <a:endParaRPr lang="pt-BR"/>
          </a:p>
        </c:txPr>
        <c:crossAx val="96835932"/>
        <c:crosses val="autoZero"/>
        <c:auto val="1"/>
        <c:lblAlgn val="ctr"/>
        <c:lblOffset val="100"/>
        <c:noMultiLvlLbl val="0"/>
      </c:catAx>
      <c:valAx>
        <c:axId val="96835932"/>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Light"/>
              </a:defRPr>
            </a:pPr>
            <a:endParaRPr lang="pt-BR"/>
          </a:p>
        </c:txPr>
        <c:crossAx val="27940266"/>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0.50022675699999997</c:v>
                </c:pt>
                <c:pt idx="1">
                  <c:v>0.47997360792907001</c:v>
                </c:pt>
                <c:pt idx="2">
                  <c:v>0.49047404999999999</c:v>
                </c:pt>
                <c:pt idx="3">
                  <c:v>0.51596366100000002</c:v>
                </c:pt>
                <c:pt idx="4">
                  <c:v>0.51360346700000004</c:v>
                </c:pt>
                <c:pt idx="5">
                  <c:v>0.55757400800000001</c:v>
                </c:pt>
                <c:pt idx="6">
                  <c:v>0.57135338000000002</c:v>
                </c:pt>
              </c:numCache>
            </c:numRef>
          </c:val>
          <c:extLst>
            <c:ext xmlns:c16="http://schemas.microsoft.com/office/drawing/2014/chart" uri="{C3380CC4-5D6E-409C-BE32-E72D297353CC}">
              <c16:uniqueId val="{00000000-94CD-4803-9D2B-4A99BC6086A6}"/>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0.241155181</c:v>
                </c:pt>
                <c:pt idx="1">
                  <c:v>0.25717921344627598</c:v>
                </c:pt>
                <c:pt idx="2">
                  <c:v>0.24717518899999999</c:v>
                </c:pt>
                <c:pt idx="3">
                  <c:v>0.23409269499999999</c:v>
                </c:pt>
                <c:pt idx="4">
                  <c:v>0.24049501500000001</c:v>
                </c:pt>
                <c:pt idx="5">
                  <c:v>0.25799467999999998</c:v>
                </c:pt>
                <c:pt idx="6">
                  <c:v>0.262035291</c:v>
                </c:pt>
              </c:numCache>
            </c:numRef>
          </c:val>
          <c:extLst>
            <c:ext xmlns:c16="http://schemas.microsoft.com/office/drawing/2014/chart" uri="{C3380CC4-5D6E-409C-BE32-E72D297353CC}">
              <c16:uniqueId val="{00000001-94CD-4803-9D2B-4A99BC6086A6}"/>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9.5030340000000005E-3</c:v>
                </c:pt>
                <c:pt idx="1">
                  <c:v>9.0691834189516995E-3</c:v>
                </c:pt>
                <c:pt idx="2">
                  <c:v>8.2762740000000001E-3</c:v>
                </c:pt>
                <c:pt idx="3">
                  <c:v>7.381482E-3</c:v>
                </c:pt>
                <c:pt idx="4">
                  <c:v>8.1990880000000002E-3</c:v>
                </c:pt>
                <c:pt idx="5">
                  <c:v>7.6065680000000002E-3</c:v>
                </c:pt>
                <c:pt idx="6">
                  <c:v>8.4516490000000003E-3</c:v>
                </c:pt>
              </c:numCache>
            </c:numRef>
          </c:val>
          <c:extLst>
            <c:ext xmlns:c16="http://schemas.microsoft.com/office/drawing/2014/chart" uri="{C3380CC4-5D6E-409C-BE32-E72D297353CC}">
              <c16:uniqueId val="{00000002-94CD-4803-9D2B-4A99BC6086A6}"/>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1.4527956E-2</c:v>
                </c:pt>
                <c:pt idx="1">
                  <c:v>6.3395626947592596E-3</c:v>
                </c:pt>
                <c:pt idx="2">
                  <c:v>3.9259100000000003E-3</c:v>
                </c:pt>
                <c:pt idx="3">
                  <c:v>2.0818149999999999E-3</c:v>
                </c:pt>
                <c:pt idx="4">
                  <c:v>1.3507720000000001E-3</c:v>
                </c:pt>
                <c:pt idx="5">
                  <c:v>5.6981410000000003E-3</c:v>
                </c:pt>
                <c:pt idx="6">
                  <c:v>8.2300419999999999E-3</c:v>
                </c:pt>
              </c:numCache>
            </c:numRef>
          </c:val>
          <c:extLst>
            <c:ext xmlns:c16="http://schemas.microsoft.com/office/drawing/2014/chart" uri="{C3380CC4-5D6E-409C-BE32-E72D297353CC}">
              <c16:uniqueId val="{00000003-94CD-4803-9D2B-4A99BC6086A6}"/>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1.6414188999999999E-2</c:v>
                </c:pt>
                <c:pt idx="1">
                  <c:v>1.6108819069894101E-2</c:v>
                </c:pt>
                <c:pt idx="2">
                  <c:v>1.5352988999999999E-2</c:v>
                </c:pt>
                <c:pt idx="3">
                  <c:v>1.6609601000000002E-2</c:v>
                </c:pt>
                <c:pt idx="4">
                  <c:v>1.6110462999999998E-2</c:v>
                </c:pt>
                <c:pt idx="5">
                  <c:v>1.6606698E-2</c:v>
                </c:pt>
                <c:pt idx="6">
                  <c:v>1.8384930000000001E-2</c:v>
                </c:pt>
              </c:numCache>
            </c:numRef>
          </c:val>
          <c:extLst>
            <c:ext xmlns:c16="http://schemas.microsoft.com/office/drawing/2014/chart" uri="{C3380CC4-5D6E-409C-BE32-E72D297353CC}">
              <c16:uniqueId val="{00000004-94CD-4803-9D2B-4A99BC6086A6}"/>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0.19248227300000001</c:v>
                </c:pt>
                <c:pt idx="1">
                  <c:v>0.20730066972661501</c:v>
                </c:pt>
                <c:pt idx="2">
                  <c:v>0.210000725</c:v>
                </c:pt>
                <c:pt idx="3">
                  <c:v>0.20503722899999999</c:v>
                </c:pt>
                <c:pt idx="4">
                  <c:v>0.201137437</c:v>
                </c:pt>
                <c:pt idx="5">
                  <c:v>0.135313666</c:v>
                </c:pt>
                <c:pt idx="6">
                  <c:v>0.111875879</c:v>
                </c:pt>
              </c:numCache>
            </c:numRef>
          </c:val>
          <c:extLst>
            <c:ext xmlns:c16="http://schemas.microsoft.com/office/drawing/2014/chart" uri="{C3380CC4-5D6E-409C-BE32-E72D297353CC}">
              <c16:uniqueId val="{00000005-94CD-4803-9D2B-4A99BC6086A6}"/>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8.1295949999999999E-3</c:v>
                </c:pt>
                <c:pt idx="1">
                  <c:v>7.8846460376151006E-3</c:v>
                </c:pt>
                <c:pt idx="2">
                  <c:v>7.4786999999999996E-3</c:v>
                </c:pt>
                <c:pt idx="3">
                  <c:v>4.7243500000000004E-3</c:v>
                </c:pt>
                <c:pt idx="4">
                  <c:v>5.3588419999999999E-3</c:v>
                </c:pt>
                <c:pt idx="5">
                  <c:v>3.5869349999999999E-3</c:v>
                </c:pt>
                <c:pt idx="6">
                  <c:v>3.529379E-3</c:v>
                </c:pt>
              </c:numCache>
            </c:numRef>
          </c:val>
          <c:extLst>
            <c:ext xmlns:c16="http://schemas.microsoft.com/office/drawing/2014/chart" uri="{C3380CC4-5D6E-409C-BE32-E72D297353CC}">
              <c16:uniqueId val="{00000006-94CD-4803-9D2B-4A99BC6086A6}"/>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1.7561014E-2</c:v>
                </c:pt>
                <c:pt idx="1">
                  <c:v>1.6144297676818999E-2</c:v>
                </c:pt>
                <c:pt idx="2">
                  <c:v>1.7316163999999998E-2</c:v>
                </c:pt>
                <c:pt idx="3">
                  <c:v>1.4109168E-2</c:v>
                </c:pt>
                <c:pt idx="4">
                  <c:v>1.3744917000000001E-2</c:v>
                </c:pt>
                <c:pt idx="5">
                  <c:v>1.5619304000000001E-2</c:v>
                </c:pt>
                <c:pt idx="6">
                  <c:v>1.613945E-2</c:v>
                </c:pt>
              </c:numCache>
            </c:numRef>
          </c:val>
          <c:extLst>
            <c:ext xmlns:c16="http://schemas.microsoft.com/office/drawing/2014/chart" uri="{C3380CC4-5D6E-409C-BE32-E72D297353CC}">
              <c16:uniqueId val="{00000007-94CD-4803-9D2B-4A99BC6086A6}"/>
            </c:ext>
          </c:extLst>
        </c:ser>
        <c:dLbls>
          <c:showLegendKey val="0"/>
          <c:showVal val="0"/>
          <c:showCatName val="0"/>
          <c:showSerName val="0"/>
          <c:showPercent val="0"/>
          <c:showBubbleSize val="0"/>
        </c:dLbls>
        <c:gapWidth val="150"/>
        <c:overlap val="100"/>
        <c:axId val="30812840"/>
        <c:axId val="83728462"/>
      </c:barChart>
      <c:catAx>
        <c:axId val="30812840"/>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Times New Roman"/>
              </a:defRPr>
            </a:pPr>
            <a:endParaRPr lang="pt-BR"/>
          </a:p>
        </c:txPr>
        <c:crossAx val="83728462"/>
        <c:crosses val="autoZero"/>
        <c:auto val="1"/>
        <c:lblAlgn val="ctr"/>
        <c:lblOffset val="100"/>
        <c:noMultiLvlLbl val="0"/>
      </c:catAx>
      <c:valAx>
        <c:axId val="83728462"/>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Times New Roman"/>
              </a:defRPr>
            </a:pPr>
            <a:endParaRPr lang="pt-BR"/>
          </a:p>
        </c:txPr>
        <c:crossAx val="30812840"/>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Times New Roman"/>
            </a:defRPr>
          </a:pPr>
          <a:endParaRPr lang="pt-BR"/>
        </a:p>
      </c:txPr>
    </c:legend>
    <c:plotVisOnly val="1"/>
    <c:dispBlanksAs val="gap"/>
    <c:showDLblsOverMax val="1"/>
  </c:chart>
  <c:spPr>
    <a:solidFill>
      <a:srgbClr val="FFFFFF"/>
    </a:solidFill>
    <a:ln w="9360">
      <a:solidFill>
        <a:srgbClr val="D9D9D9"/>
      </a:solidFill>
      <a:round/>
    </a:ln>
  </c:spPr>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0.48422759291886602</c:v>
                </c:pt>
                <c:pt idx="1">
                  <c:v>0.475108367736017</c:v>
                </c:pt>
                <c:pt idx="2">
                  <c:v>0.47241194600000003</c:v>
                </c:pt>
                <c:pt idx="3">
                  <c:v>0.47150013200000002</c:v>
                </c:pt>
                <c:pt idx="4">
                  <c:v>0.48041978573435401</c:v>
                </c:pt>
                <c:pt idx="5">
                  <c:v>0.52037446973250501</c:v>
                </c:pt>
                <c:pt idx="6">
                  <c:v>0.54763341698882395</c:v>
                </c:pt>
              </c:numCache>
            </c:numRef>
          </c:val>
          <c:extLst>
            <c:ext xmlns:c16="http://schemas.microsoft.com/office/drawing/2014/chart" uri="{C3380CC4-5D6E-409C-BE32-E72D297353CC}">
              <c16:uniqueId val="{00000000-0C6C-49A5-905E-03E05C3739D9}"/>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0.247924355580357</c:v>
                </c:pt>
                <c:pt idx="1">
                  <c:v>0.242482185017452</c:v>
                </c:pt>
                <c:pt idx="2">
                  <c:v>0.234658069</c:v>
                </c:pt>
                <c:pt idx="3">
                  <c:v>0.23248375700000001</c:v>
                </c:pt>
                <c:pt idx="4">
                  <c:v>0.22801114895617799</c:v>
                </c:pt>
                <c:pt idx="5">
                  <c:v>0.243391473496683</c:v>
                </c:pt>
                <c:pt idx="6">
                  <c:v>0.244913494344729</c:v>
                </c:pt>
              </c:numCache>
            </c:numRef>
          </c:val>
          <c:extLst>
            <c:ext xmlns:c16="http://schemas.microsoft.com/office/drawing/2014/chart" uri="{C3380CC4-5D6E-409C-BE32-E72D297353CC}">
              <c16:uniqueId val="{00000001-0C6C-49A5-905E-03E05C3739D9}"/>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6.2100869050779502E-3</c:v>
                </c:pt>
                <c:pt idx="1">
                  <c:v>6.4226166174393296E-3</c:v>
                </c:pt>
                <c:pt idx="2">
                  <c:v>6.7472490000000003E-3</c:v>
                </c:pt>
                <c:pt idx="3">
                  <c:v>6.2925250000000002E-3</c:v>
                </c:pt>
                <c:pt idx="4">
                  <c:v>6.94829090093138E-3</c:v>
                </c:pt>
                <c:pt idx="5">
                  <c:v>6.3141954535294396E-3</c:v>
                </c:pt>
                <c:pt idx="6">
                  <c:v>7.0013429370811304E-3</c:v>
                </c:pt>
              </c:numCache>
            </c:numRef>
          </c:val>
          <c:extLst>
            <c:ext xmlns:c16="http://schemas.microsoft.com/office/drawing/2014/chart" uri="{C3380CC4-5D6E-409C-BE32-E72D297353CC}">
              <c16:uniqueId val="{00000002-0C6C-49A5-905E-03E05C3739D9}"/>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1.5813117367498498E-2</c:v>
                </c:pt>
                <c:pt idx="1">
                  <c:v>1.05713936194198E-2</c:v>
                </c:pt>
                <c:pt idx="2">
                  <c:v>9.7984160000000008E-3</c:v>
                </c:pt>
                <c:pt idx="3">
                  <c:v>8.3744930000000002E-3</c:v>
                </c:pt>
                <c:pt idx="4">
                  <c:v>8.1163626584475103E-3</c:v>
                </c:pt>
                <c:pt idx="5">
                  <c:v>1.05802690441366E-2</c:v>
                </c:pt>
                <c:pt idx="6">
                  <c:v>1.05249974384939E-2</c:v>
                </c:pt>
              </c:numCache>
            </c:numRef>
          </c:val>
          <c:extLst>
            <c:ext xmlns:c16="http://schemas.microsoft.com/office/drawing/2014/chart" uri="{C3380CC4-5D6E-409C-BE32-E72D297353CC}">
              <c16:uniqueId val="{00000003-0C6C-49A5-905E-03E05C3739D9}"/>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2.10953393550318E-2</c:v>
                </c:pt>
                <c:pt idx="1">
                  <c:v>2.3404148711560799E-2</c:v>
                </c:pt>
                <c:pt idx="2">
                  <c:v>2.3253349999999999E-2</c:v>
                </c:pt>
                <c:pt idx="3">
                  <c:v>2.3457657E-2</c:v>
                </c:pt>
                <c:pt idx="4">
                  <c:v>2.38405204535737E-2</c:v>
                </c:pt>
                <c:pt idx="5">
                  <c:v>2.4455911047627499E-2</c:v>
                </c:pt>
                <c:pt idx="6">
                  <c:v>2.5514745370511401E-2</c:v>
                </c:pt>
              </c:numCache>
            </c:numRef>
          </c:val>
          <c:extLst>
            <c:ext xmlns:c16="http://schemas.microsoft.com/office/drawing/2014/chart" uri="{C3380CC4-5D6E-409C-BE32-E72D297353CC}">
              <c16:uniqueId val="{00000004-0C6C-49A5-905E-03E05C3739D9}"/>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ea typeface="Tahoma"/>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0.21215164404631601</c:v>
                </c:pt>
                <c:pt idx="1">
                  <c:v>0.231214622542325</c:v>
                </c:pt>
                <c:pt idx="2">
                  <c:v>0.24314039600000001</c:v>
                </c:pt>
                <c:pt idx="3">
                  <c:v>0.248372971</c:v>
                </c:pt>
                <c:pt idx="4">
                  <c:v>0.242065869456149</c:v>
                </c:pt>
                <c:pt idx="5">
                  <c:v>0.18396154198616499</c:v>
                </c:pt>
                <c:pt idx="6">
                  <c:v>0.154578684286968</c:v>
                </c:pt>
              </c:numCache>
            </c:numRef>
          </c:val>
          <c:extLst>
            <c:ext xmlns:c16="http://schemas.microsoft.com/office/drawing/2014/chart" uri="{C3380CC4-5D6E-409C-BE32-E72D297353CC}">
              <c16:uniqueId val="{00000005-0C6C-49A5-905E-03E05C3739D9}"/>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5.2045796392851803E-3</c:v>
                </c:pt>
                <c:pt idx="1">
                  <c:v>3.24747964718044E-3</c:v>
                </c:pt>
                <c:pt idx="2">
                  <c:v>2.5433320000000001E-3</c:v>
                </c:pt>
                <c:pt idx="3">
                  <c:v>2.6949270000000002E-3</c:v>
                </c:pt>
                <c:pt idx="4">
                  <c:v>2.0137288000740298E-3</c:v>
                </c:pt>
                <c:pt idx="5">
                  <c:v>2.0795611179330801E-3</c:v>
                </c:pt>
                <c:pt idx="6">
                  <c:v>1.53822733029182E-3</c:v>
                </c:pt>
              </c:numCache>
            </c:numRef>
          </c:val>
          <c:extLst>
            <c:ext xmlns:c16="http://schemas.microsoft.com/office/drawing/2014/chart" uri="{C3380CC4-5D6E-409C-BE32-E72D297353CC}">
              <c16:uniqueId val="{00000006-0C6C-49A5-905E-03E05C3739D9}"/>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7.3732841875674597E-3</c:v>
                </c:pt>
                <c:pt idx="1">
                  <c:v>7.5491861086052501E-3</c:v>
                </c:pt>
                <c:pt idx="2">
                  <c:v>7.4472419999999998E-3</c:v>
                </c:pt>
                <c:pt idx="3">
                  <c:v>6.823539E-3</c:v>
                </c:pt>
                <c:pt idx="4">
                  <c:v>8.5842930402921392E-3</c:v>
                </c:pt>
                <c:pt idx="5">
                  <c:v>8.8425781214204399E-3</c:v>
                </c:pt>
                <c:pt idx="6">
                  <c:v>8.2950913031000998E-3</c:v>
                </c:pt>
              </c:numCache>
            </c:numRef>
          </c:val>
          <c:extLst>
            <c:ext xmlns:c16="http://schemas.microsoft.com/office/drawing/2014/chart" uri="{C3380CC4-5D6E-409C-BE32-E72D297353CC}">
              <c16:uniqueId val="{00000007-0C6C-49A5-905E-03E05C3739D9}"/>
            </c:ext>
          </c:extLst>
        </c:ser>
        <c:dLbls>
          <c:showLegendKey val="0"/>
          <c:showVal val="0"/>
          <c:showCatName val="0"/>
          <c:showSerName val="0"/>
          <c:showPercent val="0"/>
          <c:showBubbleSize val="0"/>
        </c:dLbls>
        <c:gapWidth val="150"/>
        <c:overlap val="100"/>
        <c:axId val="61180999"/>
        <c:axId val="28614074"/>
      </c:barChart>
      <c:catAx>
        <c:axId val="61180999"/>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900" b="0" strike="noStrike" spc="-1">
                <a:solidFill>
                  <a:srgbClr val="595959"/>
                </a:solidFill>
                <a:latin typeface="Calibri Light"/>
              </a:defRPr>
            </a:pPr>
            <a:endParaRPr lang="pt-BR"/>
          </a:p>
        </c:txPr>
        <c:crossAx val="28614074"/>
        <c:crosses val="autoZero"/>
        <c:auto val="1"/>
        <c:lblAlgn val="ctr"/>
        <c:lblOffset val="100"/>
        <c:noMultiLvlLbl val="0"/>
      </c:catAx>
      <c:valAx>
        <c:axId val="28614074"/>
        <c:scaling>
          <c:orientation val="minMax"/>
          <c:max val="1"/>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900" b="0" strike="noStrike" spc="-1">
                <a:solidFill>
                  <a:srgbClr val="000000"/>
                </a:solidFill>
                <a:latin typeface="Calibri Light"/>
              </a:defRPr>
            </a:pPr>
            <a:endParaRPr lang="pt-BR"/>
          </a:p>
        </c:txPr>
        <c:crossAx val="61180999"/>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0.52102604753344295</c:v>
                </c:pt>
                <c:pt idx="1">
                  <c:v>0.506551941032509</c:v>
                </c:pt>
                <c:pt idx="2">
                  <c:v>0.50509351999999996</c:v>
                </c:pt>
                <c:pt idx="3">
                  <c:v>0.52849653200000002</c:v>
                </c:pt>
                <c:pt idx="4">
                  <c:v>0.52776304399999996</c:v>
                </c:pt>
                <c:pt idx="5">
                  <c:v>0.56962159099999998</c:v>
                </c:pt>
                <c:pt idx="6">
                  <c:v>0.57856457100000003</c:v>
                </c:pt>
              </c:numCache>
            </c:numRef>
          </c:val>
          <c:extLst>
            <c:ext xmlns:c16="http://schemas.microsoft.com/office/drawing/2014/chart" uri="{C3380CC4-5D6E-409C-BE32-E72D297353CC}">
              <c16:uniqueId val="{00000000-9987-47E9-A929-486C0708C067}"/>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0.25386383092013398</c:v>
                </c:pt>
                <c:pt idx="1">
                  <c:v>0.25384791927574801</c:v>
                </c:pt>
                <c:pt idx="2">
                  <c:v>0.24920498999999999</c:v>
                </c:pt>
                <c:pt idx="3">
                  <c:v>0.23568763000000001</c:v>
                </c:pt>
                <c:pt idx="4">
                  <c:v>0.24163056599999999</c:v>
                </c:pt>
                <c:pt idx="5">
                  <c:v>0.25932274799999999</c:v>
                </c:pt>
                <c:pt idx="6">
                  <c:v>0.263236309</c:v>
                </c:pt>
              </c:numCache>
            </c:numRef>
          </c:val>
          <c:extLst>
            <c:ext xmlns:c16="http://schemas.microsoft.com/office/drawing/2014/chart" uri="{C3380CC4-5D6E-409C-BE32-E72D297353CC}">
              <c16:uniqueId val="{00000001-9987-47E9-A929-486C0708C067}"/>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1.07005411705757E-2</c:v>
                </c:pt>
                <c:pt idx="1">
                  <c:v>1.04600759583803E-2</c:v>
                </c:pt>
                <c:pt idx="2">
                  <c:v>1.1458447E-2</c:v>
                </c:pt>
                <c:pt idx="3">
                  <c:v>9.6577720000000002E-3</c:v>
                </c:pt>
                <c:pt idx="4">
                  <c:v>1.1391426E-2</c:v>
                </c:pt>
                <c:pt idx="5">
                  <c:v>1.0572964000000001E-2</c:v>
                </c:pt>
                <c:pt idx="6">
                  <c:v>1.3271432999999999E-2</c:v>
                </c:pt>
              </c:numCache>
            </c:numRef>
          </c:val>
          <c:extLst>
            <c:ext xmlns:c16="http://schemas.microsoft.com/office/drawing/2014/chart" uri="{C3380CC4-5D6E-409C-BE32-E72D297353CC}">
              <c16:uniqueId val="{00000002-9987-47E9-A929-486C0708C067}"/>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1.5774735613397299E-3</c:v>
                </c:pt>
                <c:pt idx="1">
                  <c:v>3.6381983216883599E-4</c:v>
                </c:pt>
                <c:pt idx="2">
                  <c:v>3.10971E-4</c:v>
                </c:pt>
                <c:pt idx="3">
                  <c:v>4.7138699999999998E-4</c:v>
                </c:pt>
                <c:pt idx="4">
                  <c:v>3.81204E-4</c:v>
                </c:pt>
                <c:pt idx="5">
                  <c:v>8.6366729999999992E-3</c:v>
                </c:pt>
                <c:pt idx="6">
                  <c:v>1.0739373E-2</c:v>
                </c:pt>
              </c:numCache>
            </c:numRef>
          </c:val>
          <c:extLst>
            <c:ext xmlns:c16="http://schemas.microsoft.com/office/drawing/2014/chart" uri="{C3380CC4-5D6E-409C-BE32-E72D297353CC}">
              <c16:uniqueId val="{00000003-9987-47E9-A929-486C0708C067}"/>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2.0643068863535199E-2</c:v>
                </c:pt>
                <c:pt idx="1">
                  <c:v>2.0868513465691799E-2</c:v>
                </c:pt>
                <c:pt idx="2">
                  <c:v>2.1330600000000002E-2</c:v>
                </c:pt>
                <c:pt idx="3">
                  <c:v>1.9874526999999999E-2</c:v>
                </c:pt>
                <c:pt idx="4">
                  <c:v>1.8998293999999999E-2</c:v>
                </c:pt>
                <c:pt idx="5">
                  <c:v>2.0735123000000001E-2</c:v>
                </c:pt>
                <c:pt idx="6">
                  <c:v>2.2656299000000001E-2</c:v>
                </c:pt>
              </c:numCache>
            </c:numRef>
          </c:val>
          <c:extLst>
            <c:ext xmlns:c16="http://schemas.microsoft.com/office/drawing/2014/chart" uri="{C3380CC4-5D6E-409C-BE32-E72D297353CC}">
              <c16:uniqueId val="{00000004-9987-47E9-A929-486C0708C067}"/>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0.17526994627533299</c:v>
                </c:pt>
                <c:pt idx="1">
                  <c:v>0.192409128625077</c:v>
                </c:pt>
                <c:pt idx="2">
                  <c:v>0.196217011</c:v>
                </c:pt>
                <c:pt idx="3">
                  <c:v>0.19115158900000001</c:v>
                </c:pt>
                <c:pt idx="4">
                  <c:v>0.180767276</c:v>
                </c:pt>
                <c:pt idx="5">
                  <c:v>0.113535254</c:v>
                </c:pt>
                <c:pt idx="6">
                  <c:v>9.7263189999999999E-2</c:v>
                </c:pt>
              </c:numCache>
            </c:numRef>
          </c:val>
          <c:extLst>
            <c:ext xmlns:c16="http://schemas.microsoft.com/office/drawing/2014/chart" uri="{C3380CC4-5D6E-409C-BE32-E72D297353CC}">
              <c16:uniqueId val="{00000005-9987-47E9-A929-486C0708C067}"/>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4.8361602843127599E-3</c:v>
                </c:pt>
                <c:pt idx="1">
                  <c:v>4.9385223799607598E-3</c:v>
                </c:pt>
                <c:pt idx="2">
                  <c:v>5.4785370000000003E-3</c:v>
                </c:pt>
                <c:pt idx="3">
                  <c:v>5.1255650000000003E-3</c:v>
                </c:pt>
                <c:pt idx="4">
                  <c:v>5.3948650000000004E-3</c:v>
                </c:pt>
                <c:pt idx="5">
                  <c:v>4.9578679999999998E-3</c:v>
                </c:pt>
                <c:pt idx="6">
                  <c:v>4.4062440000000001E-3</c:v>
                </c:pt>
              </c:numCache>
            </c:numRef>
          </c:val>
          <c:extLst>
            <c:ext xmlns:c16="http://schemas.microsoft.com/office/drawing/2014/chart" uri="{C3380CC4-5D6E-409C-BE32-E72D297353CC}">
              <c16:uniqueId val="{00000006-9987-47E9-A929-486C0708C067}"/>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1.2082931391326299E-2</c:v>
                </c:pt>
                <c:pt idx="1">
                  <c:v>1.05600794304635E-2</c:v>
                </c:pt>
                <c:pt idx="2">
                  <c:v>1.0905925E-2</c:v>
                </c:pt>
                <c:pt idx="3">
                  <c:v>9.5349969999999999E-3</c:v>
                </c:pt>
                <c:pt idx="4">
                  <c:v>1.3673324000000001E-2</c:v>
                </c:pt>
                <c:pt idx="5">
                  <c:v>1.261778E-2</c:v>
                </c:pt>
                <c:pt idx="6">
                  <c:v>9.8625799999999993E-3</c:v>
                </c:pt>
              </c:numCache>
            </c:numRef>
          </c:val>
          <c:extLst>
            <c:ext xmlns:c16="http://schemas.microsoft.com/office/drawing/2014/chart" uri="{C3380CC4-5D6E-409C-BE32-E72D297353CC}">
              <c16:uniqueId val="{00000007-9987-47E9-A929-486C0708C067}"/>
            </c:ext>
          </c:extLst>
        </c:ser>
        <c:dLbls>
          <c:showLegendKey val="0"/>
          <c:showVal val="0"/>
          <c:showCatName val="0"/>
          <c:showSerName val="0"/>
          <c:showPercent val="0"/>
          <c:showBubbleSize val="0"/>
        </c:dLbls>
        <c:gapWidth val="150"/>
        <c:overlap val="100"/>
        <c:axId val="71127816"/>
        <c:axId val="95770039"/>
      </c:barChart>
      <c:catAx>
        <c:axId val="71127816"/>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Calibri Light"/>
              </a:defRPr>
            </a:pPr>
            <a:endParaRPr lang="pt-BR"/>
          </a:p>
        </c:txPr>
        <c:crossAx val="95770039"/>
        <c:crosses val="autoZero"/>
        <c:auto val="1"/>
        <c:lblAlgn val="ctr"/>
        <c:lblOffset val="100"/>
        <c:noMultiLvlLbl val="0"/>
      </c:catAx>
      <c:valAx>
        <c:axId val="95770039"/>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Times New Roman"/>
              </a:defRPr>
            </a:pPr>
            <a:endParaRPr lang="pt-BR"/>
          </a:p>
        </c:txPr>
        <c:crossAx val="71127816"/>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0.53174266832628403</c:v>
                </c:pt>
                <c:pt idx="1">
                  <c:v>0.51018323210684802</c:v>
                </c:pt>
                <c:pt idx="2">
                  <c:v>0.52857836258313196</c:v>
                </c:pt>
                <c:pt idx="3">
                  <c:v>0.54354461099999996</c:v>
                </c:pt>
                <c:pt idx="4">
                  <c:v>0.54578468099999999</c:v>
                </c:pt>
                <c:pt idx="5">
                  <c:v>0.57148937300000002</c:v>
                </c:pt>
                <c:pt idx="6">
                  <c:v>0.58609586899999999</c:v>
                </c:pt>
              </c:numCache>
            </c:numRef>
          </c:val>
          <c:extLst>
            <c:ext xmlns:c16="http://schemas.microsoft.com/office/drawing/2014/chart" uri="{C3380CC4-5D6E-409C-BE32-E72D297353CC}">
              <c16:uniqueId val="{00000000-8FA9-472C-9621-ECDA3B3EB3F6}"/>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0.23671114290178699</c:v>
                </c:pt>
                <c:pt idx="1">
                  <c:v>0.25125334186855403</c:v>
                </c:pt>
                <c:pt idx="2">
                  <c:v>0.23941131560533199</c:v>
                </c:pt>
                <c:pt idx="3">
                  <c:v>0.22697761399999999</c:v>
                </c:pt>
                <c:pt idx="4">
                  <c:v>0.22868983600000001</c:v>
                </c:pt>
                <c:pt idx="5">
                  <c:v>0.25231694999999998</c:v>
                </c:pt>
                <c:pt idx="6">
                  <c:v>0.25384341599999999</c:v>
                </c:pt>
              </c:numCache>
            </c:numRef>
          </c:val>
          <c:extLst>
            <c:ext xmlns:c16="http://schemas.microsoft.com/office/drawing/2014/chart" uri="{C3380CC4-5D6E-409C-BE32-E72D297353CC}">
              <c16:uniqueId val="{00000001-8FA9-472C-9621-ECDA3B3EB3F6}"/>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1.0011482234401301E-2</c:v>
                </c:pt>
                <c:pt idx="1">
                  <c:v>8.2627027623452896E-3</c:v>
                </c:pt>
                <c:pt idx="2">
                  <c:v>7.8128215362298793E-3</c:v>
                </c:pt>
                <c:pt idx="3">
                  <c:v>8.1819430000000005E-3</c:v>
                </c:pt>
                <c:pt idx="4">
                  <c:v>7.0146499999999999E-3</c:v>
                </c:pt>
                <c:pt idx="5">
                  <c:v>7.8751050000000003E-3</c:v>
                </c:pt>
                <c:pt idx="6">
                  <c:v>8.3713260000000001E-3</c:v>
                </c:pt>
              </c:numCache>
            </c:numRef>
          </c:val>
          <c:extLst>
            <c:ext xmlns:c16="http://schemas.microsoft.com/office/drawing/2014/chart" uri="{C3380CC4-5D6E-409C-BE32-E72D297353CC}">
              <c16:uniqueId val="{00000002-8FA9-472C-9621-ECDA3B3EB3F6}"/>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1.0925860903537501E-2</c:v>
                </c:pt>
                <c:pt idx="1">
                  <c:v>5.3022168607578897E-3</c:v>
                </c:pt>
                <c:pt idx="2">
                  <c:v>4.23254739933297E-3</c:v>
                </c:pt>
                <c:pt idx="3">
                  <c:v>4.4621829999999998E-3</c:v>
                </c:pt>
                <c:pt idx="4">
                  <c:v>3.9557129999999996E-3</c:v>
                </c:pt>
                <c:pt idx="5">
                  <c:v>8.9091250000000004E-3</c:v>
                </c:pt>
                <c:pt idx="6">
                  <c:v>1.2318058E-2</c:v>
                </c:pt>
              </c:numCache>
            </c:numRef>
          </c:val>
          <c:extLst>
            <c:ext xmlns:c16="http://schemas.microsoft.com/office/drawing/2014/chart" uri="{C3380CC4-5D6E-409C-BE32-E72D297353CC}">
              <c16:uniqueId val="{00000003-8FA9-472C-9621-ECDA3B3EB3F6}"/>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1.4546482642516101E-2</c:v>
                </c:pt>
                <c:pt idx="1">
                  <c:v>1.6384484495196201E-2</c:v>
                </c:pt>
                <c:pt idx="2">
                  <c:v>1.6487381931383601E-2</c:v>
                </c:pt>
                <c:pt idx="3">
                  <c:v>1.6252695000000001E-2</c:v>
                </c:pt>
                <c:pt idx="4">
                  <c:v>1.7405555999999999E-2</c:v>
                </c:pt>
                <c:pt idx="5">
                  <c:v>2.0148896999999999E-2</c:v>
                </c:pt>
                <c:pt idx="6">
                  <c:v>2.1480935999999999E-2</c:v>
                </c:pt>
              </c:numCache>
            </c:numRef>
          </c:val>
          <c:extLst>
            <c:ext xmlns:c16="http://schemas.microsoft.com/office/drawing/2014/chart" uri="{C3380CC4-5D6E-409C-BE32-E72D297353CC}">
              <c16:uniqueId val="{00000004-8FA9-472C-9621-ECDA3B3EB3F6}"/>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0.17508915741974801</c:v>
                </c:pt>
                <c:pt idx="1">
                  <c:v>0.18957738186859199</c:v>
                </c:pt>
                <c:pt idx="2">
                  <c:v>0.18489482787452099</c:v>
                </c:pt>
                <c:pt idx="3">
                  <c:v>0.18259083400000001</c:v>
                </c:pt>
                <c:pt idx="4">
                  <c:v>0.17758217900000001</c:v>
                </c:pt>
                <c:pt idx="5">
                  <c:v>0.120121462</c:v>
                </c:pt>
                <c:pt idx="6">
                  <c:v>9.7929189E-2</c:v>
                </c:pt>
              </c:numCache>
            </c:numRef>
          </c:val>
          <c:extLst>
            <c:ext xmlns:c16="http://schemas.microsoft.com/office/drawing/2014/chart" uri="{C3380CC4-5D6E-409C-BE32-E72D297353CC}">
              <c16:uniqueId val="{00000005-8FA9-472C-9621-ECDA3B3EB3F6}"/>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7.3802402859876604E-3</c:v>
                </c:pt>
                <c:pt idx="1">
                  <c:v>5.1313056914136703E-3</c:v>
                </c:pt>
                <c:pt idx="2">
                  <c:v>6.4058756677515599E-3</c:v>
                </c:pt>
                <c:pt idx="3">
                  <c:v>5.717939E-3</c:v>
                </c:pt>
                <c:pt idx="4">
                  <c:v>5.9823970000000004E-3</c:v>
                </c:pt>
                <c:pt idx="5">
                  <c:v>4.8378249999999996E-3</c:v>
                </c:pt>
                <c:pt idx="6">
                  <c:v>4.2764869999999998E-3</c:v>
                </c:pt>
              </c:numCache>
            </c:numRef>
          </c:val>
          <c:extLst>
            <c:ext xmlns:c16="http://schemas.microsoft.com/office/drawing/2014/chart" uri="{C3380CC4-5D6E-409C-BE32-E72D297353CC}">
              <c16:uniqueId val="{00000006-8FA9-472C-9621-ECDA3B3EB3F6}"/>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1.3592965285738799E-2</c:v>
                </c:pt>
                <c:pt idx="1">
                  <c:v>1.39053343462931E-2</c:v>
                </c:pt>
                <c:pt idx="2">
                  <c:v>1.2176867402317101E-2</c:v>
                </c:pt>
                <c:pt idx="3">
                  <c:v>1.2272180000000001E-2</c:v>
                </c:pt>
                <c:pt idx="4">
                  <c:v>1.3584987999999999E-2</c:v>
                </c:pt>
                <c:pt idx="5">
                  <c:v>1.4301263E-2</c:v>
                </c:pt>
                <c:pt idx="6">
                  <c:v>1.5684718E-2</c:v>
                </c:pt>
              </c:numCache>
            </c:numRef>
          </c:val>
          <c:extLst>
            <c:ext xmlns:c16="http://schemas.microsoft.com/office/drawing/2014/chart" uri="{C3380CC4-5D6E-409C-BE32-E72D297353CC}">
              <c16:uniqueId val="{00000007-8FA9-472C-9621-ECDA3B3EB3F6}"/>
            </c:ext>
          </c:extLst>
        </c:ser>
        <c:dLbls>
          <c:showLegendKey val="0"/>
          <c:showVal val="0"/>
          <c:showCatName val="0"/>
          <c:showSerName val="0"/>
          <c:showPercent val="0"/>
          <c:showBubbleSize val="0"/>
        </c:dLbls>
        <c:gapWidth val="150"/>
        <c:overlap val="100"/>
        <c:axId val="22827139"/>
        <c:axId val="37541175"/>
      </c:barChart>
      <c:catAx>
        <c:axId val="22827139"/>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595959"/>
                </a:solidFill>
                <a:latin typeface="Calibri Light"/>
              </a:defRPr>
            </a:pPr>
            <a:endParaRPr lang="pt-BR"/>
          </a:p>
        </c:txPr>
        <c:crossAx val="37541175"/>
        <c:crosses val="autoZero"/>
        <c:auto val="1"/>
        <c:lblAlgn val="ctr"/>
        <c:lblOffset val="100"/>
        <c:noMultiLvlLbl val="0"/>
      </c:catAx>
      <c:valAx>
        <c:axId val="37541175"/>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Light"/>
              </a:defRPr>
            </a:pPr>
            <a:endParaRPr lang="pt-BR"/>
          </a:p>
        </c:txPr>
        <c:crossAx val="22827139"/>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t-BR"/>
  <c:roundedCorners val="0"/>
  <c:style val="2"/>
  <c:chart>
    <c:autoTitleDeleted val="1"/>
    <c:plotArea>
      <c:layout/>
      <c:barChart>
        <c:barDir val="col"/>
        <c:grouping val="percentStacked"/>
        <c:varyColors val="0"/>
        <c:ser>
          <c:idx val="0"/>
          <c:order val="0"/>
          <c:tx>
            <c:strRef>
              <c:f>label 0</c:f>
              <c:strCache>
                <c:ptCount val="1"/>
                <c:pt idx="0">
                  <c:v>Todos os trabalhos</c:v>
                </c:pt>
              </c:strCache>
            </c:strRef>
          </c:tx>
          <c:spPr>
            <a:solidFill>
              <a:srgbClr val="4472C4"/>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0</c:f>
              <c:numCache>
                <c:formatCode>General</c:formatCode>
                <c:ptCount val="7"/>
                <c:pt idx="0">
                  <c:v>0.53737758102569699</c:v>
                </c:pt>
                <c:pt idx="1">
                  <c:v>0.52943613835522096</c:v>
                </c:pt>
                <c:pt idx="2">
                  <c:v>0.56400146399999995</c:v>
                </c:pt>
                <c:pt idx="3">
                  <c:v>0.56309155200000005</c:v>
                </c:pt>
                <c:pt idx="4">
                  <c:v>0.56070310999999995</c:v>
                </c:pt>
                <c:pt idx="5">
                  <c:v>0.60614460199999998</c:v>
                </c:pt>
                <c:pt idx="6">
                  <c:v>0.61659709500000004</c:v>
                </c:pt>
              </c:numCache>
            </c:numRef>
          </c:val>
          <c:extLst>
            <c:ext xmlns:c16="http://schemas.microsoft.com/office/drawing/2014/chart" uri="{C3380CC4-5D6E-409C-BE32-E72D297353CC}">
              <c16:uniqueId val="{00000000-8774-47A4-BA56-94E0D8E14AE2}"/>
            </c:ext>
          </c:extLst>
        </c:ser>
        <c:ser>
          <c:idx val="1"/>
          <c:order val="1"/>
          <c:tx>
            <c:strRef>
              <c:f>label 1</c:f>
              <c:strCache>
                <c:ptCount val="1"/>
                <c:pt idx="0">
                  <c:v>Aposentadorias e pensões</c:v>
                </c:pt>
              </c:strCache>
            </c:strRef>
          </c:tx>
          <c:spPr>
            <a:solidFill>
              <a:srgbClr val="ED7D31"/>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1</c:f>
              <c:numCache>
                <c:formatCode>General</c:formatCode>
                <c:ptCount val="7"/>
                <c:pt idx="0">
                  <c:v>0.26267307313940602</c:v>
                </c:pt>
                <c:pt idx="1">
                  <c:v>0.25923667816556101</c:v>
                </c:pt>
                <c:pt idx="2">
                  <c:v>0.22745096000000001</c:v>
                </c:pt>
                <c:pt idx="3">
                  <c:v>0.23315350300000001</c:v>
                </c:pt>
                <c:pt idx="4">
                  <c:v>0.23822959699999999</c:v>
                </c:pt>
                <c:pt idx="5">
                  <c:v>0.24259967499999999</c:v>
                </c:pt>
                <c:pt idx="6">
                  <c:v>0.248583569</c:v>
                </c:pt>
              </c:numCache>
            </c:numRef>
          </c:val>
          <c:extLst>
            <c:ext xmlns:c16="http://schemas.microsoft.com/office/drawing/2014/chart" uri="{C3380CC4-5D6E-409C-BE32-E72D297353CC}">
              <c16:uniqueId val="{00000001-8774-47A4-BA56-94E0D8E14AE2}"/>
            </c:ext>
          </c:extLst>
        </c:ser>
        <c:ser>
          <c:idx val="2"/>
          <c:order val="2"/>
          <c:tx>
            <c:strRef>
              <c:f>label 2</c:f>
              <c:strCache>
                <c:ptCount val="1"/>
                <c:pt idx="0">
                  <c:v>Doação, pensão alimentícia ou mesada</c:v>
                </c:pt>
              </c:strCache>
            </c:strRef>
          </c:tx>
          <c:spPr>
            <a:solidFill>
              <a:srgbClr val="A5A5A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2</c:f>
              <c:numCache>
                <c:formatCode>General</c:formatCode>
                <c:ptCount val="7"/>
                <c:pt idx="0">
                  <c:v>1.23460363356531E-2</c:v>
                </c:pt>
                <c:pt idx="1">
                  <c:v>1.13089494882788E-2</c:v>
                </c:pt>
                <c:pt idx="2">
                  <c:v>1.1719125E-2</c:v>
                </c:pt>
                <c:pt idx="3">
                  <c:v>1.0172649000000001E-2</c:v>
                </c:pt>
                <c:pt idx="4">
                  <c:v>9.8005990000000001E-3</c:v>
                </c:pt>
                <c:pt idx="5">
                  <c:v>1.0205006000000001E-2</c:v>
                </c:pt>
                <c:pt idx="6">
                  <c:v>1.0200571E-2</c:v>
                </c:pt>
              </c:numCache>
            </c:numRef>
          </c:val>
          <c:extLst>
            <c:ext xmlns:c16="http://schemas.microsoft.com/office/drawing/2014/chart" uri="{C3380CC4-5D6E-409C-BE32-E72D297353CC}">
              <c16:uniqueId val="{00000002-8774-47A4-BA56-94E0D8E14AE2}"/>
            </c:ext>
          </c:extLst>
        </c:ser>
        <c:ser>
          <c:idx val="3"/>
          <c:order val="3"/>
          <c:tx>
            <c:strRef>
              <c:f>label 3</c:f>
              <c:strCache>
                <c:ptCount val="1"/>
                <c:pt idx="0">
                  <c:v>Bolsa Família</c:v>
                </c:pt>
              </c:strCache>
            </c:strRef>
          </c:tx>
          <c:spPr>
            <a:solidFill>
              <a:srgbClr val="FFC000"/>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3</c:f>
              <c:numCache>
                <c:formatCode>General</c:formatCode>
                <c:ptCount val="7"/>
                <c:pt idx="0">
                  <c:v>2.7951084718361801E-3</c:v>
                </c:pt>
                <c:pt idx="1">
                  <c:v>1.88973586332624E-3</c:v>
                </c:pt>
                <c:pt idx="2">
                  <c:v>1.575262E-3</c:v>
                </c:pt>
                <c:pt idx="3">
                  <c:v>1.07102E-3</c:v>
                </c:pt>
                <c:pt idx="4">
                  <c:v>9.2503599999999996E-4</c:v>
                </c:pt>
                <c:pt idx="5">
                  <c:v>4.2501320000000002E-3</c:v>
                </c:pt>
                <c:pt idx="6">
                  <c:v>4.7532490000000002E-3</c:v>
                </c:pt>
              </c:numCache>
            </c:numRef>
          </c:val>
          <c:extLst>
            <c:ext xmlns:c16="http://schemas.microsoft.com/office/drawing/2014/chart" uri="{C3380CC4-5D6E-409C-BE32-E72D297353CC}">
              <c16:uniqueId val="{00000003-8774-47A4-BA56-94E0D8E14AE2}"/>
            </c:ext>
          </c:extLst>
        </c:ser>
        <c:ser>
          <c:idx val="4"/>
          <c:order val="4"/>
          <c:tx>
            <c:strRef>
              <c:f>label 4</c:f>
              <c:strCache>
                <c:ptCount val="1"/>
                <c:pt idx="0">
                  <c:v>BPC-LOAS</c:v>
                </c:pt>
              </c:strCache>
            </c:strRef>
          </c:tx>
          <c:spPr>
            <a:solidFill>
              <a:srgbClr val="5B9BD5"/>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4</c:f>
              <c:numCache>
                <c:formatCode>General</c:formatCode>
                <c:ptCount val="7"/>
                <c:pt idx="0">
                  <c:v>1.26249522827377E-2</c:v>
                </c:pt>
                <c:pt idx="1">
                  <c:v>1.33385846212433E-2</c:v>
                </c:pt>
                <c:pt idx="2">
                  <c:v>1.5898181000000001E-2</c:v>
                </c:pt>
                <c:pt idx="3">
                  <c:v>1.5500951000000001E-2</c:v>
                </c:pt>
                <c:pt idx="4">
                  <c:v>1.7286574999999998E-2</c:v>
                </c:pt>
                <c:pt idx="5">
                  <c:v>1.8055999999999999E-2</c:v>
                </c:pt>
                <c:pt idx="6">
                  <c:v>1.8577811999999999E-2</c:v>
                </c:pt>
              </c:numCache>
            </c:numRef>
          </c:val>
          <c:extLst>
            <c:ext xmlns:c16="http://schemas.microsoft.com/office/drawing/2014/chart" uri="{C3380CC4-5D6E-409C-BE32-E72D297353CC}">
              <c16:uniqueId val="{00000004-8774-47A4-BA56-94E0D8E14AE2}"/>
            </c:ext>
          </c:extLst>
        </c:ser>
        <c:ser>
          <c:idx val="5"/>
          <c:order val="5"/>
          <c:tx>
            <c:strRef>
              <c:f>label 5</c:f>
              <c:strCache>
                <c:ptCount val="1"/>
                <c:pt idx="0">
                  <c:v>Auxílio Emergencial</c:v>
                </c:pt>
              </c:strCache>
            </c:strRef>
          </c:tx>
          <c:spPr>
            <a:solidFill>
              <a:srgbClr val="70AD47"/>
            </a:solidFill>
            <a:ln>
              <a:noFill/>
            </a:ln>
          </c:spPr>
          <c:invertIfNegative val="0"/>
          <c:dLbls>
            <c:numFmt formatCode="0.0%" sourceLinked="0"/>
            <c:spPr>
              <a:noFill/>
              <a:ln>
                <a:noFill/>
              </a:ln>
              <a:effectLst/>
            </c:spPr>
            <c:txPr>
              <a:bodyPr/>
              <a:lstStyle/>
              <a:p>
                <a:pPr>
                  <a:defRPr sz="800" b="0" strike="noStrike" spc="-1">
                    <a:solidFill>
                      <a:srgbClr val="000000"/>
                    </a:solidFill>
                    <a:latin typeface="Calibri Light"/>
                  </a:defRPr>
                </a:pPr>
                <a:endParaRPr lang="pt-BR"/>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5</c:f>
              <c:numCache>
                <c:formatCode>General</c:formatCode>
                <c:ptCount val="7"/>
                <c:pt idx="0">
                  <c:v>0.154316917698053</c:v>
                </c:pt>
                <c:pt idx="1">
                  <c:v>0.16579803762692299</c:v>
                </c:pt>
                <c:pt idx="2">
                  <c:v>0.16069649499999999</c:v>
                </c:pt>
                <c:pt idx="3">
                  <c:v>0.16238186900000001</c:v>
                </c:pt>
                <c:pt idx="4">
                  <c:v>0.15717361899999999</c:v>
                </c:pt>
                <c:pt idx="5">
                  <c:v>0.10397229400000001</c:v>
                </c:pt>
                <c:pt idx="6">
                  <c:v>8.5555908999999999E-2</c:v>
                </c:pt>
              </c:numCache>
            </c:numRef>
          </c:val>
          <c:extLst>
            <c:ext xmlns:c16="http://schemas.microsoft.com/office/drawing/2014/chart" uri="{C3380CC4-5D6E-409C-BE32-E72D297353CC}">
              <c16:uniqueId val="{00000005-8774-47A4-BA56-94E0D8E14AE2}"/>
            </c:ext>
          </c:extLst>
        </c:ser>
        <c:ser>
          <c:idx val="6"/>
          <c:order val="6"/>
          <c:tx>
            <c:strRef>
              <c:f>label 6</c:f>
              <c:strCache>
                <c:ptCount val="1"/>
                <c:pt idx="0">
                  <c:v>Seguro-desemprego</c:v>
                </c:pt>
              </c:strCache>
            </c:strRef>
          </c:tx>
          <c:spPr>
            <a:solidFill>
              <a:srgbClr val="264478"/>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6</c:f>
              <c:numCache>
                <c:formatCode>General</c:formatCode>
                <c:ptCount val="7"/>
                <c:pt idx="0">
                  <c:v>6.1308534057157001E-3</c:v>
                </c:pt>
                <c:pt idx="1">
                  <c:v>6.4589946712913203E-3</c:v>
                </c:pt>
                <c:pt idx="2">
                  <c:v>6.1979360000000002E-3</c:v>
                </c:pt>
                <c:pt idx="3">
                  <c:v>6.0228260000000002E-3</c:v>
                </c:pt>
                <c:pt idx="4">
                  <c:v>5.0830670000000001E-3</c:v>
                </c:pt>
                <c:pt idx="5">
                  <c:v>4.5023570000000002E-3</c:v>
                </c:pt>
                <c:pt idx="6">
                  <c:v>4.603345E-3</c:v>
                </c:pt>
              </c:numCache>
            </c:numRef>
          </c:val>
          <c:extLst>
            <c:ext xmlns:c16="http://schemas.microsoft.com/office/drawing/2014/chart" uri="{C3380CC4-5D6E-409C-BE32-E72D297353CC}">
              <c16:uniqueId val="{00000006-8774-47A4-BA56-94E0D8E14AE2}"/>
            </c:ext>
          </c:extLst>
        </c:ser>
        <c:ser>
          <c:idx val="7"/>
          <c:order val="7"/>
          <c:tx>
            <c:strRef>
              <c:f>label 7</c:f>
              <c:strCache>
                <c:ptCount val="1"/>
                <c:pt idx="0">
                  <c:v>Aluguel, arrendamento, aplicações financeiras etc</c:v>
                </c:pt>
              </c:strCache>
            </c:strRef>
          </c:tx>
          <c:spPr>
            <a:solidFill>
              <a:srgbClr val="9E480E"/>
            </a:solidFill>
            <a:ln>
              <a:noFill/>
            </a:ln>
          </c:spPr>
          <c:invertIfNegative val="0"/>
          <c:dLbls>
            <c:spPr>
              <a:noFill/>
              <a:ln>
                <a:noFill/>
              </a:ln>
              <a:effectLst/>
            </c:spPr>
            <c:txPr>
              <a:bodyPr/>
              <a:lstStyle/>
              <a:p>
                <a:pPr>
                  <a:defRPr sz="1000" b="0" strike="noStrike" spc="-1">
                    <a:solidFill>
                      <a:srgbClr val="000000"/>
                    </a:solidFill>
                    <a:latin typeface="Arial"/>
                  </a:defRPr>
                </a:pPr>
                <a:endParaRPr lang="pt-BR"/>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mai/20</c:v>
                </c:pt>
                <c:pt idx="1">
                  <c:v>jun/20</c:v>
                </c:pt>
                <c:pt idx="2">
                  <c:v>jul/20</c:v>
                </c:pt>
                <c:pt idx="3">
                  <c:v>ago/20</c:v>
                </c:pt>
                <c:pt idx="4">
                  <c:v>set/20</c:v>
                </c:pt>
                <c:pt idx="5">
                  <c:v>out/20</c:v>
                </c:pt>
                <c:pt idx="6">
                  <c:v>nov/20</c:v>
                </c:pt>
              </c:strCache>
            </c:strRef>
          </c:cat>
          <c:val>
            <c:numRef>
              <c:f>7</c:f>
              <c:numCache>
                <c:formatCode>General</c:formatCode>
                <c:ptCount val="7"/>
                <c:pt idx="0">
                  <c:v>1.1735477640900899E-2</c:v>
                </c:pt>
                <c:pt idx="1">
                  <c:v>1.25328812081563E-2</c:v>
                </c:pt>
                <c:pt idx="2">
                  <c:v>1.2460577E-2</c:v>
                </c:pt>
                <c:pt idx="3">
                  <c:v>8.6056290000000001E-3</c:v>
                </c:pt>
                <c:pt idx="4">
                  <c:v>1.0798395000000001E-2</c:v>
                </c:pt>
                <c:pt idx="5">
                  <c:v>1.0269933E-2</c:v>
                </c:pt>
                <c:pt idx="6">
                  <c:v>1.112845E-2</c:v>
                </c:pt>
              </c:numCache>
            </c:numRef>
          </c:val>
          <c:extLst>
            <c:ext xmlns:c16="http://schemas.microsoft.com/office/drawing/2014/chart" uri="{C3380CC4-5D6E-409C-BE32-E72D297353CC}">
              <c16:uniqueId val="{00000007-8774-47A4-BA56-94E0D8E14AE2}"/>
            </c:ext>
          </c:extLst>
        </c:ser>
        <c:dLbls>
          <c:showLegendKey val="0"/>
          <c:showVal val="0"/>
          <c:showCatName val="0"/>
          <c:showSerName val="0"/>
          <c:showPercent val="0"/>
          <c:showBubbleSize val="0"/>
        </c:dLbls>
        <c:gapWidth val="150"/>
        <c:overlap val="100"/>
        <c:axId val="58455404"/>
        <c:axId val="21642935"/>
      </c:barChart>
      <c:catAx>
        <c:axId val="58455404"/>
        <c:scaling>
          <c:orientation val="minMax"/>
        </c:scaling>
        <c:delete val="0"/>
        <c:axPos val="b"/>
        <c:numFmt formatCode="General" sourceLinked="1"/>
        <c:majorTickMark val="none"/>
        <c:minorTickMark val="none"/>
        <c:tickLblPos val="nextTo"/>
        <c:spPr>
          <a:ln w="9360">
            <a:solidFill>
              <a:srgbClr val="D9D9D9"/>
            </a:solidFill>
            <a:round/>
          </a:ln>
        </c:spPr>
        <c:txPr>
          <a:bodyPr/>
          <a:lstStyle/>
          <a:p>
            <a:pPr>
              <a:defRPr sz="800" b="0" strike="noStrike" spc="-1">
                <a:solidFill>
                  <a:srgbClr val="000000"/>
                </a:solidFill>
                <a:latin typeface="Calibri Light"/>
              </a:defRPr>
            </a:pPr>
            <a:endParaRPr lang="pt-BR"/>
          </a:p>
        </c:txPr>
        <c:crossAx val="21642935"/>
        <c:crosses val="autoZero"/>
        <c:auto val="1"/>
        <c:lblAlgn val="ctr"/>
        <c:lblOffset val="100"/>
        <c:noMultiLvlLbl val="0"/>
      </c:catAx>
      <c:valAx>
        <c:axId val="21642935"/>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6480">
            <a:noFill/>
          </a:ln>
        </c:spPr>
        <c:txPr>
          <a:bodyPr/>
          <a:lstStyle/>
          <a:p>
            <a:pPr>
              <a:defRPr sz="800" b="0" strike="noStrike" spc="-1">
                <a:solidFill>
                  <a:srgbClr val="000000"/>
                </a:solidFill>
                <a:latin typeface="Calibri Light"/>
              </a:defRPr>
            </a:pPr>
            <a:endParaRPr lang="pt-BR"/>
          </a:p>
        </c:txPr>
        <c:crossAx val="58455404"/>
        <c:crosses val="autoZero"/>
        <c:crossBetween val="between"/>
      </c:valAx>
      <c:spPr>
        <a:noFill/>
        <a:ln>
          <a:noFill/>
        </a:ln>
      </c:spPr>
    </c:plotArea>
    <c:legend>
      <c:legendPos val="b"/>
      <c:overlay val="0"/>
      <c:spPr>
        <a:noFill/>
        <a:ln>
          <a:noFill/>
        </a:ln>
      </c:spPr>
      <c:txPr>
        <a:bodyPr/>
        <a:lstStyle/>
        <a:p>
          <a:pPr>
            <a:defRPr sz="800" b="0" strike="noStrike" spc="-1">
              <a:solidFill>
                <a:srgbClr val="000000"/>
              </a:solidFill>
              <a:latin typeface="Calibri Light"/>
            </a:defRPr>
          </a:pPr>
          <a:endParaRPr lang="pt-BR"/>
        </a:p>
      </c:txPr>
    </c:legend>
    <c:plotVisOnly val="1"/>
    <c:dispBlanksAs val="gap"/>
    <c:showDLblsOverMax val="1"/>
  </c:chart>
  <c:spPr>
    <a:solidFill>
      <a:srgbClr val="FFFFFF"/>
    </a:solidFill>
    <a:ln w="9360">
      <a:solidFill>
        <a:srgbClr val="D9D9D9"/>
      </a:solidFill>
      <a:round/>
    </a:ln>
  </c:spPr>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25</Pages>
  <Words>6880</Words>
  <Characters>37158</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DELL-PC</dc:creator>
  <dc:description/>
  <cp:lastModifiedBy>Joana Silva</cp:lastModifiedBy>
  <cp:revision>11</cp:revision>
  <dcterms:created xsi:type="dcterms:W3CDTF">2022-08-15T22:36:00Z</dcterms:created>
  <dcterms:modified xsi:type="dcterms:W3CDTF">2022-08-15T22:47:00Z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F823C2174BA04F349E8757594F333FDC</vt:lpwstr>
  </property>
  <property fmtid="{D5CDD505-2E9C-101B-9397-08002B2CF9AE}" pid="6" name="KSOProductBuildVer">
    <vt:lpwstr>1046-11.2.0.11130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