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szCs w:val="28"/>
        </w:rPr>
      </w:pPr>
      <w:bookmarkStart w:id="1" w:name="_GoBack"/>
      <w:bookmarkEnd w:id="1"/>
      <w:r>
        <w:rPr>
          <w:rFonts w:ascii="Times New Roman" w:hAnsi="Times New Roman" w:cs="Times New Roman"/>
          <w:b/>
          <w:bCs/>
          <w:sz w:val="24"/>
          <w:szCs w:val="28"/>
        </w:rPr>
        <w:t>PERSPECTIVAS GENEALÓGICAS PARA UMA EPISTEMOLOGIA POLÍTICA DO DESENVOLVIMENTO: UMA DISCUSSÃO DE FILOSOFIA POLÍTICA.</w:t>
      </w:r>
    </w:p>
    <w:p>
      <w:pPr>
        <w:pStyle w:val="8"/>
        <w:jc w:val="both"/>
        <w:rPr>
          <w:rFonts w:ascii="Times New Roman" w:hAnsi="Times New Roman"/>
          <w:b w:val="0"/>
          <w:sz w:val="22"/>
          <w:szCs w:val="22"/>
        </w:rPr>
      </w:pPr>
      <w:r>
        <w:rPr>
          <w:rFonts w:ascii="Times New Roman" w:hAnsi="Times New Roman"/>
          <w:b/>
          <w:bCs/>
          <w:sz w:val="22"/>
          <w:szCs w:val="22"/>
          <w:lang w:val="pt-BR"/>
        </w:rPr>
        <w:t>RESUMO:</w:t>
      </w:r>
      <w:r>
        <w:rPr>
          <w:rFonts w:ascii="Times New Roman" w:hAnsi="Times New Roman"/>
          <w:b w:val="0"/>
          <w:sz w:val="22"/>
          <w:szCs w:val="22"/>
          <w:lang w:val="pt-BR"/>
        </w:rPr>
        <w:t xml:space="preserve"> Pensar o desenvolvimento sob uma perspectiva genealógica se fez exercício no presente artigo. </w:t>
      </w:r>
      <w:r>
        <w:rPr>
          <w:rFonts w:ascii="Times New Roman" w:hAnsi="Times New Roman"/>
          <w:b w:val="0"/>
          <w:sz w:val="22"/>
          <w:szCs w:val="22"/>
        </w:rPr>
        <w:t xml:space="preserve">O intuito é apoiar entendimento do fazer científico a partir da análise das acepções adquiridas pelo termo ao longo do tempo, sempre vinculado a uma dinâmica de movimento que parte de um determinado ponto e chega a outro, frequentemente tido como superior. Considerando estes usos se problematizou que a partir do viés eminentemente evolutivo, por vezes ideológico e violento considerou-se que este modo de reflexão pode negar fundamentos do pensamento científico relevantes, como a perspectiva histórica. Para tanto foram questionados os sentidos do pensar filosófico e sua relação com considerações acerca do desenvolvimento e utilizadas contribuições sobre genealogia de Nietzsche, Agambem e Foucault. Por fim foram elencadas abordagens para dar suporte às reflexões epistemológicas sobre o entendimento do desenvolvimento como ciência. </w:t>
      </w:r>
    </w:p>
    <w:p>
      <w:pPr>
        <w:spacing w:before="0" w:after="0" w:line="240" w:lineRule="auto"/>
        <w:jc w:val="both"/>
        <w:rPr>
          <w:rFonts w:ascii="Times New Roman" w:hAnsi="Times New Roman" w:cs="Times New Roman"/>
        </w:rPr>
      </w:pPr>
    </w:p>
    <w:p>
      <w:pPr>
        <w:spacing w:before="0" w:after="0" w:line="240" w:lineRule="auto"/>
        <w:jc w:val="both"/>
        <w:rPr>
          <w:rFonts w:ascii="Times New Roman" w:hAnsi="Times New Roman" w:cs="Times New Roman"/>
        </w:rPr>
      </w:pPr>
      <w:r>
        <w:rPr>
          <w:rFonts w:ascii="Times New Roman" w:hAnsi="Times New Roman" w:cs="Times New Roman"/>
          <w:b/>
          <w:bCs/>
        </w:rPr>
        <w:t>Palavras- chave</w:t>
      </w:r>
      <w:r>
        <w:rPr>
          <w:rFonts w:ascii="Times New Roman" w:hAnsi="Times New Roman" w:cs="Times New Roman"/>
        </w:rPr>
        <w:t>: Epistemologia; Desenvolvimento; Filosofia; Teologia; Perspectiva Histórica</w:t>
      </w:r>
    </w:p>
    <w:p>
      <w:pPr>
        <w:spacing w:before="0" w:after="0" w:line="360" w:lineRule="auto"/>
        <w:jc w:val="both"/>
        <w:rPr>
          <w:rFonts w:ascii="Times New Roman" w:hAnsi="Times New Roman" w:cs="Times New Roman"/>
          <w:sz w:val="24"/>
          <w:szCs w:val="24"/>
        </w:rPr>
      </w:pPr>
    </w:p>
    <w:p>
      <w:pPr>
        <w:spacing w:before="0" w:after="0" w:line="360" w:lineRule="auto"/>
        <w:jc w:val="both"/>
        <w:rPr>
          <w:rFonts w:ascii="Times New Roman" w:hAnsi="Times New Roman"/>
        </w:rPr>
      </w:pPr>
      <w:r>
        <w:rPr>
          <w:rFonts w:ascii="Times New Roman" w:hAnsi="Times New Roman" w:cs="Times New Roman"/>
          <w:b/>
          <w:bCs/>
          <w:sz w:val="24"/>
          <w:szCs w:val="24"/>
        </w:rPr>
        <w:t>GT No 01</w:t>
      </w:r>
      <w:r>
        <w:rPr>
          <w:rFonts w:ascii="Times New Roman" w:hAnsi="Times New Roman" w:cs="Times New Roman"/>
          <w:sz w:val="24"/>
          <w:szCs w:val="24"/>
        </w:rPr>
        <w:t xml:space="preserve">: Estudos teóricos e metodológicos do Desenvolvimento; </w:t>
      </w:r>
    </w:p>
    <w:p>
      <w:pPr>
        <w:spacing w:before="0" w:after="0" w:line="360" w:lineRule="auto"/>
        <w:jc w:val="both"/>
        <w:rPr>
          <w:rFonts w:ascii="Times New Roman" w:hAnsi="Times New Roman" w:cs="Times New Roman"/>
          <w:sz w:val="24"/>
          <w:szCs w:val="24"/>
        </w:rPr>
      </w:pPr>
    </w:p>
    <w:p>
      <w:pPr>
        <w:spacing w:before="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pPr>
        <w:spacing w:before="0" w:after="0" w:line="240" w:lineRule="auto"/>
        <w:ind w:firstLine="708"/>
        <w:jc w:val="both"/>
        <w:rPr>
          <w:rFonts w:ascii="Times New Roman" w:hAnsi="Times New Roman" w:cs="Times New Roman"/>
          <w:sz w:val="24"/>
          <w:szCs w:val="24"/>
        </w:rPr>
      </w:pPr>
    </w:p>
    <w:p>
      <w:pPr>
        <w:spacing w:before="0" w:after="0" w:line="360" w:lineRule="auto"/>
        <w:ind w:firstLine="709"/>
        <w:jc w:val="both"/>
        <w:rPr>
          <w:rFonts w:ascii="Times New Roman" w:hAnsi="Times New Roman"/>
          <w:sz w:val="24"/>
          <w:szCs w:val="24"/>
        </w:rPr>
      </w:pPr>
      <w:r>
        <w:rPr>
          <w:rFonts w:ascii="Times New Roman" w:hAnsi="Times New Roman" w:cs="Times New Roman"/>
          <w:bCs/>
          <w:sz w:val="24"/>
          <w:szCs w:val="24"/>
        </w:rPr>
        <w:t>O título deste trabalho: “Perspectivas genealógicas para uma epistemologia política do desenvolvimento: uma discussão de filosofia política” nos coloca diante de vários desafios. Sua composição, para além de ser problemática é problematizadora. Suscita questionamentos. Mas, também afirma, ou mesmo confirma pressupostos epistemológicos. Situemos alguns questionamentos como exercício reflexivo inicial. Anunciar uma epistemologia do desenvolvimento indica que é possível considerar a possibilidade de uma “Ciência do Desenvolvimento”. Mas, tomando a classificação tradicional dos campos científicos (Ciências Exatas, Ciências Naturais, Ciências Sociais Aplicadas e Humanas) e, das inúmeras “ciências” que compõe cada um dos campos mencionados e, que se constituem a partir da especificidade de seus objetos, não se encontra a “Ciência do Desenvolvimento”.</w:t>
      </w:r>
    </w:p>
    <w:p>
      <w:pPr>
        <w:spacing w:before="0" w:after="0" w:line="360" w:lineRule="auto"/>
        <w:ind w:firstLine="851"/>
        <w:jc w:val="both"/>
        <w:rPr>
          <w:rFonts w:ascii="Times New Roman" w:hAnsi="Times New Roman"/>
          <w:sz w:val="24"/>
          <w:szCs w:val="24"/>
        </w:rPr>
      </w:pPr>
      <w:r>
        <w:rPr>
          <w:rFonts w:ascii="Times New Roman" w:hAnsi="Times New Roman" w:cs="Times New Roman"/>
          <w:bCs/>
          <w:sz w:val="24"/>
          <w:szCs w:val="24"/>
        </w:rPr>
        <w:t>Se insistirmos em afirmar a existência da “Ciência do Desenvolvimento” como ciência específica, qual seria o campo científico ao qual estaria vinculada? As Ciências Exatas? A matemática? A estatística como ciência derivada da matemática? (observemos, que quando analisamos aspectos humanos, sociais e materiais do desenvolvimento de localidades, de regiões, de território, de países e nações, a estatística se faz presente). Mas, continuemos os questionamentos: estaria da Ciência do Desenvolvimento vinculada as Ciências Naturais? À Física? A Química? A Biologia?  Há pesquisas sobre desenvolvimento que se vinculam e, se constituem a partir do arcabouço conceitual das ciências nomeadas. Entre elas, encontramos pesquisas que demonstram que a composição dos solos de uma determinada localidade, ou região tem características que lhe conferem maior competitividade agrícola, ou mesmo de outros ramos da atividade econômica. Estaria ainda, a Ciência do Desenvolvimento articulada com as Ciências Sociais Aplicadas e Humanas? Ao Direito? A Geografia? A História? A Antropologia? A Economia? A Pedagogia?</w:t>
      </w:r>
      <w:r>
        <w:rPr>
          <w:rFonts w:ascii="Times New Roman" w:hAnsi="Times New Roman"/>
          <w:bCs/>
          <w:sz w:val="24"/>
          <w:szCs w:val="24"/>
        </w:rPr>
        <w:t xml:space="preserve"> </w:t>
      </w:r>
    </w:p>
    <w:p>
      <w:pPr>
        <w:spacing w:before="0" w:after="0" w:line="360" w:lineRule="auto"/>
        <w:ind w:firstLine="851"/>
        <w:jc w:val="both"/>
        <w:rPr>
          <w:rFonts w:ascii="Times New Roman" w:hAnsi="Times New Roman"/>
          <w:sz w:val="24"/>
          <w:szCs w:val="24"/>
        </w:rPr>
      </w:pPr>
      <w:r>
        <w:rPr>
          <w:rFonts w:ascii="Times New Roman" w:hAnsi="Times New Roman" w:cs="Times New Roman"/>
          <w:bCs/>
          <w:sz w:val="24"/>
          <w:szCs w:val="24"/>
        </w:rPr>
        <w:t>Observemos que se apresentam em periódicos científicos uma infinidade de artigos científicos, livros, capítulos de livros reunindo contribuições das Ciências Sociais Aplicadas e Humanas refletindo, debatendo e, divulgando contribuições científicas sobre desenvolvimento em suas várias dimensões, humano, social, econômico, ambiental e, sustentável. Portanto, trata-se de reconhecer as contribuições das mais diversas ciências constitutivas do Campo das Ciências Exatas, Naturais, Sociais Aplicadas e Humanas para as teorias científicas do desenvolvimento em seus diversos âmbitos de abordagem.</w:t>
      </w:r>
    </w:p>
    <w:p>
      <w:pPr>
        <w:spacing w:before="0" w:after="0" w:line="360" w:lineRule="auto"/>
        <w:ind w:firstLine="851"/>
        <w:jc w:val="both"/>
        <w:rPr>
          <w:rFonts w:ascii="Times New Roman" w:hAnsi="Times New Roman"/>
          <w:sz w:val="24"/>
          <w:szCs w:val="24"/>
        </w:rPr>
      </w:pPr>
      <w:r>
        <w:rPr>
          <w:rFonts w:ascii="Times New Roman" w:hAnsi="Times New Roman" w:cs="Times New Roman"/>
          <w:bCs/>
          <w:sz w:val="24"/>
          <w:szCs w:val="24"/>
        </w:rPr>
        <w:t xml:space="preserve">Se mantivermos a afirmação de que há uma Ciência do Desenvolvimento e, supondo que a mesma transita, nos mais diversos campos científicos acima nomeados e demonstrados, trata-se de questionar: qual seria o objeto desta ciência? A condição basilar para a constituição de uma ciência é a existência de um objeto de estudo definido em suas especificidades. O objeto da ciência do desenvolvimento seria o próprio desenvolvimento? Quais as especificidades deste objeto tomado em si mesmo? Ou teríamos que tomá-lo a partir de uma perspectiva comparativa com outros objetos de outras ciências em suas especificidades? E se mesmo diante destes limites e, destas dificuldades de definição do objeto do desenvolvimento na condição do próprio desenvolvimento como objeto, afirmarmos a existência da “Ciência do Desenvolvimento”, quais os parâmetros metodológicos que lhe conferem cientificidade suficiente em seu fazer científico? A Ciência do Desenvolvimento requer um arcabouço metodológico específico em função das especificidades de seu objeto? Ou, considerando as especificidades multifacetadas e, multidisciplinares do desenvolvimento, também </w:t>
      </w:r>
      <w:r>
        <w:rPr>
          <w:rFonts w:ascii="Times New Roman" w:hAnsi="Times New Roman" w:cs="Times New Roman"/>
          <w:bCs/>
          <w:color w:val="C9211E"/>
          <w:sz w:val="24"/>
          <w:szCs w:val="24"/>
        </w:rPr>
        <w:t>a</w:t>
      </w:r>
      <w:r>
        <w:rPr>
          <w:rFonts w:ascii="Times New Roman" w:hAnsi="Times New Roman" w:cs="Times New Roman"/>
          <w:bCs/>
          <w:sz w:val="24"/>
          <w:szCs w:val="24"/>
        </w:rPr>
        <w:t xml:space="preserve"> metodologia deverá se apresentar a partir da multiplicidade de ciências em intercurso dialógico a partir das múltiplas dimensões do objeto “desenvolvimento”? </w:t>
      </w:r>
    </w:p>
    <w:p>
      <w:pPr>
        <w:spacing w:before="0" w:after="0" w:line="360" w:lineRule="auto"/>
        <w:ind w:firstLine="851"/>
        <w:jc w:val="both"/>
        <w:rPr>
          <w:rFonts w:ascii="Times New Roman" w:hAnsi="Times New Roman"/>
          <w:sz w:val="24"/>
          <w:szCs w:val="24"/>
        </w:rPr>
      </w:pPr>
      <w:r>
        <w:rPr>
          <w:rFonts w:ascii="Times New Roman" w:hAnsi="Times New Roman" w:cs="Times New Roman"/>
          <w:bCs/>
          <w:sz w:val="24"/>
          <w:szCs w:val="24"/>
        </w:rPr>
        <w:t xml:space="preserve">Para se ter uma ideia, a Coordenação de Aperfeiçoamento de Pessoal de Nível Superior – CAPES, quando da apresentação da organização dos programas de pós-graduação brasileiros classifica a produção da ciência em Áreas do Conhecimento que é hierarquizada em níveis que vão do mais geral ao mais específico, e conformam nove grandes áreas. O primeiro nível é definido como Grande Área que é definida como uma “aglomeração de diversas áreas do conhecimento, em virtude da afinidade de seus objetos, métodos cognitivos e recursos instrumentais refletindo contextos sociopolíticos específicos”. O segundo nível é considerado como Área do Conhecimento (Área Básica) e neste estão reunidos um “conjunto de conhecimentos inter-relacionados, coletivamente construídos, reunindo segundo a natureza do objeto de investigação com finalidades de ensino, pesquisa e aplicações práticas”; já o terceiro nível representa a Subárea, que deve apresentar “segmentação da área do conhecimento (ou área básica) </w:t>
      </w:r>
      <w:r>
        <w:rPr>
          <w:rFonts w:ascii="Times New Roman" w:hAnsi="Times New Roman" w:cs="Times New Roman"/>
          <w:b w:val="0"/>
          <w:bCs w:val="0"/>
          <w:sz w:val="24"/>
          <w:szCs w:val="24"/>
        </w:rPr>
        <w:t xml:space="preserve">estabelecida em função do objeto de estudo e de procedimentos metodológicos reconhecidos e amplamente utilizados” </w:t>
      </w:r>
      <w:r>
        <w:rPr>
          <w:rFonts w:ascii="Times New Roman" w:hAnsi="Times New Roman" w:cs="Times New Roman"/>
          <w:bCs/>
          <w:sz w:val="24"/>
          <w:szCs w:val="24"/>
        </w:rPr>
        <w:t>(CAPES, 2020) ; e, por fim, o quarto nível que abrange a Especialidade, representada por “caracterização temática da atividade de pesquisa e ensino. Uma mesma especialidade pode ser enquadrada em diferentes grandes áreas, áreas básicas e subáreas.”</w:t>
      </w:r>
    </w:p>
    <w:p>
      <w:pPr>
        <w:spacing w:before="0" w:after="0" w:line="360" w:lineRule="auto"/>
        <w:ind w:firstLine="851"/>
        <w:jc w:val="both"/>
        <w:rPr>
          <w:sz w:val="24"/>
          <w:szCs w:val="24"/>
        </w:rPr>
      </w:pPr>
      <w:r>
        <w:rPr>
          <w:rFonts w:ascii="Times New Roman" w:hAnsi="Times New Roman" w:cs="Times New Roman"/>
          <w:bCs/>
          <w:sz w:val="24"/>
          <w:szCs w:val="24"/>
        </w:rPr>
        <w:t xml:space="preserve">Desta maneira o desenvolvimento se apresenta como tema específico da ciência brasileira e pode ser encontrado de maneira difusa em mais de uma Grande Área da Coordenação de Aperfeiçoamento de Pessoal de Nível Superior - CAPES e com maior concentração se pode encontrar uma subárea denominada Desenvolvimento Regional dentro de uma área intitulada Planejamento Urbano Regional e Demografia – PLURD. Assim, é possível dizer que o desenvolvimento é considerado como objeto ou tema na estrutura da construção do pensamento científico brasileiro, bem como se constata que também há programas de ensino e pesquisa científica em diversos outros países. </w:t>
      </w:r>
    </w:p>
    <w:p>
      <w:pPr>
        <w:spacing w:before="0" w:after="0" w:line="360" w:lineRule="auto"/>
        <w:ind w:firstLine="851"/>
        <w:jc w:val="both"/>
        <w:rPr>
          <w:sz w:val="24"/>
          <w:szCs w:val="24"/>
        </w:rPr>
      </w:pPr>
      <w:r>
        <w:rPr>
          <w:rFonts w:ascii="Times New Roman" w:hAnsi="Times New Roman" w:cs="Times New Roman"/>
          <w:sz w:val="24"/>
          <w:szCs w:val="24"/>
        </w:rPr>
        <w:t>No entanto, considerar desenvolvimento como objeto do fazer científico não é tema consolidado. O economista e sociólogo Theotônio dos Santos, um dos principais formuladores da teoria da dependência ao longo dos anos 60 do século XX, se posicionou desta maneira a respeito do campo de investigação do desenvolvimento:</w:t>
      </w:r>
    </w:p>
    <w:p>
      <w:pPr>
        <w:spacing w:before="0" w:after="0" w:line="360" w:lineRule="auto"/>
        <w:ind w:firstLine="851"/>
        <w:jc w:val="both"/>
        <w:rPr>
          <w:rFonts w:ascii="Times New Roman" w:hAnsi="Times New Roman" w:cs="Times New Roman"/>
        </w:rPr>
      </w:pPr>
    </w:p>
    <w:p>
      <w:pPr>
        <w:spacing w:before="0" w:after="0" w:line="240" w:lineRule="auto"/>
        <w:ind w:left="1701" w:firstLine="0"/>
        <w:jc w:val="both"/>
        <w:rPr>
          <w:rFonts w:ascii="Times New Roman" w:hAnsi="Times New Roman"/>
        </w:rPr>
      </w:pPr>
      <w:r>
        <w:rPr>
          <w:rFonts w:ascii="Times New Roman" w:hAnsi="Times New Roman" w:cs="Times New Roman"/>
        </w:rPr>
        <w:t>O estudo da evolução da teoria do desenvolvimento revela duas debilidades básicas: seu ecletismo teórico e seu formalismo metodológico. Ambas as limitações teórico-metodológicas conduzem a um tipo de análise que despreza a análise dos meios de procedimentos propostos para alcançar o desenvolvimento das condições históricas concretas em que este ocorre. A abstração das condições históricas conduz, não a uma teoria aplicável a qualquer situação concreta, como se pretende, mas a um conjunto de fórmulas vazias que escamoteiam a relação entre o desenvolvimento econômico e as condições concretas de sua realização dentro de uma economia mundial que modifica sua estrutura em um processo dialético de evolução histórica.” (p. 27)</w:t>
      </w:r>
    </w:p>
    <w:p>
      <w:pPr>
        <w:spacing w:before="0" w:after="0" w:line="240" w:lineRule="auto"/>
        <w:ind w:left="851" w:firstLine="0"/>
        <w:jc w:val="both"/>
        <w:rPr>
          <w:rFonts w:ascii="Times New Roman" w:hAnsi="Times New Roman"/>
          <w:sz w:val="24"/>
          <w:szCs w:val="24"/>
        </w:rPr>
      </w:pP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O referido autor aponta para debilidades no estudo da evolução da teoria do desenvolvimento, entre elas o ecletismo e seu formalismo metodológico. O ecletismo se caracteriza, sobretudo pela justaposição de ideias, argumentos e teses advindas de perspectivas científicas diversas, conformando variáveis teóricas multifacetadas, marcadas pela pluralidade de concepções e posicionamentos. Se por um lado o ecletismo amplia o campo de percepção, de interpretação, interlocução e análise, por outro dificulta a constituição de uma visão unificada, consistente e universalizável. Ainda nesta direção, aponta o autor, não bastasse o ecletismo teórico e conceitual existente nos estudos das teorias do desenvolvimento, também se apresenta o formalismo metodológico, que se caracteriza por parte de pesquisadores formados em ciências específicas, se agarrarem firmemente e formalmente aos métodos de investigação científica comumente utilizados em seu campo específico de conhecimento. O apego a métodos específicos vinculados a uma ciência em específico, no âmbito de um campo de conhecimento parece não contribuir de forma suficiente, justamente por desconsiderar as singularidades dos mais diversos métodos científicos inerentes as ciências e, seus respectivos campos científicos em perspectiva interdisciplinar e, dialógica em torno objeto desenvolvimento local, ou regional.</w:t>
      </w: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 xml:space="preserve">Como estratégia de contraposição ao ecletismo e ao formalismo metodológico Theotonio dos Santos propõe que se pesquise, investigue, estude e, sobretudo, que se constituam teorias do desenvolvimento tomando como pressuposto, como fundamento, as condições históricas, políticas, sociais, materiais, econômicas, a partir das quais contraditoriamente, ou a partir da luta entre contrários se constitui o fazer humano em sua multiplicidade de formas de manifestação e, por decorrência constituem o humano e o mundo humano. </w:t>
      </w: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 xml:space="preserve">Assim, para Theotonio o desenvolvimento é o resultado da dialética inerente à condição humana, a sua práxis, a partir da qual cotidianamente o mundo humano alcança novas formas produtivas, políticas, econômicas e jurídicas conformando relações humanas e sociais perpassadas pela exploração e expropriação do trabalho e, consequentemente do mundo humano individualmente e socialmente constituído. </w:t>
      </w: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 xml:space="preserve">Este pensamento que vincula o entendimento de fenômenos e da realidade como processo histórico, é fundamentado no pensamento de Georg Hegel, para quem compreender o que é, é tarefa da filosofia, pois o que é, é a razão, e para se compreender o que é, devem-se considerar algumas questões, dentre elas, começar sem suposições, pois supor não considera as coisas como imutáveis. Iniciar um pensamento sobre fenômeno considerando ou supondo que há um fenômeno gerador de melhorias, que a partir de determinadas ações, instituições é possível sair de um ponto A para algo superior, B, portanto pode gerar entendimento apressado. Além disso, Hegel aponta a necessidade de consideração do processo em dinâmico, contraditório, em curso. </w:t>
      </w:r>
    </w:p>
    <w:p>
      <w:pPr>
        <w:spacing w:before="0" w:after="0" w:line="360" w:lineRule="auto"/>
        <w:ind w:firstLine="851"/>
        <w:jc w:val="both"/>
        <w:rPr>
          <w:rFonts w:ascii="Times New Roman" w:hAnsi="Times New Roman"/>
          <w:color w:val="C9211E"/>
          <w:sz w:val="24"/>
          <w:szCs w:val="24"/>
        </w:rPr>
      </w:pPr>
      <w:r>
        <w:rPr>
          <w:rFonts w:ascii="Times New Roman" w:hAnsi="Times New Roman" w:cs="Times New Roman"/>
          <w:sz w:val="24"/>
          <w:szCs w:val="24"/>
        </w:rPr>
        <w:t xml:space="preserve">No que diz respeito à consideração do processo histórico por Hegel como fundamento da compreensão da realidade, este entendimento foi apropriado por diversos autores e pensadores como Karl Marx, para compreender as relações produtivas e de embates das classes sociais, e também por pensadores brasileiros como Theotônio como visto acima. </w:t>
      </w: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Ha Joon Chang (2004), por seu turno, também aponta para a necessidade de considerar a perspectiva histórica para reflexões sobre desenvolvimento. O referido autor aponta que a economia neoclássica foi e é predominante nas abordagens sobre o desenvolvimento, e o pensamento em uma economia do desenvolvimento, e da história econômica que são campos que conferem relevância à abordagem histórica foram abafadas e, argumenta: “A consequência funesta disso foi tornar particularmente ahistóricas as discussões contemporâneas sobre a política de desenvolvimento econômico.” (p. 21)</w:t>
      </w:r>
    </w:p>
    <w:p>
      <w:pPr>
        <w:spacing w:before="0" w:after="0" w:line="360" w:lineRule="auto"/>
        <w:ind w:firstLine="851"/>
        <w:jc w:val="both"/>
        <w:rPr>
          <w:color w:val="000000"/>
        </w:rPr>
      </w:pPr>
      <w:r>
        <w:rPr>
          <w:rFonts w:ascii="Times New Roman" w:hAnsi="Times New Roman" w:cs="Times New Roman"/>
          <w:color w:val="000000"/>
          <w:sz w:val="24"/>
          <w:szCs w:val="24"/>
        </w:rPr>
        <w:t xml:space="preserve">Considerando a perspectiva histórica e um olhar sempre para um horizonte, considerado como horizonte utópico, Prado (2015) e Fiori (2014, ) vão alertar para o conteúdo ideológico e violentos dos usos do termo desenvolvimento. Prado alerta “é este horizonte que lhe confere especificidade enquanto ideologia do desenvolvimento” (p.34). Fiori (2014) apresenta como teoria clássica do desenvolvimento o pensamento de William Petty, um economista inglês que em seus escritos deu papel central ao Estado e as guerras para funcionamento das sociedades e que, de acordo com Fiori (2014) teve suas análises consideradas para transformar a forma de acúmulo de riquezas de países como Inglaterra e Estados Unidos. Assim, Fiori (2014) considera como Teoria Clássica do Desenvolvimento o uso da força bélica para vindicações de ofensas de Estados, ampliação do endividamento dos Estados perdedores, acumulação rápida e exponencial de riquezas privadas advindas de fora dos circuitos produtivos e mercantis. Para isso, expõe que: </w:t>
      </w:r>
    </w:p>
    <w:p>
      <w:pPr>
        <w:widowControl/>
        <w:suppressAutoHyphens/>
        <w:bidi w:val="0"/>
        <w:spacing w:before="0" w:after="0" w:line="360" w:lineRule="auto"/>
        <w:ind w:left="1701" w:right="0" w:firstLine="0"/>
        <w:jc w:val="both"/>
        <w:rPr>
          <w:color w:val="000000"/>
        </w:rPr>
      </w:pPr>
      <w:r>
        <w:rPr>
          <w:rFonts w:ascii="Times New Roman" w:hAnsi="Times New Roman" w:cs="Times New Roman"/>
          <w:color w:val="000000"/>
          <w:sz w:val="24"/>
          <w:szCs w:val="24"/>
        </w:rPr>
        <w:t xml:space="preserve">“ </w:t>
      </w:r>
      <w:r>
        <w:rPr>
          <w:rFonts w:ascii="Times New Roman" w:hAnsi="Times New Roman" w:cs="Times New Roman"/>
          <w:color w:val="000000"/>
          <w:sz w:val="22"/>
          <w:szCs w:val="22"/>
        </w:rPr>
        <w:t>Entre 1650 e 1950, a Inglaterra participou de 110 guerras aproximadamente, dentro e fora da Europa, ou seja, em média uma a cada três anos. E, entre 1783 e 1991, os Estados Unidos participaram de cerca de 80 guerras, dentro e fora da América, ou seja, em média, também uma a cada três anos</w:t>
      </w:r>
      <w:r>
        <w:rPr>
          <w:rFonts w:ascii="Times New Roman" w:hAnsi="Times New Roman" w:cs="Times New Roman"/>
          <w:color w:val="000000"/>
          <w:sz w:val="24"/>
          <w:szCs w:val="24"/>
        </w:rPr>
        <w:t>.” (FIORI, 2014, p. 53)</w:t>
      </w:r>
    </w:p>
    <w:p>
      <w:pPr>
        <w:widowControl/>
        <w:suppressAutoHyphens/>
        <w:bidi w:val="0"/>
        <w:spacing w:before="0" w:after="0" w:line="360" w:lineRule="auto"/>
        <w:ind w:left="1701" w:right="0" w:firstLine="0"/>
        <w:jc w:val="both"/>
        <w:rPr>
          <w:color w:val="000000"/>
        </w:rPr>
      </w:pPr>
    </w:p>
    <w:p>
      <w:pPr>
        <w:spacing w:before="0" w:after="0" w:line="360" w:lineRule="auto"/>
        <w:ind w:firstLine="851"/>
        <w:jc w:val="both"/>
        <w:rPr>
          <w:color w:val="000000"/>
        </w:rPr>
      </w:pPr>
      <w:r>
        <w:rPr>
          <w:rFonts w:ascii="Times New Roman" w:hAnsi="Times New Roman" w:cs="Times New Roman"/>
          <w:color w:val="000000"/>
          <w:sz w:val="24"/>
          <w:szCs w:val="24"/>
        </w:rPr>
        <w:t>Portanto, para o autor, considerando os aspectos históricos e ideológicos do desenvolvimento, este se forja a partir de práticas violentas e sistematizadas, e com isso:</w:t>
      </w:r>
    </w:p>
    <w:p>
      <w:pPr>
        <w:spacing w:before="0" w:after="0" w:line="360" w:lineRule="auto"/>
        <w:ind w:firstLine="851"/>
        <w:jc w:val="both"/>
        <w:rPr>
          <w:color w:val="000000"/>
        </w:rPr>
      </w:pPr>
    </w:p>
    <w:p>
      <w:pPr>
        <w:widowControl/>
        <w:suppressAutoHyphens/>
        <w:bidi w:val="0"/>
        <w:spacing w:before="0" w:after="0" w:line="360" w:lineRule="auto"/>
        <w:ind w:left="1701" w:right="0" w:firstLine="0"/>
        <w:jc w:val="both"/>
        <w:rPr>
          <w:color w:val="000000"/>
          <w:sz w:val="22"/>
          <w:szCs w:val="22"/>
        </w:rPr>
      </w:pPr>
      <w:r>
        <w:rPr>
          <w:rFonts w:ascii="Times New Roman" w:hAnsi="Times New Roman" w:cs="Times New Roman"/>
          <w:color w:val="000000"/>
          <w:sz w:val="22"/>
          <w:szCs w:val="22"/>
        </w:rPr>
        <w:t xml:space="preserve"> “ a Inglaterra acabou se transformando numa potência agressiva e conquistadora, e o mesmo se pode dizer da sua colônia norte-americana, que seguiu os passos da Metrópole até se transformar na maior potência do sistema mundial, na segunda metade do século XX.” (FIORI 2014, p. 54)</w:t>
      </w:r>
    </w:p>
    <w:p>
      <w:pPr>
        <w:widowControl/>
        <w:suppressAutoHyphens/>
        <w:bidi w:val="0"/>
        <w:spacing w:before="0" w:after="0" w:line="360" w:lineRule="auto"/>
        <w:ind w:left="1701" w:right="0" w:firstLine="0"/>
        <w:jc w:val="both"/>
        <w:rPr>
          <w:rFonts w:ascii="Times New Roman" w:hAnsi="Times New Roman" w:cs="Times New Roman"/>
          <w:sz w:val="24"/>
          <w:szCs w:val="24"/>
        </w:rPr>
      </w:pPr>
    </w:p>
    <w:p>
      <w:pPr>
        <w:spacing w:before="0" w:after="0" w:line="360" w:lineRule="auto"/>
        <w:ind w:firstLine="851"/>
        <w:jc w:val="both"/>
        <w:rPr>
          <w:color w:val="000000"/>
        </w:rPr>
      </w:pPr>
      <w:r>
        <w:rPr>
          <w:rFonts w:ascii="Times New Roman" w:hAnsi="Times New Roman" w:cs="Times New Roman"/>
          <w:color w:val="000000"/>
          <w:sz w:val="24"/>
          <w:szCs w:val="24"/>
        </w:rPr>
        <w:t xml:space="preserve">Sob tais perspectivas analíticas, retornando à Theotonio dos Santos e finalizando esta etapa inicial do artigo, se argumenta que fazer ciência do desenvolvimento requer a abertura dialógica entre os mais diversos campos do conhecimento científico, na medida em que a singularidade do objeto, do conceito, ou da ideologia do desenvolvimento apresenta-se multidimensional, multifacetada, radial conformando uma complexa cosmovisão. </w:t>
      </w:r>
    </w:p>
    <w:p>
      <w:pPr>
        <w:spacing w:before="0" w:after="0" w:line="360" w:lineRule="auto"/>
        <w:ind w:firstLine="851"/>
        <w:jc w:val="both"/>
        <w:rPr>
          <w:rFonts w:ascii="Times New Roman" w:hAnsi="Times New Roman" w:cs="Times New Roman"/>
          <w:sz w:val="24"/>
          <w:szCs w:val="24"/>
        </w:rPr>
      </w:pPr>
    </w:p>
    <w:p>
      <w:pPr>
        <w:spacing w:before="0"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pPr>
        <w:spacing w:before="0" w:after="0" w:line="240" w:lineRule="auto"/>
        <w:ind w:firstLine="708"/>
        <w:jc w:val="both"/>
        <w:rPr>
          <w:rFonts w:ascii="Times New Roman" w:hAnsi="Times New Roman" w:cs="Times New Roman"/>
          <w:sz w:val="24"/>
          <w:szCs w:val="24"/>
        </w:rPr>
      </w:pPr>
    </w:p>
    <w:p>
      <w:pPr>
        <w:pStyle w:val="37"/>
        <w:spacing w:line="360" w:lineRule="auto"/>
        <w:jc w:val="both"/>
      </w:pPr>
      <w:r>
        <w:rPr>
          <w:rFonts w:ascii="Times New Roman" w:hAnsi="Times New Roman" w:eastAsia="Times New Roman" w:cs="Times New Roman"/>
          <w:color w:val="C9211E"/>
        </w:rPr>
        <w:tab/>
      </w:r>
      <w:r>
        <w:rPr>
          <w:rFonts w:ascii="Times New Roman" w:hAnsi="Times New Roman" w:eastAsia="Times New Roman" w:cs="Times New Roman"/>
        </w:rPr>
        <w:t>O presente artigo faz uso de uma metodologia hipotético-dedutiva e de revisão bibliográfica para análises. Destaca-se também que houve um esforço de entendimento das possibilidades de usos da genealogia como método e para tanto foram utilizados os trabalhos de, Nietszche (1998), Foucault (1979), Agamben (1942)</w:t>
      </w:r>
    </w:p>
    <w:p>
      <w:pPr>
        <w:pStyle w:val="37"/>
        <w:spacing w:line="360" w:lineRule="auto"/>
        <w:jc w:val="both"/>
      </w:pPr>
      <w:r>
        <w:rPr>
          <w:rFonts w:ascii="Times New Roman" w:hAnsi="Times New Roman" w:eastAsia="Times New Roman" w:cs="Times New Roman"/>
          <w:color w:val="C9211E"/>
        </w:rPr>
        <w:tab/>
      </w:r>
      <w:r>
        <w:rPr>
          <w:rFonts w:ascii="Times New Roman" w:hAnsi="Times New Roman" w:eastAsia="Times New Roman" w:cs="Times New Roman"/>
        </w:rPr>
        <w:t xml:space="preserve">O método genealógico foi utilizado para considerar o entendimento sobre desenvolvimento, e para alcançar este esforço foi necessário considerar a princípio qual o exercício filosófico relacionado à consideração do desenvolvimento como objeto de análise. Neste sentido, foram utilizados argumentos de Chauí (2000) e Hegel para considerar o fazer filosófico como considerável para compreender o que configura a realidade. </w:t>
      </w:r>
    </w:p>
    <w:p>
      <w:pPr>
        <w:pStyle w:val="37"/>
        <w:spacing w:line="360" w:lineRule="auto"/>
        <w:jc w:val="both"/>
      </w:pPr>
      <w:r>
        <w:rPr>
          <w:rFonts w:ascii="Times New Roman" w:hAnsi="Times New Roman" w:eastAsia="Times New Roman" w:cs="Times New Roman"/>
          <w:color w:val="C9211E"/>
        </w:rPr>
        <w:tab/>
      </w:r>
      <w:r>
        <w:rPr>
          <w:rFonts w:ascii="Times New Roman" w:hAnsi="Times New Roman" w:eastAsia="Times New Roman" w:cs="Times New Roman"/>
        </w:rPr>
        <w:t xml:space="preserve">Para dar suporte a um </w:t>
      </w:r>
      <w:r>
        <w:rPr>
          <w:rFonts w:ascii="Times New Roman" w:hAnsi="Times New Roman" w:eastAsia="Times New Roman" w:cs="Times New Roman"/>
          <w:color w:val="000000"/>
        </w:rPr>
        <w:t xml:space="preserve">entendimento sobre desenvolvimento como construção conceitual, discursiva, histórica, foram utilizados os trabalhos de Hegel, Bazzanella </w:t>
      </w:r>
      <w:r>
        <w:rPr>
          <w:rFonts w:ascii="Times New Roman" w:hAnsi="Times New Roman" w:eastAsia="Times New Roman" w:cs="Times New Roman"/>
          <w:i/>
          <w:iCs/>
          <w:color w:val="000000"/>
        </w:rPr>
        <w:t>et al</w:t>
      </w:r>
      <w:r>
        <w:rPr>
          <w:rFonts w:ascii="Times New Roman" w:hAnsi="Times New Roman" w:eastAsia="Times New Roman" w:cs="Times New Roman"/>
          <w:color w:val="000000"/>
        </w:rPr>
        <w:t xml:space="preserve"> (2022), Ha Joong Chang (2004), Theotonio dos Santos (1991), Amaro (2014), Ferreira e Raposa (2017).</w:t>
      </w:r>
      <w:r>
        <w:rPr>
          <w:rFonts w:ascii="Times New Roman" w:hAnsi="Times New Roman" w:eastAsia="Times New Roman" w:cs="Times New Roman"/>
          <w:color w:val="000000"/>
          <w:shd w:val="clear" w:fill="auto"/>
        </w:rPr>
        <w:t xml:space="preserve"> E para dar conta dos aspectos ideológicos e violentos do desenvolvimento, Prado (2015) e Fiori (2014) serão envolvidos na construção do debate. </w:t>
      </w:r>
    </w:p>
    <w:p>
      <w:pPr>
        <w:pStyle w:val="37"/>
        <w:spacing w:line="360" w:lineRule="auto"/>
        <w:jc w:val="both"/>
      </w:pPr>
      <w:r>
        <w:rPr>
          <w:rFonts w:ascii="Times New Roman" w:hAnsi="Times New Roman" w:eastAsia="Times New Roman" w:cs="Times New Roman"/>
          <w:color w:val="C9211E"/>
        </w:rPr>
        <w:tab/>
      </w:r>
      <w:r>
        <w:rPr>
          <w:rFonts w:ascii="Times New Roman" w:hAnsi="Times New Roman" w:eastAsia="Times New Roman" w:cs="Times New Roman"/>
        </w:rPr>
        <w:t xml:space="preserve">Após problematizar o desenvolvimento como conceito construído, como forjado historicamente, e como articulado à periodizações no tempo, foi possível analisar as estruturas que se articulam ou que conferem assinaturas no fazer científico que utiliza o termo desenvolvimento. Neste sentido, foram considerados pensamentos teológicos, especialmente que conectam ao desenvolvimento um entendimento de receituário para alcançar um porvir, um futuro, e até uma “salvação”, e a partir deste entendimento se fez uma crítica a este exercício reflexivo, considerando que não necessariamente se faz com futuro aberto, e, por isso mesmo, se faz através de entendimento de presunções que partem de pressupostos definidos, e podem garantir, portanto, conclusões ahistóricas. </w:t>
      </w:r>
    </w:p>
    <w:p>
      <w:pPr>
        <w:pStyle w:val="37"/>
        <w:spacing w:line="360" w:lineRule="auto"/>
        <w:jc w:val="both"/>
        <w:rPr>
          <w:rFonts w:ascii="Times New Roman" w:hAnsi="Times New Roman" w:cs="Times New Roman"/>
        </w:rPr>
      </w:pPr>
    </w:p>
    <w:p>
      <w:pPr>
        <w:spacing w:before="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pPr>
        <w:spacing w:before="0" w:after="0" w:line="240" w:lineRule="auto"/>
        <w:jc w:val="both"/>
        <w:rPr>
          <w:rFonts w:ascii="Times New Roman" w:hAnsi="Times New Roman" w:cs="Times New Roman"/>
          <w:b/>
          <w:bCs/>
          <w:sz w:val="24"/>
          <w:szCs w:val="24"/>
        </w:rPr>
      </w:pPr>
    </w:p>
    <w:p>
      <w:pPr>
        <w:spacing w:before="0" w:after="0" w:line="240" w:lineRule="auto"/>
        <w:ind w:firstLine="708"/>
        <w:jc w:val="both"/>
        <w:rPr>
          <w:rFonts w:ascii="Times New Roman" w:hAnsi="Times New Roman" w:cs="Times New Roman"/>
          <w:sz w:val="24"/>
          <w:szCs w:val="24"/>
        </w:rPr>
      </w:pPr>
    </w:p>
    <w:p>
      <w:pPr>
        <w:spacing w:before="0" w:after="0" w:line="360" w:lineRule="auto"/>
        <w:jc w:val="both"/>
        <w:rPr>
          <w:rFonts w:ascii="Times New Roman" w:hAnsi="Times New Roman"/>
          <w:sz w:val="24"/>
          <w:szCs w:val="24"/>
        </w:rPr>
      </w:pPr>
      <w:r>
        <w:rPr>
          <w:rFonts w:ascii="Times New Roman" w:hAnsi="Times New Roman" w:cs="Times New Roman"/>
          <w:b/>
          <w:sz w:val="24"/>
          <w:szCs w:val="24"/>
        </w:rPr>
        <w:t xml:space="preserve">3.1 A Contribuição da Filosofia Política  </w:t>
      </w:r>
    </w:p>
    <w:p>
      <w:pPr>
        <w:spacing w:before="0" w:after="0" w:line="360" w:lineRule="auto"/>
        <w:ind w:firstLine="851"/>
        <w:jc w:val="both"/>
        <w:rPr>
          <w:rFonts w:ascii="Times New Roman" w:hAnsi="Times New Roman"/>
          <w:sz w:val="24"/>
          <w:szCs w:val="24"/>
        </w:rPr>
      </w:pP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 xml:space="preserve">Diante do exposto até o presente momento e, tomando em consideração a temática em análise </w:t>
      </w:r>
      <w:r>
        <w:rPr>
          <w:rFonts w:ascii="Times New Roman" w:hAnsi="Times New Roman" w:cs="Times New Roman"/>
          <w:bCs/>
          <w:sz w:val="24"/>
          <w:szCs w:val="24"/>
        </w:rPr>
        <w:t>“Perspectivas genealógicas para uma epistemologia política do desenvolvimento: uma discussão de filosofia política”,</w:t>
      </w:r>
      <w:r>
        <w:rPr>
          <w:rFonts w:ascii="Times New Roman" w:hAnsi="Times New Roman" w:cs="Times New Roman"/>
          <w:sz w:val="24"/>
          <w:szCs w:val="24"/>
        </w:rPr>
        <w:t xml:space="preserve"> faz-se necessário que nos coloquemos novamente diante de incômodos questionamentos: Que contribuições pode a filosofia oferecer aos estudos sobre desenvolvimento? Se a filosofia não é uma ciência no sentido moderno, tradicional, a partir do qual compreendemos ciência com objeto específico e método definido, o que pode ela dizer sobre desenvolvimento? Ou dito de outros modos até mais diretos e aligeirados: O que tem </w:t>
      </w:r>
      <w:r>
        <w:rPr>
          <w:rFonts w:ascii="Times New Roman" w:hAnsi="Times New Roman" w:cs="Times New Roman"/>
          <w:color w:val="C9211E"/>
          <w:sz w:val="24"/>
          <w:szCs w:val="24"/>
        </w:rPr>
        <w:t>a ver</w:t>
      </w:r>
      <w:r>
        <w:rPr>
          <w:rFonts w:ascii="Times New Roman" w:hAnsi="Times New Roman" w:cs="Times New Roman"/>
          <w:sz w:val="24"/>
          <w:szCs w:val="24"/>
        </w:rPr>
        <w:t xml:space="preserve"> filosofia com desenvolvimento? Se a filosofia não é ciência, se não produz nada de útil, o que pode ela oferecer no âmbito das teorias do desenvolvimento? Ainda nesta direção, não seria a filosofia aquele campo do conhecimento com o qual, ou sem o qual tudo continua tal e qual? E por ai poderíamos seguir com tais catilinárias...</w:t>
      </w:r>
    </w:p>
    <w:p>
      <w:pPr>
        <w:spacing w:before="0" w:after="0" w:line="360" w:lineRule="auto"/>
        <w:ind w:firstLine="851"/>
        <w:jc w:val="both"/>
        <w:rPr>
          <w:rFonts w:ascii="Times New Roman" w:hAnsi="Times New Roman"/>
          <w:sz w:val="24"/>
          <w:szCs w:val="24"/>
        </w:rPr>
      </w:pPr>
    </w:p>
    <w:p>
      <w:pPr>
        <w:spacing w:before="0" w:after="0" w:line="240" w:lineRule="auto"/>
        <w:ind w:left="2268" w:firstLine="0"/>
        <w:jc w:val="both"/>
        <w:rPr>
          <w:rFonts w:ascii="Times New Roman" w:hAnsi="Times New Roman"/>
        </w:rPr>
      </w:pPr>
      <w:r>
        <w:rPr>
          <w:rFonts w:ascii="Times New Roman" w:hAnsi="Times New Roman" w:cs="Times New Roman"/>
        </w:rPr>
        <w:t>Ora, muitos fazem uma outra pergunta: afinal, p</w:t>
      </w:r>
      <w:r>
        <w:rPr>
          <w:rFonts w:ascii="Times New Roman" w:hAnsi="Times New Roman" w:cs="Times New Roman"/>
          <w:shd w:val="clear" w:fill="FFFFFF"/>
        </w:rPr>
        <w:t xml:space="preserve">ara que Filosofia? É uma pergunta interessante. Não vemos nem ouvimos ninguém perguntar, por exemplo, para que matemática ou física? Para que geografia ou geologia? Para que história ou sociologia? Para que biologia ou psicologia? Para que astronomia ou química? Para que pintura, literatura, música ou dança? Mas todo mundo acha muito natural perguntar: Para que Filosofia? Em geral, essa pergunta costuma receber uma resposta irônica, conhecida dos estudantes de Filosofia: "A Filosofia é uma ciência com a qual e sem a qual o mundo permanece tal e qual". Ou seja, a Filosofia não serve para nada. Por isso, se costuma chamar de "filósofo" alguém sempre distraído, com a cabeça no mundo da lua, pensando e dizendo coisas que ninguém entende e que são perfeitamente inúteis. Essa pergunta, “Para que Filosofia?”, tem a sua razão de ser. Em nossa cultura e em nossa sociedade, costumamos considerar que alguma coisa só tem o direito de existir se tiver alguma finalidade prática, muito visível e de utilidade imediata. Por isso, ninguém pergunta para que as ciências, pois todo mundo imagina ver a utilidade das ciências nos produtos da técnica, isto é, na aplicação científica da realidade. (...). As ciências pretendem ser conhecimentos verdadeiros, obtidos graças a procedimentos rigorosos de pensamento; pretendem agir sobre a realidade, através de instrumentos e objetos técnico; pretendem fazer progressos nos conhecimentos, corrigindo-os e aumentando-os. Ora, todas essas pretensões das ciências pressupõem que elas acreditem na existência da verdade, de procedimentos corretos para bem usar o pensamento, na tecnologia como aplicação prática de teorias, na racionalidade dos conhecimentos, porque podem ser corrigidos e aperfeiçoados. Verdade, pensamento, procedimentos especiais para conhecer fatos, relação entre teoria e prática, correção e acúmulo de saberes: tudo isso não é ciência, são </w:t>
      </w:r>
      <w:r>
        <w:rPr>
          <w:rFonts w:ascii="Times New Roman" w:hAnsi="Times New Roman" w:cs="Times New Roman"/>
          <w:b/>
          <w:shd w:val="clear" w:fill="FFFFFF"/>
        </w:rPr>
        <w:t xml:space="preserve">questões filosóficas. </w:t>
      </w:r>
      <w:r>
        <w:rPr>
          <w:rFonts w:ascii="Times New Roman" w:hAnsi="Times New Roman" w:cs="Times New Roman"/>
          <w:shd w:val="clear" w:fill="FFFFFF"/>
        </w:rPr>
        <w:t>O cientista parte delas como questões já respondidas, mas é a Filosofia quem as formula e busca respostas para elas. (CHAUÍ, 2000, p. 13).</w:t>
      </w:r>
    </w:p>
    <w:p>
      <w:pPr>
        <w:spacing w:before="0" w:after="0" w:line="240" w:lineRule="auto"/>
        <w:ind w:left="2268" w:firstLine="0"/>
        <w:jc w:val="both"/>
        <w:rPr>
          <w:rFonts w:ascii="Times New Roman" w:hAnsi="Times New Roman" w:cs="Times New Roman"/>
          <w:sz w:val="24"/>
          <w:szCs w:val="24"/>
        </w:rPr>
      </w:pPr>
    </w:p>
    <w:p>
      <w:pPr>
        <w:spacing w:before="0" w:after="0" w:line="240" w:lineRule="auto"/>
        <w:ind w:left="2268" w:firstLine="0"/>
        <w:jc w:val="both"/>
        <w:rPr>
          <w:rFonts w:ascii="Times New Roman" w:hAnsi="Times New Roman" w:cs="Times New Roman"/>
          <w:sz w:val="24"/>
          <w:szCs w:val="24"/>
        </w:rPr>
      </w:pP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Considerando que a filosofia</w:t>
      </w:r>
      <w:r>
        <w:rPr>
          <w:rStyle w:val="22"/>
          <w:rFonts w:ascii="Times New Roman" w:hAnsi="Times New Roman" w:cs="Times New Roman"/>
          <w:sz w:val="24"/>
          <w:szCs w:val="24"/>
        </w:rPr>
        <w:footnoteReference w:id="0"/>
      </w:r>
      <w:r>
        <w:rPr>
          <w:rFonts w:ascii="Times New Roman" w:hAnsi="Times New Roman" w:cs="Times New Roman"/>
          <w:sz w:val="24"/>
          <w:szCs w:val="24"/>
        </w:rPr>
        <w:t xml:space="preserve"> pode ser definida</w:t>
      </w:r>
      <w:r>
        <w:rPr>
          <w:rStyle w:val="22"/>
          <w:rFonts w:ascii="Times New Roman" w:hAnsi="Times New Roman" w:cs="Times New Roman"/>
          <w:sz w:val="24"/>
          <w:szCs w:val="24"/>
        </w:rPr>
        <w:footnoteReference w:id="1"/>
      </w:r>
      <w:r>
        <w:rPr>
          <w:rFonts w:ascii="Times New Roman" w:hAnsi="Times New Roman" w:cs="Times New Roman"/>
          <w:sz w:val="24"/>
          <w:szCs w:val="24"/>
        </w:rPr>
        <w:t>, entre infindáveis outras possibilidades de definição</w:t>
      </w:r>
      <w:r>
        <w:rPr>
          <w:rStyle w:val="22"/>
          <w:rFonts w:ascii="Times New Roman" w:hAnsi="Times New Roman" w:cs="Times New Roman"/>
          <w:sz w:val="24"/>
          <w:szCs w:val="24"/>
        </w:rPr>
        <w:footnoteReference w:id="2"/>
      </w:r>
      <w:r>
        <w:rPr>
          <w:rFonts w:ascii="Times New Roman" w:hAnsi="Times New Roman" w:cs="Times New Roman"/>
          <w:sz w:val="24"/>
          <w:szCs w:val="24"/>
        </w:rPr>
        <w:t>, ou a partir de tantos quantos filósofos já existiram e, que porventura existam na atualidade, como o campo do conhecimento humano que analisa os pressupostos, as pretensões e os fundamentos do conhecimento científico, teológico, ou mesmo do senso comum, e da ação humana no mundo, pode-se afirmar que a filosofia assume condição necessária e urgente nas pesquisas e, nos debates sobre desenvolvimento</w:t>
      </w:r>
      <w:r>
        <w:rPr>
          <w:rFonts w:ascii="Times New Roman" w:hAnsi="Times New Roman" w:cs="Times New Roman"/>
          <w:color w:val="FF0000"/>
          <w:sz w:val="24"/>
          <w:szCs w:val="24"/>
        </w:rPr>
        <w:t xml:space="preserve"> </w:t>
      </w:r>
      <w:r>
        <w:rPr>
          <w:rFonts w:ascii="Times New Roman" w:hAnsi="Times New Roman" w:cs="Times New Roman"/>
          <w:sz w:val="24"/>
          <w:szCs w:val="24"/>
        </w:rPr>
        <w:t>e, sobretudo em relação às condições e possibilidades de uma “Ciência do Desenvolvimento”. Ou seja, perpassando os diversos campos da investigação filosófica, da lógica filosófica advinda de Aristóteles do mundo antigo, à filosofia analítica e da linguagem ao longo do século XX, a atualidade, a filosofia pode contribuir com o diálogo científico multidisciplinar em torno dos pressupostos epistemológicos e conceituais que alicerçam a Ciência do Desenvolvimento e suas respectivas teorias.</w:t>
      </w:r>
    </w:p>
    <w:p>
      <w:pPr>
        <w:spacing w:before="0" w:after="0" w:line="240" w:lineRule="auto"/>
        <w:ind w:left="2268" w:firstLine="0"/>
        <w:jc w:val="both"/>
        <w:rPr>
          <w:rFonts w:ascii="Times New Roman" w:hAnsi="Times New Roman" w:cs="Times New Roman"/>
        </w:rPr>
      </w:pPr>
    </w:p>
    <w:p>
      <w:pPr>
        <w:spacing w:before="0" w:after="0" w:line="240" w:lineRule="auto"/>
        <w:ind w:left="2268" w:firstLine="0"/>
        <w:jc w:val="both"/>
        <w:rPr>
          <w:rFonts w:ascii="Times New Roman" w:hAnsi="Times New Roman"/>
        </w:rPr>
      </w:pPr>
      <w:r>
        <w:rPr>
          <w:rFonts w:ascii="Times New Roman" w:hAnsi="Times New Roman" w:cs="Times New Roman"/>
        </w:rPr>
        <w:t>[...] a filosofia não é um caos de pontos de vista incomensuráveis, nem consiste simplesmente em possuir certezas. Trata-se de ter opiniões sobre certos temas bem definidos e sustentá-las em algo diferente de uma convicção pessoal; mais ainda, o núcleo essencial da filosofia não é constituído de crenças tematicamente definidas e racionalmente fundadas, senão de problemas e soluções. [...], a filosofia possuí problemas, sendo a unidade dinâmica interna desses problemas o que está na base da multiplicidade e da mudança de temas e opiniões. Quando não há problema tampouco há filosofia. [...]. Os problemas [...] não estão ali prontos, esperando simplesmente que o pensador os tome. A sua construção (e não tão-só e em primeira linha a sua resposta) é parte essencial do trabalho filosófico. [...]. Entender um autor é ver sua filosofia como resposta “ao” problema que ele se coloca. (PORTA, 2002, pp. 25/26).</w:t>
      </w:r>
    </w:p>
    <w:p>
      <w:pPr>
        <w:spacing w:before="0" w:after="0" w:line="240" w:lineRule="auto"/>
        <w:ind w:left="2268" w:firstLine="0"/>
        <w:jc w:val="both"/>
        <w:rPr>
          <w:rFonts w:ascii="Times New Roman" w:hAnsi="Times New Roman"/>
        </w:rPr>
      </w:pP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No âmbito da especificidade desta pesquisa, nos concentraremos em algumas contribuições advindas da Filosofia Política</w:t>
      </w:r>
      <w:r>
        <w:rPr>
          <w:rStyle w:val="22"/>
          <w:rFonts w:ascii="Times New Roman" w:hAnsi="Times New Roman" w:cs="Times New Roman"/>
          <w:sz w:val="24"/>
          <w:szCs w:val="24"/>
        </w:rPr>
        <w:footnoteReference w:id="3"/>
      </w:r>
      <w:r>
        <w:rPr>
          <w:rFonts w:ascii="Times New Roman" w:hAnsi="Times New Roman" w:cs="Times New Roman"/>
          <w:sz w:val="24"/>
          <w:szCs w:val="24"/>
        </w:rPr>
        <w:t>. Talvez até possamos definir estas pretensas contribuições no contexto de uma epistemologia política do desenvolvimento. Ou seja, de procurar demonstrar a partir do método genealógico de investigação filosófica, visões de mundo que conformam o campo paradigmático que confere sustentabilidade às teorias do desenvolvimento, bem como justifica demandas e iniciativas sociais, políticas e institucionais no alcance do desenvolvimento local e regional na atualidade. Importante observar que a opção filosófica pelo método genealógico neste exercício reflexivo não desconsidera, muito menos exclui outros métodos filosóficos de investigação, entres eles: o materialismo histórico, intensa e profundamente utilizado pelo filósofo brasileiro Álvaro Vieira Pinto, e mesmo Theotônio dos Santos, na constituição de sua filosofia do desenvolvimento nacional. Ou ainda outros métodos filosóficos como o positivismo, a fenomenologia.</w:t>
      </w:r>
    </w:p>
    <w:p>
      <w:pPr>
        <w:spacing w:before="0" w:after="0" w:line="360" w:lineRule="auto"/>
        <w:jc w:val="both"/>
        <w:rPr>
          <w:rFonts w:ascii="Times New Roman" w:hAnsi="Times New Roman" w:cs="Times New Roman"/>
          <w:sz w:val="24"/>
          <w:szCs w:val="24"/>
        </w:rPr>
      </w:pPr>
    </w:p>
    <w:p>
      <w:pPr>
        <w:spacing w:before="0" w:after="0" w:line="360" w:lineRule="auto"/>
        <w:jc w:val="both"/>
        <w:rPr>
          <w:rFonts w:ascii="Times New Roman" w:hAnsi="Times New Roman"/>
          <w:sz w:val="24"/>
          <w:szCs w:val="24"/>
        </w:rPr>
      </w:pPr>
      <w:r>
        <w:rPr>
          <w:rFonts w:ascii="Times New Roman" w:hAnsi="Times New Roman" w:cs="Times New Roman"/>
          <w:b/>
          <w:sz w:val="24"/>
          <w:szCs w:val="24"/>
        </w:rPr>
        <w:t>3.2 O método genealógico e o conceito de desenvolvimento</w:t>
      </w:r>
    </w:p>
    <w:p>
      <w:pPr>
        <w:spacing w:before="0" w:after="0" w:line="360" w:lineRule="auto"/>
        <w:jc w:val="both"/>
        <w:rPr>
          <w:rFonts w:ascii="Times New Roman" w:hAnsi="Times New Roman" w:cs="Times New Roman"/>
          <w:b/>
          <w:sz w:val="24"/>
          <w:szCs w:val="24"/>
          <w:shd w:val="clear" w:fill="FFBF00"/>
        </w:rPr>
      </w:pP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Portanto, iniciemos pelo método genealógico. Nietzsche</w:t>
      </w:r>
      <w:r>
        <w:rPr>
          <w:rStyle w:val="22"/>
          <w:rFonts w:ascii="Times New Roman" w:hAnsi="Times New Roman" w:cs="Times New Roman"/>
          <w:sz w:val="24"/>
          <w:szCs w:val="24"/>
        </w:rPr>
        <w:footnoteReference w:id="4"/>
      </w:r>
      <w:r>
        <w:rPr>
          <w:rFonts w:ascii="Times New Roman" w:hAnsi="Times New Roman" w:cs="Times New Roman"/>
          <w:sz w:val="24"/>
          <w:szCs w:val="24"/>
        </w:rPr>
        <w:t xml:space="preserve"> o concebeu e demonstrou ao longo de sua obra sua importância estratégica para a compreensão de ideias, concepções, práticas, preconceitos e, até ressentimentos vigentes no presente, mas cujas origens se encontram em contextos passados precisos e, que a vivência cotidiana no transcurso do tempo se encarrega de lançar no esquecimento. Nietzsche demonstra tal pertinência da genealogia</w:t>
      </w:r>
      <w:r>
        <w:rPr>
          <w:rStyle w:val="22"/>
          <w:rFonts w:ascii="Times New Roman" w:hAnsi="Times New Roman" w:cs="Times New Roman"/>
          <w:sz w:val="24"/>
          <w:szCs w:val="24"/>
        </w:rPr>
        <w:footnoteReference w:id="5"/>
      </w:r>
      <w:r>
        <w:rPr>
          <w:rFonts w:ascii="Times New Roman" w:hAnsi="Times New Roman" w:cs="Times New Roman"/>
          <w:sz w:val="24"/>
          <w:szCs w:val="24"/>
        </w:rPr>
        <w:t>, especificamente no livro: “A Genealogia da Moral”, em que o filósofo investiga os arquétipos que estão nos fundamentos de nossas concepções de bem, de mal, do sentimento de culpa, de dívida, do ressentimento em relação à vida. Michel Foucault apresenta-se como herdeiro de Nietzsche, assume o método genealógico na investigação da governamentalidade política, jurídica, econômica que se constituiu na modernidade estabelecendo as tecnologias disciplinares na docilização dos corpos e, de controle dos indivíduos e da população no contexto biopolítico. O filósofo Roberto Machado na Introdução do livro “Microfísica do Poder”, intitulada: “Por uma genealogia do poder”, apresenta na seguinte direção, a perspectiva genealógica de Foucault:</w:t>
      </w:r>
    </w:p>
    <w:p>
      <w:pPr>
        <w:spacing w:before="0" w:after="0" w:line="240" w:lineRule="auto"/>
        <w:ind w:left="2268" w:firstLine="0"/>
        <w:jc w:val="both"/>
        <w:rPr>
          <w:rFonts w:ascii="Times New Roman" w:hAnsi="Times New Roman" w:cs="Times New Roman"/>
          <w:sz w:val="24"/>
          <w:szCs w:val="24"/>
        </w:rPr>
      </w:pPr>
    </w:p>
    <w:p>
      <w:pPr>
        <w:spacing w:before="0" w:after="0" w:line="240" w:lineRule="auto"/>
        <w:ind w:left="2268" w:firstLine="0"/>
        <w:jc w:val="both"/>
        <w:rPr>
          <w:rFonts w:ascii="Times New Roman" w:hAnsi="Times New Roman"/>
        </w:rPr>
      </w:pPr>
      <w:r>
        <w:rPr>
          <w:rFonts w:ascii="Times New Roman" w:hAnsi="Times New Roman" w:cs="Times New Roman"/>
        </w:rPr>
        <w:t xml:space="preserve">[...] para a genealogia que ele tem realizado é a dos mecanismos e técnicas infinitesimais do poder que estão intimamente relacionados com a produção de terminados saberes – sobre o criminoso, a sexualidade, a doença, a loucura, etc. – e analisar como esses micro-poderes, que possuem tecnologia e história específicas, se relacionam com o nível mais geral do poder constituído pelo aparelho de Estado. [...]. O interessante da análise é justamente que os poderes não estão localizados em nenhum ponto específico da estrutura social. Funcionam como uma rede de dispositivos ou mecanismos a que nada ou ninguém escapa, a que não existe exterior possível, limites, ou fronteiras. Daí a importante e polêmica ideia de que o poder não é algo que se detém como uma coisa, como uma propriedade, que se possuí ou não. [..]. O que faz a genealogia é considerar o saber – compreendido como materialidade, como prática, como acontecimento – como peça de um dispositivo político que, enquanto dispositivo, se articula com a estrutura econômica. (MACHADO, </w:t>
      </w:r>
      <w:r>
        <w:rPr>
          <w:rFonts w:ascii="Times New Roman" w:hAnsi="Times New Roman" w:cs="Times New Roman"/>
          <w:i/>
        </w:rPr>
        <w:t xml:space="preserve">apud </w:t>
      </w:r>
      <w:r>
        <w:rPr>
          <w:rFonts w:ascii="Times New Roman" w:hAnsi="Times New Roman" w:cs="Times New Roman"/>
        </w:rPr>
        <w:t xml:space="preserve"> FOUCAULLT, 1979, pp. XIII/XIV/XXI) </w:t>
      </w:r>
    </w:p>
    <w:p>
      <w:pPr>
        <w:spacing w:before="0" w:after="0" w:line="240" w:lineRule="auto"/>
        <w:ind w:left="2268" w:firstLine="0"/>
        <w:jc w:val="both"/>
        <w:rPr>
          <w:rFonts w:ascii="Times New Roman" w:hAnsi="Times New Roman" w:cs="Times New Roman"/>
          <w:sz w:val="24"/>
          <w:szCs w:val="24"/>
        </w:rPr>
      </w:pP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Por seu turno, o filósofo e jurista italiano Giorgio Agamben retoma a seu modo o método – genealógico como forma de reconhecer</w:t>
      </w:r>
      <w:r>
        <w:rPr>
          <w:rStyle w:val="22"/>
          <w:rFonts w:ascii="Times New Roman" w:hAnsi="Times New Roman" w:cs="Times New Roman"/>
          <w:sz w:val="24"/>
          <w:szCs w:val="24"/>
        </w:rPr>
        <w:footnoteReference w:id="6"/>
      </w:r>
      <w:r>
        <w:rPr>
          <w:rFonts w:ascii="Times New Roman" w:hAnsi="Times New Roman" w:cs="Times New Roman"/>
          <w:sz w:val="24"/>
          <w:szCs w:val="24"/>
        </w:rPr>
        <w:t xml:space="preserve"> nas concepções, nas teorias, nos conceitos, nas instituições, nas ações do presente as assinaturas</w:t>
      </w:r>
      <w:r>
        <w:rPr>
          <w:rStyle w:val="22"/>
          <w:rFonts w:ascii="Times New Roman" w:hAnsi="Times New Roman" w:cs="Times New Roman"/>
          <w:sz w:val="24"/>
          <w:szCs w:val="24"/>
        </w:rPr>
        <w:footnoteReference w:id="7"/>
      </w:r>
      <w:r>
        <w:rPr>
          <w:rFonts w:ascii="Times New Roman" w:hAnsi="Times New Roman" w:cs="Times New Roman"/>
          <w:sz w:val="24"/>
          <w:szCs w:val="24"/>
        </w:rPr>
        <w:t xml:space="preserve"> de concepções, teorias, conceitos e práticas vivenciadas em determinado contexto da trama civilizatória em que nos inserimos. O reconhecimento genealógico destas assinaturas em determinados conceitos, concepções e práticas do pressente conforma um campo paradigmático, a partir do qual se pode compreender determinados fenômenos em que se insere a vida, o pensamento, o fazer científico, político, jurídico e econômico na atualidade. Nas palavras do filósofo:</w:t>
      </w:r>
    </w:p>
    <w:p>
      <w:pPr>
        <w:spacing w:before="0" w:after="0" w:line="240" w:lineRule="auto"/>
        <w:ind w:left="2268" w:firstLine="0"/>
        <w:jc w:val="both"/>
        <w:rPr>
          <w:rFonts w:ascii="Times New Roman" w:hAnsi="Times New Roman" w:cs="Times New Roman"/>
        </w:rPr>
      </w:pPr>
    </w:p>
    <w:p>
      <w:pPr>
        <w:spacing w:before="0" w:after="0" w:line="240" w:lineRule="auto"/>
        <w:ind w:left="2268" w:firstLine="0"/>
        <w:jc w:val="both"/>
        <w:rPr>
          <w:rFonts w:ascii="Times New Roman" w:hAnsi="Times New Roman" w:cs="Times New Roman"/>
        </w:rPr>
      </w:pPr>
      <w:r>
        <w:rPr>
          <w:rFonts w:ascii="Times New Roman" w:hAnsi="Times New Roman" w:cs="Times New Roman"/>
        </w:rPr>
        <w:t>15.Tentemos, a esta altura, fixar em forma de tese alguns traços que, segundo nossa análise, definem o paradigma:</w:t>
      </w:r>
    </w:p>
    <w:p>
      <w:pPr>
        <w:spacing w:before="0" w:after="0" w:line="240" w:lineRule="auto"/>
        <w:ind w:left="2268" w:firstLine="0"/>
        <w:jc w:val="both"/>
        <w:rPr>
          <w:rFonts w:ascii="Times New Roman" w:hAnsi="Times New Roman" w:cs="Times New Roman"/>
          <w:shd w:val="clear" w:fill="FFFFFF"/>
        </w:rPr>
      </w:pPr>
      <w:r>
        <w:rPr>
          <w:rFonts w:ascii="Times New Roman" w:hAnsi="Times New Roman" w:cs="Times New Roman"/>
          <w:shd w:val="clear" w:fill="FFFFFF"/>
        </w:rPr>
        <w:t>1 ) O paradigma é uma forma de conhecimento que não é nem indutivo, nem dedutivo, mas analógico, que se move da singularidade para a singularidade.</w:t>
      </w:r>
      <w:r>
        <w:rPr>
          <w:rFonts w:ascii="Times New Roman" w:hAnsi="Times New Roman" w:cs="Times New Roman"/>
        </w:rPr>
        <w:br w:type="textWrapping"/>
      </w:r>
      <w:r>
        <w:rPr>
          <w:rFonts w:ascii="Times New Roman" w:hAnsi="Times New Roman" w:cs="Times New Roman"/>
          <w:shd w:val="clear" w:fill="FFFFFF"/>
        </w:rPr>
        <w:t>2 ) Neutralizando a dicotomia entre o geral e o particular, ele substitui a lógica dicotômica por um modelo analógico bipolar. 3) O caso paradigmático se torna tal suspendendo e, ao mesmo tempo, expondo seu pertencimento ao conjunto, de forma que nunca é possível separar nele exemplaridade e singularidade.</w:t>
      </w:r>
    </w:p>
    <w:p>
      <w:pPr>
        <w:spacing w:before="0" w:after="0" w:line="240" w:lineRule="auto"/>
        <w:ind w:left="2268" w:firstLine="0"/>
        <w:jc w:val="both"/>
        <w:rPr>
          <w:rFonts w:ascii="Times New Roman" w:hAnsi="Times New Roman" w:cs="Times New Roman"/>
          <w:shd w:val="clear" w:fill="FFFFFF"/>
        </w:rPr>
      </w:pPr>
      <w:r>
        <w:rPr>
          <w:rFonts w:ascii="Times New Roman" w:hAnsi="Times New Roman" w:cs="Times New Roman"/>
          <w:shd w:val="clear" w:fill="FFFFFF"/>
        </w:rPr>
        <w:t>4 ) O conjunto paradigmático nunca é pressuposto aos paradigmas, mas permanece imanente a eles.</w:t>
      </w:r>
    </w:p>
    <w:p>
      <w:pPr>
        <w:spacing w:before="0" w:after="0" w:line="240" w:lineRule="auto"/>
        <w:ind w:left="2268" w:firstLine="0"/>
        <w:jc w:val="both"/>
        <w:rPr>
          <w:rFonts w:ascii="Times New Roman" w:hAnsi="Times New Roman" w:cs="Times New Roman"/>
          <w:shd w:val="clear" w:fill="FFFFFF"/>
        </w:rPr>
      </w:pPr>
      <w:r>
        <w:rPr>
          <w:rFonts w:ascii="Times New Roman" w:hAnsi="Times New Roman" w:cs="Times New Roman"/>
          <w:shd w:val="clear" w:fill="FFFFFF"/>
        </w:rPr>
        <w:t>5 ) Não há, no paradigma, uma origem ou uma arché: cada fenômeno é a origem, cada imagem é arcaica.</w:t>
      </w:r>
    </w:p>
    <w:p>
      <w:pPr>
        <w:spacing w:before="0" w:after="0" w:line="240" w:lineRule="auto"/>
        <w:ind w:left="2268" w:firstLine="0"/>
        <w:jc w:val="both"/>
        <w:rPr>
          <w:rFonts w:ascii="Times New Roman" w:hAnsi="Times New Roman"/>
          <w:sz w:val="24"/>
          <w:szCs w:val="24"/>
        </w:rPr>
      </w:pPr>
      <w:r>
        <w:rPr>
          <w:rFonts w:ascii="Times New Roman" w:hAnsi="Times New Roman" w:cs="Times New Roman"/>
          <w:shd w:val="clear" w:fill="FFFFFF"/>
        </w:rPr>
        <w:t>6 ) A historicidade do paradigma não está nem na diacronia , nem na sincronia, mas num cruzamento entre elas. (AGAMBEN, 2019, p. 41).</w:t>
      </w:r>
    </w:p>
    <w:p>
      <w:pPr>
        <w:spacing w:before="0" w:after="0" w:line="240" w:lineRule="auto"/>
        <w:ind w:left="851" w:firstLine="0"/>
        <w:jc w:val="both"/>
        <w:rPr>
          <w:rFonts w:ascii="Times New Roman" w:hAnsi="Times New Roman"/>
          <w:sz w:val="24"/>
          <w:szCs w:val="24"/>
        </w:rPr>
      </w:pP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 xml:space="preserve">Diante do exposto, façamos uma incursão genealógica em torno do termo desenvolvimento. Iniciemos este exercício reflexivo ressaltando alguns aspectos da definição de desenvolvimento que encontramos em importantes dicionários da língua portuguesa. 1. Movimento em direção ao melhor; 2. Adiantamento, crescimento, aumento, progresso; 3. Crescimento ou formação gradual de uma coisa; estado ou forma que se pode alcançar; Processo ou resultado do aperfeiçoamento de uma determinada situação. O aspecto comum que encontramos nestas definições da língua portuguesa relativa ao termo desenvolvimento é a ideia de movimento, de algo, ou de uma determinada situação, ou condição que parte de ponto A em direção de um ponto B. No ponto A reside a potencialidade de se alcançar o ponto B.  </w:t>
      </w: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 xml:space="preserve">Sob perspectiva genealógica, encontramos uma assinatura do que concebemos como desenvolvimento na contemporaneidade, em Heráclito de Éfeso, pensador pré-socrático, cujos registros doxográficos oferecem indicativos de que teria vivido por volta do século V a.C. na Grécia Antiga. Uma das principais contribuições das prerrogativas filosóficas de Heráclito foi argumentar que a </w:t>
      </w:r>
      <w:r>
        <w:rPr>
          <w:rFonts w:ascii="Times New Roman" w:hAnsi="Times New Roman" w:cs="Times New Roman"/>
          <w:i/>
          <w:sz w:val="24"/>
          <w:szCs w:val="24"/>
        </w:rPr>
        <w:t>Physis</w:t>
      </w:r>
      <w:r>
        <w:rPr>
          <w:rStyle w:val="22"/>
          <w:rFonts w:ascii="Times New Roman" w:hAnsi="Times New Roman" w:cs="Times New Roman"/>
          <w:i/>
          <w:sz w:val="24"/>
          <w:szCs w:val="24"/>
        </w:rPr>
        <w:footnoteReference w:id="8"/>
      </w:r>
      <w:r>
        <w:rPr>
          <w:rFonts w:ascii="Times New Roman" w:hAnsi="Times New Roman" w:cs="Times New Roman"/>
          <w:i/>
          <w:sz w:val="24"/>
          <w:szCs w:val="24"/>
        </w:rPr>
        <w:t xml:space="preserve">, </w:t>
      </w:r>
      <w:r>
        <w:rPr>
          <w:rFonts w:ascii="Times New Roman" w:hAnsi="Times New Roman" w:cs="Times New Roman"/>
          <w:sz w:val="24"/>
          <w:szCs w:val="24"/>
        </w:rPr>
        <w:t xml:space="preserve">aquilo que nomeamos de realidade e os entes que nela se apresentam se encontra em constante devir, em constante vir-a-ser, em constante mudança. O deslocamento, o movimento, a passagem, a transição de uma determinada situação a outra é que caracteriza a </w:t>
      </w:r>
      <w:r>
        <w:rPr>
          <w:rFonts w:ascii="Times New Roman" w:hAnsi="Times New Roman" w:cs="Times New Roman"/>
          <w:i/>
          <w:sz w:val="24"/>
          <w:szCs w:val="24"/>
        </w:rPr>
        <w:t xml:space="preserve">Physis, </w:t>
      </w:r>
      <w:r>
        <w:rPr>
          <w:rFonts w:ascii="Times New Roman" w:hAnsi="Times New Roman" w:cs="Times New Roman"/>
          <w:sz w:val="24"/>
          <w:szCs w:val="24"/>
        </w:rPr>
        <w:t>a realidade. Encontramos tais argumentos em algumas passagens da reconstituição doxográfica do pensamento do autor presente em textos de filósofos que o citam, a partir de outros relatos de pensadores e escritores do período. Vejamos alguns deles:</w:t>
      </w:r>
    </w:p>
    <w:p>
      <w:pPr>
        <w:spacing w:before="0" w:after="0" w:line="360" w:lineRule="auto"/>
        <w:ind w:firstLine="851"/>
        <w:jc w:val="both"/>
        <w:rPr>
          <w:rFonts w:ascii="Times New Roman" w:hAnsi="Times New Roman" w:cs="Times New Roman"/>
          <w:sz w:val="24"/>
          <w:szCs w:val="24"/>
        </w:rPr>
      </w:pPr>
    </w:p>
    <w:p>
      <w:pPr>
        <w:spacing w:before="0" w:after="0" w:line="240" w:lineRule="auto"/>
        <w:ind w:left="2268" w:firstLine="0"/>
        <w:jc w:val="both"/>
        <w:rPr>
          <w:rFonts w:ascii="Times New Roman" w:hAnsi="Times New Roman"/>
        </w:rPr>
      </w:pPr>
      <w:r>
        <w:rPr>
          <w:rFonts w:ascii="Times New Roman" w:hAnsi="Times New Roman" w:cs="Times New Roman"/>
        </w:rPr>
        <w:t>30 – Este mundo, igual para todos, nenhum dos deuses e nenhum dos homens o fez; sempre foi, é e será um fogo eternamente vivo, ascendendo-se e apagando-se conforme a medida. (...). 36 – Para as almas, morrer é transformar-se em água; para a água, morrer é transformar-se em terra. Da terra, contudo, forma-se a água, e da água a alma. (...). 52 – O tempo é uma criança que brinca, movendo as pedras do jogo para lá e para cá; governo de criança. (...). 53 – A guerra é o pai de todas as coisas e de todas o rei; de uns fez deuses, de outros, homens; de uns, escravos, de outros homens livres. (...). 88 – Em nós, manifesta-se sempre uma e a mesma coisa: vida e morte, vigília e sono, juventude e velhice. Pois a mudança de um dá o outro e reciprocamente. (...).  91 – Não se pode entrar duas vezes no mesmo rio. Dispersa-se e reúne-se; avança e se retira. (BORNHEIM, 1977, pp. 38/39/41).</w:t>
      </w:r>
    </w:p>
    <w:p>
      <w:pPr>
        <w:spacing w:before="0" w:after="0" w:line="240" w:lineRule="auto"/>
        <w:ind w:left="2268" w:firstLine="0"/>
        <w:jc w:val="both"/>
        <w:rPr>
          <w:rFonts w:ascii="Times New Roman" w:hAnsi="Times New Roman" w:cs="Times New Roman"/>
          <w:sz w:val="24"/>
          <w:szCs w:val="24"/>
        </w:rPr>
      </w:pP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Sob tal perspectiva genealógica, no termo desenvolvimento encontramos outra  assinatura advinda da relação entre Ato e Potência concebida por Aristóteles.  O pensador estagirita procurava oferecer uma forma de compreensão da dinâmica do vir-a-ser, da mudança e da permanência inerente aos entes que se apresentam na existência. Nesta direção, Aristóteles argumenta na sua obra “Metafísica”, que o movimento que demarca a permanência, tanto quanto a mudança dos entes, da natureza, do mundo em sua totalidade, possui sua natureza primeira, seu fundamento na relação entre Ato e Potência.  Todos os seres existem em Ato e em Potência. Em ato reside a potência de ser, de constituir-se, de alcançar outra condição.  Porém, a potência não se esgota no ato, mas mantém em ato sua condição de vir-a-ser, sua potência. (BAZZANELLA, 2012)</w:t>
      </w: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Ou dito de outra forma, o Ato, a forma que o ente assume em sua presentificação, não significa o esgotamento da potência, mas sua atualização como potência. Tal condição, implica reconhecer que é inerente a todo e qualquer ente que se apresenta à existência a condição do movimento, da constante busca de realização de suas plenas potencialidades. Assim, a Potência ao fazer a passagem para o Ato potencializa-se, atualizando-se constantemente em ato. A potência não se esgota no Ato, mas potencializa sua própria condição. Sob tais pressupostos, a passagem da Potência para o Ato não significa necessariamente que as coisas se tornam melhores em sua atualidade (ato), mas que a potência se mantém como potência de algo à medida que permanece como horizonte de possibilidades, como irrealizável em sua potencialidade, potencializando o movimento, a constante dinâmica do vir-a-ser. (BAZZANELLA, 2012)</w:t>
      </w:r>
    </w:p>
    <w:p>
      <w:pPr>
        <w:spacing w:before="0" w:after="0" w:line="240" w:lineRule="auto"/>
        <w:ind w:left="2268" w:firstLine="0"/>
        <w:jc w:val="both"/>
        <w:rPr>
          <w:rFonts w:ascii="Times New Roman" w:hAnsi="Times New Roman" w:cs="Times New Roman"/>
          <w:sz w:val="24"/>
          <w:szCs w:val="24"/>
        </w:rPr>
      </w:pPr>
    </w:p>
    <w:p>
      <w:pPr>
        <w:spacing w:before="0" w:after="0" w:line="240" w:lineRule="auto"/>
        <w:ind w:left="2268" w:firstLine="0"/>
        <w:jc w:val="both"/>
        <w:rPr>
          <w:rFonts w:ascii="Times New Roman" w:hAnsi="Times New Roman"/>
        </w:rPr>
      </w:pPr>
      <w:r>
        <w:rPr>
          <w:rFonts w:ascii="Times New Roman" w:hAnsi="Times New Roman" w:cs="Times New Roman"/>
        </w:rPr>
        <w:t xml:space="preserve">Algo é em potência se o traduzir-se em ato daquilo de que se diz ser ele em potência não implica nenhuma impossibilidade. Dou um exemplo: se alguém tem potência para sentar-se e pode sentar-se, não terá nenhuma impossibilidade de fazê-lo quando tiver que sentar. E de modo semelhante quando se tratar da potência de ser movido ou de se mover, de estar parado ou de parar, de ser ou de vir a ser, de não ser ou de não advir. O termo ato, que se liga estreitamente ao termo </w:t>
      </w:r>
      <w:r>
        <w:rPr>
          <w:rFonts w:ascii="Times New Roman" w:hAnsi="Times New Roman" w:cs="Times New Roman"/>
          <w:i/>
        </w:rPr>
        <w:t>enteléquia</w:t>
      </w:r>
      <w:r>
        <w:rPr>
          <w:rFonts w:ascii="Times New Roman" w:hAnsi="Times New Roman" w:cs="Times New Roman"/>
        </w:rPr>
        <w:t>, mesmo que se estenda a outros casos, deriva sobretudo dos movimentos: parece que o ato e, principalmente, o movimento. Por essa razão não se atribui o movimento às coisas que não existem, mas se lhe atribui os outros predicados: por exemplo, pode-se dizer eu as coisas que não existem são pensáveis e desejáveis, mas não que são em movimento. E isso porque, mesmo não sendo em ato, deveriam ser em ato. De fato, entre as coisas que não são, algumas são em potência, mas não existem de fato, justamente porque não são em ato. (ARISTÓTELES, 2005, p. 404/405)</w:t>
      </w:r>
    </w:p>
    <w:p>
      <w:pPr>
        <w:spacing w:before="0" w:after="0" w:line="240" w:lineRule="auto"/>
        <w:ind w:left="2268" w:firstLine="0"/>
        <w:jc w:val="both"/>
        <w:rPr>
          <w:rFonts w:ascii="Times New Roman" w:hAnsi="Times New Roman" w:cs="Times New Roman"/>
          <w:sz w:val="24"/>
          <w:szCs w:val="24"/>
        </w:rPr>
      </w:pP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 xml:space="preserve">Sob tais perspectivas genealógicas, pensar o desenvolvimento significa conceber uma determinada condição, seja ela, social, política, econômica, sob a prerrogativa do movimento, da dinâmica do vir-a-ser, da possibilidade de tornar-se algo, de alcançar certo estágio a partir do reconhecimento de defasagem, da falta, da incompletude. O reconhecimento de nossa condição de país periférico, subdesenvolvido, ou se quiserem emergente, implica movimentos sociais, econômicos, culturais e políticos que requerem que almejemos o alcance humano, social e político de povo desenvolvido. </w:t>
      </w: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Mas, avancemos na investigação genealógica, no reconhecimento das assinaturas que nossa concepção de desenvolvimento na atualidade comporta de contextos e concepções específicas, manifesto em determinados momentos da trajetória ocidental. Aquilo que nomeamos de Ocidente</w:t>
      </w:r>
      <w:r>
        <w:rPr>
          <w:rStyle w:val="22"/>
          <w:rFonts w:ascii="Times New Roman" w:hAnsi="Times New Roman" w:cs="Times New Roman"/>
          <w:sz w:val="24"/>
          <w:szCs w:val="24"/>
        </w:rPr>
        <w:footnoteReference w:id="9"/>
      </w:r>
      <w:r>
        <w:rPr>
          <w:rFonts w:ascii="Times New Roman" w:hAnsi="Times New Roman" w:cs="Times New Roman"/>
          <w:sz w:val="24"/>
          <w:szCs w:val="24"/>
        </w:rPr>
        <w:t>, ou de Civilização Ocidental e, da qual em maior ou menor grau fazemos parte é resultante do entrecruzamento de duas tradições civilizatórias. A tradição greco-romana, de quem herdamos certo uso singular da razão, que nomeamos de filosofia, bem como das instituições e do direito romano, com a tradição monoteísta judaico-cristã. Estas duas tradições se entrecruzam ao longo dos séculos conformando o Ocidente e a modernidade.</w:t>
      </w:r>
    </w:p>
    <w:p>
      <w:pPr>
        <w:spacing w:before="0" w:after="0" w:line="360" w:lineRule="auto"/>
        <w:ind w:firstLine="851"/>
        <w:jc w:val="both"/>
        <w:rPr>
          <w:rFonts w:ascii="Times New Roman" w:hAnsi="Times New Roman"/>
          <w:sz w:val="24"/>
          <w:szCs w:val="24"/>
        </w:rPr>
      </w:pPr>
      <w:r>
        <w:rPr>
          <w:rFonts w:ascii="Times New Roman" w:hAnsi="Times New Roman" w:cs="Times New Roman"/>
          <w:sz w:val="24"/>
          <w:szCs w:val="24"/>
        </w:rPr>
        <w:t>Mas, o que herdamos da tradição judaico-cristã que conforma nossa concepção de desenvolvimento? Herdamos a concepção de o mundo foi criado por um ato voluntarioso, a partir de uma causa, causante não causada. Deus. Absoluto em sua condição</w:t>
      </w:r>
      <w:r>
        <w:rPr>
          <w:rStyle w:val="22"/>
          <w:rFonts w:ascii="Times New Roman" w:hAnsi="Times New Roman" w:cs="Times New Roman"/>
          <w:sz w:val="24"/>
          <w:szCs w:val="24"/>
        </w:rPr>
        <w:footnoteReference w:id="10"/>
      </w:r>
      <w:r>
        <w:rPr>
          <w:rFonts w:ascii="Times New Roman" w:hAnsi="Times New Roman" w:cs="Times New Roman"/>
          <w:sz w:val="24"/>
          <w:szCs w:val="24"/>
        </w:rPr>
        <w:t xml:space="preserve">.  Neste contexto, o ato da criação não se dá </w:t>
      </w:r>
      <w:r>
        <w:rPr>
          <w:rFonts w:ascii="Times New Roman" w:hAnsi="Times New Roman" w:cs="Times New Roman"/>
          <w:i/>
          <w:sz w:val="24"/>
          <w:szCs w:val="24"/>
        </w:rPr>
        <w:t>ex-nihilo</w:t>
      </w:r>
      <w:r>
        <w:rPr>
          <w:rFonts w:ascii="Times New Roman" w:hAnsi="Times New Roman" w:cs="Times New Roman"/>
          <w:sz w:val="24"/>
          <w:szCs w:val="24"/>
        </w:rPr>
        <w:t xml:space="preserve">, mas a partir de um projeto da criação no centro do qual se encontra o ser humano, imagem e semelhança de seu criador. Este projeto da criação encontra-se condicionado por uma economia da salvação. Ou seja, o </w:t>
      </w:r>
      <w:r>
        <w:rPr>
          <w:rFonts w:ascii="Times New Roman" w:hAnsi="Times New Roman" w:cs="Times New Roman"/>
          <w:i/>
          <w:sz w:val="24"/>
          <w:szCs w:val="24"/>
        </w:rPr>
        <w:t xml:space="preserve">locus por </w:t>
      </w:r>
      <w:r>
        <w:rPr>
          <w:rFonts w:ascii="Times New Roman" w:hAnsi="Times New Roman" w:cs="Times New Roman"/>
          <w:i/>
          <w:iCs/>
          <w:sz w:val="24"/>
          <w:szCs w:val="24"/>
        </w:rPr>
        <w:t>excellence</w:t>
      </w:r>
      <w:r>
        <w:rPr>
          <w:rFonts w:ascii="Times New Roman" w:hAnsi="Times New Roman" w:cs="Times New Roman"/>
          <w:sz w:val="24"/>
          <w:szCs w:val="24"/>
        </w:rPr>
        <w:t xml:space="preserve"> da natureza humana no contexto do projeto da criação vincula-se a dimensão teleológia pressuposto pela economia da salvação. Ou dito de outra forma, a existência humana como resultado da criação está vinculada a uma finalidade que se realiza no tempo presente, cuja meta final e a salvação, se configuram como um retorno ao criador. Assim, a plena realização humana se confirma no ato da salvação. Todo o transcurso de uma vida é o alcance da perfeição moral instituída no ato da criação a realizar-se plenamente no ato da salvação. Assim, encontramos na concepção moderna de desenvolvimento duas  assinaturas, o princípio teleológico que se caracteriza por movimentos cuja finalidade deve ser alcançada no transcurso de um determinado tempo, tratando-se, portanto do princípio escatológico, da finalidade que se realiza no transcurso do tempo presente em função de um tempo futuro. </w:t>
      </w:r>
      <w:r>
        <w:rPr>
          <w:rFonts w:ascii="Times New Roman" w:hAnsi="Times New Roman" w:cs="Times New Roman"/>
          <w:color w:val="C9211E"/>
          <w:sz w:val="24"/>
          <w:szCs w:val="24"/>
        </w:rPr>
        <w:t xml:space="preserve">E </w:t>
      </w:r>
      <w:r>
        <w:rPr>
          <w:rFonts w:ascii="Times New Roman" w:hAnsi="Times New Roman" w:cs="Times New Roman"/>
          <w:sz w:val="24"/>
          <w:szCs w:val="24"/>
        </w:rPr>
        <w:t xml:space="preserve">esse tempo futuro está sempre por vir, por chegar, é sempre algo que virá, e que está articulado a determinados fatores, comportamentos, investimentos, condicionando agir, política e energia para assegurar o tempo vindouro. </w:t>
      </w:r>
    </w:p>
    <w:p>
      <w:pPr>
        <w:spacing w:before="0" w:after="0" w:line="360" w:lineRule="auto"/>
        <w:ind w:firstLine="851"/>
        <w:jc w:val="both"/>
        <w:rPr>
          <w:rFonts w:ascii="Times New Roman" w:hAnsi="Times New Roman"/>
          <w:sz w:val="24"/>
          <w:szCs w:val="24"/>
        </w:rPr>
      </w:pPr>
      <w:r>
        <w:rPr>
          <w:rFonts w:ascii="Times New Roman" w:hAnsi="Times New Roman"/>
          <w:sz w:val="24"/>
          <w:szCs w:val="24"/>
        </w:rPr>
        <w:t>Portanto, a modernidade</w:t>
      </w:r>
      <w:r>
        <w:rPr>
          <w:rStyle w:val="22"/>
          <w:rFonts w:ascii="Times New Roman" w:hAnsi="Times New Roman"/>
          <w:sz w:val="24"/>
          <w:szCs w:val="24"/>
        </w:rPr>
        <w:footnoteReference w:id="11"/>
      </w:r>
      <w:r>
        <w:rPr>
          <w:rFonts w:ascii="Times New Roman" w:hAnsi="Times New Roman"/>
          <w:sz w:val="24"/>
          <w:szCs w:val="24"/>
        </w:rPr>
        <w:t xml:space="preserve"> seculariza, traz para o século, para o tempo presente as assinaturas ontológicas aristotélicas advindas do mundo antigo greco-romano e, as prerrogativas teológicas monoteístas judaico-cristãs medievais</w:t>
      </w:r>
      <w:r>
        <w:rPr>
          <w:rStyle w:val="22"/>
          <w:rFonts w:ascii="Times New Roman" w:hAnsi="Times New Roman"/>
          <w:sz w:val="24"/>
          <w:szCs w:val="24"/>
        </w:rPr>
        <w:footnoteReference w:id="12"/>
      </w:r>
      <w:r>
        <w:rPr>
          <w:rFonts w:ascii="Times New Roman" w:hAnsi="Times New Roman"/>
          <w:sz w:val="24"/>
          <w:szCs w:val="24"/>
        </w:rPr>
        <w:t xml:space="preserve">, demarcando na concepção de desenvolvimento a ideia de movimento, de transcurso de um ponto A para um ponto B, de subdesenvolvido para desenvolvido. Este movimento (inerente a concepção de desenvolvimento) cumpre uma finalidade a realizar-se no contexto dos modelos políticos, jurídicos, econômicos e sociais que conformam as sociedades modernas, sejam eles: o capitalismo, o socialismo, ou o comunismo. </w:t>
      </w:r>
    </w:p>
    <w:p>
      <w:pPr>
        <w:spacing w:before="0" w:after="0" w:line="360" w:lineRule="auto"/>
        <w:ind w:firstLine="851"/>
        <w:jc w:val="both"/>
        <w:rPr>
          <w:rFonts w:ascii="Times New Roman" w:hAnsi="Times New Roman"/>
          <w:sz w:val="24"/>
          <w:szCs w:val="24"/>
        </w:rPr>
      </w:pPr>
      <w:r>
        <w:rPr>
          <w:rFonts w:ascii="Times New Roman" w:hAnsi="Times New Roman"/>
          <w:color w:val="44546A" w:themeColor="text2"/>
          <w:sz w:val="24"/>
          <w:szCs w:val="24"/>
          <w14:textFill>
            <w14:solidFill>
              <w14:schemeClr w14:val="tx2"/>
            </w14:solidFill>
          </w14:textFill>
        </w:rPr>
        <w:t xml:space="preserve"> </w:t>
      </w:r>
      <w:r>
        <w:rPr>
          <w:rFonts w:ascii="Times New Roman" w:hAnsi="Times New Roman"/>
          <w:sz w:val="24"/>
          <w:szCs w:val="24"/>
        </w:rPr>
        <w:t>Assim, entre as ideias intrínsecas a concepção de desenvolvimento e, que perpassam as formações sociais supracitadas a ideia de progresso, de evolução como finalidade última e universal da condição humana apresentam-se determinantes. Além disso, traz consigo a ideia de que indivíduos e sociedades estariam sempre em movimento de aprimoramento, de melhoramento. Se a</w:t>
      </w:r>
      <w:r>
        <w:rPr>
          <w:rFonts w:ascii="Times New Roman" w:hAnsi="Times New Roman"/>
          <w:color w:val="000000"/>
          <w:sz w:val="24"/>
          <w:szCs w:val="24"/>
        </w:rPr>
        <w:t xml:space="preserve">inda não alcançamos o tão almejado desenvolvimento é porque nos falta apenas mais uma descoberta, uma nova pesquisa, um novo conhecimento sobre algo, sobre a sociedade, sobre o ser humano, sobre o mundo. Vislumbrando este tempo futuro, por vezes, não se faz o exercício de considerar a perspectiva histórica, e cientificamente se faz importante considerar transformações sociais, econômicas, políticas exigem análise de contextos, características ou formações que diferem no tempo e no espaço. </w:t>
      </w:r>
    </w:p>
    <w:p>
      <w:pPr>
        <w:spacing w:before="0" w:after="0" w:line="360" w:lineRule="auto"/>
        <w:ind w:firstLine="851"/>
        <w:jc w:val="both"/>
        <w:rPr>
          <w:rFonts w:ascii="Times New Roman" w:hAnsi="Times New Roman"/>
          <w:color w:val="44546A" w:themeColor="text2"/>
          <w:sz w:val="24"/>
          <w:szCs w:val="24"/>
          <w14:textFill>
            <w14:solidFill>
              <w14:schemeClr w14:val="tx2"/>
            </w14:solidFill>
          </w14:textFill>
        </w:rPr>
      </w:pPr>
      <w:r>
        <w:rPr>
          <w:rFonts w:ascii="Times New Roman" w:hAnsi="Times New Roman"/>
          <w:color w:val="000000"/>
          <w:sz w:val="24"/>
          <w:szCs w:val="24"/>
        </w:rPr>
        <w:t xml:space="preserve">As assinaturas civilizatórias que subjazem a concepção de desenvolvimento demarcam a modernidade, a contemporaneidade, os tempos civilizatórios em que estamos inseridos como uma constante aposta no futuro, devido à certeza alimentada societariamente de que pelo movimento do progresso e/ou do desenvolvimento inevitável a realizar-se cotidianamente no tempo presente, o melhor está por vir. Busca-se, </w:t>
      </w:r>
      <w:r>
        <w:rPr>
          <w:rFonts w:ascii="Times New Roman" w:hAnsi="Times New Roman"/>
          <w:sz w:val="24"/>
          <w:szCs w:val="24"/>
        </w:rPr>
        <w:t>anseia-se pelo desenvolvimento que trará o melhor. E considerados os milhões de anos de errância do humano sobre face da terra, enfrentando intempéries, a fome, a dor, o sofrimento, as pestes, as pandemias, a morte abruta é compreensível a aposta humana e, das mais diferentes sociedades no desenvolvimento científico, tecnológico, produtivo e, sobretudo humano e social</w:t>
      </w:r>
    </w:p>
    <w:p>
      <w:pPr>
        <w:spacing w:before="0" w:after="0" w:line="360" w:lineRule="auto"/>
        <w:ind w:firstLine="851"/>
        <w:jc w:val="both"/>
        <w:rPr>
          <w:rFonts w:ascii="Times New Roman" w:hAnsi="Times New Roman"/>
          <w:sz w:val="24"/>
          <w:szCs w:val="24"/>
        </w:rPr>
      </w:pPr>
      <w:r>
        <w:rPr>
          <w:rFonts w:ascii="Times New Roman" w:hAnsi="Times New Roman"/>
          <w:sz w:val="24"/>
          <w:szCs w:val="24"/>
        </w:rPr>
        <w:t xml:space="preserve">O alcance de condições suficientes de desenvolvimento por parte de povos e países com a extensão dos direitos individuais e sociais a uma vida humanamente digna, poderá contribuir para redefinições na forma como nos relacionamos com a natureza, com a vida em sua totalidade de manifestação constituindo as bases, ou condições necessárias e desejáveis para um desenvolvimento ambiental, humano e social verdadeiramente sustentável. Observe-se, mesmo que não seja objeto desta reflexão, que o desenvolvimento sustentável requer o reconhecimento da centralidade da vida, da qual a vida humana é apenas uma parcela, mas em sua condição parcial apresenta-se como um fim em si mesmo, cuja finalidade vital é o alcance da felicidade, que se realiza plenamente por meio da ação humana na praça pública como forma </w:t>
      </w:r>
      <w:r>
        <w:rPr>
          <w:rFonts w:ascii="Times New Roman" w:hAnsi="Times New Roman"/>
          <w:i/>
          <w:sz w:val="24"/>
          <w:szCs w:val="24"/>
        </w:rPr>
        <w:t>sine qua non</w:t>
      </w:r>
      <w:r>
        <w:rPr>
          <w:rFonts w:ascii="Times New Roman" w:hAnsi="Times New Roman"/>
          <w:sz w:val="24"/>
          <w:szCs w:val="24"/>
        </w:rPr>
        <w:t xml:space="preserve"> da preservação dos bens comuns... a isso se chama política</w:t>
      </w:r>
      <w:r>
        <w:rPr>
          <w:rFonts w:ascii="Times New Roman" w:hAnsi="Times New Roman"/>
          <w:color w:val="44546A" w:themeColor="text2"/>
          <w:sz w:val="24"/>
          <w:szCs w:val="24"/>
          <w14:textFill>
            <w14:solidFill>
              <w14:schemeClr w14:val="tx2"/>
            </w14:solidFill>
          </w14:textFill>
        </w:rPr>
        <w:t xml:space="preserve">. </w:t>
      </w:r>
      <w:r>
        <w:rPr>
          <w:rFonts w:ascii="Times New Roman" w:hAnsi="Times New Roman"/>
          <w:sz w:val="24"/>
          <w:szCs w:val="24"/>
        </w:rPr>
        <w:t>Reitere-se que embora seja este exercício para outro artigo, é preciso considerar que deste entendimento de desenvolvimento como tempo vindouro a partir de diferentes construções políticas, este se desdobrará em novas poss</w:t>
      </w:r>
      <w:r>
        <w:rPr>
          <w:rFonts w:ascii="Times New Roman" w:hAnsi="Times New Roman"/>
          <w:color w:val="000000"/>
          <w:sz w:val="24"/>
          <w:szCs w:val="24"/>
        </w:rPr>
        <w:t xml:space="preserve">ibilidades, como o desenvolvimento sustentável, humano, social, econômico, dentre outros a partir da mesma forma de garantir dinâmica, ação, a partir do entendimento de um cenário futuro sempre superior o que dá continuidade e aprofunda o problema do entendimento da ciência do desenvolvimento, pois amplia e complexifica seu escopo ao adjetivar o desenvolvimento. </w:t>
      </w:r>
    </w:p>
    <w:p>
      <w:pPr>
        <w:spacing w:before="0" w:after="0" w:line="360" w:lineRule="auto"/>
        <w:ind w:firstLine="851"/>
        <w:jc w:val="both"/>
        <w:rPr>
          <w:rFonts w:ascii="Times New Roman" w:hAnsi="Times New Roman"/>
          <w:sz w:val="24"/>
          <w:szCs w:val="24"/>
        </w:rPr>
      </w:pPr>
      <w:r>
        <w:rPr>
          <w:rFonts w:ascii="Times New Roman" w:hAnsi="Times New Roman"/>
          <w:color w:val="000000"/>
          <w:sz w:val="24"/>
          <w:szCs w:val="24"/>
        </w:rPr>
        <w:t xml:space="preserve">Mas, trata-se também aqui de considerar alguns aspectos éticos implicados a positividade científica e ideológica de desenvolvimento e, que tem a potencialidade de também remeter a uma visão que pode minimizar a </w:t>
      </w:r>
      <w:r>
        <w:rPr>
          <w:rFonts w:ascii="Times New Roman" w:hAnsi="Times New Roman"/>
          <w:sz w:val="24"/>
          <w:szCs w:val="24"/>
        </w:rPr>
        <w:t xml:space="preserve">capacidade de refletir, de questionar os limites do progresso, os limites das condições ambientais e humanas. Nesta direção, torna-se recomendável lembrar que todas as vezes que se abre mão da reflexividade crítica diante das propostas societárias alicerçadas excessivamente nas verdades da ciência e da técnica fica-se subordinado à máxima de que, se tecnicamente algo é factível, então eticamente estariam dispensadas as devidas justificativas e cuidados com a vida, com a condição humana. Ou seja, a máxima de que se faça tudo o que se puder fazer e não se questione os imperativos desta ação, pois condicionadas a um desenvolvimento que é futuro, apenas revelam os riscos da racionalidade instrumental que promove violência e barbárie. </w:t>
      </w:r>
    </w:p>
    <w:p>
      <w:pPr>
        <w:spacing w:before="0" w:after="0" w:line="360" w:lineRule="auto"/>
        <w:ind w:firstLine="851"/>
        <w:jc w:val="both"/>
        <w:rPr>
          <w:rFonts w:ascii="Times New Roman" w:hAnsi="Times New Roman"/>
          <w:sz w:val="24"/>
          <w:szCs w:val="24"/>
        </w:rPr>
      </w:pPr>
      <w:r>
        <w:rPr>
          <w:rFonts w:ascii="Times New Roman" w:hAnsi="Times New Roman"/>
          <w:sz w:val="24"/>
          <w:szCs w:val="24"/>
        </w:rPr>
        <w:t xml:space="preserve">Diante destas perspectivas genealógicas podemos considerar à luz da Filosofia Política, ou mais especificamente de elementos de uma epistemologia política de conformação genealógica do desenvolvimento, os seguintes aspectos: </w:t>
      </w:r>
    </w:p>
    <w:p>
      <w:pPr>
        <w:pStyle w:val="35"/>
        <w:numPr>
          <w:ilvl w:val="0"/>
          <w:numId w:val="1"/>
        </w:numPr>
        <w:spacing w:before="0" w:after="0" w:line="360" w:lineRule="auto"/>
        <w:ind w:left="0" w:firstLine="851"/>
        <w:contextualSpacing/>
        <w:jc w:val="both"/>
        <w:rPr>
          <w:rFonts w:ascii="Times New Roman" w:hAnsi="Times New Roman"/>
          <w:sz w:val="24"/>
          <w:szCs w:val="24"/>
        </w:rPr>
      </w:pPr>
      <w:r>
        <w:rPr>
          <w:rFonts w:ascii="Times New Roman" w:hAnsi="Times New Roman"/>
          <w:sz w:val="24"/>
          <w:szCs w:val="24"/>
        </w:rPr>
        <w:t>O desenvolvimento não conforma uma ciência em específico no interior de um campo científico;</w:t>
      </w:r>
    </w:p>
    <w:p>
      <w:pPr>
        <w:pStyle w:val="35"/>
        <w:numPr>
          <w:ilvl w:val="1"/>
          <w:numId w:val="1"/>
        </w:numPr>
        <w:spacing w:before="0" w:after="0" w:line="360" w:lineRule="auto"/>
        <w:ind w:left="0" w:firstLine="851"/>
        <w:contextualSpacing/>
        <w:jc w:val="both"/>
        <w:rPr>
          <w:rFonts w:ascii="Times New Roman" w:hAnsi="Times New Roman"/>
          <w:sz w:val="24"/>
          <w:szCs w:val="24"/>
        </w:rPr>
      </w:pPr>
      <w:r>
        <w:rPr>
          <w:rFonts w:ascii="Times New Roman" w:hAnsi="Times New Roman"/>
          <w:sz w:val="24"/>
          <w:szCs w:val="24"/>
        </w:rPr>
        <w:t>O desenvolvimento apresenta-se como área de concentração, ou subárea,  reunindo as mais diversas ciências em sua composição científico-discursiva;</w:t>
      </w:r>
    </w:p>
    <w:p>
      <w:pPr>
        <w:pStyle w:val="35"/>
        <w:numPr>
          <w:ilvl w:val="1"/>
          <w:numId w:val="1"/>
        </w:numPr>
        <w:spacing w:before="0" w:after="0" w:line="360" w:lineRule="auto"/>
        <w:ind w:left="0" w:firstLine="851"/>
        <w:contextualSpacing/>
        <w:jc w:val="both"/>
        <w:rPr>
          <w:rFonts w:ascii="Times New Roman" w:hAnsi="Times New Roman"/>
          <w:sz w:val="24"/>
          <w:szCs w:val="24"/>
        </w:rPr>
      </w:pPr>
      <w:r>
        <w:rPr>
          <w:rFonts w:ascii="Times New Roman" w:hAnsi="Times New Roman"/>
          <w:sz w:val="24"/>
          <w:szCs w:val="24"/>
        </w:rPr>
        <w:t>O desenvolvimento é uma área de concentração multidisciplinar;</w:t>
      </w:r>
    </w:p>
    <w:p>
      <w:pPr>
        <w:pStyle w:val="35"/>
        <w:numPr>
          <w:ilvl w:val="1"/>
          <w:numId w:val="1"/>
        </w:numPr>
        <w:spacing w:before="0" w:after="0" w:line="360" w:lineRule="auto"/>
        <w:ind w:left="0" w:firstLine="851"/>
        <w:contextualSpacing/>
        <w:jc w:val="both"/>
        <w:rPr>
          <w:rFonts w:ascii="Times New Roman" w:hAnsi="Times New Roman"/>
          <w:sz w:val="24"/>
          <w:szCs w:val="24"/>
        </w:rPr>
      </w:pPr>
      <w:r>
        <w:rPr>
          <w:rFonts w:ascii="Times New Roman" w:hAnsi="Times New Roman"/>
          <w:sz w:val="24"/>
          <w:szCs w:val="24"/>
        </w:rPr>
        <w:t>O fazer científico em torno do desenvolvimento requer considerar a diversidade investigativa alicerçada na disciplinaridade, na pluridisciplinaridade, na interdisciplinaridade, entre outras variáveis afins;</w:t>
      </w:r>
    </w:p>
    <w:p>
      <w:pPr>
        <w:pStyle w:val="35"/>
        <w:numPr>
          <w:ilvl w:val="1"/>
          <w:numId w:val="1"/>
        </w:numPr>
        <w:spacing w:before="0" w:after="0" w:line="360" w:lineRule="auto"/>
        <w:ind w:left="0" w:firstLine="851"/>
        <w:contextualSpacing/>
        <w:jc w:val="both"/>
        <w:rPr>
          <w:rFonts w:ascii="Times New Roman" w:hAnsi="Times New Roman"/>
          <w:sz w:val="24"/>
          <w:szCs w:val="24"/>
        </w:rPr>
      </w:pPr>
      <w:r>
        <w:rPr>
          <w:rFonts w:ascii="Times New Roman" w:hAnsi="Times New Roman"/>
          <w:sz w:val="24"/>
          <w:szCs w:val="24"/>
        </w:rPr>
        <w:t>O desenvolvimento apresenta-se como um conceito radial articulando escalas e dimensões constitutivas da realidade na forma do desenvolvimento local, regional, territorial, nacional, rural, urbano, humano, social e sustentável;</w:t>
      </w:r>
    </w:p>
    <w:p>
      <w:pPr>
        <w:pStyle w:val="35"/>
        <w:numPr>
          <w:ilvl w:val="1"/>
          <w:numId w:val="1"/>
        </w:numPr>
        <w:spacing w:before="0" w:after="0" w:line="360" w:lineRule="auto"/>
        <w:ind w:left="0" w:firstLine="851"/>
        <w:contextualSpacing/>
        <w:jc w:val="both"/>
        <w:rPr>
          <w:rFonts w:ascii="Times New Roman" w:hAnsi="Times New Roman"/>
          <w:sz w:val="24"/>
          <w:szCs w:val="24"/>
        </w:rPr>
      </w:pPr>
      <w:r>
        <w:rPr>
          <w:rFonts w:ascii="Times New Roman" w:hAnsi="Times New Roman"/>
          <w:sz w:val="24"/>
          <w:szCs w:val="24"/>
        </w:rPr>
        <w:t>O desenvolvimento como área de concentração permite a constituição de conhecimentos científicos e ideologicamente comprometidos com interesses políticos, sociais e econômicos estratégicos.</w:t>
      </w:r>
    </w:p>
    <w:p>
      <w:pPr>
        <w:pStyle w:val="35"/>
        <w:numPr>
          <w:ilvl w:val="1"/>
          <w:numId w:val="1"/>
        </w:numPr>
        <w:spacing w:before="0" w:after="0" w:line="360" w:lineRule="auto"/>
        <w:ind w:left="0" w:firstLine="851"/>
        <w:contextualSpacing/>
        <w:jc w:val="both"/>
        <w:rPr>
          <w:rFonts w:ascii="Times New Roman" w:hAnsi="Times New Roman"/>
          <w:sz w:val="24"/>
          <w:szCs w:val="24"/>
        </w:rPr>
      </w:pPr>
      <w:r>
        <w:rPr>
          <w:rFonts w:ascii="Times New Roman" w:hAnsi="Times New Roman"/>
          <w:sz w:val="24"/>
          <w:szCs w:val="24"/>
        </w:rPr>
        <w:t>Jamais fomos modernos (Bruno Latour)</w:t>
      </w:r>
      <w:r>
        <w:rPr>
          <w:rStyle w:val="22"/>
          <w:rFonts w:ascii="Times New Roman" w:hAnsi="Times New Roman"/>
          <w:sz w:val="24"/>
          <w:szCs w:val="24"/>
        </w:rPr>
        <w:footnoteReference w:id="13"/>
      </w:r>
      <w:r>
        <w:rPr>
          <w:rFonts w:ascii="Times New Roman" w:hAnsi="Times New Roman"/>
          <w:sz w:val="24"/>
          <w:szCs w:val="24"/>
        </w:rPr>
        <w:t xml:space="preserve">. O desenvolvimento apresenta-se como anseio humano, demasiadamente humano ao longo da aventura humana sobre a face da terra. </w:t>
      </w:r>
    </w:p>
    <w:p>
      <w:pPr>
        <w:pStyle w:val="35"/>
        <w:numPr>
          <w:ilvl w:val="1"/>
          <w:numId w:val="1"/>
        </w:numPr>
        <w:spacing w:before="0" w:after="0" w:line="360" w:lineRule="auto"/>
        <w:ind w:left="0" w:firstLine="851"/>
        <w:contextualSpacing/>
        <w:jc w:val="both"/>
        <w:rPr>
          <w:rFonts w:ascii="Times New Roman" w:hAnsi="Times New Roman"/>
          <w:sz w:val="24"/>
          <w:szCs w:val="24"/>
        </w:rPr>
      </w:pPr>
      <w:r>
        <w:rPr>
          <w:rFonts w:ascii="Times New Roman" w:hAnsi="Times New Roman"/>
          <w:sz w:val="24"/>
          <w:szCs w:val="24"/>
        </w:rPr>
        <w:t>O desenvolvimento se apresenta como uma obsessão eficaz no nosso tempo porque coincide com anseios humanos e sociais dos mais distintos povos, mas também coincide com projetos de poder totalitários, fascistas e ditatoriais de controle absoluto de povos e populações.</w:t>
      </w:r>
    </w:p>
    <w:p>
      <w:pPr>
        <w:pStyle w:val="35"/>
        <w:numPr>
          <w:ilvl w:val="1"/>
          <w:numId w:val="1"/>
        </w:numPr>
        <w:spacing w:before="0" w:after="0" w:line="360" w:lineRule="auto"/>
        <w:ind w:left="0" w:firstLine="851"/>
        <w:contextualSpacing/>
        <w:jc w:val="both"/>
        <w:rPr>
          <w:rFonts w:ascii="Times New Roman" w:hAnsi="Times New Roman"/>
          <w:sz w:val="24"/>
          <w:szCs w:val="24"/>
        </w:rPr>
      </w:pPr>
      <w:r>
        <w:rPr>
          <w:rFonts w:ascii="Times New Roman" w:hAnsi="Times New Roman"/>
          <w:sz w:val="24"/>
          <w:szCs w:val="24"/>
        </w:rPr>
        <w:t>O desenvolvimento requer maciços investimentos no ser humano. E o melhor caminho é o investimento em educação e redução da desigualdade.   Os mais diferentes povos e sociedades nos mais diferentes tempos históricos que compreenderam tal condição constituíram propostas educacionais extremamente consistentes. Lembremos aqui da Paidéia grega.</w:t>
      </w:r>
    </w:p>
    <w:p>
      <w:pPr>
        <w:pStyle w:val="35"/>
        <w:numPr>
          <w:ilvl w:val="1"/>
          <w:numId w:val="1"/>
        </w:numPr>
        <w:spacing w:before="0" w:after="0" w:line="360" w:lineRule="auto"/>
        <w:ind w:left="0" w:firstLine="851"/>
        <w:contextualSpacing/>
        <w:jc w:val="both"/>
        <w:rPr>
          <w:rFonts w:ascii="Times New Roman" w:hAnsi="Times New Roman"/>
          <w:sz w:val="24"/>
          <w:szCs w:val="24"/>
        </w:rPr>
      </w:pPr>
      <w:r>
        <w:rPr>
          <w:rFonts w:ascii="Times New Roman" w:hAnsi="Times New Roman"/>
          <w:sz w:val="24"/>
          <w:szCs w:val="24"/>
        </w:rPr>
        <w:t>Desprovidos de proposta e investimento consistente de Educação povos permanecem em condição subalterna, periférica, subdesenvolvida e, algumas experiências constata-se inclusive seu embrutecimento manifesto na disseminação generalizada da violência.</w:t>
      </w:r>
    </w:p>
    <w:p>
      <w:pPr>
        <w:pStyle w:val="35"/>
        <w:numPr>
          <w:ilvl w:val="0"/>
          <w:numId w:val="0"/>
        </w:numPr>
        <w:spacing w:before="0" w:after="0" w:line="360" w:lineRule="auto"/>
        <w:ind w:left="0" w:firstLine="0"/>
        <w:contextualSpacing/>
        <w:jc w:val="both"/>
      </w:pPr>
    </w:p>
    <w:p>
      <w:pPr>
        <w:spacing w:before="0"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pPr>
        <w:spacing w:before="0" w:after="0" w:line="240" w:lineRule="auto"/>
        <w:jc w:val="both"/>
        <w:rPr>
          <w:rFonts w:ascii="Times New Roman" w:hAnsi="Times New Roman" w:cs="Times New Roman"/>
          <w:sz w:val="24"/>
          <w:szCs w:val="24"/>
        </w:rPr>
      </w:pPr>
    </w:p>
    <w:p>
      <w:pPr>
        <w:spacing w:before="0" w:after="0" w:line="240" w:lineRule="auto"/>
        <w:ind w:firstLine="708"/>
        <w:jc w:val="both"/>
        <w:rPr>
          <w:rFonts w:ascii="Times New Roman" w:hAnsi="Times New Roman" w:cs="Times New Roman"/>
          <w:sz w:val="24"/>
          <w:szCs w:val="24"/>
        </w:rPr>
      </w:pPr>
    </w:p>
    <w:p>
      <w:pPr>
        <w:spacing w:before="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 presente artigo procurou demonstrar as possíveis contribuições da Filosofia às pesquisas e debates em torno do conceito, ou das concepções de desenvolvimento, tão caros aos povos e sociedades contemporâneas. Ou dito de outra forma, o desenvolvimento ao não se apresentar como uma área específica de conhecimento, mas por se apresentar como área de concentração cuja origem vincula-se as Ciências Humanas, mais especificamente a Economia Política e, mais recentemente as Ciências Sociais Aplicadas, neste caso com maior incidência da Geografia Econômica, tratou-se de demonstrar que a Filosofia, área do conhecimento que está nos primórdios da racionalidade ocidental e, sobretudo da ciência moderna possui contribuições relevantes e, até mesmo, necessárias e urgentes ao debate do desenvolvimento na atualidade.</w:t>
      </w:r>
    </w:p>
    <w:p>
      <w:pPr>
        <w:spacing w:before="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Nesta direção, o artigo se constitui a partir de reflexões inerentes a epistemologia política do desenvolvimento, a luz das contribuições da Filosofia Política ancoradas no método genealógico. Sob tais pressupostos se trata, a partir da genealogia de demonstrar que as concepções de desenvolvimento em suas várias acepções e concepções na atualidade jamais foram modernas, ou seja, de constituição exclusivamente moderna, mas remontam ao longo da tradição civilizatória ocidental a concepções de movimento, de teleologia, de escatologia. </w:t>
      </w:r>
    </w:p>
    <w:p>
      <w:pPr>
        <w:spacing w:before="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Assim, do mundo antigo, sobretudo grego herdamos a concepção de que o mundo é devir, é movimento. Tudo que nele existe, ou que nele se manifesta em sua condição contingencial participa de manifestação existencial necessária cumprindo o ciclo de nascimento (surgimento), desenvolvimento e declínio. O movimento como condição inerente foi refletida profundamente por pensadores como Heráclito de Éfeso, para quem o mundo é constante e ininterrupto devir e, por Aristóteles a partir da relação entre ato e potência.</w:t>
      </w:r>
    </w:p>
    <w:p>
      <w:pPr>
        <w:spacing w:before="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 conformação de variáveis do pensamento grego antigo com as prerrogativas do pensamento judaico-cristão ao longo da Idade Média acrescentou à condição contingencial dos entes, submetidos à necessidade do movimento, da mudança, da transformação a dimensão teleológica e escatológica. Ou seja, o mundo concebido como obra da criação e, tudo o que nele se apresenta a existência, especificamente os seres humanos criados a imagem e semelhança do criador cumprem na dinâmica da “economia da salvação”, finalidade existencial a redenção junto ao criador a realizar-se no tempo presente. Ou seja, o mundo, a vida, a existência são concebidos a partir de uma finalidade, o alcance do bem, do belo, da justiça no fim dos tempos. A finalidade (teleologia) da existência se alcança e, se realiza (escatologia) a partir dos esforços cotidianos no presente, de observação e cumprimento das máximas e, imperativos, inscritas no projeto da criação e, manifestos da economia da salvação.</w:t>
      </w:r>
    </w:p>
    <w:p>
      <w:pPr>
        <w:spacing w:before="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modernidade em toda sua pretensão científica, tecnológica é herdeira destas tradições de pensamento que conformaram concepções e formas de agir no mundo. Tal condição se manifesta de forma clarividente na concepção, nas teorias e planos de desenvolvimento local, regional e nacional. A consistência desta tradição civilizatória de pensamento e ação é de tal ordem, que simplesmente se toma um absoluto o argumento da necessidade de desenvolvimento de comunidades, povos e, países. </w:t>
      </w:r>
    </w:p>
    <w:p>
      <w:pPr>
        <w:spacing w:before="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 desenvolvimento apresentado como finalidade à ser alcançado no transcurso do tempo presente pelo esforço de comunidade, de  povos, em transporem sua condição de não desenvolvidos (ou subdesenvolvido, periférico, emergente) se justifica a partir do argumento de alcance da qualidade de vida. Esta definição de desenvolvimento apresenta-se como verdade inquestionável a partir de um modelo de sociedade de plena produção e consumo, que desconsidera as singularidades do modo de vida das mais diferentes comunidades e povos existentes mundo afora, bem como desconsidera os impactos destes imperativos de desenvolvimento sobre a totalidade das formas de vida constitutivos da biosfera.</w:t>
      </w:r>
    </w:p>
    <w:p>
      <w:pPr>
        <w:spacing w:before="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Talvez este seja um dos motivos, a partir dos quais o desenvolvimento se apresenta na modernidade como uma obsessão, senão até mesmo como um discurso de conformação “totalitária”, ao apresentar-se como imperativo advindo das sociedades ocidentais de plena produção e consumo, sobre a singularidade dos modos de vida dos mais diferentes povos que se apresentam sob a face da mãe terra. </w:t>
      </w:r>
    </w:p>
    <w:p>
      <w:pPr>
        <w:spacing w:before="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Sob tais circunstâncias, se num primeiro momento, uma das contribuições de uma epistemologia política, advinda da Filosofia Política em seus esforços genealógicos foi compreender as concepções civilizatórias que subjazem a concepção de desenvolvimento na modernidade, num segundo momento sua contribuição é chamar atenção para a condição impositiva, senão totalitária inerente às concepções de desenvolvimento constitutivas das sociedades contemporâneas de plena produção e consumo, em sua pretensão de modelo universalmente verdadeiro aos mais diferentes povos e países em suas singularidades vitais. E considerar que esta construção se dá através de instrumentos ideológicos e violentos. Ou seja, trata-se de chamar atenção para as imposições discursivas que se pretendem verdadeiras em relação a definição e implementação de formas de organização dos povos em busca de melhorias, e que, portanto desconsideram a diversidade singular das formas-de-vida e de organização de comunidades e povos.</w:t>
      </w:r>
    </w:p>
    <w:p>
      <w:pPr>
        <w:spacing w:before="0" w:after="0" w:line="240" w:lineRule="auto"/>
        <w:ind w:firstLine="708"/>
        <w:jc w:val="both"/>
        <w:rPr>
          <w:rFonts w:ascii="Times New Roman" w:hAnsi="Times New Roman" w:cs="Times New Roman"/>
          <w:sz w:val="24"/>
          <w:szCs w:val="24"/>
        </w:rPr>
      </w:pPr>
    </w:p>
    <w:p>
      <w:pPr>
        <w:spacing w:before="0"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p>
    <w:p>
      <w:pPr>
        <w:spacing w:before="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pPr>
        <w:spacing w:before="0" w:after="0" w:line="240" w:lineRule="auto"/>
        <w:jc w:val="both"/>
        <w:rPr>
          <w:rFonts w:ascii="Times New Roman" w:hAnsi="Times New Roman" w:cs="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AGAMBEN, Giorgio. </w:t>
      </w:r>
      <w:r>
        <w:rPr>
          <w:rFonts w:ascii="Times New Roman" w:hAnsi="Times New Roman"/>
          <w:b/>
          <w:sz w:val="24"/>
          <w:szCs w:val="24"/>
        </w:rPr>
        <w:t>SIGNATURA RERUM: Sobre o método</w:t>
      </w:r>
      <w:r>
        <w:rPr>
          <w:rFonts w:ascii="Times New Roman" w:hAnsi="Times New Roman"/>
          <w:sz w:val="24"/>
          <w:szCs w:val="24"/>
        </w:rPr>
        <w:t>. Tradução Andrea Santurbano, Patricia Peterle. São Paulo: Boitempo, 2019.</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ALLE, Diogenes; SPRINGSTED, Eric O. </w:t>
      </w:r>
      <w:r>
        <w:rPr>
          <w:rFonts w:ascii="Times New Roman" w:hAnsi="Times New Roman"/>
          <w:b/>
          <w:sz w:val="24"/>
          <w:szCs w:val="24"/>
        </w:rPr>
        <w:t xml:space="preserve">FILOSOFIA PARA ENTENDER TEOLOGIA. </w:t>
      </w:r>
      <w:r>
        <w:rPr>
          <w:rFonts w:ascii="Times New Roman" w:hAnsi="Times New Roman"/>
          <w:sz w:val="24"/>
          <w:szCs w:val="24"/>
        </w:rPr>
        <w:t>Tradução: Daniel da Costa. Santo André (SP): Academia Cristã; São Paulo: Paulus, 2010.</w:t>
      </w:r>
    </w:p>
    <w:p>
      <w:pPr>
        <w:spacing w:before="0" w:after="0" w:line="240" w:lineRule="auto"/>
        <w:jc w:val="both"/>
        <w:rPr>
          <w:rFonts w:ascii="Times New Roman" w:hAnsi="Times New Roman"/>
          <w:sz w:val="24"/>
          <w:szCs w:val="24"/>
        </w:rPr>
      </w:pPr>
    </w:p>
    <w:p>
      <w:pPr>
        <w:pStyle w:val="36"/>
        <w:jc w:val="both"/>
        <w:rPr>
          <w:color w:val="auto"/>
        </w:rPr>
      </w:pPr>
      <w:r>
        <w:rPr>
          <w:rFonts w:ascii="Times New Roman" w:hAnsi="Times New Roman"/>
          <w:color w:val="auto"/>
          <w:sz w:val="24"/>
          <w:szCs w:val="24"/>
        </w:rPr>
        <w:t>AMARO. R.R. Desenvolvimento: um conceito ultrapassado ou em renovação? Da teoria à prática e da prática à teoria. Cadernos de Estudos Africanos, p. 35-70, 2014.</w:t>
      </w:r>
    </w:p>
    <w:p>
      <w:pPr>
        <w:pStyle w:val="36"/>
        <w:jc w:val="both"/>
        <w:rPr>
          <w:rFonts w:ascii="Times New Roman" w:hAnsi="Times New Roman"/>
          <w:color w:val="auto"/>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ARISTÓTELES. </w:t>
      </w:r>
      <w:r>
        <w:rPr>
          <w:rFonts w:ascii="Times New Roman" w:hAnsi="Times New Roman"/>
          <w:b/>
          <w:sz w:val="24"/>
          <w:szCs w:val="24"/>
        </w:rPr>
        <w:t xml:space="preserve">METAFÍSICA Vol. II. </w:t>
      </w:r>
      <w:r>
        <w:rPr>
          <w:rFonts w:ascii="Times New Roman" w:hAnsi="Times New Roman"/>
          <w:sz w:val="24"/>
          <w:szCs w:val="24"/>
        </w:rPr>
        <w:t>Tradução Marcelo Perine. São Paulo: Edições Loyola, 2005.</w:t>
      </w:r>
    </w:p>
    <w:p>
      <w:pPr>
        <w:spacing w:before="0" w:after="0" w:line="240" w:lineRule="auto"/>
        <w:jc w:val="both"/>
        <w:rPr>
          <w:rFonts w:ascii="Times New Roman" w:hAnsi="Times New Roman"/>
          <w:sz w:val="24"/>
          <w:szCs w:val="24"/>
        </w:rPr>
      </w:pPr>
    </w:p>
    <w:p>
      <w:pPr>
        <w:pStyle w:val="37"/>
        <w:jc w:val="both"/>
      </w:pPr>
      <w:r>
        <w:rPr>
          <w:rFonts w:ascii="Times New Roman" w:hAnsi="Times New Roman" w:eastAsia="Times New Roman" w:cs="Times New Roman"/>
        </w:rPr>
        <w:t xml:space="preserve">BAGNI, S. Los derechos de la naturaleza en la jurisprudencia colombiana e indiana. </w:t>
      </w:r>
      <w:r>
        <w:rPr>
          <w:rFonts w:ascii="Times New Roman" w:hAnsi="Times New Roman" w:eastAsia="Times New Roman" w:cs="Times New Roman"/>
          <w:i/>
        </w:rPr>
        <w:t>Revista Jurídica Derecho</w:t>
      </w:r>
      <w:r>
        <w:rPr>
          <w:rFonts w:ascii="Times New Roman" w:hAnsi="Times New Roman" w:eastAsia="Times New Roman" w:cs="Times New Roman"/>
        </w:rPr>
        <w:t>, v. 7, n. 9, pp. 33-53, 2018.</w:t>
      </w:r>
    </w:p>
    <w:p>
      <w:pPr>
        <w:pStyle w:val="37"/>
        <w:jc w:val="both"/>
        <w:rPr>
          <w:rFonts w:ascii="Times New Roman" w:hAnsi="Times New Roman"/>
        </w:rPr>
      </w:pPr>
    </w:p>
    <w:p>
      <w:pPr>
        <w:pStyle w:val="37"/>
        <w:jc w:val="both"/>
      </w:pPr>
      <w:r>
        <w:rPr>
          <w:rFonts w:ascii="Times New Roman" w:hAnsi="Times New Roman" w:eastAsia="Times New Roman" w:cs="Times New Roman"/>
        </w:rPr>
        <w:t xml:space="preserve">BANCO NACIONAL DE DESENVOLVIMENTO ECONÔMICO E SOCIAL (BNDES). Financiamento do desenvolvimento sustentável: a contribuição dos bancos de desenvolvimento, 2019. Disponível em: </w:t>
      </w:r>
      <w:r>
        <w:fldChar w:fldCharType="begin"/>
      </w:r>
      <w:r>
        <w:instrText xml:space="preserve"> HYPERLINK "https://agenciadenoticias.bndes.gov.br/blogdodesenvolvimento/detalhe/Financiamento-do-desenvolvimento-sustentavel-a-contribuicao-dos-bancos-de-desenvolvimento/" \h </w:instrText>
      </w:r>
      <w:r>
        <w:fldChar w:fldCharType="separate"/>
      </w:r>
      <w:r>
        <w:rPr>
          <w:rFonts w:ascii="Times New Roman" w:hAnsi="Times New Roman" w:eastAsia="Times New Roman" w:cs="Times New Roman"/>
        </w:rPr>
        <w:t>https://agenciadenoticias.bndes.gov.br/blogdodesenv olvimento/detalhe/Financiamento-do-desenvolvimento-sustentavel-a-contribuicao-dos-bancos-de-desenvolvimento/</w:t>
      </w:r>
      <w:r>
        <w:rPr>
          <w:rFonts w:ascii="Times New Roman" w:hAnsi="Times New Roman" w:eastAsia="Times New Roman" w:cs="Times New Roman"/>
        </w:rPr>
        <w:fldChar w:fldCharType="end"/>
      </w:r>
      <w:r>
        <w:rPr>
          <w:rFonts w:ascii="Times New Roman" w:hAnsi="Times New Roman" w:eastAsia="Times New Roman" w:cs="Times New Roman"/>
        </w:rPr>
        <w:t xml:space="preserve"> Acesso em 03 jun 2022.</w:t>
      </w:r>
    </w:p>
    <w:p>
      <w:pPr>
        <w:pStyle w:val="37"/>
        <w:jc w:val="both"/>
        <w:rPr>
          <w:rFonts w:ascii="Times New Roman" w:hAnsi="Times New Roman" w:eastAsia="Times New Roman" w:cs="Times New Roman"/>
        </w:rPr>
      </w:pPr>
      <w:bookmarkStart w:id="0" w:name="gjdgxs"/>
      <w:bookmarkEnd w:id="0"/>
    </w:p>
    <w:p>
      <w:pPr>
        <w:spacing w:before="0" w:after="0" w:line="240" w:lineRule="auto"/>
        <w:jc w:val="both"/>
        <w:rPr>
          <w:rFonts w:ascii="Times New Roman" w:hAnsi="Times New Roman" w:cs="Times New Roman"/>
          <w:b/>
        </w:rPr>
      </w:pPr>
      <w:r>
        <w:rPr>
          <w:rFonts w:ascii="Times New Roman" w:hAnsi="Times New Roman" w:cs="Times New Roman"/>
          <w:sz w:val="24"/>
          <w:szCs w:val="24"/>
        </w:rPr>
        <w:t xml:space="preserve">BAZZANELLA, Sandro Luiz. </w:t>
      </w:r>
      <w:r>
        <w:rPr>
          <w:rFonts w:ascii="Times New Roman" w:hAnsi="Times New Roman" w:cs="Times New Roman"/>
          <w:b/>
        </w:rPr>
        <w:t xml:space="preserve">A CENTRALIDADE DA VIDA EM NIETZSCHE E AGAMBEN FRENTE À METAFÍSICA OCIDENTAL E A BIOPOLÍTICA CONTEMPORANEA. </w:t>
      </w:r>
      <w:r>
        <w:rPr>
          <w:rFonts w:ascii="Times New Roman" w:hAnsi="Times New Roman" w:cs="Times New Roman"/>
        </w:rPr>
        <w:t>Tese de doutorado.</w:t>
      </w:r>
      <w:r>
        <w:rPr>
          <w:rFonts w:ascii="Times New Roman" w:hAnsi="Times New Roman" w:cs="Times New Roman"/>
          <w:b/>
        </w:rPr>
        <w:t xml:space="preserve"> </w:t>
      </w:r>
      <w:r>
        <w:rPr>
          <w:rFonts w:ascii="Times New Roman" w:hAnsi="Times New Roman" w:cs="Times New Roman"/>
        </w:rPr>
        <w:t>Programa de Pós-Graduação Interdisciplinar em Ciências Humanas da Universidade Federal de Santa Catarina, 2010. Disponível no link: https://repositorio.ufsc.br/bitstream/handle/123456789/94701/287230.pdf?sequence=1&amp;isAllowed=y</w:t>
      </w:r>
    </w:p>
    <w:p>
      <w:pPr>
        <w:spacing w:before="0" w:after="0" w:line="240" w:lineRule="auto"/>
        <w:jc w:val="both"/>
        <w:rPr>
          <w:rFonts w:ascii="Times New Roman" w:hAnsi="Times New Roman" w:cs="Times New Roman"/>
          <w:b/>
          <w:sz w:val="24"/>
          <w:szCs w:val="24"/>
        </w:rPr>
      </w:pPr>
    </w:p>
    <w:p>
      <w:pPr>
        <w:spacing w:before="0" w:after="0" w:line="240" w:lineRule="auto"/>
        <w:jc w:val="both"/>
      </w:pPr>
      <w:r>
        <w:rPr>
          <w:rFonts w:ascii="Times New Roman" w:hAnsi="Times New Roman"/>
          <w:sz w:val="24"/>
          <w:szCs w:val="24"/>
        </w:rPr>
        <w:t xml:space="preserve">BAZZANELLA, Sandro Luiz. Filosofia e Desenvolvimento. (In) BAZZANELLA, Sandro Luiz; MELO, Eduardo Gomes de; BIRKNER, Walter Marcos Knaesel; ROCHA, Leandro. </w:t>
      </w:r>
      <w:r>
        <w:rPr>
          <w:rFonts w:ascii="Times New Roman" w:hAnsi="Times New Roman"/>
          <w:b/>
          <w:sz w:val="24"/>
          <w:szCs w:val="24"/>
        </w:rPr>
        <w:t xml:space="preserve">Crônicas do Desenvolvimento. </w:t>
      </w:r>
      <w:r>
        <w:rPr>
          <w:rFonts w:ascii="Times New Roman" w:hAnsi="Times New Roman"/>
          <w:sz w:val="24"/>
          <w:szCs w:val="24"/>
        </w:rPr>
        <w:t>Florianópolis: DIOESC, 2012.</w:t>
      </w:r>
    </w:p>
    <w:p>
      <w:pPr>
        <w:spacing w:before="0" w:after="0" w:line="240" w:lineRule="auto"/>
        <w:jc w:val="both"/>
      </w:pPr>
    </w:p>
    <w:p>
      <w:pPr>
        <w:spacing w:before="0" w:after="0" w:line="240" w:lineRule="auto"/>
        <w:jc w:val="both"/>
        <w:rPr>
          <w:rFonts w:ascii="Times New Roman" w:hAnsi="Times New Roman"/>
          <w:sz w:val="24"/>
          <w:szCs w:val="24"/>
        </w:rPr>
      </w:pPr>
      <w:r>
        <w:rPr>
          <w:rFonts w:ascii="Times New Roman" w:hAnsi="Times New Roman"/>
          <w:sz w:val="24"/>
          <w:szCs w:val="24"/>
        </w:rPr>
        <w:t>BAZZANELLA, S. L. GODOI, C. N. MARCHESAN, J. TOMPOROSKI, A. Desenvolvimento: conceito ou ideologia? Desenvolvimento: conceito ou ideologia? v.10, n.1, jan.-abr. 2022, p.57-79 Desenvolvimento em Debate, 2022. Disponível em: https://inctpped.ie.ufrj.br/desenvolvimentoemdebate/pdf/revista_dd_v10_n1_alexandre_tomporoski.pdf</w:t>
      </w:r>
      <w:r>
        <w:rPr>
          <w:rFonts w:ascii="Times New Roman" w:hAnsi="Times New Roman" w:eastAsia="Times New Roman" w:cs="Times New Roman"/>
          <w:sz w:val="24"/>
          <w:szCs w:val="24"/>
        </w:rPr>
        <w:t>Acesso em: maio de 2022.</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BORNHEIM, Gerd A. </w:t>
      </w:r>
      <w:r>
        <w:rPr>
          <w:rFonts w:ascii="Times New Roman" w:hAnsi="Times New Roman"/>
          <w:b/>
          <w:sz w:val="24"/>
          <w:szCs w:val="24"/>
        </w:rPr>
        <w:t>Os Filósofos Pré-Socráticos</w:t>
      </w:r>
      <w:r>
        <w:rPr>
          <w:rFonts w:ascii="Times New Roman" w:hAnsi="Times New Roman"/>
          <w:sz w:val="24"/>
          <w:szCs w:val="24"/>
        </w:rPr>
        <w:t>. São Paulo: Editora Cultrix, 1977.</w:t>
      </w:r>
    </w:p>
    <w:p>
      <w:pPr>
        <w:spacing w:before="0" w:after="0" w:line="240" w:lineRule="auto"/>
        <w:jc w:val="both"/>
        <w:rPr>
          <w:rFonts w:ascii="Times New Roman" w:hAnsi="Times New Roman"/>
          <w:sz w:val="24"/>
          <w:szCs w:val="24"/>
        </w:rPr>
      </w:pPr>
    </w:p>
    <w:p>
      <w:pPr>
        <w:pStyle w:val="37"/>
        <w:jc w:val="both"/>
      </w:pPr>
      <w:r>
        <w:rPr>
          <w:rFonts w:ascii="Times New Roman" w:hAnsi="Times New Roman" w:eastAsia="Times New Roman" w:cs="Times New Roman"/>
        </w:rPr>
        <w:t xml:space="preserve">COORDENAÇÃO DE APERFEIÇOAMENTO DE PESSOAL DE NÍVEL SUPERIOR - CAPES Tabelas de Área de Conhecimento e Avaliação, 2020. </w:t>
      </w:r>
    </w:p>
    <w:p>
      <w:pPr>
        <w:pStyle w:val="37"/>
        <w:jc w:val="both"/>
      </w:pPr>
      <w:r>
        <w:rPr>
          <w:rFonts w:ascii="Times New Roman" w:hAnsi="Times New Roman" w:eastAsia="Times New Roman" w:cs="Times New Roman"/>
        </w:rPr>
        <w:t xml:space="preserve">Disponível em: </w:t>
      </w:r>
      <w:r>
        <w:fldChar w:fldCharType="begin"/>
      </w:r>
      <w:r>
        <w:instrText xml:space="preserve"> HYPERLINK "https://www.gov.br/capes/pt-br/acesso-a-informacao/acoes-e-programas/avaliacao/instrumentos/documentos-de-apoio-1/tabela-de-areas-de-conhecimento-avaliacao" \h </w:instrText>
      </w:r>
      <w:r>
        <w:fldChar w:fldCharType="separate"/>
      </w:r>
      <w:r>
        <w:rPr>
          <w:rStyle w:val="26"/>
          <w:rFonts w:ascii="Times New Roman" w:hAnsi="Times New Roman" w:eastAsia="Times New Roman" w:cs="Times New Roman"/>
        </w:rPr>
        <w:t>https://www.gov.br/capes/pt-br/acesso-a-informacao/acoes-e-programas/avaliacao/instrumentos/documentos-de-apoio-1/tabela-de-areas-de-conhecimento-avaliacao</w:t>
      </w:r>
      <w:r>
        <w:rPr>
          <w:rStyle w:val="26"/>
          <w:rFonts w:ascii="Times New Roman" w:hAnsi="Times New Roman" w:eastAsia="Times New Roman" w:cs="Times New Roman"/>
        </w:rPr>
        <w:fldChar w:fldCharType="end"/>
      </w:r>
      <w:r>
        <w:rPr>
          <w:rFonts w:ascii="Times New Roman" w:hAnsi="Times New Roman" w:eastAsia="Times New Roman" w:cs="Times New Roman"/>
        </w:rPr>
        <w:t xml:space="preserve"> Acesso em: agosto de 2022. </w:t>
      </w:r>
    </w:p>
    <w:p>
      <w:pPr>
        <w:pStyle w:val="37"/>
        <w:jc w:val="both"/>
        <w:rPr>
          <w:rFonts w:ascii="Times New Roman" w:hAnsi="Times New Roman" w:eastAsia="Times New Roman" w:cs="Times New Roman"/>
        </w:rPr>
      </w:pPr>
    </w:p>
    <w:p>
      <w:pPr>
        <w:pStyle w:val="37"/>
        <w:jc w:val="both"/>
      </w:pPr>
      <w:r>
        <w:rPr>
          <w:rFonts w:ascii="Times New Roman" w:hAnsi="Times New Roman" w:eastAsia="Times New Roman" w:cs="Times New Roman"/>
        </w:rPr>
        <w:t>CHANG, Ha-Joon. Chutando a Escada: a estratégia do desenvolvimento em perspectiva histórica São Paulo: Editora UNESP, 2004.</w:t>
      </w:r>
    </w:p>
    <w:p>
      <w:pPr>
        <w:pStyle w:val="37"/>
        <w:jc w:val="both"/>
        <w:rPr>
          <w:rFonts w:ascii="Times New Roman" w:hAnsi="Times New Roman"/>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CHAUÍ, Marilena. </w:t>
      </w:r>
      <w:r>
        <w:rPr>
          <w:rFonts w:ascii="Times New Roman" w:hAnsi="Times New Roman"/>
          <w:b/>
          <w:sz w:val="24"/>
          <w:szCs w:val="24"/>
        </w:rPr>
        <w:t xml:space="preserve">Convite à Filosofia. </w:t>
      </w:r>
      <w:r>
        <w:rPr>
          <w:rFonts w:ascii="Times New Roman" w:hAnsi="Times New Roman"/>
          <w:sz w:val="24"/>
          <w:szCs w:val="24"/>
        </w:rPr>
        <w:t>São Paulo: Editora Ática, 2000.</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FOUCAULT, Michel. </w:t>
      </w:r>
      <w:r>
        <w:rPr>
          <w:rFonts w:ascii="Times New Roman" w:hAnsi="Times New Roman"/>
          <w:b/>
          <w:sz w:val="24"/>
          <w:szCs w:val="24"/>
        </w:rPr>
        <w:t xml:space="preserve"> Microfísica do Poder.</w:t>
      </w:r>
      <w:r>
        <w:rPr>
          <w:rFonts w:ascii="Times New Roman" w:hAnsi="Times New Roman"/>
          <w:sz w:val="24"/>
          <w:szCs w:val="24"/>
        </w:rPr>
        <w:t xml:space="preserve"> Tradução Roberto Machado. Rio de Janeiro: Edições Graal, 1979.</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GILES, Thomas Ransom. </w:t>
      </w:r>
      <w:r>
        <w:rPr>
          <w:rFonts w:ascii="Times New Roman" w:hAnsi="Times New Roman"/>
          <w:b/>
          <w:sz w:val="24"/>
          <w:szCs w:val="24"/>
        </w:rPr>
        <w:t xml:space="preserve">O que é filosofia. </w:t>
      </w:r>
      <w:r>
        <w:rPr>
          <w:rFonts w:ascii="Times New Roman" w:hAnsi="Times New Roman"/>
          <w:sz w:val="24"/>
          <w:szCs w:val="24"/>
        </w:rPr>
        <w:t>São Paulo:  EPU, 1984.</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KUJAWSKI, Gilberto de Melo. </w:t>
      </w:r>
      <w:r>
        <w:rPr>
          <w:rFonts w:ascii="Times New Roman" w:hAnsi="Times New Roman"/>
          <w:b/>
          <w:sz w:val="24"/>
          <w:szCs w:val="24"/>
        </w:rPr>
        <w:t xml:space="preserve">FILOSOFIA: A Razão a Serviço da Vida. </w:t>
      </w:r>
      <w:r>
        <w:rPr>
          <w:rFonts w:ascii="Times New Roman" w:hAnsi="Times New Roman"/>
          <w:sz w:val="24"/>
          <w:szCs w:val="24"/>
        </w:rPr>
        <w:t>São Paulo: Editora Nacional, 1985.</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LATOUR, Bruno. </w:t>
      </w:r>
      <w:r>
        <w:rPr>
          <w:rFonts w:ascii="Times New Roman" w:hAnsi="Times New Roman"/>
          <w:b/>
          <w:sz w:val="24"/>
          <w:szCs w:val="24"/>
        </w:rPr>
        <w:t xml:space="preserve">Jamais fomos modernos: ensaio de antropologia simétrica. </w:t>
      </w:r>
      <w:r>
        <w:rPr>
          <w:rFonts w:ascii="Times New Roman" w:hAnsi="Times New Roman"/>
          <w:sz w:val="24"/>
          <w:szCs w:val="24"/>
        </w:rPr>
        <w:t>Tradução de Carlos Irineu da Costa. Rio de Janeiro: Ed. 34, 1994.</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MACGRADE, A.S.( Org.). </w:t>
      </w:r>
      <w:r>
        <w:rPr>
          <w:rFonts w:ascii="Times New Roman" w:hAnsi="Times New Roman"/>
          <w:b/>
          <w:sz w:val="24"/>
          <w:szCs w:val="24"/>
        </w:rPr>
        <w:t xml:space="preserve">FILOSOFIA MEDIEVAL. </w:t>
      </w:r>
      <w:r>
        <w:rPr>
          <w:rFonts w:ascii="Times New Roman" w:hAnsi="Times New Roman"/>
          <w:sz w:val="24"/>
          <w:szCs w:val="24"/>
        </w:rPr>
        <w:t>Tradução de André Oides. Aparecida,SP: Ideias e Letras,2008.</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MACHADO, Roberto. INTRODUÇÃO: Por uma genealogia do poder.</w:t>
      </w:r>
      <w:r>
        <w:rPr>
          <w:rFonts w:ascii="Times New Roman" w:hAnsi="Times New Roman"/>
          <w:b/>
          <w:sz w:val="24"/>
          <w:szCs w:val="24"/>
        </w:rPr>
        <w:t xml:space="preserve"> </w:t>
      </w:r>
      <w:r>
        <w:rPr>
          <w:rFonts w:ascii="Times New Roman" w:hAnsi="Times New Roman"/>
          <w:sz w:val="24"/>
          <w:szCs w:val="24"/>
        </w:rPr>
        <w:t xml:space="preserve">(In) FOUCAULT, Michel. </w:t>
      </w:r>
      <w:r>
        <w:rPr>
          <w:rFonts w:ascii="Times New Roman" w:hAnsi="Times New Roman"/>
          <w:b/>
          <w:sz w:val="24"/>
          <w:szCs w:val="24"/>
        </w:rPr>
        <w:t xml:space="preserve"> Microfísica do Poder.</w:t>
      </w:r>
      <w:r>
        <w:rPr>
          <w:rFonts w:ascii="Times New Roman" w:hAnsi="Times New Roman"/>
          <w:sz w:val="24"/>
          <w:szCs w:val="24"/>
        </w:rPr>
        <w:t xml:space="preserve"> Tradução Roberto Machado. Rio de Janeiro: Edições Graal, 1979.</w:t>
      </w:r>
    </w:p>
    <w:p>
      <w:pPr>
        <w:spacing w:before="0" w:after="0" w:line="240" w:lineRule="auto"/>
        <w:jc w:val="both"/>
        <w:rPr>
          <w:rFonts w:ascii="Times New Roman" w:hAnsi="Times New Roman"/>
          <w:b/>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MONDIN, Battista. </w:t>
      </w:r>
      <w:r>
        <w:rPr>
          <w:rFonts w:ascii="Times New Roman" w:hAnsi="Times New Roman"/>
          <w:b/>
          <w:sz w:val="24"/>
          <w:szCs w:val="24"/>
        </w:rPr>
        <w:t>INTRODUÇÃO À FILOSOFIA: problemas, sistemas, autores, obras.</w:t>
      </w:r>
      <w:r>
        <w:rPr>
          <w:rFonts w:ascii="Times New Roman" w:hAnsi="Times New Roman"/>
          <w:sz w:val="24"/>
          <w:szCs w:val="24"/>
        </w:rPr>
        <w:t xml:space="preserve"> Tradução J. Renard. São Paulo: Paulus, 1980.</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NEMO, Philippe. </w:t>
      </w:r>
      <w:r>
        <w:rPr>
          <w:rFonts w:ascii="Times New Roman" w:hAnsi="Times New Roman"/>
          <w:b/>
          <w:sz w:val="24"/>
          <w:szCs w:val="24"/>
        </w:rPr>
        <w:t xml:space="preserve">O que é o Ocidente? </w:t>
      </w:r>
      <w:r>
        <w:rPr>
          <w:rFonts w:ascii="Times New Roman" w:hAnsi="Times New Roman"/>
          <w:sz w:val="24"/>
          <w:szCs w:val="24"/>
        </w:rPr>
        <w:t>Tradução Guilherme João de Freitas Teixeira. São Paulo: Martins Fontes, 2005.</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NIETZSCHE, Friedrich Wilhelm. </w:t>
      </w:r>
      <w:r>
        <w:rPr>
          <w:rFonts w:ascii="Times New Roman" w:hAnsi="Times New Roman"/>
          <w:b/>
          <w:sz w:val="24"/>
          <w:szCs w:val="24"/>
        </w:rPr>
        <w:t xml:space="preserve">Genealogia da moral: uma polêmica. </w:t>
      </w:r>
      <w:r>
        <w:rPr>
          <w:rFonts w:ascii="Times New Roman" w:hAnsi="Times New Roman"/>
          <w:sz w:val="24"/>
          <w:szCs w:val="24"/>
        </w:rPr>
        <w:t>Tradução, notas e posfácio Paulo Cesar de Souza. São Paulo: Companhia das Letras, 1998.</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PORTA, Mario Ariel González. </w:t>
      </w:r>
      <w:r>
        <w:rPr>
          <w:rFonts w:ascii="Times New Roman" w:hAnsi="Times New Roman"/>
          <w:b/>
          <w:sz w:val="24"/>
          <w:szCs w:val="24"/>
        </w:rPr>
        <w:t xml:space="preserve">A FILOSOFIA A PARTIR DE SEUS PROBLEMAS: Didática e metodologia do estudo filosófico. </w:t>
      </w:r>
      <w:r>
        <w:rPr>
          <w:rFonts w:ascii="Times New Roman" w:hAnsi="Times New Roman"/>
          <w:sz w:val="24"/>
          <w:szCs w:val="24"/>
        </w:rPr>
        <w:t>São Paulo: Edições Loyola, 2002.</w:t>
      </w:r>
    </w:p>
    <w:p>
      <w:pPr>
        <w:spacing w:before="0" w:after="0" w:line="240" w:lineRule="auto"/>
        <w:jc w:val="both"/>
        <w:rPr>
          <w:color w:val="000000"/>
        </w:rPr>
      </w:pPr>
    </w:p>
    <w:p>
      <w:pPr>
        <w:spacing w:before="0"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PRADO, F. C. A ideologia do desenvolvimento e controvérsia da dependência no Brasil Contemporâneo. 168 f. 2015. Tese (Doutorado em Economia Política Internacional) – Universidade Federal do Rio de Janeiro, Rio de Janeiro, 2015 </w:t>
      </w:r>
    </w:p>
    <w:p>
      <w:pPr>
        <w:spacing w:before="0" w:after="0" w:line="240" w:lineRule="auto"/>
        <w:jc w:val="both"/>
        <w:rPr>
          <w:rFonts w:ascii="Times New Roman" w:hAnsi="Times New Roman"/>
          <w:color w:val="000000"/>
          <w:sz w:val="24"/>
          <w:szCs w:val="24"/>
        </w:rPr>
      </w:pPr>
    </w:p>
    <w:p>
      <w:pPr>
        <w:spacing w:before="0" w:after="0" w:line="240" w:lineRule="auto"/>
        <w:jc w:val="both"/>
        <w:rPr>
          <w:rFonts w:ascii="Times New Roman" w:hAnsi="Times New Roman"/>
          <w:sz w:val="24"/>
          <w:szCs w:val="24"/>
        </w:rPr>
      </w:pPr>
      <w:r>
        <w:rPr>
          <w:rFonts w:ascii="Times New Roman" w:hAnsi="Times New Roman"/>
          <w:sz w:val="24"/>
          <w:szCs w:val="24"/>
        </w:rPr>
        <w:t xml:space="preserve">PRADO Jr, Caio. </w:t>
      </w:r>
      <w:r>
        <w:rPr>
          <w:rFonts w:ascii="Times New Roman" w:hAnsi="Times New Roman"/>
          <w:b/>
          <w:sz w:val="24"/>
          <w:szCs w:val="24"/>
        </w:rPr>
        <w:t xml:space="preserve">O QUE É FILOSOFIA. </w:t>
      </w:r>
      <w:r>
        <w:rPr>
          <w:rFonts w:ascii="Times New Roman" w:hAnsi="Times New Roman"/>
          <w:sz w:val="24"/>
          <w:szCs w:val="24"/>
        </w:rPr>
        <w:t>São Paulo: Editora Brasiliense, 1982.</w:t>
      </w:r>
    </w:p>
    <w:p>
      <w:pPr>
        <w:spacing w:before="0" w:after="0" w:line="240" w:lineRule="auto"/>
        <w:jc w:val="both"/>
        <w:rPr>
          <w:rFonts w:ascii="Times New Roman" w:hAnsi="Times New Roman"/>
          <w:sz w:val="24"/>
          <w:szCs w:val="24"/>
        </w:rPr>
      </w:pPr>
    </w:p>
    <w:p>
      <w:pPr>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SANTOS, Theotonio Dos. </w:t>
      </w:r>
      <w:r>
        <w:rPr>
          <w:rFonts w:ascii="Times New Roman" w:hAnsi="Times New Roman" w:cs="Times New Roman"/>
          <w:b/>
          <w:sz w:val="24"/>
          <w:szCs w:val="24"/>
        </w:rPr>
        <w:t>DEMOCRACIA E SOCIALISMO NO CAPITALISMO DEPENDENTE</w:t>
      </w:r>
      <w:r>
        <w:rPr>
          <w:rFonts w:ascii="Times New Roman" w:hAnsi="Times New Roman" w:cs="Times New Roman"/>
          <w:sz w:val="24"/>
          <w:szCs w:val="24"/>
        </w:rPr>
        <w:t xml:space="preserve"> Petrópolis/RJ. Editora Vozes, 1991.</w:t>
      </w:r>
    </w:p>
    <w:p>
      <w:pPr>
        <w:spacing w:before="0" w:after="0" w:line="240" w:lineRule="auto"/>
        <w:jc w:val="both"/>
        <w:rPr>
          <w:rFonts w:ascii="Times New Roman" w:hAnsi="Times New Roman" w:cs="Times New Roman"/>
          <w:sz w:val="24"/>
          <w:szCs w:val="24"/>
        </w:rPr>
      </w:pPr>
    </w:p>
    <w:p>
      <w:pPr>
        <w:spacing w:before="0" w:after="0" w:line="360" w:lineRule="auto"/>
        <w:jc w:val="both"/>
        <w:rPr>
          <w:rFonts w:ascii="Times New Roman" w:hAnsi="Times New Roman" w:cs="Times New Roman"/>
          <w:sz w:val="24"/>
          <w:szCs w:val="24"/>
        </w:rPr>
      </w:pPr>
    </w:p>
    <w:p>
      <w:pPr>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ab/>
      </w:r>
    </w:p>
    <w:p>
      <w:pPr>
        <w:spacing w:before="0" w:after="0" w:line="240" w:lineRule="auto"/>
        <w:jc w:val="both"/>
        <w:rPr>
          <w:rFonts w:ascii="Times New Roman" w:hAnsi="Times New Roman"/>
          <w:sz w:val="24"/>
          <w:szCs w:val="24"/>
        </w:rPr>
      </w:pPr>
    </w:p>
    <w:p>
      <w:pPr>
        <w:spacing w:before="0" w:after="0" w:line="360" w:lineRule="auto"/>
        <w:jc w:val="both"/>
        <w:rPr>
          <w:rFonts w:ascii="Times New Roman" w:hAnsi="Times New Roman" w:cs="Times New Roman"/>
          <w:sz w:val="24"/>
          <w:szCs w:val="24"/>
        </w:rPr>
      </w:pPr>
    </w:p>
    <w:p>
      <w:pPr>
        <w:spacing w:before="0" w:after="0" w:line="360" w:lineRule="auto"/>
        <w:jc w:val="both"/>
        <w:rPr>
          <w:rFonts w:ascii="Times New Roman" w:hAnsi="Times New Roman" w:cs="Times New Roman"/>
          <w:sz w:val="24"/>
          <w:szCs w:val="24"/>
        </w:rPr>
      </w:pPr>
    </w:p>
    <w:p>
      <w:pPr>
        <w:spacing w:before="0" w:after="0" w:line="360" w:lineRule="auto"/>
        <w:jc w:val="both"/>
        <w:rPr>
          <w:rFonts w:ascii="Times New Roman" w:hAnsi="Times New Roman" w:cs="Times New Roman"/>
          <w:sz w:val="24"/>
          <w:szCs w:val="24"/>
        </w:rPr>
      </w:pPr>
    </w:p>
    <w:p>
      <w:pPr>
        <w:spacing w:before="0" w:after="0" w:line="360" w:lineRule="auto"/>
        <w:jc w:val="both"/>
        <w:rPr>
          <w:rFonts w:ascii="Times New Roman" w:hAnsi="Times New Roman" w:cs="Times New Roman"/>
          <w:sz w:val="24"/>
          <w:szCs w:val="24"/>
        </w:rPr>
      </w:pPr>
    </w:p>
    <w:p>
      <w:pPr>
        <w:spacing w:before="0" w:after="0" w:line="360" w:lineRule="auto"/>
        <w:jc w:val="both"/>
        <w:rPr>
          <w:rFonts w:ascii="Times New Roman" w:hAnsi="Times New Roman" w:cs="Times New Roman"/>
          <w:sz w:val="24"/>
          <w:szCs w:val="24"/>
        </w:rPr>
      </w:pPr>
    </w:p>
    <w:p>
      <w:pPr>
        <w:spacing w:before="0" w:after="0" w:line="360" w:lineRule="auto"/>
        <w:jc w:val="both"/>
        <w:rPr>
          <w:rFonts w:ascii="Times New Roman" w:hAnsi="Times New Roman" w:cs="Times New Roman"/>
          <w:sz w:val="24"/>
          <w:szCs w:val="24"/>
        </w:rPr>
      </w:pPr>
    </w:p>
    <w:p>
      <w:pPr>
        <w:tabs>
          <w:tab w:val="left" w:pos="4820"/>
        </w:tabs>
        <w:spacing w:before="0" w:after="0" w:line="360" w:lineRule="auto"/>
        <w:jc w:val="both"/>
        <w:rPr>
          <w:rFonts w:ascii="Times New Roman" w:hAnsi="Times New Roman" w:cs="Times New Roman"/>
          <w:sz w:val="24"/>
          <w:szCs w:val="24"/>
        </w:rPr>
      </w:pPr>
    </w:p>
    <w:p>
      <w:pPr>
        <w:spacing w:before="0" w:after="0" w:line="360" w:lineRule="auto"/>
        <w:jc w:val="both"/>
        <w:rPr>
          <w:rFonts w:ascii="Times New Roman" w:hAnsi="Times New Roman" w:cs="Times New Roman"/>
          <w:sz w:val="24"/>
          <w:szCs w:val="24"/>
        </w:rPr>
      </w:pPr>
    </w:p>
    <w:sectPr>
      <w:headerReference r:id="rId5" w:type="default"/>
      <w:footerReference r:id="rId6" w:type="default"/>
      <w:footnotePr>
        <w:numFmt w:val="decimal"/>
      </w:footnotePr>
      <w:pgSz w:w="11906" w:h="16838"/>
      <w:pgMar w:top="1701" w:right="1134" w:bottom="1134" w:left="1701" w:header="851" w:footer="709" w:gutter="0"/>
      <w:pgNumType w:fmt="decimal"/>
      <w:cols w:space="720" w:num="1"/>
      <w:formProt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4002EFF" w:usb1="C000247B" w:usb2="00000009" w:usb3="00000000" w:csb0="200001FF" w:csb1="00000000"/>
  </w:font>
  <w:font w:name="Arial-BoldMT">
    <w:altName w:val="Cordel Encarnado"/>
    <w:panose1 w:val="00000000000000000000"/>
    <w:charset w:val="00"/>
    <w:family w:val="roman"/>
    <w:pitch w:val="default"/>
    <w:sig w:usb0="00000000" w:usb1="00000000" w:usb2="00000000" w:usb3="00000000" w:csb0="00000000" w:csb1="00000000"/>
  </w:font>
  <w:font w:name="Cordel Encarnado">
    <w:panose1 w:val="02000500000000000000"/>
    <w:charset w:val="00"/>
    <w:family w:val="auto"/>
    <w:pitch w:val="default"/>
    <w:sig w:usb0="00000003" w:usb1="10000000" w:usb2="00000000" w:usb3="00000000" w:csb0="20000001" w:csb1="00000000"/>
  </w:font>
  <w:font w:name="OpenSymbol">
    <w:altName w:val="Cordel Encarnado"/>
    <w:panose1 w:val="00000000000000000000"/>
    <w:charset w:val="00"/>
    <w:family w:val="roman"/>
    <w:pitch w:val="default"/>
    <w:sig w:usb0="00000000" w:usb1="00000000" w:usb2="00000000" w:usb3="00000000" w:csb0="00000000" w:csb1="00000000"/>
  </w:font>
  <w:font w:name="Tahoma">
    <w:panose1 w:val="020B0604030504040204"/>
    <w:charset w:val="00"/>
    <w:family w:val="roman"/>
    <w:pitch w:val="default"/>
    <w:sig w:usb0="E1002EFF" w:usb1="C000605B" w:usb2="00000029" w:usb3="00000000" w:csb0="200101FF" w:csb1="20280000"/>
  </w:font>
  <w:font w:name="Liberation Sans">
    <w:altName w:val="Arial"/>
    <w:panose1 w:val="00000000000000000000"/>
    <w:charset w:val="00"/>
    <w:family w:val="roman"/>
    <w:pitch w:val="default"/>
    <w:sig w:usb0="00000000" w:usb1="00000000" w:usb2="00000000" w:usb3="00000000" w:csb0="00000000" w:csb1="00000000"/>
  </w:font>
  <w:font w:name="Lucida Sans">
    <w:panose1 w:val="020B0602030504020204"/>
    <w:charset w:val="00"/>
    <w:family w:val="auto"/>
    <w:pitch w:val="default"/>
    <w:sig w:usb0="00000003" w:usb1="00000000" w:usb2="00000000" w:usb3="00000000" w:csb0="20000001" w:csb1="00000000"/>
  </w:font>
  <w:font w:name="Liberation Serif">
    <w:altName w:val="Times New Roman"/>
    <w:panose1 w:val="00000000000000000000"/>
    <w:charset w:val="00"/>
    <w:family w:val="roman"/>
    <w:pitch w:val="default"/>
    <w:sig w:usb0="00000000" w:usb1="00000000" w:usb2="00000000" w:usb3="00000000" w:csb0="00000000" w:csb1="00000000"/>
  </w:font>
  <w:font w:name="NSimSun">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rPr>
        <w:rFonts w:ascii="Times New Roman" w:hAnsi="Times New Roman" w:cs="Times New Roman"/>
        <w:sz w:val="20"/>
        <w:szCs w:val="20"/>
      </w:rPr>
    </w:pPr>
    <w:r>
      <w:rPr>
        <w:rFonts w:ascii="Times New Roman" w:hAnsi="Times New Roman" w:cs="Times New Roman"/>
        <w:sz w:val="20"/>
        <w:szCs w:val="20"/>
      </w:rPr>
      <mc:AlternateContent>
        <mc:Choice Requires="wps">
          <w:drawing>
            <wp:anchor distT="3810" distB="3175" distL="0" distR="635" simplePos="0" relativeHeight="251659264" behindDoc="1" locked="0" layoutInCell="0" allowOverlap="1">
              <wp:simplePos x="0" y="0"/>
              <wp:positionH relativeFrom="margin">
                <wp:posOffset>-548005</wp:posOffset>
              </wp:positionH>
              <wp:positionV relativeFrom="paragraph">
                <wp:posOffset>152400</wp:posOffset>
              </wp:positionV>
              <wp:extent cx="6505575" cy="9525"/>
              <wp:effectExtent l="0" t="3810" r="635" b="3175"/>
              <wp:wrapNone/>
              <wp:docPr id="4" name="Conector Reto 3"/>
              <wp:cNvGraphicFramePr/>
              <a:graphic xmlns:a="http://schemas.openxmlformats.org/drawingml/2006/main">
                <a:graphicData uri="http://schemas.microsoft.com/office/word/2010/wordprocessingShape">
                  <wps:wsp>
                    <wps:cNvCnPr/>
                    <wps:spPr>
                      <a:xfrm>
                        <a:off x="0" y="0"/>
                        <a:ext cx="6505560" cy="9360"/>
                      </a:xfrm>
                      <a:prstGeom prst="line">
                        <a:avLst/>
                      </a:prstGeom>
                      <a:ln>
                        <a:solidFill>
                          <a:srgbClr val="00B05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Conector Reto 3" o:spid="_x0000_s1026" o:spt="20" style="position:absolute;left:0pt;margin-left:-43.15pt;margin-top:12pt;height:0.75pt;width:512.25pt;mso-position-horizontal-relative:margin;z-index:-251657216;mso-width-relative:page;mso-height-relative:page;" filled="f" stroked="t" coordsize="21600,21600" o:allowincell="f"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T/+pl2QAAAAkBAAAPAAAAAAAAAAEA&#10;IAAAACIAAABkcnMvZG93bnJldi54bWxQSwECFAAUAAAACACHTuJATqngN9UBAACyAwAADgAAAAAA&#10;AAABACAAAAAoAQAAZHJzL2Uyb0RvYy54bWxQSwUGAAAAAAYABgBZAQAAbwUAAAAA&#10;">
              <v:fill on="f" focussize="0,0"/>
              <v:stroke weight="0.5pt" color="#00B050 [3204]" miterlimit="8" joinstyle="miter"/>
              <v:imagedata o:title=""/>
              <o:lock v:ext="edit" aspectratio="f"/>
            </v:line>
          </w:pict>
        </mc:Fallback>
      </mc:AlternateContent>
    </w:r>
  </w:p>
  <w:p>
    <w:pPr>
      <w:pStyle w:val="12"/>
      <w:jc w:val="both"/>
      <w:rPr>
        <w:rFonts w:ascii="Times New Roman" w:hAnsi="Times New Roman" w:cs="Times New Roman"/>
        <w:sz w:val="20"/>
        <w:szCs w:val="20"/>
      </w:rPr>
    </w:pPr>
  </w:p>
  <w:p>
    <w:pPr>
      <w:pStyle w:val="12"/>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pPr>
      <w:pStyle w:val="12"/>
      <w:jc w:val="both"/>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pPr>
        <w:spacing w:before="0" w:after="0" w:line="259" w:lineRule="auto"/>
      </w:pPr>
      <w:r>
        <w:separator/>
      </w:r>
    </w:p>
  </w:footnote>
  <w:footnote w:type="continuationSeparator" w:id="29">
    <w:p>
      <w:pPr>
        <w:spacing w:before="0" w:after="0" w:line="259" w:lineRule="auto"/>
      </w:pPr>
      <w:r>
        <w:continuationSeparator/>
      </w:r>
    </w:p>
  </w:footnote>
  <w:footnote w:id="0">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“A Filosofia é a procura incansável e constante da evidência do sentido, que às vezes se esconde, que às vezes se torna invisível aos nossos olhos. Da mesma forma, ela exclui o fechamento num mundo de ideias, pois a realidade não se deixa absorver nem mesmo pela própria reflexão, como também não se reduz a uma simples projeção do pensamento. A Filosofia exigem a volta constante à fonte de todas as ideias, ou seja, ao mundo vivido e a nós mesmos. Ela ensina o homem a evitar a armadilha que consistiria em se fechar no mundo da introspeção, num mundo todo “seu”. O mundo que  a Filosofia o chama a compreender é o mundo que compartilha com outros “eus”,que com ele repartem a existência”. (GILES,1984, p. 5).</w:t>
      </w:r>
    </w:p>
  </w:footnote>
  <w:footnote w:id="1">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i/>
        </w:rPr>
        <w:t xml:space="preserve">Filosofia é o ensaio sempre renovado pelo homem para saber a que se ater, mediante o conhecimento, isto é, averiguação do ser das coisas, de acordo com as seguintes premissas: radicalidade, universalidade e circunstancialidade”. </w:t>
      </w:r>
      <w:r>
        <w:rPr>
          <w:rFonts w:ascii="Times New Roman" w:hAnsi="Times New Roman" w:cs="Times New Roman"/>
        </w:rPr>
        <w:t>(KUJAWSKI, 1985, p.70)</w:t>
      </w:r>
    </w:p>
  </w:footnote>
  <w:footnote w:id="2">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“A Filosofia, embora ultrapassando largamente aquilo que de ordinário se trata na teoria do conhecimento, conserva-se dentro e no âmbito do </w:t>
      </w:r>
      <w:r>
        <w:rPr>
          <w:rFonts w:ascii="Times New Roman" w:hAnsi="Times New Roman" w:cs="Times New Roman"/>
          <w:i/>
        </w:rPr>
        <w:t xml:space="preserve">Conhecimento como objeto. </w:t>
      </w:r>
      <w:r>
        <w:rPr>
          <w:rFonts w:ascii="Times New Roman" w:hAnsi="Times New Roman" w:cs="Times New Roman"/>
        </w:rPr>
        <w:t>Isso é, enquanto a Ciência e o Conhecimento em geral, em que a Ciência constitui o setor organizado e sistematizado, têm por objeto as feições e ocorrências do Universo que envolvem o Homem e de que ele também participa, o objeto da Filosofia é precisamente esse “conhecimento” de tais feições e ocorrências. (...). A Filosofia sempre se ocupou, de fato, do Conhecimento em si e todas suas implicações, embora frequentemente julgue, ou melhor, julgam os filósofos seus autores estarem tratando de outro objeto.” (PRADO Jr. 1981, p. 19)</w:t>
      </w:r>
    </w:p>
  </w:footnote>
  <w:footnote w:id="3">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A Filosofia Política é campo da investigação filosófica que possui como objeto de investigação, problematização e análise o problema político. “O problema político é o problema relativo à origem e a fundação do Estado (</w:t>
      </w:r>
      <w:r>
        <w:rPr>
          <w:rFonts w:ascii="Times New Roman" w:hAnsi="Times New Roman" w:cs="Times New Roman"/>
          <w:i/>
        </w:rPr>
        <w:t>pólis</w:t>
      </w:r>
      <w:r>
        <w:rPr>
          <w:rFonts w:ascii="Times New Roman" w:hAnsi="Times New Roman" w:cs="Times New Roman"/>
        </w:rPr>
        <w:t>), à sua organização, à sua melhor forma, à sua função e a seu fim específico, à natureza da ação política e suas relações com a ação moral, as relações entre Estado e Indivíduos, entre Estado e Igreja, entre Estado e partidos”. (MONDIN, 1980, p. 114).</w:t>
      </w:r>
    </w:p>
  </w:footnote>
  <w:footnote w:id="4">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shd w:val="clear" w:fill="FFFFFF"/>
        </w:rPr>
        <w:t>Por um escrúpulo que me é peculiar, e que confesso a contragosto - diz respeito à moral, a tudo o que até agora foi celebrado na terra como moral – (...) - tanto minha curiosidade quanto minha suspeita deveriam logo deter-se na questão de onde se originam verdadeiramente nosso bem e nosso mal. (...) ... Por fortuna logo aprendi a separar o preconceito teológico do moral , e não mais busquei a origem do mal por trás do mundo . Alguma educação histórica e filológica, juntamente com um inato senso seletivo em questões psicológicas , em breve transformou meu problema em outro: sob que condições o homem inventou para si os juízos de valor " bom " e " mau "? e que valor têm eles? Obstruíram ou promoveram até agora o crescimento do homem ? São indício de miséria, empobrecimento, degeneração da vida? Ou, ao contrário, revela-se neles a plenitude, a força , a vontade da vida, sua coragem, sua certeza, seu futuro? - Para isso encontrei e arrisquei respostas diversas , diferenciei épocas, povos, hierarquias dos indivíduos, especializei meu problema, das respostas nasceram novas perguntas, indagações, suposições, probabilidades: até que finalmente eu possuía um país meu, um chão próprio , um mundo silente, próspero, florescente , como um jardim secreto do qual ninguém suspeitasse... “ (NIETZSCHE, 1998,  p. 9)</w:t>
      </w:r>
    </w:p>
  </w:footnote>
  <w:footnote w:id="5">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shd w:val="clear" w:fill="FFFFFF"/>
        </w:rPr>
        <w:t xml:space="preserve">Mas todos os fins, todas as utilidades são apenas indícios de que uma vontade de poder se assenhoreou de algo menos poderoso e lhe imprimiu o sentido de uma função; e toda a história de uma "coisa", um órgão, um uso, pode desse modo ser uma ininterrupta cadeia de signos de sempre novas interpretações e ajustes, cujas causas nem precisam estar relacionadas entre si, antes podendo se suceder e substituir de maneira meramente casual. Logo, o "desenvolvimento" de uma coisa, um uso, um órgão, é tudo menos o seu </w:t>
      </w:r>
      <w:r>
        <w:rPr>
          <w:rFonts w:ascii="Times New Roman" w:hAnsi="Times New Roman" w:cs="Times New Roman"/>
          <w:i/>
          <w:shd w:val="clear" w:fill="FFFFFF"/>
        </w:rPr>
        <w:t>progressus</w:t>
      </w:r>
      <w:r>
        <w:rPr>
          <w:rFonts w:ascii="Times New Roman" w:hAnsi="Times New Roman" w:cs="Times New Roman"/>
          <w:shd w:val="clear" w:fill="FFFFFF"/>
        </w:rPr>
        <w:t xml:space="preserve"> em direção a uma meta, menos ainda um </w:t>
      </w:r>
      <w:r>
        <w:rPr>
          <w:rFonts w:ascii="Times New Roman" w:hAnsi="Times New Roman" w:cs="Times New Roman"/>
          <w:i/>
          <w:shd w:val="clear" w:fill="FFFFFF"/>
        </w:rPr>
        <w:t>progressus</w:t>
      </w:r>
      <w:r>
        <w:rPr>
          <w:rFonts w:ascii="Times New Roman" w:hAnsi="Times New Roman" w:cs="Times New Roman"/>
          <w:shd w:val="clear" w:fill="FFFFFF"/>
        </w:rPr>
        <w:t xml:space="preserve"> lógico e rápido, obtido com um dispêndio mínimo de forças - mas sim a sucessão de processos de subjugamento que nela ocorrem, mais ou menos profundos, mais ou menos interdependentes, juntamente com as resistências que a cada vez encontram, as metamorfoses tentadas com o fim de defesa e reação, e também os resultados de ações contrárias bem sucedidas. (...). Quero dizer também a </w:t>
      </w:r>
      <w:r>
        <w:rPr>
          <w:rFonts w:ascii="Times New Roman" w:hAnsi="Times New Roman" w:cs="Times New Roman"/>
          <w:i/>
          <w:shd w:val="clear" w:fill="FFFFFF"/>
        </w:rPr>
        <w:t>inutilização</w:t>
      </w:r>
      <w:r>
        <w:rPr>
          <w:rFonts w:ascii="Times New Roman" w:hAnsi="Times New Roman" w:cs="Times New Roman"/>
          <w:shd w:val="clear" w:fill="FFFFFF"/>
        </w:rPr>
        <w:t xml:space="preserve"> parcial, a atrofia e degeneração, a perda de sentido e propósito, a morte, em suma, está entre as condições para o verdadeiro </w:t>
      </w:r>
      <w:r>
        <w:rPr>
          <w:rFonts w:ascii="Times New Roman" w:hAnsi="Times New Roman" w:cs="Times New Roman"/>
          <w:i/>
          <w:shd w:val="clear" w:fill="FFFFFF"/>
        </w:rPr>
        <w:t>progressus</w:t>
      </w:r>
      <w:r>
        <w:rPr>
          <w:rFonts w:ascii="Times New Roman" w:hAnsi="Times New Roman" w:cs="Times New Roman"/>
          <w:shd w:val="clear" w:fill="FFFFFF"/>
        </w:rPr>
        <w:t xml:space="preserve">, o qual sempre aparece em forma de vontade e via de </w:t>
      </w:r>
      <w:r>
        <w:rPr>
          <w:rFonts w:ascii="Times New Roman" w:hAnsi="Times New Roman" w:cs="Times New Roman"/>
          <w:i/>
          <w:shd w:val="clear" w:fill="FFFFFF"/>
        </w:rPr>
        <w:t>maior poder</w:t>
      </w:r>
      <w:r>
        <w:rPr>
          <w:rFonts w:ascii="Times New Roman" w:hAnsi="Times New Roman" w:cs="Times New Roman"/>
          <w:shd w:val="clear" w:fill="FFFFFF"/>
        </w:rPr>
        <w:t xml:space="preserve">, e é sempre imposto à custa de inúmeros poderes menores. A magnitude de um “avanço”, inclusive, se </w:t>
      </w:r>
      <w:r>
        <w:rPr>
          <w:rFonts w:ascii="Times New Roman" w:hAnsi="Times New Roman" w:cs="Times New Roman"/>
          <w:i/>
          <w:shd w:val="clear" w:fill="FFFFFF"/>
        </w:rPr>
        <w:t>mede</w:t>
      </w:r>
      <w:r>
        <w:rPr>
          <w:rFonts w:ascii="Times New Roman" w:hAnsi="Times New Roman" w:cs="Times New Roman"/>
          <w:shd w:val="clear" w:fill="FFFFFF"/>
        </w:rPr>
        <w:t xml:space="preserve"> pela massa daquilo que teve de lhe ser sacrificado;! (NIETZSCHE, 1998, pp. 66/67).</w:t>
      </w:r>
    </w:p>
  </w:footnote>
  <w:footnote w:id="6">
    <w:p>
      <w:pPr>
        <w:pStyle w:val="15"/>
        <w:spacing w:before="0" w:after="160"/>
        <w:ind w:left="142" w:hanging="142"/>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“Aliás, toda pesquisa nas ciências humanas  - e, por conseguinte, também a presente reflexão sobre o método – deveria implicar um cuidado arqueológico, isto é, retroceder no próprio percurso até o ponto em que algo ficou obscuro e não tematizado. Só um pensamento que não esconde o próprio não dito, mas incessantemente o retomae o desenvolve, pode, eventualmente, pretender a originalidade”. (AGAMBEN, 2019, p. 8)</w:t>
      </w:r>
    </w:p>
  </w:footnote>
  <w:footnote w:id="7">
    <w:p>
      <w:pPr>
        <w:pStyle w:val="15"/>
        <w:spacing w:before="0" w:after="0" w:line="240" w:lineRule="auto"/>
        <w:ind w:left="142" w:hanging="142"/>
        <w:jc w:val="both"/>
        <w:rPr>
          <w:rFonts w:ascii="Times New Roman" w:hAnsi="Times New Roman" w:cs="Times New Roman"/>
        </w:rPr>
      </w:pPr>
      <w:r>
        <w:rPr>
          <w:rStyle w:val="21"/>
        </w:rPr>
        <w:footnoteRef/>
      </w:r>
      <w:r>
        <w:tab/>
      </w:r>
      <w:r>
        <w:t xml:space="preserve"> </w:t>
      </w:r>
      <w:r>
        <w:rPr>
          <w:rFonts w:ascii="Times New Roman" w:hAnsi="Times New Roman" w:cs="Times New Roman"/>
        </w:rPr>
        <w:t>“Antes de mais nada, aqui a assinatura já não apenas o que, ponde em relação âmbitos diferentes, manifesta a virtude oculta das coisas; ela é, antes, o operador decisivo de todo conhecimento, o que torna inteligível o mundo, que é, em si, mundo e sem razão.” (AGAMBEN, 2019, p. 27)</w:t>
      </w:r>
    </w:p>
  </w:footnote>
  <w:footnote w:id="8">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 </w:t>
      </w:r>
      <w:r>
        <w:rPr>
          <w:rFonts w:ascii="Times New Roman" w:hAnsi="Times New Roman" w:cs="Times New Roman"/>
          <w:i/>
        </w:rPr>
        <w:t xml:space="preserve">a </w:t>
      </w:r>
      <w:r>
        <w:rPr>
          <w:rFonts w:ascii="Times New Roman" w:hAnsi="Times New Roman" w:cs="Times New Roman"/>
        </w:rPr>
        <w:t>physis</w:t>
      </w:r>
      <w:r>
        <w:rPr>
          <w:rFonts w:ascii="Times New Roman" w:hAnsi="Times New Roman" w:cs="Times New Roman"/>
          <w:i/>
        </w:rPr>
        <w:t xml:space="preserve"> é o conceito fundamental de todo o pensamento pré-socrático (...). Etimologicamente, </w:t>
      </w:r>
      <w:r>
        <w:rPr>
          <w:rFonts w:ascii="Times New Roman" w:hAnsi="Times New Roman" w:cs="Times New Roman"/>
        </w:rPr>
        <w:t>physis</w:t>
      </w:r>
      <w:r>
        <w:rPr>
          <w:rFonts w:ascii="Times New Roman" w:hAnsi="Times New Roman" w:cs="Times New Roman"/>
          <w:i/>
        </w:rPr>
        <w:t xml:space="preserve"> é um abstrato formado pelo sufixo </w:t>
      </w:r>
      <w:r>
        <w:rPr>
          <w:rFonts w:ascii="Times New Roman" w:hAnsi="Times New Roman" w:cs="Times New Roman"/>
        </w:rPr>
        <w:t>sis</w:t>
      </w:r>
      <w:r>
        <w:rPr>
          <w:rFonts w:ascii="Times New Roman" w:hAnsi="Times New Roman" w:cs="Times New Roman"/>
          <w:i/>
        </w:rPr>
        <w:t xml:space="preserve"> e pela raiz verbal </w:t>
      </w:r>
      <w:r>
        <w:rPr>
          <w:rFonts w:ascii="Times New Roman" w:hAnsi="Times New Roman" w:cs="Times New Roman"/>
        </w:rPr>
        <w:t>phy</w:t>
      </w:r>
      <w:r>
        <w:rPr>
          <w:rFonts w:ascii="Times New Roman" w:hAnsi="Times New Roman" w:cs="Times New Roman"/>
          <w:i/>
        </w:rPr>
        <w:t xml:space="preserve">; na voz ativa: </w:t>
      </w:r>
      <w:r>
        <w:rPr>
          <w:rFonts w:ascii="Times New Roman" w:hAnsi="Times New Roman" w:cs="Times New Roman"/>
        </w:rPr>
        <w:t>phúein</w:t>
      </w:r>
      <w:r>
        <w:rPr>
          <w:rFonts w:ascii="Times New Roman" w:hAnsi="Times New Roman" w:cs="Times New Roman"/>
          <w:i/>
        </w:rPr>
        <w:t xml:space="preserve">, na voz média: </w:t>
      </w:r>
      <w:r>
        <w:rPr>
          <w:rFonts w:ascii="Times New Roman" w:hAnsi="Times New Roman" w:cs="Times New Roman"/>
        </w:rPr>
        <w:t>phúesthai</w:t>
      </w:r>
      <w:r>
        <w:rPr>
          <w:rFonts w:ascii="Times New Roman" w:hAnsi="Times New Roman" w:cs="Times New Roman"/>
          <w:i/>
        </w:rPr>
        <w:t xml:space="preserve">. Patzer analisa a palavra em função de Homero, e constata que estas duas formas verbais são aplicadas preferencialmente ao mundo e vegetal. Na voz ativa significa produzir (como o bosque que na primavera produz  folhas), e na voz média significa crescer (aos ciclopes, “tudo cresce sem semente e sem arado”) (2). O reino vegetal seria, assim, o originário, estendendo-se, mais tarde, o significado do verbo a ponto de assumir uma amplidão máxima. Jaeger diz que a palavra </w:t>
      </w:r>
      <w:r>
        <w:rPr>
          <w:rFonts w:ascii="Times New Roman" w:hAnsi="Times New Roman" w:cs="Times New Roman"/>
        </w:rPr>
        <w:t>physis</w:t>
      </w:r>
      <w:r>
        <w:rPr>
          <w:rFonts w:ascii="Times New Roman" w:hAnsi="Times New Roman" w:cs="Times New Roman"/>
          <w:i/>
        </w:rPr>
        <w:t xml:space="preserve"> designa o processo de surgir e desenvolver-se, razão pela qual os gregos a usavam frequentemente com um genitivo. E acrescenta Jaeger: “Mas a palavra abarca também a fonte originária das coisas, aquilo a partir do qual se desenvolvem e pelo qual se renova constantemente o seu desenvolvimento; com outras palavras, a realidade subjacente às coisas de nossa experiência</w:t>
      </w:r>
      <w:r>
        <w:rPr>
          <w:rFonts w:ascii="Times New Roman" w:hAnsi="Times New Roman" w:cs="Times New Roman"/>
        </w:rPr>
        <w:t>.”(BORNHEIM, 1977, pp. 11/12)</w:t>
      </w:r>
    </w:p>
  </w:footnote>
  <w:footnote w:id="9">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shd w:val="clear" w:fill="FFFFFF"/>
        </w:rPr>
        <w:t xml:space="preserve">O que é o 'Ocidente ', </w:t>
      </w:r>
      <w:r>
        <w:rPr>
          <w:rFonts w:ascii="Times New Roman" w:hAnsi="Times New Roman" w:cs="Times New Roman"/>
          <w:i/>
          <w:shd w:val="clear" w:fill="FFFFFF"/>
        </w:rPr>
        <w:t>the West</w:t>
      </w:r>
      <w:r>
        <w:rPr>
          <w:rFonts w:ascii="Times New Roman" w:hAnsi="Times New Roman" w:cs="Times New Roman"/>
          <w:shd w:val="clear" w:fill="FFFFFF"/>
        </w:rPr>
        <w:t xml:space="preserve"> ? Essa civilização ou cultura – (...) - terá uma unidade mais profunda do que suas divisões geopolíticas? Possuirá valores e instituições comuns por intermédio dos quais ela poderia constituir-se em um único e mesmo mundo, distinguindo-a, ainda por muito tempo, do universo chinês, japonês, indiano, árabe-muçulmano, africano e, também, de mundos reputados bem próximos, tais como a ortodoxia russa e do Leste Europeu, além da América Lati na ou de Israel? (...) a civilização ocidental pode ser definida, em uma primeira abordagem, pelo Estado de direito, pela democracia, pela liberdade intelectual, pela racionalidade crítica, pela ciência e por uma economia baseada na propriedade privada. Ora, todos esses valores e todas essas instituições não são 'naturais' , mas o resultado de uma longa construção histórica.”  (NEMO, 2005, pp. 8/9</w:t>
      </w:r>
    </w:p>
  </w:footnote>
  <w:footnote w:id="10">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shd w:val="clear" w:fill="FFFFFF"/>
        </w:rPr>
        <w:t>, em Gênesis, ao dizer que no começo Deus fez os céus e a terra, uma distinção ontológica é feita entre Deus e o universo, (...). O cosmos (um mundo ordenado) é dito ter um começo, não ser eterno, e consequentemente não ser absoluto?  Deus se distingue do universo. Ele não tem começo, mas é eterno. Como Criador do universo, Deus não é parte do universo, nem este é uma parte de Deus. A criação depende Dele para sua existência. O status ontológico do universo (o tipo de realidade que ele é) distingue do status ontológico de Deus” (ALLEN; SPRINGSTED, 2010, p.15)</w:t>
      </w:r>
    </w:p>
  </w:footnote>
  <w:footnote w:id="11">
    <w:p>
      <w:pPr>
        <w:pStyle w:val="15"/>
        <w:spacing w:before="0" w:after="0" w:line="240" w:lineRule="auto"/>
        <w:ind w:left="284" w:hanging="284"/>
        <w:jc w:val="both"/>
        <w:rPr>
          <w:rFonts w:ascii="Times New Roman" w:hAnsi="Times New Roman" w:cs="Times New Roman"/>
        </w:rPr>
      </w:pPr>
      <w:r>
        <w:rPr>
          <w:rStyle w:val="21"/>
        </w:rPr>
        <w:footnoteRef/>
      </w:r>
      <w:r>
        <w:tab/>
      </w:r>
      <w:r>
        <w:t xml:space="preserve">  </w:t>
      </w:r>
      <w:r>
        <w:rPr>
          <w:rFonts w:ascii="Times New Roman" w:hAnsi="Times New Roman" w:cs="Times New Roman"/>
        </w:rPr>
        <w:t>O conceito de modernidade utilizado para leitura, interpretação e análise do objeto desta pesquisa , no presente artigo, tem seus contornos definidos cronologicamente a partir do século XVI a meados do século XIX, período em que significativas transformações se apresentaram na Europa ocidental. Entre elas podem-se citar: as grandes navegações e o contato com novas terras e povos; redefinições na dinâmica produtiva e econômica europeia, com o nascimento do capitalismo; descobertas científicas e avanços tecnológicos nas mais diversas áreas; fundação do Estado moderno; revoluções políticas e culturais; Todos estes eventos marcaram epistemologicamente e ontologicamente a ocidentalidade, confluindo naquilo que se convencionou nomear de projeto moderno, cujas principais características podem ser definidas através do fortalecimento de uma determinada racionalidade, do exercício da liberdade subjetiva como condição do exercício da autonomia, da ética que permeia as relações sociais. No Estado democrático de direito que procura garantir a participação equitativa da nação nos limites estabelecidos em lei. Na garantia de acesso à propriedade privada, base da dinâmica econômica de produção e do consumo e, na difusão da cultura como condição do exercício da reflexividade. (BAZZANELLA, 2010)</w:t>
      </w:r>
    </w:p>
    <w:p>
      <w:pPr>
        <w:pStyle w:val="15"/>
        <w:spacing w:before="0" w:after="0" w:line="240" w:lineRule="auto"/>
        <w:jc w:val="both"/>
      </w:pPr>
    </w:p>
  </w:footnote>
  <w:footnote w:id="12">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“O pensamento político medieval tem-se tornado ao mesmo tempo mais inteligível e mais relevante para as preocupações atuais, por diversas razoes. A erudição recente tem conduzido a uma maior consciência do papel dos pensadores medievais no fornecimento das bases para o pensamento político moderno. (...). Nossos debates de hoje sobre valores “modernos” e “ocidentais” recebem maior importância, graças às reinvindicações atualmente feitas em favor da tradição islâmica e, em uma parte crítica de nosso mundo, em favor do judaísmo tradicional.” (MCGRADE, 2008, p.19)</w:t>
      </w:r>
    </w:p>
  </w:footnote>
  <w:footnote w:id="13">
    <w:p>
      <w:pPr>
        <w:pStyle w:val="15"/>
        <w:spacing w:before="0" w:after="160"/>
        <w:jc w:val="both"/>
        <w:rPr>
          <w:rFonts w:ascii="Times New Roman" w:hAnsi="Times New Roman" w:cs="Times New Roman"/>
        </w:rPr>
      </w:pPr>
      <w:r>
        <w:rPr>
          <w:rStyle w:val="21"/>
        </w:rPr>
        <w:footnoteRef/>
      </w:r>
      <w:r>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color w:val="222222"/>
          <w:shd w:val="clear" w:fill="FFFFFF"/>
        </w:rPr>
        <w:t>  “Daí a última questão que é também a mais difícil: se deixamos de ser modernos, se não podemos mais separar o trabalho de proliferação e o trabalho de purificação, o que iremos nos tornar? Como desejar as Luzes sem a modernidade? A hipótese, também por demasiado enorme, é de que será preciso reduzir a marcha, curvar e regular a proliferação dos monstros através da representação oficial de sua existência. Seria necessária uma outra democracia? Uma democracia estendida às coisas ? Para responder a estas perguntas , deverei distinguir entre os pré- modernos, os modernos, e mesmo entre os pós-modernos aquilo que eles têm de durável e o que têm de fatal . Perguntas demais , bem o sei , para um ensaio que não tem outra desculpa que não sua brevidade . Nietzsche dizia , sobre os grandes problemas , que eram como os banhos frios : é preciso entrar rápido e sair da mesma forma”. (LATOUR, 1994, p. 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mc:AlternateContent>
        <mc:Choice Requires="wps">
          <w:drawing>
            <wp:anchor distT="3175" distB="3175" distL="635" distR="0" simplePos="0" relativeHeight="251659264" behindDoc="1" locked="0" layoutInCell="0" allowOverlap="1">
              <wp:simplePos x="0" y="0"/>
              <wp:positionH relativeFrom="column">
                <wp:posOffset>-495300</wp:posOffset>
              </wp:positionH>
              <wp:positionV relativeFrom="paragraph">
                <wp:posOffset>970915</wp:posOffset>
              </wp:positionV>
              <wp:extent cx="6505575" cy="9525"/>
              <wp:effectExtent l="635" t="3175" r="0" b="3175"/>
              <wp:wrapNone/>
              <wp:docPr id="1" name="Conector Reto 1"/>
              <wp:cNvGraphicFramePr/>
              <a:graphic xmlns:a="http://schemas.openxmlformats.org/drawingml/2006/main">
                <a:graphicData uri="http://schemas.microsoft.com/office/word/2010/wordprocessingShape">
                  <wps:wsp>
                    <wps:cNvCnPr/>
                    <wps:spPr>
                      <a:xfrm>
                        <a:off x="0" y="0"/>
                        <a:ext cx="6505560" cy="9360"/>
                      </a:xfrm>
                      <a:prstGeom prst="line">
                        <a:avLst/>
                      </a:prstGeom>
                      <a:ln>
                        <a:solidFill>
                          <a:srgbClr val="00B05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_x0000_s1026" o:spid="_x0000_s1026" o:spt="20" style="position:absolute;left:0pt;margin-left:-39pt;margin-top:76.45pt;height:0.75pt;width:512.25pt;z-index:-251657216;mso-width-relative:page;mso-height-relative:page;" filled="f" stroked="t" coordsize="21600,21600" o:allowincell="f"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lligdoAAAALAQAADwAAAAAAAAAB&#10;ACAAAAAiAAAAZHJzL2Rvd25yZXYueG1sUEsBAhQAFAAAAAgAh07iQNSO+jHVAQAAsgMAAA4AAAAA&#10;AAAAAQAgAAAAKQEAAGRycy9lMm9Eb2MueG1sUEsFBgAAAAAGAAYAWQEAAHAFAAAAAA==&#10;">
              <v:fill on="f" focussize="0,0"/>
              <v:stroke weight="0.5pt" color="#00B050 [3204]" miterlimit="8" joinstyle="miter"/>
              <v:imagedata o:title=""/>
              <o:lock v:ext="edit" aspectratio="f"/>
            </v:line>
          </w:pict>
        </mc:Fallback>
      </mc:AlternateContent>
    </w:r>
    <w:r>
      <mc:AlternateContent>
        <mc:Choice Requires="wps">
          <w:drawing>
            <wp:inline distT="0" distB="0" distL="0" distR="0">
              <wp:extent cx="304800" cy="304800"/>
              <wp:effectExtent l="0" t="0" r="0" b="0"/>
              <wp:docPr id="2" name="Forma2"/>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rgbClr val="FFFFFF"/>
                      </a:lnRef>
                      <a:fillRef idx="0">
                        <a:srgbClr val="FFFFFF"/>
                      </a:fillRef>
                      <a:effectRef idx="0">
                        <a:srgbClr val="FFFFFF"/>
                      </a:effectRef>
                      <a:fontRef idx="minor"/>
                    </wps:style>
                    <wps:bodyPr/>
                  </wps:wsp>
                </a:graphicData>
              </a:graphic>
            </wp:inline>
          </w:drawing>
        </mc:Choice>
        <mc:Fallback>
          <w:pict>
            <v:rect id="Forma2" o:spid="_x0000_s1026" o:spt="1" style="height:24pt;width:24pt;" filled="f" stroked="f" coordsize="21600,21600" o:gfxdata="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">
              <v:fill on="f" focussize="0,0"/>
              <v:stroke on="f" weight="0pt"/>
              <v:imagedata o:title=""/>
              <o:lock v:ext="edit" aspectratio="f"/>
              <w10:wrap type="none"/>
              <w10:anchorlock/>
            </v:rect>
          </w:pict>
        </mc:Fallback>
      </mc:AlternateContent>
    </w:r>
    <w:r>
      <w:t xml:space="preserve"> </w:t>
    </w:r>
    <w:r>
      <w:drawing>
        <wp:inline distT="0" distB="0" distL="0" distR="0">
          <wp:extent cx="2637790" cy="901065"/>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noChangeArrowheads="1"/>
                  </pic:cNvPicPr>
                </pic:nvPicPr>
                <pic:blipFill>
                  <a:blip r:embed="rId1"/>
                  <a:stretch>
                    <a:fillRect/>
                  </a:stretch>
                </pic:blipFill>
                <pic:spPr>
                  <a:xfrm>
                    <a:off x="0" y="0"/>
                    <a:ext cx="2637790" cy="901065"/>
                  </a:xfrm>
                  <a:prstGeom prst="rect">
                    <a:avLst/>
                  </a:prstGeom>
                </pic:spPr>
              </pic:pic>
            </a:graphicData>
          </a:graphic>
        </wp:inline>
      </w:drawing>
    </w:r>
  </w:p>
  <w:p>
    <w:pPr>
      <w:pStyle w:val="10"/>
      <w:jc w:val="center"/>
    </w:pPr>
  </w:p>
  <w:p>
    <w:pPr>
      <w:pStyle w:val="1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tabs>
          <w:tab w:val="left" w:pos="0"/>
        </w:tabs>
        <w:ind w:left="1211" w:hanging="360"/>
      </w:pPr>
    </w:lvl>
    <w:lvl w:ilvl="1" w:tentative="0">
      <w:start w:val="1"/>
      <w:numFmt w:val="decimal"/>
      <w:lvlText w:val="%1.%2"/>
      <w:lvlJc w:val="left"/>
      <w:pPr>
        <w:tabs>
          <w:tab w:val="left" w:pos="0"/>
        </w:tabs>
        <w:ind w:left="1226" w:hanging="375"/>
      </w:pPr>
    </w:lvl>
    <w:lvl w:ilvl="2" w:tentative="0">
      <w:start w:val="1"/>
      <w:numFmt w:val="decimal"/>
      <w:lvlText w:val="%1.%2.%3"/>
      <w:lvlJc w:val="left"/>
      <w:pPr>
        <w:tabs>
          <w:tab w:val="left" w:pos="0"/>
        </w:tabs>
        <w:ind w:left="1571" w:hanging="720"/>
      </w:pPr>
    </w:lvl>
    <w:lvl w:ilvl="3" w:tentative="0">
      <w:start w:val="1"/>
      <w:numFmt w:val="decimal"/>
      <w:lvlText w:val="%1.%2.%3.%4"/>
      <w:lvlJc w:val="left"/>
      <w:pPr>
        <w:tabs>
          <w:tab w:val="left" w:pos="0"/>
        </w:tabs>
        <w:ind w:left="1571" w:hanging="720"/>
      </w:pPr>
    </w:lvl>
    <w:lvl w:ilvl="4" w:tentative="0">
      <w:start w:val="1"/>
      <w:numFmt w:val="decimal"/>
      <w:lvlText w:val="%1.%2.%3.%4.%5"/>
      <w:lvlJc w:val="left"/>
      <w:pPr>
        <w:tabs>
          <w:tab w:val="left" w:pos="0"/>
        </w:tabs>
        <w:ind w:left="1931" w:hanging="1080"/>
      </w:pPr>
    </w:lvl>
    <w:lvl w:ilvl="5" w:tentative="0">
      <w:start w:val="1"/>
      <w:numFmt w:val="decimal"/>
      <w:lvlText w:val="%1.%2.%3.%4.%5.%6"/>
      <w:lvlJc w:val="left"/>
      <w:pPr>
        <w:tabs>
          <w:tab w:val="left" w:pos="0"/>
        </w:tabs>
        <w:ind w:left="1931" w:hanging="1080"/>
      </w:pPr>
    </w:lvl>
    <w:lvl w:ilvl="6" w:tentative="0">
      <w:start w:val="1"/>
      <w:numFmt w:val="decimal"/>
      <w:lvlText w:val="%1.%2.%3.%4.%5.%6.%7"/>
      <w:lvlJc w:val="left"/>
      <w:pPr>
        <w:tabs>
          <w:tab w:val="left" w:pos="0"/>
        </w:tabs>
        <w:ind w:left="2291" w:hanging="1440"/>
      </w:pPr>
    </w:lvl>
    <w:lvl w:ilvl="7" w:tentative="0">
      <w:start w:val="1"/>
      <w:numFmt w:val="decimal"/>
      <w:lvlText w:val="%1.%2.%3.%4.%5.%6.%7.%8"/>
      <w:lvlJc w:val="left"/>
      <w:pPr>
        <w:tabs>
          <w:tab w:val="left" w:pos="0"/>
        </w:tabs>
        <w:ind w:left="2291" w:hanging="1440"/>
      </w:pPr>
    </w:lvl>
    <w:lvl w:ilvl="8" w:tentative="0">
      <w:start w:val="1"/>
      <w:numFmt w:val="decimal"/>
      <w:lvlText w:val="%1.%2.%3.%4.%5.%6.%7.%8.%9"/>
      <w:lvlJc w:val="left"/>
      <w:pPr>
        <w:tabs>
          <w:tab w:val="left" w:pos="0"/>
        </w:tabs>
        <w:ind w:left="265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autoHyphenation/>
  <w:hyphenationZone w:val="425"/>
  <w:footnotePr>
    <w:footnote w:id="28"/>
    <w:footnote w:id="29"/>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E52AFB"/>
  </w:rsids>
  <m:mathPr>
    <m:brkBin m:val="before"/>
    <m:brkBinSub m:val="--"/>
    <m:smallFrac m:val="0"/>
    <m:dispDef/>
    <m:lMargin m:val="0"/>
    <m:rMargin m:val="0"/>
    <m:defJc m:val="centerGroup"/>
    <m:wrapIndent m:val="1440"/>
    <m:intLim m:val="subSup"/>
    <m:naryLim m:val="undOvr"/>
  </m:mathPr>
  <w:themeFontLang w:val="pt-BR"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qFormat="1" w:uiPriority="99" w:name="annotation text"/>
    <w:lsdException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0" w:semiHidden="0" w:name="List Paragraph"/>
  </w:latentStyles>
  <w:style w:type="paragraph" w:default="1" w:styleId="1">
    <w:name w:val="Normal"/>
    <w:qFormat/>
    <w:uiPriority w:val="0"/>
    <w:pPr>
      <w:widowControl/>
      <w:suppressAutoHyphens/>
      <w:bidi w:val="0"/>
      <w:spacing w:before="0" w:after="160" w:line="259" w:lineRule="auto"/>
      <w:jc w:val="left"/>
    </w:pPr>
    <w:rPr>
      <w:rFonts w:asciiTheme="minorHAnsi" w:hAnsiTheme="minorHAnsi" w:eastAsiaTheme="minorHAnsi" w:cstheme="minorBidi"/>
      <w:color w:val="auto"/>
      <w:kern w:val="0"/>
      <w:sz w:val="22"/>
      <w:szCs w:val="22"/>
      <w:lang w:val="pt-BR"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paragraph" w:styleId="5">
    <w:name w:val="List"/>
    <w:basedOn w:val="6"/>
    <w:uiPriority w:val="0"/>
    <w:rPr>
      <w:rFonts w:cs="Lucida Sans"/>
    </w:rPr>
  </w:style>
  <w:style w:type="paragraph" w:styleId="6">
    <w:name w:val="Body Text"/>
    <w:basedOn w:val="1"/>
    <w:uiPriority w:val="0"/>
    <w:pPr>
      <w:spacing w:before="0" w:after="140" w:line="276" w:lineRule="auto"/>
    </w:pPr>
  </w:style>
  <w:style w:type="paragraph" w:styleId="7">
    <w:name w:val="annotation text"/>
    <w:basedOn w:val="1"/>
    <w:link w:val="27"/>
    <w:semiHidden/>
    <w:unhideWhenUsed/>
    <w:qFormat/>
    <w:uiPriority w:val="99"/>
    <w:pPr>
      <w:spacing w:line="240" w:lineRule="auto"/>
    </w:pPr>
    <w:rPr>
      <w:sz w:val="20"/>
      <w:szCs w:val="20"/>
    </w:rPr>
  </w:style>
  <w:style w:type="paragraph" w:styleId="8">
    <w:name w:val="Title"/>
    <w:basedOn w:val="1"/>
    <w:next w:val="6"/>
    <w:link w:val="20"/>
    <w:qFormat/>
    <w:uiPriority w:val="0"/>
    <w:pPr>
      <w:spacing w:before="0" w:after="0" w:line="240" w:lineRule="auto"/>
      <w:jc w:val="center"/>
    </w:pPr>
    <w:rPr>
      <w:rFonts w:ascii="Arial" w:hAnsi="Arial" w:eastAsia="Times New Roman" w:cs="Times New Roman"/>
      <w:b/>
      <w:sz w:val="28"/>
      <w:szCs w:val="24"/>
      <w:lang w:val="en-GB" w:eastAsia="pt-BR"/>
    </w:rPr>
  </w:style>
  <w:style w:type="paragraph" w:styleId="9">
    <w:name w:val="Body Text 3"/>
    <w:basedOn w:val="1"/>
    <w:link w:val="19"/>
    <w:qFormat/>
    <w:uiPriority w:val="0"/>
    <w:pPr>
      <w:spacing w:before="0" w:after="0" w:line="240" w:lineRule="auto"/>
      <w:jc w:val="center"/>
    </w:pPr>
    <w:rPr>
      <w:rFonts w:ascii="Times New Roman" w:hAnsi="Times New Roman" w:eastAsia="Times New Roman" w:cs="Times New Roman"/>
      <w:b/>
      <w:sz w:val="28"/>
      <w:szCs w:val="24"/>
      <w:lang w:eastAsia="pt-BR"/>
    </w:rPr>
  </w:style>
  <w:style w:type="paragraph" w:styleId="10">
    <w:name w:val="header"/>
    <w:basedOn w:val="1"/>
    <w:link w:val="16"/>
    <w:unhideWhenUsed/>
    <w:uiPriority w:val="99"/>
    <w:pPr>
      <w:tabs>
        <w:tab w:val="center" w:pos="4252"/>
        <w:tab w:val="right" w:pos="8504"/>
      </w:tabs>
      <w:spacing w:before="0" w:after="0" w:line="240" w:lineRule="auto"/>
    </w:pPr>
  </w:style>
  <w:style w:type="paragraph" w:styleId="11">
    <w:name w:val="annotation subject"/>
    <w:basedOn w:val="7"/>
    <w:next w:val="7"/>
    <w:link w:val="30"/>
    <w:semiHidden/>
    <w:unhideWhenUsed/>
    <w:qFormat/>
    <w:uiPriority w:val="99"/>
    <w:rPr>
      <w:b/>
      <w:bCs/>
    </w:rPr>
  </w:style>
  <w:style w:type="paragraph" w:styleId="12">
    <w:name w:val="footer"/>
    <w:basedOn w:val="1"/>
    <w:link w:val="17"/>
    <w:unhideWhenUsed/>
    <w:qFormat/>
    <w:uiPriority w:val="99"/>
    <w:pPr>
      <w:tabs>
        <w:tab w:val="center" w:pos="4252"/>
        <w:tab w:val="right" w:pos="8504"/>
      </w:tabs>
      <w:spacing w:before="0" w:after="0" w:line="240" w:lineRule="auto"/>
    </w:pPr>
  </w:style>
  <w:style w:type="paragraph" w:styleId="13">
    <w:name w:val="caption"/>
    <w:basedOn w:val="1"/>
    <w:next w:val="1"/>
    <w:qFormat/>
    <w:uiPriority w:val="0"/>
    <w:pPr>
      <w:suppressLineNumbers/>
      <w:spacing w:before="120" w:after="120"/>
    </w:pPr>
    <w:rPr>
      <w:rFonts w:cs="Lucida Sans"/>
      <w:i/>
      <w:iCs/>
      <w:sz w:val="24"/>
      <w:szCs w:val="24"/>
    </w:rPr>
  </w:style>
  <w:style w:type="paragraph" w:styleId="14">
    <w:name w:val="Balloon Text"/>
    <w:basedOn w:val="1"/>
    <w:link w:val="28"/>
    <w:semiHidden/>
    <w:unhideWhenUsed/>
    <w:qFormat/>
    <w:uiPriority w:val="99"/>
    <w:pPr>
      <w:spacing w:before="0" w:after="0" w:line="240" w:lineRule="auto"/>
    </w:pPr>
    <w:rPr>
      <w:rFonts w:ascii="Tahoma" w:hAnsi="Tahoma" w:cs="Tahoma"/>
      <w:sz w:val="16"/>
      <w:szCs w:val="16"/>
    </w:rPr>
  </w:style>
  <w:style w:type="paragraph" w:styleId="15">
    <w:name w:val="footnote text"/>
    <w:basedOn w:val="1"/>
    <w:link w:val="31"/>
    <w:uiPriority w:val="0"/>
    <w:pPr>
      <w:suppressLineNumbers/>
      <w:ind w:left="340" w:hanging="340"/>
    </w:pPr>
    <w:rPr>
      <w:sz w:val="20"/>
      <w:szCs w:val="20"/>
    </w:rPr>
  </w:style>
  <w:style w:type="character" w:customStyle="1" w:styleId="16">
    <w:name w:val="Cabeçalho Char"/>
    <w:basedOn w:val="2"/>
    <w:link w:val="10"/>
    <w:qFormat/>
    <w:uiPriority w:val="99"/>
  </w:style>
  <w:style w:type="character" w:customStyle="1" w:styleId="17">
    <w:name w:val="Rodapé Char"/>
    <w:basedOn w:val="2"/>
    <w:link w:val="12"/>
    <w:qFormat/>
    <w:uiPriority w:val="99"/>
  </w:style>
  <w:style w:type="character" w:customStyle="1" w:styleId="18">
    <w:name w:val="fontstyle01"/>
    <w:basedOn w:val="2"/>
    <w:qFormat/>
    <w:uiPriority w:val="0"/>
    <w:rPr>
      <w:rFonts w:ascii="Arial-BoldMT" w:hAnsi="Arial-BoldMT"/>
      <w:b/>
      <w:bCs/>
      <w:color w:val="242021"/>
      <w:sz w:val="22"/>
      <w:szCs w:val="22"/>
    </w:rPr>
  </w:style>
  <w:style w:type="character" w:customStyle="1" w:styleId="19">
    <w:name w:val="Corpo de texto 3 Char"/>
    <w:basedOn w:val="2"/>
    <w:link w:val="9"/>
    <w:qFormat/>
    <w:uiPriority w:val="0"/>
    <w:rPr>
      <w:rFonts w:ascii="Times New Roman" w:hAnsi="Times New Roman" w:eastAsia="Times New Roman" w:cs="Times New Roman"/>
      <w:b/>
      <w:sz w:val="28"/>
      <w:szCs w:val="24"/>
      <w:lang w:eastAsia="pt-BR"/>
    </w:rPr>
  </w:style>
  <w:style w:type="character" w:customStyle="1" w:styleId="20">
    <w:name w:val="Título Char"/>
    <w:basedOn w:val="2"/>
    <w:link w:val="8"/>
    <w:qFormat/>
    <w:uiPriority w:val="0"/>
    <w:rPr>
      <w:rFonts w:ascii="Arial" w:hAnsi="Arial" w:eastAsia="Times New Roman" w:cs="Times New Roman"/>
      <w:b/>
      <w:sz w:val="28"/>
      <w:szCs w:val="24"/>
      <w:lang w:val="en-GB" w:eastAsia="pt-BR"/>
    </w:rPr>
  </w:style>
  <w:style w:type="character" w:customStyle="1" w:styleId="21">
    <w:name w:val="Caracteres de nota de rodapé"/>
    <w:qFormat/>
    <w:uiPriority w:val="0"/>
  </w:style>
  <w:style w:type="character" w:customStyle="1" w:styleId="22">
    <w:name w:val="Âncora da nota de rodapé"/>
    <w:uiPriority w:val="0"/>
    <w:rPr>
      <w:vertAlign w:val="superscript"/>
    </w:rPr>
  </w:style>
  <w:style w:type="character" w:customStyle="1" w:styleId="23">
    <w:name w:val="Âncora da nota de fim"/>
    <w:qFormat/>
    <w:uiPriority w:val="0"/>
    <w:rPr>
      <w:vertAlign w:val="superscript"/>
    </w:rPr>
  </w:style>
  <w:style w:type="character" w:customStyle="1" w:styleId="24">
    <w:name w:val="Caracteres de nota de fim"/>
    <w:qFormat/>
    <w:uiPriority w:val="0"/>
  </w:style>
  <w:style w:type="character" w:customStyle="1" w:styleId="25">
    <w:name w:val="Marcadores"/>
    <w:qFormat/>
    <w:uiPriority w:val="0"/>
    <w:rPr>
      <w:rFonts w:ascii="OpenSymbol" w:hAnsi="OpenSymbol" w:eastAsia="OpenSymbol" w:cs="OpenSymbol"/>
    </w:rPr>
  </w:style>
  <w:style w:type="character" w:customStyle="1" w:styleId="26">
    <w:name w:val="Link da Internet"/>
    <w:basedOn w:val="2"/>
    <w:uiPriority w:val="0"/>
    <w:rPr>
      <w:color w:val="0000FF"/>
      <w:u w:val="single"/>
    </w:rPr>
  </w:style>
  <w:style w:type="character" w:customStyle="1" w:styleId="27">
    <w:name w:val="Texto de comentário Char"/>
    <w:basedOn w:val="2"/>
    <w:link w:val="7"/>
    <w:semiHidden/>
    <w:qFormat/>
    <w:uiPriority w:val="99"/>
    <w:rPr>
      <w:lang w:eastAsia="en-US" w:bidi="ar-SA"/>
    </w:rPr>
  </w:style>
  <w:style w:type="character" w:customStyle="1" w:styleId="28">
    <w:name w:val="Texto de balão Char"/>
    <w:basedOn w:val="2"/>
    <w:link w:val="14"/>
    <w:semiHidden/>
    <w:qFormat/>
    <w:uiPriority w:val="99"/>
    <w:rPr>
      <w:rFonts w:ascii="Tahoma" w:hAnsi="Tahoma" w:cs="Tahoma"/>
      <w:sz w:val="16"/>
      <w:szCs w:val="16"/>
      <w:lang w:eastAsia="en-US" w:bidi="ar-SA"/>
    </w:rPr>
  </w:style>
  <w:style w:type="character" w:customStyle="1" w:styleId="29">
    <w:name w:val="Footnote Characters"/>
    <w:basedOn w:val="2"/>
    <w:unhideWhenUsed/>
    <w:qFormat/>
    <w:uiPriority w:val="0"/>
    <w:rPr>
      <w:vertAlign w:val="superscript"/>
    </w:rPr>
  </w:style>
  <w:style w:type="character" w:customStyle="1" w:styleId="30">
    <w:name w:val="Assunto do comentário Char"/>
    <w:basedOn w:val="27"/>
    <w:link w:val="11"/>
    <w:semiHidden/>
    <w:qFormat/>
    <w:uiPriority w:val="99"/>
    <w:rPr>
      <w:b/>
      <w:bCs/>
      <w:lang w:eastAsia="en-US" w:bidi="ar-SA"/>
    </w:rPr>
  </w:style>
  <w:style w:type="character" w:customStyle="1" w:styleId="31">
    <w:name w:val="Texto de nota de rodapé Char"/>
    <w:basedOn w:val="2"/>
    <w:link w:val="15"/>
    <w:qFormat/>
    <w:uiPriority w:val="0"/>
    <w:rPr>
      <w:lang w:eastAsia="en-US" w:bidi="ar-SA"/>
    </w:rPr>
  </w:style>
  <w:style w:type="paragraph" w:customStyle="1" w:styleId="32">
    <w:name w:val="Título1"/>
    <w:basedOn w:val="1"/>
    <w:next w:val="6"/>
    <w:qFormat/>
    <w:uiPriority w:val="0"/>
    <w:pPr>
      <w:keepNext/>
      <w:spacing w:before="240" w:after="120"/>
    </w:pPr>
    <w:rPr>
      <w:rFonts w:ascii="Liberation Sans" w:hAnsi="Liberation Sans" w:eastAsia="Microsoft YaHei" w:cs="Lucida Sans"/>
      <w:sz w:val="28"/>
      <w:szCs w:val="28"/>
    </w:rPr>
  </w:style>
  <w:style w:type="paragraph" w:customStyle="1" w:styleId="33">
    <w:name w:val="Índice"/>
    <w:basedOn w:val="1"/>
    <w:qFormat/>
    <w:uiPriority w:val="0"/>
    <w:pPr>
      <w:suppressLineNumbers/>
    </w:pPr>
    <w:rPr>
      <w:rFonts w:cs="Lucida Sans"/>
    </w:rPr>
  </w:style>
  <w:style w:type="paragraph" w:customStyle="1" w:styleId="34">
    <w:name w:val="Cabeçalho e Rodapé"/>
    <w:basedOn w:val="1"/>
    <w:qFormat/>
    <w:uiPriority w:val="0"/>
  </w:style>
  <w:style w:type="paragraph" w:styleId="35">
    <w:name w:val="List Paragraph"/>
    <w:basedOn w:val="1"/>
    <w:qFormat/>
    <w:uiPriority w:val="0"/>
    <w:pPr>
      <w:spacing w:before="0" w:after="200"/>
      <w:ind w:left="720" w:firstLine="0"/>
      <w:contextualSpacing/>
    </w:pPr>
  </w:style>
  <w:style w:type="paragraph" w:customStyle="1" w:styleId="36">
    <w:name w:val="LO-Normal"/>
    <w:qFormat/>
    <w:uiPriority w:val="0"/>
    <w:pPr>
      <w:widowControl w:val="0"/>
      <w:suppressAutoHyphens/>
      <w:overflowPunct w:val="0"/>
      <w:bidi w:val="0"/>
      <w:spacing w:before="0" w:after="0"/>
      <w:jc w:val="left"/>
      <w:textAlignment w:val="baseline"/>
    </w:pPr>
    <w:rPr>
      <w:rFonts w:ascii="Calibri" w:hAnsi="Calibri" w:eastAsia="Times New Roman" w:cs="Times New Roman"/>
      <w:color w:val="000000"/>
      <w:kern w:val="2"/>
      <w:sz w:val="22"/>
      <w:szCs w:val="22"/>
      <w:lang w:val="pt-BR" w:eastAsia="pt-BR" w:bidi="ar-SA"/>
    </w:rPr>
  </w:style>
  <w:style w:type="paragraph" w:customStyle="1" w:styleId="37">
    <w:name w:val="LO-normal"/>
    <w:qFormat/>
    <w:uiPriority w:val="0"/>
    <w:pPr>
      <w:widowControl/>
      <w:suppressAutoHyphens/>
      <w:bidi w:val="0"/>
      <w:spacing w:before="0" w:after="0"/>
      <w:jc w:val="left"/>
    </w:pPr>
    <w:rPr>
      <w:rFonts w:ascii="Liberation Serif" w:hAnsi="Liberation Serif" w:eastAsia="Liberation Serif" w:cs="Liberation Serif"/>
      <w:color w:val="auto"/>
      <w:kern w:val="0"/>
      <w:sz w:val="24"/>
      <w:szCs w:val="24"/>
      <w:lang w:val="pt-BR" w:eastAsia="zh-CN" w:bidi="hi-IN"/>
    </w:rPr>
  </w:style>
  <w:style w:type="paragraph" w:customStyle="1" w:styleId="38">
    <w:name w:val="Standard"/>
    <w:qFormat/>
    <w:uiPriority w:val="0"/>
    <w:pPr>
      <w:widowControl/>
      <w:suppressAutoHyphens/>
      <w:bidi w:val="0"/>
      <w:spacing w:before="0" w:after="0"/>
      <w:jc w:val="left"/>
      <w:textAlignment w:val="baseline"/>
    </w:pPr>
    <w:rPr>
      <w:rFonts w:ascii="Liberation Serif" w:hAnsi="Liberation Serif" w:eastAsia="NSimSun" w:cs="Lucida Sans"/>
      <w:color w:val="auto"/>
      <w:kern w:val="2"/>
      <w:sz w:val="24"/>
      <w:szCs w:val="24"/>
      <w:lang w:val="pt-BR" w:eastAsia="zh-CN" w:bidi="hi-I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74E4C8-D5C9-4033-A3C9-6548C10D53ED}">
  <ds:schemaRefs/>
</ds:datastoreItem>
</file>

<file path=docProps/app.xml><?xml version="1.0" encoding="utf-8"?>
<Properties xmlns="http://schemas.openxmlformats.org/officeDocument/2006/extended-properties" xmlns:vt="http://schemas.openxmlformats.org/officeDocument/2006/docPropsVTypes">
  <Template>Normal</Template>
  <Pages>15</Pages>
  <Words>9198</Words>
  <Characters>52661</Characters>
  <Paragraphs>125</Paragraphs>
  <TotalTime>212</TotalTime>
  <ScaleCrop>false</ScaleCrop>
  <LinksUpToDate>false</LinksUpToDate>
  <CharactersWithSpaces>61827</CharactersWithSpaces>
  <Application>WPS Office_11.2.0.11254_F1E327BC-269C-435d-A152-05C5408002CA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2022-08-13T22:52:00Z</dcterms:created>
  <dc:creator>DELL-PC</dc:creator>
  <cp:lastModifiedBy>anama</cp:lastModifiedBy>
  <dcterms:modified xsi:type="dcterms:W3CDTF">2022-08-15T21:05:38Z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963BDBF79A7B4743AC3B4E898861F62F</vt:lpwstr>
  </property>
  <property fmtid="{D5CDD505-2E9C-101B-9397-08002B2CF9AE}" pid="3" name="KSOProductBuildVer">
    <vt:lpwstr>1046-11.2.0.11254</vt:lpwstr>
  </property>
</Properties>
</file>