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629EB" w14:textId="77777777" w:rsidR="00264F7F" w:rsidRDefault="00264F7F">
      <w:pPr>
        <w:spacing w:after="0" w:line="360" w:lineRule="auto"/>
        <w:jc w:val="center"/>
        <w:rPr>
          <w:rFonts w:ascii="Times New Roman" w:hAnsi="Times New Roman" w:cs="Times New Roman"/>
          <w:sz w:val="28"/>
          <w:szCs w:val="28"/>
        </w:rPr>
      </w:pPr>
    </w:p>
    <w:p w14:paraId="3671AF89" w14:textId="77777777" w:rsidR="00625D04" w:rsidRPr="009A1C9A" w:rsidRDefault="00625D04" w:rsidP="00625D04">
      <w:pPr>
        <w:spacing w:after="0" w:line="360" w:lineRule="auto"/>
        <w:jc w:val="center"/>
        <w:rPr>
          <w:rFonts w:ascii="Times New Roman" w:hAnsi="Times New Roman" w:cs="Times New Roman"/>
          <w:b/>
          <w:bCs/>
          <w:sz w:val="28"/>
          <w:szCs w:val="28"/>
        </w:rPr>
      </w:pPr>
      <w:r w:rsidRPr="009A1C9A">
        <w:rPr>
          <w:rFonts w:ascii="Times New Roman" w:hAnsi="Times New Roman" w:cs="Times New Roman"/>
          <w:b/>
          <w:bCs/>
          <w:sz w:val="28"/>
          <w:szCs w:val="28"/>
        </w:rPr>
        <w:t>ANÁLISE DO EMPREGO FORMAL NAS MICRORREGIÕES PERNAMBUCANAS PARA O PERÍODO 2010-2019</w:t>
      </w:r>
    </w:p>
    <w:p w14:paraId="4267F1C3" w14:textId="77777777" w:rsidR="00625D04" w:rsidRDefault="00625D04" w:rsidP="00625D04">
      <w:pPr>
        <w:pStyle w:val="Ttulo"/>
        <w:jc w:val="both"/>
        <w:rPr>
          <w:rFonts w:ascii="Times New Roman" w:hAnsi="Times New Roman"/>
          <w:sz w:val="24"/>
        </w:rPr>
      </w:pPr>
      <w:r>
        <w:rPr>
          <w:rFonts w:ascii="Times New Roman" w:hAnsi="Times New Roman"/>
          <w:sz w:val="24"/>
        </w:rPr>
        <w:t>RESUMO</w:t>
      </w:r>
    </w:p>
    <w:p w14:paraId="28B29B43" w14:textId="77777777" w:rsidR="00625D04" w:rsidRPr="00F672EF" w:rsidRDefault="00625D04" w:rsidP="00625D04">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Compreender a</w:t>
      </w:r>
      <w:r w:rsidRPr="00F672EF">
        <w:rPr>
          <w:rFonts w:ascii="Times New Roman" w:hAnsi="Times New Roman" w:cs="Times New Roman"/>
          <w:color w:val="000000" w:themeColor="text1"/>
          <w:sz w:val="24"/>
          <w:szCs w:val="24"/>
        </w:rPr>
        <w:t xml:space="preserve"> distribuição espacial dos diversos setores</w:t>
      </w:r>
      <w:r>
        <w:rPr>
          <w:rFonts w:ascii="Times New Roman" w:hAnsi="Times New Roman" w:cs="Times New Roman"/>
          <w:color w:val="000000" w:themeColor="text1"/>
          <w:sz w:val="24"/>
          <w:szCs w:val="24"/>
        </w:rPr>
        <w:t xml:space="preserve"> é</w:t>
      </w:r>
      <w:r w:rsidRPr="00F672EF">
        <w:rPr>
          <w:rFonts w:ascii="Times New Roman" w:hAnsi="Times New Roman" w:cs="Times New Roman"/>
          <w:color w:val="000000" w:themeColor="text1"/>
          <w:sz w:val="24"/>
          <w:szCs w:val="24"/>
        </w:rPr>
        <w:t xml:space="preserve"> essencial </w:t>
      </w:r>
      <w:r>
        <w:rPr>
          <w:rFonts w:ascii="Times New Roman" w:hAnsi="Times New Roman" w:cs="Times New Roman"/>
          <w:color w:val="000000" w:themeColor="text1"/>
          <w:sz w:val="24"/>
          <w:szCs w:val="24"/>
        </w:rPr>
        <w:t>na</w:t>
      </w:r>
      <w:r w:rsidRPr="00F672EF">
        <w:rPr>
          <w:rFonts w:ascii="Times New Roman" w:hAnsi="Times New Roman" w:cs="Times New Roman"/>
          <w:color w:val="000000" w:themeColor="text1"/>
          <w:sz w:val="24"/>
          <w:szCs w:val="24"/>
        </w:rPr>
        <w:t xml:space="preserve"> análise </w:t>
      </w:r>
      <w:r>
        <w:rPr>
          <w:rFonts w:ascii="Times New Roman" w:hAnsi="Times New Roman" w:cs="Times New Roman"/>
          <w:color w:val="000000" w:themeColor="text1"/>
          <w:sz w:val="24"/>
          <w:szCs w:val="24"/>
        </w:rPr>
        <w:t xml:space="preserve">do desenvolvimento regional. O objetivo principal deste trabalho é analisar o emprego formal nas microrregiões pernambucanas no período de 2010 a 2019, com dados disponibilizados pela Relação Anual de Informações Sociais (RAIS). Assim, foram calculadas Medidas de Localização e de Especialização. O Quociente Locacional revela uma maior representatividade das microrregiões de </w:t>
      </w:r>
      <w:r w:rsidRPr="006249E7">
        <w:rPr>
          <w:rFonts w:ascii="Times New Roman" w:hAnsi="Times New Roman" w:cs="Times New Roman"/>
          <w:color w:val="000000" w:themeColor="text1"/>
          <w:sz w:val="24"/>
          <w:szCs w:val="24"/>
        </w:rPr>
        <w:t xml:space="preserve">Salgueiro </w:t>
      </w:r>
      <w:r>
        <w:rPr>
          <w:rFonts w:ascii="Times New Roman" w:hAnsi="Times New Roman" w:cs="Times New Roman"/>
          <w:color w:val="000000" w:themeColor="text1"/>
          <w:sz w:val="24"/>
          <w:szCs w:val="24"/>
        </w:rPr>
        <w:t>(</w:t>
      </w:r>
      <w:r w:rsidRPr="006249E7">
        <w:rPr>
          <w:rFonts w:ascii="Times New Roman" w:hAnsi="Times New Roman" w:cs="Times New Roman"/>
          <w:color w:val="000000" w:themeColor="text1"/>
          <w:sz w:val="24"/>
          <w:szCs w:val="24"/>
        </w:rPr>
        <w:t>QL</w:t>
      </w:r>
      <w:r>
        <w:rPr>
          <w:rFonts w:ascii="Times New Roman" w:hAnsi="Times New Roman" w:cs="Times New Roman"/>
          <w:color w:val="000000" w:themeColor="text1"/>
          <w:sz w:val="24"/>
          <w:szCs w:val="24"/>
        </w:rPr>
        <w:t xml:space="preserve"> da construção civil =</w:t>
      </w:r>
      <w:r w:rsidRPr="006249E7">
        <w:rPr>
          <w:rFonts w:ascii="Times New Roman" w:hAnsi="Times New Roman" w:cs="Times New Roman"/>
          <w:color w:val="000000" w:themeColor="text1"/>
          <w:sz w:val="24"/>
          <w:szCs w:val="24"/>
        </w:rPr>
        <w:t xml:space="preserve"> 6,03</w:t>
      </w:r>
      <w:r>
        <w:rPr>
          <w:rFonts w:ascii="Times New Roman" w:hAnsi="Times New Roman" w:cs="Times New Roman"/>
          <w:color w:val="000000" w:themeColor="text1"/>
          <w:sz w:val="24"/>
          <w:szCs w:val="24"/>
        </w:rPr>
        <w:t xml:space="preserve">) e </w:t>
      </w:r>
      <w:r w:rsidRPr="006249E7">
        <w:rPr>
          <w:rFonts w:ascii="Times New Roman" w:hAnsi="Times New Roman" w:cs="Times New Roman"/>
          <w:color w:val="000000" w:themeColor="text1"/>
          <w:sz w:val="24"/>
          <w:szCs w:val="24"/>
        </w:rPr>
        <w:t>do Brejo pernambucano (QL</w:t>
      </w:r>
      <w:r>
        <w:rPr>
          <w:rFonts w:ascii="Times New Roman" w:hAnsi="Times New Roman" w:cs="Times New Roman"/>
          <w:color w:val="000000" w:themeColor="text1"/>
          <w:sz w:val="24"/>
          <w:szCs w:val="24"/>
        </w:rPr>
        <w:t xml:space="preserve"> da agropecuária</w:t>
      </w:r>
      <w:r w:rsidRPr="006249E7">
        <w:rPr>
          <w:rFonts w:ascii="Times New Roman" w:hAnsi="Times New Roman" w:cs="Times New Roman"/>
          <w:color w:val="000000" w:themeColor="text1"/>
          <w:sz w:val="24"/>
          <w:szCs w:val="24"/>
        </w:rPr>
        <w:t xml:space="preserve"> = 7,60)</w:t>
      </w:r>
      <w:r>
        <w:rPr>
          <w:rFonts w:ascii="Times New Roman" w:hAnsi="Times New Roman" w:cs="Times New Roman"/>
          <w:color w:val="000000" w:themeColor="text1"/>
          <w:sz w:val="24"/>
          <w:szCs w:val="24"/>
        </w:rPr>
        <w:t xml:space="preserve"> em 2010,</w:t>
      </w:r>
      <w:r w:rsidRPr="006249E7">
        <w:rPr>
          <w:rFonts w:ascii="Times New Roman" w:hAnsi="Times New Roman" w:cs="Times New Roman"/>
          <w:color w:val="000000" w:themeColor="text1"/>
          <w:sz w:val="24"/>
          <w:szCs w:val="24"/>
        </w:rPr>
        <w:t xml:space="preserve"> do Sertão do Moxotó (</w:t>
      </w:r>
      <w:r>
        <w:rPr>
          <w:rFonts w:ascii="Times New Roman" w:hAnsi="Times New Roman" w:cs="Times New Roman"/>
          <w:color w:val="000000" w:themeColor="text1"/>
          <w:sz w:val="24"/>
          <w:szCs w:val="24"/>
        </w:rPr>
        <w:t xml:space="preserve">QL da </w:t>
      </w:r>
      <w:r w:rsidRPr="006249E7">
        <w:rPr>
          <w:rFonts w:ascii="Times New Roman" w:hAnsi="Times New Roman" w:cs="Times New Roman"/>
          <w:color w:val="000000" w:themeColor="text1"/>
          <w:sz w:val="24"/>
          <w:szCs w:val="24"/>
        </w:rPr>
        <w:t>construção civil</w:t>
      </w:r>
      <w:r>
        <w:rPr>
          <w:rFonts w:ascii="Times New Roman" w:hAnsi="Times New Roman" w:cs="Times New Roman"/>
          <w:color w:val="000000" w:themeColor="text1"/>
          <w:sz w:val="24"/>
          <w:szCs w:val="24"/>
        </w:rPr>
        <w:t xml:space="preserve"> = 4,07</w:t>
      </w:r>
      <w:r w:rsidRPr="006249E7">
        <w:rPr>
          <w:rFonts w:ascii="Times New Roman" w:hAnsi="Times New Roman" w:cs="Times New Roman"/>
          <w:color w:val="000000" w:themeColor="text1"/>
          <w:sz w:val="24"/>
          <w:szCs w:val="24"/>
        </w:rPr>
        <w:t xml:space="preserve">) e </w:t>
      </w:r>
      <w:r>
        <w:rPr>
          <w:rFonts w:ascii="Times New Roman" w:hAnsi="Times New Roman" w:cs="Times New Roman"/>
          <w:color w:val="000000" w:themeColor="text1"/>
          <w:sz w:val="24"/>
          <w:szCs w:val="24"/>
        </w:rPr>
        <w:t xml:space="preserve">de </w:t>
      </w:r>
      <w:r w:rsidRPr="006249E7">
        <w:rPr>
          <w:rFonts w:ascii="Times New Roman" w:hAnsi="Times New Roman" w:cs="Times New Roman"/>
          <w:color w:val="000000" w:themeColor="text1"/>
          <w:sz w:val="24"/>
          <w:szCs w:val="24"/>
        </w:rPr>
        <w:t>Petrolina (</w:t>
      </w:r>
      <w:r>
        <w:rPr>
          <w:rFonts w:ascii="Times New Roman" w:hAnsi="Times New Roman" w:cs="Times New Roman"/>
          <w:color w:val="000000" w:themeColor="text1"/>
          <w:sz w:val="24"/>
          <w:szCs w:val="24"/>
        </w:rPr>
        <w:t xml:space="preserve">QL da </w:t>
      </w:r>
      <w:r w:rsidRPr="006249E7">
        <w:rPr>
          <w:rFonts w:ascii="Times New Roman" w:hAnsi="Times New Roman" w:cs="Times New Roman"/>
          <w:color w:val="000000" w:themeColor="text1"/>
          <w:sz w:val="24"/>
          <w:szCs w:val="24"/>
        </w:rPr>
        <w:t>agropecuária</w:t>
      </w:r>
      <w:r>
        <w:rPr>
          <w:rFonts w:ascii="Times New Roman" w:hAnsi="Times New Roman" w:cs="Times New Roman"/>
          <w:color w:val="000000" w:themeColor="text1"/>
          <w:sz w:val="24"/>
          <w:szCs w:val="24"/>
        </w:rPr>
        <w:t xml:space="preserve"> = 7,51</w:t>
      </w:r>
      <w:r w:rsidRPr="006249E7">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em 2019. Com o</w:t>
      </w:r>
      <w:r w:rsidRPr="006249E7">
        <w:rPr>
          <w:rFonts w:ascii="Times New Roman" w:hAnsi="Times New Roman" w:cs="Times New Roman"/>
          <w:color w:val="000000" w:themeColor="text1"/>
          <w:sz w:val="24"/>
          <w:szCs w:val="24"/>
        </w:rPr>
        <w:t xml:space="preserve"> Coeficiente de Localização verifica-se que nenhum setor conseguiu ter um padrão máximo de concentração no estado de Pernambuco. Através do Coeficiente de Especialização, percebe-se que a microrregião </w:t>
      </w:r>
      <w:r>
        <w:rPr>
          <w:rFonts w:ascii="Times New Roman" w:hAnsi="Times New Roman" w:cs="Times New Roman"/>
          <w:color w:val="000000" w:themeColor="text1"/>
          <w:sz w:val="24"/>
          <w:szCs w:val="24"/>
        </w:rPr>
        <w:t xml:space="preserve">que </w:t>
      </w:r>
      <w:r w:rsidRPr="006249E7">
        <w:rPr>
          <w:rFonts w:ascii="Times New Roman" w:hAnsi="Times New Roman" w:cs="Times New Roman"/>
          <w:color w:val="000000" w:themeColor="text1"/>
          <w:sz w:val="24"/>
          <w:szCs w:val="24"/>
        </w:rPr>
        <w:t>obteve o maior índice foi a de Salgueiro, no ano de 2010</w:t>
      </w:r>
      <w:r>
        <w:rPr>
          <w:rFonts w:ascii="Times New Roman" w:hAnsi="Times New Roman" w:cs="Times New Roman"/>
          <w:color w:val="000000" w:themeColor="text1"/>
          <w:sz w:val="24"/>
          <w:szCs w:val="24"/>
        </w:rPr>
        <w:t xml:space="preserve">, e em </w:t>
      </w:r>
      <w:r w:rsidRPr="006249E7">
        <w:rPr>
          <w:rFonts w:ascii="Times New Roman" w:hAnsi="Times New Roman" w:cs="Times New Roman"/>
          <w:color w:val="000000" w:themeColor="text1"/>
          <w:sz w:val="24"/>
          <w:szCs w:val="24"/>
        </w:rPr>
        <w:t>2019, a microrregião de Itamaracá</w:t>
      </w:r>
      <w:r>
        <w:rPr>
          <w:rFonts w:ascii="Times New Roman" w:hAnsi="Times New Roman" w:cs="Times New Roman"/>
          <w:color w:val="000000" w:themeColor="text1"/>
          <w:sz w:val="24"/>
          <w:szCs w:val="24"/>
        </w:rPr>
        <w:t>.</w:t>
      </w:r>
    </w:p>
    <w:p w14:paraId="66FB0F83" w14:textId="77777777" w:rsidR="00625D04" w:rsidRDefault="00625D04" w:rsidP="00FD0683">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Palavras- chave</w:t>
      </w:r>
      <w:r>
        <w:rPr>
          <w:rFonts w:ascii="Times New Roman" w:hAnsi="Times New Roman" w:cs="Times New Roman"/>
          <w:sz w:val="24"/>
          <w:szCs w:val="24"/>
        </w:rPr>
        <w:t xml:space="preserve">: </w:t>
      </w:r>
      <w:r>
        <w:rPr>
          <w:rFonts w:ascii="Times New Roman" w:hAnsi="Times New Roman" w:cs="Times New Roman"/>
          <w:color w:val="000000" w:themeColor="text1"/>
          <w:sz w:val="24"/>
          <w:szCs w:val="24"/>
        </w:rPr>
        <w:t>Desenvolvimento Regional; Microrregiões Pernambucanas; Emprego formal.</w:t>
      </w:r>
    </w:p>
    <w:p w14:paraId="488EFAF1" w14:textId="77777777" w:rsidR="00625D04" w:rsidRDefault="00625D04" w:rsidP="00FD0683">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GT Nº 3</w:t>
      </w:r>
      <w:r>
        <w:rPr>
          <w:rFonts w:ascii="Times New Roman" w:hAnsi="Times New Roman" w:cs="Times New Roman"/>
          <w:sz w:val="24"/>
          <w:szCs w:val="24"/>
        </w:rPr>
        <w:t>: Dinâmicas socioeconômicas do Território</w:t>
      </w:r>
    </w:p>
    <w:p w14:paraId="303DCE09" w14:textId="77777777" w:rsidR="00625D04" w:rsidRDefault="00625D04" w:rsidP="00625D04">
      <w:pPr>
        <w:spacing w:after="0" w:line="360" w:lineRule="auto"/>
        <w:jc w:val="both"/>
        <w:rPr>
          <w:rFonts w:ascii="Times New Roman" w:hAnsi="Times New Roman" w:cs="Times New Roman"/>
          <w:sz w:val="24"/>
          <w:szCs w:val="24"/>
        </w:rPr>
      </w:pPr>
    </w:p>
    <w:p w14:paraId="4E160AFB" w14:textId="77777777" w:rsidR="00625D04" w:rsidRDefault="00625D04" w:rsidP="00625D04">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14:paraId="3EB0259C" w14:textId="77777777" w:rsidR="00625D04" w:rsidRPr="002028D7" w:rsidRDefault="00625D04" w:rsidP="00625D04">
      <w:pPr>
        <w:spacing w:after="0" w:line="360" w:lineRule="auto"/>
        <w:ind w:firstLine="708"/>
        <w:jc w:val="both"/>
        <w:rPr>
          <w:rFonts w:ascii="Times New Roman" w:hAnsi="Times New Roman" w:cs="Times New Roman"/>
          <w:sz w:val="24"/>
          <w:szCs w:val="24"/>
        </w:rPr>
      </w:pPr>
      <w:r w:rsidRPr="002028D7">
        <w:rPr>
          <w:rFonts w:ascii="Times New Roman" w:hAnsi="Times New Roman" w:cs="Times New Roman"/>
          <w:sz w:val="24"/>
          <w:szCs w:val="24"/>
        </w:rPr>
        <w:t xml:space="preserve">No processo de formação econômica do Brasil, suas próprias raízes históricas, características e formas de ocupação territorial desencadearam fortes desequilíbrios pela presença de fortes heterogeneidades sociais, produtivas, tendo por consequência o agravamento de desigualdades sociais regionais (FURTADO, 1964; PRADO JÚNIOR, 1963; DINIZ, 2013). As discussões sobre as disparidades regionais são recorrentes na literatura. Souza (2009) destaca que essas disparidades se intensificam com o crescimento desigual das regiões brasileiras, que estão associadas a raízes de sua colonização e as próprias características regionais. </w:t>
      </w:r>
    </w:p>
    <w:p w14:paraId="069FB721" w14:textId="116F6D1B" w:rsidR="00625D04" w:rsidRPr="002028D7" w:rsidRDefault="00625D04" w:rsidP="00625D04">
      <w:pPr>
        <w:spacing w:after="0" w:line="360" w:lineRule="auto"/>
        <w:ind w:firstLine="709"/>
        <w:jc w:val="both"/>
        <w:rPr>
          <w:rFonts w:ascii="Times New Roman" w:hAnsi="Times New Roman" w:cs="Times New Roman"/>
          <w:sz w:val="24"/>
          <w:szCs w:val="24"/>
        </w:rPr>
      </w:pPr>
      <w:r w:rsidRPr="002028D7">
        <w:rPr>
          <w:rFonts w:ascii="Times New Roman" w:hAnsi="Times New Roman" w:cs="Times New Roman"/>
          <w:sz w:val="24"/>
          <w:szCs w:val="24"/>
        </w:rPr>
        <w:t xml:space="preserve">As questões basilares </w:t>
      </w:r>
      <w:r w:rsidR="00316EF0">
        <w:rPr>
          <w:rFonts w:ascii="Times New Roman" w:hAnsi="Times New Roman" w:cs="Times New Roman"/>
          <w:sz w:val="24"/>
          <w:szCs w:val="24"/>
        </w:rPr>
        <w:t>do</w:t>
      </w:r>
      <w:r w:rsidRPr="002028D7">
        <w:rPr>
          <w:rFonts w:ascii="Times New Roman" w:hAnsi="Times New Roman" w:cs="Times New Roman"/>
          <w:sz w:val="24"/>
          <w:szCs w:val="24"/>
        </w:rPr>
        <w:t xml:space="preserve"> desenvolvimento regional foram evidenciadas nos estudos de Haddad (1989), Cano (2007), Diniz e </w:t>
      </w:r>
      <w:proofErr w:type="spellStart"/>
      <w:r w:rsidRPr="002028D7">
        <w:rPr>
          <w:rFonts w:ascii="Times New Roman" w:hAnsi="Times New Roman" w:cs="Times New Roman"/>
          <w:sz w:val="24"/>
          <w:szCs w:val="24"/>
        </w:rPr>
        <w:t>Crocco</w:t>
      </w:r>
      <w:proofErr w:type="spellEnd"/>
      <w:r w:rsidRPr="002028D7">
        <w:rPr>
          <w:rFonts w:ascii="Times New Roman" w:hAnsi="Times New Roman" w:cs="Times New Roman"/>
          <w:sz w:val="24"/>
          <w:szCs w:val="24"/>
        </w:rPr>
        <w:t xml:space="preserve"> (2006), Souza (2009) Monastério (2011) e Diniz (2013). </w:t>
      </w:r>
      <w:r w:rsidR="00316EF0">
        <w:rPr>
          <w:rFonts w:ascii="Times New Roman" w:hAnsi="Times New Roman" w:cs="Times New Roman"/>
          <w:sz w:val="24"/>
          <w:szCs w:val="24"/>
        </w:rPr>
        <w:t>Esses</w:t>
      </w:r>
      <w:r w:rsidRPr="002028D7">
        <w:rPr>
          <w:rFonts w:ascii="Times New Roman" w:hAnsi="Times New Roman" w:cs="Times New Roman"/>
          <w:sz w:val="24"/>
          <w:szCs w:val="24"/>
        </w:rPr>
        <w:t xml:space="preserve"> autores discorrem sobre a relevância da economia regional e urbana buscando compreender os fundamentos e dilemas do desenvolvimento regional no Brasil. </w:t>
      </w:r>
    </w:p>
    <w:p w14:paraId="38411E38" w14:textId="77777777" w:rsidR="00625D04" w:rsidRPr="002028D7" w:rsidRDefault="00625D04" w:rsidP="00625D04">
      <w:pPr>
        <w:spacing w:after="0" w:line="360" w:lineRule="auto"/>
        <w:jc w:val="both"/>
        <w:rPr>
          <w:rFonts w:ascii="Times New Roman" w:hAnsi="Times New Roman" w:cs="Times New Roman"/>
          <w:sz w:val="24"/>
          <w:szCs w:val="24"/>
        </w:rPr>
      </w:pPr>
      <w:r w:rsidRPr="002028D7">
        <w:rPr>
          <w:rFonts w:ascii="Times New Roman" w:hAnsi="Times New Roman" w:cs="Times New Roman"/>
          <w:sz w:val="24"/>
          <w:szCs w:val="24"/>
        </w:rPr>
        <w:tab/>
        <w:t xml:space="preserve">Para Lima </w:t>
      </w:r>
      <w:r w:rsidRPr="002028D7">
        <w:rPr>
          <w:rFonts w:ascii="Times New Roman" w:hAnsi="Times New Roman" w:cs="Times New Roman"/>
          <w:i/>
          <w:iCs/>
          <w:sz w:val="24"/>
          <w:szCs w:val="24"/>
        </w:rPr>
        <w:t>et al</w:t>
      </w:r>
      <w:r w:rsidRPr="002028D7">
        <w:rPr>
          <w:rFonts w:ascii="Times New Roman" w:hAnsi="Times New Roman" w:cs="Times New Roman"/>
          <w:sz w:val="24"/>
          <w:szCs w:val="24"/>
        </w:rPr>
        <w:t xml:space="preserve"> (2006), é necessário conhecer a estrutura produtiva de cada setor e analisar as transformações ocorridas nessa estrutura que afetam seu padrão de crescimento e de </w:t>
      </w:r>
      <w:r w:rsidRPr="002028D7">
        <w:rPr>
          <w:rFonts w:ascii="Times New Roman" w:hAnsi="Times New Roman" w:cs="Times New Roman"/>
          <w:sz w:val="24"/>
          <w:szCs w:val="24"/>
        </w:rPr>
        <w:lastRenderedPageBreak/>
        <w:t xml:space="preserve">desenvolvimento econômico, para então analisar a dinâmica regional. É trivial salientar que essa análise, está associada ao conceito de que áreas geográficas podem estar relacionadas com um conjunto de características peculiares de estruturas de produção, consumo, distribuição da força de trabalho, elementos culturais, políticos e sociais. </w:t>
      </w:r>
    </w:p>
    <w:p w14:paraId="35310AC8" w14:textId="77777777" w:rsidR="00625D04" w:rsidRPr="002028D7" w:rsidRDefault="00625D04" w:rsidP="00625D04">
      <w:pPr>
        <w:spacing w:after="0" w:line="360" w:lineRule="auto"/>
        <w:ind w:firstLine="708"/>
        <w:jc w:val="both"/>
        <w:rPr>
          <w:rFonts w:ascii="Times New Roman" w:hAnsi="Times New Roman" w:cs="Times New Roman"/>
          <w:sz w:val="24"/>
          <w:szCs w:val="24"/>
        </w:rPr>
      </w:pPr>
      <w:r w:rsidRPr="002028D7">
        <w:rPr>
          <w:rFonts w:ascii="Times New Roman" w:hAnsi="Times New Roman" w:cs="Times New Roman"/>
          <w:sz w:val="24"/>
          <w:szCs w:val="24"/>
        </w:rPr>
        <w:t xml:space="preserve">Segundo Diniz (2013), o Brasil está diante de enormes desafios e, coincidentemente, de grandes perspectivas para o seu desenvolvimento regional. Apesar de um extenso debate desses estudos e políticas regionais, as evidências teóricas contemporâneas e os ensaios de planejamento e políticas regionais hodiernas apontam para uma necessidade de intervenção pública e articulação com os demais agentes sociais dos diversos segmentos da sociedade civil, e se tratar de desenvolvimento regional. </w:t>
      </w:r>
    </w:p>
    <w:p w14:paraId="35777C97" w14:textId="77777777" w:rsidR="00625D04" w:rsidRPr="002028D7" w:rsidRDefault="00625D04" w:rsidP="00625D04">
      <w:pPr>
        <w:spacing w:after="0" w:line="360" w:lineRule="auto"/>
        <w:ind w:firstLine="708"/>
        <w:jc w:val="both"/>
        <w:rPr>
          <w:rFonts w:ascii="Times New Roman" w:hAnsi="Times New Roman" w:cs="Times New Roman"/>
          <w:sz w:val="24"/>
          <w:szCs w:val="24"/>
        </w:rPr>
      </w:pPr>
      <w:r w:rsidRPr="002028D7">
        <w:rPr>
          <w:rFonts w:ascii="Times New Roman" w:hAnsi="Times New Roman" w:cs="Times New Roman"/>
          <w:sz w:val="24"/>
          <w:szCs w:val="24"/>
        </w:rPr>
        <w:t xml:space="preserve">Nessa perspectiva, buscar compreender os acontecimentos, fenômenos e relações socioeconômicas que acontecem no interior de um país e/ou região é um dos objetivos do desenvolvimento regional, bem como entender a distribuição espacial das atividades econômicas, indicando os fatores econômicos e sociais que afetam as desigualdades regionais. </w:t>
      </w:r>
    </w:p>
    <w:p w14:paraId="43F36FD7" w14:textId="0A49D8B4" w:rsidR="00625D04" w:rsidRPr="002028D7" w:rsidRDefault="00625D04" w:rsidP="00625D04">
      <w:pPr>
        <w:spacing w:after="0" w:line="360" w:lineRule="auto"/>
        <w:ind w:firstLine="708"/>
        <w:jc w:val="both"/>
        <w:rPr>
          <w:rFonts w:ascii="Times New Roman" w:hAnsi="Times New Roman" w:cs="Times New Roman"/>
          <w:sz w:val="24"/>
          <w:szCs w:val="24"/>
        </w:rPr>
      </w:pPr>
      <w:bookmarkStart w:id="0" w:name="_Hlk110599518"/>
      <w:r w:rsidRPr="002028D7">
        <w:rPr>
          <w:rFonts w:ascii="Times New Roman" w:hAnsi="Times New Roman" w:cs="Times New Roman"/>
          <w:sz w:val="24"/>
          <w:szCs w:val="24"/>
        </w:rPr>
        <w:t xml:space="preserve">A distribuição espacial das atividades econômicas dos diversos setores, comumente, se </w:t>
      </w:r>
      <w:r w:rsidR="004C578B" w:rsidRPr="002028D7">
        <w:rPr>
          <w:rFonts w:ascii="Times New Roman" w:hAnsi="Times New Roman" w:cs="Times New Roman"/>
          <w:sz w:val="24"/>
          <w:szCs w:val="24"/>
        </w:rPr>
        <w:t>constitui</w:t>
      </w:r>
      <w:r w:rsidRPr="002028D7">
        <w:rPr>
          <w:rFonts w:ascii="Times New Roman" w:hAnsi="Times New Roman" w:cs="Times New Roman"/>
          <w:sz w:val="24"/>
          <w:szCs w:val="24"/>
        </w:rPr>
        <w:t xml:space="preserve"> em uma alínea essencial da análise regional, atentando para uma necessidade de se entender fundamentos que as economias locais se apoiam e como acontece as desigualdades de renda entre regiões e pessoas. </w:t>
      </w:r>
      <w:bookmarkEnd w:id="0"/>
      <w:r w:rsidRPr="002028D7">
        <w:rPr>
          <w:rFonts w:ascii="Times New Roman" w:hAnsi="Times New Roman" w:cs="Times New Roman"/>
          <w:sz w:val="24"/>
          <w:szCs w:val="24"/>
        </w:rPr>
        <w:t xml:space="preserve">Esses dilemas são ainda mais evidentes para países com extensa área geográfica, elevada população e diferentes estádios de desenvolvimento setorial ou espacial, como é o caso do Brasil (SOARES, SANTOS e FREITAS, 2008). </w:t>
      </w:r>
    </w:p>
    <w:p w14:paraId="6D1673C7" w14:textId="77777777" w:rsidR="00625D04" w:rsidRPr="002028D7" w:rsidRDefault="00625D04" w:rsidP="00625D04">
      <w:pPr>
        <w:spacing w:after="0" w:line="360" w:lineRule="auto"/>
        <w:ind w:firstLine="708"/>
        <w:jc w:val="both"/>
        <w:rPr>
          <w:rFonts w:ascii="Times New Roman" w:hAnsi="Times New Roman" w:cs="Times New Roman"/>
          <w:sz w:val="24"/>
          <w:szCs w:val="24"/>
        </w:rPr>
      </w:pPr>
      <w:r w:rsidRPr="002028D7">
        <w:rPr>
          <w:rFonts w:ascii="Times New Roman" w:hAnsi="Times New Roman" w:cs="Times New Roman"/>
          <w:sz w:val="24"/>
          <w:szCs w:val="24"/>
        </w:rPr>
        <w:t>O Nordeste participa com 18,24% da área territorial, cerca de 27% da população brasileira vive na região, com mais de 14% do PIB do Brasil (IBGE, 2021).  Diniz (2013) chamava a atenção para a região Nordeste por possuir por possuir baixos níveis de desenvolvimento econômico e social, mostrando que a renda per capita média da região era menos que a metade da média nacional. O autor ainda destaca que nos últimos anos, tem acontecido uma recuperação relativa da região tendo como fatores preponderantes a expansão industrial, expansão a fronteira agrícola, aumento dos serviços de turismo, agricultura irrigada. Em relação a expansão industrial, o autor destaca, a recente expansão industrial de Pernambuco, em função do conjunto de atividades articuladas e aglomeradas em volta do Porto de SUAPE.</w:t>
      </w:r>
    </w:p>
    <w:p w14:paraId="11648FFC" w14:textId="77777777" w:rsidR="00625D04" w:rsidRPr="002028D7" w:rsidRDefault="00625D04" w:rsidP="00625D04">
      <w:pPr>
        <w:spacing w:after="0" w:line="360" w:lineRule="auto"/>
        <w:ind w:firstLine="708"/>
        <w:jc w:val="both"/>
        <w:rPr>
          <w:rFonts w:ascii="Times New Roman" w:hAnsi="Times New Roman" w:cs="Times New Roman"/>
          <w:sz w:val="24"/>
          <w:szCs w:val="24"/>
        </w:rPr>
      </w:pPr>
      <w:r w:rsidRPr="002028D7">
        <w:rPr>
          <w:rFonts w:ascii="Times New Roman" w:hAnsi="Times New Roman" w:cs="Times New Roman"/>
          <w:sz w:val="24"/>
          <w:szCs w:val="24"/>
        </w:rPr>
        <w:lastRenderedPageBreak/>
        <w:t xml:space="preserve">O estado de Pernambuco, ao lado dos estados da Bahia e Ceará, se constitui uma das mais importantes economias nordestinas, com um grande potencial para o desenvolvimento regional. Araújo e Santos (2019) revelam que a partir de 2017 o estado vem passando por uma série de transformações em sua economia, o que permitiu a retomada do crescimento e conta com um conjunto de investimentos ainda em estágio de maturação e desdobramentos. Muitos investimentos tem sido realizado no estado por intermédio do Banco Nacional de Desenvolvimento Econômico e Social (BNDES) e do Banco do Nordeste do Brasil (BNB). </w:t>
      </w:r>
    </w:p>
    <w:p w14:paraId="59F45F3B" w14:textId="77777777" w:rsidR="00625D04" w:rsidRPr="002028D7" w:rsidRDefault="00625D04" w:rsidP="00625D04">
      <w:pPr>
        <w:spacing w:after="0" w:line="360" w:lineRule="auto"/>
        <w:ind w:firstLine="708"/>
        <w:jc w:val="both"/>
        <w:rPr>
          <w:rFonts w:ascii="Times New Roman" w:hAnsi="Times New Roman" w:cs="Times New Roman"/>
          <w:sz w:val="24"/>
          <w:szCs w:val="24"/>
        </w:rPr>
      </w:pPr>
      <w:r w:rsidRPr="002028D7">
        <w:rPr>
          <w:rFonts w:ascii="Times New Roman" w:hAnsi="Times New Roman" w:cs="Times New Roman"/>
          <w:sz w:val="24"/>
          <w:szCs w:val="24"/>
        </w:rPr>
        <w:t xml:space="preserve">Diante do exposto, é notória a importância de se entender a dinâmica da economia pernambucana. Sendo assim, o presente trabalho busca analisar a </w:t>
      </w:r>
      <w:r>
        <w:rPr>
          <w:rFonts w:ascii="Times New Roman" w:hAnsi="Times New Roman" w:cs="Times New Roman"/>
          <w:sz w:val="24"/>
          <w:szCs w:val="24"/>
        </w:rPr>
        <w:t>concentração e especialização</w:t>
      </w:r>
      <w:r w:rsidRPr="002028D7">
        <w:rPr>
          <w:rFonts w:ascii="Times New Roman" w:hAnsi="Times New Roman" w:cs="Times New Roman"/>
          <w:sz w:val="24"/>
          <w:szCs w:val="24"/>
        </w:rPr>
        <w:t xml:space="preserve"> d</w:t>
      </w:r>
      <w:r>
        <w:rPr>
          <w:rFonts w:ascii="Times New Roman" w:hAnsi="Times New Roman" w:cs="Times New Roman"/>
          <w:sz w:val="24"/>
          <w:szCs w:val="24"/>
        </w:rPr>
        <w:t>os setores econômicos</w:t>
      </w:r>
      <w:r w:rsidRPr="002028D7">
        <w:rPr>
          <w:rFonts w:ascii="Times New Roman" w:hAnsi="Times New Roman" w:cs="Times New Roman"/>
          <w:sz w:val="24"/>
          <w:szCs w:val="24"/>
        </w:rPr>
        <w:t xml:space="preserve"> nas microrregiões pernambucanas entre 2010-2019</w:t>
      </w:r>
      <w:r>
        <w:rPr>
          <w:rFonts w:ascii="Times New Roman" w:hAnsi="Times New Roman" w:cs="Times New Roman"/>
          <w:sz w:val="24"/>
          <w:szCs w:val="24"/>
        </w:rPr>
        <w:t>. Especificamente pretende-se</w:t>
      </w:r>
      <w:r w:rsidRPr="002028D7">
        <w:rPr>
          <w:rFonts w:ascii="Times New Roman" w:hAnsi="Times New Roman" w:cs="Times New Roman"/>
          <w:sz w:val="24"/>
          <w:szCs w:val="24"/>
        </w:rPr>
        <w:t xml:space="preserve"> discutir a representatividade de cada </w:t>
      </w:r>
      <w:r>
        <w:rPr>
          <w:rFonts w:ascii="Times New Roman" w:hAnsi="Times New Roman" w:cs="Times New Roman"/>
          <w:sz w:val="24"/>
          <w:szCs w:val="24"/>
        </w:rPr>
        <w:t>setor</w:t>
      </w:r>
      <w:r w:rsidRPr="002028D7">
        <w:rPr>
          <w:rFonts w:ascii="Times New Roman" w:hAnsi="Times New Roman" w:cs="Times New Roman"/>
          <w:sz w:val="24"/>
          <w:szCs w:val="24"/>
        </w:rPr>
        <w:t xml:space="preserve"> </w:t>
      </w:r>
      <w:r>
        <w:rPr>
          <w:rFonts w:ascii="Times New Roman" w:hAnsi="Times New Roman" w:cs="Times New Roman"/>
          <w:sz w:val="24"/>
          <w:szCs w:val="24"/>
        </w:rPr>
        <w:t xml:space="preserve">da economia analisados sob a ótica das </w:t>
      </w:r>
      <w:r w:rsidRPr="002028D7">
        <w:rPr>
          <w:rFonts w:ascii="Times New Roman" w:hAnsi="Times New Roman" w:cs="Times New Roman"/>
          <w:sz w:val="24"/>
          <w:szCs w:val="24"/>
        </w:rPr>
        <w:t>microrregiões</w:t>
      </w:r>
      <w:r>
        <w:rPr>
          <w:rFonts w:ascii="Times New Roman" w:hAnsi="Times New Roman" w:cs="Times New Roman"/>
          <w:sz w:val="24"/>
          <w:szCs w:val="24"/>
        </w:rPr>
        <w:t xml:space="preserve">, bem como entender quais setores estão mais concentrados e em quais microrregiões e quais as microrregiões mais especializadas no estado. </w:t>
      </w:r>
      <w:r w:rsidRPr="002028D7">
        <w:rPr>
          <w:rFonts w:ascii="Times New Roman" w:hAnsi="Times New Roman" w:cs="Times New Roman"/>
          <w:sz w:val="24"/>
          <w:szCs w:val="24"/>
        </w:rPr>
        <w:t xml:space="preserve">Para atingir tal objetivo, a metodologia empregada consiste em analisar o quociente locacional, coeficiente de localização e coeficiente de especialização, </w:t>
      </w:r>
      <w:r>
        <w:rPr>
          <w:rFonts w:ascii="Times New Roman" w:hAnsi="Times New Roman" w:cs="Times New Roman"/>
          <w:sz w:val="24"/>
          <w:szCs w:val="24"/>
        </w:rPr>
        <w:t>com base em dados do</w:t>
      </w:r>
      <w:r w:rsidRPr="002028D7">
        <w:rPr>
          <w:rFonts w:ascii="Times New Roman" w:hAnsi="Times New Roman" w:cs="Times New Roman"/>
          <w:sz w:val="24"/>
          <w:szCs w:val="24"/>
        </w:rPr>
        <w:t xml:space="preserve"> emprego formal em cinco grandes setores da economia,</w:t>
      </w:r>
      <w:r>
        <w:rPr>
          <w:rFonts w:ascii="Times New Roman" w:hAnsi="Times New Roman" w:cs="Times New Roman"/>
          <w:sz w:val="24"/>
          <w:szCs w:val="24"/>
        </w:rPr>
        <w:t xml:space="preserve"> a</w:t>
      </w:r>
      <w:r w:rsidRPr="002028D7">
        <w:rPr>
          <w:rFonts w:ascii="Times New Roman" w:hAnsi="Times New Roman" w:cs="Times New Roman"/>
          <w:sz w:val="24"/>
          <w:szCs w:val="24"/>
        </w:rPr>
        <w:t xml:space="preserve"> saber: Indústria, Construção civil, Comércio, Serviços e Agropecuária.</w:t>
      </w:r>
    </w:p>
    <w:p w14:paraId="0EF64C7A" w14:textId="77777777" w:rsidR="00625D04" w:rsidRPr="002028D7" w:rsidRDefault="00625D04" w:rsidP="00625D04">
      <w:pPr>
        <w:spacing w:after="0" w:line="360" w:lineRule="auto"/>
        <w:ind w:firstLine="708"/>
        <w:jc w:val="both"/>
        <w:rPr>
          <w:rFonts w:ascii="Times New Roman" w:hAnsi="Times New Roman" w:cs="Times New Roman"/>
          <w:sz w:val="24"/>
          <w:szCs w:val="24"/>
        </w:rPr>
      </w:pPr>
      <w:r w:rsidRPr="002028D7">
        <w:rPr>
          <w:rFonts w:ascii="Times New Roman" w:hAnsi="Times New Roman" w:cs="Times New Roman"/>
          <w:sz w:val="24"/>
          <w:szCs w:val="24"/>
        </w:rPr>
        <w:t xml:space="preserve">Afora está seção introdutória, este artigo está dividido em mais quatro seções, sendo que na segunda seção é feita a fundamentação teórica da temática em questão; na terceira é descrita a metodologia utilizada no estudo; na quarta são apresentados e discutidos os resultados obtidos; e por fim, na última seção são feitas as considerações finais deste trabalho. </w:t>
      </w:r>
    </w:p>
    <w:p w14:paraId="19E0A955" w14:textId="77777777" w:rsidR="00625D04" w:rsidRDefault="00625D04" w:rsidP="00625D04">
      <w:pPr>
        <w:spacing w:after="0" w:line="240" w:lineRule="auto"/>
        <w:jc w:val="both"/>
        <w:rPr>
          <w:rFonts w:ascii="Times New Roman" w:hAnsi="Times New Roman" w:cs="Times New Roman"/>
          <w:sz w:val="24"/>
          <w:szCs w:val="24"/>
        </w:rPr>
      </w:pPr>
    </w:p>
    <w:p w14:paraId="5ACCE085" w14:textId="77777777" w:rsidR="00625D04" w:rsidRDefault="00625D04" w:rsidP="00625D04">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2. ASPECTOS METODOLÓGICOS</w:t>
      </w:r>
    </w:p>
    <w:p w14:paraId="00CE2277" w14:textId="77777777" w:rsidR="00625D04" w:rsidRDefault="00625D04" w:rsidP="00625D0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Neste trabalho foram utilizados métodos de análise da economia regional relacionados ao padrão de localização e de especialização de alguns setores da economia nas microrregiões do estado de Pernambuco, utilizando dados oficiais dos empregos formais da Relação Anual de Informações Sociais (RAIS) do Ministério do Trabalho e Emprego (MTE) tendo os anos de 2010 e 2019 como anos base. </w:t>
      </w:r>
    </w:p>
    <w:p w14:paraId="7F0CE207" w14:textId="77777777" w:rsidR="00625D04" w:rsidRPr="001210BA" w:rsidRDefault="00625D04" w:rsidP="00625D0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O estado de Pernambuco é dividido em cinco mesorregiões (Metropolitana, Mata, Agreste, São Francisco e Sertão) e subdividido em dezenove microrregiões (</w:t>
      </w:r>
      <w:r w:rsidRPr="009A599D">
        <w:rPr>
          <w:rFonts w:ascii="Times New Roman" w:hAnsi="Times New Roman" w:cs="Times New Roman"/>
          <w:sz w:val="24"/>
          <w:szCs w:val="24"/>
        </w:rPr>
        <w:t xml:space="preserve">Alto Capibaribe, </w:t>
      </w:r>
      <w:r w:rsidRPr="009A599D">
        <w:rPr>
          <w:rFonts w:ascii="Times New Roman" w:hAnsi="Times New Roman" w:cs="Times New Roman"/>
          <w:sz w:val="24"/>
          <w:szCs w:val="24"/>
        </w:rPr>
        <w:lastRenderedPageBreak/>
        <w:t>Araripina, Brejo Pernambucano, Fernando de Noronha, Garanhuns, Itamaracá, Itaparica,</w:t>
      </w:r>
      <w:r>
        <w:rPr>
          <w:rFonts w:ascii="Times New Roman" w:hAnsi="Times New Roman" w:cs="Times New Roman"/>
          <w:sz w:val="24"/>
          <w:szCs w:val="24"/>
        </w:rPr>
        <w:t xml:space="preserve"> </w:t>
      </w:r>
      <w:r w:rsidRPr="009A599D">
        <w:rPr>
          <w:rFonts w:ascii="Times New Roman" w:hAnsi="Times New Roman" w:cs="Times New Roman"/>
          <w:sz w:val="24"/>
          <w:szCs w:val="24"/>
        </w:rPr>
        <w:t>Mata Meridional Pernambucana, Mata Setentrional Pernambucana, Médio Capibaribe, Pajeú, Petrolina, Recife, Salgueiro,</w:t>
      </w:r>
      <w:r>
        <w:rPr>
          <w:rFonts w:ascii="Times New Roman" w:hAnsi="Times New Roman" w:cs="Times New Roman"/>
          <w:sz w:val="24"/>
          <w:szCs w:val="24"/>
        </w:rPr>
        <w:t xml:space="preserve"> </w:t>
      </w:r>
      <w:r w:rsidRPr="009A599D">
        <w:rPr>
          <w:rFonts w:ascii="Times New Roman" w:hAnsi="Times New Roman" w:cs="Times New Roman"/>
          <w:sz w:val="24"/>
          <w:szCs w:val="24"/>
        </w:rPr>
        <w:t>Sertão do Moxotó, Suape, Vale do Ipanema, Vale do Ipojuca, Vitória de Santo Antão</w:t>
      </w:r>
      <w:r>
        <w:rPr>
          <w:rFonts w:ascii="Times New Roman" w:hAnsi="Times New Roman" w:cs="Times New Roman"/>
          <w:sz w:val="24"/>
          <w:szCs w:val="24"/>
        </w:rPr>
        <w:t>).</w:t>
      </w:r>
    </w:p>
    <w:p w14:paraId="2C482C98" w14:textId="77777777" w:rsidR="00625D04" w:rsidRDefault="00625D04" w:rsidP="00625D04">
      <w:pPr>
        <w:spacing w:after="0" w:line="360" w:lineRule="auto"/>
        <w:ind w:firstLine="708"/>
        <w:jc w:val="both"/>
        <w:rPr>
          <w:rFonts w:ascii="Times New Roman" w:hAnsi="Times New Roman" w:cs="Times New Roman"/>
          <w:sz w:val="24"/>
          <w:szCs w:val="24"/>
        </w:rPr>
      </w:pPr>
      <w:r w:rsidRPr="005B1CCC">
        <w:rPr>
          <w:rFonts w:ascii="Times New Roman" w:hAnsi="Times New Roman" w:cs="Times New Roman"/>
          <w:sz w:val="24"/>
          <w:szCs w:val="24"/>
        </w:rPr>
        <w:t xml:space="preserve">Conforme a metodologia adotada para mensuração </w:t>
      </w:r>
      <w:r>
        <w:rPr>
          <w:rFonts w:ascii="Times New Roman" w:hAnsi="Times New Roman" w:cs="Times New Roman"/>
          <w:sz w:val="24"/>
          <w:szCs w:val="24"/>
        </w:rPr>
        <w:t>dos métodos quantitativos de análise regional e urbana</w:t>
      </w:r>
      <w:r w:rsidRPr="005B1CCC">
        <w:rPr>
          <w:rFonts w:ascii="Times New Roman" w:hAnsi="Times New Roman" w:cs="Times New Roman"/>
          <w:sz w:val="24"/>
          <w:szCs w:val="24"/>
        </w:rPr>
        <w:t xml:space="preserve"> que precisam ser realizad</w:t>
      </w:r>
      <w:r>
        <w:rPr>
          <w:rFonts w:ascii="Times New Roman" w:hAnsi="Times New Roman" w:cs="Times New Roman"/>
          <w:sz w:val="24"/>
          <w:szCs w:val="24"/>
        </w:rPr>
        <w:t>o</w:t>
      </w:r>
      <w:r w:rsidRPr="005B1CCC">
        <w:rPr>
          <w:rFonts w:ascii="Times New Roman" w:hAnsi="Times New Roman" w:cs="Times New Roman"/>
          <w:sz w:val="24"/>
          <w:szCs w:val="24"/>
        </w:rPr>
        <w:t>s, pois são necessári</w:t>
      </w:r>
      <w:r>
        <w:rPr>
          <w:rFonts w:ascii="Times New Roman" w:hAnsi="Times New Roman" w:cs="Times New Roman"/>
          <w:sz w:val="24"/>
          <w:szCs w:val="24"/>
        </w:rPr>
        <w:t>o</w:t>
      </w:r>
      <w:r w:rsidRPr="005B1CCC">
        <w:rPr>
          <w:rFonts w:ascii="Times New Roman" w:hAnsi="Times New Roman" w:cs="Times New Roman"/>
          <w:sz w:val="24"/>
          <w:szCs w:val="24"/>
        </w:rPr>
        <w:t>s</w:t>
      </w:r>
      <w:r>
        <w:rPr>
          <w:rFonts w:ascii="Times New Roman" w:hAnsi="Times New Roman" w:cs="Times New Roman"/>
          <w:sz w:val="24"/>
          <w:szCs w:val="24"/>
        </w:rPr>
        <w:t xml:space="preserve"> para se atender os objetivos propostos,</w:t>
      </w:r>
      <w:r w:rsidRPr="005B1CCC">
        <w:rPr>
          <w:rFonts w:ascii="Times New Roman" w:hAnsi="Times New Roman" w:cs="Times New Roman"/>
          <w:sz w:val="24"/>
          <w:szCs w:val="24"/>
        </w:rPr>
        <w:t xml:space="preserve"> o estudo pode ser classificado como quantitativo. </w:t>
      </w:r>
      <w:r>
        <w:rPr>
          <w:rFonts w:ascii="Times New Roman" w:hAnsi="Times New Roman" w:cs="Times New Roman"/>
          <w:sz w:val="24"/>
          <w:szCs w:val="24"/>
        </w:rPr>
        <w:t xml:space="preserve">Como este trabalho também </w:t>
      </w:r>
      <w:r w:rsidRPr="005B1CCC">
        <w:rPr>
          <w:rFonts w:ascii="Times New Roman" w:hAnsi="Times New Roman" w:cs="Times New Roman"/>
          <w:sz w:val="24"/>
          <w:szCs w:val="24"/>
        </w:rPr>
        <w:t>registra e analisa fenômenos observados sem a manipulação do pesquisador</w:t>
      </w:r>
      <w:r>
        <w:rPr>
          <w:rFonts w:ascii="Times New Roman" w:hAnsi="Times New Roman" w:cs="Times New Roman"/>
          <w:sz w:val="24"/>
          <w:szCs w:val="24"/>
        </w:rPr>
        <w:t xml:space="preserve">, </w:t>
      </w:r>
      <w:r w:rsidRPr="005B1CCC">
        <w:rPr>
          <w:rFonts w:ascii="Times New Roman" w:hAnsi="Times New Roman" w:cs="Times New Roman"/>
          <w:sz w:val="24"/>
          <w:szCs w:val="24"/>
        </w:rPr>
        <w:t>pode ser considerado uma análise descritiva</w:t>
      </w:r>
      <w:r>
        <w:rPr>
          <w:rFonts w:ascii="Times New Roman" w:hAnsi="Times New Roman" w:cs="Times New Roman"/>
          <w:sz w:val="24"/>
          <w:szCs w:val="24"/>
        </w:rPr>
        <w:t xml:space="preserve"> qualitativa</w:t>
      </w:r>
      <w:r w:rsidRPr="005B1CCC">
        <w:rPr>
          <w:rFonts w:ascii="Times New Roman" w:hAnsi="Times New Roman" w:cs="Times New Roman"/>
          <w:sz w:val="24"/>
          <w:szCs w:val="24"/>
        </w:rPr>
        <w:t xml:space="preserve"> (RAMPAZZO, 2013).</w:t>
      </w:r>
    </w:p>
    <w:p w14:paraId="67E38095" w14:textId="77777777" w:rsidR="00625D04" w:rsidRDefault="00625D04" w:rsidP="00625D04">
      <w:pPr>
        <w:spacing w:after="0" w:line="360" w:lineRule="auto"/>
        <w:jc w:val="both"/>
        <w:rPr>
          <w:rFonts w:ascii="Times New Roman" w:hAnsi="Times New Roman" w:cs="Times New Roman"/>
          <w:sz w:val="24"/>
          <w:szCs w:val="24"/>
        </w:rPr>
      </w:pPr>
    </w:p>
    <w:p w14:paraId="1DC8CB44" w14:textId="77777777" w:rsidR="00625D04" w:rsidRPr="009D0E1D" w:rsidRDefault="00625D04" w:rsidP="00625D04">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2</w:t>
      </w:r>
      <w:r w:rsidRPr="009D0E1D">
        <w:rPr>
          <w:rFonts w:ascii="Times New Roman" w:hAnsi="Times New Roman" w:cs="Times New Roman"/>
          <w:b/>
          <w:bCs/>
          <w:sz w:val="24"/>
          <w:szCs w:val="24"/>
        </w:rPr>
        <w:t>.</w:t>
      </w:r>
      <w:r>
        <w:rPr>
          <w:rFonts w:ascii="Times New Roman" w:hAnsi="Times New Roman" w:cs="Times New Roman"/>
          <w:b/>
          <w:bCs/>
          <w:sz w:val="24"/>
          <w:szCs w:val="24"/>
        </w:rPr>
        <w:t>1</w:t>
      </w:r>
      <w:r w:rsidRPr="009D0E1D">
        <w:rPr>
          <w:rFonts w:ascii="Times New Roman" w:hAnsi="Times New Roman" w:cs="Times New Roman"/>
          <w:b/>
          <w:bCs/>
          <w:sz w:val="24"/>
          <w:szCs w:val="24"/>
        </w:rPr>
        <w:t>. Medidas de Localização</w:t>
      </w:r>
    </w:p>
    <w:p w14:paraId="3B2AC233" w14:textId="77777777" w:rsidR="00625D04" w:rsidRDefault="00625D04" w:rsidP="00625D0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Para Haddad (1989) as medidas de localização são mensuradas de natureza setorial e caracterizam a localização das atividades entre regiões, buscando conhecer padrões de aglomeração ou espalhamento espacial do emprego dos setores, num dado período. No presente estudo foram mensurados </w:t>
      </w:r>
      <w:r w:rsidRPr="00DD7A0B">
        <w:rPr>
          <w:rFonts w:ascii="Times New Roman" w:hAnsi="Times New Roman"/>
          <w:color w:val="000000"/>
          <w:sz w:val="24"/>
          <w:szCs w:val="24"/>
        </w:rPr>
        <w:t xml:space="preserve">o Quociente </w:t>
      </w:r>
      <w:r>
        <w:rPr>
          <w:rFonts w:ascii="Times New Roman" w:hAnsi="Times New Roman"/>
          <w:color w:val="000000"/>
          <w:sz w:val="24"/>
          <w:szCs w:val="24"/>
        </w:rPr>
        <w:t>L</w:t>
      </w:r>
      <w:r w:rsidRPr="00DD7A0B">
        <w:rPr>
          <w:rFonts w:ascii="Times New Roman" w:hAnsi="Times New Roman"/>
          <w:color w:val="000000"/>
          <w:sz w:val="24"/>
          <w:szCs w:val="24"/>
        </w:rPr>
        <w:t>ocacional</w:t>
      </w:r>
      <w:r>
        <w:rPr>
          <w:rFonts w:ascii="Times New Roman" w:hAnsi="Times New Roman"/>
          <w:color w:val="000000"/>
          <w:sz w:val="24"/>
          <w:szCs w:val="24"/>
        </w:rPr>
        <w:t xml:space="preserve"> e o</w:t>
      </w:r>
      <w:r w:rsidRPr="00DD7A0B">
        <w:rPr>
          <w:rFonts w:ascii="Times New Roman" w:hAnsi="Times New Roman"/>
          <w:color w:val="000000"/>
          <w:sz w:val="24"/>
          <w:szCs w:val="24"/>
        </w:rPr>
        <w:t xml:space="preserve"> Coeficiente de </w:t>
      </w:r>
      <w:r>
        <w:rPr>
          <w:rFonts w:ascii="Times New Roman" w:hAnsi="Times New Roman"/>
          <w:color w:val="000000"/>
          <w:sz w:val="24"/>
          <w:szCs w:val="24"/>
        </w:rPr>
        <w:t>L</w:t>
      </w:r>
      <w:r w:rsidRPr="00DD7A0B">
        <w:rPr>
          <w:rFonts w:ascii="Times New Roman" w:hAnsi="Times New Roman"/>
          <w:color w:val="000000"/>
          <w:sz w:val="24"/>
          <w:szCs w:val="24"/>
        </w:rPr>
        <w:t>ocalização</w:t>
      </w:r>
      <w:r>
        <w:rPr>
          <w:rFonts w:ascii="Times New Roman" w:hAnsi="Times New Roman"/>
          <w:color w:val="000000"/>
          <w:sz w:val="24"/>
          <w:szCs w:val="24"/>
        </w:rPr>
        <w:t>.</w:t>
      </w:r>
    </w:p>
    <w:p w14:paraId="7268F7D7" w14:textId="77777777" w:rsidR="00625D04" w:rsidRDefault="00625D04" w:rsidP="00625D04">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ab/>
      </w:r>
      <w:r w:rsidRPr="000370E9">
        <w:rPr>
          <w:rFonts w:ascii="Times New Roman" w:hAnsi="Times New Roman" w:cs="Times New Roman"/>
          <w:sz w:val="24"/>
          <w:szCs w:val="24"/>
        </w:rPr>
        <w:t xml:space="preserve">O </w:t>
      </w:r>
      <w:r>
        <w:rPr>
          <w:rFonts w:ascii="Times New Roman" w:hAnsi="Times New Roman" w:cs="Times New Roman"/>
          <w:sz w:val="24"/>
          <w:szCs w:val="24"/>
        </w:rPr>
        <w:t>q</w:t>
      </w:r>
      <w:r w:rsidRPr="000370E9">
        <w:rPr>
          <w:rFonts w:ascii="Times New Roman" w:hAnsi="Times New Roman" w:cs="Times New Roman"/>
          <w:sz w:val="24"/>
          <w:szCs w:val="24"/>
        </w:rPr>
        <w:t xml:space="preserve">uociente locacional </w:t>
      </w:r>
      <w:r>
        <w:rPr>
          <w:rFonts w:ascii="Times New Roman" w:hAnsi="Times New Roman" w:cs="Times New Roman"/>
          <w:sz w:val="24"/>
          <w:szCs w:val="24"/>
        </w:rPr>
        <w:t xml:space="preserve">(QL) </w:t>
      </w:r>
      <w:r w:rsidRPr="000370E9">
        <w:rPr>
          <w:rFonts w:ascii="Times New Roman" w:hAnsi="Times New Roman" w:cs="Times New Roman"/>
          <w:sz w:val="24"/>
          <w:szCs w:val="24"/>
        </w:rPr>
        <w:t xml:space="preserve">é </w:t>
      </w:r>
      <w:r>
        <w:rPr>
          <w:rFonts w:ascii="Times New Roman" w:hAnsi="Times New Roman" w:cs="Times New Roman"/>
          <w:sz w:val="24"/>
          <w:szCs w:val="24"/>
        </w:rPr>
        <w:t>utilizado</w:t>
      </w:r>
      <w:r w:rsidRPr="000370E9">
        <w:rPr>
          <w:rFonts w:ascii="Times New Roman" w:hAnsi="Times New Roman" w:cs="Times New Roman"/>
          <w:sz w:val="24"/>
          <w:szCs w:val="24"/>
        </w:rPr>
        <w:t xml:space="preserve"> para</w:t>
      </w:r>
      <w:r>
        <w:rPr>
          <w:rFonts w:ascii="Times New Roman" w:hAnsi="Times New Roman" w:cs="Times New Roman"/>
          <w:sz w:val="24"/>
          <w:szCs w:val="24"/>
        </w:rPr>
        <w:t xml:space="preserve"> fazer uma análise comparativa sobre</w:t>
      </w:r>
      <w:r w:rsidRPr="000370E9">
        <w:rPr>
          <w:rFonts w:ascii="Times New Roman" w:hAnsi="Times New Roman" w:cs="Times New Roman"/>
          <w:sz w:val="24"/>
          <w:szCs w:val="24"/>
        </w:rPr>
        <w:t xml:space="preserve"> a participação percentual d</w:t>
      </w:r>
      <w:r>
        <w:rPr>
          <w:rFonts w:ascii="Times New Roman" w:hAnsi="Times New Roman" w:cs="Times New Roman"/>
          <w:sz w:val="24"/>
          <w:szCs w:val="24"/>
        </w:rPr>
        <w:t>o emprego</w:t>
      </w:r>
      <w:r w:rsidRPr="000370E9">
        <w:rPr>
          <w:rFonts w:ascii="Times New Roman" w:hAnsi="Times New Roman" w:cs="Times New Roman"/>
          <w:sz w:val="24"/>
          <w:szCs w:val="24"/>
        </w:rPr>
        <w:t xml:space="preserve"> de uma área com a participação percentual no total de outra área de maior dimensão. </w:t>
      </w:r>
      <w:r>
        <w:rPr>
          <w:rFonts w:ascii="Times New Roman" w:hAnsi="Times New Roman" w:cs="Times New Roman"/>
          <w:sz w:val="24"/>
          <w:szCs w:val="24"/>
        </w:rPr>
        <w:t>Ou seja, o QL</w:t>
      </w:r>
      <w:r w:rsidRPr="000370E9">
        <w:rPr>
          <w:rFonts w:ascii="Times New Roman" w:hAnsi="Times New Roman" w:cs="Times New Roman"/>
          <w:sz w:val="24"/>
          <w:szCs w:val="24"/>
        </w:rPr>
        <w:t xml:space="preserve"> </w:t>
      </w:r>
      <w:r>
        <w:rPr>
          <w:rFonts w:ascii="Times New Roman" w:hAnsi="Times New Roman" w:cs="Times New Roman"/>
          <w:sz w:val="24"/>
          <w:szCs w:val="24"/>
        </w:rPr>
        <w:t xml:space="preserve">indica a participação relativa de um determinado ramo da economia em uma região, comparado com outra região maior. O QL </w:t>
      </w:r>
      <w:r w:rsidRPr="000370E9">
        <w:rPr>
          <w:rFonts w:ascii="Times New Roman" w:hAnsi="Times New Roman" w:cs="Times New Roman"/>
          <w:sz w:val="24"/>
          <w:szCs w:val="24"/>
        </w:rPr>
        <w:t xml:space="preserve">pode ser analisado a partir de setores específicos ou </w:t>
      </w:r>
      <w:r>
        <w:rPr>
          <w:rFonts w:ascii="Times New Roman" w:hAnsi="Times New Roman" w:cs="Times New Roman"/>
          <w:sz w:val="24"/>
          <w:szCs w:val="24"/>
        </w:rPr>
        <w:t>um conjunto destes</w:t>
      </w:r>
      <w:r w:rsidRPr="000370E9">
        <w:rPr>
          <w:rFonts w:ascii="Times New Roman" w:hAnsi="Times New Roman" w:cs="Times New Roman"/>
          <w:sz w:val="24"/>
          <w:szCs w:val="24"/>
        </w:rPr>
        <w:t xml:space="preserve">. </w:t>
      </w:r>
      <w:r>
        <w:rPr>
          <w:rFonts w:ascii="Times New Roman" w:hAnsi="Times New Roman" w:cs="Times New Roman"/>
          <w:sz w:val="24"/>
          <w:szCs w:val="24"/>
        </w:rPr>
        <w:t xml:space="preserve">O indicador mede o grau de especialização de uma região em um setor (setores) especifico (específicos). Quanto maior o QL, maior a especialização da região no setor em estudo. O cálculo do indicador é feito segundo uma proporção. Segundo Monastério (2011) no numerador tem-se a participação que o setor tem na microrregião (região), e no denominador, a participação do mesmo setor no estado (país). O QL é determinado da seguinte forma: </w:t>
      </w:r>
    </w:p>
    <w:tbl>
      <w:tblPr>
        <w:tblStyle w:val="Tabelacomgrade"/>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8012"/>
        <w:gridCol w:w="496"/>
      </w:tblGrid>
      <w:tr w:rsidR="00625D04" w14:paraId="3BC53FB7" w14:textId="77777777" w:rsidTr="008B6F9B">
        <w:trPr>
          <w:trHeight w:val="743"/>
        </w:trPr>
        <w:tc>
          <w:tcPr>
            <w:tcW w:w="562" w:type="dxa"/>
          </w:tcPr>
          <w:p w14:paraId="3FF8E0BA" w14:textId="77777777" w:rsidR="00625D04" w:rsidRDefault="00625D04" w:rsidP="008B6F9B">
            <w:pPr>
              <w:spacing w:line="360" w:lineRule="auto"/>
              <w:jc w:val="both"/>
              <w:rPr>
                <w:rFonts w:ascii="Times New Roman" w:hAnsi="Times New Roman" w:cs="Times New Roman"/>
                <w:sz w:val="24"/>
                <w:szCs w:val="24"/>
              </w:rPr>
            </w:pPr>
          </w:p>
        </w:tc>
        <w:tc>
          <w:tcPr>
            <w:tcW w:w="8080" w:type="dxa"/>
            <w:vAlign w:val="center"/>
          </w:tcPr>
          <w:p w14:paraId="49D20F85" w14:textId="77777777" w:rsidR="00625D04" w:rsidRPr="007C33E7" w:rsidRDefault="00625D04" w:rsidP="008B6F9B">
            <w:pPr>
              <w:spacing w:line="360" w:lineRule="auto"/>
              <w:jc w:val="center"/>
              <w:rPr>
                <w:rFonts w:ascii="Times New Roman" w:eastAsiaTheme="minorEastAsia" w:hAnsi="Times New Roman" w:cs="Times New Roman"/>
                <w:sz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QL</m:t>
                    </m:r>
                  </m:e>
                  <m:sub>
                    <m:r>
                      <w:rPr>
                        <w:rFonts w:ascii="Cambria Math" w:hAnsi="Cambria Math" w:cs="Times New Roman"/>
                        <w:sz w:val="24"/>
                        <w:szCs w:val="24"/>
                      </w:rPr>
                      <m:t>ki</m:t>
                    </m:r>
                  </m:sub>
                </m:sSub>
                <m:r>
                  <w:rPr>
                    <w:rFonts w:ascii="Cambria Math" w:hAnsi="Cambria Math" w:cs="Times New Roman"/>
                    <w:sz w:val="24"/>
                    <w:szCs w:val="24"/>
                  </w:rPr>
                  <m:t xml:space="preserve">= </m:t>
                </m:r>
                <m:f>
                  <m:fPr>
                    <m:ctrlPr>
                      <w:rPr>
                        <w:rFonts w:ascii="Cambria Math" w:hAnsi="Cambria Math" w:cs="Times New Roman"/>
                        <w:i/>
                        <w:sz w:val="24"/>
                        <w:szCs w:val="24"/>
                      </w:rPr>
                    </m:ctrlPr>
                  </m:fPr>
                  <m:num>
                    <m:f>
                      <m:fPr>
                        <m:type m:val="skw"/>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ki</m:t>
                            </m:r>
                          </m:sub>
                        </m:sSub>
                      </m:num>
                      <m:den>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i</m:t>
                            </m:r>
                          </m:sub>
                        </m:sSub>
                      </m:den>
                    </m:f>
                  </m:num>
                  <m:den>
                    <m:f>
                      <m:fPr>
                        <m:type m:val="skw"/>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k</m:t>
                            </m:r>
                          </m:sub>
                        </m:sSub>
                      </m:num>
                      <m:den>
                        <m:r>
                          <w:rPr>
                            <w:rFonts w:ascii="Cambria Math" w:hAnsi="Cambria Math" w:cs="Times New Roman"/>
                            <w:sz w:val="24"/>
                            <w:szCs w:val="24"/>
                          </w:rPr>
                          <m:t>E</m:t>
                        </m:r>
                      </m:den>
                    </m:f>
                  </m:den>
                </m:f>
              </m:oMath>
            </m:oMathPara>
          </w:p>
        </w:tc>
        <w:tc>
          <w:tcPr>
            <w:tcW w:w="425" w:type="dxa"/>
          </w:tcPr>
          <w:p w14:paraId="1AAA33E4" w14:textId="77777777" w:rsidR="00625D04" w:rsidRDefault="00625D04" w:rsidP="008B6F9B">
            <w:pPr>
              <w:spacing w:line="360" w:lineRule="auto"/>
              <w:jc w:val="both"/>
              <w:rPr>
                <w:rFonts w:ascii="Times New Roman" w:eastAsiaTheme="minorEastAsia" w:hAnsi="Times New Roman" w:cs="Times New Roman"/>
                <w:sz w:val="24"/>
                <w:szCs w:val="24"/>
              </w:rPr>
            </w:pPr>
          </w:p>
          <w:p w14:paraId="0E956BC0" w14:textId="77777777" w:rsidR="00625D04" w:rsidRDefault="00625D04" w:rsidP="008B6F9B">
            <w:pPr>
              <w:spacing w:line="360" w:lineRule="auto"/>
              <w:jc w:val="both"/>
              <w:rPr>
                <w:rFonts w:ascii="Times New Roman" w:hAnsi="Times New Roman" w:cs="Times New Roman"/>
                <w:sz w:val="24"/>
                <w:szCs w:val="24"/>
              </w:rPr>
            </w:pPr>
            <w:r>
              <w:rPr>
                <w:rFonts w:ascii="Times New Roman" w:eastAsiaTheme="minorEastAsia" w:hAnsi="Times New Roman" w:cs="Times New Roman"/>
                <w:sz w:val="24"/>
                <w:szCs w:val="24"/>
              </w:rPr>
              <w:t>(1)</w:t>
            </w:r>
          </w:p>
          <w:p w14:paraId="155367E4" w14:textId="77777777" w:rsidR="00625D04" w:rsidRDefault="00625D04" w:rsidP="008B6F9B">
            <w:pPr>
              <w:spacing w:line="360" w:lineRule="auto"/>
              <w:jc w:val="both"/>
              <w:rPr>
                <w:rFonts w:ascii="Times New Roman" w:hAnsi="Times New Roman" w:cs="Times New Roman"/>
                <w:sz w:val="24"/>
                <w:szCs w:val="24"/>
              </w:rPr>
            </w:pPr>
          </w:p>
        </w:tc>
      </w:tr>
    </w:tbl>
    <w:p w14:paraId="192A1790" w14:textId="77777777" w:rsidR="00625D04" w:rsidRPr="007C33E7" w:rsidRDefault="00625D04" w:rsidP="00625D04">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Onde, em nosso caso</w:t>
      </w:r>
      <w:r w:rsidRPr="007C33E7">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ki</m:t>
            </m:r>
          </m:sub>
        </m:sSub>
      </m:oMath>
      <w:r>
        <w:rPr>
          <w:rFonts w:ascii="Times New Roman" w:hAnsi="Times New Roman" w:cs="Times New Roman"/>
          <w:sz w:val="24"/>
          <w:szCs w:val="24"/>
        </w:rPr>
        <w:t xml:space="preserve"> </w:t>
      </w:r>
      <w:r w:rsidRPr="007C33E7">
        <w:rPr>
          <w:rFonts w:ascii="Times New Roman" w:hAnsi="Times New Roman" w:cs="Times New Roman"/>
          <w:sz w:val="24"/>
          <w:szCs w:val="24"/>
        </w:rPr>
        <w:t xml:space="preserve">= emprego no setor k na </w:t>
      </w:r>
      <w:r>
        <w:rPr>
          <w:rFonts w:ascii="Times New Roman" w:hAnsi="Times New Roman" w:cs="Times New Roman"/>
          <w:sz w:val="24"/>
          <w:szCs w:val="24"/>
        </w:rPr>
        <w:t>microrregião</w:t>
      </w:r>
      <w:r w:rsidRPr="007C33E7">
        <w:rPr>
          <w:rFonts w:ascii="Times New Roman" w:hAnsi="Times New Roman" w:cs="Times New Roman"/>
          <w:sz w:val="24"/>
          <w:szCs w:val="24"/>
        </w:rPr>
        <w:t xml:space="preserve"> i;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i</m:t>
            </m:r>
          </m:sub>
        </m:sSub>
      </m:oMath>
      <w:r w:rsidRPr="007C33E7">
        <w:rPr>
          <w:rFonts w:ascii="Times New Roman" w:hAnsi="Times New Roman" w:cs="Times New Roman"/>
          <w:sz w:val="24"/>
          <w:szCs w:val="24"/>
        </w:rPr>
        <w:t xml:space="preserve"> = emprego na </w:t>
      </w:r>
      <w:r>
        <w:rPr>
          <w:rFonts w:ascii="Times New Roman" w:hAnsi="Times New Roman" w:cs="Times New Roman"/>
          <w:sz w:val="24"/>
          <w:szCs w:val="24"/>
        </w:rPr>
        <w:t>microrregião</w:t>
      </w:r>
      <w:r w:rsidRPr="007C33E7">
        <w:rPr>
          <w:rFonts w:ascii="Times New Roman" w:hAnsi="Times New Roman" w:cs="Times New Roman"/>
          <w:sz w:val="24"/>
          <w:szCs w:val="24"/>
        </w:rPr>
        <w:t xml:space="preserve"> i;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k</m:t>
            </m:r>
          </m:sub>
        </m:sSub>
      </m:oMath>
      <w:r w:rsidRPr="007C33E7">
        <w:rPr>
          <w:rFonts w:ascii="Times New Roman" w:hAnsi="Times New Roman" w:cs="Times New Roman"/>
          <w:sz w:val="24"/>
          <w:szCs w:val="24"/>
        </w:rPr>
        <w:t xml:space="preserve"> = emprego no setor k; </w:t>
      </w:r>
      <m:oMath>
        <m:r>
          <w:rPr>
            <w:rFonts w:ascii="Cambria Math" w:hAnsi="Cambria Math" w:cs="Times New Roman"/>
            <w:sz w:val="24"/>
            <w:szCs w:val="24"/>
          </w:rPr>
          <m:t>E</m:t>
        </m:r>
      </m:oMath>
      <w:r w:rsidRPr="007C33E7">
        <w:rPr>
          <w:rFonts w:ascii="Times New Roman" w:hAnsi="Times New Roman" w:cs="Times New Roman"/>
          <w:sz w:val="24"/>
          <w:szCs w:val="24"/>
        </w:rPr>
        <w:t xml:space="preserve"> = emprego em todo o </w:t>
      </w:r>
      <w:r>
        <w:rPr>
          <w:rFonts w:ascii="Times New Roman" w:hAnsi="Times New Roman" w:cs="Times New Roman"/>
          <w:sz w:val="24"/>
          <w:szCs w:val="24"/>
        </w:rPr>
        <w:t>estado</w:t>
      </w:r>
      <w:r w:rsidRPr="007C33E7">
        <w:rPr>
          <w:rFonts w:ascii="Times New Roman" w:hAnsi="Times New Roman" w:cs="Times New Roman"/>
          <w:sz w:val="24"/>
          <w:szCs w:val="24"/>
        </w:rPr>
        <w:t>;</w:t>
      </w:r>
    </w:p>
    <w:p w14:paraId="7ED6BF1C" w14:textId="77777777" w:rsidR="00625D04" w:rsidRDefault="00625D04" w:rsidP="00625D0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Quando </w:t>
      </w:r>
      <w:r w:rsidRPr="000370E9">
        <w:rPr>
          <w:rFonts w:ascii="Times New Roman" w:hAnsi="Times New Roman" w:cs="Times New Roman"/>
          <w:sz w:val="24"/>
          <w:szCs w:val="24"/>
        </w:rPr>
        <w:t xml:space="preserve">o QL assume valores &gt; 1, </w:t>
      </w:r>
      <w:r>
        <w:rPr>
          <w:rFonts w:ascii="Times New Roman" w:hAnsi="Times New Roman" w:cs="Times New Roman"/>
          <w:sz w:val="24"/>
          <w:szCs w:val="24"/>
        </w:rPr>
        <w:t xml:space="preserve">neste caso, </w:t>
      </w:r>
      <w:r w:rsidRPr="000370E9">
        <w:rPr>
          <w:rFonts w:ascii="Times New Roman" w:hAnsi="Times New Roman" w:cs="Times New Roman"/>
          <w:sz w:val="24"/>
          <w:szCs w:val="24"/>
        </w:rPr>
        <w:t xml:space="preserve">há representatividade do </w:t>
      </w:r>
      <w:r>
        <w:rPr>
          <w:rFonts w:ascii="Times New Roman" w:hAnsi="Times New Roman" w:cs="Times New Roman"/>
          <w:sz w:val="24"/>
          <w:szCs w:val="24"/>
        </w:rPr>
        <w:t>setor</w:t>
      </w:r>
      <w:r w:rsidRPr="000370E9">
        <w:rPr>
          <w:rFonts w:ascii="Times New Roman" w:hAnsi="Times New Roman" w:cs="Times New Roman"/>
          <w:sz w:val="24"/>
          <w:szCs w:val="24"/>
        </w:rPr>
        <w:t xml:space="preserve"> em uma microrregião específica. </w:t>
      </w:r>
      <w:r>
        <w:rPr>
          <w:rFonts w:ascii="Times New Roman" w:hAnsi="Times New Roman" w:cs="Times New Roman"/>
          <w:sz w:val="24"/>
          <w:szCs w:val="24"/>
        </w:rPr>
        <w:t>Ou seja, a microrregião é relativamente mais especializada nesse setor (MONASTÉRIO, 2011). A</w:t>
      </w:r>
      <w:r w:rsidRPr="000370E9">
        <w:rPr>
          <w:rFonts w:ascii="Times New Roman" w:hAnsi="Times New Roman" w:cs="Times New Roman"/>
          <w:sz w:val="24"/>
          <w:szCs w:val="24"/>
        </w:rPr>
        <w:t xml:space="preserve"> interpretação dos resultados mostra que quando o QL ≥ 1 o parâmetro é significativo indicando os </w:t>
      </w:r>
      <w:r>
        <w:rPr>
          <w:rFonts w:ascii="Times New Roman" w:hAnsi="Times New Roman" w:cs="Times New Roman"/>
          <w:sz w:val="24"/>
          <w:szCs w:val="24"/>
        </w:rPr>
        <w:t>setores</w:t>
      </w:r>
      <w:r w:rsidRPr="000370E9">
        <w:rPr>
          <w:rFonts w:ascii="Times New Roman" w:hAnsi="Times New Roman" w:cs="Times New Roman"/>
          <w:sz w:val="24"/>
          <w:szCs w:val="24"/>
        </w:rPr>
        <w:t xml:space="preserve"> de atividade que são de exportação</w:t>
      </w:r>
      <w:r>
        <w:rPr>
          <w:rFonts w:ascii="Times New Roman" w:hAnsi="Times New Roman" w:cs="Times New Roman"/>
          <w:sz w:val="24"/>
          <w:szCs w:val="24"/>
        </w:rPr>
        <w:t>. Ao passo que</w:t>
      </w:r>
      <w:r w:rsidRPr="000370E9">
        <w:rPr>
          <w:rFonts w:ascii="Times New Roman" w:hAnsi="Times New Roman" w:cs="Times New Roman"/>
          <w:sz w:val="24"/>
          <w:szCs w:val="24"/>
        </w:rPr>
        <w:t>, quando o QL &lt; 1, as atividades são não-básicas ou endógenas, sem efeitos de exportação ou repercussão sobre as outras áreas</w:t>
      </w:r>
      <w:r>
        <w:rPr>
          <w:rFonts w:ascii="Times New Roman" w:hAnsi="Times New Roman" w:cs="Times New Roman"/>
          <w:sz w:val="24"/>
          <w:szCs w:val="24"/>
        </w:rPr>
        <w:t>.</w:t>
      </w:r>
      <w:r w:rsidRPr="000370E9">
        <w:rPr>
          <w:rFonts w:ascii="Times New Roman" w:hAnsi="Times New Roman" w:cs="Times New Roman"/>
          <w:sz w:val="24"/>
          <w:szCs w:val="24"/>
        </w:rPr>
        <w:t xml:space="preserve"> Quando os valores se encontram entre 0,50 ≤ QL ≤ 0,99 o grau de exportação é médio, enquanto QL ≤ 0,49 é </w:t>
      </w:r>
      <w:r>
        <w:rPr>
          <w:rFonts w:ascii="Times New Roman" w:hAnsi="Times New Roman" w:cs="Times New Roman"/>
          <w:sz w:val="24"/>
          <w:szCs w:val="24"/>
        </w:rPr>
        <w:t>considerado</w:t>
      </w:r>
      <w:r w:rsidRPr="000370E9">
        <w:rPr>
          <w:rFonts w:ascii="Times New Roman" w:hAnsi="Times New Roman" w:cs="Times New Roman"/>
          <w:sz w:val="24"/>
          <w:szCs w:val="24"/>
        </w:rPr>
        <w:t xml:space="preserve"> como </w:t>
      </w:r>
      <w:r>
        <w:rPr>
          <w:rFonts w:ascii="Times New Roman" w:hAnsi="Times New Roman" w:cs="Times New Roman"/>
          <w:sz w:val="24"/>
          <w:szCs w:val="24"/>
        </w:rPr>
        <w:t>baixo</w:t>
      </w:r>
      <w:r w:rsidRPr="000370E9">
        <w:rPr>
          <w:rFonts w:ascii="Times New Roman" w:hAnsi="Times New Roman" w:cs="Times New Roman"/>
          <w:sz w:val="24"/>
          <w:szCs w:val="24"/>
        </w:rPr>
        <w:t xml:space="preserve"> o grau de representatividade. (HADDAD, 1989).</w:t>
      </w:r>
      <w:r>
        <w:rPr>
          <w:rFonts w:ascii="Times New Roman" w:hAnsi="Times New Roman" w:cs="Times New Roman"/>
          <w:sz w:val="24"/>
          <w:szCs w:val="24"/>
        </w:rPr>
        <w:t xml:space="preserve"> </w:t>
      </w:r>
      <w:r w:rsidRPr="000370E9">
        <w:rPr>
          <w:rFonts w:ascii="Times New Roman" w:hAnsi="Times New Roman" w:cs="Times New Roman"/>
          <w:sz w:val="24"/>
          <w:szCs w:val="24"/>
        </w:rPr>
        <w:tab/>
      </w:r>
      <w:r>
        <w:rPr>
          <w:rFonts w:ascii="Times New Roman" w:hAnsi="Times New Roman" w:cs="Times New Roman"/>
          <w:sz w:val="24"/>
          <w:szCs w:val="24"/>
        </w:rPr>
        <w:t xml:space="preserve">Segundo Monastério (2011), a interpretação do quociente locacional exige cuidados. Considerando </w:t>
      </w:r>
      <w:r w:rsidRPr="002C1DAE">
        <w:rPr>
          <w:rFonts w:ascii="Times New Roman" w:hAnsi="Times New Roman" w:cs="Times New Roman"/>
          <w:sz w:val="24"/>
          <w:szCs w:val="24"/>
        </w:rPr>
        <w:t xml:space="preserve">uma região </w:t>
      </w:r>
      <w:r>
        <w:rPr>
          <w:rFonts w:ascii="Times New Roman" w:hAnsi="Times New Roman" w:cs="Times New Roman"/>
          <w:sz w:val="24"/>
          <w:szCs w:val="24"/>
        </w:rPr>
        <w:t>que possui</w:t>
      </w:r>
      <w:r w:rsidRPr="002C1DAE">
        <w:rPr>
          <w:rFonts w:ascii="Times New Roman" w:hAnsi="Times New Roman" w:cs="Times New Roman"/>
          <w:sz w:val="24"/>
          <w:szCs w:val="24"/>
        </w:rPr>
        <w:t xml:space="preserve"> um</w:t>
      </w:r>
      <w:r>
        <w:rPr>
          <w:rFonts w:ascii="Times New Roman" w:hAnsi="Times New Roman" w:cs="Times New Roman"/>
          <w:sz w:val="24"/>
          <w:szCs w:val="24"/>
        </w:rPr>
        <w:t xml:space="preserve">a </w:t>
      </w:r>
      <w:r w:rsidRPr="002C1DAE">
        <w:rPr>
          <w:rFonts w:ascii="Times New Roman" w:hAnsi="Times New Roman" w:cs="Times New Roman"/>
          <w:sz w:val="24"/>
          <w:szCs w:val="24"/>
        </w:rPr>
        <w:t xml:space="preserve">tecnologia mais </w:t>
      </w:r>
      <w:r>
        <w:rPr>
          <w:rFonts w:ascii="Times New Roman" w:hAnsi="Times New Roman" w:cs="Times New Roman"/>
          <w:sz w:val="24"/>
          <w:szCs w:val="24"/>
        </w:rPr>
        <w:t>acentuada</w:t>
      </w:r>
      <w:r w:rsidRPr="002C1DAE">
        <w:rPr>
          <w:rFonts w:ascii="Times New Roman" w:hAnsi="Times New Roman" w:cs="Times New Roman"/>
          <w:sz w:val="24"/>
          <w:szCs w:val="24"/>
        </w:rPr>
        <w:t xml:space="preserve"> em trabalho </w:t>
      </w:r>
      <w:r>
        <w:rPr>
          <w:rFonts w:ascii="Times New Roman" w:hAnsi="Times New Roman" w:cs="Times New Roman"/>
          <w:sz w:val="24"/>
          <w:szCs w:val="24"/>
        </w:rPr>
        <w:t xml:space="preserve">em comparação com outras </w:t>
      </w:r>
      <w:r w:rsidRPr="002C1DAE">
        <w:rPr>
          <w:rFonts w:ascii="Times New Roman" w:hAnsi="Times New Roman" w:cs="Times New Roman"/>
          <w:sz w:val="24"/>
          <w:szCs w:val="24"/>
        </w:rPr>
        <w:t xml:space="preserve">regiões, seu QL pode ser </w:t>
      </w:r>
      <w:r>
        <w:rPr>
          <w:rFonts w:ascii="Times New Roman" w:hAnsi="Times New Roman" w:cs="Times New Roman"/>
          <w:sz w:val="24"/>
          <w:szCs w:val="24"/>
        </w:rPr>
        <w:t>errôneo</w:t>
      </w:r>
      <w:r w:rsidRPr="002C1DAE">
        <w:rPr>
          <w:rFonts w:ascii="Times New Roman" w:hAnsi="Times New Roman" w:cs="Times New Roman"/>
          <w:sz w:val="24"/>
          <w:szCs w:val="24"/>
        </w:rPr>
        <w:t xml:space="preserve">, sugerindo exportações que não </w:t>
      </w:r>
      <w:r>
        <w:rPr>
          <w:rFonts w:ascii="Times New Roman" w:hAnsi="Times New Roman" w:cs="Times New Roman"/>
          <w:sz w:val="24"/>
          <w:szCs w:val="24"/>
        </w:rPr>
        <w:t>há</w:t>
      </w:r>
      <w:r w:rsidRPr="002C1DAE">
        <w:rPr>
          <w:rFonts w:ascii="Times New Roman" w:hAnsi="Times New Roman" w:cs="Times New Roman"/>
          <w:sz w:val="24"/>
          <w:szCs w:val="24"/>
        </w:rPr>
        <w:t xml:space="preserve">. Da mesma </w:t>
      </w:r>
      <w:r>
        <w:rPr>
          <w:rFonts w:ascii="Times New Roman" w:hAnsi="Times New Roman" w:cs="Times New Roman"/>
          <w:sz w:val="24"/>
          <w:szCs w:val="24"/>
        </w:rPr>
        <w:t>maneira</w:t>
      </w:r>
      <w:r w:rsidRPr="002C1DAE">
        <w:rPr>
          <w:rFonts w:ascii="Times New Roman" w:hAnsi="Times New Roman" w:cs="Times New Roman"/>
          <w:sz w:val="24"/>
          <w:szCs w:val="24"/>
        </w:rPr>
        <w:t xml:space="preserve">, caso </w:t>
      </w:r>
      <w:r>
        <w:rPr>
          <w:rFonts w:ascii="Times New Roman" w:hAnsi="Times New Roman" w:cs="Times New Roman"/>
          <w:sz w:val="24"/>
          <w:szCs w:val="24"/>
        </w:rPr>
        <w:t>tenha</w:t>
      </w:r>
      <w:r w:rsidRPr="002C1DAE">
        <w:rPr>
          <w:rFonts w:ascii="Times New Roman" w:hAnsi="Times New Roman" w:cs="Times New Roman"/>
          <w:sz w:val="24"/>
          <w:szCs w:val="24"/>
        </w:rPr>
        <w:t xml:space="preserve"> uma </w:t>
      </w:r>
      <w:r>
        <w:rPr>
          <w:rFonts w:ascii="Times New Roman" w:hAnsi="Times New Roman" w:cs="Times New Roman"/>
          <w:sz w:val="24"/>
          <w:szCs w:val="24"/>
        </w:rPr>
        <w:t>distinção</w:t>
      </w:r>
      <w:r w:rsidRPr="002C1DAE">
        <w:rPr>
          <w:rFonts w:ascii="Times New Roman" w:hAnsi="Times New Roman" w:cs="Times New Roman"/>
          <w:sz w:val="24"/>
          <w:szCs w:val="24"/>
        </w:rPr>
        <w:t xml:space="preserve"> sensível no padrão </w:t>
      </w:r>
      <w:r>
        <w:rPr>
          <w:rFonts w:ascii="Times New Roman" w:hAnsi="Times New Roman" w:cs="Times New Roman"/>
          <w:sz w:val="24"/>
          <w:szCs w:val="24"/>
        </w:rPr>
        <w:t>da procura</w:t>
      </w:r>
      <w:r w:rsidRPr="002C1DAE">
        <w:rPr>
          <w:rFonts w:ascii="Times New Roman" w:hAnsi="Times New Roman" w:cs="Times New Roman"/>
          <w:sz w:val="24"/>
          <w:szCs w:val="24"/>
        </w:rPr>
        <w:t xml:space="preserve"> local, o QL também poderá ser</w:t>
      </w:r>
      <w:r>
        <w:rPr>
          <w:rFonts w:ascii="Times New Roman" w:hAnsi="Times New Roman" w:cs="Times New Roman"/>
          <w:sz w:val="24"/>
          <w:szCs w:val="24"/>
        </w:rPr>
        <w:t xml:space="preserve"> superior a</w:t>
      </w:r>
      <w:r w:rsidRPr="002C1DAE">
        <w:rPr>
          <w:rFonts w:ascii="Times New Roman" w:hAnsi="Times New Roman" w:cs="Times New Roman"/>
          <w:sz w:val="24"/>
          <w:szCs w:val="24"/>
        </w:rPr>
        <w:t xml:space="preserve"> 1, e a região ser uma importadora do bem. Além disso, o QL é bastante sensível ao </w:t>
      </w:r>
      <w:r>
        <w:rPr>
          <w:rFonts w:ascii="Times New Roman" w:hAnsi="Times New Roman" w:cs="Times New Roman"/>
          <w:sz w:val="24"/>
          <w:szCs w:val="24"/>
        </w:rPr>
        <w:t>ponto</w:t>
      </w:r>
      <w:r w:rsidRPr="002C1DAE">
        <w:rPr>
          <w:rFonts w:ascii="Times New Roman" w:hAnsi="Times New Roman" w:cs="Times New Roman"/>
          <w:sz w:val="24"/>
          <w:szCs w:val="24"/>
        </w:rPr>
        <w:t xml:space="preserve"> de análise e a</w:t>
      </w:r>
      <w:r>
        <w:rPr>
          <w:rFonts w:ascii="Times New Roman" w:hAnsi="Times New Roman" w:cs="Times New Roman"/>
          <w:sz w:val="24"/>
          <w:szCs w:val="24"/>
        </w:rPr>
        <w:t xml:space="preserve"> medida </w:t>
      </w:r>
      <w:r w:rsidRPr="002C1DAE">
        <w:rPr>
          <w:rFonts w:ascii="Times New Roman" w:hAnsi="Times New Roman" w:cs="Times New Roman"/>
          <w:sz w:val="24"/>
          <w:szCs w:val="24"/>
        </w:rPr>
        <w:t xml:space="preserve">de detalhamento </w:t>
      </w:r>
      <w:r>
        <w:rPr>
          <w:rFonts w:ascii="Times New Roman" w:hAnsi="Times New Roman" w:cs="Times New Roman"/>
          <w:sz w:val="24"/>
          <w:szCs w:val="24"/>
        </w:rPr>
        <w:t>dos setores</w:t>
      </w:r>
      <w:r w:rsidRPr="002C1DAE">
        <w:rPr>
          <w:rFonts w:ascii="Times New Roman" w:hAnsi="Times New Roman" w:cs="Times New Roman"/>
          <w:sz w:val="24"/>
          <w:szCs w:val="24"/>
        </w:rPr>
        <w:t xml:space="preserve">. </w:t>
      </w:r>
      <w:r>
        <w:rPr>
          <w:rFonts w:ascii="Times New Roman" w:hAnsi="Times New Roman" w:cs="Times New Roman"/>
          <w:sz w:val="24"/>
          <w:szCs w:val="24"/>
        </w:rPr>
        <w:t>Em maiores aglomerações</w:t>
      </w:r>
      <w:r w:rsidRPr="002C1DAE">
        <w:rPr>
          <w:rFonts w:ascii="Times New Roman" w:hAnsi="Times New Roman" w:cs="Times New Roman"/>
          <w:sz w:val="24"/>
          <w:szCs w:val="24"/>
        </w:rPr>
        <w:t xml:space="preserve">, o indicador tende a </w:t>
      </w:r>
      <w:r>
        <w:rPr>
          <w:rFonts w:ascii="Times New Roman" w:hAnsi="Times New Roman" w:cs="Times New Roman"/>
          <w:sz w:val="24"/>
          <w:szCs w:val="24"/>
        </w:rPr>
        <w:t>se direcionar</w:t>
      </w:r>
      <w:r w:rsidRPr="002C1DAE">
        <w:rPr>
          <w:rFonts w:ascii="Times New Roman" w:hAnsi="Times New Roman" w:cs="Times New Roman"/>
          <w:sz w:val="24"/>
          <w:szCs w:val="24"/>
        </w:rPr>
        <w:t xml:space="preserve"> para </w:t>
      </w:r>
      <w:r>
        <w:rPr>
          <w:rFonts w:ascii="Times New Roman" w:hAnsi="Times New Roman" w:cs="Times New Roman"/>
          <w:sz w:val="24"/>
          <w:szCs w:val="24"/>
        </w:rPr>
        <w:t>o valor um</w:t>
      </w:r>
      <w:r w:rsidRPr="002C1DAE">
        <w:rPr>
          <w:rFonts w:ascii="Times New Roman" w:hAnsi="Times New Roman" w:cs="Times New Roman"/>
          <w:sz w:val="24"/>
          <w:szCs w:val="24"/>
        </w:rPr>
        <w:t>.</w:t>
      </w:r>
    </w:p>
    <w:p w14:paraId="0F6E802C" w14:textId="77777777" w:rsidR="00625D04" w:rsidRDefault="00625D04" w:rsidP="00625D0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Conforme Haddad (1989) o Coeficiente de Localização (CL), por sua vez, </w:t>
      </w:r>
      <w:r w:rsidRPr="0084592F">
        <w:rPr>
          <w:rFonts w:ascii="Times New Roman" w:hAnsi="Times New Roman" w:cs="Times New Roman"/>
          <w:sz w:val="24"/>
          <w:szCs w:val="24"/>
        </w:rPr>
        <w:t>relaciona a distribuição percentual da mão</w:t>
      </w:r>
      <w:r>
        <w:rPr>
          <w:rFonts w:ascii="Times New Roman" w:hAnsi="Times New Roman" w:cs="Times New Roman"/>
          <w:sz w:val="24"/>
          <w:szCs w:val="24"/>
        </w:rPr>
        <w:t xml:space="preserve"> </w:t>
      </w:r>
      <w:r w:rsidRPr="0084592F">
        <w:rPr>
          <w:rFonts w:ascii="Times New Roman" w:hAnsi="Times New Roman" w:cs="Times New Roman"/>
          <w:sz w:val="24"/>
          <w:szCs w:val="24"/>
        </w:rPr>
        <w:t>de</w:t>
      </w:r>
      <w:r>
        <w:rPr>
          <w:rFonts w:ascii="Times New Roman" w:hAnsi="Times New Roman" w:cs="Times New Roman"/>
          <w:sz w:val="24"/>
          <w:szCs w:val="24"/>
        </w:rPr>
        <w:t xml:space="preserve"> </w:t>
      </w:r>
      <w:r w:rsidRPr="0084592F">
        <w:rPr>
          <w:rFonts w:ascii="Times New Roman" w:hAnsi="Times New Roman" w:cs="Times New Roman"/>
          <w:sz w:val="24"/>
          <w:szCs w:val="24"/>
        </w:rPr>
        <w:t xml:space="preserve">obra num dado setor entre as </w:t>
      </w:r>
      <w:r>
        <w:rPr>
          <w:rFonts w:ascii="Times New Roman" w:hAnsi="Times New Roman" w:cs="Times New Roman"/>
          <w:sz w:val="24"/>
          <w:szCs w:val="24"/>
        </w:rPr>
        <w:t>microrregiões</w:t>
      </w:r>
      <w:r w:rsidRPr="0084592F">
        <w:rPr>
          <w:rFonts w:ascii="Times New Roman" w:hAnsi="Times New Roman" w:cs="Times New Roman"/>
          <w:sz w:val="24"/>
          <w:szCs w:val="24"/>
        </w:rPr>
        <w:t>, com a distribuição percentual da mão</w:t>
      </w:r>
      <w:r>
        <w:rPr>
          <w:rFonts w:ascii="Times New Roman" w:hAnsi="Times New Roman" w:cs="Times New Roman"/>
          <w:sz w:val="24"/>
          <w:szCs w:val="24"/>
        </w:rPr>
        <w:t xml:space="preserve"> </w:t>
      </w:r>
      <w:r w:rsidRPr="0084592F">
        <w:rPr>
          <w:rFonts w:ascii="Times New Roman" w:hAnsi="Times New Roman" w:cs="Times New Roman"/>
          <w:sz w:val="24"/>
          <w:szCs w:val="24"/>
        </w:rPr>
        <w:t>de</w:t>
      </w:r>
      <w:r>
        <w:rPr>
          <w:rFonts w:ascii="Times New Roman" w:hAnsi="Times New Roman" w:cs="Times New Roman"/>
          <w:sz w:val="24"/>
          <w:szCs w:val="24"/>
        </w:rPr>
        <w:t xml:space="preserve"> </w:t>
      </w:r>
      <w:r w:rsidRPr="0084592F">
        <w:rPr>
          <w:rFonts w:ascii="Times New Roman" w:hAnsi="Times New Roman" w:cs="Times New Roman"/>
          <w:sz w:val="24"/>
          <w:szCs w:val="24"/>
        </w:rPr>
        <w:t xml:space="preserve">obra do estado. </w:t>
      </w:r>
      <w:r>
        <w:rPr>
          <w:rFonts w:ascii="Times New Roman" w:hAnsi="Times New Roman" w:cs="Times New Roman"/>
          <w:sz w:val="24"/>
          <w:szCs w:val="24"/>
        </w:rPr>
        <w:t>Seu cálculo é dado por:</w:t>
      </w:r>
    </w:p>
    <w:tbl>
      <w:tblPr>
        <w:tblStyle w:val="Tabelacomgrade"/>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
        <w:gridCol w:w="7950"/>
        <w:gridCol w:w="567"/>
      </w:tblGrid>
      <w:tr w:rsidR="00625D04" w14:paraId="155F71BD" w14:textId="77777777" w:rsidTr="008B6F9B">
        <w:trPr>
          <w:trHeight w:val="743"/>
        </w:trPr>
        <w:tc>
          <w:tcPr>
            <w:tcW w:w="550" w:type="dxa"/>
          </w:tcPr>
          <w:p w14:paraId="1D37DA26" w14:textId="77777777" w:rsidR="00625D04" w:rsidRDefault="00625D04" w:rsidP="008B6F9B">
            <w:pPr>
              <w:spacing w:line="360" w:lineRule="auto"/>
              <w:jc w:val="both"/>
              <w:rPr>
                <w:rFonts w:ascii="Times New Roman" w:hAnsi="Times New Roman" w:cs="Times New Roman"/>
                <w:sz w:val="24"/>
                <w:szCs w:val="24"/>
              </w:rPr>
            </w:pPr>
          </w:p>
        </w:tc>
        <w:tc>
          <w:tcPr>
            <w:tcW w:w="7950" w:type="dxa"/>
            <w:vAlign w:val="center"/>
          </w:tcPr>
          <w:p w14:paraId="02B8A632" w14:textId="77777777" w:rsidR="00625D04" w:rsidRPr="007C33E7" w:rsidRDefault="00625D04" w:rsidP="008B6F9B">
            <w:pPr>
              <w:spacing w:line="360" w:lineRule="auto"/>
              <w:jc w:val="center"/>
              <w:rPr>
                <w:rFonts w:ascii="Times New Roman" w:eastAsiaTheme="minorEastAsia" w:hAnsi="Times New Roman" w:cs="Times New Roman"/>
                <w:sz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CL</m:t>
                    </m:r>
                  </m:e>
                  <m:sub>
                    <m:r>
                      <w:rPr>
                        <w:rFonts w:ascii="Cambria Math" w:hAnsi="Cambria Math" w:cs="Times New Roman"/>
                        <w:sz w:val="24"/>
                        <w:szCs w:val="24"/>
                      </w:rPr>
                      <m:t>k</m:t>
                    </m:r>
                  </m:sub>
                </m:sSub>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i</m:t>
                    </m:r>
                  </m:sub>
                  <m:sup/>
                  <m:e>
                    <m:d>
                      <m:dPr>
                        <m:begChr m:val="|"/>
                        <m:endChr m:val="|"/>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ki</m:t>
                                </m:r>
                              </m:sub>
                            </m:sSub>
                          </m:num>
                          <m:den>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k</m:t>
                                </m:r>
                              </m:sub>
                            </m:sSub>
                          </m:den>
                        </m:f>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i</m:t>
                                </m:r>
                              </m:sub>
                            </m:sSub>
                          </m:num>
                          <m:den>
                            <m:r>
                              <w:rPr>
                                <w:rFonts w:ascii="Cambria Math" w:hAnsi="Cambria Math" w:cs="Times New Roman"/>
                                <w:sz w:val="24"/>
                                <w:szCs w:val="24"/>
                              </w:rPr>
                              <m:t>E</m:t>
                            </m:r>
                          </m:den>
                        </m:f>
                      </m:e>
                    </m:d>
                  </m:e>
                </m:nary>
              </m:oMath>
            </m:oMathPara>
          </w:p>
        </w:tc>
        <w:tc>
          <w:tcPr>
            <w:tcW w:w="567" w:type="dxa"/>
            <w:vAlign w:val="center"/>
          </w:tcPr>
          <w:p w14:paraId="00CC7D19" w14:textId="77777777" w:rsidR="00625D04" w:rsidRDefault="00625D04" w:rsidP="008B6F9B">
            <w:pPr>
              <w:spacing w:line="360" w:lineRule="auto"/>
              <w:jc w:val="right"/>
              <w:rPr>
                <w:rFonts w:ascii="Times New Roman" w:eastAsiaTheme="minorEastAsia" w:hAnsi="Times New Roman" w:cs="Times New Roman"/>
                <w:sz w:val="24"/>
                <w:szCs w:val="24"/>
              </w:rPr>
            </w:pPr>
          </w:p>
          <w:p w14:paraId="3FE7CCA6" w14:textId="77777777" w:rsidR="00625D04" w:rsidRDefault="00625D04" w:rsidP="008B6F9B">
            <w:pPr>
              <w:spacing w:line="360" w:lineRule="auto"/>
              <w:jc w:val="right"/>
              <w:rPr>
                <w:rFonts w:ascii="Times New Roman" w:hAnsi="Times New Roman" w:cs="Times New Roman"/>
                <w:sz w:val="24"/>
                <w:szCs w:val="24"/>
              </w:rPr>
            </w:pPr>
            <w:r>
              <w:rPr>
                <w:rFonts w:ascii="Times New Roman" w:eastAsiaTheme="minorEastAsia" w:hAnsi="Times New Roman" w:cs="Times New Roman"/>
                <w:sz w:val="24"/>
                <w:szCs w:val="24"/>
              </w:rPr>
              <w:t>(2)</w:t>
            </w:r>
          </w:p>
          <w:p w14:paraId="3AA2DF5B" w14:textId="77777777" w:rsidR="00625D04" w:rsidRDefault="00625D04" w:rsidP="008B6F9B">
            <w:pPr>
              <w:spacing w:line="360" w:lineRule="auto"/>
              <w:jc w:val="right"/>
              <w:rPr>
                <w:rFonts w:ascii="Times New Roman" w:hAnsi="Times New Roman" w:cs="Times New Roman"/>
                <w:sz w:val="24"/>
                <w:szCs w:val="24"/>
              </w:rPr>
            </w:pPr>
          </w:p>
        </w:tc>
      </w:tr>
    </w:tbl>
    <w:p w14:paraId="099B24AC" w14:textId="77777777" w:rsidR="00625D04" w:rsidRPr="007C33E7" w:rsidRDefault="00625D04" w:rsidP="00625D0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Onde,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ki</m:t>
            </m:r>
          </m:sub>
        </m:sSub>
      </m:oMath>
      <w:r>
        <w:rPr>
          <w:rFonts w:ascii="Times New Roman" w:hAnsi="Times New Roman" w:cs="Times New Roman"/>
          <w:sz w:val="24"/>
          <w:szCs w:val="24"/>
        </w:rPr>
        <w:t xml:space="preserve"> </w:t>
      </w:r>
      <w:r w:rsidRPr="007C33E7">
        <w:rPr>
          <w:rFonts w:ascii="Times New Roman" w:hAnsi="Times New Roman" w:cs="Times New Roman"/>
          <w:sz w:val="24"/>
          <w:szCs w:val="24"/>
        </w:rPr>
        <w:t xml:space="preserve">= emprego no setor k na </w:t>
      </w:r>
      <w:r>
        <w:rPr>
          <w:rFonts w:ascii="Times New Roman" w:hAnsi="Times New Roman" w:cs="Times New Roman"/>
          <w:sz w:val="24"/>
          <w:szCs w:val="24"/>
        </w:rPr>
        <w:t>microrregião</w:t>
      </w:r>
      <w:r w:rsidRPr="007C33E7">
        <w:rPr>
          <w:rFonts w:ascii="Times New Roman" w:hAnsi="Times New Roman" w:cs="Times New Roman"/>
          <w:sz w:val="24"/>
          <w:szCs w:val="24"/>
        </w:rPr>
        <w:t xml:space="preserve"> i;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i</m:t>
            </m:r>
          </m:sub>
        </m:sSub>
      </m:oMath>
      <w:r w:rsidRPr="007C33E7">
        <w:rPr>
          <w:rFonts w:ascii="Times New Roman" w:hAnsi="Times New Roman" w:cs="Times New Roman"/>
          <w:sz w:val="24"/>
          <w:szCs w:val="24"/>
        </w:rPr>
        <w:t xml:space="preserve"> = emprego na </w:t>
      </w:r>
      <w:r>
        <w:rPr>
          <w:rFonts w:ascii="Times New Roman" w:hAnsi="Times New Roman" w:cs="Times New Roman"/>
          <w:sz w:val="24"/>
          <w:szCs w:val="24"/>
        </w:rPr>
        <w:t>microrregião</w:t>
      </w:r>
      <w:r w:rsidRPr="007C33E7">
        <w:rPr>
          <w:rFonts w:ascii="Times New Roman" w:hAnsi="Times New Roman" w:cs="Times New Roman"/>
          <w:sz w:val="24"/>
          <w:szCs w:val="24"/>
        </w:rPr>
        <w:t xml:space="preserve"> i;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k</m:t>
            </m:r>
          </m:sub>
        </m:sSub>
      </m:oMath>
      <w:r w:rsidRPr="007C33E7">
        <w:rPr>
          <w:rFonts w:ascii="Times New Roman" w:hAnsi="Times New Roman" w:cs="Times New Roman"/>
          <w:sz w:val="24"/>
          <w:szCs w:val="24"/>
        </w:rPr>
        <w:t xml:space="preserve"> = emprego no setor k; </w:t>
      </w:r>
      <m:oMath>
        <m:r>
          <w:rPr>
            <w:rFonts w:ascii="Cambria Math" w:hAnsi="Cambria Math" w:cs="Times New Roman"/>
            <w:sz w:val="24"/>
            <w:szCs w:val="24"/>
          </w:rPr>
          <m:t>E</m:t>
        </m:r>
      </m:oMath>
      <w:r w:rsidRPr="007C33E7">
        <w:rPr>
          <w:rFonts w:ascii="Times New Roman" w:hAnsi="Times New Roman" w:cs="Times New Roman"/>
          <w:sz w:val="24"/>
          <w:szCs w:val="24"/>
        </w:rPr>
        <w:t xml:space="preserve"> = emprego em todo o </w:t>
      </w:r>
      <w:r>
        <w:rPr>
          <w:rFonts w:ascii="Times New Roman" w:hAnsi="Times New Roman" w:cs="Times New Roman"/>
          <w:sz w:val="24"/>
          <w:szCs w:val="24"/>
        </w:rPr>
        <w:t>estado</w:t>
      </w:r>
      <w:r w:rsidRPr="007C33E7">
        <w:rPr>
          <w:rFonts w:ascii="Times New Roman" w:hAnsi="Times New Roman" w:cs="Times New Roman"/>
          <w:sz w:val="24"/>
          <w:szCs w:val="24"/>
        </w:rPr>
        <w:t>;</w:t>
      </w:r>
    </w:p>
    <w:p w14:paraId="1FDA9920" w14:textId="77777777" w:rsidR="00625D04" w:rsidRDefault="00625D04" w:rsidP="00625D0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Sua interpretação é a seguinte: s</w:t>
      </w:r>
      <w:r w:rsidRPr="0084592F">
        <w:rPr>
          <w:rFonts w:ascii="Times New Roman" w:hAnsi="Times New Roman" w:cs="Times New Roman"/>
          <w:sz w:val="24"/>
          <w:szCs w:val="24"/>
        </w:rPr>
        <w:t xml:space="preserve">e o coeficiente de localização for igual a zero (0), </w:t>
      </w:r>
      <w:r>
        <w:rPr>
          <w:rFonts w:ascii="Times New Roman" w:hAnsi="Times New Roman" w:cs="Times New Roman"/>
          <w:sz w:val="24"/>
          <w:szCs w:val="24"/>
        </w:rPr>
        <w:t>quer dizer</w:t>
      </w:r>
      <w:r w:rsidRPr="0084592F">
        <w:rPr>
          <w:rFonts w:ascii="Times New Roman" w:hAnsi="Times New Roman" w:cs="Times New Roman"/>
          <w:sz w:val="24"/>
          <w:szCs w:val="24"/>
        </w:rPr>
        <w:t xml:space="preserve"> que o setor i estará distribuído regionalmente da mesma </w:t>
      </w:r>
      <w:r>
        <w:rPr>
          <w:rFonts w:ascii="Times New Roman" w:hAnsi="Times New Roman" w:cs="Times New Roman"/>
          <w:sz w:val="24"/>
          <w:szCs w:val="24"/>
        </w:rPr>
        <w:t>maneira</w:t>
      </w:r>
      <w:r w:rsidRPr="0084592F">
        <w:rPr>
          <w:rFonts w:ascii="Times New Roman" w:hAnsi="Times New Roman" w:cs="Times New Roman"/>
          <w:sz w:val="24"/>
          <w:szCs w:val="24"/>
        </w:rPr>
        <w:t xml:space="preserve"> que o conjunto de todos os setores. Se o valor for igual a um (1), </w:t>
      </w:r>
      <w:r>
        <w:rPr>
          <w:rFonts w:ascii="Times New Roman" w:hAnsi="Times New Roman" w:cs="Times New Roman"/>
          <w:sz w:val="24"/>
          <w:szCs w:val="24"/>
        </w:rPr>
        <w:t>mostrará</w:t>
      </w:r>
      <w:r w:rsidRPr="0084592F">
        <w:rPr>
          <w:rFonts w:ascii="Times New Roman" w:hAnsi="Times New Roman" w:cs="Times New Roman"/>
          <w:sz w:val="24"/>
          <w:szCs w:val="24"/>
        </w:rPr>
        <w:t xml:space="preserve"> que o setor </w:t>
      </w:r>
      <w:r>
        <w:rPr>
          <w:rFonts w:ascii="Times New Roman" w:hAnsi="Times New Roman" w:cs="Times New Roman"/>
          <w:sz w:val="24"/>
          <w:szCs w:val="24"/>
        </w:rPr>
        <w:t>k</w:t>
      </w:r>
      <w:r w:rsidRPr="0084592F">
        <w:rPr>
          <w:rFonts w:ascii="Times New Roman" w:hAnsi="Times New Roman" w:cs="Times New Roman"/>
          <w:sz w:val="24"/>
          <w:szCs w:val="24"/>
        </w:rPr>
        <w:t xml:space="preserve"> </w:t>
      </w:r>
      <w:r>
        <w:rPr>
          <w:rFonts w:ascii="Times New Roman" w:hAnsi="Times New Roman" w:cs="Times New Roman"/>
          <w:sz w:val="24"/>
          <w:szCs w:val="24"/>
        </w:rPr>
        <w:t>possui</w:t>
      </w:r>
      <w:r w:rsidRPr="0084592F">
        <w:rPr>
          <w:rFonts w:ascii="Times New Roman" w:hAnsi="Times New Roman" w:cs="Times New Roman"/>
          <w:sz w:val="24"/>
          <w:szCs w:val="24"/>
        </w:rPr>
        <w:t xml:space="preserve"> um padrão de concentração regional mais </w:t>
      </w:r>
      <w:r>
        <w:rPr>
          <w:rFonts w:ascii="Times New Roman" w:hAnsi="Times New Roman" w:cs="Times New Roman"/>
          <w:sz w:val="24"/>
          <w:szCs w:val="24"/>
        </w:rPr>
        <w:t>elevado</w:t>
      </w:r>
      <w:r w:rsidRPr="0084592F">
        <w:rPr>
          <w:rFonts w:ascii="Times New Roman" w:hAnsi="Times New Roman" w:cs="Times New Roman"/>
          <w:sz w:val="24"/>
          <w:szCs w:val="24"/>
        </w:rPr>
        <w:t xml:space="preserve"> do que o conjunto de todos os setores</w:t>
      </w:r>
      <w:r>
        <w:rPr>
          <w:rFonts w:ascii="Times New Roman" w:hAnsi="Times New Roman" w:cs="Times New Roman"/>
          <w:sz w:val="24"/>
          <w:szCs w:val="24"/>
        </w:rPr>
        <w:t xml:space="preserve">. Ou seja, se </w:t>
      </w:r>
      <w:r>
        <w:rPr>
          <w:rFonts w:ascii="Times New Roman" w:hAnsi="Times New Roman" w:cs="Times New Roman"/>
          <w:sz w:val="24"/>
          <w:szCs w:val="24"/>
        </w:rPr>
        <w:lastRenderedPageBreak/>
        <w:t>determinado setor k possui CL próximo de 1 significa que ele está bastante concentrado espacialmente. Setores com coeficiente de localização tendendo a zero tem uma distribuição mais homogênea pelas unidades espaciais que foram analisadas (HADDAD, 1989; MONASTÉRIO, 2011).</w:t>
      </w:r>
    </w:p>
    <w:p w14:paraId="203134C6" w14:textId="77777777" w:rsidR="00625D04" w:rsidRDefault="00625D04" w:rsidP="00625D04">
      <w:pPr>
        <w:spacing w:after="0" w:line="360" w:lineRule="auto"/>
        <w:ind w:firstLine="708"/>
        <w:jc w:val="both"/>
        <w:rPr>
          <w:rFonts w:ascii="Times New Roman" w:hAnsi="Times New Roman" w:cs="Times New Roman"/>
          <w:sz w:val="24"/>
          <w:szCs w:val="24"/>
        </w:rPr>
      </w:pPr>
    </w:p>
    <w:p w14:paraId="1AC242BC" w14:textId="77777777" w:rsidR="00625D04" w:rsidRPr="00AA5982" w:rsidRDefault="00625D04" w:rsidP="00625D04">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2</w:t>
      </w:r>
      <w:r w:rsidRPr="00AA5982">
        <w:rPr>
          <w:rFonts w:ascii="Times New Roman" w:hAnsi="Times New Roman" w:cs="Times New Roman"/>
          <w:b/>
          <w:bCs/>
          <w:sz w:val="24"/>
          <w:szCs w:val="24"/>
        </w:rPr>
        <w:t>.</w:t>
      </w:r>
      <w:r>
        <w:rPr>
          <w:rFonts w:ascii="Times New Roman" w:hAnsi="Times New Roman" w:cs="Times New Roman"/>
          <w:b/>
          <w:bCs/>
          <w:sz w:val="24"/>
          <w:szCs w:val="24"/>
        </w:rPr>
        <w:t>2</w:t>
      </w:r>
      <w:r w:rsidRPr="00AA5982">
        <w:rPr>
          <w:rFonts w:ascii="Times New Roman" w:hAnsi="Times New Roman" w:cs="Times New Roman"/>
          <w:b/>
          <w:bCs/>
          <w:sz w:val="24"/>
          <w:szCs w:val="24"/>
        </w:rPr>
        <w:t>. Medidas de Especialização</w:t>
      </w:r>
    </w:p>
    <w:p w14:paraId="2986DF9E" w14:textId="77777777" w:rsidR="00625D04" w:rsidRPr="00AA5982" w:rsidRDefault="00625D04" w:rsidP="00625D04">
      <w:pPr>
        <w:spacing w:after="0" w:line="360" w:lineRule="auto"/>
        <w:jc w:val="both"/>
        <w:rPr>
          <w:rFonts w:ascii="Times New Roman" w:hAnsi="Times New Roman" w:cs="Times New Roman"/>
          <w:sz w:val="24"/>
          <w:szCs w:val="24"/>
        </w:rPr>
      </w:pPr>
      <w:r w:rsidRPr="00AA5982">
        <w:rPr>
          <w:rFonts w:ascii="Times New Roman" w:hAnsi="Times New Roman" w:cs="Times New Roman"/>
          <w:sz w:val="24"/>
          <w:szCs w:val="24"/>
        </w:rPr>
        <w:tab/>
        <w:t xml:space="preserve">As medidas de especialização analisam a estrutura produtiva de cada região buscando investigar o grau de especialização e o processo de diversificação das economias regionais (HADDAD, 1989; SIMÕES, 2004). </w:t>
      </w:r>
      <w:r>
        <w:rPr>
          <w:rFonts w:ascii="Times New Roman" w:hAnsi="Times New Roman" w:cs="Times New Roman"/>
          <w:sz w:val="24"/>
          <w:szCs w:val="24"/>
        </w:rPr>
        <w:t>Assim</w:t>
      </w:r>
      <w:r w:rsidRPr="00AA5982">
        <w:rPr>
          <w:rFonts w:ascii="Times New Roman" w:hAnsi="Times New Roman" w:cs="Times New Roman"/>
          <w:sz w:val="24"/>
          <w:szCs w:val="24"/>
        </w:rPr>
        <w:t xml:space="preserve">, foi mensurado o </w:t>
      </w:r>
      <w:r>
        <w:rPr>
          <w:rFonts w:ascii="Times New Roman" w:hAnsi="Times New Roman" w:cs="Times New Roman"/>
          <w:sz w:val="24"/>
          <w:szCs w:val="24"/>
        </w:rPr>
        <w:t>C</w:t>
      </w:r>
      <w:r w:rsidRPr="00AA5982">
        <w:rPr>
          <w:rFonts w:ascii="Times New Roman" w:hAnsi="Times New Roman" w:cs="Times New Roman"/>
          <w:sz w:val="24"/>
          <w:szCs w:val="24"/>
        </w:rPr>
        <w:t xml:space="preserve">oeficiente de </w:t>
      </w:r>
      <w:r>
        <w:rPr>
          <w:rFonts w:ascii="Times New Roman" w:hAnsi="Times New Roman" w:cs="Times New Roman"/>
          <w:sz w:val="24"/>
          <w:szCs w:val="24"/>
        </w:rPr>
        <w:t>E</w:t>
      </w:r>
      <w:r w:rsidRPr="00AA5982">
        <w:rPr>
          <w:rFonts w:ascii="Times New Roman" w:hAnsi="Times New Roman" w:cs="Times New Roman"/>
          <w:sz w:val="24"/>
          <w:szCs w:val="24"/>
        </w:rPr>
        <w:t>specialização</w:t>
      </w:r>
      <w:r>
        <w:rPr>
          <w:rFonts w:ascii="Times New Roman" w:hAnsi="Times New Roman" w:cs="Times New Roman"/>
          <w:sz w:val="24"/>
          <w:szCs w:val="24"/>
        </w:rPr>
        <w:t xml:space="preserve"> (CE)</w:t>
      </w:r>
      <w:r w:rsidRPr="00AA5982">
        <w:rPr>
          <w:rFonts w:ascii="Times New Roman" w:hAnsi="Times New Roman" w:cs="Times New Roman"/>
          <w:sz w:val="24"/>
          <w:szCs w:val="24"/>
        </w:rPr>
        <w:t xml:space="preserve">. </w:t>
      </w:r>
    </w:p>
    <w:p w14:paraId="363D8884" w14:textId="77777777" w:rsidR="00625D04" w:rsidRDefault="00625D04" w:rsidP="00625D04">
      <w:pPr>
        <w:spacing w:after="0" w:line="360" w:lineRule="auto"/>
        <w:ind w:firstLine="708"/>
        <w:jc w:val="both"/>
        <w:rPr>
          <w:rFonts w:ascii="Times New Roman" w:hAnsi="Times New Roman" w:cs="Times New Roman"/>
          <w:sz w:val="24"/>
          <w:szCs w:val="24"/>
        </w:rPr>
      </w:pPr>
      <w:r w:rsidRPr="00AA5982">
        <w:rPr>
          <w:rFonts w:ascii="Times New Roman" w:hAnsi="Times New Roman" w:cs="Times New Roman"/>
          <w:sz w:val="24"/>
          <w:szCs w:val="24"/>
        </w:rPr>
        <w:t xml:space="preserve">Por meio do coeficiente de especialização, é feita uma comparação entre a economia de uma microrregião com a economia do estado como um todo. Este indicador auxilia na identificação de conglomerados de atividades econômicas. </w:t>
      </w:r>
      <w:r>
        <w:rPr>
          <w:rFonts w:ascii="Times New Roman" w:hAnsi="Times New Roman" w:cs="Times New Roman"/>
          <w:sz w:val="24"/>
          <w:szCs w:val="24"/>
        </w:rPr>
        <w:t>Segundo Monastério (2011), o seu</w:t>
      </w:r>
      <w:r w:rsidRPr="00AA5982">
        <w:rPr>
          <w:rFonts w:ascii="Times New Roman" w:hAnsi="Times New Roman" w:cs="Times New Roman"/>
          <w:sz w:val="24"/>
          <w:szCs w:val="24"/>
        </w:rPr>
        <w:t xml:space="preserve"> cálculo é o seguinte para a região i</w:t>
      </w:r>
      <w:r>
        <w:rPr>
          <w:rFonts w:ascii="Times New Roman" w:hAnsi="Times New Roman" w:cs="Times New Roman"/>
          <w:sz w:val="24"/>
          <w:szCs w:val="24"/>
        </w:rPr>
        <w:t>:</w:t>
      </w:r>
    </w:p>
    <w:tbl>
      <w:tblPr>
        <w:tblStyle w:val="Tabelacomgrade"/>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
        <w:gridCol w:w="8019"/>
        <w:gridCol w:w="496"/>
      </w:tblGrid>
      <w:tr w:rsidR="00625D04" w14:paraId="5D9934CC" w14:textId="77777777" w:rsidTr="008B6F9B">
        <w:trPr>
          <w:trHeight w:val="743"/>
        </w:trPr>
        <w:tc>
          <w:tcPr>
            <w:tcW w:w="562" w:type="dxa"/>
          </w:tcPr>
          <w:p w14:paraId="71AAFACE" w14:textId="77777777" w:rsidR="00625D04" w:rsidRDefault="00625D04" w:rsidP="008B6F9B">
            <w:pPr>
              <w:spacing w:line="360" w:lineRule="auto"/>
              <w:jc w:val="both"/>
              <w:rPr>
                <w:rFonts w:ascii="Times New Roman" w:hAnsi="Times New Roman" w:cs="Times New Roman"/>
                <w:sz w:val="24"/>
                <w:szCs w:val="24"/>
              </w:rPr>
            </w:pPr>
          </w:p>
        </w:tc>
        <w:tc>
          <w:tcPr>
            <w:tcW w:w="8222" w:type="dxa"/>
            <w:vAlign w:val="center"/>
          </w:tcPr>
          <w:p w14:paraId="47649C48" w14:textId="77777777" w:rsidR="00625D04" w:rsidRPr="007C33E7" w:rsidRDefault="00625D04" w:rsidP="008B6F9B">
            <w:pPr>
              <w:spacing w:line="360" w:lineRule="auto"/>
              <w:jc w:val="center"/>
              <w:rPr>
                <w:rFonts w:ascii="Times New Roman" w:eastAsiaTheme="minorEastAsia" w:hAnsi="Times New Roman" w:cs="Times New Roman"/>
                <w:sz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CE</m:t>
                    </m:r>
                  </m:e>
                  <m:sub>
                    <m:r>
                      <w:rPr>
                        <w:rFonts w:ascii="Cambria Math" w:hAnsi="Cambria Math" w:cs="Times New Roman"/>
                        <w:sz w:val="24"/>
                        <w:szCs w:val="24"/>
                      </w:rPr>
                      <m:t>i</m:t>
                    </m:r>
                  </m:sub>
                </m:sSub>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k</m:t>
                    </m:r>
                  </m:sub>
                  <m:sup/>
                  <m:e>
                    <m:d>
                      <m:dPr>
                        <m:begChr m:val="|"/>
                        <m:endChr m:val="|"/>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ki</m:t>
                                </m:r>
                              </m:sub>
                            </m:sSub>
                          </m:num>
                          <m:den>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i</m:t>
                                </m:r>
                              </m:sub>
                            </m:sSub>
                          </m:den>
                        </m:f>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k</m:t>
                                </m:r>
                              </m:sub>
                            </m:sSub>
                          </m:num>
                          <m:den>
                            <m:r>
                              <w:rPr>
                                <w:rFonts w:ascii="Cambria Math" w:hAnsi="Cambria Math" w:cs="Times New Roman"/>
                                <w:sz w:val="24"/>
                                <w:szCs w:val="24"/>
                              </w:rPr>
                              <m:t>E</m:t>
                            </m:r>
                          </m:den>
                        </m:f>
                      </m:e>
                    </m:d>
                  </m:e>
                </m:nary>
              </m:oMath>
            </m:oMathPara>
          </w:p>
        </w:tc>
        <w:tc>
          <w:tcPr>
            <w:tcW w:w="283" w:type="dxa"/>
            <w:vAlign w:val="center"/>
          </w:tcPr>
          <w:p w14:paraId="79CC6246" w14:textId="77777777" w:rsidR="00625D04" w:rsidRDefault="00625D04" w:rsidP="008B6F9B">
            <w:pPr>
              <w:spacing w:line="360" w:lineRule="auto"/>
              <w:jc w:val="right"/>
              <w:rPr>
                <w:rFonts w:ascii="Times New Roman" w:eastAsiaTheme="minorEastAsia" w:hAnsi="Times New Roman" w:cs="Times New Roman"/>
                <w:sz w:val="24"/>
                <w:szCs w:val="24"/>
              </w:rPr>
            </w:pPr>
          </w:p>
          <w:p w14:paraId="30E31BC1" w14:textId="77777777" w:rsidR="00625D04" w:rsidRDefault="00625D04" w:rsidP="008B6F9B">
            <w:pPr>
              <w:spacing w:line="360" w:lineRule="auto"/>
              <w:jc w:val="right"/>
              <w:rPr>
                <w:rFonts w:ascii="Times New Roman" w:hAnsi="Times New Roman" w:cs="Times New Roman"/>
                <w:sz w:val="24"/>
                <w:szCs w:val="24"/>
              </w:rPr>
            </w:pPr>
            <w:r>
              <w:rPr>
                <w:rFonts w:ascii="Times New Roman" w:eastAsiaTheme="minorEastAsia" w:hAnsi="Times New Roman" w:cs="Times New Roman"/>
                <w:sz w:val="24"/>
                <w:szCs w:val="24"/>
              </w:rPr>
              <w:t>(3)</w:t>
            </w:r>
          </w:p>
          <w:p w14:paraId="13AC8C90" w14:textId="77777777" w:rsidR="00625D04" w:rsidRDefault="00625D04" w:rsidP="008B6F9B">
            <w:pPr>
              <w:spacing w:line="360" w:lineRule="auto"/>
              <w:jc w:val="right"/>
              <w:rPr>
                <w:rFonts w:ascii="Times New Roman" w:hAnsi="Times New Roman" w:cs="Times New Roman"/>
                <w:sz w:val="24"/>
                <w:szCs w:val="24"/>
              </w:rPr>
            </w:pPr>
          </w:p>
        </w:tc>
      </w:tr>
    </w:tbl>
    <w:p w14:paraId="598B50B2" w14:textId="77777777" w:rsidR="00625D04" w:rsidRPr="007C33E7" w:rsidRDefault="00625D04" w:rsidP="00625D0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Onde,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ki</m:t>
            </m:r>
          </m:sub>
        </m:sSub>
      </m:oMath>
      <w:r>
        <w:rPr>
          <w:rFonts w:ascii="Times New Roman" w:hAnsi="Times New Roman" w:cs="Times New Roman"/>
          <w:sz w:val="24"/>
          <w:szCs w:val="24"/>
        </w:rPr>
        <w:t xml:space="preserve"> </w:t>
      </w:r>
      <w:r w:rsidRPr="007C33E7">
        <w:rPr>
          <w:rFonts w:ascii="Times New Roman" w:hAnsi="Times New Roman" w:cs="Times New Roman"/>
          <w:sz w:val="24"/>
          <w:szCs w:val="24"/>
        </w:rPr>
        <w:t xml:space="preserve">= emprego no setor k na </w:t>
      </w:r>
      <w:r>
        <w:rPr>
          <w:rFonts w:ascii="Times New Roman" w:hAnsi="Times New Roman" w:cs="Times New Roman"/>
          <w:sz w:val="24"/>
          <w:szCs w:val="24"/>
        </w:rPr>
        <w:t>microrregião</w:t>
      </w:r>
      <w:r w:rsidRPr="007C33E7">
        <w:rPr>
          <w:rFonts w:ascii="Times New Roman" w:hAnsi="Times New Roman" w:cs="Times New Roman"/>
          <w:sz w:val="24"/>
          <w:szCs w:val="24"/>
        </w:rPr>
        <w:t xml:space="preserve"> i;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i</m:t>
            </m:r>
          </m:sub>
        </m:sSub>
      </m:oMath>
      <w:r w:rsidRPr="007C33E7">
        <w:rPr>
          <w:rFonts w:ascii="Times New Roman" w:hAnsi="Times New Roman" w:cs="Times New Roman"/>
          <w:sz w:val="24"/>
          <w:szCs w:val="24"/>
        </w:rPr>
        <w:t xml:space="preserve"> = emprego na </w:t>
      </w:r>
      <w:r>
        <w:rPr>
          <w:rFonts w:ascii="Times New Roman" w:hAnsi="Times New Roman" w:cs="Times New Roman"/>
          <w:sz w:val="24"/>
          <w:szCs w:val="24"/>
        </w:rPr>
        <w:t>microrregião</w:t>
      </w:r>
      <w:r w:rsidRPr="007C33E7">
        <w:rPr>
          <w:rFonts w:ascii="Times New Roman" w:hAnsi="Times New Roman" w:cs="Times New Roman"/>
          <w:sz w:val="24"/>
          <w:szCs w:val="24"/>
        </w:rPr>
        <w:t xml:space="preserve"> i;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k</m:t>
            </m:r>
          </m:sub>
        </m:sSub>
      </m:oMath>
      <w:r w:rsidRPr="007C33E7">
        <w:rPr>
          <w:rFonts w:ascii="Times New Roman" w:hAnsi="Times New Roman" w:cs="Times New Roman"/>
          <w:sz w:val="24"/>
          <w:szCs w:val="24"/>
        </w:rPr>
        <w:t xml:space="preserve"> = emprego no setor k; </w:t>
      </w:r>
      <m:oMath>
        <m:r>
          <w:rPr>
            <w:rFonts w:ascii="Cambria Math" w:hAnsi="Cambria Math" w:cs="Times New Roman"/>
            <w:sz w:val="24"/>
            <w:szCs w:val="24"/>
          </w:rPr>
          <m:t>E</m:t>
        </m:r>
      </m:oMath>
      <w:r w:rsidRPr="007C33E7">
        <w:rPr>
          <w:rFonts w:ascii="Times New Roman" w:hAnsi="Times New Roman" w:cs="Times New Roman"/>
          <w:sz w:val="24"/>
          <w:szCs w:val="24"/>
        </w:rPr>
        <w:t xml:space="preserve"> = emprego em todo o </w:t>
      </w:r>
      <w:r>
        <w:rPr>
          <w:rFonts w:ascii="Times New Roman" w:hAnsi="Times New Roman" w:cs="Times New Roman"/>
          <w:sz w:val="24"/>
          <w:szCs w:val="24"/>
        </w:rPr>
        <w:t>estado.</w:t>
      </w:r>
    </w:p>
    <w:p w14:paraId="50A3ADA8" w14:textId="77777777" w:rsidR="00625D04" w:rsidRPr="00AA5982" w:rsidRDefault="00625D04" w:rsidP="00625D04">
      <w:pPr>
        <w:spacing w:after="0" w:line="360" w:lineRule="auto"/>
        <w:ind w:firstLine="708"/>
        <w:jc w:val="both"/>
        <w:rPr>
          <w:rFonts w:ascii="Times New Roman" w:hAnsi="Times New Roman" w:cs="Times New Roman"/>
          <w:sz w:val="24"/>
          <w:szCs w:val="24"/>
        </w:rPr>
      </w:pPr>
      <w:r w:rsidRPr="00AA5982">
        <w:rPr>
          <w:rFonts w:ascii="Times New Roman" w:hAnsi="Times New Roman" w:cs="Times New Roman"/>
          <w:sz w:val="24"/>
          <w:szCs w:val="24"/>
        </w:rPr>
        <w:t xml:space="preserve">Quando mais próximo de 0 (zero), a microrregião reproduz o perfil regional. Ou seja, tem composição idêntica à do estado. Por sua vez, quando os valores forem próximos de 1, a região tem um padrão completamente diferente da região de referência (MONASTÉRIO, 2011). Coeficientes iguais ou próximos a 1 demonstram um alto grau de especialização relacionado a um determinado setor, ou uma estrutura de mão de obra totalmente diversa da estrutura de mão de obra regional (HADDAD, 1989). </w:t>
      </w:r>
    </w:p>
    <w:p w14:paraId="3249DC93" w14:textId="77777777" w:rsidR="00625D04" w:rsidRDefault="00625D04" w:rsidP="00AE0485">
      <w:pPr>
        <w:spacing w:after="0" w:line="360" w:lineRule="auto"/>
        <w:jc w:val="both"/>
        <w:rPr>
          <w:rFonts w:ascii="Times New Roman" w:hAnsi="Times New Roman" w:cs="Times New Roman"/>
          <w:sz w:val="24"/>
          <w:szCs w:val="24"/>
        </w:rPr>
      </w:pPr>
    </w:p>
    <w:p w14:paraId="569FC55F" w14:textId="77777777" w:rsidR="00625D04" w:rsidRDefault="00625D04" w:rsidP="00AE0485">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3. REFERENCIAL TEÓRICO</w:t>
      </w:r>
    </w:p>
    <w:p w14:paraId="4A63C2C6" w14:textId="77777777" w:rsidR="00625D04" w:rsidRPr="002028D7" w:rsidRDefault="00625D04" w:rsidP="00AE0485">
      <w:pPr>
        <w:tabs>
          <w:tab w:val="left" w:pos="3010"/>
        </w:tabs>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3</w:t>
      </w:r>
      <w:r w:rsidRPr="002028D7">
        <w:rPr>
          <w:rFonts w:ascii="Times New Roman" w:hAnsi="Times New Roman" w:cs="Times New Roman"/>
          <w:b/>
          <w:bCs/>
          <w:sz w:val="24"/>
          <w:szCs w:val="24"/>
        </w:rPr>
        <w:t>.1. A dinâmica regional</w:t>
      </w:r>
    </w:p>
    <w:p w14:paraId="70340A08" w14:textId="77777777" w:rsidR="00625D04" w:rsidRPr="002028D7" w:rsidRDefault="00625D04" w:rsidP="00AE0485">
      <w:pPr>
        <w:tabs>
          <w:tab w:val="left" w:pos="3010"/>
        </w:tabs>
        <w:spacing w:after="0" w:line="360" w:lineRule="auto"/>
        <w:ind w:firstLine="709"/>
        <w:jc w:val="both"/>
        <w:rPr>
          <w:rFonts w:ascii="Times New Roman" w:hAnsi="Times New Roman" w:cs="Times New Roman"/>
          <w:sz w:val="24"/>
          <w:szCs w:val="24"/>
        </w:rPr>
      </w:pPr>
      <w:r w:rsidRPr="002028D7">
        <w:rPr>
          <w:rFonts w:ascii="Times New Roman" w:hAnsi="Times New Roman" w:cs="Times New Roman"/>
          <w:sz w:val="24"/>
          <w:szCs w:val="24"/>
        </w:rPr>
        <w:lastRenderedPageBreak/>
        <w:t>O espaço não aparecia na análise econômica regional tradicional (clássicos e neoclássicos), pelo fato de ser uma teoria fundamentada em mundo estático e sem dimensões, nem tampouco haveria motivo para estudos espaciais, em razão da suposição da perfeita mobilidade dos fatores de produção, conduzindo ao equilíbrio e a inexistência de desigualdade entre as regiões. Nessa perspectiva de análise, a localização das indústrias era devida pela disponibilidade das fontes de matérias-primas (SOUZA, 1981).</w:t>
      </w:r>
    </w:p>
    <w:p w14:paraId="1771C886" w14:textId="77777777" w:rsidR="00625D04" w:rsidRPr="002028D7" w:rsidRDefault="00625D04" w:rsidP="00625D04">
      <w:pPr>
        <w:tabs>
          <w:tab w:val="left" w:pos="3010"/>
        </w:tabs>
        <w:spacing w:after="0" w:line="360" w:lineRule="auto"/>
        <w:ind w:firstLine="709"/>
        <w:jc w:val="both"/>
        <w:rPr>
          <w:rFonts w:ascii="Times New Roman" w:hAnsi="Times New Roman" w:cs="Times New Roman"/>
          <w:sz w:val="24"/>
          <w:szCs w:val="24"/>
        </w:rPr>
      </w:pPr>
      <w:r w:rsidRPr="002028D7">
        <w:rPr>
          <w:rFonts w:ascii="Times New Roman" w:hAnsi="Times New Roman" w:cs="Times New Roman"/>
          <w:sz w:val="24"/>
          <w:szCs w:val="24"/>
        </w:rPr>
        <w:t>Ainda de acordo com o autor supracitado, constatou-se que a urbanização e a industrialização ocorridas de maneira desigual entre as regiões, intensificou as desigualdades existentes entre regiões ricas e regiões pobres em um mesmo país. As transformações ocorridas nos padrões locacionais, juntamente com a revolução agrícola levaram a um crescimento urbano nos centros metropolitanos acarretando em uma concentração industrial. Assim, os desequilíbrios regionais que foram expandidos com a forte industrialização dos grandes centros dos países foi um dos fatores que induziram uma maior atenção aos estudos das dinâmicas regionais.</w:t>
      </w:r>
    </w:p>
    <w:p w14:paraId="03267AA6" w14:textId="77777777" w:rsidR="00625D04" w:rsidRPr="002028D7" w:rsidRDefault="00625D04" w:rsidP="00625D04">
      <w:pPr>
        <w:tabs>
          <w:tab w:val="left" w:pos="3010"/>
        </w:tabs>
        <w:spacing w:after="0" w:line="360" w:lineRule="auto"/>
        <w:ind w:firstLine="709"/>
        <w:jc w:val="both"/>
        <w:rPr>
          <w:rFonts w:ascii="Times New Roman" w:hAnsi="Times New Roman" w:cs="Times New Roman"/>
          <w:sz w:val="24"/>
          <w:szCs w:val="24"/>
        </w:rPr>
      </w:pPr>
      <w:r w:rsidRPr="002028D7">
        <w:rPr>
          <w:rFonts w:ascii="Times New Roman" w:hAnsi="Times New Roman" w:cs="Times New Roman"/>
          <w:sz w:val="24"/>
          <w:szCs w:val="24"/>
        </w:rPr>
        <w:t xml:space="preserve">No pensamento da economia regional, são destaques dois conjuntos de análise. O conjunto de teorias clássicas de localização que evoluem desde a publicação de </w:t>
      </w:r>
      <w:r w:rsidRPr="002028D7">
        <w:rPr>
          <w:rFonts w:ascii="Times New Roman" w:hAnsi="Times New Roman" w:cs="Times New Roman"/>
          <w:i/>
          <w:iCs/>
          <w:sz w:val="24"/>
          <w:szCs w:val="24"/>
        </w:rPr>
        <w:t xml:space="preserve">Der </w:t>
      </w:r>
      <w:proofErr w:type="spellStart"/>
      <w:r w:rsidRPr="002028D7">
        <w:rPr>
          <w:rFonts w:ascii="Times New Roman" w:hAnsi="Times New Roman" w:cs="Times New Roman"/>
          <w:i/>
          <w:iCs/>
          <w:sz w:val="24"/>
          <w:szCs w:val="24"/>
        </w:rPr>
        <w:t>Isolierte</w:t>
      </w:r>
      <w:proofErr w:type="spellEnd"/>
      <w:r w:rsidRPr="002028D7">
        <w:rPr>
          <w:rFonts w:ascii="Times New Roman" w:hAnsi="Times New Roman" w:cs="Times New Roman"/>
          <w:i/>
          <w:iCs/>
          <w:sz w:val="24"/>
          <w:szCs w:val="24"/>
        </w:rPr>
        <w:t xml:space="preserve"> </w:t>
      </w:r>
      <w:proofErr w:type="spellStart"/>
      <w:r w:rsidRPr="002028D7">
        <w:rPr>
          <w:rFonts w:ascii="Times New Roman" w:hAnsi="Times New Roman" w:cs="Times New Roman"/>
          <w:i/>
          <w:iCs/>
          <w:sz w:val="24"/>
          <w:szCs w:val="24"/>
        </w:rPr>
        <w:t>Staat</w:t>
      </w:r>
      <w:proofErr w:type="spellEnd"/>
      <w:r w:rsidRPr="002028D7">
        <w:rPr>
          <w:rFonts w:ascii="Times New Roman" w:hAnsi="Times New Roman" w:cs="Times New Roman"/>
          <w:i/>
          <w:iCs/>
          <w:sz w:val="24"/>
          <w:szCs w:val="24"/>
        </w:rPr>
        <w:t xml:space="preserve"> in </w:t>
      </w:r>
      <w:proofErr w:type="spellStart"/>
      <w:r w:rsidRPr="002028D7">
        <w:rPr>
          <w:rFonts w:ascii="Times New Roman" w:hAnsi="Times New Roman" w:cs="Times New Roman"/>
          <w:i/>
          <w:iCs/>
          <w:sz w:val="24"/>
          <w:szCs w:val="24"/>
        </w:rPr>
        <w:t>Beziehung</w:t>
      </w:r>
      <w:proofErr w:type="spellEnd"/>
      <w:r w:rsidRPr="002028D7">
        <w:rPr>
          <w:rFonts w:ascii="Times New Roman" w:hAnsi="Times New Roman" w:cs="Times New Roman"/>
          <w:i/>
          <w:iCs/>
          <w:sz w:val="24"/>
          <w:szCs w:val="24"/>
        </w:rPr>
        <w:t xml:space="preserve"> </w:t>
      </w:r>
      <w:proofErr w:type="spellStart"/>
      <w:r w:rsidRPr="002028D7">
        <w:rPr>
          <w:rFonts w:ascii="Times New Roman" w:hAnsi="Times New Roman" w:cs="Times New Roman"/>
          <w:i/>
          <w:iCs/>
          <w:sz w:val="24"/>
          <w:szCs w:val="24"/>
        </w:rPr>
        <w:t>auf</w:t>
      </w:r>
      <w:proofErr w:type="spellEnd"/>
      <w:r w:rsidRPr="002028D7">
        <w:rPr>
          <w:rFonts w:ascii="Times New Roman" w:hAnsi="Times New Roman" w:cs="Times New Roman"/>
          <w:i/>
          <w:iCs/>
          <w:sz w:val="24"/>
          <w:szCs w:val="24"/>
        </w:rPr>
        <w:t xml:space="preserve"> </w:t>
      </w:r>
      <w:proofErr w:type="spellStart"/>
      <w:r w:rsidRPr="002028D7">
        <w:rPr>
          <w:rFonts w:ascii="Times New Roman" w:hAnsi="Times New Roman" w:cs="Times New Roman"/>
          <w:i/>
          <w:iCs/>
          <w:sz w:val="24"/>
          <w:szCs w:val="24"/>
        </w:rPr>
        <w:t>Landschaft</w:t>
      </w:r>
      <w:proofErr w:type="spellEnd"/>
      <w:r w:rsidRPr="002028D7">
        <w:rPr>
          <w:rFonts w:ascii="Times New Roman" w:hAnsi="Times New Roman" w:cs="Times New Roman"/>
          <w:i/>
          <w:iCs/>
          <w:sz w:val="24"/>
          <w:szCs w:val="24"/>
        </w:rPr>
        <w:t xml:space="preserve"> </w:t>
      </w:r>
      <w:proofErr w:type="spellStart"/>
      <w:r w:rsidRPr="002028D7">
        <w:rPr>
          <w:rFonts w:ascii="Times New Roman" w:hAnsi="Times New Roman" w:cs="Times New Roman"/>
          <w:i/>
          <w:iCs/>
          <w:sz w:val="24"/>
          <w:szCs w:val="24"/>
        </w:rPr>
        <w:t>und</w:t>
      </w:r>
      <w:proofErr w:type="spellEnd"/>
      <w:r w:rsidRPr="002028D7">
        <w:rPr>
          <w:rFonts w:ascii="Times New Roman" w:hAnsi="Times New Roman" w:cs="Times New Roman"/>
          <w:i/>
          <w:iCs/>
          <w:sz w:val="24"/>
          <w:szCs w:val="24"/>
        </w:rPr>
        <w:t xml:space="preserve"> </w:t>
      </w:r>
      <w:proofErr w:type="spellStart"/>
      <w:r w:rsidRPr="002028D7">
        <w:rPr>
          <w:rFonts w:ascii="Times New Roman" w:hAnsi="Times New Roman" w:cs="Times New Roman"/>
          <w:i/>
          <w:iCs/>
          <w:sz w:val="24"/>
          <w:szCs w:val="24"/>
        </w:rPr>
        <w:t>Nationalökonomie</w:t>
      </w:r>
      <w:proofErr w:type="spellEnd"/>
      <w:r w:rsidRPr="002028D7">
        <w:rPr>
          <w:rFonts w:ascii="Times New Roman" w:hAnsi="Times New Roman" w:cs="Times New Roman"/>
          <w:sz w:val="24"/>
          <w:szCs w:val="24"/>
        </w:rPr>
        <w:t xml:space="preserve"> (VON THÜNEN, 1826) à publicação de </w:t>
      </w:r>
      <w:proofErr w:type="spellStart"/>
      <w:r w:rsidRPr="002028D7">
        <w:rPr>
          <w:rFonts w:ascii="Times New Roman" w:hAnsi="Times New Roman" w:cs="Times New Roman"/>
          <w:i/>
          <w:iCs/>
          <w:sz w:val="24"/>
          <w:szCs w:val="24"/>
        </w:rPr>
        <w:t>Location</w:t>
      </w:r>
      <w:proofErr w:type="spellEnd"/>
      <w:r w:rsidRPr="002028D7">
        <w:rPr>
          <w:rFonts w:ascii="Times New Roman" w:hAnsi="Times New Roman" w:cs="Times New Roman"/>
          <w:i/>
          <w:iCs/>
          <w:sz w:val="24"/>
          <w:szCs w:val="24"/>
        </w:rPr>
        <w:t xml:space="preserve"> </w:t>
      </w:r>
      <w:proofErr w:type="spellStart"/>
      <w:r w:rsidRPr="002028D7">
        <w:rPr>
          <w:rFonts w:ascii="Times New Roman" w:hAnsi="Times New Roman" w:cs="Times New Roman"/>
          <w:i/>
          <w:iCs/>
          <w:sz w:val="24"/>
          <w:szCs w:val="24"/>
        </w:rPr>
        <w:t>and</w:t>
      </w:r>
      <w:proofErr w:type="spellEnd"/>
      <w:r w:rsidRPr="002028D7">
        <w:rPr>
          <w:rFonts w:ascii="Times New Roman" w:hAnsi="Times New Roman" w:cs="Times New Roman"/>
          <w:i/>
          <w:iCs/>
          <w:sz w:val="24"/>
          <w:szCs w:val="24"/>
        </w:rPr>
        <w:t xml:space="preserve"> Space </w:t>
      </w:r>
      <w:proofErr w:type="spellStart"/>
      <w:r w:rsidRPr="002028D7">
        <w:rPr>
          <w:rFonts w:ascii="Times New Roman" w:hAnsi="Times New Roman" w:cs="Times New Roman"/>
          <w:i/>
          <w:iCs/>
          <w:sz w:val="24"/>
          <w:szCs w:val="24"/>
        </w:rPr>
        <w:t>Economy</w:t>
      </w:r>
      <w:proofErr w:type="spellEnd"/>
      <w:r w:rsidRPr="002028D7">
        <w:rPr>
          <w:rFonts w:ascii="Times New Roman" w:hAnsi="Times New Roman" w:cs="Times New Roman"/>
          <w:sz w:val="24"/>
          <w:szCs w:val="24"/>
        </w:rPr>
        <w:t xml:space="preserve"> (ISARD, 1956). E o conjunto de teorias de desenvolvimento regional que destacam os fatores de aglomeração, baseados nas análises de Marshall e </w:t>
      </w:r>
      <w:proofErr w:type="spellStart"/>
      <w:r w:rsidRPr="002028D7">
        <w:rPr>
          <w:rFonts w:ascii="Times New Roman" w:hAnsi="Times New Roman" w:cs="Times New Roman"/>
          <w:sz w:val="24"/>
          <w:szCs w:val="24"/>
        </w:rPr>
        <w:t>keynes</w:t>
      </w:r>
      <w:proofErr w:type="spellEnd"/>
      <w:r w:rsidRPr="002028D7">
        <w:rPr>
          <w:rFonts w:ascii="Times New Roman" w:hAnsi="Times New Roman" w:cs="Times New Roman"/>
          <w:sz w:val="24"/>
          <w:szCs w:val="24"/>
        </w:rPr>
        <w:t xml:space="preserve"> que focalizaram de alguma maneira o desenvolvimento de espaços subnacionais as publicações são: </w:t>
      </w:r>
      <w:r w:rsidRPr="002028D7">
        <w:rPr>
          <w:rFonts w:ascii="Times New Roman" w:hAnsi="Times New Roman" w:cs="Times New Roman"/>
          <w:i/>
          <w:iCs/>
          <w:sz w:val="24"/>
          <w:szCs w:val="24"/>
        </w:rPr>
        <w:t xml:space="preserve">Note </w:t>
      </w:r>
      <w:proofErr w:type="spellStart"/>
      <w:r w:rsidRPr="002028D7">
        <w:rPr>
          <w:rFonts w:ascii="Times New Roman" w:hAnsi="Times New Roman" w:cs="Times New Roman"/>
          <w:i/>
          <w:iCs/>
          <w:sz w:val="24"/>
          <w:szCs w:val="24"/>
        </w:rPr>
        <w:t>sur</w:t>
      </w:r>
      <w:proofErr w:type="spellEnd"/>
      <w:r w:rsidRPr="002028D7">
        <w:rPr>
          <w:rFonts w:ascii="Times New Roman" w:hAnsi="Times New Roman" w:cs="Times New Roman"/>
          <w:i/>
          <w:iCs/>
          <w:sz w:val="24"/>
          <w:szCs w:val="24"/>
        </w:rPr>
        <w:t xml:space="preserve"> </w:t>
      </w:r>
      <w:proofErr w:type="spellStart"/>
      <w:r w:rsidRPr="002028D7">
        <w:rPr>
          <w:rFonts w:ascii="Times New Roman" w:hAnsi="Times New Roman" w:cs="Times New Roman"/>
          <w:i/>
          <w:iCs/>
          <w:sz w:val="24"/>
          <w:szCs w:val="24"/>
        </w:rPr>
        <w:t>la</w:t>
      </w:r>
      <w:proofErr w:type="spellEnd"/>
      <w:r w:rsidRPr="002028D7">
        <w:rPr>
          <w:rFonts w:ascii="Times New Roman" w:hAnsi="Times New Roman" w:cs="Times New Roman"/>
          <w:i/>
          <w:iCs/>
          <w:sz w:val="24"/>
          <w:szCs w:val="24"/>
        </w:rPr>
        <w:t xml:space="preserve"> </w:t>
      </w:r>
      <w:proofErr w:type="spellStart"/>
      <w:r w:rsidRPr="002028D7">
        <w:rPr>
          <w:rFonts w:ascii="Times New Roman" w:hAnsi="Times New Roman" w:cs="Times New Roman"/>
          <w:i/>
          <w:iCs/>
          <w:sz w:val="24"/>
          <w:szCs w:val="24"/>
        </w:rPr>
        <w:t>notion</w:t>
      </w:r>
      <w:proofErr w:type="spellEnd"/>
      <w:r w:rsidRPr="002028D7">
        <w:rPr>
          <w:rFonts w:ascii="Times New Roman" w:hAnsi="Times New Roman" w:cs="Times New Roman"/>
          <w:i/>
          <w:iCs/>
          <w:sz w:val="24"/>
          <w:szCs w:val="24"/>
        </w:rPr>
        <w:t xml:space="preserve"> de </w:t>
      </w:r>
      <w:proofErr w:type="spellStart"/>
      <w:r w:rsidRPr="002028D7">
        <w:rPr>
          <w:rFonts w:ascii="Times New Roman" w:hAnsi="Times New Roman" w:cs="Times New Roman"/>
          <w:i/>
          <w:iCs/>
          <w:sz w:val="24"/>
          <w:szCs w:val="24"/>
        </w:rPr>
        <w:t>pôle</w:t>
      </w:r>
      <w:proofErr w:type="spellEnd"/>
      <w:r w:rsidRPr="002028D7">
        <w:rPr>
          <w:rFonts w:ascii="Times New Roman" w:hAnsi="Times New Roman" w:cs="Times New Roman"/>
          <w:i/>
          <w:iCs/>
          <w:sz w:val="24"/>
          <w:szCs w:val="24"/>
        </w:rPr>
        <w:t xml:space="preserve"> de </w:t>
      </w:r>
      <w:proofErr w:type="spellStart"/>
      <w:r w:rsidRPr="002028D7">
        <w:rPr>
          <w:rFonts w:ascii="Times New Roman" w:hAnsi="Times New Roman" w:cs="Times New Roman"/>
          <w:i/>
          <w:iCs/>
          <w:sz w:val="24"/>
          <w:szCs w:val="24"/>
        </w:rPr>
        <w:t>croissance</w:t>
      </w:r>
      <w:proofErr w:type="spellEnd"/>
      <w:r w:rsidRPr="002028D7">
        <w:rPr>
          <w:rFonts w:ascii="Times New Roman" w:hAnsi="Times New Roman" w:cs="Times New Roman"/>
          <w:sz w:val="24"/>
          <w:szCs w:val="24"/>
        </w:rPr>
        <w:t xml:space="preserve"> (PERROUX, 1955), </w:t>
      </w:r>
      <w:r w:rsidRPr="002028D7">
        <w:rPr>
          <w:rFonts w:ascii="Times New Roman" w:hAnsi="Times New Roman" w:cs="Times New Roman"/>
          <w:i/>
          <w:iCs/>
          <w:sz w:val="24"/>
          <w:szCs w:val="24"/>
        </w:rPr>
        <w:t xml:space="preserve">Economic </w:t>
      </w:r>
      <w:proofErr w:type="spellStart"/>
      <w:r w:rsidRPr="002028D7">
        <w:rPr>
          <w:rFonts w:ascii="Times New Roman" w:hAnsi="Times New Roman" w:cs="Times New Roman"/>
          <w:i/>
          <w:iCs/>
          <w:sz w:val="24"/>
          <w:szCs w:val="24"/>
        </w:rPr>
        <w:t>Theory</w:t>
      </w:r>
      <w:proofErr w:type="spellEnd"/>
      <w:r w:rsidRPr="002028D7">
        <w:rPr>
          <w:rFonts w:ascii="Times New Roman" w:hAnsi="Times New Roman" w:cs="Times New Roman"/>
          <w:i/>
          <w:iCs/>
          <w:sz w:val="24"/>
          <w:szCs w:val="24"/>
        </w:rPr>
        <w:t xml:space="preserve"> </w:t>
      </w:r>
      <w:proofErr w:type="spellStart"/>
      <w:r w:rsidRPr="002028D7">
        <w:rPr>
          <w:rFonts w:ascii="Times New Roman" w:hAnsi="Times New Roman" w:cs="Times New Roman"/>
          <w:i/>
          <w:iCs/>
          <w:sz w:val="24"/>
          <w:szCs w:val="24"/>
        </w:rPr>
        <w:t>and</w:t>
      </w:r>
      <w:proofErr w:type="spellEnd"/>
      <w:r w:rsidRPr="002028D7">
        <w:rPr>
          <w:rFonts w:ascii="Times New Roman" w:hAnsi="Times New Roman" w:cs="Times New Roman"/>
          <w:i/>
          <w:iCs/>
          <w:sz w:val="24"/>
          <w:szCs w:val="24"/>
        </w:rPr>
        <w:t xml:space="preserve"> </w:t>
      </w:r>
      <w:proofErr w:type="spellStart"/>
      <w:r w:rsidRPr="002028D7">
        <w:rPr>
          <w:rFonts w:ascii="Times New Roman" w:hAnsi="Times New Roman" w:cs="Times New Roman"/>
          <w:i/>
          <w:iCs/>
          <w:sz w:val="24"/>
          <w:szCs w:val="24"/>
        </w:rPr>
        <w:t>Under-Developed</w:t>
      </w:r>
      <w:proofErr w:type="spellEnd"/>
      <w:r w:rsidRPr="002028D7">
        <w:rPr>
          <w:rFonts w:ascii="Times New Roman" w:hAnsi="Times New Roman" w:cs="Times New Roman"/>
          <w:i/>
          <w:iCs/>
          <w:sz w:val="24"/>
          <w:szCs w:val="24"/>
        </w:rPr>
        <w:t xml:space="preserve"> </w:t>
      </w:r>
      <w:proofErr w:type="spellStart"/>
      <w:r w:rsidRPr="002028D7">
        <w:rPr>
          <w:rFonts w:ascii="Times New Roman" w:hAnsi="Times New Roman" w:cs="Times New Roman"/>
          <w:i/>
          <w:iCs/>
          <w:sz w:val="24"/>
          <w:szCs w:val="24"/>
        </w:rPr>
        <w:t>Regions</w:t>
      </w:r>
      <w:proofErr w:type="spellEnd"/>
      <w:r w:rsidRPr="002028D7">
        <w:rPr>
          <w:rFonts w:ascii="Times New Roman" w:hAnsi="Times New Roman" w:cs="Times New Roman"/>
          <w:sz w:val="24"/>
          <w:szCs w:val="24"/>
        </w:rPr>
        <w:t xml:space="preserve"> (MYRDAL, 1957), </w:t>
      </w:r>
      <w:r w:rsidRPr="002028D7">
        <w:rPr>
          <w:rFonts w:ascii="Times New Roman" w:hAnsi="Times New Roman" w:cs="Times New Roman"/>
          <w:i/>
          <w:iCs/>
          <w:sz w:val="24"/>
          <w:szCs w:val="24"/>
        </w:rPr>
        <w:t xml:space="preserve">The </w:t>
      </w:r>
      <w:proofErr w:type="spellStart"/>
      <w:r w:rsidRPr="002028D7">
        <w:rPr>
          <w:rFonts w:ascii="Times New Roman" w:hAnsi="Times New Roman" w:cs="Times New Roman"/>
          <w:i/>
          <w:iCs/>
          <w:sz w:val="24"/>
          <w:szCs w:val="24"/>
        </w:rPr>
        <w:t>Strategy</w:t>
      </w:r>
      <w:proofErr w:type="spellEnd"/>
      <w:r w:rsidRPr="002028D7">
        <w:rPr>
          <w:rFonts w:ascii="Times New Roman" w:hAnsi="Times New Roman" w:cs="Times New Roman"/>
          <w:i/>
          <w:iCs/>
          <w:sz w:val="24"/>
          <w:szCs w:val="24"/>
        </w:rPr>
        <w:t xml:space="preserve"> </w:t>
      </w:r>
      <w:proofErr w:type="spellStart"/>
      <w:r w:rsidRPr="002028D7">
        <w:rPr>
          <w:rFonts w:ascii="Times New Roman" w:hAnsi="Times New Roman" w:cs="Times New Roman"/>
          <w:i/>
          <w:iCs/>
          <w:sz w:val="24"/>
          <w:szCs w:val="24"/>
        </w:rPr>
        <w:t>of</w:t>
      </w:r>
      <w:proofErr w:type="spellEnd"/>
      <w:r w:rsidRPr="002028D7">
        <w:rPr>
          <w:rFonts w:ascii="Times New Roman" w:hAnsi="Times New Roman" w:cs="Times New Roman"/>
          <w:i/>
          <w:iCs/>
          <w:sz w:val="24"/>
          <w:szCs w:val="24"/>
        </w:rPr>
        <w:t xml:space="preserve"> </w:t>
      </w:r>
      <w:proofErr w:type="spellStart"/>
      <w:r w:rsidRPr="002028D7">
        <w:rPr>
          <w:rFonts w:ascii="Times New Roman" w:hAnsi="Times New Roman" w:cs="Times New Roman"/>
          <w:i/>
          <w:iCs/>
          <w:sz w:val="24"/>
          <w:szCs w:val="24"/>
        </w:rPr>
        <w:t>Ecomic</w:t>
      </w:r>
      <w:proofErr w:type="spellEnd"/>
      <w:r w:rsidRPr="002028D7">
        <w:rPr>
          <w:rFonts w:ascii="Times New Roman" w:hAnsi="Times New Roman" w:cs="Times New Roman"/>
          <w:i/>
          <w:iCs/>
          <w:sz w:val="24"/>
          <w:szCs w:val="24"/>
        </w:rPr>
        <w:t xml:space="preserve"> </w:t>
      </w:r>
      <w:proofErr w:type="spellStart"/>
      <w:r w:rsidRPr="002028D7">
        <w:rPr>
          <w:rFonts w:ascii="Times New Roman" w:hAnsi="Times New Roman" w:cs="Times New Roman"/>
          <w:i/>
          <w:iCs/>
          <w:sz w:val="24"/>
          <w:szCs w:val="24"/>
        </w:rPr>
        <w:t>Development</w:t>
      </w:r>
      <w:proofErr w:type="spellEnd"/>
      <w:r w:rsidRPr="002028D7">
        <w:rPr>
          <w:rFonts w:ascii="Times New Roman" w:hAnsi="Times New Roman" w:cs="Times New Roman"/>
          <w:sz w:val="24"/>
          <w:szCs w:val="24"/>
        </w:rPr>
        <w:t xml:space="preserve"> (HIRSCHMAN, 1958) e </w:t>
      </w:r>
      <w:proofErr w:type="spellStart"/>
      <w:r w:rsidRPr="002028D7">
        <w:rPr>
          <w:rFonts w:ascii="Times New Roman" w:hAnsi="Times New Roman" w:cs="Times New Roman"/>
          <w:i/>
          <w:iCs/>
          <w:sz w:val="24"/>
          <w:szCs w:val="24"/>
        </w:rPr>
        <w:t>Location</w:t>
      </w:r>
      <w:proofErr w:type="spellEnd"/>
      <w:r w:rsidRPr="002028D7">
        <w:rPr>
          <w:rFonts w:ascii="Times New Roman" w:hAnsi="Times New Roman" w:cs="Times New Roman"/>
          <w:i/>
          <w:iCs/>
          <w:sz w:val="24"/>
          <w:szCs w:val="24"/>
        </w:rPr>
        <w:t xml:space="preserve"> </w:t>
      </w:r>
      <w:proofErr w:type="spellStart"/>
      <w:r w:rsidRPr="002028D7">
        <w:rPr>
          <w:rFonts w:ascii="Times New Roman" w:hAnsi="Times New Roman" w:cs="Times New Roman"/>
          <w:i/>
          <w:iCs/>
          <w:sz w:val="24"/>
          <w:szCs w:val="24"/>
        </w:rPr>
        <w:t>Theory</w:t>
      </w:r>
      <w:proofErr w:type="spellEnd"/>
      <w:r w:rsidRPr="002028D7">
        <w:rPr>
          <w:rFonts w:ascii="Times New Roman" w:hAnsi="Times New Roman" w:cs="Times New Roman"/>
          <w:i/>
          <w:iCs/>
          <w:sz w:val="24"/>
          <w:szCs w:val="24"/>
        </w:rPr>
        <w:t xml:space="preserve"> </w:t>
      </w:r>
      <w:proofErr w:type="spellStart"/>
      <w:r w:rsidRPr="002028D7">
        <w:rPr>
          <w:rFonts w:ascii="Times New Roman" w:hAnsi="Times New Roman" w:cs="Times New Roman"/>
          <w:i/>
          <w:iCs/>
          <w:sz w:val="24"/>
          <w:szCs w:val="24"/>
        </w:rPr>
        <w:t>and</w:t>
      </w:r>
      <w:proofErr w:type="spellEnd"/>
      <w:r w:rsidRPr="002028D7">
        <w:rPr>
          <w:rFonts w:ascii="Times New Roman" w:hAnsi="Times New Roman" w:cs="Times New Roman"/>
          <w:i/>
          <w:iCs/>
          <w:sz w:val="24"/>
          <w:szCs w:val="24"/>
        </w:rPr>
        <w:t xml:space="preserve"> Regional Economic </w:t>
      </w:r>
      <w:proofErr w:type="spellStart"/>
      <w:r w:rsidRPr="002028D7">
        <w:rPr>
          <w:rFonts w:ascii="Times New Roman" w:hAnsi="Times New Roman" w:cs="Times New Roman"/>
          <w:i/>
          <w:iCs/>
          <w:sz w:val="24"/>
          <w:szCs w:val="24"/>
        </w:rPr>
        <w:t>Growth</w:t>
      </w:r>
      <w:proofErr w:type="spellEnd"/>
      <w:r w:rsidRPr="002028D7">
        <w:rPr>
          <w:rFonts w:ascii="Times New Roman" w:hAnsi="Times New Roman" w:cs="Times New Roman"/>
          <w:sz w:val="24"/>
          <w:szCs w:val="24"/>
        </w:rPr>
        <w:t xml:space="preserve"> (NORTH, 1959). Os conceitos desenvolvidos nessas análises foram altamente difundidos em vários países e contribuem para se entender a economia regional (CAVALCANTE, 2007; MONASTÉRIO, CAVALCANTE, 2011).</w:t>
      </w:r>
    </w:p>
    <w:p w14:paraId="763BEE18" w14:textId="77777777" w:rsidR="00625D04" w:rsidRDefault="00625D04" w:rsidP="00625D04">
      <w:pPr>
        <w:tabs>
          <w:tab w:val="left" w:pos="3010"/>
        </w:tabs>
        <w:spacing w:after="0" w:line="360" w:lineRule="auto"/>
        <w:ind w:firstLine="709"/>
        <w:jc w:val="both"/>
        <w:rPr>
          <w:rFonts w:ascii="Times New Roman" w:hAnsi="Times New Roman" w:cs="Times New Roman"/>
          <w:sz w:val="24"/>
          <w:szCs w:val="24"/>
        </w:rPr>
      </w:pPr>
      <w:r w:rsidRPr="002028D7">
        <w:rPr>
          <w:rFonts w:ascii="Times New Roman" w:hAnsi="Times New Roman" w:cs="Times New Roman"/>
          <w:sz w:val="24"/>
          <w:szCs w:val="24"/>
        </w:rPr>
        <w:t xml:space="preserve">Após a década de 1950, essas abordagens referenciadas, passaram a instigar o pensamento regional para a formulação de políticas públicas para o desenvolvimento regional e a construção de estudos analíticos buscando sua adequação as realidades regionais. </w:t>
      </w:r>
      <w:r>
        <w:rPr>
          <w:rFonts w:ascii="Times New Roman" w:hAnsi="Times New Roman" w:cs="Times New Roman"/>
          <w:sz w:val="24"/>
          <w:szCs w:val="24"/>
        </w:rPr>
        <w:t xml:space="preserve">No Brasil, </w:t>
      </w:r>
      <w:r>
        <w:rPr>
          <w:rFonts w:ascii="Times New Roman" w:hAnsi="Times New Roman" w:cs="Times New Roman"/>
          <w:sz w:val="24"/>
          <w:szCs w:val="24"/>
        </w:rPr>
        <w:lastRenderedPageBreak/>
        <w:t xml:space="preserve">ao final da década supracitada com a concentração de grande parte dos investimentos e São Paulo e a seca nordestina de 1958 colaboraram para a conscientização dos desequilíbrios regionais em âmbito nacional (CANO, 2007). </w:t>
      </w:r>
    </w:p>
    <w:p w14:paraId="742A0CF9" w14:textId="77777777" w:rsidR="00625D04" w:rsidRPr="002028D7" w:rsidRDefault="00625D04" w:rsidP="00625D04">
      <w:pPr>
        <w:tabs>
          <w:tab w:val="left" w:pos="3010"/>
        </w:tabs>
        <w:spacing w:after="0" w:line="360" w:lineRule="auto"/>
        <w:ind w:firstLine="709"/>
        <w:jc w:val="both"/>
        <w:rPr>
          <w:rFonts w:ascii="Times New Roman" w:hAnsi="Times New Roman" w:cs="Times New Roman"/>
          <w:sz w:val="24"/>
          <w:szCs w:val="24"/>
        </w:rPr>
      </w:pPr>
      <w:r w:rsidRPr="002028D7">
        <w:rPr>
          <w:rFonts w:ascii="Times New Roman" w:hAnsi="Times New Roman" w:cs="Times New Roman"/>
          <w:sz w:val="24"/>
          <w:szCs w:val="24"/>
        </w:rPr>
        <w:t>A partir da década de 70, observa-se um empenho para a integração desses modelos e teorias na busca de e constatar os novos padrões de acumulação fomentados pela automação integrada, desregulamentação econômica e dos movimentos de abertura comercial (CAVALCANTE, 2007).</w:t>
      </w:r>
      <w:r>
        <w:rPr>
          <w:rFonts w:ascii="Times New Roman" w:hAnsi="Times New Roman" w:cs="Times New Roman"/>
          <w:sz w:val="24"/>
          <w:szCs w:val="24"/>
        </w:rPr>
        <w:t xml:space="preserve"> </w:t>
      </w:r>
    </w:p>
    <w:p w14:paraId="0C409FC6" w14:textId="77777777" w:rsidR="00625D04" w:rsidRPr="002028D7" w:rsidRDefault="00625D04" w:rsidP="00625D04">
      <w:pPr>
        <w:tabs>
          <w:tab w:val="left" w:pos="3010"/>
        </w:tabs>
        <w:spacing w:after="0" w:line="360" w:lineRule="auto"/>
        <w:ind w:firstLine="709"/>
        <w:jc w:val="both"/>
        <w:rPr>
          <w:rFonts w:ascii="Times New Roman" w:hAnsi="Times New Roman" w:cs="Times New Roman"/>
          <w:sz w:val="24"/>
          <w:szCs w:val="24"/>
        </w:rPr>
      </w:pPr>
      <w:r w:rsidRPr="002028D7">
        <w:rPr>
          <w:rFonts w:ascii="Times New Roman" w:hAnsi="Times New Roman" w:cs="Times New Roman"/>
          <w:sz w:val="24"/>
          <w:szCs w:val="24"/>
        </w:rPr>
        <w:t>Mesmo nesse contexto, o interesse por estudos pautados na economia regional, fiquem bem aquém do necessário para se construir uma agenda focada no desenvolvimento regional. Monastério e Cavalcante (2011) destacam que somente na década de 1980 começam a ser incluídas análises por meio de modelos matemáticos buscando abordar conceitos de aglomeração e custos de transportes (nova geografia econômica) e por agregar itens menos tangíveis (instituições, capital social) aos debates sobre o desenvolvimento regional.</w:t>
      </w:r>
    </w:p>
    <w:p w14:paraId="263E3763" w14:textId="77777777" w:rsidR="00625D04" w:rsidRPr="002028D7" w:rsidRDefault="00625D04" w:rsidP="00625D04">
      <w:pPr>
        <w:tabs>
          <w:tab w:val="left" w:pos="3010"/>
        </w:tabs>
        <w:spacing w:after="0" w:line="360" w:lineRule="auto"/>
        <w:ind w:firstLine="709"/>
        <w:jc w:val="both"/>
        <w:rPr>
          <w:rFonts w:ascii="Times New Roman" w:hAnsi="Times New Roman" w:cs="Times New Roman"/>
          <w:sz w:val="24"/>
          <w:szCs w:val="24"/>
        </w:rPr>
      </w:pPr>
      <w:r w:rsidRPr="002028D7">
        <w:rPr>
          <w:rFonts w:ascii="Times New Roman" w:hAnsi="Times New Roman" w:cs="Times New Roman"/>
          <w:sz w:val="24"/>
          <w:szCs w:val="24"/>
        </w:rPr>
        <w:t>No Brasil, Lemos e Cunha (1996) evidenciam que na década de 70 ocorre a virada no desenvolvimento regional do Brasil, passando de um período marcado por uma forte concentração geográfica para uma nova etapa considerada de relativa desconcentração. Diante disso, a desconcentração favoreceu regiões geográficas adjacentes aos eixos São Paulo e Rio de Janeiro (LIMA; ESPERIDIÃO, 2014).</w:t>
      </w:r>
      <w:r>
        <w:rPr>
          <w:rFonts w:ascii="Times New Roman" w:hAnsi="Times New Roman" w:cs="Times New Roman"/>
          <w:sz w:val="24"/>
          <w:szCs w:val="24"/>
        </w:rPr>
        <w:t xml:space="preserve"> Segundo Cano (2008), a economia paulista, crescendo vertiginosamente, fomentava também o crescimento dos seus complementos econômicos espaciais. Assim “A problemática dos desequilíbrios regionais do país decorreu, em última instância, do próprio processo histórico de desenvolvimento de cada região” (CANO, p.299. 2007). </w:t>
      </w:r>
    </w:p>
    <w:p w14:paraId="3BDF9D3E" w14:textId="77777777" w:rsidR="00625D04" w:rsidRDefault="00625D04" w:rsidP="00625D04">
      <w:pPr>
        <w:tabs>
          <w:tab w:val="left" w:pos="3010"/>
        </w:tabs>
        <w:spacing w:after="0" w:line="360" w:lineRule="auto"/>
        <w:ind w:firstLine="709"/>
        <w:jc w:val="both"/>
        <w:rPr>
          <w:rFonts w:ascii="Times New Roman" w:hAnsi="Times New Roman" w:cs="Times New Roman"/>
          <w:sz w:val="24"/>
          <w:szCs w:val="24"/>
        </w:rPr>
      </w:pPr>
    </w:p>
    <w:p w14:paraId="0CA029EB" w14:textId="77777777" w:rsidR="00625D04" w:rsidRPr="002028D7" w:rsidRDefault="00625D04" w:rsidP="00625D04">
      <w:pPr>
        <w:tabs>
          <w:tab w:val="left" w:pos="3010"/>
        </w:tabs>
        <w:spacing w:after="0" w:line="360" w:lineRule="auto"/>
        <w:ind w:firstLine="709"/>
        <w:jc w:val="both"/>
        <w:rPr>
          <w:rFonts w:ascii="Times New Roman" w:hAnsi="Times New Roman" w:cs="Times New Roman"/>
          <w:sz w:val="24"/>
          <w:szCs w:val="24"/>
        </w:rPr>
      </w:pPr>
    </w:p>
    <w:p w14:paraId="7774E067" w14:textId="77777777" w:rsidR="00625D04" w:rsidRPr="00880AC5" w:rsidRDefault="00625D04" w:rsidP="00625D04">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3</w:t>
      </w:r>
      <w:r w:rsidRPr="00880AC5">
        <w:rPr>
          <w:rFonts w:ascii="Times New Roman" w:hAnsi="Times New Roman" w:cs="Times New Roman"/>
          <w:b/>
          <w:bCs/>
          <w:sz w:val="24"/>
          <w:szCs w:val="24"/>
        </w:rPr>
        <w:t>.2. Teoria da Localização</w:t>
      </w:r>
    </w:p>
    <w:p w14:paraId="59D1CCEC" w14:textId="3EDABEBB" w:rsidR="00625D04" w:rsidRDefault="00625D04" w:rsidP="00625D04">
      <w:pPr>
        <w:spacing w:after="0" w:line="360" w:lineRule="auto"/>
        <w:jc w:val="both"/>
        <w:rPr>
          <w:rFonts w:ascii="Times New Roman" w:hAnsi="Times New Roman" w:cs="Times New Roman"/>
          <w:sz w:val="24"/>
          <w:szCs w:val="24"/>
        </w:rPr>
      </w:pPr>
      <w:r w:rsidRPr="00681658">
        <w:rPr>
          <w:rFonts w:ascii="Times New Roman" w:hAnsi="Times New Roman" w:cs="Times New Roman"/>
          <w:sz w:val="24"/>
          <w:szCs w:val="24"/>
        </w:rPr>
        <w:tab/>
      </w:r>
      <w:r>
        <w:rPr>
          <w:rFonts w:ascii="Times New Roman" w:hAnsi="Times New Roman" w:cs="Times New Roman"/>
          <w:sz w:val="24"/>
          <w:szCs w:val="24"/>
        </w:rPr>
        <w:t xml:space="preserve">Segundo Souza (1981) as teorias da localização é o ramo mais antigo da economia regional. </w:t>
      </w:r>
      <w:r w:rsidR="006440CE">
        <w:rPr>
          <w:rFonts w:ascii="Times New Roman" w:hAnsi="Times New Roman" w:cs="Times New Roman"/>
          <w:sz w:val="24"/>
          <w:szCs w:val="24"/>
        </w:rPr>
        <w:t>As principais teorias</w:t>
      </w:r>
      <w:r w:rsidRPr="00681658">
        <w:rPr>
          <w:rFonts w:ascii="Times New Roman" w:hAnsi="Times New Roman" w:cs="Times New Roman"/>
          <w:sz w:val="24"/>
          <w:szCs w:val="24"/>
        </w:rPr>
        <w:t xml:space="preserve"> de economia regional</w:t>
      </w:r>
      <w:r>
        <w:rPr>
          <w:rFonts w:ascii="Times New Roman" w:hAnsi="Times New Roman" w:cs="Times New Roman"/>
          <w:sz w:val="24"/>
          <w:szCs w:val="24"/>
        </w:rPr>
        <w:t xml:space="preserve"> e urbana</w:t>
      </w:r>
      <w:r w:rsidRPr="00681658">
        <w:rPr>
          <w:rFonts w:ascii="Times New Roman" w:hAnsi="Times New Roman" w:cs="Times New Roman"/>
          <w:sz w:val="24"/>
          <w:szCs w:val="24"/>
        </w:rPr>
        <w:t xml:space="preserve"> são </w:t>
      </w:r>
      <w:r>
        <w:rPr>
          <w:rFonts w:ascii="Times New Roman" w:hAnsi="Times New Roman" w:cs="Times New Roman"/>
          <w:sz w:val="24"/>
          <w:szCs w:val="24"/>
        </w:rPr>
        <w:t>advindas</w:t>
      </w:r>
      <w:r w:rsidRPr="00681658">
        <w:rPr>
          <w:rFonts w:ascii="Times New Roman" w:hAnsi="Times New Roman" w:cs="Times New Roman"/>
          <w:sz w:val="24"/>
          <w:szCs w:val="24"/>
        </w:rPr>
        <w:t xml:space="preserve"> das contribuições teóricas de Von </w:t>
      </w:r>
      <w:proofErr w:type="spellStart"/>
      <w:r w:rsidRPr="00681658">
        <w:rPr>
          <w:rFonts w:ascii="Times New Roman" w:hAnsi="Times New Roman" w:cs="Times New Roman"/>
          <w:sz w:val="24"/>
          <w:szCs w:val="24"/>
        </w:rPr>
        <w:t>Thünen</w:t>
      </w:r>
      <w:proofErr w:type="spellEnd"/>
      <w:r w:rsidRPr="00681658">
        <w:rPr>
          <w:rFonts w:ascii="Times New Roman" w:hAnsi="Times New Roman" w:cs="Times New Roman"/>
          <w:sz w:val="24"/>
          <w:szCs w:val="24"/>
        </w:rPr>
        <w:t xml:space="preserve">, Alfred Weber e August </w:t>
      </w:r>
      <w:proofErr w:type="spellStart"/>
      <w:r w:rsidRPr="00681658">
        <w:rPr>
          <w:rFonts w:ascii="Times New Roman" w:hAnsi="Times New Roman" w:cs="Times New Roman"/>
          <w:sz w:val="24"/>
          <w:szCs w:val="24"/>
        </w:rPr>
        <w:t>Lösch</w:t>
      </w:r>
      <w:proofErr w:type="spellEnd"/>
      <w:r w:rsidRPr="00681658">
        <w:rPr>
          <w:rFonts w:ascii="Times New Roman" w:hAnsi="Times New Roman" w:cs="Times New Roman"/>
          <w:sz w:val="24"/>
          <w:szCs w:val="24"/>
        </w:rPr>
        <w:t>.</w:t>
      </w:r>
      <w:r>
        <w:rPr>
          <w:rFonts w:ascii="Times New Roman" w:hAnsi="Times New Roman" w:cs="Times New Roman"/>
          <w:sz w:val="24"/>
          <w:szCs w:val="24"/>
        </w:rPr>
        <w:t xml:space="preserve"> Von </w:t>
      </w:r>
      <w:proofErr w:type="spellStart"/>
      <w:r w:rsidRPr="00681658">
        <w:rPr>
          <w:rFonts w:ascii="Times New Roman" w:hAnsi="Times New Roman" w:cs="Times New Roman"/>
          <w:sz w:val="24"/>
          <w:szCs w:val="24"/>
        </w:rPr>
        <w:t>Thünen</w:t>
      </w:r>
      <w:proofErr w:type="spellEnd"/>
      <w:r>
        <w:rPr>
          <w:rFonts w:ascii="Times New Roman" w:hAnsi="Times New Roman" w:cs="Times New Roman"/>
          <w:sz w:val="24"/>
          <w:szCs w:val="24"/>
        </w:rPr>
        <w:t xml:space="preserve"> em sua obra</w:t>
      </w:r>
      <w:r w:rsidR="006440CE">
        <w:rPr>
          <w:rFonts w:ascii="Times New Roman" w:hAnsi="Times New Roman" w:cs="Times New Roman"/>
          <w:sz w:val="24"/>
          <w:szCs w:val="24"/>
        </w:rPr>
        <w:t>,</w:t>
      </w:r>
      <w:r>
        <w:rPr>
          <w:rFonts w:ascii="Times New Roman" w:hAnsi="Times New Roman" w:cs="Times New Roman"/>
          <w:sz w:val="24"/>
          <w:szCs w:val="24"/>
        </w:rPr>
        <w:t xml:space="preserve"> </w:t>
      </w:r>
      <w:r w:rsidRPr="006440CE">
        <w:rPr>
          <w:rFonts w:ascii="Times New Roman" w:hAnsi="Times New Roman" w:cs="Times New Roman"/>
          <w:sz w:val="24"/>
          <w:szCs w:val="24"/>
        </w:rPr>
        <w:t>O estado Isolado</w:t>
      </w:r>
      <w:r>
        <w:rPr>
          <w:rFonts w:ascii="Times New Roman" w:hAnsi="Times New Roman" w:cs="Times New Roman"/>
          <w:sz w:val="24"/>
          <w:szCs w:val="24"/>
        </w:rPr>
        <w:t xml:space="preserve"> (1826) pode ser considerado o precursor da análise espacial dentro da economia </w:t>
      </w:r>
      <w:r>
        <w:rPr>
          <w:rFonts w:ascii="Times New Roman" w:hAnsi="Times New Roman" w:cs="Times New Roman"/>
          <w:sz w:val="24"/>
          <w:szCs w:val="24"/>
        </w:rPr>
        <w:lastRenderedPageBreak/>
        <w:t xml:space="preserve">regional. Sua teoria consistiu em analisar uma concentração industrial considerada em um único centro urbano. Weber (1969) preocupou-se em analisar a localização de uma firma industrial considerando os fatores gerais e específicos. </w:t>
      </w:r>
      <w:proofErr w:type="spellStart"/>
      <w:r w:rsidRPr="00681658">
        <w:rPr>
          <w:rFonts w:ascii="Times New Roman" w:hAnsi="Times New Roman" w:cs="Times New Roman"/>
          <w:sz w:val="24"/>
          <w:szCs w:val="24"/>
        </w:rPr>
        <w:t>Lösch</w:t>
      </w:r>
      <w:proofErr w:type="spellEnd"/>
      <w:r>
        <w:rPr>
          <w:rFonts w:ascii="Times New Roman" w:hAnsi="Times New Roman" w:cs="Times New Roman"/>
          <w:sz w:val="24"/>
          <w:szCs w:val="24"/>
        </w:rPr>
        <w:t xml:space="preserve"> (1954), seguindo uma metodologia semelhante na teoria dos lugres centrais de </w:t>
      </w:r>
      <w:proofErr w:type="spellStart"/>
      <w:r>
        <w:rPr>
          <w:rFonts w:ascii="Times New Roman" w:hAnsi="Times New Roman" w:cs="Times New Roman"/>
          <w:sz w:val="24"/>
          <w:szCs w:val="24"/>
        </w:rPr>
        <w:t>Christaller</w:t>
      </w:r>
      <w:proofErr w:type="spellEnd"/>
      <w:r>
        <w:rPr>
          <w:rFonts w:ascii="Times New Roman" w:hAnsi="Times New Roman" w:cs="Times New Roman"/>
          <w:sz w:val="24"/>
          <w:szCs w:val="24"/>
        </w:rPr>
        <w:t>, apresenta uma hierarquia entre as áreas de mercado, partindo das menores áreas de mercado e levando as maiores.</w:t>
      </w:r>
    </w:p>
    <w:p w14:paraId="60AF5D2A" w14:textId="15DF4E21" w:rsidR="00625D04" w:rsidRPr="00AC3837" w:rsidRDefault="00625D04" w:rsidP="00625D0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Vo</w:t>
      </w:r>
      <w:r w:rsidRPr="00681658">
        <w:rPr>
          <w:rFonts w:ascii="Times New Roman" w:hAnsi="Times New Roman" w:cs="Times New Roman"/>
          <w:sz w:val="24"/>
          <w:szCs w:val="24"/>
        </w:rPr>
        <w:t xml:space="preserve">n </w:t>
      </w:r>
      <w:proofErr w:type="spellStart"/>
      <w:r w:rsidRPr="00681658">
        <w:rPr>
          <w:rFonts w:ascii="Times New Roman" w:hAnsi="Times New Roman" w:cs="Times New Roman"/>
          <w:sz w:val="24"/>
          <w:szCs w:val="24"/>
        </w:rPr>
        <w:t>Thünen</w:t>
      </w:r>
      <w:proofErr w:type="spellEnd"/>
      <w:r>
        <w:rPr>
          <w:rFonts w:ascii="Times New Roman" w:hAnsi="Times New Roman" w:cs="Times New Roman"/>
          <w:sz w:val="24"/>
          <w:szCs w:val="24"/>
        </w:rPr>
        <w:t xml:space="preserve"> (1966) assume a existência de um determinado centro em uma região agrícola, sem analisar suas relações com outros centros urbanos ou regiões, buscando investigar o padrão de ocupação espacial</w:t>
      </w:r>
      <w:r w:rsidR="00D8696D">
        <w:rPr>
          <w:rFonts w:ascii="Times New Roman" w:hAnsi="Times New Roman" w:cs="Times New Roman"/>
          <w:sz w:val="24"/>
          <w:szCs w:val="24"/>
        </w:rPr>
        <w:t xml:space="preserve"> e cria um</w:t>
      </w:r>
      <w:r>
        <w:rPr>
          <w:rFonts w:ascii="Times New Roman" w:hAnsi="Times New Roman" w:cs="Times New Roman"/>
          <w:sz w:val="24"/>
          <w:szCs w:val="24"/>
        </w:rPr>
        <w:t xml:space="preserve"> modelo </w:t>
      </w:r>
      <w:r w:rsidR="00D8696D">
        <w:rPr>
          <w:rFonts w:ascii="Times New Roman" w:hAnsi="Times New Roman" w:cs="Times New Roman"/>
          <w:sz w:val="24"/>
          <w:szCs w:val="24"/>
        </w:rPr>
        <w:t>que é</w:t>
      </w:r>
      <w:r>
        <w:rPr>
          <w:rFonts w:ascii="Times New Roman" w:hAnsi="Times New Roman" w:cs="Times New Roman"/>
          <w:sz w:val="24"/>
          <w:szCs w:val="24"/>
        </w:rPr>
        <w:t xml:space="preserve"> para a análise da economia regional. Os pressupostos básicos do modelo são: i) ninguém tem o poder de monopólio, devido os agentes serem os tomadores de preço; </w:t>
      </w:r>
      <w:proofErr w:type="spellStart"/>
      <w:r>
        <w:rPr>
          <w:rFonts w:ascii="Times New Roman" w:hAnsi="Times New Roman" w:cs="Times New Roman"/>
          <w:sz w:val="24"/>
          <w:szCs w:val="24"/>
        </w:rPr>
        <w:t>ii</w:t>
      </w:r>
      <w:proofErr w:type="spellEnd"/>
      <w:r>
        <w:rPr>
          <w:rFonts w:ascii="Times New Roman" w:hAnsi="Times New Roman" w:cs="Times New Roman"/>
          <w:sz w:val="24"/>
          <w:szCs w:val="24"/>
        </w:rPr>
        <w:t xml:space="preserve">) livre-entrada nas atividades agrícolas; </w:t>
      </w:r>
      <w:proofErr w:type="spellStart"/>
      <w:r>
        <w:rPr>
          <w:rFonts w:ascii="Times New Roman" w:hAnsi="Times New Roman" w:cs="Times New Roman"/>
          <w:sz w:val="24"/>
          <w:szCs w:val="24"/>
        </w:rPr>
        <w:t>iii</w:t>
      </w:r>
      <w:proofErr w:type="spellEnd"/>
      <w:r>
        <w:rPr>
          <w:rFonts w:ascii="Times New Roman" w:hAnsi="Times New Roman" w:cs="Times New Roman"/>
          <w:sz w:val="24"/>
          <w:szCs w:val="24"/>
        </w:rPr>
        <w:t xml:space="preserve">) a produção assume coeficientes fixos e retornos constantes de escala; e, </w:t>
      </w:r>
      <w:proofErr w:type="spellStart"/>
      <w:r>
        <w:rPr>
          <w:rFonts w:ascii="Times New Roman" w:hAnsi="Times New Roman" w:cs="Times New Roman"/>
          <w:sz w:val="24"/>
          <w:szCs w:val="24"/>
        </w:rPr>
        <w:t>iv</w:t>
      </w:r>
      <w:proofErr w:type="spellEnd"/>
      <w:r>
        <w:rPr>
          <w:rFonts w:ascii="Times New Roman" w:hAnsi="Times New Roman" w:cs="Times New Roman"/>
          <w:sz w:val="24"/>
          <w:szCs w:val="24"/>
        </w:rPr>
        <w:t xml:space="preserve">) a terra é homogênea e apresenta fertilidade idêntica em todas as localidades. Segundo Souza (2009), o acesso ao mercado age </w:t>
      </w:r>
      <w:r w:rsidRPr="00AC3837">
        <w:rPr>
          <w:rFonts w:ascii="Times New Roman" w:hAnsi="Times New Roman" w:cs="Times New Roman"/>
          <w:sz w:val="24"/>
          <w:szCs w:val="24"/>
        </w:rPr>
        <w:t>como uma força centrípeta, ao passo que contribuí para a aglomeração, enquanto os custos com aluguel funcionam como uma força inversa ao curso da aglomeração.</w:t>
      </w:r>
    </w:p>
    <w:p w14:paraId="4295EF85" w14:textId="77777777" w:rsidR="00625D04" w:rsidRDefault="00625D04" w:rsidP="00625D04">
      <w:pPr>
        <w:spacing w:after="0" w:line="360" w:lineRule="auto"/>
        <w:jc w:val="both"/>
        <w:rPr>
          <w:rFonts w:ascii="Times New Roman" w:hAnsi="Times New Roman" w:cs="Times New Roman"/>
          <w:sz w:val="24"/>
          <w:szCs w:val="24"/>
        </w:rPr>
      </w:pPr>
      <w:r w:rsidRPr="00AC3837">
        <w:rPr>
          <w:rFonts w:ascii="Times New Roman" w:hAnsi="Times New Roman" w:cs="Times New Roman"/>
          <w:sz w:val="24"/>
          <w:szCs w:val="24"/>
        </w:rPr>
        <w:tab/>
        <w:t xml:space="preserve">O modelo </w:t>
      </w:r>
      <w:r>
        <w:rPr>
          <w:rFonts w:ascii="Times New Roman" w:hAnsi="Times New Roman" w:cs="Times New Roman"/>
          <w:sz w:val="24"/>
          <w:szCs w:val="24"/>
        </w:rPr>
        <w:t>d</w:t>
      </w:r>
      <w:r w:rsidRPr="00AC3837">
        <w:rPr>
          <w:rFonts w:ascii="Times New Roman" w:hAnsi="Times New Roman" w:cs="Times New Roman"/>
          <w:sz w:val="24"/>
          <w:szCs w:val="24"/>
        </w:rPr>
        <w:t xml:space="preserve">e Von </w:t>
      </w:r>
      <w:proofErr w:type="spellStart"/>
      <w:r w:rsidRPr="00AC3837">
        <w:rPr>
          <w:rFonts w:ascii="Times New Roman" w:hAnsi="Times New Roman" w:cs="Times New Roman"/>
          <w:sz w:val="24"/>
          <w:szCs w:val="24"/>
        </w:rPr>
        <w:t>Thünen</w:t>
      </w:r>
      <w:proofErr w:type="spellEnd"/>
      <w:r w:rsidRPr="00AC3837">
        <w:rPr>
          <w:rFonts w:ascii="Times New Roman" w:hAnsi="Times New Roman" w:cs="Times New Roman"/>
          <w:sz w:val="24"/>
          <w:szCs w:val="24"/>
        </w:rPr>
        <w:t>, segue a mesma lógica da teoria da renda da terra de David Ricardo, mesmo ele tendo desenvolvido seu trabalho em conhecimento da teoria ricardiana, e o ponto central não seja a fertilidade, mas sim o distanciamento em relação ao centro. O modelo assume, inicialmente, o pressuposto da existência de um produto agrícola homogêneo. Os agricultores localizados mais próximos do centro têm vantagens locacionais, devido o preço ser dado na cidade existirem custos de transporte</w:t>
      </w:r>
      <w:r>
        <w:rPr>
          <w:rFonts w:ascii="Times New Roman" w:hAnsi="Times New Roman" w:cs="Times New Roman"/>
          <w:sz w:val="24"/>
          <w:szCs w:val="24"/>
        </w:rPr>
        <w:t>. Assim os donos das terras mais próximos aos centros, auferem rendas da terra superiores aos agricultores que possuem terras mais distantes (MONASTÉRIO e CAVALCANTE, 2011).</w:t>
      </w:r>
    </w:p>
    <w:p w14:paraId="0D12A44D" w14:textId="77777777" w:rsidR="00625D04" w:rsidRPr="00B05E9F" w:rsidRDefault="00625D04" w:rsidP="00625D04">
      <w:pPr>
        <w:spacing w:after="0" w:line="360" w:lineRule="auto"/>
        <w:jc w:val="both"/>
        <w:rPr>
          <w:rFonts w:ascii="Times New Roman" w:hAnsi="Times New Roman" w:cs="Times New Roman"/>
          <w:color w:val="FF0000"/>
          <w:sz w:val="24"/>
          <w:szCs w:val="24"/>
        </w:rPr>
      </w:pPr>
      <w:r>
        <w:rPr>
          <w:rFonts w:ascii="Times New Roman" w:hAnsi="Times New Roman" w:cs="Times New Roman"/>
          <w:sz w:val="24"/>
          <w:szCs w:val="24"/>
        </w:rPr>
        <w:tab/>
      </w:r>
      <w:r w:rsidRPr="005D204E">
        <w:rPr>
          <w:rFonts w:ascii="Times New Roman" w:hAnsi="Times New Roman" w:cs="Times New Roman"/>
          <w:sz w:val="24"/>
          <w:szCs w:val="24"/>
        </w:rPr>
        <w:t xml:space="preserve">Embora o modelo proposto por Von </w:t>
      </w:r>
      <w:proofErr w:type="spellStart"/>
      <w:r w:rsidRPr="005D204E">
        <w:rPr>
          <w:rFonts w:ascii="Times New Roman" w:hAnsi="Times New Roman" w:cs="Times New Roman"/>
          <w:sz w:val="24"/>
          <w:szCs w:val="24"/>
        </w:rPr>
        <w:t>Thünen</w:t>
      </w:r>
      <w:proofErr w:type="spellEnd"/>
      <w:r w:rsidRPr="005D204E">
        <w:rPr>
          <w:rFonts w:ascii="Times New Roman" w:hAnsi="Times New Roman" w:cs="Times New Roman"/>
          <w:sz w:val="24"/>
          <w:szCs w:val="24"/>
        </w:rPr>
        <w:t>, apoia-se em uma série de pressupostos dificilmente encontrados no mundo real, ele demostrou formalmente que, mesmo considerando condições territoriais homogêneas, a produção agrícola não seria distribuída equitativamente em razão dos diferentes custos de transporte (CAVALCANTE, 2007).</w:t>
      </w:r>
    </w:p>
    <w:p w14:paraId="1F35CF6D" w14:textId="0EFBE5E1" w:rsidR="00625D04" w:rsidRDefault="00625D04" w:rsidP="00625D04">
      <w:pPr>
        <w:spacing w:after="0" w:line="360" w:lineRule="auto"/>
        <w:jc w:val="both"/>
        <w:rPr>
          <w:rFonts w:ascii="Times New Roman" w:hAnsi="Times New Roman" w:cs="Times New Roman"/>
          <w:sz w:val="24"/>
          <w:szCs w:val="24"/>
        </w:rPr>
      </w:pPr>
      <w:r w:rsidRPr="00BD4FF5">
        <w:rPr>
          <w:rFonts w:ascii="Times New Roman" w:hAnsi="Times New Roman" w:cs="Times New Roman"/>
          <w:sz w:val="24"/>
          <w:szCs w:val="24"/>
        </w:rPr>
        <w:tab/>
        <w:t>Weber (1969)</w:t>
      </w:r>
      <w:r>
        <w:rPr>
          <w:rFonts w:ascii="Times New Roman" w:hAnsi="Times New Roman" w:cs="Times New Roman"/>
          <w:sz w:val="24"/>
          <w:szCs w:val="24"/>
        </w:rPr>
        <w:t xml:space="preserve">, </w:t>
      </w:r>
      <w:r w:rsidR="00B05E9F">
        <w:rPr>
          <w:rFonts w:ascii="Times New Roman" w:hAnsi="Times New Roman" w:cs="Times New Roman"/>
          <w:sz w:val="24"/>
          <w:szCs w:val="24"/>
        </w:rPr>
        <w:t>no livro</w:t>
      </w:r>
      <w:r w:rsidRPr="00BD4FF5">
        <w:rPr>
          <w:rFonts w:ascii="Times New Roman" w:hAnsi="Times New Roman" w:cs="Times New Roman"/>
          <w:sz w:val="24"/>
          <w:szCs w:val="24"/>
        </w:rPr>
        <w:t xml:space="preserve"> intitulado de </w:t>
      </w:r>
      <w:proofErr w:type="spellStart"/>
      <w:r w:rsidRPr="00BD4FF5">
        <w:rPr>
          <w:rFonts w:ascii="Times New Roman" w:hAnsi="Times New Roman" w:cs="Times New Roman"/>
          <w:i/>
          <w:iCs/>
          <w:sz w:val="24"/>
          <w:szCs w:val="24"/>
        </w:rPr>
        <w:t>Über</w:t>
      </w:r>
      <w:proofErr w:type="spellEnd"/>
      <w:r w:rsidRPr="00BD4FF5">
        <w:rPr>
          <w:rFonts w:ascii="Times New Roman" w:hAnsi="Times New Roman" w:cs="Times New Roman"/>
          <w:i/>
          <w:iCs/>
          <w:sz w:val="24"/>
          <w:szCs w:val="24"/>
        </w:rPr>
        <w:t xml:space="preserve"> </w:t>
      </w:r>
      <w:proofErr w:type="spellStart"/>
      <w:r w:rsidRPr="00BD4FF5">
        <w:rPr>
          <w:rFonts w:ascii="Times New Roman" w:hAnsi="Times New Roman" w:cs="Times New Roman"/>
          <w:i/>
          <w:iCs/>
          <w:sz w:val="24"/>
          <w:szCs w:val="24"/>
        </w:rPr>
        <w:t>den</w:t>
      </w:r>
      <w:proofErr w:type="spellEnd"/>
      <w:r w:rsidRPr="00BD4FF5">
        <w:rPr>
          <w:rFonts w:ascii="Times New Roman" w:hAnsi="Times New Roman" w:cs="Times New Roman"/>
          <w:i/>
          <w:iCs/>
          <w:sz w:val="24"/>
          <w:szCs w:val="24"/>
        </w:rPr>
        <w:t xml:space="preserve"> </w:t>
      </w:r>
      <w:proofErr w:type="spellStart"/>
      <w:r w:rsidRPr="00BD4FF5">
        <w:rPr>
          <w:rFonts w:ascii="Times New Roman" w:hAnsi="Times New Roman" w:cs="Times New Roman"/>
          <w:i/>
          <w:iCs/>
          <w:sz w:val="24"/>
          <w:szCs w:val="24"/>
        </w:rPr>
        <w:t>Standort</w:t>
      </w:r>
      <w:proofErr w:type="spellEnd"/>
      <w:r w:rsidRPr="00BD4FF5">
        <w:rPr>
          <w:rFonts w:ascii="Times New Roman" w:hAnsi="Times New Roman" w:cs="Times New Roman"/>
          <w:i/>
          <w:iCs/>
          <w:sz w:val="24"/>
          <w:szCs w:val="24"/>
        </w:rPr>
        <w:t xml:space="preserve"> der </w:t>
      </w:r>
      <w:proofErr w:type="spellStart"/>
      <w:r w:rsidRPr="00BD4FF5">
        <w:rPr>
          <w:rFonts w:ascii="Times New Roman" w:hAnsi="Times New Roman" w:cs="Times New Roman"/>
          <w:i/>
          <w:iCs/>
          <w:sz w:val="24"/>
          <w:szCs w:val="24"/>
        </w:rPr>
        <w:t>Industrien</w:t>
      </w:r>
      <w:proofErr w:type="spellEnd"/>
      <w:r>
        <w:rPr>
          <w:rFonts w:ascii="Times New Roman" w:hAnsi="Times New Roman" w:cs="Times New Roman"/>
          <w:sz w:val="24"/>
          <w:szCs w:val="24"/>
        </w:rPr>
        <w:t>, l</w:t>
      </w:r>
      <w:r w:rsidRPr="00BD4FF5">
        <w:rPr>
          <w:rFonts w:ascii="Times New Roman" w:hAnsi="Times New Roman" w:cs="Times New Roman"/>
          <w:sz w:val="24"/>
          <w:szCs w:val="24"/>
        </w:rPr>
        <w:t xml:space="preserve">iteralmente </w:t>
      </w:r>
      <w:r>
        <w:rPr>
          <w:rFonts w:ascii="Times New Roman" w:hAnsi="Times New Roman" w:cs="Times New Roman"/>
          <w:sz w:val="24"/>
          <w:szCs w:val="24"/>
        </w:rPr>
        <w:t>s</w:t>
      </w:r>
      <w:r w:rsidRPr="00BD4FF5">
        <w:rPr>
          <w:rFonts w:ascii="Times New Roman" w:hAnsi="Times New Roman" w:cs="Times New Roman"/>
          <w:sz w:val="24"/>
          <w:szCs w:val="24"/>
        </w:rPr>
        <w:t>obre a localização de indústrias, publica</w:t>
      </w:r>
      <w:r w:rsidR="00B05E9F">
        <w:rPr>
          <w:rFonts w:ascii="Times New Roman" w:hAnsi="Times New Roman" w:cs="Times New Roman"/>
          <w:sz w:val="24"/>
          <w:szCs w:val="24"/>
        </w:rPr>
        <w:t>ção</w:t>
      </w:r>
      <w:r w:rsidRPr="00BD4FF5">
        <w:rPr>
          <w:rFonts w:ascii="Times New Roman" w:hAnsi="Times New Roman" w:cs="Times New Roman"/>
          <w:sz w:val="24"/>
          <w:szCs w:val="24"/>
        </w:rPr>
        <w:t xml:space="preserve"> em inglês</w:t>
      </w:r>
      <w:r w:rsidR="00B05E9F">
        <w:rPr>
          <w:rFonts w:ascii="Times New Roman" w:hAnsi="Times New Roman" w:cs="Times New Roman"/>
          <w:sz w:val="24"/>
          <w:szCs w:val="24"/>
        </w:rPr>
        <w:t xml:space="preserve"> </w:t>
      </w:r>
      <w:proofErr w:type="spellStart"/>
      <w:r w:rsidRPr="00BD4FF5">
        <w:rPr>
          <w:rFonts w:ascii="Times New Roman" w:hAnsi="Times New Roman" w:cs="Times New Roman"/>
          <w:i/>
          <w:iCs/>
          <w:sz w:val="24"/>
          <w:szCs w:val="24"/>
        </w:rPr>
        <w:t>Theory</w:t>
      </w:r>
      <w:proofErr w:type="spellEnd"/>
      <w:r w:rsidRPr="00BD4FF5">
        <w:rPr>
          <w:rFonts w:ascii="Times New Roman" w:hAnsi="Times New Roman" w:cs="Times New Roman"/>
          <w:i/>
          <w:iCs/>
          <w:sz w:val="24"/>
          <w:szCs w:val="24"/>
        </w:rPr>
        <w:t xml:space="preserve"> </w:t>
      </w:r>
      <w:proofErr w:type="spellStart"/>
      <w:r w:rsidRPr="00BD4FF5">
        <w:rPr>
          <w:rFonts w:ascii="Times New Roman" w:hAnsi="Times New Roman" w:cs="Times New Roman"/>
          <w:i/>
          <w:iCs/>
          <w:sz w:val="24"/>
          <w:szCs w:val="24"/>
        </w:rPr>
        <w:t>of</w:t>
      </w:r>
      <w:proofErr w:type="spellEnd"/>
      <w:r w:rsidRPr="00BD4FF5">
        <w:rPr>
          <w:rFonts w:ascii="Times New Roman" w:hAnsi="Times New Roman" w:cs="Times New Roman"/>
          <w:i/>
          <w:iCs/>
          <w:sz w:val="24"/>
          <w:szCs w:val="24"/>
        </w:rPr>
        <w:t xml:space="preserve"> </w:t>
      </w:r>
      <w:proofErr w:type="spellStart"/>
      <w:r w:rsidRPr="00BD4FF5">
        <w:rPr>
          <w:rFonts w:ascii="Times New Roman" w:hAnsi="Times New Roman" w:cs="Times New Roman"/>
          <w:i/>
          <w:iCs/>
          <w:sz w:val="24"/>
          <w:szCs w:val="24"/>
        </w:rPr>
        <w:t>the</w:t>
      </w:r>
      <w:proofErr w:type="spellEnd"/>
      <w:r w:rsidRPr="00BD4FF5">
        <w:rPr>
          <w:rFonts w:ascii="Times New Roman" w:hAnsi="Times New Roman" w:cs="Times New Roman"/>
          <w:i/>
          <w:iCs/>
          <w:sz w:val="24"/>
          <w:szCs w:val="24"/>
        </w:rPr>
        <w:t xml:space="preserve"> </w:t>
      </w:r>
      <w:proofErr w:type="spellStart"/>
      <w:r w:rsidRPr="00BD4FF5">
        <w:rPr>
          <w:rFonts w:ascii="Times New Roman" w:hAnsi="Times New Roman" w:cs="Times New Roman"/>
          <w:i/>
          <w:iCs/>
          <w:sz w:val="24"/>
          <w:szCs w:val="24"/>
        </w:rPr>
        <w:t>Location</w:t>
      </w:r>
      <w:proofErr w:type="spellEnd"/>
      <w:r w:rsidRPr="00BD4FF5">
        <w:rPr>
          <w:rFonts w:ascii="Times New Roman" w:hAnsi="Times New Roman" w:cs="Times New Roman"/>
          <w:i/>
          <w:iCs/>
          <w:sz w:val="24"/>
          <w:szCs w:val="24"/>
        </w:rPr>
        <w:t xml:space="preserve"> </w:t>
      </w:r>
      <w:proofErr w:type="spellStart"/>
      <w:r w:rsidRPr="00BD4FF5">
        <w:rPr>
          <w:rFonts w:ascii="Times New Roman" w:hAnsi="Times New Roman" w:cs="Times New Roman"/>
          <w:i/>
          <w:iCs/>
          <w:sz w:val="24"/>
          <w:szCs w:val="24"/>
        </w:rPr>
        <w:t>of</w:t>
      </w:r>
      <w:proofErr w:type="spellEnd"/>
      <w:r w:rsidRPr="00BD4FF5">
        <w:rPr>
          <w:rFonts w:ascii="Times New Roman" w:hAnsi="Times New Roman" w:cs="Times New Roman"/>
          <w:i/>
          <w:iCs/>
          <w:sz w:val="24"/>
          <w:szCs w:val="24"/>
        </w:rPr>
        <w:t xml:space="preserve"> Industries</w:t>
      </w:r>
      <w:r w:rsidRPr="00BD4FF5">
        <w:rPr>
          <w:rFonts w:ascii="Times New Roman" w:hAnsi="Times New Roman" w:cs="Times New Roman"/>
          <w:sz w:val="24"/>
          <w:szCs w:val="24"/>
        </w:rPr>
        <w:t xml:space="preserve">, </w:t>
      </w:r>
      <w:r w:rsidRPr="00E111AC">
        <w:rPr>
          <w:rFonts w:ascii="Times New Roman" w:hAnsi="Times New Roman" w:cs="Times New Roman"/>
          <w:sz w:val="24"/>
          <w:szCs w:val="24"/>
        </w:rPr>
        <w:t xml:space="preserve">analisou a decisão quanto a localização de atividades industriais baseada na ponderação de três </w:t>
      </w:r>
      <w:r w:rsidRPr="00E111AC">
        <w:rPr>
          <w:rFonts w:ascii="Times New Roman" w:hAnsi="Times New Roman" w:cs="Times New Roman"/>
          <w:sz w:val="24"/>
          <w:szCs w:val="24"/>
        </w:rPr>
        <w:lastRenderedPageBreak/>
        <w:t xml:space="preserve">fatores a saber: o custo da mão de obra, o custo de transporte e um “fator local” resultante tanto das forças de aglomeração quanto das forças de desaglomeração (FERREIRA, 1989). </w:t>
      </w:r>
    </w:p>
    <w:p w14:paraId="6E635DF0" w14:textId="373DE0FF" w:rsidR="00625D04" w:rsidRPr="00E111AC" w:rsidRDefault="00625D04" w:rsidP="00625D0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Na teoria de Weber (1969), o</w:t>
      </w:r>
      <w:r w:rsidRPr="00E111AC">
        <w:rPr>
          <w:rFonts w:ascii="Times New Roman" w:hAnsi="Times New Roman" w:cs="Times New Roman"/>
          <w:sz w:val="24"/>
          <w:szCs w:val="24"/>
        </w:rPr>
        <w:t>s custos de transportes</w:t>
      </w:r>
      <w:r w:rsidR="005A6BEC">
        <w:rPr>
          <w:rFonts w:ascii="Times New Roman" w:hAnsi="Times New Roman" w:cs="Times New Roman"/>
          <w:sz w:val="24"/>
          <w:szCs w:val="24"/>
        </w:rPr>
        <w:t xml:space="preserve">, </w:t>
      </w:r>
      <w:r w:rsidRPr="00E111AC">
        <w:rPr>
          <w:rFonts w:ascii="Times New Roman" w:hAnsi="Times New Roman" w:cs="Times New Roman"/>
          <w:sz w:val="24"/>
          <w:szCs w:val="24"/>
        </w:rPr>
        <w:t xml:space="preserve">do trabalho e a renda da terra são considerados como fatores gerais de localização. </w:t>
      </w:r>
      <w:r w:rsidR="005A6BEC">
        <w:rPr>
          <w:rFonts w:ascii="Times New Roman" w:hAnsi="Times New Roman" w:cs="Times New Roman"/>
          <w:sz w:val="24"/>
          <w:szCs w:val="24"/>
        </w:rPr>
        <w:t xml:space="preserve">A existência </w:t>
      </w:r>
      <w:r w:rsidRPr="00E111AC">
        <w:rPr>
          <w:rFonts w:ascii="Times New Roman" w:hAnsi="Times New Roman" w:cs="Times New Roman"/>
          <w:sz w:val="24"/>
          <w:szCs w:val="24"/>
        </w:rPr>
        <w:t xml:space="preserve">de água, a perecibilidade de matérias-primas e a influência do grau de umidade do ar no processo produtivo são vistos como fatores especiais. Estes fatores motivam a aglomeração ou dispersão das atividades industriais. </w:t>
      </w:r>
    </w:p>
    <w:p w14:paraId="7517BC1E" w14:textId="77777777" w:rsidR="00625D04" w:rsidRPr="0009009E" w:rsidRDefault="00625D04" w:rsidP="00625D04">
      <w:pPr>
        <w:spacing w:after="0" w:line="360" w:lineRule="auto"/>
        <w:ind w:firstLine="708"/>
        <w:jc w:val="both"/>
        <w:rPr>
          <w:rFonts w:ascii="Times New Roman" w:hAnsi="Times New Roman" w:cs="Times New Roman"/>
          <w:sz w:val="24"/>
          <w:szCs w:val="24"/>
        </w:rPr>
      </w:pPr>
      <w:r w:rsidRPr="00E111AC">
        <w:rPr>
          <w:rFonts w:ascii="Times New Roman" w:hAnsi="Times New Roman" w:cs="Times New Roman"/>
          <w:sz w:val="24"/>
          <w:szCs w:val="24"/>
        </w:rPr>
        <w:t>De acordo com Cavalcante (2007)</w:t>
      </w:r>
      <w:r>
        <w:rPr>
          <w:rFonts w:ascii="Times New Roman" w:hAnsi="Times New Roman" w:cs="Times New Roman"/>
          <w:sz w:val="24"/>
          <w:szCs w:val="24"/>
        </w:rPr>
        <w:t xml:space="preserve">, com relação aos custos de transporte, a teoria weberiana, propõe que a </w:t>
      </w:r>
      <w:r w:rsidRPr="0009009E">
        <w:rPr>
          <w:rFonts w:ascii="Times New Roman" w:hAnsi="Times New Roman" w:cs="Times New Roman"/>
          <w:sz w:val="24"/>
          <w:szCs w:val="24"/>
        </w:rPr>
        <w:t xml:space="preserve">localização das indústrias tende a ser nas localidades onde os custos de transporte de matérias-primas e produtos finais sejam minimizados. Entretanto, admite que as indústrias tenderão a se localizar onde tiver os menores custos com a mão de obra, desde que estes compensem os maiores custos de transporte. </w:t>
      </w:r>
    </w:p>
    <w:p w14:paraId="2A98B586" w14:textId="77777777" w:rsidR="00625D04" w:rsidRDefault="00625D04" w:rsidP="00625D04">
      <w:pPr>
        <w:spacing w:after="0" w:line="360" w:lineRule="auto"/>
        <w:ind w:firstLine="708"/>
        <w:jc w:val="both"/>
        <w:rPr>
          <w:rFonts w:ascii="Times New Roman" w:hAnsi="Times New Roman" w:cs="Times New Roman"/>
          <w:sz w:val="24"/>
          <w:szCs w:val="24"/>
        </w:rPr>
      </w:pPr>
      <w:r w:rsidRPr="0009009E">
        <w:rPr>
          <w:rFonts w:ascii="Times New Roman" w:hAnsi="Times New Roman" w:cs="Times New Roman"/>
          <w:sz w:val="24"/>
          <w:szCs w:val="24"/>
        </w:rPr>
        <w:t xml:space="preserve">Para Weber, a empresa procura a localização que reduza os custos com transporte, salários e matérias primas (SOUZA, 2009). Assim, as indústrias buscariam localidades com abundância de algum (alguns) fator (fatores) de produção, com a finalidade de minimizar os custos da produção. </w:t>
      </w:r>
    </w:p>
    <w:p w14:paraId="3F789B70" w14:textId="77777777" w:rsidR="00625D04" w:rsidRPr="00B87DCF" w:rsidRDefault="00625D04" w:rsidP="00625D0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August </w:t>
      </w:r>
      <w:proofErr w:type="spellStart"/>
      <w:r w:rsidRPr="00681658">
        <w:rPr>
          <w:rFonts w:ascii="Times New Roman" w:hAnsi="Times New Roman" w:cs="Times New Roman"/>
          <w:sz w:val="24"/>
          <w:szCs w:val="24"/>
        </w:rPr>
        <w:t>Lösch</w:t>
      </w:r>
      <w:proofErr w:type="spellEnd"/>
      <w:r>
        <w:rPr>
          <w:rFonts w:ascii="Times New Roman" w:hAnsi="Times New Roman" w:cs="Times New Roman"/>
          <w:sz w:val="24"/>
          <w:szCs w:val="24"/>
        </w:rPr>
        <w:t xml:space="preserve"> publicou em 1940 o livro intitulado de </w:t>
      </w:r>
      <w:r>
        <w:rPr>
          <w:rFonts w:ascii="Times New Roman" w:hAnsi="Times New Roman" w:cs="Times New Roman"/>
          <w:i/>
          <w:iCs/>
          <w:sz w:val="24"/>
          <w:szCs w:val="24"/>
        </w:rPr>
        <w:t xml:space="preserve">Die </w:t>
      </w:r>
      <w:proofErr w:type="spellStart"/>
      <w:r w:rsidRPr="00470ACD">
        <w:rPr>
          <w:rFonts w:ascii="Times New Roman" w:hAnsi="Times New Roman" w:cs="Times New Roman"/>
          <w:i/>
          <w:iCs/>
          <w:sz w:val="24"/>
          <w:szCs w:val="24"/>
        </w:rPr>
        <w:t>räumliche</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Ordnung</w:t>
      </w:r>
      <w:proofErr w:type="spellEnd"/>
      <w:r>
        <w:rPr>
          <w:rFonts w:ascii="Times New Roman" w:hAnsi="Times New Roman" w:cs="Times New Roman"/>
          <w:i/>
          <w:iCs/>
          <w:sz w:val="24"/>
          <w:szCs w:val="24"/>
        </w:rPr>
        <w:t xml:space="preserve"> der </w:t>
      </w:r>
      <w:proofErr w:type="spellStart"/>
      <w:r>
        <w:rPr>
          <w:rFonts w:ascii="Times New Roman" w:hAnsi="Times New Roman" w:cs="Times New Roman"/>
          <w:i/>
          <w:iCs/>
          <w:sz w:val="24"/>
          <w:szCs w:val="24"/>
        </w:rPr>
        <w:t>Wirtschaft</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 xml:space="preserve">(A Ordem Espacial da Economia), tendo a versão em língua inglesa em 1954 intitulada de </w:t>
      </w:r>
      <w:r>
        <w:rPr>
          <w:rFonts w:ascii="Times New Roman" w:hAnsi="Times New Roman" w:cs="Times New Roman"/>
          <w:i/>
          <w:iCs/>
          <w:sz w:val="24"/>
          <w:szCs w:val="24"/>
        </w:rPr>
        <w:t xml:space="preserve">The </w:t>
      </w:r>
      <w:proofErr w:type="spellStart"/>
      <w:r>
        <w:rPr>
          <w:rFonts w:ascii="Times New Roman" w:hAnsi="Times New Roman" w:cs="Times New Roman"/>
          <w:i/>
          <w:iCs/>
          <w:sz w:val="24"/>
          <w:szCs w:val="24"/>
        </w:rPr>
        <w:t>economics</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of</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location</w:t>
      </w:r>
      <w:proofErr w:type="spellEnd"/>
      <w:r>
        <w:rPr>
          <w:rFonts w:ascii="Times New Roman" w:hAnsi="Times New Roman" w:cs="Times New Roman"/>
          <w:sz w:val="24"/>
          <w:szCs w:val="24"/>
        </w:rPr>
        <w:t xml:space="preserve">. </w:t>
      </w:r>
      <w:proofErr w:type="spellStart"/>
      <w:r w:rsidRPr="00681658">
        <w:rPr>
          <w:rFonts w:ascii="Times New Roman" w:hAnsi="Times New Roman" w:cs="Times New Roman"/>
          <w:sz w:val="24"/>
          <w:szCs w:val="24"/>
        </w:rPr>
        <w:t>Lösch</w:t>
      </w:r>
      <w:proofErr w:type="spellEnd"/>
      <w:r>
        <w:rPr>
          <w:rFonts w:ascii="Times New Roman" w:hAnsi="Times New Roman" w:cs="Times New Roman"/>
          <w:sz w:val="24"/>
          <w:szCs w:val="24"/>
        </w:rPr>
        <w:t xml:space="preserve"> (1954) mostra que com a produção de determinados bens, a um dado custo médio, as empresas buscarão atingir o consumidor que estiver mais distante, porém existe um mercado de alcance máximo para essa empresa permanecer competitiva. Dado que uma situação além desse mercado se tornaria inviável para a empresa, devido os altos custos de transporte e produção. </w:t>
      </w:r>
      <w:r w:rsidRPr="00B87DCF">
        <w:rPr>
          <w:rFonts w:ascii="Times New Roman" w:hAnsi="Times New Roman" w:cs="Times New Roman"/>
          <w:sz w:val="24"/>
          <w:szCs w:val="24"/>
        </w:rPr>
        <w:t>Nessa hipótese, seria mais viável abrir uma filial da empresa naquela região.</w:t>
      </w:r>
    </w:p>
    <w:p w14:paraId="10EFF5A7" w14:textId="77777777" w:rsidR="00625D04" w:rsidRDefault="00625D04" w:rsidP="00625D04">
      <w:pPr>
        <w:spacing w:after="0" w:line="360" w:lineRule="auto"/>
        <w:ind w:firstLine="708"/>
        <w:jc w:val="both"/>
        <w:rPr>
          <w:rFonts w:ascii="Times New Roman" w:hAnsi="Times New Roman" w:cs="Times New Roman"/>
          <w:sz w:val="24"/>
          <w:szCs w:val="24"/>
        </w:rPr>
      </w:pPr>
      <w:r w:rsidRPr="00D933C3">
        <w:rPr>
          <w:rFonts w:ascii="Times New Roman" w:hAnsi="Times New Roman" w:cs="Times New Roman"/>
          <w:sz w:val="24"/>
          <w:szCs w:val="24"/>
        </w:rPr>
        <w:t>Para “</w:t>
      </w:r>
      <w:proofErr w:type="spellStart"/>
      <w:r w:rsidRPr="00D933C3">
        <w:rPr>
          <w:rFonts w:ascii="Times New Roman" w:hAnsi="Times New Roman" w:cs="Times New Roman"/>
          <w:sz w:val="24"/>
          <w:szCs w:val="24"/>
        </w:rPr>
        <w:t>Lösch</w:t>
      </w:r>
      <w:proofErr w:type="spellEnd"/>
      <w:r w:rsidRPr="00D933C3">
        <w:rPr>
          <w:rFonts w:ascii="Times New Roman" w:hAnsi="Times New Roman" w:cs="Times New Roman"/>
          <w:sz w:val="24"/>
          <w:szCs w:val="24"/>
        </w:rPr>
        <w:t xml:space="preserve"> (1954), existem economias de aglomeração que tendem a agrupar as empresas conforme a produção de bens para diferentes mercados. Situação idêntica ocorre com os custos de transporte, um efeito da redução das distâncias a percorrer” (LIMA e ESPERIDIÃO, p. 18, 2014).</w:t>
      </w:r>
    </w:p>
    <w:p w14:paraId="60AFB29A" w14:textId="77777777" w:rsidR="00625D04" w:rsidRPr="00D933C3" w:rsidRDefault="00625D04" w:rsidP="00625D04">
      <w:pPr>
        <w:spacing w:after="0" w:line="360" w:lineRule="auto"/>
        <w:ind w:firstLine="708"/>
        <w:jc w:val="both"/>
        <w:rPr>
          <w:rFonts w:ascii="Times New Roman" w:hAnsi="Times New Roman" w:cs="Times New Roman"/>
          <w:sz w:val="24"/>
          <w:szCs w:val="24"/>
        </w:rPr>
      </w:pPr>
      <w:r w:rsidRPr="00D933C3">
        <w:rPr>
          <w:rFonts w:ascii="Times New Roman" w:hAnsi="Times New Roman" w:cs="Times New Roman"/>
          <w:sz w:val="24"/>
          <w:szCs w:val="24"/>
        </w:rPr>
        <w:lastRenderedPageBreak/>
        <w:t xml:space="preserve">Segundo Monastério e Cavalcante (p.61, 2011) “retomando as principais intuições de </w:t>
      </w:r>
      <w:proofErr w:type="spellStart"/>
      <w:r w:rsidRPr="00D933C3">
        <w:rPr>
          <w:rFonts w:ascii="Times New Roman" w:hAnsi="Times New Roman" w:cs="Times New Roman"/>
          <w:sz w:val="24"/>
          <w:szCs w:val="24"/>
        </w:rPr>
        <w:t>Lösch</w:t>
      </w:r>
      <w:proofErr w:type="spellEnd"/>
      <w:r w:rsidRPr="00D933C3">
        <w:rPr>
          <w:rFonts w:ascii="Times New Roman" w:hAnsi="Times New Roman" w:cs="Times New Roman"/>
          <w:sz w:val="24"/>
          <w:szCs w:val="24"/>
        </w:rPr>
        <w:t>, tudo mais constante, as áreas de mercado serão tão maiores quanto menores forem a densidade da demanda, a elasticidade-preço e os custos de transporte”.</w:t>
      </w:r>
    </w:p>
    <w:p w14:paraId="4F639ADB" w14:textId="77777777" w:rsidR="00625D04" w:rsidRDefault="00625D04" w:rsidP="00625D04">
      <w:pPr>
        <w:spacing w:after="0" w:line="360" w:lineRule="auto"/>
        <w:jc w:val="both"/>
        <w:rPr>
          <w:rFonts w:ascii="Times New Roman" w:hAnsi="Times New Roman" w:cs="Times New Roman"/>
          <w:sz w:val="24"/>
          <w:szCs w:val="24"/>
        </w:rPr>
      </w:pPr>
    </w:p>
    <w:p w14:paraId="3B38A664" w14:textId="77777777" w:rsidR="00625D04" w:rsidRPr="00EC12F6" w:rsidRDefault="00625D04" w:rsidP="00625D04">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3</w:t>
      </w:r>
      <w:r w:rsidRPr="00EC12F6">
        <w:rPr>
          <w:rFonts w:ascii="Times New Roman" w:hAnsi="Times New Roman" w:cs="Times New Roman"/>
          <w:b/>
          <w:bCs/>
          <w:sz w:val="24"/>
          <w:szCs w:val="24"/>
        </w:rPr>
        <w:t>.3. Teoria da Base Econômica</w:t>
      </w:r>
      <w:r>
        <w:rPr>
          <w:rFonts w:ascii="Times New Roman" w:hAnsi="Times New Roman" w:cs="Times New Roman"/>
          <w:b/>
          <w:bCs/>
          <w:sz w:val="24"/>
          <w:szCs w:val="24"/>
        </w:rPr>
        <w:t xml:space="preserve"> e de Base Exportadora</w:t>
      </w:r>
    </w:p>
    <w:p w14:paraId="07541436" w14:textId="77777777" w:rsidR="00625D04" w:rsidRDefault="00625D04" w:rsidP="00625D0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 teoria da base econômica tem seu destaque nas formulações desenvolvidas inicialmente por Douglas North sem uma fundamentação matemática do modelo</w:t>
      </w:r>
      <w:r w:rsidRPr="00C8631F">
        <w:rPr>
          <w:rFonts w:ascii="Times New Roman" w:hAnsi="Times New Roman" w:cs="Times New Roman"/>
          <w:sz w:val="24"/>
          <w:szCs w:val="24"/>
        </w:rPr>
        <w:t xml:space="preserve">, através da obra intitulada </w:t>
      </w:r>
      <w:proofErr w:type="spellStart"/>
      <w:r w:rsidRPr="00C8631F">
        <w:rPr>
          <w:rFonts w:ascii="Times New Roman" w:hAnsi="Times New Roman" w:cs="Times New Roman"/>
          <w:i/>
          <w:iCs/>
          <w:sz w:val="24"/>
          <w:szCs w:val="24"/>
        </w:rPr>
        <w:t>Location</w:t>
      </w:r>
      <w:proofErr w:type="spellEnd"/>
      <w:r w:rsidRPr="00C8631F">
        <w:rPr>
          <w:rFonts w:ascii="Times New Roman" w:hAnsi="Times New Roman" w:cs="Times New Roman"/>
          <w:i/>
          <w:iCs/>
          <w:sz w:val="24"/>
          <w:szCs w:val="24"/>
        </w:rPr>
        <w:t xml:space="preserve"> </w:t>
      </w:r>
      <w:proofErr w:type="spellStart"/>
      <w:r w:rsidRPr="00C8631F">
        <w:rPr>
          <w:rFonts w:ascii="Times New Roman" w:hAnsi="Times New Roman" w:cs="Times New Roman"/>
          <w:i/>
          <w:iCs/>
          <w:sz w:val="24"/>
          <w:szCs w:val="24"/>
        </w:rPr>
        <w:t>Theory</w:t>
      </w:r>
      <w:proofErr w:type="spellEnd"/>
      <w:r w:rsidRPr="00C8631F">
        <w:rPr>
          <w:rFonts w:ascii="Times New Roman" w:hAnsi="Times New Roman" w:cs="Times New Roman"/>
          <w:i/>
          <w:iCs/>
          <w:sz w:val="24"/>
          <w:szCs w:val="24"/>
        </w:rPr>
        <w:t xml:space="preserve"> </w:t>
      </w:r>
      <w:proofErr w:type="spellStart"/>
      <w:r w:rsidRPr="00C8631F">
        <w:rPr>
          <w:rFonts w:ascii="Times New Roman" w:hAnsi="Times New Roman" w:cs="Times New Roman"/>
          <w:i/>
          <w:iCs/>
          <w:sz w:val="24"/>
          <w:szCs w:val="24"/>
        </w:rPr>
        <w:t>and</w:t>
      </w:r>
      <w:proofErr w:type="spellEnd"/>
      <w:r w:rsidRPr="00C8631F">
        <w:rPr>
          <w:rFonts w:ascii="Times New Roman" w:hAnsi="Times New Roman" w:cs="Times New Roman"/>
          <w:i/>
          <w:iCs/>
          <w:sz w:val="24"/>
          <w:szCs w:val="24"/>
        </w:rPr>
        <w:t xml:space="preserve"> Regional Economic </w:t>
      </w:r>
      <w:proofErr w:type="spellStart"/>
      <w:r w:rsidRPr="00C8631F">
        <w:rPr>
          <w:rFonts w:ascii="Times New Roman" w:hAnsi="Times New Roman" w:cs="Times New Roman"/>
          <w:i/>
          <w:iCs/>
          <w:sz w:val="24"/>
          <w:szCs w:val="24"/>
        </w:rPr>
        <w:t>Growth</w:t>
      </w:r>
      <w:proofErr w:type="spellEnd"/>
      <w:r w:rsidRPr="00C8631F">
        <w:rPr>
          <w:rFonts w:ascii="Times New Roman" w:hAnsi="Times New Roman" w:cs="Times New Roman"/>
          <w:sz w:val="24"/>
          <w:szCs w:val="24"/>
        </w:rPr>
        <w:t>, escrita em 1955</w:t>
      </w:r>
      <w:r>
        <w:rPr>
          <w:rFonts w:ascii="Times New Roman" w:hAnsi="Times New Roman" w:cs="Times New Roman"/>
          <w:sz w:val="24"/>
          <w:szCs w:val="24"/>
        </w:rPr>
        <w:t xml:space="preserve">. A tese central é baseada numa renda excedente regional gerada pela comercialização de produtor com o exterior, propiciando o crescimento regional. North desenvolveu uma teoria na qual um fator básico associado ao crescimento é a exportação. </w:t>
      </w:r>
    </w:p>
    <w:p w14:paraId="3F9812D7" w14:textId="0CB8E26E" w:rsidR="00625D04" w:rsidRDefault="00625D04" w:rsidP="00625D0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Segundo North (1977) os estudos realizados no campo da Teoria da Localização, </w:t>
      </w:r>
      <w:r w:rsidR="001B630A">
        <w:rPr>
          <w:rFonts w:ascii="Times New Roman" w:hAnsi="Times New Roman" w:cs="Times New Roman"/>
          <w:sz w:val="24"/>
          <w:szCs w:val="24"/>
        </w:rPr>
        <w:t>mesmo tendo</w:t>
      </w:r>
      <w:r>
        <w:rPr>
          <w:rFonts w:ascii="Times New Roman" w:hAnsi="Times New Roman" w:cs="Times New Roman"/>
          <w:sz w:val="24"/>
          <w:szCs w:val="24"/>
        </w:rPr>
        <w:t xml:space="preserve"> destacado algumas vezes as implicações de suas análises para o crescimento regional, limitou-se na falta de embasamento para a análise do desenvolvimento regional, tendo em vista que </w:t>
      </w:r>
      <w:r w:rsidRPr="00C65513">
        <w:rPr>
          <w:rFonts w:ascii="Times New Roman" w:hAnsi="Times New Roman" w:cs="Times New Roman"/>
          <w:sz w:val="24"/>
          <w:szCs w:val="24"/>
        </w:rPr>
        <w:t xml:space="preserve">não foram além dessas observações </w:t>
      </w:r>
      <w:r>
        <w:rPr>
          <w:rFonts w:ascii="Times New Roman" w:hAnsi="Times New Roman" w:cs="Times New Roman"/>
          <w:sz w:val="24"/>
          <w:szCs w:val="24"/>
        </w:rPr>
        <w:t>circunstanciais</w:t>
      </w:r>
      <w:r w:rsidRPr="00C65513">
        <w:rPr>
          <w:rFonts w:ascii="Times New Roman" w:hAnsi="Times New Roman" w:cs="Times New Roman"/>
          <w:sz w:val="24"/>
          <w:szCs w:val="24"/>
        </w:rPr>
        <w:t xml:space="preserve">, </w:t>
      </w:r>
      <w:r>
        <w:rPr>
          <w:rFonts w:ascii="Times New Roman" w:hAnsi="Times New Roman" w:cs="Times New Roman"/>
          <w:sz w:val="24"/>
          <w:szCs w:val="24"/>
        </w:rPr>
        <w:t>mostrando</w:t>
      </w:r>
      <w:r w:rsidRPr="00C65513">
        <w:rPr>
          <w:rFonts w:ascii="Times New Roman" w:hAnsi="Times New Roman" w:cs="Times New Roman"/>
          <w:sz w:val="24"/>
          <w:szCs w:val="24"/>
        </w:rPr>
        <w:t xml:space="preserve"> alguma análise</w:t>
      </w:r>
      <w:r>
        <w:rPr>
          <w:rFonts w:ascii="Times New Roman" w:hAnsi="Times New Roman" w:cs="Times New Roman"/>
          <w:sz w:val="24"/>
          <w:szCs w:val="24"/>
        </w:rPr>
        <w:t xml:space="preserve"> </w:t>
      </w:r>
      <w:r w:rsidRPr="00C65513">
        <w:rPr>
          <w:rFonts w:ascii="Times New Roman" w:hAnsi="Times New Roman" w:cs="Times New Roman"/>
          <w:sz w:val="24"/>
          <w:szCs w:val="24"/>
        </w:rPr>
        <w:t>sistemática</w:t>
      </w:r>
      <w:r>
        <w:rPr>
          <w:rFonts w:ascii="Times New Roman" w:hAnsi="Times New Roman" w:cs="Times New Roman"/>
          <w:sz w:val="24"/>
          <w:szCs w:val="24"/>
        </w:rPr>
        <w:t xml:space="preserve">. </w:t>
      </w:r>
    </w:p>
    <w:p w14:paraId="481796ED" w14:textId="77777777" w:rsidR="00625D04" w:rsidRDefault="00625D04" w:rsidP="00625D04">
      <w:pPr>
        <w:tabs>
          <w:tab w:val="left" w:pos="3010"/>
        </w:tabs>
        <w:spacing w:after="0" w:line="360" w:lineRule="auto"/>
        <w:ind w:firstLine="709"/>
        <w:jc w:val="both"/>
        <w:rPr>
          <w:rFonts w:ascii="Times New Roman" w:hAnsi="Times New Roman" w:cs="Times New Roman"/>
          <w:sz w:val="24"/>
          <w:szCs w:val="24"/>
        </w:rPr>
      </w:pPr>
      <w:r w:rsidRPr="00BE3C60">
        <w:rPr>
          <w:rFonts w:ascii="Times New Roman" w:hAnsi="Times New Roman" w:cs="Times New Roman"/>
          <w:sz w:val="24"/>
          <w:szCs w:val="24"/>
        </w:rPr>
        <w:t>North (1977) destacou as etapas que as regiões passavam no curso de seu desenvolvimento, são ela</w:t>
      </w:r>
      <w:r>
        <w:rPr>
          <w:rFonts w:ascii="Times New Roman" w:hAnsi="Times New Roman" w:cs="Times New Roman"/>
          <w:sz w:val="24"/>
          <w:szCs w:val="24"/>
        </w:rPr>
        <w:t>s</w:t>
      </w:r>
      <w:r w:rsidRPr="00BE3C60">
        <w:rPr>
          <w:rFonts w:ascii="Times New Roman" w:hAnsi="Times New Roman" w:cs="Times New Roman"/>
          <w:sz w:val="24"/>
          <w:szCs w:val="24"/>
        </w:rPr>
        <w:t xml:space="preserve">: i) economia de subsistência, autossuficiente e agrícola, localizada de acordo com </w:t>
      </w:r>
      <w:r>
        <w:rPr>
          <w:rFonts w:ascii="Times New Roman" w:hAnsi="Times New Roman" w:cs="Times New Roman"/>
          <w:sz w:val="24"/>
          <w:szCs w:val="24"/>
        </w:rPr>
        <w:t>a distribuição de</w:t>
      </w:r>
      <w:r w:rsidRPr="00BE3C60">
        <w:rPr>
          <w:rFonts w:ascii="Times New Roman" w:hAnsi="Times New Roman" w:cs="Times New Roman"/>
          <w:sz w:val="24"/>
          <w:szCs w:val="24"/>
        </w:rPr>
        <w:t xml:space="preserve"> recursos naturais; </w:t>
      </w:r>
      <w:proofErr w:type="spellStart"/>
      <w:r w:rsidRPr="00BE3C60">
        <w:rPr>
          <w:rFonts w:ascii="Times New Roman" w:hAnsi="Times New Roman" w:cs="Times New Roman"/>
          <w:sz w:val="24"/>
          <w:szCs w:val="24"/>
        </w:rPr>
        <w:t>ii</w:t>
      </w:r>
      <w:proofErr w:type="spellEnd"/>
      <w:r w:rsidRPr="00BE3C60">
        <w:rPr>
          <w:rFonts w:ascii="Times New Roman" w:hAnsi="Times New Roman" w:cs="Times New Roman"/>
          <w:sz w:val="24"/>
          <w:szCs w:val="24"/>
        </w:rPr>
        <w:t xml:space="preserve">) desenvolvimento do comércio e da especialização local, fomentados por melhorias nos transportes, e localização determinada pela </w:t>
      </w:r>
      <w:r>
        <w:rPr>
          <w:rFonts w:ascii="Times New Roman" w:hAnsi="Times New Roman" w:cs="Times New Roman"/>
          <w:sz w:val="24"/>
          <w:szCs w:val="24"/>
        </w:rPr>
        <w:t xml:space="preserve">localização da </w:t>
      </w:r>
      <w:r w:rsidRPr="00BE3C60">
        <w:rPr>
          <w:rFonts w:ascii="Times New Roman" w:hAnsi="Times New Roman" w:cs="Times New Roman"/>
          <w:sz w:val="24"/>
          <w:szCs w:val="24"/>
        </w:rPr>
        <w:t xml:space="preserve">“camada básica” da população; </w:t>
      </w:r>
      <w:proofErr w:type="spellStart"/>
      <w:r w:rsidRPr="00BE3C60">
        <w:rPr>
          <w:rFonts w:ascii="Times New Roman" w:hAnsi="Times New Roman" w:cs="Times New Roman"/>
          <w:sz w:val="24"/>
          <w:szCs w:val="24"/>
        </w:rPr>
        <w:t>iii</w:t>
      </w:r>
      <w:proofErr w:type="spellEnd"/>
      <w:r w:rsidRPr="00BE3C60">
        <w:rPr>
          <w:rFonts w:ascii="Times New Roman" w:hAnsi="Times New Roman" w:cs="Times New Roman"/>
          <w:sz w:val="24"/>
          <w:szCs w:val="24"/>
        </w:rPr>
        <w:t xml:space="preserve">) comercialização inter-regional e diversificação das atividades agropecuárias; </w:t>
      </w:r>
      <w:proofErr w:type="spellStart"/>
      <w:r w:rsidRPr="00BE3C60">
        <w:rPr>
          <w:rFonts w:ascii="Times New Roman" w:hAnsi="Times New Roman" w:cs="Times New Roman"/>
          <w:sz w:val="24"/>
          <w:szCs w:val="24"/>
        </w:rPr>
        <w:t>iv</w:t>
      </w:r>
      <w:proofErr w:type="spellEnd"/>
      <w:r w:rsidRPr="00BE3C60">
        <w:rPr>
          <w:rFonts w:ascii="Times New Roman" w:hAnsi="Times New Roman" w:cs="Times New Roman"/>
          <w:sz w:val="24"/>
          <w:szCs w:val="24"/>
        </w:rPr>
        <w:t xml:space="preserve">) industrialização (manufaturas e mineração) impulsionada pelo crescimento da população e dos rendimentos decrescentes da agricultura e da indústrias extrativas; e v) </w:t>
      </w:r>
      <w:r>
        <w:rPr>
          <w:rFonts w:ascii="Times New Roman" w:hAnsi="Times New Roman" w:cs="Times New Roman"/>
          <w:sz w:val="24"/>
          <w:szCs w:val="24"/>
        </w:rPr>
        <w:t xml:space="preserve">a etapa </w:t>
      </w:r>
      <w:r w:rsidRPr="00BE3C60">
        <w:rPr>
          <w:rFonts w:ascii="Times New Roman" w:hAnsi="Times New Roman" w:cs="Times New Roman"/>
          <w:sz w:val="24"/>
          <w:szCs w:val="24"/>
        </w:rPr>
        <w:t>final de desenvolvimento</w:t>
      </w:r>
      <w:r>
        <w:rPr>
          <w:rFonts w:ascii="Times New Roman" w:hAnsi="Times New Roman" w:cs="Times New Roman"/>
          <w:sz w:val="24"/>
          <w:szCs w:val="24"/>
        </w:rPr>
        <w:t xml:space="preserve"> regional é</w:t>
      </w:r>
      <w:r w:rsidRPr="00BE3C60">
        <w:rPr>
          <w:rFonts w:ascii="Times New Roman" w:hAnsi="Times New Roman" w:cs="Times New Roman"/>
          <w:sz w:val="24"/>
          <w:szCs w:val="24"/>
        </w:rPr>
        <w:t xml:space="preserve"> caracterizado pela especialização em atividades terciárias para exportação. </w:t>
      </w:r>
    </w:p>
    <w:p w14:paraId="4C05CD40" w14:textId="77777777" w:rsidR="00625D04" w:rsidRDefault="00625D04" w:rsidP="00625D0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Segunda Lima </w:t>
      </w:r>
      <w:r w:rsidRPr="00125D35">
        <w:rPr>
          <w:rFonts w:ascii="Times New Roman" w:hAnsi="Times New Roman" w:cs="Times New Roman"/>
          <w:i/>
          <w:iCs/>
          <w:sz w:val="24"/>
          <w:szCs w:val="24"/>
        </w:rPr>
        <w:t>et al</w:t>
      </w:r>
      <w:r>
        <w:rPr>
          <w:rFonts w:ascii="Times New Roman" w:hAnsi="Times New Roman" w:cs="Times New Roman"/>
          <w:sz w:val="24"/>
          <w:szCs w:val="24"/>
        </w:rPr>
        <w:t xml:space="preserve"> (2013) a teoria de base exportadora, usa dois conceitos fundamentais da teoria de base econômica, o de atividades básicas e atividades não básicas. Para </w:t>
      </w:r>
      <w:proofErr w:type="spellStart"/>
      <w:r>
        <w:rPr>
          <w:rFonts w:ascii="Times New Roman" w:hAnsi="Times New Roman" w:cs="Times New Roman"/>
          <w:sz w:val="24"/>
          <w:szCs w:val="24"/>
        </w:rPr>
        <w:t>Piffer</w:t>
      </w:r>
      <w:proofErr w:type="spellEnd"/>
      <w:r>
        <w:rPr>
          <w:rFonts w:ascii="Times New Roman" w:hAnsi="Times New Roman" w:cs="Times New Roman"/>
          <w:sz w:val="24"/>
          <w:szCs w:val="24"/>
        </w:rPr>
        <w:t xml:space="preserve"> (2009), a</w:t>
      </w:r>
      <w:r w:rsidRPr="005E4BA0">
        <w:rPr>
          <w:rFonts w:ascii="Times New Roman" w:hAnsi="Times New Roman" w:cs="Times New Roman"/>
          <w:sz w:val="24"/>
          <w:szCs w:val="24"/>
        </w:rPr>
        <w:t xml:space="preserve">s </w:t>
      </w:r>
      <w:r>
        <w:rPr>
          <w:rFonts w:ascii="Times New Roman" w:hAnsi="Times New Roman" w:cs="Times New Roman"/>
          <w:sz w:val="24"/>
          <w:szCs w:val="24"/>
        </w:rPr>
        <w:t xml:space="preserve">atividades </w:t>
      </w:r>
      <w:r w:rsidRPr="005E4BA0">
        <w:rPr>
          <w:rFonts w:ascii="Times New Roman" w:hAnsi="Times New Roman" w:cs="Times New Roman"/>
          <w:sz w:val="24"/>
          <w:szCs w:val="24"/>
        </w:rPr>
        <w:t>básicas</w:t>
      </w:r>
      <w:r>
        <w:rPr>
          <w:rFonts w:ascii="Times New Roman" w:hAnsi="Times New Roman" w:cs="Times New Roman"/>
          <w:sz w:val="24"/>
          <w:szCs w:val="24"/>
        </w:rPr>
        <w:t xml:space="preserve"> são aquelas que tem seus produtos e serviços direcionados para exportação, ou seja,</w:t>
      </w:r>
      <w:r w:rsidRPr="005E4BA0">
        <w:rPr>
          <w:rFonts w:ascii="Times New Roman" w:hAnsi="Times New Roman" w:cs="Times New Roman"/>
          <w:sz w:val="24"/>
          <w:szCs w:val="24"/>
        </w:rPr>
        <w:t xml:space="preserve"> </w:t>
      </w:r>
      <w:r>
        <w:rPr>
          <w:rFonts w:ascii="Times New Roman" w:hAnsi="Times New Roman" w:cs="Times New Roman"/>
          <w:sz w:val="24"/>
          <w:szCs w:val="24"/>
        </w:rPr>
        <w:t>com</w:t>
      </w:r>
      <w:r w:rsidRPr="005E4BA0">
        <w:rPr>
          <w:rFonts w:ascii="Times New Roman" w:hAnsi="Times New Roman" w:cs="Times New Roman"/>
          <w:sz w:val="24"/>
          <w:szCs w:val="24"/>
        </w:rPr>
        <w:t xml:space="preserve"> destino </w:t>
      </w:r>
      <w:r>
        <w:rPr>
          <w:rFonts w:ascii="Times New Roman" w:hAnsi="Times New Roman" w:cs="Times New Roman"/>
          <w:sz w:val="24"/>
          <w:szCs w:val="24"/>
        </w:rPr>
        <w:t xml:space="preserve">a </w:t>
      </w:r>
      <w:r w:rsidRPr="005E4BA0">
        <w:rPr>
          <w:rFonts w:ascii="Times New Roman" w:hAnsi="Times New Roman" w:cs="Times New Roman"/>
          <w:sz w:val="24"/>
          <w:szCs w:val="24"/>
        </w:rPr>
        <w:t>mercados externos à região</w:t>
      </w:r>
      <w:r>
        <w:rPr>
          <w:rFonts w:ascii="Times New Roman" w:hAnsi="Times New Roman" w:cs="Times New Roman"/>
          <w:sz w:val="24"/>
          <w:szCs w:val="24"/>
        </w:rPr>
        <w:t xml:space="preserve">. As atividades </w:t>
      </w:r>
      <w:r w:rsidRPr="005E4BA0">
        <w:rPr>
          <w:rFonts w:ascii="Times New Roman" w:hAnsi="Times New Roman" w:cs="Times New Roman"/>
          <w:sz w:val="24"/>
          <w:szCs w:val="24"/>
        </w:rPr>
        <w:t>não</w:t>
      </w:r>
      <w:r>
        <w:rPr>
          <w:rFonts w:ascii="Times New Roman" w:hAnsi="Times New Roman" w:cs="Times New Roman"/>
          <w:sz w:val="24"/>
          <w:szCs w:val="24"/>
        </w:rPr>
        <w:t xml:space="preserve"> </w:t>
      </w:r>
      <w:r w:rsidRPr="005E4BA0">
        <w:rPr>
          <w:rFonts w:ascii="Times New Roman" w:hAnsi="Times New Roman" w:cs="Times New Roman"/>
          <w:sz w:val="24"/>
          <w:szCs w:val="24"/>
        </w:rPr>
        <w:t>básicas</w:t>
      </w:r>
      <w:r>
        <w:rPr>
          <w:rFonts w:ascii="Times New Roman" w:hAnsi="Times New Roman" w:cs="Times New Roman"/>
          <w:sz w:val="24"/>
          <w:szCs w:val="24"/>
        </w:rPr>
        <w:t xml:space="preserve"> por sua vez,</w:t>
      </w:r>
      <w:r w:rsidRPr="005E4BA0">
        <w:rPr>
          <w:rFonts w:ascii="Times New Roman" w:hAnsi="Times New Roman" w:cs="Times New Roman"/>
          <w:sz w:val="24"/>
          <w:szCs w:val="24"/>
        </w:rPr>
        <w:t xml:space="preserve"> </w:t>
      </w:r>
      <w:r>
        <w:rPr>
          <w:rFonts w:ascii="Times New Roman" w:hAnsi="Times New Roman" w:cs="Times New Roman"/>
          <w:sz w:val="24"/>
          <w:szCs w:val="24"/>
        </w:rPr>
        <w:t>destinam-se a atender a demanda dos mercados locais.</w:t>
      </w:r>
      <w:r w:rsidRPr="005E4BA0">
        <w:rPr>
          <w:rFonts w:ascii="Times New Roman" w:hAnsi="Times New Roman" w:cs="Times New Roman"/>
          <w:sz w:val="24"/>
          <w:szCs w:val="24"/>
        </w:rPr>
        <w:t xml:space="preserve"> </w:t>
      </w:r>
      <w:r>
        <w:rPr>
          <w:rFonts w:ascii="Times New Roman" w:hAnsi="Times New Roman" w:cs="Times New Roman"/>
          <w:sz w:val="24"/>
          <w:szCs w:val="24"/>
        </w:rPr>
        <w:t>Um fator relevante é que</w:t>
      </w:r>
      <w:r w:rsidRPr="005E4BA0">
        <w:rPr>
          <w:rFonts w:ascii="Times New Roman" w:hAnsi="Times New Roman" w:cs="Times New Roman"/>
          <w:sz w:val="24"/>
          <w:szCs w:val="24"/>
        </w:rPr>
        <w:t xml:space="preserve"> a </w:t>
      </w:r>
      <w:r w:rsidRPr="005E4BA0">
        <w:rPr>
          <w:rFonts w:ascii="Times New Roman" w:hAnsi="Times New Roman" w:cs="Times New Roman"/>
          <w:sz w:val="24"/>
          <w:szCs w:val="24"/>
        </w:rPr>
        <w:lastRenderedPageBreak/>
        <w:t xml:space="preserve">expansão das atividades básicas </w:t>
      </w:r>
      <w:r>
        <w:rPr>
          <w:rFonts w:ascii="Times New Roman" w:hAnsi="Times New Roman" w:cs="Times New Roman"/>
          <w:sz w:val="24"/>
          <w:szCs w:val="24"/>
        </w:rPr>
        <w:t>leva</w:t>
      </w:r>
      <w:r w:rsidRPr="005E4BA0">
        <w:rPr>
          <w:rFonts w:ascii="Times New Roman" w:hAnsi="Times New Roman" w:cs="Times New Roman"/>
          <w:sz w:val="24"/>
          <w:szCs w:val="24"/>
        </w:rPr>
        <w:t xml:space="preserve"> o crescimento das</w:t>
      </w:r>
      <w:r>
        <w:rPr>
          <w:rFonts w:ascii="Times New Roman" w:hAnsi="Times New Roman" w:cs="Times New Roman"/>
          <w:sz w:val="24"/>
          <w:szCs w:val="24"/>
        </w:rPr>
        <w:t xml:space="preserve"> </w:t>
      </w:r>
      <w:r w:rsidRPr="005E4BA0">
        <w:rPr>
          <w:rFonts w:ascii="Times New Roman" w:hAnsi="Times New Roman" w:cs="Times New Roman"/>
          <w:sz w:val="24"/>
          <w:szCs w:val="24"/>
        </w:rPr>
        <w:t>não-básicas</w:t>
      </w:r>
      <w:r>
        <w:rPr>
          <w:rFonts w:ascii="Times New Roman" w:hAnsi="Times New Roman" w:cs="Times New Roman"/>
          <w:sz w:val="24"/>
          <w:szCs w:val="24"/>
        </w:rPr>
        <w:t>, assim</w:t>
      </w:r>
      <w:r w:rsidRPr="005E4BA0">
        <w:rPr>
          <w:rFonts w:ascii="Times New Roman" w:hAnsi="Times New Roman" w:cs="Times New Roman"/>
          <w:sz w:val="24"/>
          <w:szCs w:val="24"/>
        </w:rPr>
        <w:t>,</w:t>
      </w:r>
      <w:r>
        <w:rPr>
          <w:rFonts w:ascii="Times New Roman" w:hAnsi="Times New Roman" w:cs="Times New Roman"/>
          <w:sz w:val="24"/>
          <w:szCs w:val="24"/>
        </w:rPr>
        <w:t xml:space="preserve"> é fundamental compreender</w:t>
      </w:r>
      <w:r w:rsidRPr="005E4BA0">
        <w:rPr>
          <w:rFonts w:ascii="Times New Roman" w:hAnsi="Times New Roman" w:cs="Times New Roman"/>
          <w:sz w:val="24"/>
          <w:szCs w:val="24"/>
        </w:rPr>
        <w:t xml:space="preserve"> </w:t>
      </w:r>
      <w:r>
        <w:rPr>
          <w:rFonts w:ascii="Times New Roman" w:hAnsi="Times New Roman" w:cs="Times New Roman"/>
          <w:sz w:val="24"/>
          <w:szCs w:val="24"/>
        </w:rPr>
        <w:t>os fatores que estão associados ao desenvolvimento dos</w:t>
      </w:r>
      <w:r w:rsidRPr="005E4BA0">
        <w:rPr>
          <w:rFonts w:ascii="Times New Roman" w:hAnsi="Times New Roman" w:cs="Times New Roman"/>
          <w:sz w:val="24"/>
          <w:szCs w:val="24"/>
        </w:rPr>
        <w:t xml:space="preserve"> produtos</w:t>
      </w:r>
      <w:r>
        <w:rPr>
          <w:rFonts w:ascii="Times New Roman" w:hAnsi="Times New Roman" w:cs="Times New Roman"/>
          <w:sz w:val="24"/>
          <w:szCs w:val="24"/>
        </w:rPr>
        <w:t xml:space="preserve"> </w:t>
      </w:r>
      <w:r w:rsidRPr="005E4BA0">
        <w:rPr>
          <w:rFonts w:ascii="Times New Roman" w:hAnsi="Times New Roman" w:cs="Times New Roman"/>
          <w:sz w:val="24"/>
          <w:szCs w:val="24"/>
        </w:rPr>
        <w:t xml:space="preserve">básicos </w:t>
      </w:r>
      <w:r>
        <w:rPr>
          <w:rFonts w:ascii="Times New Roman" w:hAnsi="Times New Roman" w:cs="Times New Roman"/>
          <w:sz w:val="24"/>
          <w:szCs w:val="24"/>
        </w:rPr>
        <w:t>da região</w:t>
      </w:r>
      <w:r w:rsidRPr="005E4BA0">
        <w:rPr>
          <w:rFonts w:ascii="Times New Roman" w:hAnsi="Times New Roman" w:cs="Times New Roman"/>
          <w:sz w:val="24"/>
          <w:szCs w:val="24"/>
        </w:rPr>
        <w:t>.</w:t>
      </w:r>
      <w:r>
        <w:rPr>
          <w:rFonts w:ascii="Times New Roman" w:hAnsi="Times New Roman" w:cs="Times New Roman"/>
          <w:sz w:val="24"/>
          <w:szCs w:val="24"/>
        </w:rPr>
        <w:t xml:space="preserve"> </w:t>
      </w:r>
    </w:p>
    <w:p w14:paraId="159FF136" w14:textId="77777777" w:rsidR="00625D04" w:rsidRPr="0006316F" w:rsidRDefault="00625D04" w:rsidP="00625D04">
      <w:pPr>
        <w:tabs>
          <w:tab w:val="left" w:pos="3010"/>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Embora tenham muita semelhança, </w:t>
      </w:r>
      <w:r w:rsidRPr="0092338E">
        <w:rPr>
          <w:rFonts w:ascii="Times New Roman" w:hAnsi="Times New Roman" w:cs="Times New Roman"/>
          <w:sz w:val="24"/>
          <w:szCs w:val="24"/>
        </w:rPr>
        <w:t xml:space="preserve">essas duas teorias “base econômica” e a “base exportadora” tem uma diferença trivial. Souza (1980, p. 118) afirma que “enquanto o segundo termo se refere às </w:t>
      </w:r>
      <w:r w:rsidRPr="0006316F">
        <w:rPr>
          <w:rFonts w:ascii="Times New Roman" w:hAnsi="Times New Roman" w:cs="Times New Roman"/>
          <w:sz w:val="24"/>
          <w:szCs w:val="24"/>
        </w:rPr>
        <w:t xml:space="preserve">exportações, o primeiro engloba, além destas, as demais variáveis independentes que explicam parcialmente de maneira significativa o nível do produto local”. A teoria de base econômica se preocupa em analisar os efeitos das diversas atividades sendo básicas e não básicas sobre a economia em sua totalidade, à medida que a teoria de base exportadora, considera a exportação o fator essencial para o desenvolvimento da região. </w:t>
      </w:r>
    </w:p>
    <w:p w14:paraId="33F559BE" w14:textId="77777777" w:rsidR="00625D04" w:rsidRPr="0006316F" w:rsidRDefault="00625D04" w:rsidP="006440CE">
      <w:pPr>
        <w:tabs>
          <w:tab w:val="left" w:pos="3010"/>
        </w:tabs>
        <w:spacing w:after="0" w:line="360" w:lineRule="auto"/>
        <w:ind w:firstLine="709"/>
        <w:jc w:val="both"/>
        <w:rPr>
          <w:rFonts w:ascii="Times New Roman" w:hAnsi="Times New Roman" w:cs="Times New Roman"/>
          <w:sz w:val="24"/>
          <w:szCs w:val="24"/>
        </w:rPr>
      </w:pPr>
      <w:r w:rsidRPr="0006316F">
        <w:rPr>
          <w:rFonts w:ascii="Times New Roman" w:hAnsi="Times New Roman" w:cs="Times New Roman"/>
          <w:sz w:val="24"/>
          <w:szCs w:val="24"/>
        </w:rPr>
        <w:t xml:space="preserve">Diante do exposto, percebe-se que para Von </w:t>
      </w:r>
      <w:proofErr w:type="spellStart"/>
      <w:r w:rsidRPr="0006316F">
        <w:rPr>
          <w:rFonts w:ascii="Times New Roman" w:hAnsi="Times New Roman" w:cs="Times New Roman"/>
          <w:sz w:val="24"/>
          <w:szCs w:val="24"/>
        </w:rPr>
        <w:t>Thünen</w:t>
      </w:r>
      <w:proofErr w:type="spellEnd"/>
      <w:r w:rsidRPr="0006316F">
        <w:rPr>
          <w:rFonts w:ascii="Times New Roman" w:hAnsi="Times New Roman" w:cs="Times New Roman"/>
          <w:sz w:val="24"/>
          <w:szCs w:val="24"/>
        </w:rPr>
        <w:t xml:space="preserve">, Weber e </w:t>
      </w:r>
      <w:proofErr w:type="spellStart"/>
      <w:r w:rsidRPr="0006316F">
        <w:rPr>
          <w:rFonts w:ascii="Times New Roman" w:hAnsi="Times New Roman" w:cs="Times New Roman"/>
          <w:sz w:val="24"/>
          <w:szCs w:val="24"/>
        </w:rPr>
        <w:t>Lösch</w:t>
      </w:r>
      <w:proofErr w:type="spellEnd"/>
      <w:r w:rsidRPr="0006316F">
        <w:rPr>
          <w:rFonts w:ascii="Times New Roman" w:hAnsi="Times New Roman" w:cs="Times New Roman"/>
          <w:sz w:val="24"/>
          <w:szCs w:val="24"/>
        </w:rPr>
        <w:t>, a escolha da localização das empresas está relacionada à maximização do lucro e a disponibilidade dos fatores básicos de produção, como matéria prima e mão de obra, propiciando aglomeração na região com essas peculiaridades (CUNHA, 2008).</w:t>
      </w:r>
    </w:p>
    <w:p w14:paraId="66809F8B" w14:textId="77777777" w:rsidR="00625D04" w:rsidRDefault="00625D04" w:rsidP="006440CE">
      <w:pPr>
        <w:spacing w:after="0" w:line="360" w:lineRule="auto"/>
        <w:jc w:val="both"/>
        <w:rPr>
          <w:rFonts w:ascii="Times New Roman" w:hAnsi="Times New Roman" w:cs="Times New Roman"/>
          <w:sz w:val="24"/>
          <w:szCs w:val="24"/>
        </w:rPr>
      </w:pPr>
    </w:p>
    <w:p w14:paraId="6F75894F" w14:textId="77777777" w:rsidR="00625D04" w:rsidRDefault="00625D04" w:rsidP="006440CE">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4. RESULTADOS E DISCUSSÕES </w:t>
      </w:r>
    </w:p>
    <w:p w14:paraId="7454E347" w14:textId="61C4AE1E" w:rsidR="00264F7F" w:rsidRDefault="008653EF" w:rsidP="006440CE">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sz w:val="24"/>
          <w:szCs w:val="24"/>
        </w:rPr>
        <w:t>A tabela 1 apresenta o número de empregos formais nos setores da economia para cada umas das microrregiões do estado de Pernambuco, bem como a representatividade relativa de cada microrregião em cada setor. Pode-se extrair que os setores mais significativos em número de trabalhadores, analisando em nível estadual, são serviços e comércio, respectivamente.  E o setor que tem o menor número de vínculos formais é a agropecuária.    Nesse setor, é evidente o desempenho da microrregião de Petrolina, possuindo o maior número de vínculos empregatícios formais.</w:t>
      </w:r>
    </w:p>
    <w:p w14:paraId="04F24E47" w14:textId="5EB1AE64" w:rsidR="00625D04" w:rsidRDefault="00625D04">
      <w:pPr>
        <w:spacing w:after="0" w:line="240" w:lineRule="auto"/>
        <w:jc w:val="both"/>
        <w:rPr>
          <w:rFonts w:ascii="Times New Roman" w:hAnsi="Times New Roman" w:cs="Times New Roman"/>
          <w:b/>
          <w:bCs/>
          <w:sz w:val="24"/>
          <w:szCs w:val="24"/>
        </w:rPr>
      </w:pPr>
    </w:p>
    <w:p w14:paraId="1B404408" w14:textId="77777777" w:rsidR="000C34C4" w:rsidRDefault="000C34C4">
      <w:pPr>
        <w:spacing w:after="0" w:line="240" w:lineRule="auto"/>
        <w:jc w:val="both"/>
        <w:rPr>
          <w:rFonts w:ascii="Times New Roman" w:hAnsi="Times New Roman" w:cs="Times New Roman"/>
          <w:b/>
          <w:bCs/>
          <w:sz w:val="24"/>
          <w:szCs w:val="24"/>
        </w:rPr>
        <w:sectPr w:rsidR="000C34C4">
          <w:headerReference w:type="default" r:id="rId8"/>
          <w:footerReference w:type="default" r:id="rId9"/>
          <w:pgSz w:w="11906" w:h="16838"/>
          <w:pgMar w:top="1701" w:right="1134" w:bottom="1134" w:left="1701" w:header="851" w:footer="709" w:gutter="0"/>
          <w:cols w:space="708"/>
          <w:docGrid w:linePitch="360"/>
        </w:sectPr>
      </w:pPr>
    </w:p>
    <w:p w14:paraId="5E9E8E93" w14:textId="37272297" w:rsidR="008653EF" w:rsidRPr="00976E15" w:rsidRDefault="008653EF" w:rsidP="008653EF">
      <w:pPr>
        <w:spacing w:after="0" w:line="360" w:lineRule="auto"/>
        <w:jc w:val="center"/>
        <w:rPr>
          <w:rFonts w:ascii="Times New Roman" w:hAnsi="Times New Roman" w:cs="Times New Roman"/>
          <w:b/>
          <w:bCs/>
          <w:sz w:val="24"/>
          <w:szCs w:val="24"/>
        </w:rPr>
      </w:pPr>
      <w:r w:rsidRPr="00976E15">
        <w:rPr>
          <w:rFonts w:ascii="Times New Roman" w:hAnsi="Times New Roman" w:cs="Times New Roman"/>
          <w:b/>
          <w:bCs/>
          <w:sz w:val="24"/>
          <w:szCs w:val="24"/>
        </w:rPr>
        <w:lastRenderedPageBreak/>
        <w:t>Tabela 1: Distribuição do emprego formal nas microrregiões pernambucanas para o período 2010-2019.</w:t>
      </w:r>
    </w:p>
    <w:tbl>
      <w:tblPr>
        <w:tblW w:w="14034" w:type="dxa"/>
        <w:jc w:val="center"/>
        <w:tblCellMar>
          <w:left w:w="70" w:type="dxa"/>
          <w:right w:w="70" w:type="dxa"/>
        </w:tblCellMar>
        <w:tblLook w:val="04A0" w:firstRow="1" w:lastRow="0" w:firstColumn="1" w:lastColumn="0" w:noHBand="0" w:noVBand="1"/>
      </w:tblPr>
      <w:tblGrid>
        <w:gridCol w:w="3261"/>
        <w:gridCol w:w="851"/>
        <w:gridCol w:w="790"/>
        <w:gridCol w:w="790"/>
        <w:gridCol w:w="1113"/>
        <w:gridCol w:w="851"/>
        <w:gridCol w:w="790"/>
        <w:gridCol w:w="1052"/>
        <w:gridCol w:w="851"/>
        <w:gridCol w:w="850"/>
        <w:gridCol w:w="709"/>
        <w:gridCol w:w="992"/>
        <w:gridCol w:w="1134"/>
      </w:tblGrid>
      <w:tr w:rsidR="008653EF" w:rsidRPr="00771DE8" w14:paraId="1ABC6D0A" w14:textId="77777777" w:rsidTr="00975359">
        <w:trPr>
          <w:trHeight w:val="290"/>
          <w:jc w:val="center"/>
        </w:trPr>
        <w:tc>
          <w:tcPr>
            <w:tcW w:w="3261" w:type="dxa"/>
            <w:tcBorders>
              <w:top w:val="single" w:sz="12" w:space="0" w:color="auto"/>
              <w:bottom w:val="single" w:sz="12" w:space="0" w:color="auto"/>
              <w:right w:val="single" w:sz="12" w:space="0" w:color="auto"/>
            </w:tcBorders>
            <w:shd w:val="clear" w:color="auto" w:fill="auto"/>
            <w:noWrap/>
            <w:vAlign w:val="center"/>
            <w:hideMark/>
          </w:tcPr>
          <w:p w14:paraId="03D08841" w14:textId="77777777" w:rsidR="008653EF" w:rsidRPr="00771DE8" w:rsidRDefault="008653EF" w:rsidP="008B6F9B">
            <w:pPr>
              <w:spacing w:after="0" w:line="240" w:lineRule="auto"/>
              <w:jc w:val="center"/>
              <w:rPr>
                <w:rFonts w:ascii="Times New Roman" w:eastAsia="Times New Roman" w:hAnsi="Times New Roman" w:cs="Times New Roman"/>
                <w:b/>
                <w:bCs/>
                <w:color w:val="000000"/>
                <w:sz w:val="20"/>
                <w:szCs w:val="20"/>
                <w:lang w:eastAsia="pt-BR"/>
              </w:rPr>
            </w:pPr>
            <w:r w:rsidRPr="00771DE8">
              <w:rPr>
                <w:rFonts w:ascii="Times New Roman" w:eastAsia="Times New Roman" w:hAnsi="Times New Roman" w:cs="Times New Roman"/>
                <w:b/>
                <w:bCs/>
                <w:color w:val="000000"/>
                <w:sz w:val="20"/>
                <w:szCs w:val="20"/>
                <w:lang w:eastAsia="pt-BR"/>
              </w:rPr>
              <w:t>Microrregião</w:t>
            </w:r>
          </w:p>
        </w:tc>
        <w:tc>
          <w:tcPr>
            <w:tcW w:w="1641" w:type="dxa"/>
            <w:gridSpan w:val="2"/>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7207D9D6" w14:textId="77777777" w:rsidR="008653EF" w:rsidRPr="00771DE8" w:rsidRDefault="008653EF" w:rsidP="008B6F9B">
            <w:pPr>
              <w:spacing w:after="0" w:line="240" w:lineRule="auto"/>
              <w:jc w:val="center"/>
              <w:rPr>
                <w:rFonts w:ascii="Times New Roman" w:eastAsia="Times New Roman" w:hAnsi="Times New Roman" w:cs="Times New Roman"/>
                <w:b/>
                <w:bCs/>
                <w:color w:val="000000"/>
                <w:sz w:val="20"/>
                <w:szCs w:val="20"/>
                <w:lang w:eastAsia="pt-BR"/>
              </w:rPr>
            </w:pPr>
            <w:r w:rsidRPr="00771DE8">
              <w:rPr>
                <w:rFonts w:ascii="Times New Roman" w:eastAsia="Times New Roman" w:hAnsi="Times New Roman" w:cs="Times New Roman"/>
                <w:b/>
                <w:bCs/>
                <w:color w:val="000000"/>
                <w:sz w:val="20"/>
                <w:szCs w:val="20"/>
                <w:lang w:eastAsia="pt-BR"/>
              </w:rPr>
              <w:t>Indústria</w:t>
            </w:r>
          </w:p>
        </w:tc>
        <w:tc>
          <w:tcPr>
            <w:tcW w:w="1903" w:type="dxa"/>
            <w:gridSpan w:val="2"/>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323CD7BC" w14:textId="77777777" w:rsidR="008653EF" w:rsidRPr="00771DE8" w:rsidRDefault="008653EF" w:rsidP="008B6F9B">
            <w:pPr>
              <w:spacing w:after="0" w:line="240" w:lineRule="auto"/>
              <w:jc w:val="center"/>
              <w:rPr>
                <w:rFonts w:ascii="Times New Roman" w:eastAsia="Times New Roman" w:hAnsi="Times New Roman" w:cs="Times New Roman"/>
                <w:b/>
                <w:bCs/>
                <w:color w:val="000000"/>
                <w:sz w:val="20"/>
                <w:szCs w:val="20"/>
                <w:lang w:eastAsia="pt-BR"/>
              </w:rPr>
            </w:pPr>
            <w:r w:rsidRPr="00771DE8">
              <w:rPr>
                <w:rFonts w:ascii="Times New Roman" w:eastAsia="Times New Roman" w:hAnsi="Times New Roman" w:cs="Times New Roman"/>
                <w:b/>
                <w:bCs/>
                <w:color w:val="000000"/>
                <w:sz w:val="20"/>
                <w:szCs w:val="20"/>
                <w:lang w:eastAsia="pt-BR"/>
              </w:rPr>
              <w:t>Construção civil</w:t>
            </w:r>
          </w:p>
        </w:tc>
        <w:tc>
          <w:tcPr>
            <w:tcW w:w="1641" w:type="dxa"/>
            <w:gridSpan w:val="2"/>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632D1DD6" w14:textId="77777777" w:rsidR="008653EF" w:rsidRPr="00771DE8" w:rsidRDefault="008653EF" w:rsidP="008B6F9B">
            <w:pPr>
              <w:spacing w:after="0" w:line="240" w:lineRule="auto"/>
              <w:jc w:val="center"/>
              <w:rPr>
                <w:rFonts w:ascii="Times New Roman" w:eastAsia="Times New Roman" w:hAnsi="Times New Roman" w:cs="Times New Roman"/>
                <w:b/>
                <w:bCs/>
                <w:color w:val="000000"/>
                <w:sz w:val="20"/>
                <w:szCs w:val="20"/>
                <w:lang w:eastAsia="pt-BR"/>
              </w:rPr>
            </w:pPr>
            <w:r w:rsidRPr="00771DE8">
              <w:rPr>
                <w:rFonts w:ascii="Times New Roman" w:eastAsia="Times New Roman" w:hAnsi="Times New Roman" w:cs="Times New Roman"/>
                <w:b/>
                <w:bCs/>
                <w:color w:val="000000"/>
                <w:sz w:val="20"/>
                <w:szCs w:val="20"/>
                <w:lang w:eastAsia="pt-BR"/>
              </w:rPr>
              <w:t>Comércio</w:t>
            </w:r>
          </w:p>
        </w:tc>
        <w:tc>
          <w:tcPr>
            <w:tcW w:w="1903" w:type="dxa"/>
            <w:gridSpan w:val="2"/>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54DE9313" w14:textId="77777777" w:rsidR="008653EF" w:rsidRPr="00771DE8" w:rsidRDefault="008653EF" w:rsidP="008B6F9B">
            <w:pPr>
              <w:spacing w:after="0" w:line="240" w:lineRule="auto"/>
              <w:jc w:val="center"/>
              <w:rPr>
                <w:rFonts w:ascii="Times New Roman" w:eastAsia="Times New Roman" w:hAnsi="Times New Roman" w:cs="Times New Roman"/>
                <w:b/>
                <w:bCs/>
                <w:color w:val="000000"/>
                <w:sz w:val="20"/>
                <w:szCs w:val="20"/>
                <w:lang w:eastAsia="pt-BR"/>
              </w:rPr>
            </w:pPr>
            <w:r w:rsidRPr="00771DE8">
              <w:rPr>
                <w:rFonts w:ascii="Times New Roman" w:eastAsia="Times New Roman" w:hAnsi="Times New Roman" w:cs="Times New Roman"/>
                <w:b/>
                <w:bCs/>
                <w:color w:val="000000"/>
                <w:sz w:val="20"/>
                <w:szCs w:val="20"/>
                <w:lang w:eastAsia="pt-BR"/>
              </w:rPr>
              <w:t>Serviços</w:t>
            </w:r>
          </w:p>
        </w:tc>
        <w:tc>
          <w:tcPr>
            <w:tcW w:w="1559" w:type="dxa"/>
            <w:gridSpan w:val="2"/>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79BD3529" w14:textId="77777777" w:rsidR="008653EF" w:rsidRPr="00771DE8" w:rsidRDefault="008653EF" w:rsidP="008B6F9B">
            <w:pPr>
              <w:spacing w:after="0" w:line="240" w:lineRule="auto"/>
              <w:jc w:val="center"/>
              <w:rPr>
                <w:rFonts w:ascii="Times New Roman" w:eastAsia="Times New Roman" w:hAnsi="Times New Roman" w:cs="Times New Roman"/>
                <w:b/>
                <w:bCs/>
                <w:color w:val="000000"/>
                <w:sz w:val="20"/>
                <w:szCs w:val="20"/>
                <w:lang w:eastAsia="pt-BR"/>
              </w:rPr>
            </w:pPr>
            <w:r w:rsidRPr="00771DE8">
              <w:rPr>
                <w:rFonts w:ascii="Times New Roman" w:eastAsia="Times New Roman" w:hAnsi="Times New Roman" w:cs="Times New Roman"/>
                <w:b/>
                <w:bCs/>
                <w:color w:val="000000"/>
                <w:sz w:val="20"/>
                <w:szCs w:val="20"/>
                <w:lang w:eastAsia="pt-BR"/>
              </w:rPr>
              <w:t>Agropecuária</w:t>
            </w:r>
          </w:p>
        </w:tc>
        <w:tc>
          <w:tcPr>
            <w:tcW w:w="2126" w:type="dxa"/>
            <w:gridSpan w:val="2"/>
            <w:tcBorders>
              <w:top w:val="single" w:sz="12" w:space="0" w:color="auto"/>
              <w:left w:val="single" w:sz="12" w:space="0" w:color="auto"/>
              <w:bottom w:val="single" w:sz="12" w:space="0" w:color="auto"/>
            </w:tcBorders>
            <w:shd w:val="clear" w:color="auto" w:fill="auto"/>
            <w:noWrap/>
            <w:vAlign w:val="center"/>
            <w:hideMark/>
          </w:tcPr>
          <w:p w14:paraId="6AAD705C" w14:textId="77777777" w:rsidR="008653EF" w:rsidRPr="00771DE8" w:rsidRDefault="008653EF" w:rsidP="008B6F9B">
            <w:pPr>
              <w:spacing w:after="0" w:line="240" w:lineRule="auto"/>
              <w:jc w:val="center"/>
              <w:rPr>
                <w:rFonts w:ascii="Times New Roman" w:eastAsia="Times New Roman" w:hAnsi="Times New Roman" w:cs="Times New Roman"/>
                <w:b/>
                <w:bCs/>
                <w:color w:val="000000"/>
                <w:sz w:val="20"/>
                <w:szCs w:val="20"/>
                <w:lang w:eastAsia="pt-BR"/>
              </w:rPr>
            </w:pPr>
            <w:r w:rsidRPr="00771DE8">
              <w:rPr>
                <w:rFonts w:ascii="Times New Roman" w:eastAsia="Times New Roman" w:hAnsi="Times New Roman" w:cs="Times New Roman"/>
                <w:b/>
                <w:bCs/>
                <w:color w:val="000000"/>
                <w:sz w:val="20"/>
                <w:szCs w:val="20"/>
                <w:lang w:eastAsia="pt-BR"/>
              </w:rPr>
              <w:t>Total</w:t>
            </w:r>
          </w:p>
        </w:tc>
      </w:tr>
      <w:tr w:rsidR="00B91C0F" w:rsidRPr="00771DE8" w14:paraId="7FF96837" w14:textId="77777777" w:rsidTr="00975359">
        <w:trPr>
          <w:trHeight w:val="290"/>
          <w:jc w:val="center"/>
        </w:trPr>
        <w:tc>
          <w:tcPr>
            <w:tcW w:w="3261" w:type="dxa"/>
            <w:tcBorders>
              <w:top w:val="single" w:sz="12" w:space="0" w:color="auto"/>
              <w:right w:val="single" w:sz="12" w:space="0" w:color="auto"/>
            </w:tcBorders>
            <w:shd w:val="clear" w:color="auto" w:fill="auto"/>
            <w:noWrap/>
            <w:vAlign w:val="center"/>
            <w:hideMark/>
          </w:tcPr>
          <w:p w14:paraId="49AFD686"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p>
        </w:tc>
        <w:tc>
          <w:tcPr>
            <w:tcW w:w="851" w:type="dxa"/>
            <w:tcBorders>
              <w:top w:val="single" w:sz="12" w:space="0" w:color="auto"/>
              <w:left w:val="single" w:sz="12" w:space="0" w:color="auto"/>
            </w:tcBorders>
            <w:shd w:val="clear" w:color="auto" w:fill="auto"/>
            <w:noWrap/>
            <w:vAlign w:val="center"/>
            <w:hideMark/>
          </w:tcPr>
          <w:p w14:paraId="79C5ADDD" w14:textId="77777777" w:rsidR="008653EF" w:rsidRPr="00491F67" w:rsidRDefault="008653EF" w:rsidP="008B6F9B">
            <w:pPr>
              <w:spacing w:after="0" w:line="240" w:lineRule="auto"/>
              <w:rPr>
                <w:rFonts w:ascii="Times New Roman" w:eastAsia="Times New Roman" w:hAnsi="Times New Roman" w:cs="Times New Roman"/>
                <w:b/>
                <w:bCs/>
                <w:color w:val="000000"/>
                <w:sz w:val="20"/>
                <w:szCs w:val="20"/>
                <w:lang w:eastAsia="pt-BR"/>
              </w:rPr>
            </w:pPr>
            <w:r w:rsidRPr="00491F67">
              <w:rPr>
                <w:rFonts w:ascii="Times New Roman" w:eastAsia="Times New Roman" w:hAnsi="Times New Roman" w:cs="Times New Roman"/>
                <w:b/>
                <w:bCs/>
                <w:color w:val="000000"/>
                <w:sz w:val="20"/>
                <w:szCs w:val="20"/>
                <w:lang w:eastAsia="pt-BR"/>
              </w:rPr>
              <w:t>2010</w:t>
            </w:r>
          </w:p>
        </w:tc>
        <w:tc>
          <w:tcPr>
            <w:tcW w:w="790" w:type="dxa"/>
            <w:tcBorders>
              <w:top w:val="single" w:sz="12" w:space="0" w:color="auto"/>
              <w:right w:val="single" w:sz="12" w:space="0" w:color="auto"/>
            </w:tcBorders>
            <w:shd w:val="clear" w:color="auto" w:fill="auto"/>
            <w:noWrap/>
            <w:vAlign w:val="center"/>
            <w:hideMark/>
          </w:tcPr>
          <w:p w14:paraId="2FABF9A9" w14:textId="77777777" w:rsidR="008653EF" w:rsidRPr="00491F67" w:rsidRDefault="008653EF" w:rsidP="008B6F9B">
            <w:pPr>
              <w:spacing w:after="0" w:line="240" w:lineRule="auto"/>
              <w:rPr>
                <w:rFonts w:ascii="Times New Roman" w:eastAsia="Times New Roman" w:hAnsi="Times New Roman" w:cs="Times New Roman"/>
                <w:b/>
                <w:bCs/>
                <w:color w:val="000000"/>
                <w:sz w:val="20"/>
                <w:szCs w:val="20"/>
                <w:lang w:eastAsia="pt-BR"/>
              </w:rPr>
            </w:pPr>
            <w:r w:rsidRPr="00491F67">
              <w:rPr>
                <w:rFonts w:ascii="Times New Roman" w:eastAsia="Times New Roman" w:hAnsi="Times New Roman" w:cs="Times New Roman"/>
                <w:b/>
                <w:bCs/>
                <w:color w:val="000000"/>
                <w:sz w:val="20"/>
                <w:szCs w:val="20"/>
                <w:lang w:eastAsia="pt-BR"/>
              </w:rPr>
              <w:t>2019</w:t>
            </w:r>
          </w:p>
        </w:tc>
        <w:tc>
          <w:tcPr>
            <w:tcW w:w="790" w:type="dxa"/>
            <w:tcBorders>
              <w:top w:val="single" w:sz="12" w:space="0" w:color="auto"/>
              <w:left w:val="single" w:sz="12" w:space="0" w:color="auto"/>
            </w:tcBorders>
            <w:shd w:val="clear" w:color="auto" w:fill="auto"/>
            <w:noWrap/>
            <w:vAlign w:val="center"/>
            <w:hideMark/>
          </w:tcPr>
          <w:p w14:paraId="7395A454" w14:textId="77777777" w:rsidR="008653EF" w:rsidRPr="00491F67" w:rsidRDefault="008653EF" w:rsidP="008B6F9B">
            <w:pPr>
              <w:spacing w:after="0" w:line="240" w:lineRule="auto"/>
              <w:rPr>
                <w:rFonts w:ascii="Times New Roman" w:eastAsia="Times New Roman" w:hAnsi="Times New Roman" w:cs="Times New Roman"/>
                <w:b/>
                <w:bCs/>
                <w:color w:val="000000"/>
                <w:sz w:val="20"/>
                <w:szCs w:val="20"/>
                <w:lang w:eastAsia="pt-BR"/>
              </w:rPr>
            </w:pPr>
            <w:r w:rsidRPr="00491F67">
              <w:rPr>
                <w:rFonts w:ascii="Times New Roman" w:eastAsia="Times New Roman" w:hAnsi="Times New Roman" w:cs="Times New Roman"/>
                <w:b/>
                <w:bCs/>
                <w:color w:val="000000"/>
                <w:sz w:val="20"/>
                <w:szCs w:val="20"/>
                <w:lang w:eastAsia="pt-BR"/>
              </w:rPr>
              <w:t>2010</w:t>
            </w:r>
          </w:p>
        </w:tc>
        <w:tc>
          <w:tcPr>
            <w:tcW w:w="1113" w:type="dxa"/>
            <w:tcBorders>
              <w:top w:val="single" w:sz="12" w:space="0" w:color="auto"/>
              <w:right w:val="single" w:sz="12" w:space="0" w:color="auto"/>
            </w:tcBorders>
            <w:shd w:val="clear" w:color="auto" w:fill="auto"/>
            <w:noWrap/>
            <w:vAlign w:val="center"/>
            <w:hideMark/>
          </w:tcPr>
          <w:p w14:paraId="4ECE25D9" w14:textId="77777777" w:rsidR="008653EF" w:rsidRPr="00491F67" w:rsidRDefault="008653EF" w:rsidP="008B6F9B">
            <w:pPr>
              <w:spacing w:after="0" w:line="240" w:lineRule="auto"/>
              <w:rPr>
                <w:rFonts w:ascii="Times New Roman" w:eastAsia="Times New Roman" w:hAnsi="Times New Roman" w:cs="Times New Roman"/>
                <w:b/>
                <w:bCs/>
                <w:color w:val="000000"/>
                <w:sz w:val="20"/>
                <w:szCs w:val="20"/>
                <w:lang w:eastAsia="pt-BR"/>
              </w:rPr>
            </w:pPr>
            <w:r w:rsidRPr="00491F67">
              <w:rPr>
                <w:rFonts w:ascii="Times New Roman" w:eastAsia="Times New Roman" w:hAnsi="Times New Roman" w:cs="Times New Roman"/>
                <w:b/>
                <w:bCs/>
                <w:color w:val="000000"/>
                <w:sz w:val="20"/>
                <w:szCs w:val="20"/>
                <w:lang w:eastAsia="pt-BR"/>
              </w:rPr>
              <w:t>2019</w:t>
            </w:r>
          </w:p>
        </w:tc>
        <w:tc>
          <w:tcPr>
            <w:tcW w:w="851" w:type="dxa"/>
            <w:tcBorders>
              <w:top w:val="single" w:sz="12" w:space="0" w:color="auto"/>
              <w:left w:val="single" w:sz="12" w:space="0" w:color="auto"/>
            </w:tcBorders>
            <w:shd w:val="clear" w:color="auto" w:fill="auto"/>
            <w:noWrap/>
            <w:vAlign w:val="center"/>
            <w:hideMark/>
          </w:tcPr>
          <w:p w14:paraId="558ECF12" w14:textId="77777777" w:rsidR="008653EF" w:rsidRPr="00491F67" w:rsidRDefault="008653EF" w:rsidP="008B6F9B">
            <w:pPr>
              <w:spacing w:after="0" w:line="240" w:lineRule="auto"/>
              <w:rPr>
                <w:rFonts w:ascii="Times New Roman" w:eastAsia="Times New Roman" w:hAnsi="Times New Roman" w:cs="Times New Roman"/>
                <w:b/>
                <w:bCs/>
                <w:color w:val="000000"/>
                <w:sz w:val="20"/>
                <w:szCs w:val="20"/>
                <w:lang w:eastAsia="pt-BR"/>
              </w:rPr>
            </w:pPr>
            <w:r w:rsidRPr="00491F67">
              <w:rPr>
                <w:rFonts w:ascii="Times New Roman" w:eastAsia="Times New Roman" w:hAnsi="Times New Roman" w:cs="Times New Roman"/>
                <w:b/>
                <w:bCs/>
                <w:color w:val="000000"/>
                <w:sz w:val="20"/>
                <w:szCs w:val="20"/>
                <w:lang w:eastAsia="pt-BR"/>
              </w:rPr>
              <w:t>2010</w:t>
            </w:r>
          </w:p>
        </w:tc>
        <w:tc>
          <w:tcPr>
            <w:tcW w:w="790" w:type="dxa"/>
            <w:tcBorders>
              <w:top w:val="single" w:sz="12" w:space="0" w:color="auto"/>
              <w:right w:val="single" w:sz="12" w:space="0" w:color="auto"/>
            </w:tcBorders>
            <w:shd w:val="clear" w:color="auto" w:fill="auto"/>
            <w:noWrap/>
            <w:vAlign w:val="center"/>
            <w:hideMark/>
          </w:tcPr>
          <w:p w14:paraId="62AACC30" w14:textId="77777777" w:rsidR="008653EF" w:rsidRPr="00491F67" w:rsidRDefault="008653EF" w:rsidP="008B6F9B">
            <w:pPr>
              <w:spacing w:after="0" w:line="240" w:lineRule="auto"/>
              <w:rPr>
                <w:rFonts w:ascii="Times New Roman" w:eastAsia="Times New Roman" w:hAnsi="Times New Roman" w:cs="Times New Roman"/>
                <w:b/>
                <w:bCs/>
                <w:color w:val="000000"/>
                <w:sz w:val="20"/>
                <w:szCs w:val="20"/>
                <w:lang w:eastAsia="pt-BR"/>
              </w:rPr>
            </w:pPr>
            <w:r w:rsidRPr="00491F67">
              <w:rPr>
                <w:rFonts w:ascii="Times New Roman" w:eastAsia="Times New Roman" w:hAnsi="Times New Roman" w:cs="Times New Roman"/>
                <w:b/>
                <w:bCs/>
                <w:color w:val="000000"/>
                <w:sz w:val="20"/>
                <w:szCs w:val="20"/>
                <w:lang w:eastAsia="pt-BR"/>
              </w:rPr>
              <w:t>2019</w:t>
            </w:r>
          </w:p>
        </w:tc>
        <w:tc>
          <w:tcPr>
            <w:tcW w:w="1052" w:type="dxa"/>
            <w:tcBorders>
              <w:left w:val="single" w:sz="12" w:space="0" w:color="auto"/>
            </w:tcBorders>
            <w:shd w:val="clear" w:color="auto" w:fill="auto"/>
            <w:noWrap/>
            <w:vAlign w:val="center"/>
            <w:hideMark/>
          </w:tcPr>
          <w:p w14:paraId="4D6847CB" w14:textId="77777777" w:rsidR="008653EF" w:rsidRPr="00491F67" w:rsidRDefault="008653EF" w:rsidP="008B6F9B">
            <w:pPr>
              <w:spacing w:after="0" w:line="240" w:lineRule="auto"/>
              <w:rPr>
                <w:rFonts w:ascii="Times New Roman" w:eastAsia="Times New Roman" w:hAnsi="Times New Roman" w:cs="Times New Roman"/>
                <w:b/>
                <w:bCs/>
                <w:color w:val="000000"/>
                <w:sz w:val="20"/>
                <w:szCs w:val="20"/>
                <w:lang w:eastAsia="pt-BR"/>
              </w:rPr>
            </w:pPr>
            <w:r w:rsidRPr="00491F67">
              <w:rPr>
                <w:rFonts w:ascii="Times New Roman" w:eastAsia="Times New Roman" w:hAnsi="Times New Roman" w:cs="Times New Roman"/>
                <w:b/>
                <w:bCs/>
                <w:color w:val="000000"/>
                <w:sz w:val="20"/>
                <w:szCs w:val="20"/>
                <w:lang w:eastAsia="pt-BR"/>
              </w:rPr>
              <w:t>2010</w:t>
            </w:r>
          </w:p>
        </w:tc>
        <w:tc>
          <w:tcPr>
            <w:tcW w:w="851" w:type="dxa"/>
            <w:tcBorders>
              <w:right w:val="single" w:sz="12" w:space="0" w:color="auto"/>
            </w:tcBorders>
            <w:shd w:val="clear" w:color="auto" w:fill="auto"/>
            <w:noWrap/>
            <w:vAlign w:val="center"/>
            <w:hideMark/>
          </w:tcPr>
          <w:p w14:paraId="34972857" w14:textId="77777777" w:rsidR="008653EF" w:rsidRPr="00491F67" w:rsidRDefault="008653EF" w:rsidP="008B6F9B">
            <w:pPr>
              <w:spacing w:after="0" w:line="240" w:lineRule="auto"/>
              <w:rPr>
                <w:rFonts w:ascii="Times New Roman" w:eastAsia="Times New Roman" w:hAnsi="Times New Roman" w:cs="Times New Roman"/>
                <w:b/>
                <w:bCs/>
                <w:color w:val="000000"/>
                <w:sz w:val="20"/>
                <w:szCs w:val="20"/>
                <w:lang w:eastAsia="pt-BR"/>
              </w:rPr>
            </w:pPr>
            <w:r w:rsidRPr="00491F67">
              <w:rPr>
                <w:rFonts w:ascii="Times New Roman" w:eastAsia="Times New Roman" w:hAnsi="Times New Roman" w:cs="Times New Roman"/>
                <w:b/>
                <w:bCs/>
                <w:color w:val="000000"/>
                <w:sz w:val="20"/>
                <w:szCs w:val="20"/>
                <w:lang w:eastAsia="pt-BR"/>
              </w:rPr>
              <w:t>2019</w:t>
            </w:r>
          </w:p>
        </w:tc>
        <w:tc>
          <w:tcPr>
            <w:tcW w:w="850" w:type="dxa"/>
            <w:tcBorders>
              <w:left w:val="single" w:sz="12" w:space="0" w:color="auto"/>
            </w:tcBorders>
            <w:shd w:val="clear" w:color="auto" w:fill="auto"/>
            <w:noWrap/>
            <w:vAlign w:val="center"/>
            <w:hideMark/>
          </w:tcPr>
          <w:p w14:paraId="25F3532B" w14:textId="77777777" w:rsidR="008653EF" w:rsidRPr="00491F67" w:rsidRDefault="008653EF" w:rsidP="008B6F9B">
            <w:pPr>
              <w:spacing w:after="0" w:line="240" w:lineRule="auto"/>
              <w:rPr>
                <w:rFonts w:ascii="Times New Roman" w:eastAsia="Times New Roman" w:hAnsi="Times New Roman" w:cs="Times New Roman"/>
                <w:b/>
                <w:bCs/>
                <w:color w:val="000000"/>
                <w:sz w:val="20"/>
                <w:szCs w:val="20"/>
                <w:lang w:eastAsia="pt-BR"/>
              </w:rPr>
            </w:pPr>
            <w:r w:rsidRPr="00491F67">
              <w:rPr>
                <w:rFonts w:ascii="Times New Roman" w:eastAsia="Times New Roman" w:hAnsi="Times New Roman" w:cs="Times New Roman"/>
                <w:b/>
                <w:bCs/>
                <w:color w:val="000000"/>
                <w:sz w:val="20"/>
                <w:szCs w:val="20"/>
                <w:lang w:eastAsia="pt-BR"/>
              </w:rPr>
              <w:t>2010</w:t>
            </w:r>
          </w:p>
        </w:tc>
        <w:tc>
          <w:tcPr>
            <w:tcW w:w="709" w:type="dxa"/>
            <w:tcBorders>
              <w:top w:val="single" w:sz="12" w:space="0" w:color="auto"/>
              <w:right w:val="single" w:sz="12" w:space="0" w:color="auto"/>
            </w:tcBorders>
            <w:shd w:val="clear" w:color="auto" w:fill="auto"/>
            <w:noWrap/>
            <w:vAlign w:val="center"/>
            <w:hideMark/>
          </w:tcPr>
          <w:p w14:paraId="02CA6FFE" w14:textId="77777777" w:rsidR="008653EF" w:rsidRPr="00491F67" w:rsidRDefault="008653EF" w:rsidP="008B6F9B">
            <w:pPr>
              <w:spacing w:after="0" w:line="240" w:lineRule="auto"/>
              <w:rPr>
                <w:rFonts w:ascii="Times New Roman" w:eastAsia="Times New Roman" w:hAnsi="Times New Roman" w:cs="Times New Roman"/>
                <w:b/>
                <w:bCs/>
                <w:color w:val="000000"/>
                <w:sz w:val="20"/>
                <w:szCs w:val="20"/>
                <w:lang w:eastAsia="pt-BR"/>
              </w:rPr>
            </w:pPr>
            <w:r w:rsidRPr="00491F67">
              <w:rPr>
                <w:rFonts w:ascii="Times New Roman" w:eastAsia="Times New Roman" w:hAnsi="Times New Roman" w:cs="Times New Roman"/>
                <w:b/>
                <w:bCs/>
                <w:color w:val="000000"/>
                <w:sz w:val="20"/>
                <w:szCs w:val="20"/>
                <w:lang w:eastAsia="pt-BR"/>
              </w:rPr>
              <w:t>2019</w:t>
            </w:r>
          </w:p>
        </w:tc>
        <w:tc>
          <w:tcPr>
            <w:tcW w:w="992" w:type="dxa"/>
            <w:tcBorders>
              <w:top w:val="single" w:sz="12" w:space="0" w:color="auto"/>
              <w:left w:val="single" w:sz="12" w:space="0" w:color="auto"/>
            </w:tcBorders>
            <w:shd w:val="clear" w:color="auto" w:fill="auto"/>
            <w:noWrap/>
            <w:vAlign w:val="center"/>
            <w:hideMark/>
          </w:tcPr>
          <w:p w14:paraId="2B370ECF" w14:textId="77777777" w:rsidR="008653EF" w:rsidRPr="00491F67" w:rsidRDefault="008653EF" w:rsidP="008B6F9B">
            <w:pPr>
              <w:spacing w:after="0" w:line="240" w:lineRule="auto"/>
              <w:rPr>
                <w:rFonts w:ascii="Times New Roman" w:eastAsia="Times New Roman" w:hAnsi="Times New Roman" w:cs="Times New Roman"/>
                <w:b/>
                <w:bCs/>
                <w:color w:val="000000"/>
                <w:sz w:val="20"/>
                <w:szCs w:val="20"/>
                <w:lang w:eastAsia="pt-BR"/>
              </w:rPr>
            </w:pPr>
            <w:r w:rsidRPr="00491F67">
              <w:rPr>
                <w:rFonts w:ascii="Times New Roman" w:eastAsia="Times New Roman" w:hAnsi="Times New Roman" w:cs="Times New Roman"/>
                <w:b/>
                <w:bCs/>
                <w:color w:val="000000"/>
                <w:sz w:val="20"/>
                <w:szCs w:val="20"/>
                <w:lang w:eastAsia="pt-BR"/>
              </w:rPr>
              <w:t>2010</w:t>
            </w:r>
          </w:p>
        </w:tc>
        <w:tc>
          <w:tcPr>
            <w:tcW w:w="1134" w:type="dxa"/>
            <w:tcBorders>
              <w:top w:val="single" w:sz="12" w:space="0" w:color="auto"/>
            </w:tcBorders>
            <w:shd w:val="clear" w:color="auto" w:fill="auto"/>
            <w:noWrap/>
            <w:vAlign w:val="center"/>
            <w:hideMark/>
          </w:tcPr>
          <w:p w14:paraId="7A3FE321" w14:textId="77777777" w:rsidR="008653EF" w:rsidRPr="00491F67" w:rsidRDefault="008653EF" w:rsidP="008B6F9B">
            <w:pPr>
              <w:spacing w:after="0" w:line="240" w:lineRule="auto"/>
              <w:rPr>
                <w:rFonts w:ascii="Times New Roman" w:eastAsia="Times New Roman" w:hAnsi="Times New Roman" w:cs="Times New Roman"/>
                <w:b/>
                <w:bCs/>
                <w:color w:val="000000"/>
                <w:sz w:val="20"/>
                <w:szCs w:val="20"/>
                <w:lang w:eastAsia="pt-BR"/>
              </w:rPr>
            </w:pPr>
            <w:r w:rsidRPr="00491F67">
              <w:rPr>
                <w:rFonts w:ascii="Times New Roman" w:eastAsia="Times New Roman" w:hAnsi="Times New Roman" w:cs="Times New Roman"/>
                <w:b/>
                <w:bCs/>
                <w:color w:val="000000"/>
                <w:sz w:val="20"/>
                <w:szCs w:val="20"/>
                <w:lang w:eastAsia="pt-BR"/>
              </w:rPr>
              <w:t>2019</w:t>
            </w:r>
          </w:p>
        </w:tc>
      </w:tr>
      <w:tr w:rsidR="00B91C0F" w:rsidRPr="00771DE8" w14:paraId="3BF9FE60" w14:textId="77777777" w:rsidTr="00975359">
        <w:trPr>
          <w:trHeight w:val="290"/>
          <w:jc w:val="center"/>
        </w:trPr>
        <w:tc>
          <w:tcPr>
            <w:tcW w:w="3261" w:type="dxa"/>
            <w:tcBorders>
              <w:right w:val="single" w:sz="12" w:space="0" w:color="auto"/>
            </w:tcBorders>
            <w:shd w:val="clear" w:color="auto" w:fill="auto"/>
            <w:noWrap/>
            <w:vAlign w:val="center"/>
            <w:hideMark/>
          </w:tcPr>
          <w:p w14:paraId="1E1FF04E"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Araripina</w:t>
            </w:r>
          </w:p>
        </w:tc>
        <w:tc>
          <w:tcPr>
            <w:tcW w:w="851" w:type="dxa"/>
            <w:tcBorders>
              <w:left w:val="single" w:sz="12" w:space="0" w:color="auto"/>
            </w:tcBorders>
            <w:shd w:val="clear" w:color="auto" w:fill="auto"/>
            <w:noWrap/>
            <w:vAlign w:val="center"/>
            <w:hideMark/>
          </w:tcPr>
          <w:p w14:paraId="4A52B095"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4.483</w:t>
            </w:r>
          </w:p>
        </w:tc>
        <w:tc>
          <w:tcPr>
            <w:tcW w:w="790" w:type="dxa"/>
            <w:tcBorders>
              <w:right w:val="single" w:sz="12" w:space="0" w:color="auto"/>
            </w:tcBorders>
            <w:shd w:val="clear" w:color="auto" w:fill="auto"/>
            <w:noWrap/>
            <w:vAlign w:val="center"/>
            <w:hideMark/>
          </w:tcPr>
          <w:p w14:paraId="614D3292"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3.216</w:t>
            </w:r>
          </w:p>
        </w:tc>
        <w:tc>
          <w:tcPr>
            <w:tcW w:w="790" w:type="dxa"/>
            <w:tcBorders>
              <w:left w:val="single" w:sz="12" w:space="0" w:color="auto"/>
            </w:tcBorders>
            <w:shd w:val="clear" w:color="auto" w:fill="auto"/>
            <w:noWrap/>
            <w:vAlign w:val="center"/>
            <w:hideMark/>
          </w:tcPr>
          <w:p w14:paraId="699A0133"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347</w:t>
            </w:r>
          </w:p>
        </w:tc>
        <w:tc>
          <w:tcPr>
            <w:tcW w:w="1113" w:type="dxa"/>
            <w:tcBorders>
              <w:right w:val="single" w:sz="12" w:space="0" w:color="auto"/>
            </w:tcBorders>
            <w:shd w:val="clear" w:color="auto" w:fill="auto"/>
            <w:noWrap/>
            <w:vAlign w:val="center"/>
            <w:hideMark/>
          </w:tcPr>
          <w:p w14:paraId="542CEC86"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333</w:t>
            </w:r>
          </w:p>
        </w:tc>
        <w:tc>
          <w:tcPr>
            <w:tcW w:w="851" w:type="dxa"/>
            <w:tcBorders>
              <w:left w:val="single" w:sz="12" w:space="0" w:color="auto"/>
            </w:tcBorders>
            <w:shd w:val="clear" w:color="auto" w:fill="auto"/>
            <w:noWrap/>
            <w:vAlign w:val="center"/>
            <w:hideMark/>
          </w:tcPr>
          <w:p w14:paraId="5A7AB934"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2.980</w:t>
            </w:r>
          </w:p>
        </w:tc>
        <w:tc>
          <w:tcPr>
            <w:tcW w:w="790" w:type="dxa"/>
            <w:tcBorders>
              <w:right w:val="single" w:sz="12" w:space="0" w:color="auto"/>
            </w:tcBorders>
            <w:shd w:val="clear" w:color="auto" w:fill="auto"/>
            <w:noWrap/>
            <w:vAlign w:val="center"/>
            <w:hideMark/>
          </w:tcPr>
          <w:p w14:paraId="311FE8A4"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3.844</w:t>
            </w:r>
          </w:p>
        </w:tc>
        <w:tc>
          <w:tcPr>
            <w:tcW w:w="1052" w:type="dxa"/>
            <w:tcBorders>
              <w:left w:val="single" w:sz="12" w:space="0" w:color="auto"/>
            </w:tcBorders>
            <w:shd w:val="clear" w:color="auto" w:fill="auto"/>
            <w:noWrap/>
            <w:vAlign w:val="center"/>
            <w:hideMark/>
          </w:tcPr>
          <w:p w14:paraId="302CB2DF"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12.267</w:t>
            </w:r>
          </w:p>
        </w:tc>
        <w:tc>
          <w:tcPr>
            <w:tcW w:w="851" w:type="dxa"/>
            <w:tcBorders>
              <w:right w:val="single" w:sz="12" w:space="0" w:color="auto"/>
            </w:tcBorders>
            <w:shd w:val="clear" w:color="auto" w:fill="auto"/>
            <w:noWrap/>
            <w:vAlign w:val="center"/>
            <w:hideMark/>
          </w:tcPr>
          <w:p w14:paraId="3DD6DFF1"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13.330</w:t>
            </w:r>
          </w:p>
        </w:tc>
        <w:tc>
          <w:tcPr>
            <w:tcW w:w="850" w:type="dxa"/>
            <w:tcBorders>
              <w:left w:val="single" w:sz="12" w:space="0" w:color="auto"/>
            </w:tcBorders>
            <w:shd w:val="clear" w:color="auto" w:fill="auto"/>
            <w:noWrap/>
            <w:vAlign w:val="center"/>
            <w:hideMark/>
          </w:tcPr>
          <w:p w14:paraId="7759EC9A"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31</w:t>
            </w:r>
          </w:p>
        </w:tc>
        <w:tc>
          <w:tcPr>
            <w:tcW w:w="709" w:type="dxa"/>
            <w:tcBorders>
              <w:right w:val="single" w:sz="12" w:space="0" w:color="auto"/>
            </w:tcBorders>
            <w:shd w:val="clear" w:color="auto" w:fill="auto"/>
            <w:noWrap/>
            <w:vAlign w:val="center"/>
            <w:hideMark/>
          </w:tcPr>
          <w:p w14:paraId="4FD6B7CC"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68</w:t>
            </w:r>
          </w:p>
        </w:tc>
        <w:tc>
          <w:tcPr>
            <w:tcW w:w="992" w:type="dxa"/>
            <w:tcBorders>
              <w:left w:val="single" w:sz="12" w:space="0" w:color="auto"/>
            </w:tcBorders>
            <w:shd w:val="clear" w:color="auto" w:fill="auto"/>
            <w:noWrap/>
            <w:vAlign w:val="center"/>
            <w:hideMark/>
          </w:tcPr>
          <w:p w14:paraId="7B55DDA7"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20.108</w:t>
            </w:r>
          </w:p>
        </w:tc>
        <w:tc>
          <w:tcPr>
            <w:tcW w:w="1134" w:type="dxa"/>
            <w:shd w:val="clear" w:color="auto" w:fill="auto"/>
            <w:noWrap/>
            <w:vAlign w:val="center"/>
            <w:hideMark/>
          </w:tcPr>
          <w:p w14:paraId="282559FD"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20.791</w:t>
            </w:r>
          </w:p>
        </w:tc>
      </w:tr>
      <w:tr w:rsidR="00B91C0F" w:rsidRPr="00771DE8" w14:paraId="7FE52EDC" w14:textId="77777777" w:rsidTr="00975359">
        <w:trPr>
          <w:trHeight w:val="290"/>
          <w:jc w:val="center"/>
        </w:trPr>
        <w:tc>
          <w:tcPr>
            <w:tcW w:w="3261" w:type="dxa"/>
            <w:tcBorders>
              <w:right w:val="single" w:sz="12" w:space="0" w:color="auto"/>
            </w:tcBorders>
            <w:shd w:val="clear" w:color="auto" w:fill="auto"/>
            <w:noWrap/>
            <w:vAlign w:val="center"/>
            <w:hideMark/>
          </w:tcPr>
          <w:p w14:paraId="00A07CF3"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Salgueiro</w:t>
            </w:r>
          </w:p>
        </w:tc>
        <w:tc>
          <w:tcPr>
            <w:tcW w:w="851" w:type="dxa"/>
            <w:tcBorders>
              <w:left w:val="single" w:sz="12" w:space="0" w:color="auto"/>
            </w:tcBorders>
            <w:shd w:val="clear" w:color="auto" w:fill="auto"/>
            <w:noWrap/>
            <w:vAlign w:val="center"/>
            <w:hideMark/>
          </w:tcPr>
          <w:p w14:paraId="27E6221D"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395</w:t>
            </w:r>
          </w:p>
        </w:tc>
        <w:tc>
          <w:tcPr>
            <w:tcW w:w="790" w:type="dxa"/>
            <w:tcBorders>
              <w:right w:val="single" w:sz="12" w:space="0" w:color="auto"/>
            </w:tcBorders>
            <w:shd w:val="clear" w:color="auto" w:fill="auto"/>
            <w:noWrap/>
            <w:vAlign w:val="center"/>
            <w:hideMark/>
          </w:tcPr>
          <w:p w14:paraId="42B76FFA"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630</w:t>
            </w:r>
          </w:p>
        </w:tc>
        <w:tc>
          <w:tcPr>
            <w:tcW w:w="790" w:type="dxa"/>
            <w:tcBorders>
              <w:left w:val="single" w:sz="12" w:space="0" w:color="auto"/>
            </w:tcBorders>
            <w:shd w:val="clear" w:color="auto" w:fill="auto"/>
            <w:noWrap/>
            <w:vAlign w:val="center"/>
            <w:hideMark/>
          </w:tcPr>
          <w:p w14:paraId="124FAD11"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9.588</w:t>
            </w:r>
          </w:p>
        </w:tc>
        <w:tc>
          <w:tcPr>
            <w:tcW w:w="1113" w:type="dxa"/>
            <w:tcBorders>
              <w:right w:val="single" w:sz="12" w:space="0" w:color="auto"/>
            </w:tcBorders>
            <w:shd w:val="clear" w:color="auto" w:fill="auto"/>
            <w:noWrap/>
            <w:vAlign w:val="center"/>
            <w:hideMark/>
          </w:tcPr>
          <w:p w14:paraId="15AF1BE0"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1.011</w:t>
            </w:r>
          </w:p>
        </w:tc>
        <w:tc>
          <w:tcPr>
            <w:tcW w:w="851" w:type="dxa"/>
            <w:tcBorders>
              <w:left w:val="single" w:sz="12" w:space="0" w:color="auto"/>
            </w:tcBorders>
            <w:shd w:val="clear" w:color="auto" w:fill="auto"/>
            <w:noWrap/>
            <w:vAlign w:val="center"/>
            <w:hideMark/>
          </w:tcPr>
          <w:p w14:paraId="79CD2AC7"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2.351</w:t>
            </w:r>
          </w:p>
        </w:tc>
        <w:tc>
          <w:tcPr>
            <w:tcW w:w="790" w:type="dxa"/>
            <w:tcBorders>
              <w:right w:val="single" w:sz="12" w:space="0" w:color="auto"/>
            </w:tcBorders>
            <w:shd w:val="clear" w:color="auto" w:fill="auto"/>
            <w:noWrap/>
            <w:vAlign w:val="center"/>
            <w:hideMark/>
          </w:tcPr>
          <w:p w14:paraId="4EEEFC4B"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3.096</w:t>
            </w:r>
          </w:p>
        </w:tc>
        <w:tc>
          <w:tcPr>
            <w:tcW w:w="1052" w:type="dxa"/>
            <w:tcBorders>
              <w:left w:val="single" w:sz="12" w:space="0" w:color="auto"/>
            </w:tcBorders>
            <w:shd w:val="clear" w:color="auto" w:fill="auto"/>
            <w:noWrap/>
            <w:vAlign w:val="center"/>
            <w:hideMark/>
          </w:tcPr>
          <w:p w14:paraId="4151A795"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7.473</w:t>
            </w:r>
          </w:p>
        </w:tc>
        <w:tc>
          <w:tcPr>
            <w:tcW w:w="851" w:type="dxa"/>
            <w:tcBorders>
              <w:right w:val="single" w:sz="12" w:space="0" w:color="auto"/>
            </w:tcBorders>
            <w:shd w:val="clear" w:color="auto" w:fill="auto"/>
            <w:noWrap/>
            <w:vAlign w:val="center"/>
            <w:hideMark/>
          </w:tcPr>
          <w:p w14:paraId="7496CCE7"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8.410</w:t>
            </w:r>
          </w:p>
        </w:tc>
        <w:tc>
          <w:tcPr>
            <w:tcW w:w="850" w:type="dxa"/>
            <w:tcBorders>
              <w:left w:val="single" w:sz="12" w:space="0" w:color="auto"/>
            </w:tcBorders>
            <w:shd w:val="clear" w:color="auto" w:fill="auto"/>
            <w:noWrap/>
            <w:vAlign w:val="center"/>
            <w:hideMark/>
          </w:tcPr>
          <w:p w14:paraId="583FA896"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62</w:t>
            </w:r>
          </w:p>
        </w:tc>
        <w:tc>
          <w:tcPr>
            <w:tcW w:w="709" w:type="dxa"/>
            <w:tcBorders>
              <w:right w:val="single" w:sz="12" w:space="0" w:color="auto"/>
            </w:tcBorders>
            <w:shd w:val="clear" w:color="auto" w:fill="auto"/>
            <w:noWrap/>
            <w:vAlign w:val="center"/>
            <w:hideMark/>
          </w:tcPr>
          <w:p w14:paraId="1D336746"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50</w:t>
            </w:r>
          </w:p>
        </w:tc>
        <w:tc>
          <w:tcPr>
            <w:tcW w:w="992" w:type="dxa"/>
            <w:tcBorders>
              <w:left w:val="single" w:sz="12" w:space="0" w:color="auto"/>
            </w:tcBorders>
            <w:shd w:val="clear" w:color="auto" w:fill="auto"/>
            <w:noWrap/>
            <w:vAlign w:val="center"/>
            <w:hideMark/>
          </w:tcPr>
          <w:p w14:paraId="580DA7AB"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19.869</w:t>
            </w:r>
          </w:p>
        </w:tc>
        <w:tc>
          <w:tcPr>
            <w:tcW w:w="1134" w:type="dxa"/>
            <w:shd w:val="clear" w:color="auto" w:fill="auto"/>
            <w:noWrap/>
            <w:vAlign w:val="center"/>
            <w:hideMark/>
          </w:tcPr>
          <w:p w14:paraId="1EE630A7"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13.197</w:t>
            </w:r>
          </w:p>
        </w:tc>
      </w:tr>
      <w:tr w:rsidR="00B91C0F" w:rsidRPr="00771DE8" w14:paraId="7C1CA6F9" w14:textId="77777777" w:rsidTr="00975359">
        <w:trPr>
          <w:trHeight w:val="290"/>
          <w:jc w:val="center"/>
        </w:trPr>
        <w:tc>
          <w:tcPr>
            <w:tcW w:w="3261" w:type="dxa"/>
            <w:tcBorders>
              <w:right w:val="single" w:sz="12" w:space="0" w:color="auto"/>
            </w:tcBorders>
            <w:shd w:val="clear" w:color="auto" w:fill="auto"/>
            <w:noWrap/>
            <w:vAlign w:val="center"/>
            <w:hideMark/>
          </w:tcPr>
          <w:p w14:paraId="1643B6F8"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Pajeú</w:t>
            </w:r>
          </w:p>
        </w:tc>
        <w:tc>
          <w:tcPr>
            <w:tcW w:w="851" w:type="dxa"/>
            <w:tcBorders>
              <w:left w:val="single" w:sz="12" w:space="0" w:color="auto"/>
            </w:tcBorders>
            <w:shd w:val="clear" w:color="auto" w:fill="auto"/>
            <w:noWrap/>
            <w:vAlign w:val="center"/>
            <w:hideMark/>
          </w:tcPr>
          <w:p w14:paraId="3ECF041D"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1.550</w:t>
            </w:r>
          </w:p>
        </w:tc>
        <w:tc>
          <w:tcPr>
            <w:tcW w:w="790" w:type="dxa"/>
            <w:tcBorders>
              <w:right w:val="single" w:sz="12" w:space="0" w:color="auto"/>
            </w:tcBorders>
            <w:shd w:val="clear" w:color="auto" w:fill="auto"/>
            <w:noWrap/>
            <w:vAlign w:val="center"/>
            <w:hideMark/>
          </w:tcPr>
          <w:p w14:paraId="26DD92F8"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1.930</w:t>
            </w:r>
          </w:p>
        </w:tc>
        <w:tc>
          <w:tcPr>
            <w:tcW w:w="790" w:type="dxa"/>
            <w:tcBorders>
              <w:left w:val="single" w:sz="12" w:space="0" w:color="auto"/>
            </w:tcBorders>
            <w:shd w:val="clear" w:color="auto" w:fill="auto"/>
            <w:noWrap/>
            <w:vAlign w:val="center"/>
            <w:hideMark/>
          </w:tcPr>
          <w:p w14:paraId="1D5C040B"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1.100</w:t>
            </w:r>
          </w:p>
        </w:tc>
        <w:tc>
          <w:tcPr>
            <w:tcW w:w="1113" w:type="dxa"/>
            <w:tcBorders>
              <w:right w:val="single" w:sz="12" w:space="0" w:color="auto"/>
            </w:tcBorders>
            <w:shd w:val="clear" w:color="auto" w:fill="auto"/>
            <w:noWrap/>
            <w:vAlign w:val="center"/>
            <w:hideMark/>
          </w:tcPr>
          <w:p w14:paraId="6E13EC91"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1.102</w:t>
            </w:r>
          </w:p>
        </w:tc>
        <w:tc>
          <w:tcPr>
            <w:tcW w:w="851" w:type="dxa"/>
            <w:tcBorders>
              <w:left w:val="single" w:sz="12" w:space="0" w:color="auto"/>
            </w:tcBorders>
            <w:shd w:val="clear" w:color="auto" w:fill="auto"/>
            <w:noWrap/>
            <w:vAlign w:val="center"/>
            <w:hideMark/>
          </w:tcPr>
          <w:p w14:paraId="0D6756F6"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5.822</w:t>
            </w:r>
          </w:p>
        </w:tc>
        <w:tc>
          <w:tcPr>
            <w:tcW w:w="790" w:type="dxa"/>
            <w:tcBorders>
              <w:right w:val="single" w:sz="12" w:space="0" w:color="auto"/>
            </w:tcBorders>
            <w:shd w:val="clear" w:color="auto" w:fill="auto"/>
            <w:noWrap/>
            <w:vAlign w:val="center"/>
            <w:hideMark/>
          </w:tcPr>
          <w:p w14:paraId="507FDE94"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7.174</w:t>
            </w:r>
          </w:p>
        </w:tc>
        <w:tc>
          <w:tcPr>
            <w:tcW w:w="1052" w:type="dxa"/>
            <w:tcBorders>
              <w:left w:val="single" w:sz="12" w:space="0" w:color="auto"/>
            </w:tcBorders>
            <w:shd w:val="clear" w:color="auto" w:fill="auto"/>
            <w:noWrap/>
            <w:vAlign w:val="center"/>
            <w:hideMark/>
          </w:tcPr>
          <w:p w14:paraId="548AAAFB"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13.070</w:t>
            </w:r>
          </w:p>
        </w:tc>
        <w:tc>
          <w:tcPr>
            <w:tcW w:w="851" w:type="dxa"/>
            <w:tcBorders>
              <w:right w:val="single" w:sz="12" w:space="0" w:color="auto"/>
            </w:tcBorders>
            <w:shd w:val="clear" w:color="auto" w:fill="auto"/>
            <w:noWrap/>
            <w:vAlign w:val="center"/>
            <w:hideMark/>
          </w:tcPr>
          <w:p w14:paraId="66CE4981"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17.359</w:t>
            </w:r>
          </w:p>
        </w:tc>
        <w:tc>
          <w:tcPr>
            <w:tcW w:w="850" w:type="dxa"/>
            <w:tcBorders>
              <w:left w:val="single" w:sz="12" w:space="0" w:color="auto"/>
            </w:tcBorders>
            <w:shd w:val="clear" w:color="auto" w:fill="auto"/>
            <w:noWrap/>
            <w:vAlign w:val="center"/>
            <w:hideMark/>
          </w:tcPr>
          <w:p w14:paraId="12E6D067"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372</w:t>
            </w:r>
          </w:p>
        </w:tc>
        <w:tc>
          <w:tcPr>
            <w:tcW w:w="709" w:type="dxa"/>
            <w:tcBorders>
              <w:right w:val="single" w:sz="12" w:space="0" w:color="auto"/>
            </w:tcBorders>
            <w:shd w:val="clear" w:color="auto" w:fill="auto"/>
            <w:noWrap/>
            <w:vAlign w:val="center"/>
            <w:hideMark/>
          </w:tcPr>
          <w:p w14:paraId="3BD5C088"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338</w:t>
            </w:r>
          </w:p>
        </w:tc>
        <w:tc>
          <w:tcPr>
            <w:tcW w:w="992" w:type="dxa"/>
            <w:tcBorders>
              <w:left w:val="single" w:sz="12" w:space="0" w:color="auto"/>
            </w:tcBorders>
            <w:shd w:val="clear" w:color="auto" w:fill="auto"/>
            <w:noWrap/>
            <w:vAlign w:val="center"/>
            <w:hideMark/>
          </w:tcPr>
          <w:p w14:paraId="1247F554"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21.914</w:t>
            </w:r>
          </w:p>
        </w:tc>
        <w:tc>
          <w:tcPr>
            <w:tcW w:w="1134" w:type="dxa"/>
            <w:shd w:val="clear" w:color="auto" w:fill="auto"/>
            <w:noWrap/>
            <w:vAlign w:val="center"/>
            <w:hideMark/>
          </w:tcPr>
          <w:p w14:paraId="6D9B5BC6"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27.903</w:t>
            </w:r>
          </w:p>
        </w:tc>
      </w:tr>
      <w:tr w:rsidR="00B91C0F" w:rsidRPr="00771DE8" w14:paraId="639F42A8" w14:textId="77777777" w:rsidTr="00975359">
        <w:trPr>
          <w:trHeight w:val="290"/>
          <w:jc w:val="center"/>
        </w:trPr>
        <w:tc>
          <w:tcPr>
            <w:tcW w:w="3261" w:type="dxa"/>
            <w:tcBorders>
              <w:right w:val="single" w:sz="12" w:space="0" w:color="auto"/>
            </w:tcBorders>
            <w:shd w:val="clear" w:color="auto" w:fill="auto"/>
            <w:noWrap/>
            <w:vAlign w:val="center"/>
            <w:hideMark/>
          </w:tcPr>
          <w:p w14:paraId="723E9BF6"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Sertão do Moxotó</w:t>
            </w:r>
          </w:p>
        </w:tc>
        <w:tc>
          <w:tcPr>
            <w:tcW w:w="851" w:type="dxa"/>
            <w:tcBorders>
              <w:left w:val="single" w:sz="12" w:space="0" w:color="auto"/>
            </w:tcBorders>
            <w:shd w:val="clear" w:color="auto" w:fill="auto"/>
            <w:noWrap/>
            <w:vAlign w:val="center"/>
            <w:hideMark/>
          </w:tcPr>
          <w:p w14:paraId="66F20FCC"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1.131</w:t>
            </w:r>
          </w:p>
        </w:tc>
        <w:tc>
          <w:tcPr>
            <w:tcW w:w="790" w:type="dxa"/>
            <w:tcBorders>
              <w:right w:val="single" w:sz="12" w:space="0" w:color="auto"/>
            </w:tcBorders>
            <w:shd w:val="clear" w:color="auto" w:fill="auto"/>
            <w:noWrap/>
            <w:vAlign w:val="center"/>
            <w:hideMark/>
          </w:tcPr>
          <w:p w14:paraId="6F54E072"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1.759</w:t>
            </w:r>
          </w:p>
        </w:tc>
        <w:tc>
          <w:tcPr>
            <w:tcW w:w="790" w:type="dxa"/>
            <w:tcBorders>
              <w:left w:val="single" w:sz="12" w:space="0" w:color="auto"/>
            </w:tcBorders>
            <w:shd w:val="clear" w:color="auto" w:fill="auto"/>
            <w:noWrap/>
            <w:vAlign w:val="center"/>
            <w:hideMark/>
          </w:tcPr>
          <w:p w14:paraId="26335F5D"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1.293</w:t>
            </w:r>
          </w:p>
        </w:tc>
        <w:tc>
          <w:tcPr>
            <w:tcW w:w="1113" w:type="dxa"/>
            <w:tcBorders>
              <w:right w:val="single" w:sz="12" w:space="0" w:color="auto"/>
            </w:tcBorders>
            <w:shd w:val="clear" w:color="auto" w:fill="auto"/>
            <w:noWrap/>
            <w:vAlign w:val="center"/>
            <w:hideMark/>
          </w:tcPr>
          <w:p w14:paraId="1BDE46A2"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2.778</w:t>
            </w:r>
          </w:p>
        </w:tc>
        <w:tc>
          <w:tcPr>
            <w:tcW w:w="851" w:type="dxa"/>
            <w:tcBorders>
              <w:left w:val="single" w:sz="12" w:space="0" w:color="auto"/>
            </w:tcBorders>
            <w:shd w:val="clear" w:color="auto" w:fill="auto"/>
            <w:noWrap/>
            <w:vAlign w:val="center"/>
            <w:hideMark/>
          </w:tcPr>
          <w:p w14:paraId="39487225"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3.454</w:t>
            </w:r>
          </w:p>
        </w:tc>
        <w:tc>
          <w:tcPr>
            <w:tcW w:w="790" w:type="dxa"/>
            <w:tcBorders>
              <w:right w:val="single" w:sz="12" w:space="0" w:color="auto"/>
            </w:tcBorders>
            <w:shd w:val="clear" w:color="auto" w:fill="auto"/>
            <w:noWrap/>
            <w:vAlign w:val="center"/>
            <w:hideMark/>
          </w:tcPr>
          <w:p w14:paraId="2B4FBF3F"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4.106</w:t>
            </w:r>
          </w:p>
        </w:tc>
        <w:tc>
          <w:tcPr>
            <w:tcW w:w="1052" w:type="dxa"/>
            <w:tcBorders>
              <w:left w:val="single" w:sz="12" w:space="0" w:color="auto"/>
            </w:tcBorders>
            <w:shd w:val="clear" w:color="auto" w:fill="auto"/>
            <w:noWrap/>
            <w:vAlign w:val="center"/>
            <w:hideMark/>
          </w:tcPr>
          <w:p w14:paraId="2D68AA81"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9.783</w:t>
            </w:r>
          </w:p>
        </w:tc>
        <w:tc>
          <w:tcPr>
            <w:tcW w:w="851" w:type="dxa"/>
            <w:tcBorders>
              <w:right w:val="single" w:sz="12" w:space="0" w:color="auto"/>
            </w:tcBorders>
            <w:shd w:val="clear" w:color="auto" w:fill="auto"/>
            <w:noWrap/>
            <w:vAlign w:val="center"/>
            <w:hideMark/>
          </w:tcPr>
          <w:p w14:paraId="2361EFCE"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9.887</w:t>
            </w:r>
          </w:p>
        </w:tc>
        <w:tc>
          <w:tcPr>
            <w:tcW w:w="850" w:type="dxa"/>
            <w:tcBorders>
              <w:left w:val="single" w:sz="12" w:space="0" w:color="auto"/>
            </w:tcBorders>
            <w:shd w:val="clear" w:color="auto" w:fill="auto"/>
            <w:noWrap/>
            <w:vAlign w:val="center"/>
            <w:hideMark/>
          </w:tcPr>
          <w:p w14:paraId="7F397C9C"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271</w:t>
            </w:r>
          </w:p>
        </w:tc>
        <w:tc>
          <w:tcPr>
            <w:tcW w:w="709" w:type="dxa"/>
            <w:tcBorders>
              <w:right w:val="single" w:sz="12" w:space="0" w:color="auto"/>
            </w:tcBorders>
            <w:shd w:val="clear" w:color="auto" w:fill="auto"/>
            <w:noWrap/>
            <w:vAlign w:val="center"/>
            <w:hideMark/>
          </w:tcPr>
          <w:p w14:paraId="5B6E7783"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380</w:t>
            </w:r>
          </w:p>
        </w:tc>
        <w:tc>
          <w:tcPr>
            <w:tcW w:w="992" w:type="dxa"/>
            <w:tcBorders>
              <w:left w:val="single" w:sz="12" w:space="0" w:color="auto"/>
            </w:tcBorders>
            <w:shd w:val="clear" w:color="auto" w:fill="auto"/>
            <w:noWrap/>
            <w:vAlign w:val="center"/>
            <w:hideMark/>
          </w:tcPr>
          <w:p w14:paraId="37EBCCC2"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15.932</w:t>
            </w:r>
          </w:p>
        </w:tc>
        <w:tc>
          <w:tcPr>
            <w:tcW w:w="1134" w:type="dxa"/>
            <w:shd w:val="clear" w:color="auto" w:fill="auto"/>
            <w:noWrap/>
            <w:vAlign w:val="center"/>
            <w:hideMark/>
          </w:tcPr>
          <w:p w14:paraId="6C1B0517"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18.910</w:t>
            </w:r>
          </w:p>
        </w:tc>
      </w:tr>
      <w:tr w:rsidR="00B91C0F" w:rsidRPr="00771DE8" w14:paraId="7D09F0B9" w14:textId="77777777" w:rsidTr="00975359">
        <w:trPr>
          <w:trHeight w:val="290"/>
          <w:jc w:val="center"/>
        </w:trPr>
        <w:tc>
          <w:tcPr>
            <w:tcW w:w="3261" w:type="dxa"/>
            <w:tcBorders>
              <w:right w:val="single" w:sz="12" w:space="0" w:color="auto"/>
            </w:tcBorders>
            <w:shd w:val="clear" w:color="auto" w:fill="auto"/>
            <w:noWrap/>
            <w:vAlign w:val="center"/>
            <w:hideMark/>
          </w:tcPr>
          <w:p w14:paraId="6FCD183F"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Petrolina</w:t>
            </w:r>
          </w:p>
        </w:tc>
        <w:tc>
          <w:tcPr>
            <w:tcW w:w="851" w:type="dxa"/>
            <w:tcBorders>
              <w:left w:val="single" w:sz="12" w:space="0" w:color="auto"/>
            </w:tcBorders>
            <w:shd w:val="clear" w:color="auto" w:fill="auto"/>
            <w:noWrap/>
            <w:vAlign w:val="center"/>
            <w:hideMark/>
          </w:tcPr>
          <w:p w14:paraId="2A281456"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3.915</w:t>
            </w:r>
          </w:p>
        </w:tc>
        <w:tc>
          <w:tcPr>
            <w:tcW w:w="790" w:type="dxa"/>
            <w:tcBorders>
              <w:right w:val="single" w:sz="12" w:space="0" w:color="auto"/>
            </w:tcBorders>
            <w:shd w:val="clear" w:color="auto" w:fill="auto"/>
            <w:noWrap/>
            <w:vAlign w:val="center"/>
            <w:hideMark/>
          </w:tcPr>
          <w:p w14:paraId="5EA0ED00"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4.690</w:t>
            </w:r>
          </w:p>
        </w:tc>
        <w:tc>
          <w:tcPr>
            <w:tcW w:w="790" w:type="dxa"/>
            <w:tcBorders>
              <w:left w:val="single" w:sz="12" w:space="0" w:color="auto"/>
            </w:tcBorders>
            <w:shd w:val="clear" w:color="auto" w:fill="auto"/>
            <w:noWrap/>
            <w:vAlign w:val="center"/>
            <w:hideMark/>
          </w:tcPr>
          <w:p w14:paraId="5EB0F6F5"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5.643</w:t>
            </w:r>
          </w:p>
        </w:tc>
        <w:tc>
          <w:tcPr>
            <w:tcW w:w="1113" w:type="dxa"/>
            <w:tcBorders>
              <w:right w:val="single" w:sz="12" w:space="0" w:color="auto"/>
            </w:tcBorders>
            <w:shd w:val="clear" w:color="auto" w:fill="auto"/>
            <w:noWrap/>
            <w:vAlign w:val="center"/>
            <w:hideMark/>
          </w:tcPr>
          <w:p w14:paraId="45FF0CAA"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2.715</w:t>
            </w:r>
          </w:p>
        </w:tc>
        <w:tc>
          <w:tcPr>
            <w:tcW w:w="851" w:type="dxa"/>
            <w:tcBorders>
              <w:left w:val="single" w:sz="12" w:space="0" w:color="auto"/>
            </w:tcBorders>
            <w:shd w:val="clear" w:color="auto" w:fill="auto"/>
            <w:noWrap/>
            <w:vAlign w:val="center"/>
            <w:hideMark/>
          </w:tcPr>
          <w:p w14:paraId="6495B2AB"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14.164</w:t>
            </w:r>
          </w:p>
        </w:tc>
        <w:tc>
          <w:tcPr>
            <w:tcW w:w="790" w:type="dxa"/>
            <w:tcBorders>
              <w:right w:val="single" w:sz="12" w:space="0" w:color="auto"/>
            </w:tcBorders>
            <w:shd w:val="clear" w:color="auto" w:fill="auto"/>
            <w:noWrap/>
            <w:vAlign w:val="center"/>
            <w:hideMark/>
          </w:tcPr>
          <w:p w14:paraId="5DF42CF3"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17.512</w:t>
            </w:r>
          </w:p>
        </w:tc>
        <w:tc>
          <w:tcPr>
            <w:tcW w:w="1052" w:type="dxa"/>
            <w:tcBorders>
              <w:left w:val="single" w:sz="12" w:space="0" w:color="auto"/>
            </w:tcBorders>
            <w:shd w:val="clear" w:color="auto" w:fill="auto"/>
            <w:noWrap/>
            <w:vAlign w:val="center"/>
            <w:hideMark/>
          </w:tcPr>
          <w:p w14:paraId="7B6D5684"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25.380</w:t>
            </w:r>
          </w:p>
        </w:tc>
        <w:tc>
          <w:tcPr>
            <w:tcW w:w="851" w:type="dxa"/>
            <w:tcBorders>
              <w:right w:val="single" w:sz="12" w:space="0" w:color="auto"/>
            </w:tcBorders>
            <w:shd w:val="clear" w:color="auto" w:fill="auto"/>
            <w:noWrap/>
            <w:vAlign w:val="center"/>
            <w:hideMark/>
          </w:tcPr>
          <w:p w14:paraId="2C9D09E7"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40.310</w:t>
            </w:r>
          </w:p>
        </w:tc>
        <w:tc>
          <w:tcPr>
            <w:tcW w:w="850" w:type="dxa"/>
            <w:tcBorders>
              <w:left w:val="single" w:sz="12" w:space="0" w:color="auto"/>
            </w:tcBorders>
            <w:shd w:val="clear" w:color="auto" w:fill="auto"/>
            <w:noWrap/>
            <w:vAlign w:val="center"/>
            <w:hideMark/>
          </w:tcPr>
          <w:p w14:paraId="1F91B7D0"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11.499</w:t>
            </w:r>
          </w:p>
        </w:tc>
        <w:tc>
          <w:tcPr>
            <w:tcW w:w="709" w:type="dxa"/>
            <w:tcBorders>
              <w:right w:val="single" w:sz="12" w:space="0" w:color="auto"/>
            </w:tcBorders>
            <w:shd w:val="clear" w:color="auto" w:fill="auto"/>
            <w:noWrap/>
            <w:vAlign w:val="center"/>
            <w:hideMark/>
          </w:tcPr>
          <w:p w14:paraId="344578AF"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20.464</w:t>
            </w:r>
          </w:p>
        </w:tc>
        <w:tc>
          <w:tcPr>
            <w:tcW w:w="992" w:type="dxa"/>
            <w:tcBorders>
              <w:left w:val="single" w:sz="12" w:space="0" w:color="auto"/>
            </w:tcBorders>
            <w:shd w:val="clear" w:color="auto" w:fill="auto"/>
            <w:noWrap/>
            <w:vAlign w:val="center"/>
            <w:hideMark/>
          </w:tcPr>
          <w:p w14:paraId="6833AE69"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60.601</w:t>
            </w:r>
          </w:p>
        </w:tc>
        <w:tc>
          <w:tcPr>
            <w:tcW w:w="1134" w:type="dxa"/>
            <w:shd w:val="clear" w:color="auto" w:fill="auto"/>
            <w:noWrap/>
            <w:vAlign w:val="center"/>
            <w:hideMark/>
          </w:tcPr>
          <w:p w14:paraId="21B6CE02"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85.691</w:t>
            </w:r>
          </w:p>
        </w:tc>
      </w:tr>
      <w:tr w:rsidR="00B91C0F" w:rsidRPr="00771DE8" w14:paraId="445CE2F6" w14:textId="77777777" w:rsidTr="00975359">
        <w:trPr>
          <w:trHeight w:val="290"/>
          <w:jc w:val="center"/>
        </w:trPr>
        <w:tc>
          <w:tcPr>
            <w:tcW w:w="3261" w:type="dxa"/>
            <w:tcBorders>
              <w:right w:val="single" w:sz="12" w:space="0" w:color="auto"/>
            </w:tcBorders>
            <w:shd w:val="clear" w:color="auto" w:fill="auto"/>
            <w:noWrap/>
            <w:vAlign w:val="center"/>
            <w:hideMark/>
          </w:tcPr>
          <w:p w14:paraId="0164ECC9"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Itaparica</w:t>
            </w:r>
          </w:p>
        </w:tc>
        <w:tc>
          <w:tcPr>
            <w:tcW w:w="851" w:type="dxa"/>
            <w:tcBorders>
              <w:left w:val="single" w:sz="12" w:space="0" w:color="auto"/>
            </w:tcBorders>
            <w:shd w:val="clear" w:color="auto" w:fill="auto"/>
            <w:noWrap/>
            <w:vAlign w:val="center"/>
            <w:hideMark/>
          </w:tcPr>
          <w:p w14:paraId="17DC8D00"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482</w:t>
            </w:r>
          </w:p>
        </w:tc>
        <w:tc>
          <w:tcPr>
            <w:tcW w:w="790" w:type="dxa"/>
            <w:tcBorders>
              <w:right w:val="single" w:sz="12" w:space="0" w:color="auto"/>
            </w:tcBorders>
            <w:shd w:val="clear" w:color="auto" w:fill="auto"/>
            <w:noWrap/>
            <w:vAlign w:val="center"/>
            <w:hideMark/>
          </w:tcPr>
          <w:p w14:paraId="0319F266"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560</w:t>
            </w:r>
          </w:p>
        </w:tc>
        <w:tc>
          <w:tcPr>
            <w:tcW w:w="790" w:type="dxa"/>
            <w:tcBorders>
              <w:left w:val="single" w:sz="12" w:space="0" w:color="auto"/>
            </w:tcBorders>
            <w:shd w:val="clear" w:color="auto" w:fill="auto"/>
            <w:noWrap/>
            <w:vAlign w:val="center"/>
            <w:hideMark/>
          </w:tcPr>
          <w:p w14:paraId="1574F748"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418</w:t>
            </w:r>
          </w:p>
        </w:tc>
        <w:tc>
          <w:tcPr>
            <w:tcW w:w="1113" w:type="dxa"/>
            <w:tcBorders>
              <w:right w:val="single" w:sz="12" w:space="0" w:color="auto"/>
            </w:tcBorders>
            <w:shd w:val="clear" w:color="auto" w:fill="auto"/>
            <w:noWrap/>
            <w:vAlign w:val="center"/>
            <w:hideMark/>
          </w:tcPr>
          <w:p w14:paraId="433F342D"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53</w:t>
            </w:r>
          </w:p>
        </w:tc>
        <w:tc>
          <w:tcPr>
            <w:tcW w:w="851" w:type="dxa"/>
            <w:tcBorders>
              <w:left w:val="single" w:sz="12" w:space="0" w:color="auto"/>
            </w:tcBorders>
            <w:shd w:val="clear" w:color="auto" w:fill="auto"/>
            <w:noWrap/>
            <w:vAlign w:val="center"/>
            <w:hideMark/>
          </w:tcPr>
          <w:p w14:paraId="6AC17F38"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2.421</w:t>
            </w:r>
          </w:p>
        </w:tc>
        <w:tc>
          <w:tcPr>
            <w:tcW w:w="790" w:type="dxa"/>
            <w:tcBorders>
              <w:right w:val="single" w:sz="12" w:space="0" w:color="auto"/>
            </w:tcBorders>
            <w:shd w:val="clear" w:color="auto" w:fill="auto"/>
            <w:noWrap/>
            <w:vAlign w:val="center"/>
            <w:hideMark/>
          </w:tcPr>
          <w:p w14:paraId="1C3A79D6"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2.699</w:t>
            </w:r>
          </w:p>
        </w:tc>
        <w:tc>
          <w:tcPr>
            <w:tcW w:w="1052" w:type="dxa"/>
            <w:tcBorders>
              <w:left w:val="single" w:sz="12" w:space="0" w:color="auto"/>
            </w:tcBorders>
            <w:shd w:val="clear" w:color="auto" w:fill="auto"/>
            <w:noWrap/>
            <w:vAlign w:val="center"/>
            <w:hideMark/>
          </w:tcPr>
          <w:p w14:paraId="0A60CF34"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6.748</w:t>
            </w:r>
          </w:p>
        </w:tc>
        <w:tc>
          <w:tcPr>
            <w:tcW w:w="851" w:type="dxa"/>
            <w:tcBorders>
              <w:right w:val="single" w:sz="12" w:space="0" w:color="auto"/>
            </w:tcBorders>
            <w:shd w:val="clear" w:color="auto" w:fill="auto"/>
            <w:noWrap/>
            <w:vAlign w:val="center"/>
            <w:hideMark/>
          </w:tcPr>
          <w:p w14:paraId="3EF9A3CE"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8.305</w:t>
            </w:r>
          </w:p>
        </w:tc>
        <w:tc>
          <w:tcPr>
            <w:tcW w:w="850" w:type="dxa"/>
            <w:tcBorders>
              <w:left w:val="single" w:sz="12" w:space="0" w:color="auto"/>
            </w:tcBorders>
            <w:shd w:val="clear" w:color="auto" w:fill="auto"/>
            <w:noWrap/>
            <w:vAlign w:val="center"/>
            <w:hideMark/>
          </w:tcPr>
          <w:p w14:paraId="0A0DEC3B"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1.047</w:t>
            </w:r>
          </w:p>
        </w:tc>
        <w:tc>
          <w:tcPr>
            <w:tcW w:w="709" w:type="dxa"/>
            <w:tcBorders>
              <w:right w:val="single" w:sz="12" w:space="0" w:color="auto"/>
            </w:tcBorders>
            <w:shd w:val="clear" w:color="auto" w:fill="auto"/>
            <w:noWrap/>
            <w:vAlign w:val="center"/>
            <w:hideMark/>
          </w:tcPr>
          <w:p w14:paraId="532C5778"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1.089</w:t>
            </w:r>
          </w:p>
        </w:tc>
        <w:tc>
          <w:tcPr>
            <w:tcW w:w="992" w:type="dxa"/>
            <w:tcBorders>
              <w:left w:val="single" w:sz="12" w:space="0" w:color="auto"/>
            </w:tcBorders>
            <w:shd w:val="clear" w:color="auto" w:fill="auto"/>
            <w:noWrap/>
            <w:vAlign w:val="center"/>
            <w:hideMark/>
          </w:tcPr>
          <w:p w14:paraId="67246DBC"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11.116</w:t>
            </w:r>
          </w:p>
        </w:tc>
        <w:tc>
          <w:tcPr>
            <w:tcW w:w="1134" w:type="dxa"/>
            <w:shd w:val="clear" w:color="auto" w:fill="auto"/>
            <w:noWrap/>
            <w:vAlign w:val="center"/>
            <w:hideMark/>
          </w:tcPr>
          <w:p w14:paraId="7B92A8A6"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12.706</w:t>
            </w:r>
          </w:p>
        </w:tc>
      </w:tr>
      <w:tr w:rsidR="00B91C0F" w:rsidRPr="00771DE8" w14:paraId="1B445F52" w14:textId="77777777" w:rsidTr="00975359">
        <w:trPr>
          <w:trHeight w:val="290"/>
          <w:jc w:val="center"/>
        </w:trPr>
        <w:tc>
          <w:tcPr>
            <w:tcW w:w="3261" w:type="dxa"/>
            <w:tcBorders>
              <w:right w:val="single" w:sz="12" w:space="0" w:color="auto"/>
            </w:tcBorders>
            <w:shd w:val="clear" w:color="auto" w:fill="auto"/>
            <w:noWrap/>
            <w:vAlign w:val="center"/>
            <w:hideMark/>
          </w:tcPr>
          <w:p w14:paraId="3A7BDE8B"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Vale do Ipanema</w:t>
            </w:r>
          </w:p>
        </w:tc>
        <w:tc>
          <w:tcPr>
            <w:tcW w:w="851" w:type="dxa"/>
            <w:tcBorders>
              <w:left w:val="single" w:sz="12" w:space="0" w:color="auto"/>
            </w:tcBorders>
            <w:shd w:val="clear" w:color="auto" w:fill="auto"/>
            <w:noWrap/>
            <w:vAlign w:val="center"/>
            <w:hideMark/>
          </w:tcPr>
          <w:p w14:paraId="3D1558E8"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250</w:t>
            </w:r>
          </w:p>
        </w:tc>
        <w:tc>
          <w:tcPr>
            <w:tcW w:w="790" w:type="dxa"/>
            <w:tcBorders>
              <w:right w:val="single" w:sz="12" w:space="0" w:color="auto"/>
            </w:tcBorders>
            <w:shd w:val="clear" w:color="auto" w:fill="auto"/>
            <w:noWrap/>
            <w:vAlign w:val="center"/>
            <w:hideMark/>
          </w:tcPr>
          <w:p w14:paraId="77009106"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323</w:t>
            </w:r>
          </w:p>
        </w:tc>
        <w:tc>
          <w:tcPr>
            <w:tcW w:w="790" w:type="dxa"/>
            <w:tcBorders>
              <w:left w:val="single" w:sz="12" w:space="0" w:color="auto"/>
            </w:tcBorders>
            <w:shd w:val="clear" w:color="auto" w:fill="auto"/>
            <w:noWrap/>
            <w:vAlign w:val="center"/>
            <w:hideMark/>
          </w:tcPr>
          <w:p w14:paraId="6BC87DBA"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32</w:t>
            </w:r>
          </w:p>
        </w:tc>
        <w:tc>
          <w:tcPr>
            <w:tcW w:w="1113" w:type="dxa"/>
            <w:tcBorders>
              <w:right w:val="single" w:sz="12" w:space="0" w:color="auto"/>
            </w:tcBorders>
            <w:shd w:val="clear" w:color="auto" w:fill="auto"/>
            <w:noWrap/>
            <w:vAlign w:val="center"/>
            <w:hideMark/>
          </w:tcPr>
          <w:p w14:paraId="058C2DCD"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10</w:t>
            </w:r>
          </w:p>
        </w:tc>
        <w:tc>
          <w:tcPr>
            <w:tcW w:w="851" w:type="dxa"/>
            <w:tcBorders>
              <w:left w:val="single" w:sz="12" w:space="0" w:color="auto"/>
            </w:tcBorders>
            <w:shd w:val="clear" w:color="auto" w:fill="auto"/>
            <w:noWrap/>
            <w:vAlign w:val="center"/>
            <w:hideMark/>
          </w:tcPr>
          <w:p w14:paraId="6DC5D43B"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1.030</w:t>
            </w:r>
          </w:p>
        </w:tc>
        <w:tc>
          <w:tcPr>
            <w:tcW w:w="790" w:type="dxa"/>
            <w:tcBorders>
              <w:right w:val="single" w:sz="12" w:space="0" w:color="auto"/>
            </w:tcBorders>
            <w:shd w:val="clear" w:color="auto" w:fill="auto"/>
            <w:noWrap/>
            <w:vAlign w:val="center"/>
            <w:hideMark/>
          </w:tcPr>
          <w:p w14:paraId="596BD591"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1.429</w:t>
            </w:r>
          </w:p>
        </w:tc>
        <w:tc>
          <w:tcPr>
            <w:tcW w:w="1052" w:type="dxa"/>
            <w:tcBorders>
              <w:left w:val="single" w:sz="12" w:space="0" w:color="auto"/>
            </w:tcBorders>
            <w:shd w:val="clear" w:color="auto" w:fill="auto"/>
            <w:noWrap/>
            <w:vAlign w:val="center"/>
            <w:hideMark/>
          </w:tcPr>
          <w:p w14:paraId="18ECF884"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5.109</w:t>
            </w:r>
          </w:p>
        </w:tc>
        <w:tc>
          <w:tcPr>
            <w:tcW w:w="851" w:type="dxa"/>
            <w:tcBorders>
              <w:right w:val="single" w:sz="12" w:space="0" w:color="auto"/>
            </w:tcBorders>
            <w:shd w:val="clear" w:color="auto" w:fill="auto"/>
            <w:noWrap/>
            <w:vAlign w:val="center"/>
            <w:hideMark/>
          </w:tcPr>
          <w:p w14:paraId="56069573"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7.240</w:t>
            </w:r>
          </w:p>
        </w:tc>
        <w:tc>
          <w:tcPr>
            <w:tcW w:w="850" w:type="dxa"/>
            <w:tcBorders>
              <w:left w:val="single" w:sz="12" w:space="0" w:color="auto"/>
            </w:tcBorders>
            <w:shd w:val="clear" w:color="auto" w:fill="auto"/>
            <w:noWrap/>
            <w:vAlign w:val="center"/>
            <w:hideMark/>
          </w:tcPr>
          <w:p w14:paraId="55A05124"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60</w:t>
            </w:r>
          </w:p>
        </w:tc>
        <w:tc>
          <w:tcPr>
            <w:tcW w:w="709" w:type="dxa"/>
            <w:tcBorders>
              <w:right w:val="single" w:sz="12" w:space="0" w:color="auto"/>
            </w:tcBorders>
            <w:shd w:val="clear" w:color="auto" w:fill="auto"/>
            <w:noWrap/>
            <w:vAlign w:val="center"/>
            <w:hideMark/>
          </w:tcPr>
          <w:p w14:paraId="0255AF4B"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91</w:t>
            </w:r>
          </w:p>
        </w:tc>
        <w:tc>
          <w:tcPr>
            <w:tcW w:w="992" w:type="dxa"/>
            <w:tcBorders>
              <w:left w:val="single" w:sz="12" w:space="0" w:color="auto"/>
            </w:tcBorders>
            <w:shd w:val="clear" w:color="auto" w:fill="auto"/>
            <w:noWrap/>
            <w:vAlign w:val="center"/>
            <w:hideMark/>
          </w:tcPr>
          <w:p w14:paraId="2C32823A"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6.481</w:t>
            </w:r>
          </w:p>
        </w:tc>
        <w:tc>
          <w:tcPr>
            <w:tcW w:w="1134" w:type="dxa"/>
            <w:shd w:val="clear" w:color="auto" w:fill="auto"/>
            <w:noWrap/>
            <w:vAlign w:val="center"/>
            <w:hideMark/>
          </w:tcPr>
          <w:p w14:paraId="28BAA478"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9.093</w:t>
            </w:r>
          </w:p>
        </w:tc>
      </w:tr>
      <w:tr w:rsidR="00B91C0F" w:rsidRPr="00771DE8" w14:paraId="244147B5" w14:textId="77777777" w:rsidTr="00975359">
        <w:trPr>
          <w:trHeight w:val="290"/>
          <w:jc w:val="center"/>
        </w:trPr>
        <w:tc>
          <w:tcPr>
            <w:tcW w:w="3261" w:type="dxa"/>
            <w:tcBorders>
              <w:right w:val="single" w:sz="12" w:space="0" w:color="auto"/>
            </w:tcBorders>
            <w:shd w:val="clear" w:color="auto" w:fill="auto"/>
            <w:noWrap/>
            <w:vAlign w:val="center"/>
            <w:hideMark/>
          </w:tcPr>
          <w:p w14:paraId="29098A75"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Vale do Ipojuca</w:t>
            </w:r>
          </w:p>
        </w:tc>
        <w:tc>
          <w:tcPr>
            <w:tcW w:w="851" w:type="dxa"/>
            <w:tcBorders>
              <w:left w:val="single" w:sz="12" w:space="0" w:color="auto"/>
            </w:tcBorders>
            <w:shd w:val="clear" w:color="auto" w:fill="auto"/>
            <w:noWrap/>
            <w:vAlign w:val="center"/>
            <w:hideMark/>
          </w:tcPr>
          <w:p w14:paraId="6E1170C9"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21.354</w:t>
            </w:r>
          </w:p>
        </w:tc>
        <w:tc>
          <w:tcPr>
            <w:tcW w:w="790" w:type="dxa"/>
            <w:tcBorders>
              <w:right w:val="single" w:sz="12" w:space="0" w:color="auto"/>
            </w:tcBorders>
            <w:shd w:val="clear" w:color="auto" w:fill="auto"/>
            <w:noWrap/>
            <w:vAlign w:val="center"/>
            <w:hideMark/>
          </w:tcPr>
          <w:p w14:paraId="2E20B765"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24.390</w:t>
            </w:r>
          </w:p>
        </w:tc>
        <w:tc>
          <w:tcPr>
            <w:tcW w:w="790" w:type="dxa"/>
            <w:tcBorders>
              <w:left w:val="single" w:sz="12" w:space="0" w:color="auto"/>
            </w:tcBorders>
            <w:shd w:val="clear" w:color="auto" w:fill="auto"/>
            <w:noWrap/>
            <w:vAlign w:val="center"/>
            <w:hideMark/>
          </w:tcPr>
          <w:p w14:paraId="38287895"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3.448</w:t>
            </w:r>
          </w:p>
        </w:tc>
        <w:tc>
          <w:tcPr>
            <w:tcW w:w="1113" w:type="dxa"/>
            <w:tcBorders>
              <w:right w:val="single" w:sz="12" w:space="0" w:color="auto"/>
            </w:tcBorders>
            <w:shd w:val="clear" w:color="auto" w:fill="auto"/>
            <w:noWrap/>
            <w:vAlign w:val="center"/>
            <w:hideMark/>
          </w:tcPr>
          <w:p w14:paraId="03A6AC46"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2.531</w:t>
            </w:r>
          </w:p>
        </w:tc>
        <w:tc>
          <w:tcPr>
            <w:tcW w:w="851" w:type="dxa"/>
            <w:tcBorders>
              <w:left w:val="single" w:sz="12" w:space="0" w:color="auto"/>
            </w:tcBorders>
            <w:shd w:val="clear" w:color="auto" w:fill="auto"/>
            <w:noWrap/>
            <w:vAlign w:val="center"/>
            <w:hideMark/>
          </w:tcPr>
          <w:p w14:paraId="2C2B9920"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26.205</w:t>
            </w:r>
          </w:p>
        </w:tc>
        <w:tc>
          <w:tcPr>
            <w:tcW w:w="790" w:type="dxa"/>
            <w:tcBorders>
              <w:right w:val="single" w:sz="12" w:space="0" w:color="auto"/>
            </w:tcBorders>
            <w:shd w:val="clear" w:color="auto" w:fill="auto"/>
            <w:noWrap/>
            <w:vAlign w:val="center"/>
            <w:hideMark/>
          </w:tcPr>
          <w:p w14:paraId="1F9E3419"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31.127</w:t>
            </w:r>
          </w:p>
        </w:tc>
        <w:tc>
          <w:tcPr>
            <w:tcW w:w="1052" w:type="dxa"/>
            <w:tcBorders>
              <w:left w:val="single" w:sz="12" w:space="0" w:color="auto"/>
            </w:tcBorders>
            <w:shd w:val="clear" w:color="auto" w:fill="auto"/>
            <w:noWrap/>
            <w:vAlign w:val="center"/>
            <w:hideMark/>
          </w:tcPr>
          <w:p w14:paraId="134163E6"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51.679</w:t>
            </w:r>
          </w:p>
        </w:tc>
        <w:tc>
          <w:tcPr>
            <w:tcW w:w="851" w:type="dxa"/>
            <w:tcBorders>
              <w:right w:val="single" w:sz="12" w:space="0" w:color="auto"/>
            </w:tcBorders>
            <w:shd w:val="clear" w:color="auto" w:fill="auto"/>
            <w:noWrap/>
            <w:vAlign w:val="center"/>
            <w:hideMark/>
          </w:tcPr>
          <w:p w14:paraId="4EA2269A"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67.644</w:t>
            </w:r>
          </w:p>
        </w:tc>
        <w:tc>
          <w:tcPr>
            <w:tcW w:w="850" w:type="dxa"/>
            <w:tcBorders>
              <w:left w:val="single" w:sz="12" w:space="0" w:color="auto"/>
            </w:tcBorders>
            <w:shd w:val="clear" w:color="auto" w:fill="auto"/>
            <w:noWrap/>
            <w:vAlign w:val="center"/>
            <w:hideMark/>
          </w:tcPr>
          <w:p w14:paraId="3DAFB6B1"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3.091</w:t>
            </w:r>
          </w:p>
        </w:tc>
        <w:tc>
          <w:tcPr>
            <w:tcW w:w="709" w:type="dxa"/>
            <w:tcBorders>
              <w:right w:val="single" w:sz="12" w:space="0" w:color="auto"/>
            </w:tcBorders>
            <w:shd w:val="clear" w:color="auto" w:fill="auto"/>
            <w:noWrap/>
            <w:vAlign w:val="center"/>
            <w:hideMark/>
          </w:tcPr>
          <w:p w14:paraId="1900687D"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3.965</w:t>
            </w:r>
          </w:p>
        </w:tc>
        <w:tc>
          <w:tcPr>
            <w:tcW w:w="992" w:type="dxa"/>
            <w:tcBorders>
              <w:left w:val="single" w:sz="12" w:space="0" w:color="auto"/>
            </w:tcBorders>
            <w:shd w:val="clear" w:color="auto" w:fill="auto"/>
            <w:noWrap/>
            <w:vAlign w:val="center"/>
            <w:hideMark/>
          </w:tcPr>
          <w:p w14:paraId="3FB54220"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105.777</w:t>
            </w:r>
          </w:p>
        </w:tc>
        <w:tc>
          <w:tcPr>
            <w:tcW w:w="1134" w:type="dxa"/>
            <w:shd w:val="clear" w:color="auto" w:fill="auto"/>
            <w:noWrap/>
            <w:vAlign w:val="center"/>
            <w:hideMark/>
          </w:tcPr>
          <w:p w14:paraId="27B6A0BD"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129.657</w:t>
            </w:r>
          </w:p>
        </w:tc>
      </w:tr>
      <w:tr w:rsidR="00B91C0F" w:rsidRPr="00771DE8" w14:paraId="2699126B" w14:textId="77777777" w:rsidTr="00975359">
        <w:trPr>
          <w:trHeight w:val="290"/>
          <w:jc w:val="center"/>
        </w:trPr>
        <w:tc>
          <w:tcPr>
            <w:tcW w:w="3261" w:type="dxa"/>
            <w:tcBorders>
              <w:right w:val="single" w:sz="12" w:space="0" w:color="auto"/>
            </w:tcBorders>
            <w:shd w:val="clear" w:color="auto" w:fill="auto"/>
            <w:noWrap/>
            <w:vAlign w:val="center"/>
            <w:hideMark/>
          </w:tcPr>
          <w:p w14:paraId="7768A472"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Alto Capibaribe</w:t>
            </w:r>
          </w:p>
        </w:tc>
        <w:tc>
          <w:tcPr>
            <w:tcW w:w="851" w:type="dxa"/>
            <w:tcBorders>
              <w:left w:val="single" w:sz="12" w:space="0" w:color="auto"/>
            </w:tcBorders>
            <w:shd w:val="clear" w:color="auto" w:fill="auto"/>
            <w:noWrap/>
            <w:vAlign w:val="center"/>
            <w:hideMark/>
          </w:tcPr>
          <w:p w14:paraId="0479A460"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8.143</w:t>
            </w:r>
          </w:p>
        </w:tc>
        <w:tc>
          <w:tcPr>
            <w:tcW w:w="790" w:type="dxa"/>
            <w:tcBorders>
              <w:right w:val="single" w:sz="12" w:space="0" w:color="auto"/>
            </w:tcBorders>
            <w:shd w:val="clear" w:color="auto" w:fill="auto"/>
            <w:noWrap/>
            <w:vAlign w:val="center"/>
            <w:hideMark/>
          </w:tcPr>
          <w:p w14:paraId="49A3AD33"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9.417</w:t>
            </w:r>
          </w:p>
        </w:tc>
        <w:tc>
          <w:tcPr>
            <w:tcW w:w="790" w:type="dxa"/>
            <w:tcBorders>
              <w:left w:val="single" w:sz="12" w:space="0" w:color="auto"/>
            </w:tcBorders>
            <w:shd w:val="clear" w:color="auto" w:fill="auto"/>
            <w:noWrap/>
            <w:vAlign w:val="center"/>
            <w:hideMark/>
          </w:tcPr>
          <w:p w14:paraId="27384B74"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338</w:t>
            </w:r>
          </w:p>
        </w:tc>
        <w:tc>
          <w:tcPr>
            <w:tcW w:w="1113" w:type="dxa"/>
            <w:tcBorders>
              <w:right w:val="single" w:sz="12" w:space="0" w:color="auto"/>
            </w:tcBorders>
            <w:shd w:val="clear" w:color="auto" w:fill="auto"/>
            <w:noWrap/>
            <w:vAlign w:val="center"/>
            <w:hideMark/>
          </w:tcPr>
          <w:p w14:paraId="35B37762"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444</w:t>
            </w:r>
          </w:p>
        </w:tc>
        <w:tc>
          <w:tcPr>
            <w:tcW w:w="851" w:type="dxa"/>
            <w:tcBorders>
              <w:left w:val="single" w:sz="12" w:space="0" w:color="auto"/>
            </w:tcBorders>
            <w:shd w:val="clear" w:color="auto" w:fill="auto"/>
            <w:noWrap/>
            <w:vAlign w:val="center"/>
            <w:hideMark/>
          </w:tcPr>
          <w:p w14:paraId="40F7C710"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5.388</w:t>
            </w:r>
          </w:p>
        </w:tc>
        <w:tc>
          <w:tcPr>
            <w:tcW w:w="790" w:type="dxa"/>
            <w:tcBorders>
              <w:right w:val="single" w:sz="12" w:space="0" w:color="auto"/>
            </w:tcBorders>
            <w:shd w:val="clear" w:color="auto" w:fill="auto"/>
            <w:noWrap/>
            <w:vAlign w:val="center"/>
            <w:hideMark/>
          </w:tcPr>
          <w:p w14:paraId="7C9C9031"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7.552</w:t>
            </w:r>
          </w:p>
        </w:tc>
        <w:tc>
          <w:tcPr>
            <w:tcW w:w="1052" w:type="dxa"/>
            <w:tcBorders>
              <w:left w:val="single" w:sz="12" w:space="0" w:color="auto"/>
            </w:tcBorders>
            <w:shd w:val="clear" w:color="auto" w:fill="auto"/>
            <w:noWrap/>
            <w:vAlign w:val="center"/>
            <w:hideMark/>
          </w:tcPr>
          <w:p w14:paraId="1D54B0C6"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12.017</w:t>
            </w:r>
          </w:p>
        </w:tc>
        <w:tc>
          <w:tcPr>
            <w:tcW w:w="851" w:type="dxa"/>
            <w:tcBorders>
              <w:right w:val="single" w:sz="12" w:space="0" w:color="auto"/>
            </w:tcBorders>
            <w:shd w:val="clear" w:color="auto" w:fill="auto"/>
            <w:noWrap/>
            <w:vAlign w:val="center"/>
            <w:hideMark/>
          </w:tcPr>
          <w:p w14:paraId="550E50E7"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14.450</w:t>
            </w:r>
          </w:p>
        </w:tc>
        <w:tc>
          <w:tcPr>
            <w:tcW w:w="850" w:type="dxa"/>
            <w:tcBorders>
              <w:left w:val="single" w:sz="12" w:space="0" w:color="auto"/>
            </w:tcBorders>
            <w:shd w:val="clear" w:color="auto" w:fill="auto"/>
            <w:noWrap/>
            <w:vAlign w:val="center"/>
            <w:hideMark/>
          </w:tcPr>
          <w:p w14:paraId="214297DE"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218</w:t>
            </w:r>
          </w:p>
        </w:tc>
        <w:tc>
          <w:tcPr>
            <w:tcW w:w="709" w:type="dxa"/>
            <w:tcBorders>
              <w:right w:val="single" w:sz="12" w:space="0" w:color="auto"/>
            </w:tcBorders>
            <w:shd w:val="clear" w:color="auto" w:fill="auto"/>
            <w:noWrap/>
            <w:vAlign w:val="center"/>
            <w:hideMark/>
          </w:tcPr>
          <w:p w14:paraId="12C8F359"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48</w:t>
            </w:r>
          </w:p>
        </w:tc>
        <w:tc>
          <w:tcPr>
            <w:tcW w:w="992" w:type="dxa"/>
            <w:tcBorders>
              <w:left w:val="single" w:sz="12" w:space="0" w:color="auto"/>
            </w:tcBorders>
            <w:shd w:val="clear" w:color="auto" w:fill="auto"/>
            <w:noWrap/>
            <w:vAlign w:val="center"/>
            <w:hideMark/>
          </w:tcPr>
          <w:p w14:paraId="422C4CB0"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26.104</w:t>
            </w:r>
          </w:p>
        </w:tc>
        <w:tc>
          <w:tcPr>
            <w:tcW w:w="1134" w:type="dxa"/>
            <w:shd w:val="clear" w:color="auto" w:fill="auto"/>
            <w:noWrap/>
            <w:vAlign w:val="center"/>
            <w:hideMark/>
          </w:tcPr>
          <w:p w14:paraId="3886CDFC"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31.911</w:t>
            </w:r>
          </w:p>
        </w:tc>
      </w:tr>
      <w:tr w:rsidR="00B91C0F" w:rsidRPr="00771DE8" w14:paraId="60831A83" w14:textId="77777777" w:rsidTr="00975359">
        <w:trPr>
          <w:trHeight w:val="290"/>
          <w:jc w:val="center"/>
        </w:trPr>
        <w:tc>
          <w:tcPr>
            <w:tcW w:w="3261" w:type="dxa"/>
            <w:tcBorders>
              <w:right w:val="single" w:sz="12" w:space="0" w:color="auto"/>
            </w:tcBorders>
            <w:shd w:val="clear" w:color="auto" w:fill="auto"/>
            <w:noWrap/>
            <w:vAlign w:val="center"/>
            <w:hideMark/>
          </w:tcPr>
          <w:p w14:paraId="59644C7D"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Médio Capibaribe</w:t>
            </w:r>
          </w:p>
        </w:tc>
        <w:tc>
          <w:tcPr>
            <w:tcW w:w="851" w:type="dxa"/>
            <w:tcBorders>
              <w:left w:val="single" w:sz="12" w:space="0" w:color="auto"/>
            </w:tcBorders>
            <w:shd w:val="clear" w:color="auto" w:fill="auto"/>
            <w:noWrap/>
            <w:vAlign w:val="center"/>
            <w:hideMark/>
          </w:tcPr>
          <w:p w14:paraId="77D74B65"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1.457</w:t>
            </w:r>
          </w:p>
        </w:tc>
        <w:tc>
          <w:tcPr>
            <w:tcW w:w="790" w:type="dxa"/>
            <w:tcBorders>
              <w:right w:val="single" w:sz="12" w:space="0" w:color="auto"/>
            </w:tcBorders>
            <w:shd w:val="clear" w:color="auto" w:fill="auto"/>
            <w:noWrap/>
            <w:vAlign w:val="center"/>
            <w:hideMark/>
          </w:tcPr>
          <w:p w14:paraId="197468CA"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2.038</w:t>
            </w:r>
          </w:p>
        </w:tc>
        <w:tc>
          <w:tcPr>
            <w:tcW w:w="790" w:type="dxa"/>
            <w:tcBorders>
              <w:left w:val="single" w:sz="12" w:space="0" w:color="auto"/>
            </w:tcBorders>
            <w:shd w:val="clear" w:color="auto" w:fill="auto"/>
            <w:noWrap/>
            <w:vAlign w:val="center"/>
            <w:hideMark/>
          </w:tcPr>
          <w:p w14:paraId="21E4D40B"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160</w:t>
            </w:r>
          </w:p>
        </w:tc>
        <w:tc>
          <w:tcPr>
            <w:tcW w:w="1113" w:type="dxa"/>
            <w:tcBorders>
              <w:right w:val="single" w:sz="12" w:space="0" w:color="auto"/>
            </w:tcBorders>
            <w:shd w:val="clear" w:color="auto" w:fill="auto"/>
            <w:noWrap/>
            <w:vAlign w:val="center"/>
            <w:hideMark/>
          </w:tcPr>
          <w:p w14:paraId="62A7687C"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242</w:t>
            </w:r>
          </w:p>
        </w:tc>
        <w:tc>
          <w:tcPr>
            <w:tcW w:w="851" w:type="dxa"/>
            <w:tcBorders>
              <w:left w:val="single" w:sz="12" w:space="0" w:color="auto"/>
            </w:tcBorders>
            <w:shd w:val="clear" w:color="auto" w:fill="auto"/>
            <w:noWrap/>
            <w:vAlign w:val="center"/>
            <w:hideMark/>
          </w:tcPr>
          <w:p w14:paraId="4B60499E"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2.735</w:t>
            </w:r>
          </w:p>
        </w:tc>
        <w:tc>
          <w:tcPr>
            <w:tcW w:w="790" w:type="dxa"/>
            <w:tcBorders>
              <w:right w:val="single" w:sz="12" w:space="0" w:color="auto"/>
            </w:tcBorders>
            <w:shd w:val="clear" w:color="auto" w:fill="auto"/>
            <w:noWrap/>
            <w:vAlign w:val="center"/>
            <w:hideMark/>
          </w:tcPr>
          <w:p w14:paraId="47F513CE"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3.688</w:t>
            </w:r>
          </w:p>
        </w:tc>
        <w:tc>
          <w:tcPr>
            <w:tcW w:w="1052" w:type="dxa"/>
            <w:tcBorders>
              <w:left w:val="single" w:sz="12" w:space="0" w:color="auto"/>
            </w:tcBorders>
            <w:shd w:val="clear" w:color="auto" w:fill="auto"/>
            <w:noWrap/>
            <w:vAlign w:val="center"/>
            <w:hideMark/>
          </w:tcPr>
          <w:p w14:paraId="2005A4C6"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10.256</w:t>
            </w:r>
          </w:p>
        </w:tc>
        <w:tc>
          <w:tcPr>
            <w:tcW w:w="851" w:type="dxa"/>
            <w:tcBorders>
              <w:right w:val="single" w:sz="12" w:space="0" w:color="auto"/>
            </w:tcBorders>
            <w:shd w:val="clear" w:color="auto" w:fill="auto"/>
            <w:noWrap/>
            <w:vAlign w:val="center"/>
            <w:hideMark/>
          </w:tcPr>
          <w:p w14:paraId="138EF8BA"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11.637</w:t>
            </w:r>
          </w:p>
        </w:tc>
        <w:tc>
          <w:tcPr>
            <w:tcW w:w="850" w:type="dxa"/>
            <w:tcBorders>
              <w:left w:val="single" w:sz="12" w:space="0" w:color="auto"/>
            </w:tcBorders>
            <w:shd w:val="clear" w:color="auto" w:fill="auto"/>
            <w:noWrap/>
            <w:vAlign w:val="center"/>
            <w:hideMark/>
          </w:tcPr>
          <w:p w14:paraId="6EE8C545"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1.194</w:t>
            </w:r>
          </w:p>
        </w:tc>
        <w:tc>
          <w:tcPr>
            <w:tcW w:w="709" w:type="dxa"/>
            <w:tcBorders>
              <w:right w:val="single" w:sz="12" w:space="0" w:color="auto"/>
            </w:tcBorders>
            <w:shd w:val="clear" w:color="auto" w:fill="auto"/>
            <w:noWrap/>
            <w:vAlign w:val="center"/>
            <w:hideMark/>
          </w:tcPr>
          <w:p w14:paraId="72E4CFC4"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1.641</w:t>
            </w:r>
          </w:p>
        </w:tc>
        <w:tc>
          <w:tcPr>
            <w:tcW w:w="992" w:type="dxa"/>
            <w:tcBorders>
              <w:left w:val="single" w:sz="12" w:space="0" w:color="auto"/>
            </w:tcBorders>
            <w:shd w:val="clear" w:color="auto" w:fill="auto"/>
            <w:noWrap/>
            <w:vAlign w:val="center"/>
            <w:hideMark/>
          </w:tcPr>
          <w:p w14:paraId="4F037B07"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15.802</w:t>
            </w:r>
          </w:p>
        </w:tc>
        <w:tc>
          <w:tcPr>
            <w:tcW w:w="1134" w:type="dxa"/>
            <w:shd w:val="clear" w:color="auto" w:fill="auto"/>
            <w:noWrap/>
            <w:vAlign w:val="center"/>
            <w:hideMark/>
          </w:tcPr>
          <w:p w14:paraId="539399E0"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19.246</w:t>
            </w:r>
          </w:p>
        </w:tc>
      </w:tr>
      <w:tr w:rsidR="00B91C0F" w:rsidRPr="00771DE8" w14:paraId="35D84CC5" w14:textId="77777777" w:rsidTr="00975359">
        <w:trPr>
          <w:trHeight w:val="290"/>
          <w:jc w:val="center"/>
        </w:trPr>
        <w:tc>
          <w:tcPr>
            <w:tcW w:w="3261" w:type="dxa"/>
            <w:tcBorders>
              <w:right w:val="single" w:sz="12" w:space="0" w:color="auto"/>
            </w:tcBorders>
            <w:shd w:val="clear" w:color="auto" w:fill="auto"/>
            <w:noWrap/>
            <w:vAlign w:val="center"/>
            <w:hideMark/>
          </w:tcPr>
          <w:p w14:paraId="209D0243"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Garanhuns</w:t>
            </w:r>
          </w:p>
        </w:tc>
        <w:tc>
          <w:tcPr>
            <w:tcW w:w="851" w:type="dxa"/>
            <w:tcBorders>
              <w:left w:val="single" w:sz="12" w:space="0" w:color="auto"/>
            </w:tcBorders>
            <w:shd w:val="clear" w:color="auto" w:fill="auto"/>
            <w:noWrap/>
            <w:vAlign w:val="center"/>
            <w:hideMark/>
          </w:tcPr>
          <w:p w14:paraId="426C82AE"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2.856</w:t>
            </w:r>
          </w:p>
        </w:tc>
        <w:tc>
          <w:tcPr>
            <w:tcW w:w="790" w:type="dxa"/>
            <w:tcBorders>
              <w:right w:val="single" w:sz="12" w:space="0" w:color="auto"/>
            </w:tcBorders>
            <w:shd w:val="clear" w:color="auto" w:fill="auto"/>
            <w:noWrap/>
            <w:vAlign w:val="center"/>
            <w:hideMark/>
          </w:tcPr>
          <w:p w14:paraId="57DE2BD8"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3.336</w:t>
            </w:r>
          </w:p>
        </w:tc>
        <w:tc>
          <w:tcPr>
            <w:tcW w:w="790" w:type="dxa"/>
            <w:tcBorders>
              <w:left w:val="single" w:sz="12" w:space="0" w:color="auto"/>
            </w:tcBorders>
            <w:shd w:val="clear" w:color="auto" w:fill="auto"/>
            <w:noWrap/>
            <w:vAlign w:val="center"/>
            <w:hideMark/>
          </w:tcPr>
          <w:p w14:paraId="0144E71F"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914</w:t>
            </w:r>
          </w:p>
        </w:tc>
        <w:tc>
          <w:tcPr>
            <w:tcW w:w="1113" w:type="dxa"/>
            <w:tcBorders>
              <w:right w:val="single" w:sz="12" w:space="0" w:color="auto"/>
            </w:tcBorders>
            <w:shd w:val="clear" w:color="auto" w:fill="auto"/>
            <w:noWrap/>
            <w:vAlign w:val="center"/>
            <w:hideMark/>
          </w:tcPr>
          <w:p w14:paraId="4B634815"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894</w:t>
            </w:r>
          </w:p>
        </w:tc>
        <w:tc>
          <w:tcPr>
            <w:tcW w:w="851" w:type="dxa"/>
            <w:tcBorders>
              <w:left w:val="single" w:sz="12" w:space="0" w:color="auto"/>
            </w:tcBorders>
            <w:shd w:val="clear" w:color="auto" w:fill="auto"/>
            <w:noWrap/>
            <w:vAlign w:val="center"/>
            <w:hideMark/>
          </w:tcPr>
          <w:p w14:paraId="3AD133D5"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7.907</w:t>
            </w:r>
          </w:p>
        </w:tc>
        <w:tc>
          <w:tcPr>
            <w:tcW w:w="790" w:type="dxa"/>
            <w:tcBorders>
              <w:right w:val="single" w:sz="12" w:space="0" w:color="auto"/>
            </w:tcBorders>
            <w:shd w:val="clear" w:color="auto" w:fill="auto"/>
            <w:noWrap/>
            <w:vAlign w:val="center"/>
            <w:hideMark/>
          </w:tcPr>
          <w:p w14:paraId="06BE4E65"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9.847</w:t>
            </w:r>
          </w:p>
        </w:tc>
        <w:tc>
          <w:tcPr>
            <w:tcW w:w="1052" w:type="dxa"/>
            <w:tcBorders>
              <w:left w:val="single" w:sz="12" w:space="0" w:color="auto"/>
            </w:tcBorders>
            <w:shd w:val="clear" w:color="auto" w:fill="auto"/>
            <w:noWrap/>
            <w:vAlign w:val="center"/>
            <w:hideMark/>
          </w:tcPr>
          <w:p w14:paraId="4DD22E44"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20.842</w:t>
            </w:r>
          </w:p>
        </w:tc>
        <w:tc>
          <w:tcPr>
            <w:tcW w:w="851" w:type="dxa"/>
            <w:tcBorders>
              <w:right w:val="single" w:sz="12" w:space="0" w:color="auto"/>
            </w:tcBorders>
            <w:shd w:val="clear" w:color="auto" w:fill="auto"/>
            <w:noWrap/>
            <w:vAlign w:val="center"/>
            <w:hideMark/>
          </w:tcPr>
          <w:p w14:paraId="1345BBAD"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23.419</w:t>
            </w:r>
          </w:p>
        </w:tc>
        <w:tc>
          <w:tcPr>
            <w:tcW w:w="850" w:type="dxa"/>
            <w:tcBorders>
              <w:left w:val="single" w:sz="12" w:space="0" w:color="auto"/>
            </w:tcBorders>
            <w:shd w:val="clear" w:color="auto" w:fill="auto"/>
            <w:noWrap/>
            <w:vAlign w:val="center"/>
            <w:hideMark/>
          </w:tcPr>
          <w:p w14:paraId="753D8E92"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630</w:t>
            </w:r>
          </w:p>
        </w:tc>
        <w:tc>
          <w:tcPr>
            <w:tcW w:w="709" w:type="dxa"/>
            <w:tcBorders>
              <w:right w:val="single" w:sz="12" w:space="0" w:color="auto"/>
            </w:tcBorders>
            <w:shd w:val="clear" w:color="auto" w:fill="auto"/>
            <w:noWrap/>
            <w:vAlign w:val="center"/>
            <w:hideMark/>
          </w:tcPr>
          <w:p w14:paraId="5593761E"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951</w:t>
            </w:r>
          </w:p>
        </w:tc>
        <w:tc>
          <w:tcPr>
            <w:tcW w:w="992" w:type="dxa"/>
            <w:tcBorders>
              <w:left w:val="single" w:sz="12" w:space="0" w:color="auto"/>
            </w:tcBorders>
            <w:shd w:val="clear" w:color="auto" w:fill="auto"/>
            <w:noWrap/>
            <w:vAlign w:val="center"/>
            <w:hideMark/>
          </w:tcPr>
          <w:p w14:paraId="15273923"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33.149</w:t>
            </w:r>
          </w:p>
        </w:tc>
        <w:tc>
          <w:tcPr>
            <w:tcW w:w="1134" w:type="dxa"/>
            <w:shd w:val="clear" w:color="auto" w:fill="auto"/>
            <w:noWrap/>
            <w:vAlign w:val="center"/>
            <w:hideMark/>
          </w:tcPr>
          <w:p w14:paraId="1CC7BE32"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38.447</w:t>
            </w:r>
          </w:p>
        </w:tc>
      </w:tr>
      <w:tr w:rsidR="00B91C0F" w:rsidRPr="00771DE8" w14:paraId="2AFF4F22" w14:textId="77777777" w:rsidTr="00975359">
        <w:trPr>
          <w:trHeight w:val="290"/>
          <w:jc w:val="center"/>
        </w:trPr>
        <w:tc>
          <w:tcPr>
            <w:tcW w:w="3261" w:type="dxa"/>
            <w:tcBorders>
              <w:right w:val="single" w:sz="12" w:space="0" w:color="auto"/>
            </w:tcBorders>
            <w:shd w:val="clear" w:color="auto" w:fill="auto"/>
            <w:noWrap/>
            <w:vAlign w:val="center"/>
            <w:hideMark/>
          </w:tcPr>
          <w:p w14:paraId="4605FBC8"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Brejo Pernambucano</w:t>
            </w:r>
          </w:p>
        </w:tc>
        <w:tc>
          <w:tcPr>
            <w:tcW w:w="851" w:type="dxa"/>
            <w:tcBorders>
              <w:left w:val="single" w:sz="12" w:space="0" w:color="auto"/>
            </w:tcBorders>
            <w:shd w:val="clear" w:color="auto" w:fill="auto"/>
            <w:noWrap/>
            <w:vAlign w:val="center"/>
            <w:hideMark/>
          </w:tcPr>
          <w:p w14:paraId="6E98F5CE"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965</w:t>
            </w:r>
          </w:p>
        </w:tc>
        <w:tc>
          <w:tcPr>
            <w:tcW w:w="790" w:type="dxa"/>
            <w:tcBorders>
              <w:right w:val="single" w:sz="12" w:space="0" w:color="auto"/>
            </w:tcBorders>
            <w:shd w:val="clear" w:color="auto" w:fill="auto"/>
            <w:noWrap/>
            <w:vAlign w:val="center"/>
            <w:hideMark/>
          </w:tcPr>
          <w:p w14:paraId="7D1ACAFB"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1.493</w:t>
            </w:r>
          </w:p>
        </w:tc>
        <w:tc>
          <w:tcPr>
            <w:tcW w:w="790" w:type="dxa"/>
            <w:tcBorders>
              <w:left w:val="single" w:sz="12" w:space="0" w:color="auto"/>
            </w:tcBorders>
            <w:shd w:val="clear" w:color="auto" w:fill="auto"/>
            <w:noWrap/>
            <w:vAlign w:val="center"/>
            <w:hideMark/>
          </w:tcPr>
          <w:p w14:paraId="07E9F5CD"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58</w:t>
            </w:r>
          </w:p>
        </w:tc>
        <w:tc>
          <w:tcPr>
            <w:tcW w:w="1113" w:type="dxa"/>
            <w:tcBorders>
              <w:right w:val="single" w:sz="12" w:space="0" w:color="auto"/>
            </w:tcBorders>
            <w:shd w:val="clear" w:color="auto" w:fill="auto"/>
            <w:noWrap/>
            <w:vAlign w:val="center"/>
            <w:hideMark/>
          </w:tcPr>
          <w:p w14:paraId="35875B44"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273</w:t>
            </w:r>
          </w:p>
        </w:tc>
        <w:tc>
          <w:tcPr>
            <w:tcW w:w="851" w:type="dxa"/>
            <w:tcBorders>
              <w:left w:val="single" w:sz="12" w:space="0" w:color="auto"/>
            </w:tcBorders>
            <w:shd w:val="clear" w:color="auto" w:fill="auto"/>
            <w:noWrap/>
            <w:vAlign w:val="center"/>
            <w:hideMark/>
          </w:tcPr>
          <w:p w14:paraId="24C51679"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1.317</w:t>
            </w:r>
          </w:p>
        </w:tc>
        <w:tc>
          <w:tcPr>
            <w:tcW w:w="790" w:type="dxa"/>
            <w:tcBorders>
              <w:right w:val="single" w:sz="12" w:space="0" w:color="auto"/>
            </w:tcBorders>
            <w:shd w:val="clear" w:color="auto" w:fill="auto"/>
            <w:noWrap/>
            <w:vAlign w:val="center"/>
            <w:hideMark/>
          </w:tcPr>
          <w:p w14:paraId="37FBE079"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2.298</w:t>
            </w:r>
          </w:p>
        </w:tc>
        <w:tc>
          <w:tcPr>
            <w:tcW w:w="1052" w:type="dxa"/>
            <w:tcBorders>
              <w:left w:val="single" w:sz="12" w:space="0" w:color="auto"/>
            </w:tcBorders>
            <w:shd w:val="clear" w:color="auto" w:fill="auto"/>
            <w:noWrap/>
            <w:vAlign w:val="center"/>
            <w:hideMark/>
          </w:tcPr>
          <w:p w14:paraId="54DF447E"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9.456</w:t>
            </w:r>
          </w:p>
        </w:tc>
        <w:tc>
          <w:tcPr>
            <w:tcW w:w="851" w:type="dxa"/>
            <w:tcBorders>
              <w:right w:val="single" w:sz="12" w:space="0" w:color="auto"/>
            </w:tcBorders>
            <w:shd w:val="clear" w:color="auto" w:fill="auto"/>
            <w:noWrap/>
            <w:vAlign w:val="center"/>
            <w:hideMark/>
          </w:tcPr>
          <w:p w14:paraId="14537B01"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8.321</w:t>
            </w:r>
          </w:p>
        </w:tc>
        <w:tc>
          <w:tcPr>
            <w:tcW w:w="850" w:type="dxa"/>
            <w:tcBorders>
              <w:left w:val="single" w:sz="12" w:space="0" w:color="auto"/>
            </w:tcBorders>
            <w:shd w:val="clear" w:color="auto" w:fill="auto"/>
            <w:noWrap/>
            <w:vAlign w:val="center"/>
            <w:hideMark/>
          </w:tcPr>
          <w:p w14:paraId="61A2980C"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4.009</w:t>
            </w:r>
          </w:p>
        </w:tc>
        <w:tc>
          <w:tcPr>
            <w:tcW w:w="709" w:type="dxa"/>
            <w:tcBorders>
              <w:right w:val="single" w:sz="12" w:space="0" w:color="auto"/>
            </w:tcBorders>
            <w:shd w:val="clear" w:color="auto" w:fill="auto"/>
            <w:noWrap/>
            <w:vAlign w:val="center"/>
            <w:hideMark/>
          </w:tcPr>
          <w:p w14:paraId="35AFF786"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1.484</w:t>
            </w:r>
          </w:p>
        </w:tc>
        <w:tc>
          <w:tcPr>
            <w:tcW w:w="992" w:type="dxa"/>
            <w:tcBorders>
              <w:left w:val="single" w:sz="12" w:space="0" w:color="auto"/>
            </w:tcBorders>
            <w:shd w:val="clear" w:color="auto" w:fill="auto"/>
            <w:noWrap/>
            <w:vAlign w:val="center"/>
            <w:hideMark/>
          </w:tcPr>
          <w:p w14:paraId="3AB7B07D"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15.805</w:t>
            </w:r>
          </w:p>
        </w:tc>
        <w:tc>
          <w:tcPr>
            <w:tcW w:w="1134" w:type="dxa"/>
            <w:shd w:val="clear" w:color="auto" w:fill="auto"/>
            <w:noWrap/>
            <w:vAlign w:val="center"/>
            <w:hideMark/>
          </w:tcPr>
          <w:p w14:paraId="33FA78F6"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13.869</w:t>
            </w:r>
          </w:p>
        </w:tc>
      </w:tr>
      <w:tr w:rsidR="00B91C0F" w:rsidRPr="00771DE8" w14:paraId="0C89D103" w14:textId="77777777" w:rsidTr="00975359">
        <w:trPr>
          <w:trHeight w:val="290"/>
          <w:jc w:val="center"/>
        </w:trPr>
        <w:tc>
          <w:tcPr>
            <w:tcW w:w="3261" w:type="dxa"/>
            <w:tcBorders>
              <w:right w:val="single" w:sz="12" w:space="0" w:color="auto"/>
            </w:tcBorders>
            <w:shd w:val="clear" w:color="auto" w:fill="auto"/>
            <w:noWrap/>
            <w:vAlign w:val="center"/>
            <w:hideMark/>
          </w:tcPr>
          <w:p w14:paraId="1F8B960F"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Mata Setentrional Pernambucana</w:t>
            </w:r>
          </w:p>
        </w:tc>
        <w:tc>
          <w:tcPr>
            <w:tcW w:w="851" w:type="dxa"/>
            <w:tcBorders>
              <w:left w:val="single" w:sz="12" w:space="0" w:color="auto"/>
            </w:tcBorders>
            <w:shd w:val="clear" w:color="auto" w:fill="auto"/>
            <w:noWrap/>
            <w:vAlign w:val="center"/>
            <w:hideMark/>
          </w:tcPr>
          <w:p w14:paraId="49087499"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27.218</w:t>
            </w:r>
          </w:p>
        </w:tc>
        <w:tc>
          <w:tcPr>
            <w:tcW w:w="790" w:type="dxa"/>
            <w:tcBorders>
              <w:right w:val="single" w:sz="12" w:space="0" w:color="auto"/>
            </w:tcBorders>
            <w:shd w:val="clear" w:color="auto" w:fill="auto"/>
            <w:noWrap/>
            <w:vAlign w:val="center"/>
            <w:hideMark/>
          </w:tcPr>
          <w:p w14:paraId="646DDF6E"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30.369</w:t>
            </w:r>
          </w:p>
        </w:tc>
        <w:tc>
          <w:tcPr>
            <w:tcW w:w="790" w:type="dxa"/>
            <w:tcBorders>
              <w:left w:val="single" w:sz="12" w:space="0" w:color="auto"/>
            </w:tcBorders>
            <w:shd w:val="clear" w:color="auto" w:fill="auto"/>
            <w:noWrap/>
            <w:vAlign w:val="center"/>
            <w:hideMark/>
          </w:tcPr>
          <w:p w14:paraId="66217499"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1.582</w:t>
            </w:r>
          </w:p>
        </w:tc>
        <w:tc>
          <w:tcPr>
            <w:tcW w:w="1113" w:type="dxa"/>
            <w:tcBorders>
              <w:right w:val="single" w:sz="12" w:space="0" w:color="auto"/>
            </w:tcBorders>
            <w:shd w:val="clear" w:color="auto" w:fill="auto"/>
            <w:noWrap/>
            <w:vAlign w:val="center"/>
            <w:hideMark/>
          </w:tcPr>
          <w:p w14:paraId="2C82F22B"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1.512</w:t>
            </w:r>
          </w:p>
        </w:tc>
        <w:tc>
          <w:tcPr>
            <w:tcW w:w="851" w:type="dxa"/>
            <w:tcBorders>
              <w:left w:val="single" w:sz="12" w:space="0" w:color="auto"/>
            </w:tcBorders>
            <w:shd w:val="clear" w:color="auto" w:fill="auto"/>
            <w:noWrap/>
            <w:vAlign w:val="center"/>
            <w:hideMark/>
          </w:tcPr>
          <w:p w14:paraId="36911445"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10.471</w:t>
            </w:r>
          </w:p>
        </w:tc>
        <w:tc>
          <w:tcPr>
            <w:tcW w:w="790" w:type="dxa"/>
            <w:tcBorders>
              <w:right w:val="single" w:sz="12" w:space="0" w:color="auto"/>
            </w:tcBorders>
            <w:shd w:val="clear" w:color="auto" w:fill="auto"/>
            <w:noWrap/>
            <w:vAlign w:val="center"/>
            <w:hideMark/>
          </w:tcPr>
          <w:p w14:paraId="76C35AD4"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12.330</w:t>
            </w:r>
          </w:p>
        </w:tc>
        <w:tc>
          <w:tcPr>
            <w:tcW w:w="1052" w:type="dxa"/>
            <w:tcBorders>
              <w:left w:val="single" w:sz="12" w:space="0" w:color="auto"/>
            </w:tcBorders>
            <w:shd w:val="clear" w:color="auto" w:fill="auto"/>
            <w:noWrap/>
            <w:vAlign w:val="center"/>
            <w:hideMark/>
          </w:tcPr>
          <w:p w14:paraId="3F8066F5"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24.104</w:t>
            </w:r>
          </w:p>
        </w:tc>
        <w:tc>
          <w:tcPr>
            <w:tcW w:w="851" w:type="dxa"/>
            <w:tcBorders>
              <w:right w:val="single" w:sz="12" w:space="0" w:color="auto"/>
            </w:tcBorders>
            <w:shd w:val="clear" w:color="auto" w:fill="auto"/>
            <w:noWrap/>
            <w:vAlign w:val="center"/>
            <w:hideMark/>
          </w:tcPr>
          <w:p w14:paraId="3BFAAD3B"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28.075</w:t>
            </w:r>
          </w:p>
        </w:tc>
        <w:tc>
          <w:tcPr>
            <w:tcW w:w="850" w:type="dxa"/>
            <w:tcBorders>
              <w:left w:val="single" w:sz="12" w:space="0" w:color="auto"/>
            </w:tcBorders>
            <w:shd w:val="clear" w:color="auto" w:fill="auto"/>
            <w:noWrap/>
            <w:vAlign w:val="center"/>
            <w:hideMark/>
          </w:tcPr>
          <w:p w14:paraId="1AD47D50"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10.298</w:t>
            </w:r>
          </w:p>
        </w:tc>
        <w:tc>
          <w:tcPr>
            <w:tcW w:w="709" w:type="dxa"/>
            <w:tcBorders>
              <w:right w:val="single" w:sz="12" w:space="0" w:color="auto"/>
            </w:tcBorders>
            <w:shd w:val="clear" w:color="auto" w:fill="auto"/>
            <w:noWrap/>
            <w:vAlign w:val="center"/>
            <w:hideMark/>
          </w:tcPr>
          <w:p w14:paraId="64D82779"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7.389</w:t>
            </w:r>
          </w:p>
        </w:tc>
        <w:tc>
          <w:tcPr>
            <w:tcW w:w="992" w:type="dxa"/>
            <w:tcBorders>
              <w:left w:val="single" w:sz="12" w:space="0" w:color="auto"/>
            </w:tcBorders>
            <w:shd w:val="clear" w:color="auto" w:fill="auto"/>
            <w:noWrap/>
            <w:vAlign w:val="center"/>
            <w:hideMark/>
          </w:tcPr>
          <w:p w14:paraId="536F3CC0"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73.673</w:t>
            </w:r>
          </w:p>
        </w:tc>
        <w:tc>
          <w:tcPr>
            <w:tcW w:w="1134" w:type="dxa"/>
            <w:shd w:val="clear" w:color="auto" w:fill="auto"/>
            <w:noWrap/>
            <w:vAlign w:val="center"/>
            <w:hideMark/>
          </w:tcPr>
          <w:p w14:paraId="6D7A6BE3"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79.675</w:t>
            </w:r>
          </w:p>
        </w:tc>
      </w:tr>
      <w:tr w:rsidR="00B91C0F" w:rsidRPr="00771DE8" w14:paraId="74C0B0EF" w14:textId="77777777" w:rsidTr="00975359">
        <w:trPr>
          <w:trHeight w:val="290"/>
          <w:jc w:val="center"/>
        </w:trPr>
        <w:tc>
          <w:tcPr>
            <w:tcW w:w="3261" w:type="dxa"/>
            <w:tcBorders>
              <w:right w:val="single" w:sz="12" w:space="0" w:color="auto"/>
            </w:tcBorders>
            <w:shd w:val="clear" w:color="auto" w:fill="auto"/>
            <w:noWrap/>
            <w:vAlign w:val="center"/>
            <w:hideMark/>
          </w:tcPr>
          <w:p w14:paraId="1E242926"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Vitória de Santo Antão</w:t>
            </w:r>
          </w:p>
        </w:tc>
        <w:tc>
          <w:tcPr>
            <w:tcW w:w="851" w:type="dxa"/>
            <w:tcBorders>
              <w:left w:val="single" w:sz="12" w:space="0" w:color="auto"/>
            </w:tcBorders>
            <w:shd w:val="clear" w:color="auto" w:fill="auto"/>
            <w:noWrap/>
            <w:vAlign w:val="center"/>
            <w:hideMark/>
          </w:tcPr>
          <w:p w14:paraId="6C4B4E19"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7.356</w:t>
            </w:r>
          </w:p>
        </w:tc>
        <w:tc>
          <w:tcPr>
            <w:tcW w:w="790" w:type="dxa"/>
            <w:tcBorders>
              <w:right w:val="single" w:sz="12" w:space="0" w:color="auto"/>
            </w:tcBorders>
            <w:shd w:val="clear" w:color="auto" w:fill="auto"/>
            <w:noWrap/>
            <w:vAlign w:val="center"/>
            <w:hideMark/>
          </w:tcPr>
          <w:p w14:paraId="2000173C"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10.845</w:t>
            </w:r>
          </w:p>
        </w:tc>
        <w:tc>
          <w:tcPr>
            <w:tcW w:w="790" w:type="dxa"/>
            <w:tcBorders>
              <w:left w:val="single" w:sz="12" w:space="0" w:color="auto"/>
            </w:tcBorders>
            <w:shd w:val="clear" w:color="auto" w:fill="auto"/>
            <w:noWrap/>
            <w:vAlign w:val="center"/>
            <w:hideMark/>
          </w:tcPr>
          <w:p w14:paraId="3E881FE7"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384</w:t>
            </w:r>
          </w:p>
        </w:tc>
        <w:tc>
          <w:tcPr>
            <w:tcW w:w="1113" w:type="dxa"/>
            <w:tcBorders>
              <w:right w:val="single" w:sz="12" w:space="0" w:color="auto"/>
            </w:tcBorders>
            <w:shd w:val="clear" w:color="auto" w:fill="auto"/>
            <w:noWrap/>
            <w:vAlign w:val="center"/>
            <w:hideMark/>
          </w:tcPr>
          <w:p w14:paraId="073CC939"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201</w:t>
            </w:r>
          </w:p>
        </w:tc>
        <w:tc>
          <w:tcPr>
            <w:tcW w:w="851" w:type="dxa"/>
            <w:tcBorders>
              <w:left w:val="single" w:sz="12" w:space="0" w:color="auto"/>
            </w:tcBorders>
            <w:shd w:val="clear" w:color="auto" w:fill="auto"/>
            <w:noWrap/>
            <w:vAlign w:val="center"/>
            <w:hideMark/>
          </w:tcPr>
          <w:p w14:paraId="42003D30"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4.408</w:t>
            </w:r>
          </w:p>
        </w:tc>
        <w:tc>
          <w:tcPr>
            <w:tcW w:w="790" w:type="dxa"/>
            <w:tcBorders>
              <w:right w:val="single" w:sz="12" w:space="0" w:color="auto"/>
            </w:tcBorders>
            <w:shd w:val="clear" w:color="auto" w:fill="auto"/>
            <w:noWrap/>
            <w:vAlign w:val="center"/>
            <w:hideMark/>
          </w:tcPr>
          <w:p w14:paraId="1E383E18"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7.068</w:t>
            </w:r>
          </w:p>
        </w:tc>
        <w:tc>
          <w:tcPr>
            <w:tcW w:w="1052" w:type="dxa"/>
            <w:tcBorders>
              <w:left w:val="single" w:sz="12" w:space="0" w:color="auto"/>
            </w:tcBorders>
            <w:shd w:val="clear" w:color="auto" w:fill="auto"/>
            <w:noWrap/>
            <w:vAlign w:val="center"/>
            <w:hideMark/>
          </w:tcPr>
          <w:p w14:paraId="6EB2E885"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9.438</w:t>
            </w:r>
          </w:p>
        </w:tc>
        <w:tc>
          <w:tcPr>
            <w:tcW w:w="851" w:type="dxa"/>
            <w:tcBorders>
              <w:right w:val="single" w:sz="12" w:space="0" w:color="auto"/>
            </w:tcBorders>
            <w:shd w:val="clear" w:color="auto" w:fill="auto"/>
            <w:noWrap/>
            <w:vAlign w:val="center"/>
            <w:hideMark/>
          </w:tcPr>
          <w:p w14:paraId="608F334C"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12.133</w:t>
            </w:r>
          </w:p>
        </w:tc>
        <w:tc>
          <w:tcPr>
            <w:tcW w:w="850" w:type="dxa"/>
            <w:tcBorders>
              <w:left w:val="single" w:sz="12" w:space="0" w:color="auto"/>
            </w:tcBorders>
            <w:shd w:val="clear" w:color="auto" w:fill="auto"/>
            <w:noWrap/>
            <w:vAlign w:val="center"/>
            <w:hideMark/>
          </w:tcPr>
          <w:p w14:paraId="70AFC38C"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937</w:t>
            </w:r>
          </w:p>
        </w:tc>
        <w:tc>
          <w:tcPr>
            <w:tcW w:w="709" w:type="dxa"/>
            <w:tcBorders>
              <w:right w:val="single" w:sz="12" w:space="0" w:color="auto"/>
            </w:tcBorders>
            <w:shd w:val="clear" w:color="auto" w:fill="auto"/>
            <w:noWrap/>
            <w:vAlign w:val="center"/>
            <w:hideMark/>
          </w:tcPr>
          <w:p w14:paraId="21EDC301"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632</w:t>
            </w:r>
          </w:p>
        </w:tc>
        <w:tc>
          <w:tcPr>
            <w:tcW w:w="992" w:type="dxa"/>
            <w:tcBorders>
              <w:left w:val="single" w:sz="12" w:space="0" w:color="auto"/>
            </w:tcBorders>
            <w:shd w:val="clear" w:color="auto" w:fill="auto"/>
            <w:noWrap/>
            <w:vAlign w:val="center"/>
            <w:hideMark/>
          </w:tcPr>
          <w:p w14:paraId="395EBBA1"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22.523</w:t>
            </w:r>
          </w:p>
        </w:tc>
        <w:tc>
          <w:tcPr>
            <w:tcW w:w="1134" w:type="dxa"/>
            <w:shd w:val="clear" w:color="auto" w:fill="auto"/>
            <w:noWrap/>
            <w:vAlign w:val="center"/>
            <w:hideMark/>
          </w:tcPr>
          <w:p w14:paraId="0250E729"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30.879</w:t>
            </w:r>
          </w:p>
        </w:tc>
      </w:tr>
      <w:tr w:rsidR="00B91C0F" w:rsidRPr="00771DE8" w14:paraId="39CBA4E6" w14:textId="77777777" w:rsidTr="00975359">
        <w:trPr>
          <w:trHeight w:val="290"/>
          <w:jc w:val="center"/>
        </w:trPr>
        <w:tc>
          <w:tcPr>
            <w:tcW w:w="3261" w:type="dxa"/>
            <w:tcBorders>
              <w:right w:val="single" w:sz="12" w:space="0" w:color="auto"/>
            </w:tcBorders>
            <w:shd w:val="clear" w:color="auto" w:fill="auto"/>
            <w:noWrap/>
            <w:vAlign w:val="center"/>
            <w:hideMark/>
          </w:tcPr>
          <w:p w14:paraId="1F50C501"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Mata Meridional Pernambucana</w:t>
            </w:r>
          </w:p>
        </w:tc>
        <w:tc>
          <w:tcPr>
            <w:tcW w:w="851" w:type="dxa"/>
            <w:tcBorders>
              <w:left w:val="single" w:sz="12" w:space="0" w:color="auto"/>
            </w:tcBorders>
            <w:shd w:val="clear" w:color="auto" w:fill="auto"/>
            <w:noWrap/>
            <w:vAlign w:val="center"/>
            <w:hideMark/>
          </w:tcPr>
          <w:p w14:paraId="78A26B6F"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29.577</w:t>
            </w:r>
          </w:p>
        </w:tc>
        <w:tc>
          <w:tcPr>
            <w:tcW w:w="790" w:type="dxa"/>
            <w:tcBorders>
              <w:right w:val="single" w:sz="12" w:space="0" w:color="auto"/>
            </w:tcBorders>
            <w:shd w:val="clear" w:color="auto" w:fill="auto"/>
            <w:noWrap/>
            <w:vAlign w:val="center"/>
            <w:hideMark/>
          </w:tcPr>
          <w:p w14:paraId="0A008ABF"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22.183</w:t>
            </w:r>
          </w:p>
        </w:tc>
        <w:tc>
          <w:tcPr>
            <w:tcW w:w="790" w:type="dxa"/>
            <w:tcBorders>
              <w:left w:val="single" w:sz="12" w:space="0" w:color="auto"/>
            </w:tcBorders>
            <w:shd w:val="clear" w:color="auto" w:fill="auto"/>
            <w:noWrap/>
            <w:vAlign w:val="center"/>
            <w:hideMark/>
          </w:tcPr>
          <w:p w14:paraId="51D779F5"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715</w:t>
            </w:r>
          </w:p>
        </w:tc>
        <w:tc>
          <w:tcPr>
            <w:tcW w:w="1113" w:type="dxa"/>
            <w:tcBorders>
              <w:right w:val="single" w:sz="12" w:space="0" w:color="auto"/>
            </w:tcBorders>
            <w:shd w:val="clear" w:color="auto" w:fill="auto"/>
            <w:noWrap/>
            <w:vAlign w:val="center"/>
            <w:hideMark/>
          </w:tcPr>
          <w:p w14:paraId="526E8B29"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1.600</w:t>
            </w:r>
          </w:p>
        </w:tc>
        <w:tc>
          <w:tcPr>
            <w:tcW w:w="851" w:type="dxa"/>
            <w:tcBorders>
              <w:left w:val="single" w:sz="12" w:space="0" w:color="auto"/>
            </w:tcBorders>
            <w:shd w:val="clear" w:color="auto" w:fill="auto"/>
            <w:noWrap/>
            <w:vAlign w:val="center"/>
            <w:hideMark/>
          </w:tcPr>
          <w:p w14:paraId="75DD97F5"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6.849</w:t>
            </w:r>
          </w:p>
        </w:tc>
        <w:tc>
          <w:tcPr>
            <w:tcW w:w="790" w:type="dxa"/>
            <w:tcBorders>
              <w:right w:val="single" w:sz="12" w:space="0" w:color="auto"/>
            </w:tcBorders>
            <w:shd w:val="clear" w:color="auto" w:fill="auto"/>
            <w:noWrap/>
            <w:vAlign w:val="center"/>
            <w:hideMark/>
          </w:tcPr>
          <w:p w14:paraId="511B79B4"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8.862</w:t>
            </w:r>
          </w:p>
        </w:tc>
        <w:tc>
          <w:tcPr>
            <w:tcW w:w="1052" w:type="dxa"/>
            <w:tcBorders>
              <w:left w:val="single" w:sz="12" w:space="0" w:color="auto"/>
            </w:tcBorders>
            <w:shd w:val="clear" w:color="auto" w:fill="auto"/>
            <w:noWrap/>
            <w:vAlign w:val="center"/>
            <w:hideMark/>
          </w:tcPr>
          <w:p w14:paraId="2618D738"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25.154</w:t>
            </w:r>
          </w:p>
        </w:tc>
        <w:tc>
          <w:tcPr>
            <w:tcW w:w="851" w:type="dxa"/>
            <w:tcBorders>
              <w:right w:val="single" w:sz="12" w:space="0" w:color="auto"/>
            </w:tcBorders>
            <w:shd w:val="clear" w:color="auto" w:fill="auto"/>
            <w:noWrap/>
            <w:vAlign w:val="center"/>
            <w:hideMark/>
          </w:tcPr>
          <w:p w14:paraId="2205373E"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26.836</w:t>
            </w:r>
          </w:p>
        </w:tc>
        <w:tc>
          <w:tcPr>
            <w:tcW w:w="850" w:type="dxa"/>
            <w:tcBorders>
              <w:left w:val="single" w:sz="12" w:space="0" w:color="auto"/>
            </w:tcBorders>
            <w:shd w:val="clear" w:color="auto" w:fill="auto"/>
            <w:noWrap/>
            <w:vAlign w:val="center"/>
            <w:hideMark/>
          </w:tcPr>
          <w:p w14:paraId="3D250C55"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8.354</w:t>
            </w:r>
          </w:p>
        </w:tc>
        <w:tc>
          <w:tcPr>
            <w:tcW w:w="709" w:type="dxa"/>
            <w:tcBorders>
              <w:right w:val="single" w:sz="12" w:space="0" w:color="auto"/>
            </w:tcBorders>
            <w:shd w:val="clear" w:color="auto" w:fill="auto"/>
            <w:noWrap/>
            <w:vAlign w:val="center"/>
            <w:hideMark/>
          </w:tcPr>
          <w:p w14:paraId="5156E54E"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4.745</w:t>
            </w:r>
          </w:p>
        </w:tc>
        <w:tc>
          <w:tcPr>
            <w:tcW w:w="992" w:type="dxa"/>
            <w:tcBorders>
              <w:left w:val="single" w:sz="12" w:space="0" w:color="auto"/>
            </w:tcBorders>
            <w:shd w:val="clear" w:color="auto" w:fill="auto"/>
            <w:noWrap/>
            <w:vAlign w:val="center"/>
            <w:hideMark/>
          </w:tcPr>
          <w:p w14:paraId="0DA7C5AB"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70.649</w:t>
            </w:r>
          </w:p>
        </w:tc>
        <w:tc>
          <w:tcPr>
            <w:tcW w:w="1134" w:type="dxa"/>
            <w:shd w:val="clear" w:color="auto" w:fill="auto"/>
            <w:noWrap/>
            <w:vAlign w:val="center"/>
            <w:hideMark/>
          </w:tcPr>
          <w:p w14:paraId="7856ECE9"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64.226</w:t>
            </w:r>
          </w:p>
        </w:tc>
      </w:tr>
      <w:tr w:rsidR="00B91C0F" w:rsidRPr="00771DE8" w14:paraId="3A1497D6" w14:textId="77777777" w:rsidTr="00975359">
        <w:trPr>
          <w:trHeight w:val="290"/>
          <w:jc w:val="center"/>
        </w:trPr>
        <w:tc>
          <w:tcPr>
            <w:tcW w:w="3261" w:type="dxa"/>
            <w:tcBorders>
              <w:right w:val="single" w:sz="12" w:space="0" w:color="auto"/>
            </w:tcBorders>
            <w:shd w:val="clear" w:color="auto" w:fill="auto"/>
            <w:noWrap/>
            <w:vAlign w:val="center"/>
            <w:hideMark/>
          </w:tcPr>
          <w:p w14:paraId="5481E7F1"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Itamaracá</w:t>
            </w:r>
          </w:p>
        </w:tc>
        <w:tc>
          <w:tcPr>
            <w:tcW w:w="851" w:type="dxa"/>
            <w:tcBorders>
              <w:left w:val="single" w:sz="12" w:space="0" w:color="auto"/>
            </w:tcBorders>
            <w:shd w:val="clear" w:color="auto" w:fill="auto"/>
            <w:noWrap/>
            <w:vAlign w:val="center"/>
            <w:hideMark/>
          </w:tcPr>
          <w:p w14:paraId="16ABE0F8"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11.819</w:t>
            </w:r>
          </w:p>
        </w:tc>
        <w:tc>
          <w:tcPr>
            <w:tcW w:w="790" w:type="dxa"/>
            <w:tcBorders>
              <w:right w:val="single" w:sz="12" w:space="0" w:color="auto"/>
            </w:tcBorders>
            <w:shd w:val="clear" w:color="auto" w:fill="auto"/>
            <w:noWrap/>
            <w:vAlign w:val="center"/>
            <w:hideMark/>
          </w:tcPr>
          <w:p w14:paraId="5AE24A75"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12.205</w:t>
            </w:r>
          </w:p>
        </w:tc>
        <w:tc>
          <w:tcPr>
            <w:tcW w:w="790" w:type="dxa"/>
            <w:tcBorders>
              <w:left w:val="single" w:sz="12" w:space="0" w:color="auto"/>
            </w:tcBorders>
            <w:shd w:val="clear" w:color="auto" w:fill="auto"/>
            <w:noWrap/>
            <w:vAlign w:val="center"/>
            <w:hideMark/>
          </w:tcPr>
          <w:p w14:paraId="364F4578"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1.404</w:t>
            </w:r>
          </w:p>
        </w:tc>
        <w:tc>
          <w:tcPr>
            <w:tcW w:w="1113" w:type="dxa"/>
            <w:tcBorders>
              <w:right w:val="single" w:sz="12" w:space="0" w:color="auto"/>
            </w:tcBorders>
            <w:shd w:val="clear" w:color="auto" w:fill="auto"/>
            <w:noWrap/>
            <w:vAlign w:val="center"/>
            <w:hideMark/>
          </w:tcPr>
          <w:p w14:paraId="1A28D3B4"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1.043</w:t>
            </w:r>
          </w:p>
        </w:tc>
        <w:tc>
          <w:tcPr>
            <w:tcW w:w="851" w:type="dxa"/>
            <w:tcBorders>
              <w:left w:val="single" w:sz="12" w:space="0" w:color="auto"/>
            </w:tcBorders>
            <w:shd w:val="clear" w:color="auto" w:fill="auto"/>
            <w:noWrap/>
            <w:vAlign w:val="center"/>
            <w:hideMark/>
          </w:tcPr>
          <w:p w14:paraId="2B4E6254"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2.101</w:t>
            </w:r>
          </w:p>
        </w:tc>
        <w:tc>
          <w:tcPr>
            <w:tcW w:w="790" w:type="dxa"/>
            <w:tcBorders>
              <w:right w:val="single" w:sz="12" w:space="0" w:color="auto"/>
            </w:tcBorders>
            <w:shd w:val="clear" w:color="auto" w:fill="auto"/>
            <w:noWrap/>
            <w:vAlign w:val="center"/>
            <w:hideMark/>
          </w:tcPr>
          <w:p w14:paraId="791F045B"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3.327</w:t>
            </w:r>
          </w:p>
        </w:tc>
        <w:tc>
          <w:tcPr>
            <w:tcW w:w="1052" w:type="dxa"/>
            <w:tcBorders>
              <w:left w:val="single" w:sz="12" w:space="0" w:color="auto"/>
            </w:tcBorders>
            <w:shd w:val="clear" w:color="auto" w:fill="auto"/>
            <w:noWrap/>
            <w:vAlign w:val="center"/>
            <w:hideMark/>
          </w:tcPr>
          <w:p w14:paraId="35F72114"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8.224</w:t>
            </w:r>
          </w:p>
        </w:tc>
        <w:tc>
          <w:tcPr>
            <w:tcW w:w="851" w:type="dxa"/>
            <w:tcBorders>
              <w:right w:val="single" w:sz="12" w:space="0" w:color="auto"/>
            </w:tcBorders>
            <w:shd w:val="clear" w:color="auto" w:fill="auto"/>
            <w:noWrap/>
            <w:vAlign w:val="center"/>
            <w:hideMark/>
          </w:tcPr>
          <w:p w14:paraId="64BCC638"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9.695</w:t>
            </w:r>
          </w:p>
        </w:tc>
        <w:tc>
          <w:tcPr>
            <w:tcW w:w="850" w:type="dxa"/>
            <w:tcBorders>
              <w:left w:val="single" w:sz="12" w:space="0" w:color="auto"/>
            </w:tcBorders>
            <w:shd w:val="clear" w:color="auto" w:fill="auto"/>
            <w:noWrap/>
            <w:vAlign w:val="center"/>
            <w:hideMark/>
          </w:tcPr>
          <w:p w14:paraId="390D36E6"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372</w:t>
            </w:r>
          </w:p>
        </w:tc>
        <w:tc>
          <w:tcPr>
            <w:tcW w:w="709" w:type="dxa"/>
            <w:tcBorders>
              <w:right w:val="single" w:sz="12" w:space="0" w:color="auto"/>
            </w:tcBorders>
            <w:shd w:val="clear" w:color="auto" w:fill="auto"/>
            <w:noWrap/>
            <w:vAlign w:val="center"/>
            <w:hideMark/>
          </w:tcPr>
          <w:p w14:paraId="4AFFE641"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760</w:t>
            </w:r>
          </w:p>
        </w:tc>
        <w:tc>
          <w:tcPr>
            <w:tcW w:w="992" w:type="dxa"/>
            <w:tcBorders>
              <w:left w:val="single" w:sz="12" w:space="0" w:color="auto"/>
            </w:tcBorders>
            <w:shd w:val="clear" w:color="auto" w:fill="auto"/>
            <w:noWrap/>
            <w:vAlign w:val="center"/>
            <w:hideMark/>
          </w:tcPr>
          <w:p w14:paraId="56311724"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23.920</w:t>
            </w:r>
          </w:p>
        </w:tc>
        <w:tc>
          <w:tcPr>
            <w:tcW w:w="1134" w:type="dxa"/>
            <w:shd w:val="clear" w:color="auto" w:fill="auto"/>
            <w:noWrap/>
            <w:vAlign w:val="center"/>
            <w:hideMark/>
          </w:tcPr>
          <w:p w14:paraId="34519D84"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27.030</w:t>
            </w:r>
          </w:p>
        </w:tc>
      </w:tr>
      <w:tr w:rsidR="00B91C0F" w:rsidRPr="00771DE8" w14:paraId="5D328D72" w14:textId="77777777" w:rsidTr="00975359">
        <w:trPr>
          <w:trHeight w:val="290"/>
          <w:jc w:val="center"/>
        </w:trPr>
        <w:tc>
          <w:tcPr>
            <w:tcW w:w="3261" w:type="dxa"/>
            <w:tcBorders>
              <w:right w:val="single" w:sz="12" w:space="0" w:color="auto"/>
            </w:tcBorders>
            <w:shd w:val="clear" w:color="auto" w:fill="auto"/>
            <w:noWrap/>
            <w:vAlign w:val="center"/>
            <w:hideMark/>
          </w:tcPr>
          <w:p w14:paraId="4311C023"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Recife</w:t>
            </w:r>
          </w:p>
        </w:tc>
        <w:tc>
          <w:tcPr>
            <w:tcW w:w="851" w:type="dxa"/>
            <w:tcBorders>
              <w:left w:val="single" w:sz="12" w:space="0" w:color="auto"/>
            </w:tcBorders>
            <w:shd w:val="clear" w:color="auto" w:fill="auto"/>
            <w:noWrap/>
            <w:vAlign w:val="center"/>
            <w:hideMark/>
          </w:tcPr>
          <w:p w14:paraId="1B04DEED"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92.243</w:t>
            </w:r>
          </w:p>
        </w:tc>
        <w:tc>
          <w:tcPr>
            <w:tcW w:w="790" w:type="dxa"/>
            <w:tcBorders>
              <w:right w:val="single" w:sz="12" w:space="0" w:color="auto"/>
            </w:tcBorders>
            <w:shd w:val="clear" w:color="auto" w:fill="auto"/>
            <w:noWrap/>
            <w:vAlign w:val="center"/>
            <w:hideMark/>
          </w:tcPr>
          <w:p w14:paraId="24E8E644"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77.689</w:t>
            </w:r>
          </w:p>
        </w:tc>
        <w:tc>
          <w:tcPr>
            <w:tcW w:w="790" w:type="dxa"/>
            <w:tcBorders>
              <w:left w:val="single" w:sz="12" w:space="0" w:color="auto"/>
            </w:tcBorders>
            <w:shd w:val="clear" w:color="auto" w:fill="auto"/>
            <w:noWrap/>
            <w:vAlign w:val="center"/>
            <w:hideMark/>
          </w:tcPr>
          <w:p w14:paraId="15D69313"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72.785</w:t>
            </w:r>
          </w:p>
        </w:tc>
        <w:tc>
          <w:tcPr>
            <w:tcW w:w="1113" w:type="dxa"/>
            <w:tcBorders>
              <w:right w:val="single" w:sz="12" w:space="0" w:color="auto"/>
            </w:tcBorders>
            <w:shd w:val="clear" w:color="auto" w:fill="auto"/>
            <w:noWrap/>
            <w:vAlign w:val="center"/>
            <w:hideMark/>
          </w:tcPr>
          <w:p w14:paraId="63D5079B"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37.348</w:t>
            </w:r>
          </w:p>
        </w:tc>
        <w:tc>
          <w:tcPr>
            <w:tcW w:w="851" w:type="dxa"/>
            <w:tcBorders>
              <w:left w:val="single" w:sz="12" w:space="0" w:color="auto"/>
            </w:tcBorders>
            <w:shd w:val="clear" w:color="auto" w:fill="auto"/>
            <w:noWrap/>
            <w:vAlign w:val="center"/>
            <w:hideMark/>
          </w:tcPr>
          <w:p w14:paraId="7E91BEFD"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157.464</w:t>
            </w:r>
          </w:p>
        </w:tc>
        <w:tc>
          <w:tcPr>
            <w:tcW w:w="790" w:type="dxa"/>
            <w:tcBorders>
              <w:right w:val="single" w:sz="12" w:space="0" w:color="auto"/>
            </w:tcBorders>
            <w:shd w:val="clear" w:color="auto" w:fill="auto"/>
            <w:noWrap/>
            <w:vAlign w:val="center"/>
            <w:hideMark/>
          </w:tcPr>
          <w:p w14:paraId="3858EF84"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153.625</w:t>
            </w:r>
          </w:p>
        </w:tc>
        <w:tc>
          <w:tcPr>
            <w:tcW w:w="1052" w:type="dxa"/>
            <w:tcBorders>
              <w:left w:val="single" w:sz="12" w:space="0" w:color="auto"/>
            </w:tcBorders>
            <w:shd w:val="clear" w:color="auto" w:fill="auto"/>
            <w:noWrap/>
            <w:vAlign w:val="center"/>
            <w:hideMark/>
          </w:tcPr>
          <w:p w14:paraId="46E95B51"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584.150</w:t>
            </w:r>
          </w:p>
        </w:tc>
        <w:tc>
          <w:tcPr>
            <w:tcW w:w="851" w:type="dxa"/>
            <w:tcBorders>
              <w:right w:val="single" w:sz="12" w:space="0" w:color="auto"/>
            </w:tcBorders>
            <w:shd w:val="clear" w:color="auto" w:fill="auto"/>
            <w:noWrap/>
            <w:vAlign w:val="center"/>
            <w:hideMark/>
          </w:tcPr>
          <w:p w14:paraId="01610D65"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607.265</w:t>
            </w:r>
          </w:p>
        </w:tc>
        <w:tc>
          <w:tcPr>
            <w:tcW w:w="850" w:type="dxa"/>
            <w:tcBorders>
              <w:left w:val="single" w:sz="12" w:space="0" w:color="auto"/>
            </w:tcBorders>
            <w:shd w:val="clear" w:color="auto" w:fill="auto"/>
            <w:noWrap/>
            <w:vAlign w:val="center"/>
            <w:hideMark/>
          </w:tcPr>
          <w:p w14:paraId="034B7C70"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4.807</w:t>
            </w:r>
          </w:p>
        </w:tc>
        <w:tc>
          <w:tcPr>
            <w:tcW w:w="709" w:type="dxa"/>
            <w:tcBorders>
              <w:right w:val="single" w:sz="12" w:space="0" w:color="auto"/>
            </w:tcBorders>
            <w:shd w:val="clear" w:color="auto" w:fill="auto"/>
            <w:noWrap/>
            <w:vAlign w:val="center"/>
            <w:hideMark/>
          </w:tcPr>
          <w:p w14:paraId="01F196A1"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4.735</w:t>
            </w:r>
          </w:p>
        </w:tc>
        <w:tc>
          <w:tcPr>
            <w:tcW w:w="992" w:type="dxa"/>
            <w:tcBorders>
              <w:left w:val="single" w:sz="12" w:space="0" w:color="auto"/>
            </w:tcBorders>
            <w:shd w:val="clear" w:color="auto" w:fill="auto"/>
            <w:noWrap/>
            <w:vAlign w:val="center"/>
            <w:hideMark/>
          </w:tcPr>
          <w:p w14:paraId="2C2C5778"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911.449</w:t>
            </w:r>
          </w:p>
        </w:tc>
        <w:tc>
          <w:tcPr>
            <w:tcW w:w="1134" w:type="dxa"/>
            <w:shd w:val="clear" w:color="auto" w:fill="auto"/>
            <w:noWrap/>
            <w:vAlign w:val="center"/>
            <w:hideMark/>
          </w:tcPr>
          <w:p w14:paraId="3C2471E7"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880.662</w:t>
            </w:r>
          </w:p>
        </w:tc>
      </w:tr>
      <w:tr w:rsidR="00B91C0F" w:rsidRPr="00771DE8" w14:paraId="402E9AD0" w14:textId="77777777" w:rsidTr="00975359">
        <w:trPr>
          <w:trHeight w:val="290"/>
          <w:jc w:val="center"/>
        </w:trPr>
        <w:tc>
          <w:tcPr>
            <w:tcW w:w="3261" w:type="dxa"/>
            <w:tcBorders>
              <w:right w:val="single" w:sz="12" w:space="0" w:color="auto"/>
            </w:tcBorders>
            <w:shd w:val="clear" w:color="auto" w:fill="auto"/>
            <w:noWrap/>
            <w:vAlign w:val="center"/>
            <w:hideMark/>
          </w:tcPr>
          <w:p w14:paraId="77694925"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Suape</w:t>
            </w:r>
          </w:p>
        </w:tc>
        <w:tc>
          <w:tcPr>
            <w:tcW w:w="851" w:type="dxa"/>
            <w:tcBorders>
              <w:left w:val="single" w:sz="12" w:space="0" w:color="auto"/>
            </w:tcBorders>
            <w:shd w:val="clear" w:color="auto" w:fill="auto"/>
            <w:noWrap/>
            <w:vAlign w:val="center"/>
            <w:hideMark/>
          </w:tcPr>
          <w:p w14:paraId="1D27FE83"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21.218</w:t>
            </w:r>
          </w:p>
        </w:tc>
        <w:tc>
          <w:tcPr>
            <w:tcW w:w="790" w:type="dxa"/>
            <w:tcBorders>
              <w:right w:val="single" w:sz="12" w:space="0" w:color="auto"/>
            </w:tcBorders>
            <w:shd w:val="clear" w:color="auto" w:fill="auto"/>
            <w:noWrap/>
            <w:vAlign w:val="center"/>
            <w:hideMark/>
          </w:tcPr>
          <w:p w14:paraId="225BBAFD"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19.177</w:t>
            </w:r>
          </w:p>
        </w:tc>
        <w:tc>
          <w:tcPr>
            <w:tcW w:w="790" w:type="dxa"/>
            <w:tcBorders>
              <w:left w:val="single" w:sz="12" w:space="0" w:color="auto"/>
            </w:tcBorders>
            <w:shd w:val="clear" w:color="auto" w:fill="auto"/>
            <w:noWrap/>
            <w:vAlign w:val="center"/>
            <w:hideMark/>
          </w:tcPr>
          <w:p w14:paraId="342135C1"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22.688</w:t>
            </w:r>
          </w:p>
        </w:tc>
        <w:tc>
          <w:tcPr>
            <w:tcW w:w="1113" w:type="dxa"/>
            <w:tcBorders>
              <w:right w:val="single" w:sz="12" w:space="0" w:color="auto"/>
            </w:tcBorders>
            <w:shd w:val="clear" w:color="auto" w:fill="auto"/>
            <w:noWrap/>
            <w:vAlign w:val="center"/>
            <w:hideMark/>
          </w:tcPr>
          <w:p w14:paraId="79180FA4"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2.852</w:t>
            </w:r>
          </w:p>
        </w:tc>
        <w:tc>
          <w:tcPr>
            <w:tcW w:w="851" w:type="dxa"/>
            <w:tcBorders>
              <w:left w:val="single" w:sz="12" w:space="0" w:color="auto"/>
            </w:tcBorders>
            <w:shd w:val="clear" w:color="auto" w:fill="auto"/>
            <w:noWrap/>
            <w:vAlign w:val="center"/>
            <w:hideMark/>
          </w:tcPr>
          <w:p w14:paraId="2B1D0150"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7.392</w:t>
            </w:r>
          </w:p>
        </w:tc>
        <w:tc>
          <w:tcPr>
            <w:tcW w:w="790" w:type="dxa"/>
            <w:tcBorders>
              <w:right w:val="single" w:sz="12" w:space="0" w:color="auto"/>
            </w:tcBorders>
            <w:shd w:val="clear" w:color="auto" w:fill="auto"/>
            <w:noWrap/>
            <w:vAlign w:val="center"/>
            <w:hideMark/>
          </w:tcPr>
          <w:p w14:paraId="12C821EC"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10.977</w:t>
            </w:r>
          </w:p>
        </w:tc>
        <w:tc>
          <w:tcPr>
            <w:tcW w:w="1052" w:type="dxa"/>
            <w:tcBorders>
              <w:left w:val="single" w:sz="12" w:space="0" w:color="auto"/>
            </w:tcBorders>
            <w:shd w:val="clear" w:color="auto" w:fill="auto"/>
            <w:noWrap/>
            <w:vAlign w:val="center"/>
            <w:hideMark/>
          </w:tcPr>
          <w:p w14:paraId="22CA15A1"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25.377</w:t>
            </w:r>
          </w:p>
        </w:tc>
        <w:tc>
          <w:tcPr>
            <w:tcW w:w="851" w:type="dxa"/>
            <w:tcBorders>
              <w:right w:val="single" w:sz="12" w:space="0" w:color="auto"/>
            </w:tcBorders>
            <w:shd w:val="clear" w:color="auto" w:fill="auto"/>
            <w:noWrap/>
            <w:vAlign w:val="center"/>
            <w:hideMark/>
          </w:tcPr>
          <w:p w14:paraId="3DAC927C"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37.488</w:t>
            </w:r>
          </w:p>
        </w:tc>
        <w:tc>
          <w:tcPr>
            <w:tcW w:w="850" w:type="dxa"/>
            <w:tcBorders>
              <w:left w:val="single" w:sz="12" w:space="0" w:color="auto"/>
            </w:tcBorders>
            <w:shd w:val="clear" w:color="auto" w:fill="auto"/>
            <w:noWrap/>
            <w:vAlign w:val="center"/>
            <w:hideMark/>
          </w:tcPr>
          <w:p w14:paraId="207C8673"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4.030</w:t>
            </w:r>
          </w:p>
        </w:tc>
        <w:tc>
          <w:tcPr>
            <w:tcW w:w="709" w:type="dxa"/>
            <w:tcBorders>
              <w:right w:val="single" w:sz="12" w:space="0" w:color="auto"/>
            </w:tcBorders>
            <w:shd w:val="clear" w:color="auto" w:fill="auto"/>
            <w:noWrap/>
            <w:vAlign w:val="center"/>
            <w:hideMark/>
          </w:tcPr>
          <w:p w14:paraId="643EB6BA"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1.317</w:t>
            </w:r>
          </w:p>
        </w:tc>
        <w:tc>
          <w:tcPr>
            <w:tcW w:w="992" w:type="dxa"/>
            <w:tcBorders>
              <w:left w:val="single" w:sz="12" w:space="0" w:color="auto"/>
            </w:tcBorders>
            <w:shd w:val="clear" w:color="auto" w:fill="auto"/>
            <w:noWrap/>
            <w:vAlign w:val="center"/>
            <w:hideMark/>
          </w:tcPr>
          <w:p w14:paraId="54F4EC50"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80.705</w:t>
            </w:r>
          </w:p>
        </w:tc>
        <w:tc>
          <w:tcPr>
            <w:tcW w:w="1134" w:type="dxa"/>
            <w:shd w:val="clear" w:color="auto" w:fill="auto"/>
            <w:noWrap/>
            <w:vAlign w:val="center"/>
            <w:hideMark/>
          </w:tcPr>
          <w:p w14:paraId="531AA4BC"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71.811</w:t>
            </w:r>
          </w:p>
        </w:tc>
      </w:tr>
      <w:tr w:rsidR="00B91C0F" w:rsidRPr="00771DE8" w14:paraId="33214DDE" w14:textId="77777777" w:rsidTr="00975359">
        <w:trPr>
          <w:trHeight w:val="290"/>
          <w:jc w:val="center"/>
        </w:trPr>
        <w:tc>
          <w:tcPr>
            <w:tcW w:w="3261" w:type="dxa"/>
            <w:tcBorders>
              <w:bottom w:val="single" w:sz="12" w:space="0" w:color="auto"/>
              <w:right w:val="single" w:sz="12" w:space="0" w:color="auto"/>
            </w:tcBorders>
            <w:shd w:val="clear" w:color="auto" w:fill="auto"/>
            <w:noWrap/>
            <w:vAlign w:val="center"/>
            <w:hideMark/>
          </w:tcPr>
          <w:p w14:paraId="56F5E139"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Fernando de Noronha</w:t>
            </w:r>
          </w:p>
        </w:tc>
        <w:tc>
          <w:tcPr>
            <w:tcW w:w="851" w:type="dxa"/>
            <w:tcBorders>
              <w:left w:val="single" w:sz="12" w:space="0" w:color="auto"/>
              <w:bottom w:val="single" w:sz="12" w:space="0" w:color="auto"/>
            </w:tcBorders>
            <w:shd w:val="clear" w:color="auto" w:fill="auto"/>
            <w:noWrap/>
            <w:vAlign w:val="center"/>
            <w:hideMark/>
          </w:tcPr>
          <w:p w14:paraId="31CE225F"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39</w:t>
            </w:r>
          </w:p>
        </w:tc>
        <w:tc>
          <w:tcPr>
            <w:tcW w:w="790" w:type="dxa"/>
            <w:tcBorders>
              <w:bottom w:val="single" w:sz="12" w:space="0" w:color="auto"/>
              <w:right w:val="single" w:sz="12" w:space="0" w:color="auto"/>
            </w:tcBorders>
            <w:shd w:val="clear" w:color="auto" w:fill="auto"/>
            <w:noWrap/>
            <w:vAlign w:val="center"/>
            <w:hideMark/>
          </w:tcPr>
          <w:p w14:paraId="4C09681C"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45</w:t>
            </w:r>
          </w:p>
        </w:tc>
        <w:tc>
          <w:tcPr>
            <w:tcW w:w="790" w:type="dxa"/>
            <w:tcBorders>
              <w:left w:val="single" w:sz="12" w:space="0" w:color="auto"/>
              <w:bottom w:val="single" w:sz="12" w:space="0" w:color="auto"/>
            </w:tcBorders>
            <w:shd w:val="clear" w:color="auto" w:fill="auto"/>
            <w:noWrap/>
            <w:vAlign w:val="center"/>
            <w:hideMark/>
          </w:tcPr>
          <w:p w14:paraId="1FEBCC98"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11</w:t>
            </w:r>
          </w:p>
        </w:tc>
        <w:tc>
          <w:tcPr>
            <w:tcW w:w="1113" w:type="dxa"/>
            <w:tcBorders>
              <w:bottom w:val="single" w:sz="12" w:space="0" w:color="auto"/>
              <w:right w:val="single" w:sz="12" w:space="0" w:color="auto"/>
            </w:tcBorders>
            <w:shd w:val="clear" w:color="auto" w:fill="auto"/>
            <w:noWrap/>
            <w:vAlign w:val="center"/>
            <w:hideMark/>
          </w:tcPr>
          <w:p w14:paraId="3414B591"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5</w:t>
            </w:r>
          </w:p>
        </w:tc>
        <w:tc>
          <w:tcPr>
            <w:tcW w:w="851" w:type="dxa"/>
            <w:tcBorders>
              <w:left w:val="single" w:sz="12" w:space="0" w:color="auto"/>
              <w:bottom w:val="single" w:sz="12" w:space="0" w:color="auto"/>
            </w:tcBorders>
            <w:shd w:val="clear" w:color="auto" w:fill="auto"/>
            <w:noWrap/>
            <w:vAlign w:val="center"/>
            <w:hideMark/>
          </w:tcPr>
          <w:p w14:paraId="1986470E"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223</w:t>
            </w:r>
          </w:p>
        </w:tc>
        <w:tc>
          <w:tcPr>
            <w:tcW w:w="790" w:type="dxa"/>
            <w:tcBorders>
              <w:bottom w:val="single" w:sz="12" w:space="0" w:color="auto"/>
              <w:right w:val="single" w:sz="12" w:space="0" w:color="auto"/>
            </w:tcBorders>
            <w:shd w:val="clear" w:color="auto" w:fill="auto"/>
            <w:noWrap/>
            <w:vAlign w:val="center"/>
            <w:hideMark/>
          </w:tcPr>
          <w:p w14:paraId="4F60B396"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244</w:t>
            </w:r>
          </w:p>
        </w:tc>
        <w:tc>
          <w:tcPr>
            <w:tcW w:w="1052" w:type="dxa"/>
            <w:tcBorders>
              <w:left w:val="single" w:sz="12" w:space="0" w:color="auto"/>
              <w:bottom w:val="single" w:sz="12" w:space="0" w:color="auto"/>
            </w:tcBorders>
            <w:shd w:val="clear" w:color="auto" w:fill="auto"/>
            <w:noWrap/>
            <w:vAlign w:val="center"/>
            <w:hideMark/>
          </w:tcPr>
          <w:p w14:paraId="4BD6509E"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774</w:t>
            </w:r>
          </w:p>
        </w:tc>
        <w:tc>
          <w:tcPr>
            <w:tcW w:w="851" w:type="dxa"/>
            <w:tcBorders>
              <w:bottom w:val="single" w:sz="12" w:space="0" w:color="auto"/>
              <w:right w:val="single" w:sz="12" w:space="0" w:color="auto"/>
            </w:tcBorders>
            <w:shd w:val="clear" w:color="auto" w:fill="auto"/>
            <w:noWrap/>
            <w:vAlign w:val="center"/>
            <w:hideMark/>
          </w:tcPr>
          <w:p w14:paraId="77DF900B"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1.445</w:t>
            </w:r>
          </w:p>
        </w:tc>
        <w:tc>
          <w:tcPr>
            <w:tcW w:w="850" w:type="dxa"/>
            <w:tcBorders>
              <w:left w:val="single" w:sz="12" w:space="0" w:color="auto"/>
              <w:bottom w:val="single" w:sz="12" w:space="0" w:color="auto"/>
            </w:tcBorders>
            <w:shd w:val="clear" w:color="auto" w:fill="auto"/>
            <w:noWrap/>
            <w:vAlign w:val="center"/>
            <w:hideMark/>
          </w:tcPr>
          <w:p w14:paraId="56A5DD3F"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2</w:t>
            </w:r>
          </w:p>
        </w:tc>
        <w:tc>
          <w:tcPr>
            <w:tcW w:w="709" w:type="dxa"/>
            <w:tcBorders>
              <w:bottom w:val="single" w:sz="12" w:space="0" w:color="auto"/>
              <w:right w:val="single" w:sz="12" w:space="0" w:color="auto"/>
            </w:tcBorders>
            <w:shd w:val="clear" w:color="auto" w:fill="auto"/>
            <w:noWrap/>
            <w:vAlign w:val="center"/>
            <w:hideMark/>
          </w:tcPr>
          <w:p w14:paraId="34259F6A"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9</w:t>
            </w:r>
          </w:p>
        </w:tc>
        <w:tc>
          <w:tcPr>
            <w:tcW w:w="992" w:type="dxa"/>
            <w:tcBorders>
              <w:left w:val="single" w:sz="12" w:space="0" w:color="auto"/>
              <w:bottom w:val="single" w:sz="12" w:space="0" w:color="auto"/>
            </w:tcBorders>
            <w:shd w:val="clear" w:color="auto" w:fill="auto"/>
            <w:noWrap/>
            <w:vAlign w:val="center"/>
            <w:hideMark/>
          </w:tcPr>
          <w:p w14:paraId="22618412"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1.049</w:t>
            </w:r>
          </w:p>
        </w:tc>
        <w:tc>
          <w:tcPr>
            <w:tcW w:w="1134" w:type="dxa"/>
            <w:tcBorders>
              <w:bottom w:val="single" w:sz="12" w:space="0" w:color="auto"/>
            </w:tcBorders>
            <w:shd w:val="clear" w:color="auto" w:fill="auto"/>
            <w:noWrap/>
            <w:vAlign w:val="center"/>
            <w:hideMark/>
          </w:tcPr>
          <w:p w14:paraId="121462DC" w14:textId="77777777" w:rsidR="008653EF" w:rsidRPr="00771DE8" w:rsidRDefault="008653EF" w:rsidP="008B6F9B">
            <w:pPr>
              <w:spacing w:after="0" w:line="240" w:lineRule="auto"/>
              <w:rPr>
                <w:rFonts w:ascii="Times New Roman" w:eastAsia="Times New Roman" w:hAnsi="Times New Roman" w:cs="Times New Roman"/>
                <w:color w:val="000000"/>
                <w:sz w:val="20"/>
                <w:szCs w:val="20"/>
                <w:lang w:eastAsia="pt-BR"/>
              </w:rPr>
            </w:pPr>
            <w:r w:rsidRPr="00771DE8">
              <w:rPr>
                <w:rFonts w:ascii="Times New Roman" w:eastAsia="Times New Roman" w:hAnsi="Times New Roman" w:cs="Times New Roman"/>
                <w:color w:val="000000"/>
                <w:sz w:val="20"/>
                <w:szCs w:val="20"/>
                <w:lang w:eastAsia="pt-BR"/>
              </w:rPr>
              <w:t>1.748</w:t>
            </w:r>
          </w:p>
        </w:tc>
      </w:tr>
      <w:tr w:rsidR="00B91C0F" w:rsidRPr="00491F67" w14:paraId="39EE2965" w14:textId="77777777" w:rsidTr="00975359">
        <w:trPr>
          <w:trHeight w:val="300"/>
          <w:jc w:val="center"/>
        </w:trPr>
        <w:tc>
          <w:tcPr>
            <w:tcW w:w="3261" w:type="dxa"/>
            <w:tcBorders>
              <w:top w:val="single" w:sz="12" w:space="0" w:color="auto"/>
              <w:bottom w:val="single" w:sz="12" w:space="0" w:color="auto"/>
              <w:right w:val="single" w:sz="12" w:space="0" w:color="auto"/>
            </w:tcBorders>
            <w:shd w:val="clear" w:color="auto" w:fill="auto"/>
            <w:noWrap/>
            <w:vAlign w:val="center"/>
            <w:hideMark/>
          </w:tcPr>
          <w:p w14:paraId="1FB4FD1D" w14:textId="77777777" w:rsidR="008653EF" w:rsidRPr="00491F67" w:rsidRDefault="008653EF" w:rsidP="008B6F9B">
            <w:pPr>
              <w:spacing w:after="0" w:line="240" w:lineRule="auto"/>
              <w:rPr>
                <w:rFonts w:ascii="Times New Roman" w:eastAsia="Times New Roman" w:hAnsi="Times New Roman" w:cs="Times New Roman"/>
                <w:b/>
                <w:bCs/>
                <w:color w:val="000000"/>
                <w:sz w:val="20"/>
                <w:szCs w:val="20"/>
                <w:lang w:eastAsia="pt-BR"/>
              </w:rPr>
            </w:pPr>
            <w:r w:rsidRPr="00491F67">
              <w:rPr>
                <w:rFonts w:ascii="Times New Roman" w:eastAsia="Times New Roman" w:hAnsi="Times New Roman" w:cs="Times New Roman"/>
                <w:b/>
                <w:bCs/>
                <w:color w:val="000000"/>
                <w:sz w:val="20"/>
                <w:szCs w:val="20"/>
                <w:lang w:eastAsia="pt-BR"/>
              </w:rPr>
              <w:t>Total</w:t>
            </w:r>
          </w:p>
        </w:tc>
        <w:tc>
          <w:tcPr>
            <w:tcW w:w="851" w:type="dxa"/>
            <w:tcBorders>
              <w:top w:val="single" w:sz="12" w:space="0" w:color="auto"/>
              <w:left w:val="single" w:sz="12" w:space="0" w:color="auto"/>
              <w:bottom w:val="single" w:sz="12" w:space="0" w:color="auto"/>
            </w:tcBorders>
            <w:shd w:val="clear" w:color="auto" w:fill="auto"/>
            <w:noWrap/>
            <w:vAlign w:val="center"/>
            <w:hideMark/>
          </w:tcPr>
          <w:p w14:paraId="7D5F159A" w14:textId="77777777" w:rsidR="008653EF" w:rsidRPr="00491F67" w:rsidRDefault="008653EF" w:rsidP="008B6F9B">
            <w:pPr>
              <w:spacing w:after="0" w:line="240" w:lineRule="auto"/>
              <w:rPr>
                <w:rFonts w:ascii="Times New Roman" w:eastAsia="Times New Roman" w:hAnsi="Times New Roman" w:cs="Times New Roman"/>
                <w:b/>
                <w:bCs/>
                <w:color w:val="000000"/>
                <w:sz w:val="20"/>
                <w:szCs w:val="20"/>
                <w:lang w:eastAsia="pt-BR"/>
              </w:rPr>
            </w:pPr>
            <w:r w:rsidRPr="00491F67">
              <w:rPr>
                <w:rFonts w:ascii="Times New Roman" w:eastAsia="Times New Roman" w:hAnsi="Times New Roman" w:cs="Times New Roman"/>
                <w:b/>
                <w:bCs/>
                <w:color w:val="000000"/>
                <w:sz w:val="20"/>
                <w:szCs w:val="20"/>
                <w:lang w:eastAsia="pt-BR"/>
              </w:rPr>
              <w:t>236.451</w:t>
            </w:r>
          </w:p>
        </w:tc>
        <w:tc>
          <w:tcPr>
            <w:tcW w:w="790" w:type="dxa"/>
            <w:tcBorders>
              <w:top w:val="single" w:sz="12" w:space="0" w:color="auto"/>
              <w:bottom w:val="single" w:sz="12" w:space="0" w:color="auto"/>
              <w:right w:val="single" w:sz="12" w:space="0" w:color="auto"/>
            </w:tcBorders>
            <w:shd w:val="clear" w:color="auto" w:fill="auto"/>
            <w:noWrap/>
            <w:vAlign w:val="center"/>
            <w:hideMark/>
          </w:tcPr>
          <w:p w14:paraId="43CCAD81" w14:textId="77777777" w:rsidR="008653EF" w:rsidRPr="00491F67" w:rsidRDefault="008653EF" w:rsidP="008B6F9B">
            <w:pPr>
              <w:spacing w:after="0" w:line="240" w:lineRule="auto"/>
              <w:rPr>
                <w:rFonts w:ascii="Times New Roman" w:eastAsia="Times New Roman" w:hAnsi="Times New Roman" w:cs="Times New Roman"/>
                <w:b/>
                <w:bCs/>
                <w:color w:val="000000"/>
                <w:sz w:val="20"/>
                <w:szCs w:val="20"/>
                <w:lang w:eastAsia="pt-BR"/>
              </w:rPr>
            </w:pPr>
            <w:r w:rsidRPr="00491F67">
              <w:rPr>
                <w:rFonts w:ascii="Times New Roman" w:eastAsia="Times New Roman" w:hAnsi="Times New Roman" w:cs="Times New Roman"/>
                <w:b/>
                <w:bCs/>
                <w:color w:val="000000"/>
                <w:sz w:val="20"/>
                <w:szCs w:val="20"/>
                <w:lang w:eastAsia="pt-BR"/>
              </w:rPr>
              <w:t>226.295</w:t>
            </w:r>
          </w:p>
        </w:tc>
        <w:tc>
          <w:tcPr>
            <w:tcW w:w="790" w:type="dxa"/>
            <w:tcBorders>
              <w:top w:val="single" w:sz="12" w:space="0" w:color="auto"/>
              <w:left w:val="single" w:sz="12" w:space="0" w:color="auto"/>
              <w:bottom w:val="single" w:sz="12" w:space="0" w:color="auto"/>
            </w:tcBorders>
            <w:shd w:val="clear" w:color="auto" w:fill="auto"/>
            <w:noWrap/>
            <w:vAlign w:val="center"/>
            <w:hideMark/>
          </w:tcPr>
          <w:p w14:paraId="1E2911BF" w14:textId="77777777" w:rsidR="008653EF" w:rsidRPr="00491F67" w:rsidRDefault="008653EF" w:rsidP="008B6F9B">
            <w:pPr>
              <w:spacing w:after="0" w:line="240" w:lineRule="auto"/>
              <w:rPr>
                <w:rFonts w:ascii="Times New Roman" w:eastAsia="Times New Roman" w:hAnsi="Times New Roman" w:cs="Times New Roman"/>
                <w:b/>
                <w:bCs/>
                <w:color w:val="000000"/>
                <w:sz w:val="20"/>
                <w:szCs w:val="20"/>
                <w:lang w:eastAsia="pt-BR"/>
              </w:rPr>
            </w:pPr>
            <w:r w:rsidRPr="00491F67">
              <w:rPr>
                <w:rFonts w:ascii="Times New Roman" w:eastAsia="Times New Roman" w:hAnsi="Times New Roman" w:cs="Times New Roman"/>
                <w:b/>
                <w:bCs/>
                <w:color w:val="000000"/>
                <w:sz w:val="20"/>
                <w:szCs w:val="20"/>
                <w:lang w:eastAsia="pt-BR"/>
              </w:rPr>
              <w:t>122.908</w:t>
            </w:r>
          </w:p>
        </w:tc>
        <w:tc>
          <w:tcPr>
            <w:tcW w:w="1113" w:type="dxa"/>
            <w:tcBorders>
              <w:top w:val="single" w:sz="12" w:space="0" w:color="auto"/>
              <w:bottom w:val="single" w:sz="12" w:space="0" w:color="auto"/>
              <w:right w:val="single" w:sz="12" w:space="0" w:color="auto"/>
            </w:tcBorders>
            <w:shd w:val="clear" w:color="auto" w:fill="auto"/>
            <w:noWrap/>
            <w:vAlign w:val="center"/>
            <w:hideMark/>
          </w:tcPr>
          <w:p w14:paraId="289A84BC" w14:textId="77777777" w:rsidR="008653EF" w:rsidRPr="00491F67" w:rsidRDefault="008653EF" w:rsidP="008B6F9B">
            <w:pPr>
              <w:spacing w:after="0" w:line="240" w:lineRule="auto"/>
              <w:rPr>
                <w:rFonts w:ascii="Times New Roman" w:eastAsia="Times New Roman" w:hAnsi="Times New Roman" w:cs="Times New Roman"/>
                <w:b/>
                <w:bCs/>
                <w:color w:val="000000"/>
                <w:sz w:val="20"/>
                <w:szCs w:val="20"/>
                <w:lang w:eastAsia="pt-BR"/>
              </w:rPr>
            </w:pPr>
            <w:r w:rsidRPr="00491F67">
              <w:rPr>
                <w:rFonts w:ascii="Times New Roman" w:eastAsia="Times New Roman" w:hAnsi="Times New Roman" w:cs="Times New Roman"/>
                <w:b/>
                <w:bCs/>
                <w:color w:val="000000"/>
                <w:sz w:val="20"/>
                <w:szCs w:val="20"/>
                <w:lang w:eastAsia="pt-BR"/>
              </w:rPr>
              <w:t>56.947</w:t>
            </w:r>
          </w:p>
        </w:tc>
        <w:tc>
          <w:tcPr>
            <w:tcW w:w="851" w:type="dxa"/>
            <w:tcBorders>
              <w:top w:val="single" w:sz="12" w:space="0" w:color="auto"/>
              <w:left w:val="single" w:sz="12" w:space="0" w:color="auto"/>
              <w:bottom w:val="single" w:sz="12" w:space="0" w:color="auto"/>
            </w:tcBorders>
            <w:shd w:val="clear" w:color="auto" w:fill="auto"/>
            <w:noWrap/>
            <w:vAlign w:val="center"/>
            <w:hideMark/>
          </w:tcPr>
          <w:p w14:paraId="4AE2EA8D" w14:textId="77777777" w:rsidR="008653EF" w:rsidRPr="00491F67" w:rsidRDefault="008653EF" w:rsidP="008B6F9B">
            <w:pPr>
              <w:spacing w:after="0" w:line="240" w:lineRule="auto"/>
              <w:rPr>
                <w:rFonts w:ascii="Times New Roman" w:eastAsia="Times New Roman" w:hAnsi="Times New Roman" w:cs="Times New Roman"/>
                <w:b/>
                <w:bCs/>
                <w:color w:val="000000"/>
                <w:sz w:val="20"/>
                <w:szCs w:val="20"/>
                <w:lang w:eastAsia="pt-BR"/>
              </w:rPr>
            </w:pPr>
            <w:r w:rsidRPr="00491F67">
              <w:rPr>
                <w:rFonts w:ascii="Times New Roman" w:eastAsia="Times New Roman" w:hAnsi="Times New Roman" w:cs="Times New Roman"/>
                <w:b/>
                <w:bCs/>
                <w:color w:val="000000"/>
                <w:sz w:val="20"/>
                <w:szCs w:val="20"/>
                <w:lang w:eastAsia="pt-BR"/>
              </w:rPr>
              <w:t>264.682</w:t>
            </w:r>
          </w:p>
        </w:tc>
        <w:tc>
          <w:tcPr>
            <w:tcW w:w="790" w:type="dxa"/>
            <w:tcBorders>
              <w:top w:val="single" w:sz="12" w:space="0" w:color="auto"/>
              <w:bottom w:val="single" w:sz="12" w:space="0" w:color="auto"/>
              <w:right w:val="single" w:sz="12" w:space="0" w:color="auto"/>
            </w:tcBorders>
            <w:shd w:val="clear" w:color="auto" w:fill="auto"/>
            <w:noWrap/>
            <w:vAlign w:val="center"/>
            <w:hideMark/>
          </w:tcPr>
          <w:p w14:paraId="7E4CFD48" w14:textId="77777777" w:rsidR="008653EF" w:rsidRPr="00491F67" w:rsidRDefault="008653EF" w:rsidP="008B6F9B">
            <w:pPr>
              <w:spacing w:after="0" w:line="240" w:lineRule="auto"/>
              <w:rPr>
                <w:rFonts w:ascii="Times New Roman" w:eastAsia="Times New Roman" w:hAnsi="Times New Roman" w:cs="Times New Roman"/>
                <w:b/>
                <w:bCs/>
                <w:color w:val="000000"/>
                <w:sz w:val="20"/>
                <w:szCs w:val="20"/>
                <w:lang w:eastAsia="pt-BR"/>
              </w:rPr>
            </w:pPr>
            <w:r w:rsidRPr="00491F67">
              <w:rPr>
                <w:rFonts w:ascii="Times New Roman" w:eastAsia="Times New Roman" w:hAnsi="Times New Roman" w:cs="Times New Roman"/>
                <w:b/>
                <w:bCs/>
                <w:color w:val="000000"/>
                <w:sz w:val="20"/>
                <w:szCs w:val="20"/>
                <w:lang w:eastAsia="pt-BR"/>
              </w:rPr>
              <w:t>290.805</w:t>
            </w:r>
          </w:p>
        </w:tc>
        <w:tc>
          <w:tcPr>
            <w:tcW w:w="1052" w:type="dxa"/>
            <w:tcBorders>
              <w:top w:val="single" w:sz="12" w:space="0" w:color="auto"/>
              <w:left w:val="single" w:sz="12" w:space="0" w:color="auto"/>
              <w:bottom w:val="single" w:sz="12" w:space="0" w:color="auto"/>
            </w:tcBorders>
            <w:shd w:val="clear" w:color="auto" w:fill="auto"/>
            <w:noWrap/>
            <w:vAlign w:val="center"/>
            <w:hideMark/>
          </w:tcPr>
          <w:p w14:paraId="6A9DC018" w14:textId="77777777" w:rsidR="008653EF" w:rsidRPr="00491F67" w:rsidRDefault="008653EF" w:rsidP="008B6F9B">
            <w:pPr>
              <w:spacing w:after="0" w:line="240" w:lineRule="auto"/>
              <w:rPr>
                <w:rFonts w:ascii="Times New Roman" w:eastAsia="Times New Roman" w:hAnsi="Times New Roman" w:cs="Times New Roman"/>
                <w:b/>
                <w:bCs/>
                <w:color w:val="000000"/>
                <w:sz w:val="20"/>
                <w:szCs w:val="20"/>
                <w:lang w:eastAsia="pt-BR"/>
              </w:rPr>
            </w:pPr>
            <w:r w:rsidRPr="00491F67">
              <w:rPr>
                <w:rFonts w:ascii="Times New Roman" w:eastAsia="Times New Roman" w:hAnsi="Times New Roman" w:cs="Times New Roman"/>
                <w:b/>
                <w:bCs/>
                <w:color w:val="000000"/>
                <w:sz w:val="20"/>
                <w:szCs w:val="20"/>
                <w:lang w:eastAsia="pt-BR"/>
              </w:rPr>
              <w:t>861.301</w:t>
            </w:r>
          </w:p>
        </w:tc>
        <w:tc>
          <w:tcPr>
            <w:tcW w:w="851" w:type="dxa"/>
            <w:tcBorders>
              <w:top w:val="single" w:sz="12" w:space="0" w:color="auto"/>
              <w:bottom w:val="single" w:sz="12" w:space="0" w:color="auto"/>
              <w:right w:val="single" w:sz="12" w:space="0" w:color="auto"/>
            </w:tcBorders>
            <w:shd w:val="clear" w:color="auto" w:fill="auto"/>
            <w:noWrap/>
            <w:vAlign w:val="center"/>
            <w:hideMark/>
          </w:tcPr>
          <w:p w14:paraId="40DF4C2F" w14:textId="77777777" w:rsidR="008653EF" w:rsidRPr="00491F67" w:rsidRDefault="008653EF" w:rsidP="008B6F9B">
            <w:pPr>
              <w:spacing w:after="0" w:line="240" w:lineRule="auto"/>
              <w:rPr>
                <w:rFonts w:ascii="Times New Roman" w:eastAsia="Times New Roman" w:hAnsi="Times New Roman" w:cs="Times New Roman"/>
                <w:b/>
                <w:bCs/>
                <w:color w:val="000000"/>
                <w:sz w:val="20"/>
                <w:szCs w:val="20"/>
                <w:lang w:eastAsia="pt-BR"/>
              </w:rPr>
            </w:pPr>
            <w:r w:rsidRPr="00491F67">
              <w:rPr>
                <w:rFonts w:ascii="Times New Roman" w:eastAsia="Times New Roman" w:hAnsi="Times New Roman" w:cs="Times New Roman"/>
                <w:b/>
                <w:bCs/>
                <w:color w:val="000000"/>
                <w:sz w:val="20"/>
                <w:szCs w:val="20"/>
                <w:lang w:eastAsia="pt-BR"/>
              </w:rPr>
              <w:t>953.249</w:t>
            </w:r>
          </w:p>
        </w:tc>
        <w:tc>
          <w:tcPr>
            <w:tcW w:w="850" w:type="dxa"/>
            <w:tcBorders>
              <w:top w:val="single" w:sz="12" w:space="0" w:color="auto"/>
              <w:left w:val="single" w:sz="12" w:space="0" w:color="auto"/>
              <w:bottom w:val="single" w:sz="12" w:space="0" w:color="auto"/>
            </w:tcBorders>
            <w:shd w:val="clear" w:color="auto" w:fill="auto"/>
            <w:noWrap/>
            <w:vAlign w:val="center"/>
            <w:hideMark/>
          </w:tcPr>
          <w:p w14:paraId="517A7D64" w14:textId="77777777" w:rsidR="008653EF" w:rsidRPr="00491F67" w:rsidRDefault="008653EF" w:rsidP="008B6F9B">
            <w:pPr>
              <w:spacing w:after="0" w:line="240" w:lineRule="auto"/>
              <w:rPr>
                <w:rFonts w:ascii="Times New Roman" w:eastAsia="Times New Roman" w:hAnsi="Times New Roman" w:cs="Times New Roman"/>
                <w:b/>
                <w:bCs/>
                <w:color w:val="000000"/>
                <w:sz w:val="20"/>
                <w:szCs w:val="20"/>
                <w:lang w:eastAsia="pt-BR"/>
              </w:rPr>
            </w:pPr>
            <w:r w:rsidRPr="00491F67">
              <w:rPr>
                <w:rFonts w:ascii="Times New Roman" w:eastAsia="Times New Roman" w:hAnsi="Times New Roman" w:cs="Times New Roman"/>
                <w:b/>
                <w:bCs/>
                <w:color w:val="000000"/>
                <w:sz w:val="20"/>
                <w:szCs w:val="20"/>
                <w:lang w:eastAsia="pt-BR"/>
              </w:rPr>
              <w:t>51.284</w:t>
            </w:r>
          </w:p>
        </w:tc>
        <w:tc>
          <w:tcPr>
            <w:tcW w:w="709" w:type="dxa"/>
            <w:tcBorders>
              <w:top w:val="single" w:sz="12" w:space="0" w:color="auto"/>
              <w:bottom w:val="single" w:sz="12" w:space="0" w:color="auto"/>
              <w:right w:val="single" w:sz="12" w:space="0" w:color="auto"/>
            </w:tcBorders>
            <w:shd w:val="clear" w:color="auto" w:fill="auto"/>
            <w:noWrap/>
            <w:vAlign w:val="center"/>
            <w:hideMark/>
          </w:tcPr>
          <w:p w14:paraId="632948C2" w14:textId="77777777" w:rsidR="008653EF" w:rsidRPr="00491F67" w:rsidRDefault="008653EF" w:rsidP="008B6F9B">
            <w:pPr>
              <w:spacing w:after="0" w:line="240" w:lineRule="auto"/>
              <w:rPr>
                <w:rFonts w:ascii="Times New Roman" w:eastAsia="Times New Roman" w:hAnsi="Times New Roman" w:cs="Times New Roman"/>
                <w:b/>
                <w:bCs/>
                <w:color w:val="000000"/>
                <w:sz w:val="20"/>
                <w:szCs w:val="20"/>
                <w:lang w:eastAsia="pt-BR"/>
              </w:rPr>
            </w:pPr>
            <w:r w:rsidRPr="00491F67">
              <w:rPr>
                <w:rFonts w:ascii="Times New Roman" w:eastAsia="Times New Roman" w:hAnsi="Times New Roman" w:cs="Times New Roman"/>
                <w:b/>
                <w:bCs/>
                <w:color w:val="000000"/>
                <w:sz w:val="20"/>
                <w:szCs w:val="20"/>
                <w:lang w:eastAsia="pt-BR"/>
              </w:rPr>
              <w:t>50.156</w:t>
            </w:r>
          </w:p>
        </w:tc>
        <w:tc>
          <w:tcPr>
            <w:tcW w:w="992" w:type="dxa"/>
            <w:tcBorders>
              <w:top w:val="single" w:sz="12" w:space="0" w:color="auto"/>
              <w:left w:val="single" w:sz="12" w:space="0" w:color="auto"/>
              <w:bottom w:val="single" w:sz="12" w:space="0" w:color="auto"/>
            </w:tcBorders>
            <w:shd w:val="clear" w:color="auto" w:fill="auto"/>
            <w:noWrap/>
            <w:vAlign w:val="center"/>
            <w:hideMark/>
          </w:tcPr>
          <w:p w14:paraId="41D915BD" w14:textId="77777777" w:rsidR="008653EF" w:rsidRPr="00491F67" w:rsidRDefault="008653EF" w:rsidP="008B6F9B">
            <w:pPr>
              <w:spacing w:after="0" w:line="240" w:lineRule="auto"/>
              <w:rPr>
                <w:rFonts w:ascii="Times New Roman" w:eastAsia="Times New Roman" w:hAnsi="Times New Roman" w:cs="Times New Roman"/>
                <w:b/>
                <w:bCs/>
                <w:color w:val="000000"/>
                <w:sz w:val="20"/>
                <w:szCs w:val="20"/>
                <w:lang w:eastAsia="pt-BR"/>
              </w:rPr>
            </w:pPr>
            <w:r w:rsidRPr="00491F67">
              <w:rPr>
                <w:rFonts w:ascii="Times New Roman" w:eastAsia="Times New Roman" w:hAnsi="Times New Roman" w:cs="Times New Roman"/>
                <w:b/>
                <w:bCs/>
                <w:color w:val="000000"/>
                <w:sz w:val="20"/>
                <w:szCs w:val="20"/>
                <w:lang w:eastAsia="pt-BR"/>
              </w:rPr>
              <w:t>1.536.626</w:t>
            </w:r>
          </w:p>
        </w:tc>
        <w:tc>
          <w:tcPr>
            <w:tcW w:w="1134" w:type="dxa"/>
            <w:tcBorders>
              <w:top w:val="single" w:sz="12" w:space="0" w:color="auto"/>
              <w:bottom w:val="single" w:sz="12" w:space="0" w:color="auto"/>
            </w:tcBorders>
            <w:shd w:val="clear" w:color="auto" w:fill="auto"/>
            <w:noWrap/>
            <w:vAlign w:val="center"/>
            <w:hideMark/>
          </w:tcPr>
          <w:p w14:paraId="4023D6A4" w14:textId="77777777" w:rsidR="008653EF" w:rsidRPr="00491F67" w:rsidRDefault="008653EF" w:rsidP="008B6F9B">
            <w:pPr>
              <w:spacing w:after="0" w:line="240" w:lineRule="auto"/>
              <w:rPr>
                <w:rFonts w:ascii="Times New Roman" w:eastAsia="Times New Roman" w:hAnsi="Times New Roman" w:cs="Times New Roman"/>
                <w:b/>
                <w:bCs/>
                <w:color w:val="000000"/>
                <w:sz w:val="20"/>
                <w:szCs w:val="20"/>
                <w:lang w:eastAsia="pt-BR"/>
              </w:rPr>
            </w:pPr>
            <w:r w:rsidRPr="00491F67">
              <w:rPr>
                <w:rFonts w:ascii="Times New Roman" w:eastAsia="Times New Roman" w:hAnsi="Times New Roman" w:cs="Times New Roman"/>
                <w:b/>
                <w:bCs/>
                <w:color w:val="000000"/>
                <w:sz w:val="20"/>
                <w:szCs w:val="20"/>
                <w:lang w:eastAsia="pt-BR"/>
              </w:rPr>
              <w:t>1.577.452</w:t>
            </w:r>
          </w:p>
        </w:tc>
      </w:tr>
    </w:tbl>
    <w:p w14:paraId="406510FA" w14:textId="741D6B88" w:rsidR="008653EF" w:rsidRDefault="008653EF" w:rsidP="000F31DB">
      <w:pPr>
        <w:spacing w:after="0" w:line="360" w:lineRule="auto"/>
        <w:jc w:val="both"/>
        <w:rPr>
          <w:rFonts w:ascii="Times New Roman" w:hAnsi="Times New Roman" w:cs="Times New Roman"/>
          <w:b/>
          <w:bCs/>
          <w:sz w:val="24"/>
          <w:szCs w:val="24"/>
        </w:rPr>
        <w:sectPr w:rsidR="008653EF" w:rsidSect="008653EF">
          <w:pgSz w:w="16838" w:h="11906" w:orient="landscape"/>
          <w:pgMar w:top="1134" w:right="1134" w:bottom="1701" w:left="1701" w:header="851" w:footer="709" w:gutter="0"/>
          <w:cols w:space="708"/>
          <w:docGrid w:linePitch="360"/>
        </w:sectPr>
      </w:pPr>
      <w:r>
        <w:rPr>
          <w:rFonts w:ascii="Times New Roman" w:hAnsi="Times New Roman" w:cs="Times New Roman"/>
          <w:sz w:val="20"/>
          <w:szCs w:val="20"/>
        </w:rPr>
        <w:t>Fonte: Elaborado pelos autores com base nos dados da RAIS/MTE</w:t>
      </w:r>
    </w:p>
    <w:p w14:paraId="4C5F0C62" w14:textId="77777777" w:rsidR="00324D24" w:rsidRDefault="00324D24" w:rsidP="00D04DAD">
      <w:pPr>
        <w:spacing w:after="0" w:line="360" w:lineRule="auto"/>
        <w:ind w:firstLine="708"/>
        <w:jc w:val="both"/>
        <w:rPr>
          <w:rFonts w:ascii="Times New Roman" w:hAnsi="Times New Roman" w:cs="Times New Roman"/>
          <w:color w:val="000000" w:themeColor="text1"/>
          <w:sz w:val="24"/>
          <w:szCs w:val="24"/>
        </w:rPr>
      </w:pPr>
      <w:r w:rsidRPr="00C91515">
        <w:rPr>
          <w:rFonts w:ascii="Times New Roman" w:hAnsi="Times New Roman" w:cs="Times New Roman"/>
          <w:color w:val="000000" w:themeColor="text1"/>
          <w:sz w:val="24"/>
          <w:szCs w:val="24"/>
        </w:rPr>
        <w:lastRenderedPageBreak/>
        <w:t xml:space="preserve">Nota-se </w:t>
      </w:r>
      <w:r>
        <w:rPr>
          <w:rFonts w:ascii="Times New Roman" w:hAnsi="Times New Roman" w:cs="Times New Roman"/>
          <w:color w:val="000000" w:themeColor="text1"/>
          <w:sz w:val="24"/>
          <w:szCs w:val="24"/>
        </w:rPr>
        <w:t xml:space="preserve">que no setor da indústria se destacam com um maior número de empregos gerados as microrregiões de Recife, Mata setentrional pernambucana e vale do Ipojuca respectivamente, com ênfase para a microrregião de Recife que sozinha, no ano de 2019, empregou cerca de 34% de toda a mão de obra industrial. Esta microrregião também é destaque na área da construção civil, possuindo o maior número de vínculos formais, representando um pouco mais de 65% de todos os empregos formais desse setor no estado. </w:t>
      </w:r>
    </w:p>
    <w:p w14:paraId="756AD6AD" w14:textId="77777777" w:rsidR="00324D24" w:rsidRDefault="00324D24" w:rsidP="00324D24">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Nos setores do comércio e serviços, o destaque vai para as microrregiões de Recife, Vale do Ipojuca e Petrolina, respectivamente. Mesmo diminuindo o número de vínculos no setor de comércio de 2010 para 2019, a microrregião de Recife representa quase 53% de todo o emprego desse setor no estado. Na agropecuária, as microrregiões de Petrolina e a Mata setentrional pernambucana são de extrema relevância. A microrregião de Petrolina foi responsável por mais de 40% dos empregos formais nesse setor em 2019.</w:t>
      </w:r>
    </w:p>
    <w:p w14:paraId="1EBAAB34" w14:textId="77777777" w:rsidR="00324D24" w:rsidRDefault="00324D24" w:rsidP="00324D24">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Ainda na tabela 1, fazendo uma análise no estado de Pernambuco como um todo verifica-se que apenas os setores de comércio e serviços aumentaram o número de emprego de 2010 para 2019, nos demais setores analisados foi constatada uma redução no número de vínculos formais. </w:t>
      </w:r>
    </w:p>
    <w:p w14:paraId="7A46A335" w14:textId="77777777" w:rsidR="00324D24" w:rsidRPr="00C91515" w:rsidRDefault="00324D24" w:rsidP="00324D24">
      <w:pPr>
        <w:spacing w:after="0" w:line="360" w:lineRule="auto"/>
        <w:jc w:val="both"/>
        <w:rPr>
          <w:rFonts w:ascii="Times New Roman" w:hAnsi="Times New Roman" w:cs="Times New Roman"/>
          <w:color w:val="000000" w:themeColor="text1"/>
          <w:sz w:val="24"/>
          <w:szCs w:val="24"/>
        </w:rPr>
      </w:pPr>
    </w:p>
    <w:p w14:paraId="02F026BD" w14:textId="77777777" w:rsidR="00324D24" w:rsidRDefault="00324D24" w:rsidP="00324D24">
      <w:pPr>
        <w:spacing w:after="0" w:line="36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4.2. Quociente Locacional (QL) </w:t>
      </w:r>
    </w:p>
    <w:p w14:paraId="520AC526" w14:textId="77777777" w:rsidR="00324D24" w:rsidRDefault="00324D24" w:rsidP="00324D24">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ab/>
      </w:r>
      <w:r>
        <w:rPr>
          <w:rFonts w:ascii="Times New Roman" w:hAnsi="Times New Roman" w:cs="Times New Roman"/>
          <w:color w:val="000000" w:themeColor="text1"/>
          <w:sz w:val="24"/>
          <w:szCs w:val="24"/>
        </w:rPr>
        <w:t xml:space="preserve">O Quociente locacional mede a representatividade de cada setor econômico na microrregião em relação ao setor a nível estadual, ou seja, mostra em qual setor a microrregião tem maior relevância para o estado. QL maior que um, mostram uma especialização do setor na microrregião, indicando possibilidades para exportação. Os dados da tabela 2 revelam uma maior representação do emprego na indústria no ano de 2010 nas microrregiões de Itamaracá (QL = 3,21), Mata meridional pernambucana (QL = 2,72) e Mata setentrional pernambucana (QL = 2,40) respectivamente. As microrregiões de </w:t>
      </w:r>
      <w:r w:rsidRPr="00FD2693">
        <w:rPr>
          <w:rFonts w:ascii="Times New Roman" w:hAnsi="Times New Roman" w:cs="Times New Roman"/>
          <w:color w:val="000000" w:themeColor="text1"/>
          <w:sz w:val="24"/>
          <w:szCs w:val="24"/>
        </w:rPr>
        <w:t>Vitória de Santo Antão</w:t>
      </w:r>
      <w:r>
        <w:rPr>
          <w:rFonts w:ascii="Times New Roman" w:hAnsi="Times New Roman" w:cs="Times New Roman"/>
          <w:color w:val="000000" w:themeColor="text1"/>
          <w:sz w:val="24"/>
          <w:szCs w:val="24"/>
        </w:rPr>
        <w:t xml:space="preserve">, Alto Capibaribe, Vale do Ipojuca, Suape e Araripina também obtiveram </w:t>
      </w:r>
      <w:proofErr w:type="spellStart"/>
      <w:r>
        <w:rPr>
          <w:rFonts w:ascii="Times New Roman" w:hAnsi="Times New Roman" w:cs="Times New Roman"/>
          <w:color w:val="000000" w:themeColor="text1"/>
          <w:sz w:val="24"/>
          <w:szCs w:val="24"/>
        </w:rPr>
        <w:t>QLs</w:t>
      </w:r>
      <w:proofErr w:type="spellEnd"/>
      <w:r>
        <w:rPr>
          <w:rFonts w:ascii="Times New Roman" w:hAnsi="Times New Roman" w:cs="Times New Roman"/>
          <w:color w:val="000000" w:themeColor="text1"/>
          <w:sz w:val="24"/>
          <w:szCs w:val="24"/>
        </w:rPr>
        <w:t xml:space="preserve"> superiores a um no ano de 2010. As demais microrregiões obtiveram </w:t>
      </w:r>
      <w:proofErr w:type="spellStart"/>
      <w:r>
        <w:rPr>
          <w:rFonts w:ascii="Times New Roman" w:hAnsi="Times New Roman" w:cs="Times New Roman"/>
          <w:color w:val="000000" w:themeColor="text1"/>
          <w:sz w:val="24"/>
          <w:szCs w:val="24"/>
        </w:rPr>
        <w:t>QLs</w:t>
      </w:r>
      <w:proofErr w:type="spellEnd"/>
      <w:r>
        <w:rPr>
          <w:rFonts w:ascii="Times New Roman" w:hAnsi="Times New Roman" w:cs="Times New Roman"/>
          <w:color w:val="000000" w:themeColor="text1"/>
          <w:sz w:val="24"/>
          <w:szCs w:val="24"/>
        </w:rPr>
        <w:t xml:space="preserve"> menores que um. No ano de 2019, as microrregiões de Itamaracá e Mata setentrional pernambucana, respectivamente, permaneceram com os </w:t>
      </w:r>
      <w:r>
        <w:rPr>
          <w:rFonts w:ascii="Times New Roman" w:hAnsi="Times New Roman" w:cs="Times New Roman"/>
          <w:color w:val="000000" w:themeColor="text1"/>
          <w:sz w:val="24"/>
          <w:szCs w:val="24"/>
        </w:rPr>
        <w:lastRenderedPageBreak/>
        <w:t xml:space="preserve">maiores índices, e a microrregião de Vitória de Santo Antão vem logo em seguida com QL = 2,45. </w:t>
      </w:r>
    </w:p>
    <w:p w14:paraId="66CC2F35" w14:textId="202E8F4B" w:rsidR="000C34C4" w:rsidRDefault="00324D24" w:rsidP="00324D24">
      <w:pPr>
        <w:spacing w:after="0" w:line="360" w:lineRule="auto"/>
        <w:ind w:firstLine="708"/>
        <w:jc w:val="both"/>
        <w:rPr>
          <w:rFonts w:ascii="Times New Roman" w:hAnsi="Times New Roman" w:cs="Times New Roman"/>
          <w:color w:val="000000" w:themeColor="text1"/>
          <w:sz w:val="24"/>
          <w:szCs w:val="24"/>
        </w:rPr>
      </w:pPr>
      <w:r w:rsidRPr="007D5950">
        <w:rPr>
          <w:rFonts w:ascii="Times New Roman" w:hAnsi="Times New Roman" w:cs="Times New Roman"/>
          <w:color w:val="000000" w:themeColor="text1"/>
          <w:sz w:val="24"/>
          <w:szCs w:val="24"/>
        </w:rPr>
        <w:t>Souza (2019) fazendo u</w:t>
      </w:r>
      <w:r w:rsidRPr="007D5950">
        <w:rPr>
          <w:rFonts w:ascii="Times New Roman" w:hAnsi="Times New Roman" w:cs="Times New Roman"/>
          <w:sz w:val="24"/>
          <w:szCs w:val="24"/>
        </w:rPr>
        <w:t>ma análise da evolução da indústria pernambucana em 2007 e 2017, constatou que a</w:t>
      </w:r>
      <w:r>
        <w:rPr>
          <w:rFonts w:ascii="Times New Roman" w:hAnsi="Times New Roman" w:cs="Times New Roman"/>
          <w:sz w:val="24"/>
          <w:szCs w:val="24"/>
        </w:rPr>
        <w:t>s</w:t>
      </w:r>
      <w:r w:rsidRPr="007D5950">
        <w:rPr>
          <w:rFonts w:ascii="Times New Roman" w:hAnsi="Times New Roman" w:cs="Times New Roman"/>
          <w:sz w:val="24"/>
          <w:szCs w:val="24"/>
        </w:rPr>
        <w:t xml:space="preserve"> microrregi</w:t>
      </w:r>
      <w:r>
        <w:rPr>
          <w:rFonts w:ascii="Times New Roman" w:hAnsi="Times New Roman" w:cs="Times New Roman"/>
          <w:sz w:val="24"/>
          <w:szCs w:val="24"/>
        </w:rPr>
        <w:t>ões</w:t>
      </w:r>
      <w:r w:rsidRPr="007D5950">
        <w:rPr>
          <w:rFonts w:ascii="Times New Roman" w:hAnsi="Times New Roman" w:cs="Times New Roman"/>
          <w:sz w:val="24"/>
          <w:szCs w:val="24"/>
        </w:rPr>
        <w:t xml:space="preserve"> de Itamaracá</w:t>
      </w:r>
      <w:r>
        <w:rPr>
          <w:rFonts w:ascii="Times New Roman" w:hAnsi="Times New Roman" w:cs="Times New Roman"/>
          <w:sz w:val="24"/>
          <w:szCs w:val="24"/>
        </w:rPr>
        <w:t xml:space="preserve">, da Mata Setentrional Pernambucana e da Mata Meridional Pernambucana, </w:t>
      </w:r>
      <w:r w:rsidRPr="007D5950">
        <w:rPr>
          <w:rFonts w:ascii="Times New Roman" w:hAnsi="Times New Roman" w:cs="Times New Roman"/>
          <w:sz w:val="24"/>
          <w:szCs w:val="24"/>
        </w:rPr>
        <w:t>também apresent</w:t>
      </w:r>
      <w:r>
        <w:rPr>
          <w:rFonts w:ascii="Times New Roman" w:hAnsi="Times New Roman" w:cs="Times New Roman"/>
          <w:sz w:val="24"/>
          <w:szCs w:val="24"/>
        </w:rPr>
        <w:t>aram</w:t>
      </w:r>
      <w:r w:rsidRPr="007D5950">
        <w:rPr>
          <w:rFonts w:ascii="Times New Roman" w:hAnsi="Times New Roman" w:cs="Times New Roman"/>
          <w:sz w:val="24"/>
          <w:szCs w:val="24"/>
        </w:rPr>
        <w:t xml:space="preserve"> </w:t>
      </w:r>
      <w:proofErr w:type="spellStart"/>
      <w:r w:rsidRPr="007D5950">
        <w:rPr>
          <w:rFonts w:ascii="Times New Roman" w:hAnsi="Times New Roman" w:cs="Times New Roman"/>
          <w:sz w:val="24"/>
          <w:szCs w:val="24"/>
        </w:rPr>
        <w:t>QLs</w:t>
      </w:r>
      <w:proofErr w:type="spellEnd"/>
      <w:r w:rsidRPr="007D5950">
        <w:rPr>
          <w:rFonts w:ascii="Times New Roman" w:hAnsi="Times New Roman" w:cs="Times New Roman"/>
          <w:sz w:val="24"/>
          <w:szCs w:val="24"/>
        </w:rPr>
        <w:t xml:space="preserve"> </w:t>
      </w:r>
      <w:r>
        <w:rPr>
          <w:rFonts w:ascii="Times New Roman" w:hAnsi="Times New Roman" w:cs="Times New Roman"/>
          <w:sz w:val="24"/>
          <w:szCs w:val="24"/>
        </w:rPr>
        <w:t xml:space="preserve">superiores a um </w:t>
      </w:r>
      <w:r w:rsidRPr="007D5950">
        <w:rPr>
          <w:rFonts w:ascii="Times New Roman" w:hAnsi="Times New Roman" w:cs="Times New Roman"/>
          <w:sz w:val="24"/>
          <w:szCs w:val="24"/>
        </w:rPr>
        <w:t>em vários ramos da indústria</w:t>
      </w:r>
      <w:r>
        <w:rPr>
          <w:rFonts w:ascii="Times New Roman" w:hAnsi="Times New Roman" w:cs="Times New Roman"/>
          <w:sz w:val="24"/>
          <w:szCs w:val="24"/>
        </w:rPr>
        <w:t xml:space="preserve">, entre estes se destacam os índices dessas microrregiões na </w:t>
      </w:r>
      <w:r w:rsidRPr="003F7672">
        <w:rPr>
          <w:rFonts w:ascii="Times New Roman" w:hAnsi="Times New Roman" w:cs="Times New Roman"/>
          <w:sz w:val="24"/>
          <w:szCs w:val="24"/>
        </w:rPr>
        <w:t>a indústria de material de transporte</w:t>
      </w:r>
      <w:r>
        <w:rPr>
          <w:rFonts w:ascii="Times New Roman" w:hAnsi="Times New Roman" w:cs="Times New Roman"/>
          <w:sz w:val="24"/>
          <w:szCs w:val="24"/>
        </w:rPr>
        <w:t xml:space="preserve"> e </w:t>
      </w:r>
      <w:r w:rsidRPr="003F7672">
        <w:rPr>
          <w:rFonts w:ascii="Times New Roman" w:hAnsi="Times New Roman" w:cs="Times New Roman"/>
          <w:sz w:val="24"/>
          <w:szCs w:val="24"/>
        </w:rPr>
        <w:t>a indústria metalúrgica</w:t>
      </w:r>
      <w:r>
        <w:rPr>
          <w:rFonts w:ascii="Times New Roman" w:hAnsi="Times New Roman" w:cs="Times New Roman"/>
          <w:sz w:val="24"/>
          <w:szCs w:val="24"/>
        </w:rPr>
        <w:t xml:space="preserve"> (Itamaracá), </w:t>
      </w:r>
      <w:r w:rsidRPr="00ED6317">
        <w:rPr>
          <w:rFonts w:ascii="Times New Roman" w:hAnsi="Times New Roman" w:cs="Times New Roman"/>
          <w:sz w:val="24"/>
          <w:szCs w:val="24"/>
        </w:rPr>
        <w:t>na indústria de calçados</w:t>
      </w:r>
      <w:r>
        <w:rPr>
          <w:rFonts w:ascii="Times New Roman" w:hAnsi="Times New Roman" w:cs="Times New Roman"/>
          <w:sz w:val="24"/>
          <w:szCs w:val="24"/>
        </w:rPr>
        <w:t xml:space="preserve"> (Mata Setentrional Pernambucana) e </w:t>
      </w:r>
      <w:r w:rsidRPr="00ED6317">
        <w:rPr>
          <w:rFonts w:ascii="Times New Roman" w:hAnsi="Times New Roman" w:cs="Times New Roman"/>
          <w:sz w:val="24"/>
          <w:szCs w:val="24"/>
        </w:rPr>
        <w:t>a indústria de alimentos e bebidas</w:t>
      </w:r>
      <w:r>
        <w:rPr>
          <w:rFonts w:ascii="Times New Roman" w:hAnsi="Times New Roman" w:cs="Times New Roman"/>
          <w:sz w:val="24"/>
          <w:szCs w:val="24"/>
        </w:rPr>
        <w:t xml:space="preserve"> (Mata Meridional Pernambucana). </w:t>
      </w:r>
    </w:p>
    <w:p w14:paraId="353BE825" w14:textId="21984F75" w:rsidR="00324D24" w:rsidRDefault="00324D24" w:rsidP="00324D24">
      <w:pPr>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No setor da construção civil no ano de 2010, as microrregiões de Salgueiro (QL = 6,03), Suape (QL = 3,51) e Petrolina (QL = 1,16) obtiveram os maiores quocientes locacionais, respectivamente. </w:t>
      </w:r>
      <w:proofErr w:type="spellStart"/>
      <w:r>
        <w:rPr>
          <w:rFonts w:ascii="Times New Roman" w:hAnsi="Times New Roman" w:cs="Times New Roman"/>
          <w:color w:val="000000" w:themeColor="text1"/>
          <w:sz w:val="24"/>
          <w:szCs w:val="24"/>
        </w:rPr>
        <w:t>Alé</w:t>
      </w:r>
      <w:proofErr w:type="spellEnd"/>
      <w:r>
        <w:rPr>
          <w:rFonts w:ascii="Times New Roman" w:hAnsi="Times New Roman" w:cs="Times New Roman"/>
          <w:color w:val="000000" w:themeColor="text1"/>
          <w:sz w:val="24"/>
          <w:szCs w:val="24"/>
        </w:rPr>
        <w:t xml:space="preserve"> destas, apenas as microrregiões Sertão do Moxotó e Recife obtiveram </w:t>
      </w:r>
      <w:proofErr w:type="spellStart"/>
      <w:r>
        <w:rPr>
          <w:rFonts w:ascii="Times New Roman" w:hAnsi="Times New Roman" w:cs="Times New Roman"/>
          <w:color w:val="000000" w:themeColor="text1"/>
          <w:sz w:val="24"/>
          <w:szCs w:val="24"/>
        </w:rPr>
        <w:t>QLs</w:t>
      </w:r>
      <w:proofErr w:type="spellEnd"/>
      <w:r>
        <w:rPr>
          <w:rFonts w:ascii="Times New Roman" w:hAnsi="Times New Roman" w:cs="Times New Roman"/>
          <w:color w:val="000000" w:themeColor="text1"/>
          <w:sz w:val="24"/>
          <w:szCs w:val="24"/>
        </w:rPr>
        <w:t xml:space="preserve"> superiores a unidade. Em 2019, as maiores representatividades ficaram por conta das microrregiões do Sertão do Moxotó, Salgueiro e Recife. As outras microrregiões que tiveram QL maior que um foram Suape, Pajeú e Itamaracá. Araújo e Santos (2019) destacaram que o desempenho da construção civil entre 2009 e 2011, foi promovido </w:t>
      </w:r>
      <w:r w:rsidRPr="00F23163">
        <w:rPr>
          <w:rFonts w:ascii="Times New Roman" w:hAnsi="Times New Roman" w:cs="Times New Roman"/>
          <w:color w:val="000000" w:themeColor="text1"/>
          <w:sz w:val="24"/>
          <w:szCs w:val="24"/>
        </w:rPr>
        <w:t>auge da construção da Refinaria General Abreu e Lima e do Estaleiro EAS</w:t>
      </w:r>
      <w:r>
        <w:rPr>
          <w:rFonts w:ascii="Times New Roman" w:hAnsi="Times New Roman" w:cs="Times New Roman"/>
          <w:color w:val="000000" w:themeColor="text1"/>
          <w:sz w:val="24"/>
          <w:szCs w:val="24"/>
        </w:rPr>
        <w:t xml:space="preserve">, </w:t>
      </w:r>
      <w:r w:rsidRPr="00F23163">
        <w:rPr>
          <w:rFonts w:ascii="Times New Roman" w:hAnsi="Times New Roman" w:cs="Times New Roman"/>
          <w:color w:val="000000" w:themeColor="text1"/>
          <w:sz w:val="24"/>
          <w:szCs w:val="24"/>
        </w:rPr>
        <w:t>investimentos em grandes obras como a ferrovia Transnordestina e o projeto de Integração de Bacias do Rio São Francisco</w:t>
      </w:r>
      <w:r>
        <w:rPr>
          <w:rFonts w:ascii="Times New Roman" w:hAnsi="Times New Roman" w:cs="Times New Roman"/>
          <w:color w:val="000000" w:themeColor="text1"/>
          <w:sz w:val="24"/>
          <w:szCs w:val="24"/>
        </w:rPr>
        <w:t>, juntamente com programas habitacionais, como “Minha Casa, Minha Vida” e as obras da Arena da Copa em 2010.</w:t>
      </w:r>
    </w:p>
    <w:p w14:paraId="6B2CFBF1" w14:textId="37CA2E7C" w:rsidR="00324D24" w:rsidRDefault="00324D24" w:rsidP="00324D24">
      <w:pPr>
        <w:spacing w:after="0" w:line="360" w:lineRule="auto"/>
        <w:ind w:firstLine="708"/>
        <w:jc w:val="both"/>
        <w:rPr>
          <w:rFonts w:ascii="Times New Roman" w:hAnsi="Times New Roman" w:cs="Times New Roman"/>
          <w:color w:val="000000" w:themeColor="text1"/>
          <w:sz w:val="24"/>
          <w:szCs w:val="24"/>
        </w:rPr>
      </w:pPr>
    </w:p>
    <w:p w14:paraId="62660E1B" w14:textId="00381175" w:rsidR="00324D24" w:rsidRDefault="00324D24" w:rsidP="00324D24">
      <w:pPr>
        <w:spacing w:after="0" w:line="360" w:lineRule="auto"/>
        <w:ind w:firstLine="708"/>
        <w:jc w:val="both"/>
        <w:rPr>
          <w:rFonts w:ascii="Times New Roman" w:hAnsi="Times New Roman" w:cs="Times New Roman"/>
          <w:color w:val="000000" w:themeColor="text1"/>
          <w:sz w:val="24"/>
          <w:szCs w:val="24"/>
        </w:rPr>
      </w:pPr>
    </w:p>
    <w:p w14:paraId="02025B59" w14:textId="2F770E65" w:rsidR="00324D24" w:rsidRDefault="00324D24" w:rsidP="00324D24">
      <w:pPr>
        <w:spacing w:after="0" w:line="360" w:lineRule="auto"/>
        <w:ind w:firstLine="708"/>
        <w:jc w:val="both"/>
        <w:rPr>
          <w:rFonts w:ascii="Times New Roman" w:hAnsi="Times New Roman" w:cs="Times New Roman"/>
          <w:color w:val="000000" w:themeColor="text1"/>
          <w:sz w:val="24"/>
          <w:szCs w:val="24"/>
        </w:rPr>
      </w:pPr>
    </w:p>
    <w:p w14:paraId="05700F3A" w14:textId="3704CFCB" w:rsidR="00324D24" w:rsidRDefault="00324D24" w:rsidP="00324D24">
      <w:pPr>
        <w:spacing w:after="0" w:line="360" w:lineRule="auto"/>
        <w:ind w:firstLine="708"/>
        <w:jc w:val="both"/>
        <w:rPr>
          <w:rFonts w:ascii="Times New Roman" w:hAnsi="Times New Roman" w:cs="Times New Roman"/>
          <w:color w:val="000000" w:themeColor="text1"/>
          <w:sz w:val="24"/>
          <w:szCs w:val="24"/>
        </w:rPr>
      </w:pPr>
    </w:p>
    <w:p w14:paraId="4EA464EA" w14:textId="13C05627" w:rsidR="00324D24" w:rsidRDefault="00324D24" w:rsidP="00324D24">
      <w:pPr>
        <w:spacing w:after="0" w:line="360" w:lineRule="auto"/>
        <w:ind w:firstLine="708"/>
        <w:jc w:val="both"/>
        <w:rPr>
          <w:rFonts w:ascii="Times New Roman" w:hAnsi="Times New Roman" w:cs="Times New Roman"/>
          <w:color w:val="000000" w:themeColor="text1"/>
          <w:sz w:val="24"/>
          <w:szCs w:val="24"/>
        </w:rPr>
      </w:pPr>
    </w:p>
    <w:p w14:paraId="54B5D448" w14:textId="5E9DBE3F" w:rsidR="00324D24" w:rsidRDefault="00324D24" w:rsidP="00324D24">
      <w:pPr>
        <w:spacing w:after="0" w:line="360" w:lineRule="auto"/>
        <w:ind w:firstLine="708"/>
        <w:jc w:val="both"/>
        <w:rPr>
          <w:rFonts w:ascii="Times New Roman" w:hAnsi="Times New Roman" w:cs="Times New Roman"/>
          <w:color w:val="000000" w:themeColor="text1"/>
          <w:sz w:val="24"/>
          <w:szCs w:val="24"/>
        </w:rPr>
      </w:pPr>
    </w:p>
    <w:p w14:paraId="64986CE6" w14:textId="4696909E" w:rsidR="00324D24" w:rsidRDefault="00324D24" w:rsidP="00324D24">
      <w:pPr>
        <w:spacing w:after="0" w:line="360" w:lineRule="auto"/>
        <w:ind w:firstLine="708"/>
        <w:jc w:val="both"/>
        <w:rPr>
          <w:rFonts w:ascii="Times New Roman" w:hAnsi="Times New Roman" w:cs="Times New Roman"/>
          <w:color w:val="000000" w:themeColor="text1"/>
          <w:sz w:val="24"/>
          <w:szCs w:val="24"/>
        </w:rPr>
      </w:pPr>
    </w:p>
    <w:p w14:paraId="1936C7CE" w14:textId="659BEB79" w:rsidR="00324D24" w:rsidRDefault="00324D24" w:rsidP="00324D24">
      <w:pPr>
        <w:spacing w:after="0" w:line="360" w:lineRule="auto"/>
        <w:ind w:firstLine="708"/>
        <w:jc w:val="both"/>
        <w:rPr>
          <w:rFonts w:ascii="Times New Roman" w:hAnsi="Times New Roman" w:cs="Times New Roman"/>
          <w:color w:val="000000" w:themeColor="text1"/>
          <w:sz w:val="24"/>
          <w:szCs w:val="24"/>
        </w:rPr>
      </w:pPr>
    </w:p>
    <w:p w14:paraId="29A55F4B" w14:textId="48458E05" w:rsidR="00324D24" w:rsidRDefault="00324D24" w:rsidP="00324D24">
      <w:pPr>
        <w:spacing w:after="0" w:line="360" w:lineRule="auto"/>
        <w:ind w:firstLine="708"/>
        <w:jc w:val="both"/>
        <w:rPr>
          <w:rFonts w:ascii="Times New Roman" w:hAnsi="Times New Roman" w:cs="Times New Roman"/>
          <w:color w:val="000000" w:themeColor="text1"/>
          <w:sz w:val="24"/>
          <w:szCs w:val="24"/>
        </w:rPr>
      </w:pPr>
    </w:p>
    <w:p w14:paraId="2F66447D" w14:textId="015E2DC1" w:rsidR="00324D24" w:rsidRDefault="00324D24" w:rsidP="00324D24">
      <w:pPr>
        <w:spacing w:after="0" w:line="360" w:lineRule="auto"/>
        <w:ind w:firstLine="708"/>
        <w:jc w:val="both"/>
        <w:rPr>
          <w:rFonts w:ascii="Times New Roman" w:hAnsi="Times New Roman" w:cs="Times New Roman"/>
          <w:color w:val="000000" w:themeColor="text1"/>
          <w:sz w:val="24"/>
          <w:szCs w:val="24"/>
        </w:rPr>
      </w:pPr>
    </w:p>
    <w:p w14:paraId="0DE43023" w14:textId="77777777" w:rsidR="00324D24" w:rsidRPr="00853D1C" w:rsidRDefault="00324D24" w:rsidP="00324D24">
      <w:pPr>
        <w:spacing w:after="0" w:line="360" w:lineRule="auto"/>
        <w:jc w:val="center"/>
        <w:rPr>
          <w:rFonts w:ascii="Times New Roman" w:hAnsi="Times New Roman" w:cs="Times New Roman"/>
          <w:b/>
          <w:bCs/>
          <w:color w:val="000000" w:themeColor="text1"/>
          <w:sz w:val="24"/>
          <w:szCs w:val="24"/>
        </w:rPr>
      </w:pPr>
      <w:r w:rsidRPr="00853D1C">
        <w:rPr>
          <w:rFonts w:ascii="Times New Roman" w:hAnsi="Times New Roman" w:cs="Times New Roman"/>
          <w:b/>
          <w:bCs/>
          <w:color w:val="000000" w:themeColor="text1"/>
          <w:sz w:val="24"/>
          <w:szCs w:val="24"/>
        </w:rPr>
        <w:lastRenderedPageBreak/>
        <w:t>Tabela 2: Quociente locacional das microrregiões pernambucanas em 2010-2019</w:t>
      </w:r>
    </w:p>
    <w:tbl>
      <w:tblPr>
        <w:tblW w:w="8931" w:type="dxa"/>
        <w:tblCellMar>
          <w:left w:w="70" w:type="dxa"/>
          <w:right w:w="70" w:type="dxa"/>
        </w:tblCellMar>
        <w:tblLook w:val="04A0" w:firstRow="1" w:lastRow="0" w:firstColumn="1" w:lastColumn="0" w:noHBand="0" w:noVBand="1"/>
      </w:tblPr>
      <w:tblGrid>
        <w:gridCol w:w="2268"/>
        <w:gridCol w:w="567"/>
        <w:gridCol w:w="540"/>
        <w:gridCol w:w="736"/>
        <w:gridCol w:w="851"/>
        <w:gridCol w:w="708"/>
        <w:gridCol w:w="567"/>
        <w:gridCol w:w="567"/>
        <w:gridCol w:w="567"/>
        <w:gridCol w:w="709"/>
        <w:gridCol w:w="851"/>
      </w:tblGrid>
      <w:tr w:rsidR="00324D24" w:rsidRPr="00517ECD" w14:paraId="4B2CF751" w14:textId="77777777" w:rsidTr="00635E50">
        <w:trPr>
          <w:trHeight w:val="310"/>
        </w:trPr>
        <w:tc>
          <w:tcPr>
            <w:tcW w:w="8931" w:type="dxa"/>
            <w:gridSpan w:val="11"/>
            <w:tcBorders>
              <w:top w:val="single" w:sz="8" w:space="0" w:color="auto"/>
            </w:tcBorders>
            <w:shd w:val="clear" w:color="auto" w:fill="auto"/>
            <w:noWrap/>
            <w:vAlign w:val="bottom"/>
            <w:hideMark/>
          </w:tcPr>
          <w:p w14:paraId="0617693D" w14:textId="77777777" w:rsidR="00324D24" w:rsidRPr="00517ECD" w:rsidRDefault="00324D24" w:rsidP="008B6F9B">
            <w:pPr>
              <w:spacing w:after="0" w:line="240" w:lineRule="auto"/>
              <w:jc w:val="center"/>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Quociente Locacional das microrregiões pernambucanas em 2010</w:t>
            </w:r>
            <w:r>
              <w:rPr>
                <w:rFonts w:ascii="Times New Roman" w:eastAsia="Times New Roman" w:hAnsi="Times New Roman" w:cs="Times New Roman"/>
                <w:b/>
                <w:bCs/>
                <w:color w:val="000000"/>
                <w:sz w:val="20"/>
                <w:szCs w:val="20"/>
                <w:lang w:eastAsia="pt-BR"/>
              </w:rPr>
              <w:t>-2019</w:t>
            </w:r>
          </w:p>
        </w:tc>
      </w:tr>
      <w:tr w:rsidR="00324D24" w:rsidRPr="00517ECD" w14:paraId="408C3400" w14:textId="77777777" w:rsidTr="00635E50">
        <w:trPr>
          <w:trHeight w:val="300"/>
        </w:trPr>
        <w:tc>
          <w:tcPr>
            <w:tcW w:w="2268" w:type="dxa"/>
            <w:vMerge w:val="restart"/>
            <w:tcBorders>
              <w:top w:val="single" w:sz="8" w:space="0" w:color="auto"/>
              <w:right w:val="single" w:sz="8" w:space="0" w:color="auto"/>
            </w:tcBorders>
            <w:shd w:val="clear" w:color="auto" w:fill="auto"/>
            <w:noWrap/>
            <w:vAlign w:val="center"/>
            <w:hideMark/>
          </w:tcPr>
          <w:p w14:paraId="1718B412" w14:textId="77777777" w:rsidR="00324D24" w:rsidRPr="00517ECD" w:rsidRDefault="00324D24" w:rsidP="008B6F9B">
            <w:pPr>
              <w:spacing w:after="0" w:line="240" w:lineRule="auto"/>
              <w:jc w:val="center"/>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Microrregião</w:t>
            </w:r>
          </w:p>
          <w:p w14:paraId="29C0E19E" w14:textId="77777777" w:rsidR="00324D24" w:rsidRPr="00517ECD" w:rsidRDefault="00324D24" w:rsidP="008B6F9B">
            <w:pPr>
              <w:spacing w:after="0" w:line="240" w:lineRule="auto"/>
              <w:jc w:val="center"/>
              <w:rPr>
                <w:rFonts w:ascii="Times New Roman" w:eastAsia="Times New Roman" w:hAnsi="Times New Roman" w:cs="Times New Roman"/>
                <w:b/>
                <w:bCs/>
                <w:color w:val="000000"/>
                <w:sz w:val="20"/>
                <w:szCs w:val="20"/>
                <w:lang w:eastAsia="pt-BR"/>
              </w:rPr>
            </w:pPr>
          </w:p>
        </w:tc>
        <w:tc>
          <w:tcPr>
            <w:tcW w:w="1107"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79C4463" w14:textId="77777777" w:rsidR="00324D24" w:rsidRPr="00517ECD" w:rsidRDefault="00324D24" w:rsidP="008B6F9B">
            <w:pPr>
              <w:spacing w:after="0" w:line="240" w:lineRule="auto"/>
              <w:jc w:val="center"/>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Indústria</w:t>
            </w:r>
          </w:p>
          <w:p w14:paraId="70F86992" w14:textId="77777777" w:rsidR="00324D24" w:rsidRPr="00517ECD" w:rsidRDefault="00324D24" w:rsidP="008B6F9B">
            <w:pPr>
              <w:spacing w:after="0" w:line="240" w:lineRule="auto"/>
              <w:jc w:val="center"/>
              <w:rPr>
                <w:rFonts w:ascii="Times New Roman" w:eastAsia="Times New Roman" w:hAnsi="Times New Roman" w:cs="Times New Roman"/>
                <w:b/>
                <w:bCs/>
                <w:color w:val="000000"/>
                <w:sz w:val="20"/>
                <w:szCs w:val="20"/>
                <w:lang w:eastAsia="pt-BR"/>
              </w:rPr>
            </w:pPr>
          </w:p>
        </w:tc>
        <w:tc>
          <w:tcPr>
            <w:tcW w:w="1587"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4F6FD8E" w14:textId="77777777" w:rsidR="00324D24" w:rsidRPr="00517ECD" w:rsidRDefault="00324D24" w:rsidP="008B6F9B">
            <w:pPr>
              <w:spacing w:after="0" w:line="240" w:lineRule="auto"/>
              <w:jc w:val="center"/>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Construção civil</w:t>
            </w:r>
          </w:p>
          <w:p w14:paraId="1269D946" w14:textId="77777777" w:rsidR="00324D24" w:rsidRPr="00517ECD" w:rsidRDefault="00324D24" w:rsidP="008B6F9B">
            <w:pPr>
              <w:spacing w:after="0" w:line="240" w:lineRule="auto"/>
              <w:jc w:val="center"/>
              <w:rPr>
                <w:rFonts w:ascii="Times New Roman" w:eastAsia="Times New Roman" w:hAnsi="Times New Roman" w:cs="Times New Roman"/>
                <w:b/>
                <w:bCs/>
                <w:color w:val="000000"/>
                <w:sz w:val="20"/>
                <w:szCs w:val="20"/>
                <w:lang w:eastAsia="pt-BR"/>
              </w:rPr>
            </w:pPr>
          </w:p>
        </w:tc>
        <w:tc>
          <w:tcPr>
            <w:tcW w:w="1275"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1C11E1D" w14:textId="77777777" w:rsidR="00324D24" w:rsidRPr="00517ECD" w:rsidRDefault="00324D24" w:rsidP="008B6F9B">
            <w:pPr>
              <w:spacing w:after="0" w:line="240" w:lineRule="auto"/>
              <w:jc w:val="center"/>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Comércio</w:t>
            </w:r>
          </w:p>
          <w:p w14:paraId="68ACDD2E" w14:textId="77777777" w:rsidR="00324D24" w:rsidRPr="00517ECD" w:rsidRDefault="00324D24" w:rsidP="008B6F9B">
            <w:pPr>
              <w:spacing w:after="0" w:line="240" w:lineRule="auto"/>
              <w:jc w:val="center"/>
              <w:rPr>
                <w:rFonts w:ascii="Times New Roman" w:eastAsia="Times New Roman" w:hAnsi="Times New Roman" w:cs="Times New Roman"/>
                <w:b/>
                <w:bCs/>
                <w:color w:val="000000"/>
                <w:sz w:val="20"/>
                <w:szCs w:val="20"/>
                <w:lang w:eastAsia="pt-BR"/>
              </w:rPr>
            </w:pP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AAE12B7" w14:textId="77777777" w:rsidR="00324D24" w:rsidRPr="00517ECD" w:rsidRDefault="00324D24" w:rsidP="008B6F9B">
            <w:pPr>
              <w:spacing w:after="0" w:line="240" w:lineRule="auto"/>
              <w:jc w:val="center"/>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Serviços</w:t>
            </w:r>
          </w:p>
          <w:p w14:paraId="1310E1A2" w14:textId="77777777" w:rsidR="00324D24" w:rsidRPr="00517ECD" w:rsidRDefault="00324D24" w:rsidP="008B6F9B">
            <w:pPr>
              <w:spacing w:after="0" w:line="240" w:lineRule="auto"/>
              <w:jc w:val="center"/>
              <w:rPr>
                <w:rFonts w:ascii="Times New Roman" w:eastAsia="Times New Roman" w:hAnsi="Times New Roman" w:cs="Times New Roman"/>
                <w:b/>
                <w:bCs/>
                <w:color w:val="000000"/>
                <w:sz w:val="20"/>
                <w:szCs w:val="20"/>
                <w:lang w:eastAsia="pt-BR"/>
              </w:rPr>
            </w:pPr>
          </w:p>
        </w:tc>
        <w:tc>
          <w:tcPr>
            <w:tcW w:w="1560" w:type="dxa"/>
            <w:gridSpan w:val="2"/>
            <w:tcBorders>
              <w:top w:val="single" w:sz="8" w:space="0" w:color="auto"/>
              <w:left w:val="single" w:sz="8" w:space="0" w:color="auto"/>
              <w:bottom w:val="single" w:sz="8" w:space="0" w:color="auto"/>
            </w:tcBorders>
            <w:shd w:val="clear" w:color="auto" w:fill="auto"/>
            <w:noWrap/>
            <w:vAlign w:val="center"/>
            <w:hideMark/>
          </w:tcPr>
          <w:p w14:paraId="09ACAD97" w14:textId="77777777" w:rsidR="00324D24" w:rsidRPr="00517ECD" w:rsidRDefault="00324D24" w:rsidP="008B6F9B">
            <w:pPr>
              <w:spacing w:after="0" w:line="240" w:lineRule="auto"/>
              <w:jc w:val="center"/>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Agropecuária</w:t>
            </w:r>
          </w:p>
        </w:tc>
      </w:tr>
      <w:tr w:rsidR="00324D24" w:rsidRPr="00517ECD" w14:paraId="2108002F" w14:textId="77777777" w:rsidTr="00635E50">
        <w:trPr>
          <w:trHeight w:val="310"/>
        </w:trPr>
        <w:tc>
          <w:tcPr>
            <w:tcW w:w="2268" w:type="dxa"/>
            <w:vMerge/>
            <w:tcBorders>
              <w:bottom w:val="single" w:sz="8" w:space="0" w:color="auto"/>
              <w:right w:val="single" w:sz="8" w:space="0" w:color="auto"/>
            </w:tcBorders>
            <w:shd w:val="clear" w:color="auto" w:fill="auto"/>
            <w:noWrap/>
            <w:vAlign w:val="bottom"/>
            <w:hideMark/>
          </w:tcPr>
          <w:p w14:paraId="5DB3BC0A" w14:textId="77777777" w:rsidR="00324D24" w:rsidRPr="00517ECD" w:rsidRDefault="00324D24" w:rsidP="008B6F9B">
            <w:pPr>
              <w:spacing w:after="0" w:line="240" w:lineRule="auto"/>
              <w:rPr>
                <w:rFonts w:ascii="Times New Roman" w:eastAsia="Times New Roman" w:hAnsi="Times New Roman" w:cs="Times New Roman"/>
                <w:b/>
                <w:bCs/>
                <w:color w:val="000000"/>
                <w:sz w:val="20"/>
                <w:szCs w:val="20"/>
                <w:lang w:eastAsia="pt-BR"/>
              </w:rPr>
            </w:pPr>
          </w:p>
        </w:tc>
        <w:tc>
          <w:tcPr>
            <w:tcW w:w="567" w:type="dxa"/>
            <w:tcBorders>
              <w:top w:val="single" w:sz="8" w:space="0" w:color="auto"/>
              <w:left w:val="single" w:sz="8" w:space="0" w:color="auto"/>
              <w:bottom w:val="single" w:sz="8" w:space="0" w:color="auto"/>
            </w:tcBorders>
            <w:shd w:val="clear" w:color="auto" w:fill="auto"/>
            <w:noWrap/>
            <w:vAlign w:val="bottom"/>
            <w:hideMark/>
          </w:tcPr>
          <w:p w14:paraId="5341B5E1" w14:textId="77777777" w:rsidR="00324D24" w:rsidRPr="00517ECD"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2010</w:t>
            </w:r>
          </w:p>
        </w:tc>
        <w:tc>
          <w:tcPr>
            <w:tcW w:w="540" w:type="dxa"/>
            <w:tcBorders>
              <w:top w:val="single" w:sz="8" w:space="0" w:color="auto"/>
              <w:bottom w:val="single" w:sz="8" w:space="0" w:color="auto"/>
              <w:right w:val="single" w:sz="8" w:space="0" w:color="auto"/>
            </w:tcBorders>
            <w:shd w:val="clear" w:color="auto" w:fill="auto"/>
            <w:noWrap/>
            <w:vAlign w:val="bottom"/>
            <w:hideMark/>
          </w:tcPr>
          <w:p w14:paraId="1AEB684F" w14:textId="77777777" w:rsidR="00324D24" w:rsidRPr="00517ECD"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2019</w:t>
            </w:r>
          </w:p>
        </w:tc>
        <w:tc>
          <w:tcPr>
            <w:tcW w:w="736" w:type="dxa"/>
            <w:tcBorders>
              <w:top w:val="single" w:sz="8" w:space="0" w:color="auto"/>
              <w:left w:val="single" w:sz="8" w:space="0" w:color="auto"/>
              <w:bottom w:val="single" w:sz="8" w:space="0" w:color="auto"/>
            </w:tcBorders>
            <w:shd w:val="clear" w:color="auto" w:fill="auto"/>
            <w:noWrap/>
            <w:vAlign w:val="bottom"/>
            <w:hideMark/>
          </w:tcPr>
          <w:p w14:paraId="540D63EF" w14:textId="77777777" w:rsidR="00324D24" w:rsidRPr="00517ECD"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2010</w:t>
            </w:r>
          </w:p>
        </w:tc>
        <w:tc>
          <w:tcPr>
            <w:tcW w:w="851" w:type="dxa"/>
            <w:tcBorders>
              <w:top w:val="single" w:sz="8" w:space="0" w:color="auto"/>
              <w:bottom w:val="single" w:sz="8" w:space="0" w:color="auto"/>
              <w:right w:val="single" w:sz="8" w:space="0" w:color="auto"/>
            </w:tcBorders>
            <w:shd w:val="clear" w:color="auto" w:fill="auto"/>
            <w:noWrap/>
            <w:vAlign w:val="bottom"/>
            <w:hideMark/>
          </w:tcPr>
          <w:p w14:paraId="20BF9B5F" w14:textId="77777777" w:rsidR="00324D24" w:rsidRPr="00517ECD"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2019</w:t>
            </w:r>
          </w:p>
        </w:tc>
        <w:tc>
          <w:tcPr>
            <w:tcW w:w="708" w:type="dxa"/>
            <w:tcBorders>
              <w:top w:val="single" w:sz="8" w:space="0" w:color="auto"/>
              <w:left w:val="single" w:sz="8" w:space="0" w:color="auto"/>
              <w:bottom w:val="single" w:sz="8" w:space="0" w:color="auto"/>
            </w:tcBorders>
            <w:shd w:val="clear" w:color="auto" w:fill="auto"/>
            <w:noWrap/>
            <w:vAlign w:val="bottom"/>
            <w:hideMark/>
          </w:tcPr>
          <w:p w14:paraId="71B8534A" w14:textId="77777777" w:rsidR="00324D24" w:rsidRPr="00517ECD"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2010</w:t>
            </w:r>
          </w:p>
        </w:tc>
        <w:tc>
          <w:tcPr>
            <w:tcW w:w="567" w:type="dxa"/>
            <w:tcBorders>
              <w:bottom w:val="single" w:sz="8" w:space="0" w:color="auto"/>
              <w:right w:val="single" w:sz="8" w:space="0" w:color="auto"/>
            </w:tcBorders>
            <w:shd w:val="clear" w:color="auto" w:fill="auto"/>
            <w:noWrap/>
            <w:vAlign w:val="bottom"/>
            <w:hideMark/>
          </w:tcPr>
          <w:p w14:paraId="47603E89" w14:textId="77777777" w:rsidR="00324D24" w:rsidRPr="00517ECD"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2019</w:t>
            </w:r>
          </w:p>
        </w:tc>
        <w:tc>
          <w:tcPr>
            <w:tcW w:w="567" w:type="dxa"/>
            <w:tcBorders>
              <w:left w:val="single" w:sz="8" w:space="0" w:color="auto"/>
              <w:bottom w:val="single" w:sz="8" w:space="0" w:color="auto"/>
            </w:tcBorders>
            <w:shd w:val="clear" w:color="auto" w:fill="auto"/>
            <w:noWrap/>
            <w:vAlign w:val="bottom"/>
            <w:hideMark/>
          </w:tcPr>
          <w:p w14:paraId="524BE2F6" w14:textId="77777777" w:rsidR="00324D24" w:rsidRPr="00517ECD"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2010</w:t>
            </w:r>
          </w:p>
        </w:tc>
        <w:tc>
          <w:tcPr>
            <w:tcW w:w="567" w:type="dxa"/>
            <w:tcBorders>
              <w:top w:val="single" w:sz="8" w:space="0" w:color="auto"/>
              <w:bottom w:val="single" w:sz="8" w:space="0" w:color="auto"/>
              <w:right w:val="single" w:sz="8" w:space="0" w:color="auto"/>
            </w:tcBorders>
            <w:shd w:val="clear" w:color="auto" w:fill="auto"/>
            <w:noWrap/>
            <w:vAlign w:val="bottom"/>
            <w:hideMark/>
          </w:tcPr>
          <w:p w14:paraId="444EE55D" w14:textId="77777777" w:rsidR="00324D24" w:rsidRPr="00517ECD"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2019</w:t>
            </w:r>
          </w:p>
        </w:tc>
        <w:tc>
          <w:tcPr>
            <w:tcW w:w="709" w:type="dxa"/>
            <w:tcBorders>
              <w:top w:val="single" w:sz="8" w:space="0" w:color="auto"/>
              <w:left w:val="single" w:sz="8" w:space="0" w:color="auto"/>
              <w:bottom w:val="single" w:sz="8" w:space="0" w:color="auto"/>
            </w:tcBorders>
            <w:shd w:val="clear" w:color="auto" w:fill="auto"/>
            <w:noWrap/>
            <w:vAlign w:val="bottom"/>
            <w:hideMark/>
          </w:tcPr>
          <w:p w14:paraId="21C1ED24" w14:textId="77777777" w:rsidR="00324D24" w:rsidRPr="00517ECD"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2010</w:t>
            </w:r>
          </w:p>
        </w:tc>
        <w:tc>
          <w:tcPr>
            <w:tcW w:w="851" w:type="dxa"/>
            <w:tcBorders>
              <w:top w:val="single" w:sz="8" w:space="0" w:color="auto"/>
              <w:bottom w:val="single" w:sz="8" w:space="0" w:color="auto"/>
            </w:tcBorders>
            <w:shd w:val="clear" w:color="auto" w:fill="auto"/>
            <w:noWrap/>
            <w:vAlign w:val="bottom"/>
            <w:hideMark/>
          </w:tcPr>
          <w:p w14:paraId="27B33514" w14:textId="77777777" w:rsidR="00324D24" w:rsidRPr="00517ECD"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2019</w:t>
            </w:r>
          </w:p>
        </w:tc>
      </w:tr>
      <w:tr w:rsidR="00324D24" w:rsidRPr="00517ECD" w14:paraId="27E125FD" w14:textId="77777777" w:rsidTr="00635E50">
        <w:trPr>
          <w:trHeight w:val="310"/>
        </w:trPr>
        <w:tc>
          <w:tcPr>
            <w:tcW w:w="2268" w:type="dxa"/>
            <w:tcBorders>
              <w:top w:val="single" w:sz="8" w:space="0" w:color="auto"/>
              <w:right w:val="single" w:sz="8" w:space="0" w:color="auto"/>
            </w:tcBorders>
            <w:shd w:val="clear" w:color="000000" w:fill="FFFFFF"/>
            <w:vAlign w:val="bottom"/>
            <w:hideMark/>
          </w:tcPr>
          <w:p w14:paraId="4AFBBC3A" w14:textId="77777777" w:rsidR="00324D24" w:rsidRPr="00517ECD" w:rsidRDefault="00324D24" w:rsidP="008B6F9B">
            <w:pPr>
              <w:spacing w:after="0" w:line="240" w:lineRule="auto"/>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Araripina</w:t>
            </w:r>
          </w:p>
        </w:tc>
        <w:tc>
          <w:tcPr>
            <w:tcW w:w="567" w:type="dxa"/>
            <w:tcBorders>
              <w:top w:val="single" w:sz="8" w:space="0" w:color="auto"/>
              <w:left w:val="single" w:sz="8" w:space="0" w:color="auto"/>
            </w:tcBorders>
            <w:shd w:val="clear" w:color="auto" w:fill="auto"/>
            <w:noWrap/>
            <w:vAlign w:val="bottom"/>
            <w:hideMark/>
          </w:tcPr>
          <w:p w14:paraId="3670DCE8" w14:textId="77777777" w:rsidR="00324D24" w:rsidRPr="006B33F0"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6B33F0">
              <w:rPr>
                <w:rFonts w:ascii="Times New Roman" w:eastAsia="Times New Roman" w:hAnsi="Times New Roman" w:cs="Times New Roman"/>
                <w:b/>
                <w:bCs/>
                <w:color w:val="000000"/>
                <w:sz w:val="20"/>
                <w:szCs w:val="20"/>
                <w:lang w:eastAsia="pt-BR"/>
              </w:rPr>
              <w:t>1,45</w:t>
            </w:r>
          </w:p>
        </w:tc>
        <w:tc>
          <w:tcPr>
            <w:tcW w:w="540" w:type="dxa"/>
            <w:tcBorders>
              <w:top w:val="single" w:sz="8" w:space="0" w:color="auto"/>
              <w:right w:val="single" w:sz="8" w:space="0" w:color="auto"/>
            </w:tcBorders>
            <w:shd w:val="clear" w:color="auto" w:fill="auto"/>
            <w:noWrap/>
            <w:vAlign w:val="bottom"/>
            <w:hideMark/>
          </w:tcPr>
          <w:p w14:paraId="22D76FF9" w14:textId="77777777" w:rsidR="00324D24" w:rsidRPr="006B33F0"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6B33F0">
              <w:rPr>
                <w:rFonts w:ascii="Times New Roman" w:eastAsia="Times New Roman" w:hAnsi="Times New Roman" w:cs="Times New Roman"/>
                <w:b/>
                <w:bCs/>
                <w:color w:val="000000"/>
                <w:sz w:val="20"/>
                <w:szCs w:val="20"/>
                <w:lang w:eastAsia="pt-BR"/>
              </w:rPr>
              <w:t>1,08</w:t>
            </w:r>
          </w:p>
        </w:tc>
        <w:tc>
          <w:tcPr>
            <w:tcW w:w="736" w:type="dxa"/>
            <w:tcBorders>
              <w:top w:val="single" w:sz="8" w:space="0" w:color="auto"/>
              <w:left w:val="single" w:sz="8" w:space="0" w:color="auto"/>
            </w:tcBorders>
            <w:shd w:val="clear" w:color="auto" w:fill="auto"/>
            <w:noWrap/>
            <w:vAlign w:val="bottom"/>
            <w:hideMark/>
          </w:tcPr>
          <w:p w14:paraId="3DEF6612"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0,22</w:t>
            </w:r>
          </w:p>
        </w:tc>
        <w:tc>
          <w:tcPr>
            <w:tcW w:w="851" w:type="dxa"/>
            <w:tcBorders>
              <w:top w:val="single" w:sz="8" w:space="0" w:color="auto"/>
              <w:right w:val="single" w:sz="8" w:space="0" w:color="auto"/>
            </w:tcBorders>
            <w:shd w:val="clear" w:color="auto" w:fill="auto"/>
            <w:noWrap/>
            <w:vAlign w:val="bottom"/>
            <w:hideMark/>
          </w:tcPr>
          <w:p w14:paraId="242B8660"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0,44</w:t>
            </w:r>
          </w:p>
        </w:tc>
        <w:tc>
          <w:tcPr>
            <w:tcW w:w="708" w:type="dxa"/>
            <w:tcBorders>
              <w:top w:val="single" w:sz="8" w:space="0" w:color="auto"/>
              <w:left w:val="single" w:sz="8" w:space="0" w:color="auto"/>
            </w:tcBorders>
            <w:shd w:val="clear" w:color="auto" w:fill="auto"/>
            <w:noWrap/>
            <w:vAlign w:val="bottom"/>
            <w:hideMark/>
          </w:tcPr>
          <w:p w14:paraId="34CECF71"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0,86</w:t>
            </w:r>
          </w:p>
        </w:tc>
        <w:tc>
          <w:tcPr>
            <w:tcW w:w="567" w:type="dxa"/>
            <w:tcBorders>
              <w:top w:val="single" w:sz="8" w:space="0" w:color="auto"/>
              <w:right w:val="single" w:sz="8" w:space="0" w:color="auto"/>
            </w:tcBorders>
            <w:shd w:val="clear" w:color="auto" w:fill="auto"/>
            <w:noWrap/>
            <w:vAlign w:val="bottom"/>
            <w:hideMark/>
          </w:tcPr>
          <w:p w14:paraId="7CF8EF39"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1,00</w:t>
            </w:r>
          </w:p>
        </w:tc>
        <w:tc>
          <w:tcPr>
            <w:tcW w:w="567" w:type="dxa"/>
            <w:tcBorders>
              <w:top w:val="single" w:sz="8" w:space="0" w:color="auto"/>
              <w:left w:val="single" w:sz="8" w:space="0" w:color="auto"/>
            </w:tcBorders>
            <w:shd w:val="clear" w:color="auto" w:fill="auto"/>
            <w:noWrap/>
            <w:vAlign w:val="bottom"/>
            <w:hideMark/>
          </w:tcPr>
          <w:p w14:paraId="74FE615A"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1,09</w:t>
            </w:r>
          </w:p>
        </w:tc>
        <w:tc>
          <w:tcPr>
            <w:tcW w:w="567" w:type="dxa"/>
            <w:tcBorders>
              <w:top w:val="single" w:sz="8" w:space="0" w:color="auto"/>
              <w:right w:val="single" w:sz="8" w:space="0" w:color="auto"/>
            </w:tcBorders>
            <w:shd w:val="clear" w:color="auto" w:fill="auto"/>
            <w:noWrap/>
            <w:vAlign w:val="bottom"/>
            <w:hideMark/>
          </w:tcPr>
          <w:p w14:paraId="5DE9BF71"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1,06</w:t>
            </w:r>
          </w:p>
        </w:tc>
        <w:tc>
          <w:tcPr>
            <w:tcW w:w="709" w:type="dxa"/>
            <w:tcBorders>
              <w:top w:val="single" w:sz="8" w:space="0" w:color="auto"/>
              <w:left w:val="single" w:sz="8" w:space="0" w:color="auto"/>
            </w:tcBorders>
            <w:shd w:val="clear" w:color="auto" w:fill="auto"/>
            <w:noWrap/>
            <w:vAlign w:val="bottom"/>
            <w:hideMark/>
          </w:tcPr>
          <w:p w14:paraId="6B6234BB"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0,05</w:t>
            </w:r>
          </w:p>
        </w:tc>
        <w:tc>
          <w:tcPr>
            <w:tcW w:w="851" w:type="dxa"/>
            <w:tcBorders>
              <w:top w:val="single" w:sz="8" w:space="0" w:color="auto"/>
            </w:tcBorders>
            <w:shd w:val="clear" w:color="auto" w:fill="auto"/>
            <w:noWrap/>
            <w:vAlign w:val="bottom"/>
            <w:hideMark/>
          </w:tcPr>
          <w:p w14:paraId="318DCC3E"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0,10</w:t>
            </w:r>
          </w:p>
        </w:tc>
      </w:tr>
      <w:tr w:rsidR="00324D24" w:rsidRPr="00517ECD" w14:paraId="7BD2AA97" w14:textId="77777777" w:rsidTr="00635E50">
        <w:trPr>
          <w:trHeight w:val="310"/>
        </w:trPr>
        <w:tc>
          <w:tcPr>
            <w:tcW w:w="2268" w:type="dxa"/>
            <w:tcBorders>
              <w:right w:val="single" w:sz="8" w:space="0" w:color="auto"/>
            </w:tcBorders>
            <w:shd w:val="clear" w:color="000000" w:fill="FFFFFF"/>
            <w:vAlign w:val="bottom"/>
            <w:hideMark/>
          </w:tcPr>
          <w:p w14:paraId="037B2EFC" w14:textId="77777777" w:rsidR="00324D24" w:rsidRPr="00517ECD" w:rsidRDefault="00324D24" w:rsidP="008B6F9B">
            <w:pPr>
              <w:spacing w:after="0" w:line="240" w:lineRule="auto"/>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Salgueiro</w:t>
            </w:r>
          </w:p>
        </w:tc>
        <w:tc>
          <w:tcPr>
            <w:tcW w:w="567" w:type="dxa"/>
            <w:tcBorders>
              <w:left w:val="single" w:sz="8" w:space="0" w:color="auto"/>
            </w:tcBorders>
            <w:shd w:val="clear" w:color="auto" w:fill="auto"/>
            <w:noWrap/>
            <w:vAlign w:val="bottom"/>
            <w:hideMark/>
          </w:tcPr>
          <w:p w14:paraId="27C62562"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0,13</w:t>
            </w:r>
          </w:p>
        </w:tc>
        <w:tc>
          <w:tcPr>
            <w:tcW w:w="540" w:type="dxa"/>
            <w:tcBorders>
              <w:right w:val="single" w:sz="8" w:space="0" w:color="auto"/>
            </w:tcBorders>
            <w:shd w:val="clear" w:color="auto" w:fill="auto"/>
            <w:noWrap/>
            <w:vAlign w:val="bottom"/>
            <w:hideMark/>
          </w:tcPr>
          <w:p w14:paraId="7794DE0A"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0,33</w:t>
            </w:r>
          </w:p>
        </w:tc>
        <w:tc>
          <w:tcPr>
            <w:tcW w:w="736" w:type="dxa"/>
            <w:tcBorders>
              <w:left w:val="single" w:sz="8" w:space="0" w:color="auto"/>
            </w:tcBorders>
            <w:shd w:val="clear" w:color="auto" w:fill="auto"/>
            <w:noWrap/>
            <w:vAlign w:val="bottom"/>
            <w:hideMark/>
          </w:tcPr>
          <w:p w14:paraId="251723BD" w14:textId="77777777" w:rsidR="00324D24" w:rsidRPr="006B33F0"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6B33F0">
              <w:rPr>
                <w:rFonts w:ascii="Times New Roman" w:eastAsia="Times New Roman" w:hAnsi="Times New Roman" w:cs="Times New Roman"/>
                <w:b/>
                <w:bCs/>
                <w:color w:val="000000"/>
                <w:sz w:val="20"/>
                <w:szCs w:val="20"/>
                <w:lang w:eastAsia="pt-BR"/>
              </w:rPr>
              <w:t>6,03</w:t>
            </w:r>
          </w:p>
        </w:tc>
        <w:tc>
          <w:tcPr>
            <w:tcW w:w="851" w:type="dxa"/>
            <w:tcBorders>
              <w:right w:val="single" w:sz="8" w:space="0" w:color="auto"/>
            </w:tcBorders>
            <w:shd w:val="clear" w:color="auto" w:fill="auto"/>
            <w:noWrap/>
            <w:vAlign w:val="bottom"/>
            <w:hideMark/>
          </w:tcPr>
          <w:p w14:paraId="03C2D81D" w14:textId="77777777" w:rsidR="00324D24" w:rsidRPr="006B33F0"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6B33F0">
              <w:rPr>
                <w:rFonts w:ascii="Times New Roman" w:eastAsia="Times New Roman" w:hAnsi="Times New Roman" w:cs="Times New Roman"/>
                <w:b/>
                <w:bCs/>
                <w:color w:val="000000"/>
                <w:sz w:val="20"/>
                <w:szCs w:val="20"/>
                <w:lang w:eastAsia="pt-BR"/>
              </w:rPr>
              <w:t>2,12</w:t>
            </w:r>
          </w:p>
        </w:tc>
        <w:tc>
          <w:tcPr>
            <w:tcW w:w="708" w:type="dxa"/>
            <w:tcBorders>
              <w:left w:val="single" w:sz="8" w:space="0" w:color="auto"/>
            </w:tcBorders>
            <w:shd w:val="clear" w:color="auto" w:fill="auto"/>
            <w:noWrap/>
            <w:vAlign w:val="bottom"/>
            <w:hideMark/>
          </w:tcPr>
          <w:p w14:paraId="64E98AD4"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0,69</w:t>
            </w:r>
          </w:p>
        </w:tc>
        <w:tc>
          <w:tcPr>
            <w:tcW w:w="567" w:type="dxa"/>
            <w:tcBorders>
              <w:right w:val="single" w:sz="8" w:space="0" w:color="auto"/>
            </w:tcBorders>
            <w:shd w:val="clear" w:color="auto" w:fill="auto"/>
            <w:noWrap/>
            <w:vAlign w:val="bottom"/>
            <w:hideMark/>
          </w:tcPr>
          <w:p w14:paraId="6E7FCCFE"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1,27</w:t>
            </w:r>
          </w:p>
        </w:tc>
        <w:tc>
          <w:tcPr>
            <w:tcW w:w="567" w:type="dxa"/>
            <w:tcBorders>
              <w:left w:val="single" w:sz="8" w:space="0" w:color="auto"/>
            </w:tcBorders>
            <w:shd w:val="clear" w:color="auto" w:fill="auto"/>
            <w:noWrap/>
            <w:vAlign w:val="bottom"/>
            <w:hideMark/>
          </w:tcPr>
          <w:p w14:paraId="37E80E48"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0,67</w:t>
            </w:r>
          </w:p>
        </w:tc>
        <w:tc>
          <w:tcPr>
            <w:tcW w:w="567" w:type="dxa"/>
            <w:tcBorders>
              <w:right w:val="single" w:sz="8" w:space="0" w:color="auto"/>
            </w:tcBorders>
            <w:shd w:val="clear" w:color="auto" w:fill="auto"/>
            <w:noWrap/>
            <w:vAlign w:val="bottom"/>
            <w:hideMark/>
          </w:tcPr>
          <w:p w14:paraId="5C78AA1C"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1,05</w:t>
            </w:r>
          </w:p>
        </w:tc>
        <w:tc>
          <w:tcPr>
            <w:tcW w:w="709" w:type="dxa"/>
            <w:tcBorders>
              <w:left w:val="single" w:sz="8" w:space="0" w:color="auto"/>
            </w:tcBorders>
            <w:shd w:val="clear" w:color="auto" w:fill="auto"/>
            <w:noWrap/>
            <w:vAlign w:val="bottom"/>
            <w:hideMark/>
          </w:tcPr>
          <w:p w14:paraId="1C22D8BA"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0,09</w:t>
            </w:r>
          </w:p>
        </w:tc>
        <w:tc>
          <w:tcPr>
            <w:tcW w:w="851" w:type="dxa"/>
            <w:shd w:val="clear" w:color="auto" w:fill="auto"/>
            <w:noWrap/>
            <w:vAlign w:val="bottom"/>
            <w:hideMark/>
          </w:tcPr>
          <w:p w14:paraId="7FE12844"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0,12</w:t>
            </w:r>
          </w:p>
        </w:tc>
      </w:tr>
      <w:tr w:rsidR="00324D24" w:rsidRPr="00517ECD" w14:paraId="6C8E39F4" w14:textId="77777777" w:rsidTr="00635E50">
        <w:trPr>
          <w:trHeight w:val="310"/>
        </w:trPr>
        <w:tc>
          <w:tcPr>
            <w:tcW w:w="2268" w:type="dxa"/>
            <w:tcBorders>
              <w:right w:val="single" w:sz="8" w:space="0" w:color="auto"/>
            </w:tcBorders>
            <w:shd w:val="clear" w:color="000000" w:fill="FFFFFF"/>
            <w:vAlign w:val="bottom"/>
            <w:hideMark/>
          </w:tcPr>
          <w:p w14:paraId="5BE766A7" w14:textId="77777777" w:rsidR="00324D24" w:rsidRPr="00517ECD" w:rsidRDefault="00324D24" w:rsidP="008B6F9B">
            <w:pPr>
              <w:spacing w:after="0" w:line="240" w:lineRule="auto"/>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Pajeú</w:t>
            </w:r>
          </w:p>
        </w:tc>
        <w:tc>
          <w:tcPr>
            <w:tcW w:w="567" w:type="dxa"/>
            <w:tcBorders>
              <w:left w:val="single" w:sz="8" w:space="0" w:color="auto"/>
            </w:tcBorders>
            <w:shd w:val="clear" w:color="auto" w:fill="auto"/>
            <w:noWrap/>
            <w:vAlign w:val="bottom"/>
            <w:hideMark/>
          </w:tcPr>
          <w:p w14:paraId="575A01FD"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0,46</w:t>
            </w:r>
          </w:p>
        </w:tc>
        <w:tc>
          <w:tcPr>
            <w:tcW w:w="540" w:type="dxa"/>
            <w:tcBorders>
              <w:right w:val="single" w:sz="8" w:space="0" w:color="auto"/>
            </w:tcBorders>
            <w:shd w:val="clear" w:color="auto" w:fill="auto"/>
            <w:noWrap/>
            <w:vAlign w:val="bottom"/>
            <w:hideMark/>
          </w:tcPr>
          <w:p w14:paraId="330B2146"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0,48</w:t>
            </w:r>
          </w:p>
        </w:tc>
        <w:tc>
          <w:tcPr>
            <w:tcW w:w="736" w:type="dxa"/>
            <w:tcBorders>
              <w:left w:val="single" w:sz="8" w:space="0" w:color="auto"/>
            </w:tcBorders>
            <w:shd w:val="clear" w:color="auto" w:fill="auto"/>
            <w:noWrap/>
            <w:vAlign w:val="bottom"/>
            <w:hideMark/>
          </w:tcPr>
          <w:p w14:paraId="4D085684"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0,63</w:t>
            </w:r>
          </w:p>
        </w:tc>
        <w:tc>
          <w:tcPr>
            <w:tcW w:w="851" w:type="dxa"/>
            <w:tcBorders>
              <w:right w:val="single" w:sz="8" w:space="0" w:color="auto"/>
            </w:tcBorders>
            <w:shd w:val="clear" w:color="auto" w:fill="auto"/>
            <w:noWrap/>
            <w:vAlign w:val="bottom"/>
            <w:hideMark/>
          </w:tcPr>
          <w:p w14:paraId="53EBE8DC"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1,09</w:t>
            </w:r>
          </w:p>
        </w:tc>
        <w:tc>
          <w:tcPr>
            <w:tcW w:w="708" w:type="dxa"/>
            <w:tcBorders>
              <w:left w:val="single" w:sz="8" w:space="0" w:color="auto"/>
            </w:tcBorders>
            <w:shd w:val="clear" w:color="auto" w:fill="auto"/>
            <w:noWrap/>
            <w:vAlign w:val="bottom"/>
            <w:hideMark/>
          </w:tcPr>
          <w:p w14:paraId="1C5110C6"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1,54</w:t>
            </w:r>
          </w:p>
        </w:tc>
        <w:tc>
          <w:tcPr>
            <w:tcW w:w="567" w:type="dxa"/>
            <w:tcBorders>
              <w:right w:val="single" w:sz="8" w:space="0" w:color="auto"/>
            </w:tcBorders>
            <w:shd w:val="clear" w:color="auto" w:fill="auto"/>
            <w:noWrap/>
            <w:vAlign w:val="bottom"/>
            <w:hideMark/>
          </w:tcPr>
          <w:p w14:paraId="6CFD2F07"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1,39</w:t>
            </w:r>
          </w:p>
        </w:tc>
        <w:tc>
          <w:tcPr>
            <w:tcW w:w="567" w:type="dxa"/>
            <w:tcBorders>
              <w:left w:val="single" w:sz="8" w:space="0" w:color="auto"/>
            </w:tcBorders>
            <w:shd w:val="clear" w:color="auto" w:fill="auto"/>
            <w:noWrap/>
            <w:vAlign w:val="bottom"/>
            <w:hideMark/>
          </w:tcPr>
          <w:p w14:paraId="48021B19"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1,06</w:t>
            </w:r>
          </w:p>
        </w:tc>
        <w:tc>
          <w:tcPr>
            <w:tcW w:w="567" w:type="dxa"/>
            <w:tcBorders>
              <w:right w:val="single" w:sz="8" w:space="0" w:color="auto"/>
            </w:tcBorders>
            <w:shd w:val="clear" w:color="auto" w:fill="auto"/>
            <w:noWrap/>
            <w:vAlign w:val="bottom"/>
            <w:hideMark/>
          </w:tcPr>
          <w:p w14:paraId="13D67C28"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1,03</w:t>
            </w:r>
          </w:p>
        </w:tc>
        <w:tc>
          <w:tcPr>
            <w:tcW w:w="709" w:type="dxa"/>
            <w:tcBorders>
              <w:left w:val="single" w:sz="8" w:space="0" w:color="auto"/>
            </w:tcBorders>
            <w:shd w:val="clear" w:color="auto" w:fill="auto"/>
            <w:noWrap/>
            <w:vAlign w:val="bottom"/>
            <w:hideMark/>
          </w:tcPr>
          <w:p w14:paraId="2665B77D"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0,51</w:t>
            </w:r>
          </w:p>
        </w:tc>
        <w:tc>
          <w:tcPr>
            <w:tcW w:w="851" w:type="dxa"/>
            <w:shd w:val="clear" w:color="auto" w:fill="auto"/>
            <w:noWrap/>
            <w:vAlign w:val="bottom"/>
            <w:hideMark/>
          </w:tcPr>
          <w:p w14:paraId="273D0FA7"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0,38</w:t>
            </w:r>
          </w:p>
        </w:tc>
      </w:tr>
      <w:tr w:rsidR="00324D24" w:rsidRPr="00517ECD" w14:paraId="010988A9" w14:textId="77777777" w:rsidTr="00635E50">
        <w:trPr>
          <w:trHeight w:val="310"/>
        </w:trPr>
        <w:tc>
          <w:tcPr>
            <w:tcW w:w="2268" w:type="dxa"/>
            <w:tcBorders>
              <w:right w:val="single" w:sz="8" w:space="0" w:color="auto"/>
            </w:tcBorders>
            <w:shd w:val="clear" w:color="000000" w:fill="FFFFFF"/>
            <w:vAlign w:val="bottom"/>
            <w:hideMark/>
          </w:tcPr>
          <w:p w14:paraId="27524000" w14:textId="77777777" w:rsidR="00324D24" w:rsidRPr="00517ECD" w:rsidRDefault="00324D24" w:rsidP="008B6F9B">
            <w:pPr>
              <w:spacing w:after="0" w:line="240" w:lineRule="auto"/>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Sertão do Moxotó</w:t>
            </w:r>
          </w:p>
        </w:tc>
        <w:tc>
          <w:tcPr>
            <w:tcW w:w="567" w:type="dxa"/>
            <w:tcBorders>
              <w:left w:val="single" w:sz="8" w:space="0" w:color="auto"/>
            </w:tcBorders>
            <w:shd w:val="clear" w:color="auto" w:fill="auto"/>
            <w:noWrap/>
            <w:vAlign w:val="bottom"/>
            <w:hideMark/>
          </w:tcPr>
          <w:p w14:paraId="196E0B4E"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0,46</w:t>
            </w:r>
          </w:p>
        </w:tc>
        <w:tc>
          <w:tcPr>
            <w:tcW w:w="540" w:type="dxa"/>
            <w:tcBorders>
              <w:right w:val="single" w:sz="8" w:space="0" w:color="auto"/>
            </w:tcBorders>
            <w:shd w:val="clear" w:color="auto" w:fill="auto"/>
            <w:noWrap/>
            <w:vAlign w:val="bottom"/>
            <w:hideMark/>
          </w:tcPr>
          <w:p w14:paraId="2DB477DE"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0,65</w:t>
            </w:r>
          </w:p>
        </w:tc>
        <w:tc>
          <w:tcPr>
            <w:tcW w:w="736" w:type="dxa"/>
            <w:tcBorders>
              <w:left w:val="single" w:sz="8" w:space="0" w:color="auto"/>
            </w:tcBorders>
            <w:shd w:val="clear" w:color="auto" w:fill="auto"/>
            <w:noWrap/>
            <w:vAlign w:val="bottom"/>
            <w:hideMark/>
          </w:tcPr>
          <w:p w14:paraId="7F6752E4"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1,01</w:t>
            </w:r>
          </w:p>
        </w:tc>
        <w:tc>
          <w:tcPr>
            <w:tcW w:w="851" w:type="dxa"/>
            <w:tcBorders>
              <w:right w:val="single" w:sz="8" w:space="0" w:color="auto"/>
            </w:tcBorders>
            <w:shd w:val="clear" w:color="auto" w:fill="auto"/>
            <w:noWrap/>
            <w:vAlign w:val="bottom"/>
            <w:hideMark/>
          </w:tcPr>
          <w:p w14:paraId="39E3ED77"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4,07</w:t>
            </w:r>
          </w:p>
        </w:tc>
        <w:tc>
          <w:tcPr>
            <w:tcW w:w="708" w:type="dxa"/>
            <w:tcBorders>
              <w:left w:val="single" w:sz="8" w:space="0" w:color="auto"/>
            </w:tcBorders>
            <w:shd w:val="clear" w:color="auto" w:fill="auto"/>
            <w:noWrap/>
            <w:vAlign w:val="bottom"/>
            <w:hideMark/>
          </w:tcPr>
          <w:p w14:paraId="7819B2C9"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1,26</w:t>
            </w:r>
          </w:p>
        </w:tc>
        <w:tc>
          <w:tcPr>
            <w:tcW w:w="567" w:type="dxa"/>
            <w:tcBorders>
              <w:right w:val="single" w:sz="8" w:space="0" w:color="auto"/>
            </w:tcBorders>
            <w:shd w:val="clear" w:color="auto" w:fill="auto"/>
            <w:noWrap/>
            <w:vAlign w:val="bottom"/>
            <w:hideMark/>
          </w:tcPr>
          <w:p w14:paraId="0CECD0F1"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1,18</w:t>
            </w:r>
          </w:p>
        </w:tc>
        <w:tc>
          <w:tcPr>
            <w:tcW w:w="567" w:type="dxa"/>
            <w:tcBorders>
              <w:left w:val="single" w:sz="8" w:space="0" w:color="auto"/>
            </w:tcBorders>
            <w:shd w:val="clear" w:color="auto" w:fill="auto"/>
            <w:noWrap/>
            <w:vAlign w:val="bottom"/>
            <w:hideMark/>
          </w:tcPr>
          <w:p w14:paraId="74187435"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1,10</w:t>
            </w:r>
          </w:p>
        </w:tc>
        <w:tc>
          <w:tcPr>
            <w:tcW w:w="567" w:type="dxa"/>
            <w:tcBorders>
              <w:right w:val="single" w:sz="8" w:space="0" w:color="auto"/>
            </w:tcBorders>
            <w:shd w:val="clear" w:color="auto" w:fill="auto"/>
            <w:noWrap/>
            <w:vAlign w:val="bottom"/>
            <w:hideMark/>
          </w:tcPr>
          <w:p w14:paraId="692EFA1B"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0,87</w:t>
            </w:r>
          </w:p>
        </w:tc>
        <w:tc>
          <w:tcPr>
            <w:tcW w:w="709" w:type="dxa"/>
            <w:tcBorders>
              <w:left w:val="single" w:sz="8" w:space="0" w:color="auto"/>
            </w:tcBorders>
            <w:shd w:val="clear" w:color="auto" w:fill="auto"/>
            <w:noWrap/>
            <w:vAlign w:val="bottom"/>
            <w:hideMark/>
          </w:tcPr>
          <w:p w14:paraId="4A3DCA87"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0,51</w:t>
            </w:r>
          </w:p>
        </w:tc>
        <w:tc>
          <w:tcPr>
            <w:tcW w:w="851" w:type="dxa"/>
            <w:shd w:val="clear" w:color="auto" w:fill="auto"/>
            <w:noWrap/>
            <w:vAlign w:val="bottom"/>
            <w:hideMark/>
          </w:tcPr>
          <w:p w14:paraId="3F8F8C63"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0,63</w:t>
            </w:r>
          </w:p>
        </w:tc>
      </w:tr>
      <w:tr w:rsidR="00324D24" w:rsidRPr="00517ECD" w14:paraId="6EAC5C53" w14:textId="77777777" w:rsidTr="00635E50">
        <w:trPr>
          <w:trHeight w:val="310"/>
        </w:trPr>
        <w:tc>
          <w:tcPr>
            <w:tcW w:w="2268" w:type="dxa"/>
            <w:tcBorders>
              <w:right w:val="single" w:sz="8" w:space="0" w:color="auto"/>
            </w:tcBorders>
            <w:shd w:val="clear" w:color="000000" w:fill="FFFFFF"/>
            <w:vAlign w:val="bottom"/>
            <w:hideMark/>
          </w:tcPr>
          <w:p w14:paraId="65CC74F0" w14:textId="77777777" w:rsidR="00324D24" w:rsidRPr="00517ECD" w:rsidRDefault="00324D24" w:rsidP="008B6F9B">
            <w:pPr>
              <w:spacing w:after="0" w:line="240" w:lineRule="auto"/>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Petrolina</w:t>
            </w:r>
          </w:p>
        </w:tc>
        <w:tc>
          <w:tcPr>
            <w:tcW w:w="567" w:type="dxa"/>
            <w:tcBorders>
              <w:left w:val="single" w:sz="8" w:space="0" w:color="auto"/>
            </w:tcBorders>
            <w:shd w:val="clear" w:color="auto" w:fill="auto"/>
            <w:noWrap/>
            <w:vAlign w:val="bottom"/>
            <w:hideMark/>
          </w:tcPr>
          <w:p w14:paraId="6FAF0835"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0,42</w:t>
            </w:r>
          </w:p>
        </w:tc>
        <w:tc>
          <w:tcPr>
            <w:tcW w:w="540" w:type="dxa"/>
            <w:tcBorders>
              <w:right w:val="single" w:sz="8" w:space="0" w:color="auto"/>
            </w:tcBorders>
            <w:shd w:val="clear" w:color="auto" w:fill="auto"/>
            <w:noWrap/>
            <w:vAlign w:val="bottom"/>
            <w:hideMark/>
          </w:tcPr>
          <w:p w14:paraId="28DAC993"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0,38</w:t>
            </w:r>
          </w:p>
        </w:tc>
        <w:tc>
          <w:tcPr>
            <w:tcW w:w="736" w:type="dxa"/>
            <w:tcBorders>
              <w:left w:val="single" w:sz="8" w:space="0" w:color="auto"/>
            </w:tcBorders>
            <w:shd w:val="clear" w:color="auto" w:fill="auto"/>
            <w:noWrap/>
            <w:vAlign w:val="bottom"/>
            <w:hideMark/>
          </w:tcPr>
          <w:p w14:paraId="6C73CAAA"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1,16</w:t>
            </w:r>
          </w:p>
        </w:tc>
        <w:tc>
          <w:tcPr>
            <w:tcW w:w="851" w:type="dxa"/>
            <w:tcBorders>
              <w:right w:val="single" w:sz="8" w:space="0" w:color="auto"/>
            </w:tcBorders>
            <w:shd w:val="clear" w:color="auto" w:fill="auto"/>
            <w:noWrap/>
            <w:vAlign w:val="bottom"/>
            <w:hideMark/>
          </w:tcPr>
          <w:p w14:paraId="3132D9CA"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0,88</w:t>
            </w:r>
          </w:p>
        </w:tc>
        <w:tc>
          <w:tcPr>
            <w:tcW w:w="708" w:type="dxa"/>
            <w:tcBorders>
              <w:left w:val="single" w:sz="8" w:space="0" w:color="auto"/>
            </w:tcBorders>
            <w:shd w:val="clear" w:color="auto" w:fill="auto"/>
            <w:noWrap/>
            <w:vAlign w:val="bottom"/>
            <w:hideMark/>
          </w:tcPr>
          <w:p w14:paraId="06D9E1F1"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1,36</w:t>
            </w:r>
          </w:p>
        </w:tc>
        <w:tc>
          <w:tcPr>
            <w:tcW w:w="567" w:type="dxa"/>
            <w:tcBorders>
              <w:right w:val="single" w:sz="8" w:space="0" w:color="auto"/>
            </w:tcBorders>
            <w:shd w:val="clear" w:color="auto" w:fill="auto"/>
            <w:noWrap/>
            <w:vAlign w:val="bottom"/>
            <w:hideMark/>
          </w:tcPr>
          <w:p w14:paraId="6FBD9FEF"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1,11</w:t>
            </w:r>
          </w:p>
        </w:tc>
        <w:tc>
          <w:tcPr>
            <w:tcW w:w="567" w:type="dxa"/>
            <w:tcBorders>
              <w:left w:val="single" w:sz="8" w:space="0" w:color="auto"/>
            </w:tcBorders>
            <w:shd w:val="clear" w:color="auto" w:fill="auto"/>
            <w:noWrap/>
            <w:vAlign w:val="bottom"/>
            <w:hideMark/>
          </w:tcPr>
          <w:p w14:paraId="58AD754E"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0,75</w:t>
            </w:r>
          </w:p>
        </w:tc>
        <w:tc>
          <w:tcPr>
            <w:tcW w:w="567" w:type="dxa"/>
            <w:tcBorders>
              <w:right w:val="single" w:sz="8" w:space="0" w:color="auto"/>
            </w:tcBorders>
            <w:shd w:val="clear" w:color="auto" w:fill="auto"/>
            <w:noWrap/>
            <w:vAlign w:val="bottom"/>
            <w:hideMark/>
          </w:tcPr>
          <w:p w14:paraId="117A1751"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0,78</w:t>
            </w:r>
          </w:p>
        </w:tc>
        <w:tc>
          <w:tcPr>
            <w:tcW w:w="709" w:type="dxa"/>
            <w:tcBorders>
              <w:left w:val="single" w:sz="8" w:space="0" w:color="auto"/>
            </w:tcBorders>
            <w:shd w:val="clear" w:color="auto" w:fill="auto"/>
            <w:noWrap/>
            <w:vAlign w:val="bottom"/>
            <w:hideMark/>
          </w:tcPr>
          <w:p w14:paraId="13DD3A12"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5,69</w:t>
            </w:r>
          </w:p>
        </w:tc>
        <w:tc>
          <w:tcPr>
            <w:tcW w:w="851" w:type="dxa"/>
            <w:shd w:val="clear" w:color="auto" w:fill="auto"/>
            <w:noWrap/>
            <w:vAlign w:val="bottom"/>
            <w:hideMark/>
          </w:tcPr>
          <w:p w14:paraId="29098E7F"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7,51</w:t>
            </w:r>
          </w:p>
        </w:tc>
      </w:tr>
      <w:tr w:rsidR="00324D24" w:rsidRPr="00517ECD" w14:paraId="25743532" w14:textId="77777777" w:rsidTr="00635E50">
        <w:trPr>
          <w:trHeight w:val="310"/>
        </w:trPr>
        <w:tc>
          <w:tcPr>
            <w:tcW w:w="2268" w:type="dxa"/>
            <w:tcBorders>
              <w:right w:val="single" w:sz="8" w:space="0" w:color="auto"/>
            </w:tcBorders>
            <w:shd w:val="clear" w:color="000000" w:fill="FFFFFF"/>
            <w:vAlign w:val="bottom"/>
            <w:hideMark/>
          </w:tcPr>
          <w:p w14:paraId="655ED336" w14:textId="77777777" w:rsidR="00324D24" w:rsidRPr="00517ECD" w:rsidRDefault="00324D24" w:rsidP="008B6F9B">
            <w:pPr>
              <w:spacing w:after="0" w:line="240" w:lineRule="auto"/>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Itaparica</w:t>
            </w:r>
          </w:p>
        </w:tc>
        <w:tc>
          <w:tcPr>
            <w:tcW w:w="567" w:type="dxa"/>
            <w:tcBorders>
              <w:left w:val="single" w:sz="8" w:space="0" w:color="auto"/>
            </w:tcBorders>
            <w:shd w:val="clear" w:color="auto" w:fill="auto"/>
            <w:noWrap/>
            <w:vAlign w:val="bottom"/>
            <w:hideMark/>
          </w:tcPr>
          <w:p w14:paraId="01D9B096"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0,28</w:t>
            </w:r>
          </w:p>
        </w:tc>
        <w:tc>
          <w:tcPr>
            <w:tcW w:w="540" w:type="dxa"/>
            <w:tcBorders>
              <w:right w:val="single" w:sz="8" w:space="0" w:color="auto"/>
            </w:tcBorders>
            <w:shd w:val="clear" w:color="auto" w:fill="auto"/>
            <w:noWrap/>
            <w:vAlign w:val="bottom"/>
            <w:hideMark/>
          </w:tcPr>
          <w:p w14:paraId="17582889"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0,31</w:t>
            </w:r>
          </w:p>
        </w:tc>
        <w:tc>
          <w:tcPr>
            <w:tcW w:w="736" w:type="dxa"/>
            <w:tcBorders>
              <w:left w:val="single" w:sz="8" w:space="0" w:color="auto"/>
            </w:tcBorders>
            <w:shd w:val="clear" w:color="auto" w:fill="auto"/>
            <w:noWrap/>
            <w:vAlign w:val="bottom"/>
            <w:hideMark/>
          </w:tcPr>
          <w:p w14:paraId="2C17D289"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0,47</w:t>
            </w:r>
          </w:p>
        </w:tc>
        <w:tc>
          <w:tcPr>
            <w:tcW w:w="851" w:type="dxa"/>
            <w:tcBorders>
              <w:right w:val="single" w:sz="8" w:space="0" w:color="auto"/>
            </w:tcBorders>
            <w:shd w:val="clear" w:color="auto" w:fill="auto"/>
            <w:noWrap/>
            <w:vAlign w:val="bottom"/>
            <w:hideMark/>
          </w:tcPr>
          <w:p w14:paraId="28F4962E"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0,12</w:t>
            </w:r>
          </w:p>
        </w:tc>
        <w:tc>
          <w:tcPr>
            <w:tcW w:w="708" w:type="dxa"/>
            <w:tcBorders>
              <w:left w:val="single" w:sz="8" w:space="0" w:color="auto"/>
            </w:tcBorders>
            <w:shd w:val="clear" w:color="auto" w:fill="auto"/>
            <w:noWrap/>
            <w:vAlign w:val="bottom"/>
            <w:hideMark/>
          </w:tcPr>
          <w:p w14:paraId="4A323655"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1,26</w:t>
            </w:r>
          </w:p>
        </w:tc>
        <w:tc>
          <w:tcPr>
            <w:tcW w:w="567" w:type="dxa"/>
            <w:tcBorders>
              <w:right w:val="single" w:sz="8" w:space="0" w:color="auto"/>
            </w:tcBorders>
            <w:shd w:val="clear" w:color="auto" w:fill="auto"/>
            <w:noWrap/>
            <w:vAlign w:val="bottom"/>
            <w:hideMark/>
          </w:tcPr>
          <w:p w14:paraId="035B29A2"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1,15</w:t>
            </w:r>
          </w:p>
        </w:tc>
        <w:tc>
          <w:tcPr>
            <w:tcW w:w="567" w:type="dxa"/>
            <w:tcBorders>
              <w:left w:val="single" w:sz="8" w:space="0" w:color="auto"/>
            </w:tcBorders>
            <w:shd w:val="clear" w:color="auto" w:fill="auto"/>
            <w:noWrap/>
            <w:vAlign w:val="bottom"/>
            <w:hideMark/>
          </w:tcPr>
          <w:p w14:paraId="5B58DBA8"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1,08</w:t>
            </w:r>
          </w:p>
        </w:tc>
        <w:tc>
          <w:tcPr>
            <w:tcW w:w="567" w:type="dxa"/>
            <w:tcBorders>
              <w:right w:val="single" w:sz="8" w:space="0" w:color="auto"/>
            </w:tcBorders>
            <w:shd w:val="clear" w:color="auto" w:fill="auto"/>
            <w:noWrap/>
            <w:vAlign w:val="bottom"/>
            <w:hideMark/>
          </w:tcPr>
          <w:p w14:paraId="7AEF9185"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1,08</w:t>
            </w:r>
          </w:p>
        </w:tc>
        <w:tc>
          <w:tcPr>
            <w:tcW w:w="709" w:type="dxa"/>
            <w:tcBorders>
              <w:left w:val="single" w:sz="8" w:space="0" w:color="auto"/>
            </w:tcBorders>
            <w:shd w:val="clear" w:color="auto" w:fill="auto"/>
            <w:noWrap/>
            <w:vAlign w:val="bottom"/>
            <w:hideMark/>
          </w:tcPr>
          <w:p w14:paraId="53AEA52F"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2,82</w:t>
            </w:r>
          </w:p>
        </w:tc>
        <w:tc>
          <w:tcPr>
            <w:tcW w:w="851" w:type="dxa"/>
            <w:shd w:val="clear" w:color="auto" w:fill="auto"/>
            <w:noWrap/>
            <w:vAlign w:val="bottom"/>
            <w:hideMark/>
          </w:tcPr>
          <w:p w14:paraId="6E03DE4D"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2,70</w:t>
            </w:r>
          </w:p>
        </w:tc>
      </w:tr>
      <w:tr w:rsidR="00324D24" w:rsidRPr="00517ECD" w14:paraId="66040978" w14:textId="77777777" w:rsidTr="00635E50">
        <w:trPr>
          <w:trHeight w:val="310"/>
        </w:trPr>
        <w:tc>
          <w:tcPr>
            <w:tcW w:w="2268" w:type="dxa"/>
            <w:tcBorders>
              <w:right w:val="single" w:sz="8" w:space="0" w:color="auto"/>
            </w:tcBorders>
            <w:shd w:val="clear" w:color="000000" w:fill="FFFFFF"/>
            <w:vAlign w:val="bottom"/>
            <w:hideMark/>
          </w:tcPr>
          <w:p w14:paraId="76299780" w14:textId="77777777" w:rsidR="00324D24" w:rsidRPr="00517ECD" w:rsidRDefault="00324D24" w:rsidP="008B6F9B">
            <w:pPr>
              <w:spacing w:after="0" w:line="240" w:lineRule="auto"/>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Vale do Ipanema</w:t>
            </w:r>
          </w:p>
        </w:tc>
        <w:tc>
          <w:tcPr>
            <w:tcW w:w="567" w:type="dxa"/>
            <w:tcBorders>
              <w:left w:val="single" w:sz="8" w:space="0" w:color="auto"/>
            </w:tcBorders>
            <w:shd w:val="clear" w:color="auto" w:fill="auto"/>
            <w:noWrap/>
            <w:vAlign w:val="bottom"/>
            <w:hideMark/>
          </w:tcPr>
          <w:p w14:paraId="34A60F9F"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0,25</w:t>
            </w:r>
          </w:p>
        </w:tc>
        <w:tc>
          <w:tcPr>
            <w:tcW w:w="540" w:type="dxa"/>
            <w:tcBorders>
              <w:right w:val="single" w:sz="8" w:space="0" w:color="auto"/>
            </w:tcBorders>
            <w:shd w:val="clear" w:color="auto" w:fill="auto"/>
            <w:noWrap/>
            <w:vAlign w:val="bottom"/>
            <w:hideMark/>
          </w:tcPr>
          <w:p w14:paraId="61B225FE"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0,25</w:t>
            </w:r>
          </w:p>
        </w:tc>
        <w:tc>
          <w:tcPr>
            <w:tcW w:w="736" w:type="dxa"/>
            <w:tcBorders>
              <w:left w:val="single" w:sz="8" w:space="0" w:color="auto"/>
            </w:tcBorders>
            <w:shd w:val="clear" w:color="auto" w:fill="auto"/>
            <w:noWrap/>
            <w:vAlign w:val="bottom"/>
            <w:hideMark/>
          </w:tcPr>
          <w:p w14:paraId="0A687C4F"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0,06</w:t>
            </w:r>
          </w:p>
        </w:tc>
        <w:tc>
          <w:tcPr>
            <w:tcW w:w="851" w:type="dxa"/>
            <w:tcBorders>
              <w:right w:val="single" w:sz="8" w:space="0" w:color="auto"/>
            </w:tcBorders>
            <w:shd w:val="clear" w:color="auto" w:fill="auto"/>
            <w:noWrap/>
            <w:vAlign w:val="bottom"/>
            <w:hideMark/>
          </w:tcPr>
          <w:p w14:paraId="65759FEA"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0,03</w:t>
            </w:r>
          </w:p>
        </w:tc>
        <w:tc>
          <w:tcPr>
            <w:tcW w:w="708" w:type="dxa"/>
            <w:tcBorders>
              <w:left w:val="single" w:sz="8" w:space="0" w:color="auto"/>
            </w:tcBorders>
            <w:shd w:val="clear" w:color="auto" w:fill="auto"/>
            <w:noWrap/>
            <w:vAlign w:val="bottom"/>
            <w:hideMark/>
          </w:tcPr>
          <w:p w14:paraId="6C84BD34"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0,92</w:t>
            </w:r>
          </w:p>
        </w:tc>
        <w:tc>
          <w:tcPr>
            <w:tcW w:w="567" w:type="dxa"/>
            <w:tcBorders>
              <w:right w:val="single" w:sz="8" w:space="0" w:color="auto"/>
            </w:tcBorders>
            <w:shd w:val="clear" w:color="auto" w:fill="auto"/>
            <w:noWrap/>
            <w:vAlign w:val="bottom"/>
            <w:hideMark/>
          </w:tcPr>
          <w:p w14:paraId="3B5B74FE"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0,85</w:t>
            </w:r>
          </w:p>
        </w:tc>
        <w:tc>
          <w:tcPr>
            <w:tcW w:w="567" w:type="dxa"/>
            <w:tcBorders>
              <w:left w:val="single" w:sz="8" w:space="0" w:color="auto"/>
            </w:tcBorders>
            <w:shd w:val="clear" w:color="auto" w:fill="auto"/>
            <w:noWrap/>
            <w:vAlign w:val="bottom"/>
            <w:hideMark/>
          </w:tcPr>
          <w:p w14:paraId="3EA40CEA"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1,41</w:t>
            </w:r>
          </w:p>
        </w:tc>
        <w:tc>
          <w:tcPr>
            <w:tcW w:w="567" w:type="dxa"/>
            <w:tcBorders>
              <w:right w:val="single" w:sz="8" w:space="0" w:color="auto"/>
            </w:tcBorders>
            <w:shd w:val="clear" w:color="auto" w:fill="auto"/>
            <w:noWrap/>
            <w:vAlign w:val="bottom"/>
            <w:hideMark/>
          </w:tcPr>
          <w:p w14:paraId="36904247"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1,32</w:t>
            </w:r>
          </w:p>
        </w:tc>
        <w:tc>
          <w:tcPr>
            <w:tcW w:w="709" w:type="dxa"/>
            <w:tcBorders>
              <w:left w:val="single" w:sz="8" w:space="0" w:color="auto"/>
            </w:tcBorders>
            <w:shd w:val="clear" w:color="auto" w:fill="auto"/>
            <w:noWrap/>
            <w:vAlign w:val="bottom"/>
            <w:hideMark/>
          </w:tcPr>
          <w:p w14:paraId="574B6C64"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0,28</w:t>
            </w:r>
          </w:p>
        </w:tc>
        <w:tc>
          <w:tcPr>
            <w:tcW w:w="851" w:type="dxa"/>
            <w:shd w:val="clear" w:color="auto" w:fill="auto"/>
            <w:noWrap/>
            <w:vAlign w:val="bottom"/>
            <w:hideMark/>
          </w:tcPr>
          <w:p w14:paraId="038A26ED"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0,31</w:t>
            </w:r>
          </w:p>
        </w:tc>
      </w:tr>
      <w:tr w:rsidR="00324D24" w:rsidRPr="00517ECD" w14:paraId="5B167F26" w14:textId="77777777" w:rsidTr="00635E50">
        <w:trPr>
          <w:trHeight w:val="310"/>
        </w:trPr>
        <w:tc>
          <w:tcPr>
            <w:tcW w:w="2268" w:type="dxa"/>
            <w:tcBorders>
              <w:right w:val="single" w:sz="8" w:space="0" w:color="auto"/>
            </w:tcBorders>
            <w:shd w:val="clear" w:color="000000" w:fill="FFFFFF"/>
            <w:vAlign w:val="bottom"/>
            <w:hideMark/>
          </w:tcPr>
          <w:p w14:paraId="43EC2359" w14:textId="77777777" w:rsidR="00324D24" w:rsidRPr="00517ECD" w:rsidRDefault="00324D24" w:rsidP="008B6F9B">
            <w:pPr>
              <w:spacing w:after="0" w:line="240" w:lineRule="auto"/>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Vale do Ipojuca</w:t>
            </w:r>
          </w:p>
        </w:tc>
        <w:tc>
          <w:tcPr>
            <w:tcW w:w="567" w:type="dxa"/>
            <w:tcBorders>
              <w:left w:val="single" w:sz="8" w:space="0" w:color="auto"/>
            </w:tcBorders>
            <w:shd w:val="clear" w:color="auto" w:fill="auto"/>
            <w:noWrap/>
            <w:vAlign w:val="bottom"/>
            <w:hideMark/>
          </w:tcPr>
          <w:p w14:paraId="5514F69B" w14:textId="77777777" w:rsidR="00324D24" w:rsidRPr="006B33F0"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6B33F0">
              <w:rPr>
                <w:rFonts w:ascii="Times New Roman" w:eastAsia="Times New Roman" w:hAnsi="Times New Roman" w:cs="Times New Roman"/>
                <w:b/>
                <w:bCs/>
                <w:color w:val="000000"/>
                <w:sz w:val="20"/>
                <w:szCs w:val="20"/>
                <w:lang w:eastAsia="pt-BR"/>
              </w:rPr>
              <w:t>1,31</w:t>
            </w:r>
          </w:p>
        </w:tc>
        <w:tc>
          <w:tcPr>
            <w:tcW w:w="540" w:type="dxa"/>
            <w:tcBorders>
              <w:right w:val="single" w:sz="8" w:space="0" w:color="auto"/>
            </w:tcBorders>
            <w:shd w:val="clear" w:color="auto" w:fill="auto"/>
            <w:noWrap/>
            <w:vAlign w:val="bottom"/>
            <w:hideMark/>
          </w:tcPr>
          <w:p w14:paraId="20457A04" w14:textId="77777777" w:rsidR="00324D24" w:rsidRPr="006B33F0"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6B33F0">
              <w:rPr>
                <w:rFonts w:ascii="Times New Roman" w:eastAsia="Times New Roman" w:hAnsi="Times New Roman" w:cs="Times New Roman"/>
                <w:b/>
                <w:bCs/>
                <w:color w:val="000000"/>
                <w:sz w:val="20"/>
                <w:szCs w:val="20"/>
                <w:lang w:eastAsia="pt-BR"/>
              </w:rPr>
              <w:t>1,31</w:t>
            </w:r>
          </w:p>
        </w:tc>
        <w:tc>
          <w:tcPr>
            <w:tcW w:w="736" w:type="dxa"/>
            <w:tcBorders>
              <w:left w:val="single" w:sz="8" w:space="0" w:color="auto"/>
            </w:tcBorders>
            <w:shd w:val="clear" w:color="auto" w:fill="auto"/>
            <w:noWrap/>
            <w:vAlign w:val="bottom"/>
            <w:hideMark/>
          </w:tcPr>
          <w:p w14:paraId="2466BFE6"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0,41</w:t>
            </w:r>
          </w:p>
        </w:tc>
        <w:tc>
          <w:tcPr>
            <w:tcW w:w="851" w:type="dxa"/>
            <w:tcBorders>
              <w:right w:val="single" w:sz="8" w:space="0" w:color="auto"/>
            </w:tcBorders>
            <w:shd w:val="clear" w:color="auto" w:fill="auto"/>
            <w:noWrap/>
            <w:vAlign w:val="bottom"/>
            <w:hideMark/>
          </w:tcPr>
          <w:p w14:paraId="14DCA93B"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0,54</w:t>
            </w:r>
          </w:p>
        </w:tc>
        <w:tc>
          <w:tcPr>
            <w:tcW w:w="708" w:type="dxa"/>
            <w:tcBorders>
              <w:left w:val="single" w:sz="8" w:space="0" w:color="auto"/>
            </w:tcBorders>
            <w:shd w:val="clear" w:color="auto" w:fill="auto"/>
            <w:noWrap/>
            <w:vAlign w:val="bottom"/>
            <w:hideMark/>
          </w:tcPr>
          <w:p w14:paraId="70550BA1"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1,44</w:t>
            </w:r>
          </w:p>
        </w:tc>
        <w:tc>
          <w:tcPr>
            <w:tcW w:w="567" w:type="dxa"/>
            <w:tcBorders>
              <w:right w:val="single" w:sz="8" w:space="0" w:color="auto"/>
            </w:tcBorders>
            <w:shd w:val="clear" w:color="auto" w:fill="auto"/>
            <w:noWrap/>
            <w:vAlign w:val="bottom"/>
            <w:hideMark/>
          </w:tcPr>
          <w:p w14:paraId="09AC1F78"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1,30</w:t>
            </w:r>
          </w:p>
        </w:tc>
        <w:tc>
          <w:tcPr>
            <w:tcW w:w="567" w:type="dxa"/>
            <w:tcBorders>
              <w:left w:val="single" w:sz="8" w:space="0" w:color="auto"/>
            </w:tcBorders>
            <w:shd w:val="clear" w:color="auto" w:fill="auto"/>
            <w:noWrap/>
            <w:vAlign w:val="bottom"/>
            <w:hideMark/>
          </w:tcPr>
          <w:p w14:paraId="2B3FFB5D"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0,87</w:t>
            </w:r>
          </w:p>
        </w:tc>
        <w:tc>
          <w:tcPr>
            <w:tcW w:w="567" w:type="dxa"/>
            <w:tcBorders>
              <w:right w:val="single" w:sz="8" w:space="0" w:color="auto"/>
            </w:tcBorders>
            <w:shd w:val="clear" w:color="auto" w:fill="auto"/>
            <w:noWrap/>
            <w:vAlign w:val="bottom"/>
            <w:hideMark/>
          </w:tcPr>
          <w:p w14:paraId="509ADE2C"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0,86</w:t>
            </w:r>
          </w:p>
        </w:tc>
        <w:tc>
          <w:tcPr>
            <w:tcW w:w="709" w:type="dxa"/>
            <w:tcBorders>
              <w:left w:val="single" w:sz="8" w:space="0" w:color="auto"/>
            </w:tcBorders>
            <w:shd w:val="clear" w:color="auto" w:fill="auto"/>
            <w:noWrap/>
            <w:vAlign w:val="bottom"/>
            <w:hideMark/>
          </w:tcPr>
          <w:p w14:paraId="604A3172"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0,88</w:t>
            </w:r>
          </w:p>
        </w:tc>
        <w:tc>
          <w:tcPr>
            <w:tcW w:w="851" w:type="dxa"/>
            <w:shd w:val="clear" w:color="auto" w:fill="auto"/>
            <w:noWrap/>
            <w:vAlign w:val="bottom"/>
            <w:hideMark/>
          </w:tcPr>
          <w:p w14:paraId="1957DF19"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0,96</w:t>
            </w:r>
          </w:p>
        </w:tc>
      </w:tr>
      <w:tr w:rsidR="00324D24" w:rsidRPr="00517ECD" w14:paraId="2E95D92C" w14:textId="77777777" w:rsidTr="00635E50">
        <w:trPr>
          <w:trHeight w:val="310"/>
        </w:trPr>
        <w:tc>
          <w:tcPr>
            <w:tcW w:w="2268" w:type="dxa"/>
            <w:tcBorders>
              <w:right w:val="single" w:sz="8" w:space="0" w:color="auto"/>
            </w:tcBorders>
            <w:shd w:val="clear" w:color="000000" w:fill="FFFFFF"/>
            <w:vAlign w:val="bottom"/>
            <w:hideMark/>
          </w:tcPr>
          <w:p w14:paraId="0918B012" w14:textId="77777777" w:rsidR="00324D24" w:rsidRPr="00517ECD" w:rsidRDefault="00324D24" w:rsidP="008B6F9B">
            <w:pPr>
              <w:spacing w:after="0" w:line="240" w:lineRule="auto"/>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Alto Capibaribe</w:t>
            </w:r>
          </w:p>
        </w:tc>
        <w:tc>
          <w:tcPr>
            <w:tcW w:w="567" w:type="dxa"/>
            <w:tcBorders>
              <w:left w:val="single" w:sz="8" w:space="0" w:color="auto"/>
            </w:tcBorders>
            <w:shd w:val="clear" w:color="auto" w:fill="auto"/>
            <w:noWrap/>
            <w:vAlign w:val="bottom"/>
            <w:hideMark/>
          </w:tcPr>
          <w:p w14:paraId="13275F29" w14:textId="77777777" w:rsidR="00324D24" w:rsidRPr="006B33F0"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6B33F0">
              <w:rPr>
                <w:rFonts w:ascii="Times New Roman" w:eastAsia="Times New Roman" w:hAnsi="Times New Roman" w:cs="Times New Roman"/>
                <w:b/>
                <w:bCs/>
                <w:color w:val="000000"/>
                <w:sz w:val="20"/>
                <w:szCs w:val="20"/>
                <w:lang w:eastAsia="pt-BR"/>
              </w:rPr>
              <w:t>2,03</w:t>
            </w:r>
          </w:p>
        </w:tc>
        <w:tc>
          <w:tcPr>
            <w:tcW w:w="540" w:type="dxa"/>
            <w:tcBorders>
              <w:right w:val="single" w:sz="8" w:space="0" w:color="auto"/>
            </w:tcBorders>
            <w:shd w:val="clear" w:color="auto" w:fill="auto"/>
            <w:noWrap/>
            <w:vAlign w:val="bottom"/>
            <w:hideMark/>
          </w:tcPr>
          <w:p w14:paraId="687A5958" w14:textId="77777777" w:rsidR="00324D24" w:rsidRPr="006B33F0"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6B33F0">
              <w:rPr>
                <w:rFonts w:ascii="Times New Roman" w:eastAsia="Times New Roman" w:hAnsi="Times New Roman" w:cs="Times New Roman"/>
                <w:b/>
                <w:bCs/>
                <w:color w:val="000000"/>
                <w:sz w:val="20"/>
                <w:szCs w:val="20"/>
                <w:lang w:eastAsia="pt-BR"/>
              </w:rPr>
              <w:t>2,06</w:t>
            </w:r>
          </w:p>
        </w:tc>
        <w:tc>
          <w:tcPr>
            <w:tcW w:w="736" w:type="dxa"/>
            <w:tcBorders>
              <w:left w:val="single" w:sz="8" w:space="0" w:color="auto"/>
            </w:tcBorders>
            <w:shd w:val="clear" w:color="auto" w:fill="auto"/>
            <w:noWrap/>
            <w:vAlign w:val="bottom"/>
            <w:hideMark/>
          </w:tcPr>
          <w:p w14:paraId="38C280AD"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0,16</w:t>
            </w:r>
          </w:p>
        </w:tc>
        <w:tc>
          <w:tcPr>
            <w:tcW w:w="851" w:type="dxa"/>
            <w:tcBorders>
              <w:right w:val="single" w:sz="8" w:space="0" w:color="auto"/>
            </w:tcBorders>
            <w:shd w:val="clear" w:color="auto" w:fill="auto"/>
            <w:noWrap/>
            <w:vAlign w:val="bottom"/>
            <w:hideMark/>
          </w:tcPr>
          <w:p w14:paraId="18CF426B"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0,39</w:t>
            </w:r>
          </w:p>
        </w:tc>
        <w:tc>
          <w:tcPr>
            <w:tcW w:w="708" w:type="dxa"/>
            <w:tcBorders>
              <w:left w:val="single" w:sz="8" w:space="0" w:color="auto"/>
            </w:tcBorders>
            <w:shd w:val="clear" w:color="auto" w:fill="auto"/>
            <w:noWrap/>
            <w:vAlign w:val="bottom"/>
            <w:hideMark/>
          </w:tcPr>
          <w:p w14:paraId="6233C6FB"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1,20</w:t>
            </w:r>
          </w:p>
        </w:tc>
        <w:tc>
          <w:tcPr>
            <w:tcW w:w="567" w:type="dxa"/>
            <w:tcBorders>
              <w:right w:val="single" w:sz="8" w:space="0" w:color="auto"/>
            </w:tcBorders>
            <w:shd w:val="clear" w:color="auto" w:fill="auto"/>
            <w:noWrap/>
            <w:vAlign w:val="bottom"/>
            <w:hideMark/>
          </w:tcPr>
          <w:p w14:paraId="7765694A"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1,28</w:t>
            </w:r>
          </w:p>
        </w:tc>
        <w:tc>
          <w:tcPr>
            <w:tcW w:w="567" w:type="dxa"/>
            <w:tcBorders>
              <w:left w:val="single" w:sz="8" w:space="0" w:color="auto"/>
            </w:tcBorders>
            <w:shd w:val="clear" w:color="auto" w:fill="auto"/>
            <w:noWrap/>
            <w:vAlign w:val="bottom"/>
            <w:hideMark/>
          </w:tcPr>
          <w:p w14:paraId="0885417C"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0,82</w:t>
            </w:r>
          </w:p>
        </w:tc>
        <w:tc>
          <w:tcPr>
            <w:tcW w:w="567" w:type="dxa"/>
            <w:tcBorders>
              <w:right w:val="single" w:sz="8" w:space="0" w:color="auto"/>
            </w:tcBorders>
            <w:shd w:val="clear" w:color="auto" w:fill="auto"/>
            <w:noWrap/>
            <w:vAlign w:val="bottom"/>
            <w:hideMark/>
          </w:tcPr>
          <w:p w14:paraId="7B2DE06D"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0,75</w:t>
            </w:r>
          </w:p>
        </w:tc>
        <w:tc>
          <w:tcPr>
            <w:tcW w:w="709" w:type="dxa"/>
            <w:tcBorders>
              <w:left w:val="single" w:sz="8" w:space="0" w:color="auto"/>
            </w:tcBorders>
            <w:shd w:val="clear" w:color="auto" w:fill="auto"/>
            <w:noWrap/>
            <w:vAlign w:val="bottom"/>
            <w:hideMark/>
          </w:tcPr>
          <w:p w14:paraId="2A07A026"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0,25</w:t>
            </w:r>
          </w:p>
        </w:tc>
        <w:tc>
          <w:tcPr>
            <w:tcW w:w="851" w:type="dxa"/>
            <w:shd w:val="clear" w:color="auto" w:fill="auto"/>
            <w:noWrap/>
            <w:vAlign w:val="bottom"/>
            <w:hideMark/>
          </w:tcPr>
          <w:p w14:paraId="019790AC"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0,05</w:t>
            </w:r>
          </w:p>
        </w:tc>
      </w:tr>
      <w:tr w:rsidR="00324D24" w:rsidRPr="00517ECD" w14:paraId="51498771" w14:textId="77777777" w:rsidTr="00635E50">
        <w:trPr>
          <w:trHeight w:val="310"/>
        </w:trPr>
        <w:tc>
          <w:tcPr>
            <w:tcW w:w="2268" w:type="dxa"/>
            <w:tcBorders>
              <w:right w:val="single" w:sz="8" w:space="0" w:color="auto"/>
            </w:tcBorders>
            <w:shd w:val="clear" w:color="000000" w:fill="FFFFFF"/>
            <w:vAlign w:val="bottom"/>
            <w:hideMark/>
          </w:tcPr>
          <w:p w14:paraId="45B939C9" w14:textId="77777777" w:rsidR="00324D24" w:rsidRPr="00517ECD" w:rsidRDefault="00324D24" w:rsidP="008B6F9B">
            <w:pPr>
              <w:spacing w:after="0" w:line="240" w:lineRule="auto"/>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Médio Capibaribe</w:t>
            </w:r>
          </w:p>
        </w:tc>
        <w:tc>
          <w:tcPr>
            <w:tcW w:w="567" w:type="dxa"/>
            <w:tcBorders>
              <w:left w:val="single" w:sz="8" w:space="0" w:color="auto"/>
            </w:tcBorders>
            <w:shd w:val="clear" w:color="auto" w:fill="auto"/>
            <w:noWrap/>
            <w:vAlign w:val="bottom"/>
            <w:hideMark/>
          </w:tcPr>
          <w:p w14:paraId="6DEAC053"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0,60</w:t>
            </w:r>
          </w:p>
        </w:tc>
        <w:tc>
          <w:tcPr>
            <w:tcW w:w="540" w:type="dxa"/>
            <w:tcBorders>
              <w:right w:val="single" w:sz="8" w:space="0" w:color="auto"/>
            </w:tcBorders>
            <w:shd w:val="clear" w:color="auto" w:fill="auto"/>
            <w:noWrap/>
            <w:vAlign w:val="bottom"/>
            <w:hideMark/>
          </w:tcPr>
          <w:p w14:paraId="61E132AD"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0,74</w:t>
            </w:r>
          </w:p>
        </w:tc>
        <w:tc>
          <w:tcPr>
            <w:tcW w:w="736" w:type="dxa"/>
            <w:tcBorders>
              <w:left w:val="single" w:sz="8" w:space="0" w:color="auto"/>
            </w:tcBorders>
            <w:shd w:val="clear" w:color="auto" w:fill="auto"/>
            <w:noWrap/>
            <w:vAlign w:val="bottom"/>
            <w:hideMark/>
          </w:tcPr>
          <w:p w14:paraId="176200E0"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0,13</w:t>
            </w:r>
          </w:p>
        </w:tc>
        <w:tc>
          <w:tcPr>
            <w:tcW w:w="851" w:type="dxa"/>
            <w:tcBorders>
              <w:right w:val="single" w:sz="8" w:space="0" w:color="auto"/>
            </w:tcBorders>
            <w:shd w:val="clear" w:color="auto" w:fill="auto"/>
            <w:noWrap/>
            <w:vAlign w:val="bottom"/>
            <w:hideMark/>
          </w:tcPr>
          <w:p w14:paraId="25C845AD"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0,35</w:t>
            </w:r>
          </w:p>
        </w:tc>
        <w:tc>
          <w:tcPr>
            <w:tcW w:w="708" w:type="dxa"/>
            <w:tcBorders>
              <w:left w:val="single" w:sz="8" w:space="0" w:color="auto"/>
            </w:tcBorders>
            <w:shd w:val="clear" w:color="auto" w:fill="auto"/>
            <w:noWrap/>
            <w:vAlign w:val="bottom"/>
            <w:hideMark/>
          </w:tcPr>
          <w:p w14:paraId="0F25CF73"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1,00</w:t>
            </w:r>
          </w:p>
        </w:tc>
        <w:tc>
          <w:tcPr>
            <w:tcW w:w="567" w:type="dxa"/>
            <w:tcBorders>
              <w:right w:val="single" w:sz="8" w:space="0" w:color="auto"/>
            </w:tcBorders>
            <w:shd w:val="clear" w:color="auto" w:fill="auto"/>
            <w:noWrap/>
            <w:vAlign w:val="bottom"/>
            <w:hideMark/>
          </w:tcPr>
          <w:p w14:paraId="38941AD6"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1,04</w:t>
            </w:r>
          </w:p>
        </w:tc>
        <w:tc>
          <w:tcPr>
            <w:tcW w:w="567" w:type="dxa"/>
            <w:tcBorders>
              <w:left w:val="single" w:sz="8" w:space="0" w:color="auto"/>
            </w:tcBorders>
            <w:shd w:val="clear" w:color="auto" w:fill="auto"/>
            <w:noWrap/>
            <w:vAlign w:val="bottom"/>
            <w:hideMark/>
          </w:tcPr>
          <w:p w14:paraId="24D65617"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1,16</w:t>
            </w:r>
          </w:p>
        </w:tc>
        <w:tc>
          <w:tcPr>
            <w:tcW w:w="567" w:type="dxa"/>
            <w:tcBorders>
              <w:right w:val="single" w:sz="8" w:space="0" w:color="auto"/>
            </w:tcBorders>
            <w:shd w:val="clear" w:color="auto" w:fill="auto"/>
            <w:noWrap/>
            <w:vAlign w:val="bottom"/>
            <w:hideMark/>
          </w:tcPr>
          <w:p w14:paraId="4DB17BBC"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1,00</w:t>
            </w:r>
          </w:p>
        </w:tc>
        <w:tc>
          <w:tcPr>
            <w:tcW w:w="709" w:type="dxa"/>
            <w:tcBorders>
              <w:left w:val="single" w:sz="8" w:space="0" w:color="auto"/>
            </w:tcBorders>
            <w:shd w:val="clear" w:color="auto" w:fill="auto"/>
            <w:noWrap/>
            <w:vAlign w:val="bottom"/>
            <w:hideMark/>
          </w:tcPr>
          <w:p w14:paraId="2CE4AACC"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2,26</w:t>
            </w:r>
          </w:p>
        </w:tc>
        <w:tc>
          <w:tcPr>
            <w:tcW w:w="851" w:type="dxa"/>
            <w:shd w:val="clear" w:color="auto" w:fill="auto"/>
            <w:noWrap/>
            <w:vAlign w:val="bottom"/>
            <w:hideMark/>
          </w:tcPr>
          <w:p w14:paraId="5B79233B"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2,68</w:t>
            </w:r>
          </w:p>
        </w:tc>
      </w:tr>
      <w:tr w:rsidR="00324D24" w:rsidRPr="00517ECD" w14:paraId="13CCCB0B" w14:textId="77777777" w:rsidTr="00635E50">
        <w:trPr>
          <w:trHeight w:val="310"/>
        </w:trPr>
        <w:tc>
          <w:tcPr>
            <w:tcW w:w="2268" w:type="dxa"/>
            <w:tcBorders>
              <w:right w:val="single" w:sz="8" w:space="0" w:color="auto"/>
            </w:tcBorders>
            <w:shd w:val="clear" w:color="000000" w:fill="FFFFFF"/>
            <w:vAlign w:val="bottom"/>
            <w:hideMark/>
          </w:tcPr>
          <w:p w14:paraId="0CDDE14E" w14:textId="77777777" w:rsidR="00324D24" w:rsidRPr="00517ECD" w:rsidRDefault="00324D24" w:rsidP="008B6F9B">
            <w:pPr>
              <w:spacing w:after="0" w:line="240" w:lineRule="auto"/>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Garanhuns</w:t>
            </w:r>
          </w:p>
        </w:tc>
        <w:tc>
          <w:tcPr>
            <w:tcW w:w="567" w:type="dxa"/>
            <w:tcBorders>
              <w:left w:val="single" w:sz="8" w:space="0" w:color="auto"/>
            </w:tcBorders>
            <w:shd w:val="clear" w:color="auto" w:fill="auto"/>
            <w:noWrap/>
            <w:vAlign w:val="bottom"/>
            <w:hideMark/>
          </w:tcPr>
          <w:p w14:paraId="37192C5A"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0,56</w:t>
            </w:r>
          </w:p>
        </w:tc>
        <w:tc>
          <w:tcPr>
            <w:tcW w:w="540" w:type="dxa"/>
            <w:tcBorders>
              <w:right w:val="single" w:sz="8" w:space="0" w:color="auto"/>
            </w:tcBorders>
            <w:shd w:val="clear" w:color="auto" w:fill="auto"/>
            <w:noWrap/>
            <w:vAlign w:val="bottom"/>
            <w:hideMark/>
          </w:tcPr>
          <w:p w14:paraId="5BC74951"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0,60</w:t>
            </w:r>
          </w:p>
        </w:tc>
        <w:tc>
          <w:tcPr>
            <w:tcW w:w="736" w:type="dxa"/>
            <w:tcBorders>
              <w:left w:val="single" w:sz="8" w:space="0" w:color="auto"/>
            </w:tcBorders>
            <w:shd w:val="clear" w:color="auto" w:fill="auto"/>
            <w:noWrap/>
            <w:vAlign w:val="bottom"/>
            <w:hideMark/>
          </w:tcPr>
          <w:p w14:paraId="0754935A"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0,34</w:t>
            </w:r>
          </w:p>
        </w:tc>
        <w:tc>
          <w:tcPr>
            <w:tcW w:w="851" w:type="dxa"/>
            <w:tcBorders>
              <w:right w:val="single" w:sz="8" w:space="0" w:color="auto"/>
            </w:tcBorders>
            <w:shd w:val="clear" w:color="auto" w:fill="auto"/>
            <w:noWrap/>
            <w:vAlign w:val="bottom"/>
            <w:hideMark/>
          </w:tcPr>
          <w:p w14:paraId="52A59EE3"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0,64</w:t>
            </w:r>
          </w:p>
        </w:tc>
        <w:tc>
          <w:tcPr>
            <w:tcW w:w="708" w:type="dxa"/>
            <w:tcBorders>
              <w:left w:val="single" w:sz="8" w:space="0" w:color="auto"/>
            </w:tcBorders>
            <w:shd w:val="clear" w:color="auto" w:fill="auto"/>
            <w:noWrap/>
            <w:vAlign w:val="bottom"/>
            <w:hideMark/>
          </w:tcPr>
          <w:p w14:paraId="36CD5756"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1,38</w:t>
            </w:r>
          </w:p>
        </w:tc>
        <w:tc>
          <w:tcPr>
            <w:tcW w:w="567" w:type="dxa"/>
            <w:tcBorders>
              <w:right w:val="single" w:sz="8" w:space="0" w:color="auto"/>
            </w:tcBorders>
            <w:shd w:val="clear" w:color="auto" w:fill="auto"/>
            <w:noWrap/>
            <w:vAlign w:val="bottom"/>
            <w:hideMark/>
          </w:tcPr>
          <w:p w14:paraId="7E9C5528"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1,39</w:t>
            </w:r>
          </w:p>
        </w:tc>
        <w:tc>
          <w:tcPr>
            <w:tcW w:w="567" w:type="dxa"/>
            <w:tcBorders>
              <w:left w:val="single" w:sz="8" w:space="0" w:color="auto"/>
            </w:tcBorders>
            <w:shd w:val="clear" w:color="auto" w:fill="auto"/>
            <w:noWrap/>
            <w:vAlign w:val="bottom"/>
            <w:hideMark/>
          </w:tcPr>
          <w:p w14:paraId="4E7BD458"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1,12</w:t>
            </w:r>
          </w:p>
        </w:tc>
        <w:tc>
          <w:tcPr>
            <w:tcW w:w="567" w:type="dxa"/>
            <w:tcBorders>
              <w:right w:val="single" w:sz="8" w:space="0" w:color="auto"/>
            </w:tcBorders>
            <w:shd w:val="clear" w:color="auto" w:fill="auto"/>
            <w:noWrap/>
            <w:vAlign w:val="bottom"/>
            <w:hideMark/>
          </w:tcPr>
          <w:p w14:paraId="7F8E14B3"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1,01</w:t>
            </w:r>
          </w:p>
        </w:tc>
        <w:tc>
          <w:tcPr>
            <w:tcW w:w="709" w:type="dxa"/>
            <w:tcBorders>
              <w:left w:val="single" w:sz="8" w:space="0" w:color="auto"/>
            </w:tcBorders>
            <w:shd w:val="clear" w:color="auto" w:fill="auto"/>
            <w:noWrap/>
            <w:vAlign w:val="bottom"/>
            <w:hideMark/>
          </w:tcPr>
          <w:p w14:paraId="08BD03FA"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0,57</w:t>
            </w:r>
          </w:p>
        </w:tc>
        <w:tc>
          <w:tcPr>
            <w:tcW w:w="851" w:type="dxa"/>
            <w:shd w:val="clear" w:color="auto" w:fill="auto"/>
            <w:noWrap/>
            <w:vAlign w:val="bottom"/>
            <w:hideMark/>
          </w:tcPr>
          <w:p w14:paraId="564E457E"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0,78</w:t>
            </w:r>
          </w:p>
        </w:tc>
      </w:tr>
      <w:tr w:rsidR="00324D24" w:rsidRPr="00517ECD" w14:paraId="4D992F51" w14:textId="77777777" w:rsidTr="00635E50">
        <w:trPr>
          <w:trHeight w:val="320"/>
        </w:trPr>
        <w:tc>
          <w:tcPr>
            <w:tcW w:w="2268" w:type="dxa"/>
            <w:tcBorders>
              <w:right w:val="single" w:sz="8" w:space="0" w:color="auto"/>
            </w:tcBorders>
            <w:shd w:val="clear" w:color="000000" w:fill="FFFFFF"/>
            <w:vAlign w:val="bottom"/>
            <w:hideMark/>
          </w:tcPr>
          <w:p w14:paraId="3296176D" w14:textId="77777777" w:rsidR="00324D24" w:rsidRPr="00517ECD" w:rsidRDefault="00324D24" w:rsidP="008B6F9B">
            <w:pPr>
              <w:spacing w:after="0" w:line="240" w:lineRule="auto"/>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Brejo Pernambucano</w:t>
            </w:r>
          </w:p>
        </w:tc>
        <w:tc>
          <w:tcPr>
            <w:tcW w:w="567" w:type="dxa"/>
            <w:tcBorders>
              <w:left w:val="single" w:sz="8" w:space="0" w:color="auto"/>
            </w:tcBorders>
            <w:shd w:val="clear" w:color="auto" w:fill="auto"/>
            <w:noWrap/>
            <w:vAlign w:val="bottom"/>
            <w:hideMark/>
          </w:tcPr>
          <w:p w14:paraId="430D6D71"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0,40</w:t>
            </w:r>
          </w:p>
        </w:tc>
        <w:tc>
          <w:tcPr>
            <w:tcW w:w="540" w:type="dxa"/>
            <w:tcBorders>
              <w:right w:val="single" w:sz="8" w:space="0" w:color="auto"/>
            </w:tcBorders>
            <w:shd w:val="clear" w:color="auto" w:fill="auto"/>
            <w:noWrap/>
            <w:vAlign w:val="bottom"/>
            <w:hideMark/>
          </w:tcPr>
          <w:p w14:paraId="752C4E68"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0,75</w:t>
            </w:r>
          </w:p>
        </w:tc>
        <w:tc>
          <w:tcPr>
            <w:tcW w:w="736" w:type="dxa"/>
            <w:tcBorders>
              <w:left w:val="single" w:sz="8" w:space="0" w:color="auto"/>
            </w:tcBorders>
            <w:shd w:val="clear" w:color="auto" w:fill="auto"/>
            <w:noWrap/>
            <w:vAlign w:val="bottom"/>
            <w:hideMark/>
          </w:tcPr>
          <w:p w14:paraId="3FC8DB20"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0,05</w:t>
            </w:r>
          </w:p>
        </w:tc>
        <w:tc>
          <w:tcPr>
            <w:tcW w:w="851" w:type="dxa"/>
            <w:tcBorders>
              <w:right w:val="single" w:sz="8" w:space="0" w:color="auto"/>
            </w:tcBorders>
            <w:shd w:val="clear" w:color="auto" w:fill="auto"/>
            <w:noWrap/>
            <w:vAlign w:val="bottom"/>
            <w:hideMark/>
          </w:tcPr>
          <w:p w14:paraId="178B3178"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0,55</w:t>
            </w:r>
          </w:p>
        </w:tc>
        <w:tc>
          <w:tcPr>
            <w:tcW w:w="708" w:type="dxa"/>
            <w:tcBorders>
              <w:left w:val="single" w:sz="8" w:space="0" w:color="auto"/>
            </w:tcBorders>
            <w:shd w:val="clear" w:color="auto" w:fill="auto"/>
            <w:noWrap/>
            <w:vAlign w:val="bottom"/>
            <w:hideMark/>
          </w:tcPr>
          <w:p w14:paraId="51F59013"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0,48</w:t>
            </w:r>
          </w:p>
        </w:tc>
        <w:tc>
          <w:tcPr>
            <w:tcW w:w="567" w:type="dxa"/>
            <w:tcBorders>
              <w:right w:val="single" w:sz="8" w:space="0" w:color="auto"/>
            </w:tcBorders>
            <w:shd w:val="clear" w:color="auto" w:fill="auto"/>
            <w:noWrap/>
            <w:vAlign w:val="bottom"/>
            <w:hideMark/>
          </w:tcPr>
          <w:p w14:paraId="54A50DAE"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0,90</w:t>
            </w:r>
          </w:p>
        </w:tc>
        <w:tc>
          <w:tcPr>
            <w:tcW w:w="567" w:type="dxa"/>
            <w:tcBorders>
              <w:left w:val="single" w:sz="8" w:space="0" w:color="auto"/>
            </w:tcBorders>
            <w:shd w:val="clear" w:color="auto" w:fill="auto"/>
            <w:noWrap/>
            <w:vAlign w:val="bottom"/>
            <w:hideMark/>
          </w:tcPr>
          <w:p w14:paraId="5B0AB1D0"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1,07</w:t>
            </w:r>
          </w:p>
        </w:tc>
        <w:tc>
          <w:tcPr>
            <w:tcW w:w="567" w:type="dxa"/>
            <w:tcBorders>
              <w:right w:val="single" w:sz="8" w:space="0" w:color="auto"/>
            </w:tcBorders>
            <w:shd w:val="clear" w:color="auto" w:fill="auto"/>
            <w:noWrap/>
            <w:vAlign w:val="bottom"/>
            <w:hideMark/>
          </w:tcPr>
          <w:p w14:paraId="44545E17"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0,99</w:t>
            </w:r>
          </w:p>
        </w:tc>
        <w:tc>
          <w:tcPr>
            <w:tcW w:w="709" w:type="dxa"/>
            <w:tcBorders>
              <w:left w:val="single" w:sz="8" w:space="0" w:color="auto"/>
            </w:tcBorders>
            <w:shd w:val="clear" w:color="auto" w:fill="auto"/>
            <w:noWrap/>
            <w:vAlign w:val="bottom"/>
            <w:hideMark/>
          </w:tcPr>
          <w:p w14:paraId="73AA76EA"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7,60</w:t>
            </w:r>
          </w:p>
        </w:tc>
        <w:tc>
          <w:tcPr>
            <w:tcW w:w="851" w:type="dxa"/>
            <w:shd w:val="clear" w:color="auto" w:fill="auto"/>
            <w:noWrap/>
            <w:vAlign w:val="bottom"/>
            <w:hideMark/>
          </w:tcPr>
          <w:p w14:paraId="6DA0D1B0"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3,37</w:t>
            </w:r>
          </w:p>
        </w:tc>
      </w:tr>
      <w:tr w:rsidR="00324D24" w:rsidRPr="00517ECD" w14:paraId="6CDA0ED9" w14:textId="77777777" w:rsidTr="00635E50">
        <w:trPr>
          <w:trHeight w:val="310"/>
        </w:trPr>
        <w:tc>
          <w:tcPr>
            <w:tcW w:w="2268" w:type="dxa"/>
            <w:tcBorders>
              <w:right w:val="single" w:sz="8" w:space="0" w:color="auto"/>
            </w:tcBorders>
            <w:shd w:val="clear" w:color="000000" w:fill="FFFFFF"/>
            <w:vAlign w:val="bottom"/>
            <w:hideMark/>
          </w:tcPr>
          <w:p w14:paraId="08B9234D" w14:textId="77777777" w:rsidR="00324D24" w:rsidRPr="00517ECD" w:rsidRDefault="00324D24" w:rsidP="008B6F9B">
            <w:pPr>
              <w:spacing w:after="0" w:line="240" w:lineRule="auto"/>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Mata Setentrional Pernambucana</w:t>
            </w:r>
          </w:p>
        </w:tc>
        <w:tc>
          <w:tcPr>
            <w:tcW w:w="567" w:type="dxa"/>
            <w:tcBorders>
              <w:left w:val="single" w:sz="8" w:space="0" w:color="auto"/>
            </w:tcBorders>
            <w:shd w:val="clear" w:color="auto" w:fill="auto"/>
            <w:noWrap/>
            <w:vAlign w:val="bottom"/>
            <w:hideMark/>
          </w:tcPr>
          <w:p w14:paraId="418BF187" w14:textId="77777777" w:rsidR="00324D24" w:rsidRPr="006B33F0"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6B33F0">
              <w:rPr>
                <w:rFonts w:ascii="Times New Roman" w:eastAsia="Times New Roman" w:hAnsi="Times New Roman" w:cs="Times New Roman"/>
                <w:b/>
                <w:bCs/>
                <w:color w:val="000000"/>
                <w:sz w:val="20"/>
                <w:szCs w:val="20"/>
                <w:lang w:eastAsia="pt-BR"/>
              </w:rPr>
              <w:t>2,40</w:t>
            </w:r>
          </w:p>
        </w:tc>
        <w:tc>
          <w:tcPr>
            <w:tcW w:w="540" w:type="dxa"/>
            <w:tcBorders>
              <w:right w:val="single" w:sz="8" w:space="0" w:color="auto"/>
            </w:tcBorders>
            <w:shd w:val="clear" w:color="auto" w:fill="auto"/>
            <w:noWrap/>
            <w:vAlign w:val="bottom"/>
            <w:hideMark/>
          </w:tcPr>
          <w:p w14:paraId="30BD967F" w14:textId="77777777" w:rsidR="00324D24" w:rsidRPr="006B33F0"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6B33F0">
              <w:rPr>
                <w:rFonts w:ascii="Times New Roman" w:eastAsia="Times New Roman" w:hAnsi="Times New Roman" w:cs="Times New Roman"/>
                <w:b/>
                <w:bCs/>
                <w:color w:val="000000"/>
                <w:sz w:val="20"/>
                <w:szCs w:val="20"/>
                <w:lang w:eastAsia="pt-BR"/>
              </w:rPr>
              <w:t>2,66</w:t>
            </w:r>
          </w:p>
        </w:tc>
        <w:tc>
          <w:tcPr>
            <w:tcW w:w="736" w:type="dxa"/>
            <w:tcBorders>
              <w:left w:val="single" w:sz="8" w:space="0" w:color="auto"/>
            </w:tcBorders>
            <w:shd w:val="clear" w:color="auto" w:fill="auto"/>
            <w:noWrap/>
            <w:vAlign w:val="bottom"/>
            <w:hideMark/>
          </w:tcPr>
          <w:p w14:paraId="7443406E"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0,27</w:t>
            </w:r>
          </w:p>
        </w:tc>
        <w:tc>
          <w:tcPr>
            <w:tcW w:w="851" w:type="dxa"/>
            <w:tcBorders>
              <w:right w:val="single" w:sz="8" w:space="0" w:color="auto"/>
            </w:tcBorders>
            <w:shd w:val="clear" w:color="auto" w:fill="auto"/>
            <w:noWrap/>
            <w:vAlign w:val="bottom"/>
            <w:hideMark/>
          </w:tcPr>
          <w:p w14:paraId="530BA1F0"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0,53</w:t>
            </w:r>
          </w:p>
        </w:tc>
        <w:tc>
          <w:tcPr>
            <w:tcW w:w="708" w:type="dxa"/>
            <w:tcBorders>
              <w:left w:val="single" w:sz="8" w:space="0" w:color="auto"/>
            </w:tcBorders>
            <w:shd w:val="clear" w:color="auto" w:fill="auto"/>
            <w:noWrap/>
            <w:vAlign w:val="bottom"/>
            <w:hideMark/>
          </w:tcPr>
          <w:p w14:paraId="00505646"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0,83</w:t>
            </w:r>
          </w:p>
        </w:tc>
        <w:tc>
          <w:tcPr>
            <w:tcW w:w="567" w:type="dxa"/>
            <w:tcBorders>
              <w:right w:val="single" w:sz="8" w:space="0" w:color="auto"/>
            </w:tcBorders>
            <w:shd w:val="clear" w:color="auto" w:fill="auto"/>
            <w:noWrap/>
            <w:vAlign w:val="bottom"/>
            <w:hideMark/>
          </w:tcPr>
          <w:p w14:paraId="250A65FE"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0,84</w:t>
            </w:r>
          </w:p>
        </w:tc>
        <w:tc>
          <w:tcPr>
            <w:tcW w:w="567" w:type="dxa"/>
            <w:tcBorders>
              <w:left w:val="single" w:sz="8" w:space="0" w:color="auto"/>
            </w:tcBorders>
            <w:shd w:val="clear" w:color="auto" w:fill="auto"/>
            <w:noWrap/>
            <w:vAlign w:val="bottom"/>
            <w:hideMark/>
          </w:tcPr>
          <w:p w14:paraId="1AF77B59"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0,58</w:t>
            </w:r>
          </w:p>
        </w:tc>
        <w:tc>
          <w:tcPr>
            <w:tcW w:w="567" w:type="dxa"/>
            <w:tcBorders>
              <w:right w:val="single" w:sz="8" w:space="0" w:color="auto"/>
            </w:tcBorders>
            <w:shd w:val="clear" w:color="auto" w:fill="auto"/>
            <w:noWrap/>
            <w:vAlign w:val="bottom"/>
            <w:hideMark/>
          </w:tcPr>
          <w:p w14:paraId="2343BE6E"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0,58</w:t>
            </w:r>
          </w:p>
        </w:tc>
        <w:tc>
          <w:tcPr>
            <w:tcW w:w="709" w:type="dxa"/>
            <w:tcBorders>
              <w:left w:val="single" w:sz="8" w:space="0" w:color="auto"/>
            </w:tcBorders>
            <w:shd w:val="clear" w:color="auto" w:fill="auto"/>
            <w:noWrap/>
            <w:vAlign w:val="bottom"/>
            <w:hideMark/>
          </w:tcPr>
          <w:p w14:paraId="78ED452B"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4,19</w:t>
            </w:r>
          </w:p>
        </w:tc>
        <w:tc>
          <w:tcPr>
            <w:tcW w:w="851" w:type="dxa"/>
            <w:shd w:val="clear" w:color="auto" w:fill="auto"/>
            <w:noWrap/>
            <w:vAlign w:val="bottom"/>
            <w:hideMark/>
          </w:tcPr>
          <w:p w14:paraId="41838033"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2,92</w:t>
            </w:r>
          </w:p>
        </w:tc>
      </w:tr>
      <w:tr w:rsidR="00324D24" w:rsidRPr="00517ECD" w14:paraId="73BCCEBC" w14:textId="77777777" w:rsidTr="00635E50">
        <w:trPr>
          <w:trHeight w:val="300"/>
        </w:trPr>
        <w:tc>
          <w:tcPr>
            <w:tcW w:w="2268" w:type="dxa"/>
            <w:tcBorders>
              <w:right w:val="single" w:sz="8" w:space="0" w:color="auto"/>
            </w:tcBorders>
            <w:shd w:val="clear" w:color="000000" w:fill="FFFFFF"/>
            <w:vAlign w:val="bottom"/>
            <w:hideMark/>
          </w:tcPr>
          <w:p w14:paraId="0478915F" w14:textId="4E38AE0D" w:rsidR="00324D24" w:rsidRPr="00517ECD" w:rsidRDefault="00324D24" w:rsidP="008B6F9B">
            <w:pPr>
              <w:spacing w:after="0" w:line="240" w:lineRule="auto"/>
              <w:rPr>
                <w:rFonts w:ascii="Times New Roman" w:eastAsia="Times New Roman" w:hAnsi="Times New Roman" w:cs="Times New Roman"/>
                <w:b/>
                <w:bCs/>
                <w:color w:val="000000"/>
                <w:sz w:val="20"/>
                <w:szCs w:val="20"/>
                <w:lang w:eastAsia="pt-BR"/>
              </w:rPr>
            </w:pPr>
            <w:bookmarkStart w:id="1" w:name="_Hlk110505855"/>
            <w:r w:rsidRPr="00517ECD">
              <w:rPr>
                <w:rFonts w:ascii="Times New Roman" w:eastAsia="Times New Roman" w:hAnsi="Times New Roman" w:cs="Times New Roman"/>
                <w:b/>
                <w:bCs/>
                <w:color w:val="000000"/>
                <w:sz w:val="20"/>
                <w:szCs w:val="20"/>
                <w:lang w:eastAsia="pt-BR"/>
              </w:rPr>
              <w:t>Vitória de Santo Antão</w:t>
            </w:r>
            <w:bookmarkEnd w:id="1"/>
          </w:p>
        </w:tc>
        <w:tc>
          <w:tcPr>
            <w:tcW w:w="567" w:type="dxa"/>
            <w:tcBorders>
              <w:left w:val="single" w:sz="8" w:space="0" w:color="auto"/>
            </w:tcBorders>
            <w:shd w:val="clear" w:color="auto" w:fill="auto"/>
            <w:noWrap/>
            <w:vAlign w:val="bottom"/>
            <w:hideMark/>
          </w:tcPr>
          <w:p w14:paraId="206DAAC7" w14:textId="77777777" w:rsidR="00324D24" w:rsidRPr="006B33F0"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6B33F0">
              <w:rPr>
                <w:rFonts w:ascii="Times New Roman" w:eastAsia="Times New Roman" w:hAnsi="Times New Roman" w:cs="Times New Roman"/>
                <w:b/>
                <w:bCs/>
                <w:color w:val="000000"/>
                <w:sz w:val="20"/>
                <w:szCs w:val="20"/>
                <w:lang w:eastAsia="pt-BR"/>
              </w:rPr>
              <w:t>2,12</w:t>
            </w:r>
          </w:p>
        </w:tc>
        <w:tc>
          <w:tcPr>
            <w:tcW w:w="540" w:type="dxa"/>
            <w:tcBorders>
              <w:right w:val="single" w:sz="8" w:space="0" w:color="auto"/>
            </w:tcBorders>
            <w:shd w:val="clear" w:color="auto" w:fill="auto"/>
            <w:noWrap/>
            <w:vAlign w:val="bottom"/>
            <w:hideMark/>
          </w:tcPr>
          <w:p w14:paraId="2A3D4FCA" w14:textId="77777777" w:rsidR="00324D24" w:rsidRPr="006B33F0"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6B33F0">
              <w:rPr>
                <w:rFonts w:ascii="Times New Roman" w:eastAsia="Times New Roman" w:hAnsi="Times New Roman" w:cs="Times New Roman"/>
                <w:b/>
                <w:bCs/>
                <w:color w:val="000000"/>
                <w:sz w:val="20"/>
                <w:szCs w:val="20"/>
                <w:lang w:eastAsia="pt-BR"/>
              </w:rPr>
              <w:t>2,45</w:t>
            </w:r>
          </w:p>
        </w:tc>
        <w:tc>
          <w:tcPr>
            <w:tcW w:w="736" w:type="dxa"/>
            <w:tcBorders>
              <w:left w:val="single" w:sz="8" w:space="0" w:color="auto"/>
            </w:tcBorders>
            <w:shd w:val="clear" w:color="auto" w:fill="auto"/>
            <w:noWrap/>
            <w:vAlign w:val="bottom"/>
            <w:hideMark/>
          </w:tcPr>
          <w:p w14:paraId="0D2AB467"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0,21</w:t>
            </w:r>
          </w:p>
        </w:tc>
        <w:tc>
          <w:tcPr>
            <w:tcW w:w="851" w:type="dxa"/>
            <w:tcBorders>
              <w:right w:val="single" w:sz="8" w:space="0" w:color="auto"/>
            </w:tcBorders>
            <w:shd w:val="clear" w:color="auto" w:fill="auto"/>
            <w:noWrap/>
            <w:vAlign w:val="bottom"/>
            <w:hideMark/>
          </w:tcPr>
          <w:p w14:paraId="3A5799DA"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0,18</w:t>
            </w:r>
          </w:p>
        </w:tc>
        <w:tc>
          <w:tcPr>
            <w:tcW w:w="708" w:type="dxa"/>
            <w:tcBorders>
              <w:left w:val="single" w:sz="8" w:space="0" w:color="auto"/>
            </w:tcBorders>
            <w:shd w:val="clear" w:color="auto" w:fill="auto"/>
            <w:noWrap/>
            <w:vAlign w:val="bottom"/>
            <w:hideMark/>
          </w:tcPr>
          <w:p w14:paraId="4DB61025"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1,14</w:t>
            </w:r>
          </w:p>
        </w:tc>
        <w:tc>
          <w:tcPr>
            <w:tcW w:w="567" w:type="dxa"/>
            <w:tcBorders>
              <w:right w:val="single" w:sz="8" w:space="0" w:color="auto"/>
            </w:tcBorders>
            <w:shd w:val="clear" w:color="auto" w:fill="auto"/>
            <w:noWrap/>
            <w:vAlign w:val="bottom"/>
            <w:hideMark/>
          </w:tcPr>
          <w:p w14:paraId="5C962E03"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1,24</w:t>
            </w:r>
          </w:p>
        </w:tc>
        <w:tc>
          <w:tcPr>
            <w:tcW w:w="567" w:type="dxa"/>
            <w:tcBorders>
              <w:left w:val="single" w:sz="8" w:space="0" w:color="auto"/>
            </w:tcBorders>
            <w:shd w:val="clear" w:color="auto" w:fill="auto"/>
            <w:noWrap/>
            <w:vAlign w:val="bottom"/>
            <w:hideMark/>
          </w:tcPr>
          <w:p w14:paraId="08700960"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0,75</w:t>
            </w:r>
          </w:p>
        </w:tc>
        <w:tc>
          <w:tcPr>
            <w:tcW w:w="567" w:type="dxa"/>
            <w:tcBorders>
              <w:right w:val="single" w:sz="8" w:space="0" w:color="auto"/>
            </w:tcBorders>
            <w:shd w:val="clear" w:color="auto" w:fill="auto"/>
            <w:noWrap/>
            <w:vAlign w:val="bottom"/>
            <w:hideMark/>
          </w:tcPr>
          <w:p w14:paraId="4D246B03"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0,65</w:t>
            </w:r>
          </w:p>
        </w:tc>
        <w:tc>
          <w:tcPr>
            <w:tcW w:w="709" w:type="dxa"/>
            <w:tcBorders>
              <w:left w:val="single" w:sz="8" w:space="0" w:color="auto"/>
            </w:tcBorders>
            <w:shd w:val="clear" w:color="auto" w:fill="auto"/>
            <w:noWrap/>
            <w:vAlign w:val="bottom"/>
            <w:hideMark/>
          </w:tcPr>
          <w:p w14:paraId="092A2257"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1,25</w:t>
            </w:r>
          </w:p>
        </w:tc>
        <w:tc>
          <w:tcPr>
            <w:tcW w:w="851" w:type="dxa"/>
            <w:shd w:val="clear" w:color="auto" w:fill="auto"/>
            <w:noWrap/>
            <w:vAlign w:val="bottom"/>
            <w:hideMark/>
          </w:tcPr>
          <w:p w14:paraId="30742BB0"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0,64</w:t>
            </w:r>
          </w:p>
        </w:tc>
      </w:tr>
      <w:tr w:rsidR="00324D24" w:rsidRPr="00517ECD" w14:paraId="1CB70B11" w14:textId="77777777" w:rsidTr="00635E50">
        <w:trPr>
          <w:trHeight w:val="310"/>
        </w:trPr>
        <w:tc>
          <w:tcPr>
            <w:tcW w:w="2268" w:type="dxa"/>
            <w:tcBorders>
              <w:right w:val="single" w:sz="8" w:space="0" w:color="auto"/>
            </w:tcBorders>
            <w:shd w:val="clear" w:color="000000" w:fill="FFFFFF"/>
            <w:vAlign w:val="bottom"/>
            <w:hideMark/>
          </w:tcPr>
          <w:p w14:paraId="2D53ED4C" w14:textId="77777777" w:rsidR="00324D24" w:rsidRPr="00517ECD" w:rsidRDefault="00324D24" w:rsidP="008B6F9B">
            <w:pPr>
              <w:spacing w:after="0" w:line="240" w:lineRule="auto"/>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Mata Meridional Pernambucana</w:t>
            </w:r>
          </w:p>
        </w:tc>
        <w:tc>
          <w:tcPr>
            <w:tcW w:w="567" w:type="dxa"/>
            <w:tcBorders>
              <w:left w:val="single" w:sz="8" w:space="0" w:color="auto"/>
            </w:tcBorders>
            <w:shd w:val="clear" w:color="auto" w:fill="auto"/>
            <w:noWrap/>
            <w:vAlign w:val="bottom"/>
            <w:hideMark/>
          </w:tcPr>
          <w:p w14:paraId="07C33EC6" w14:textId="77777777" w:rsidR="00324D24" w:rsidRPr="006B33F0"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6B33F0">
              <w:rPr>
                <w:rFonts w:ascii="Times New Roman" w:eastAsia="Times New Roman" w:hAnsi="Times New Roman" w:cs="Times New Roman"/>
                <w:b/>
                <w:bCs/>
                <w:color w:val="000000"/>
                <w:sz w:val="20"/>
                <w:szCs w:val="20"/>
                <w:lang w:eastAsia="pt-BR"/>
              </w:rPr>
              <w:t>2,72</w:t>
            </w:r>
          </w:p>
        </w:tc>
        <w:tc>
          <w:tcPr>
            <w:tcW w:w="540" w:type="dxa"/>
            <w:tcBorders>
              <w:right w:val="single" w:sz="8" w:space="0" w:color="auto"/>
            </w:tcBorders>
            <w:shd w:val="clear" w:color="auto" w:fill="auto"/>
            <w:noWrap/>
            <w:vAlign w:val="bottom"/>
            <w:hideMark/>
          </w:tcPr>
          <w:p w14:paraId="684BF450" w14:textId="77777777" w:rsidR="00324D24" w:rsidRPr="006B33F0"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6B33F0">
              <w:rPr>
                <w:rFonts w:ascii="Times New Roman" w:eastAsia="Times New Roman" w:hAnsi="Times New Roman" w:cs="Times New Roman"/>
                <w:b/>
                <w:bCs/>
                <w:color w:val="000000"/>
                <w:sz w:val="20"/>
                <w:szCs w:val="20"/>
                <w:lang w:eastAsia="pt-BR"/>
              </w:rPr>
              <w:t>2,41</w:t>
            </w:r>
          </w:p>
        </w:tc>
        <w:tc>
          <w:tcPr>
            <w:tcW w:w="736" w:type="dxa"/>
            <w:tcBorders>
              <w:left w:val="single" w:sz="8" w:space="0" w:color="auto"/>
            </w:tcBorders>
            <w:shd w:val="clear" w:color="auto" w:fill="auto"/>
            <w:noWrap/>
            <w:vAlign w:val="bottom"/>
            <w:hideMark/>
          </w:tcPr>
          <w:p w14:paraId="44E89EB8"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0,13</w:t>
            </w:r>
          </w:p>
        </w:tc>
        <w:tc>
          <w:tcPr>
            <w:tcW w:w="851" w:type="dxa"/>
            <w:tcBorders>
              <w:right w:val="single" w:sz="8" w:space="0" w:color="auto"/>
            </w:tcBorders>
            <w:shd w:val="clear" w:color="auto" w:fill="auto"/>
            <w:noWrap/>
            <w:vAlign w:val="bottom"/>
            <w:hideMark/>
          </w:tcPr>
          <w:p w14:paraId="2B1DC3C6"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0,69</w:t>
            </w:r>
          </w:p>
        </w:tc>
        <w:tc>
          <w:tcPr>
            <w:tcW w:w="708" w:type="dxa"/>
            <w:tcBorders>
              <w:left w:val="single" w:sz="8" w:space="0" w:color="auto"/>
            </w:tcBorders>
            <w:shd w:val="clear" w:color="auto" w:fill="auto"/>
            <w:noWrap/>
            <w:vAlign w:val="bottom"/>
            <w:hideMark/>
          </w:tcPr>
          <w:p w14:paraId="2FEC4EFC"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0,56</w:t>
            </w:r>
          </w:p>
        </w:tc>
        <w:tc>
          <w:tcPr>
            <w:tcW w:w="567" w:type="dxa"/>
            <w:tcBorders>
              <w:right w:val="single" w:sz="8" w:space="0" w:color="auto"/>
            </w:tcBorders>
            <w:shd w:val="clear" w:color="auto" w:fill="auto"/>
            <w:noWrap/>
            <w:vAlign w:val="bottom"/>
            <w:hideMark/>
          </w:tcPr>
          <w:p w14:paraId="179EDB09"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0,75</w:t>
            </w:r>
          </w:p>
        </w:tc>
        <w:tc>
          <w:tcPr>
            <w:tcW w:w="567" w:type="dxa"/>
            <w:tcBorders>
              <w:left w:val="single" w:sz="8" w:space="0" w:color="auto"/>
            </w:tcBorders>
            <w:shd w:val="clear" w:color="auto" w:fill="auto"/>
            <w:noWrap/>
            <w:vAlign w:val="bottom"/>
            <w:hideMark/>
          </w:tcPr>
          <w:p w14:paraId="4445B8AB"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0,64</w:t>
            </w:r>
          </w:p>
        </w:tc>
        <w:tc>
          <w:tcPr>
            <w:tcW w:w="567" w:type="dxa"/>
            <w:tcBorders>
              <w:right w:val="single" w:sz="8" w:space="0" w:color="auto"/>
            </w:tcBorders>
            <w:shd w:val="clear" w:color="auto" w:fill="auto"/>
            <w:noWrap/>
            <w:vAlign w:val="bottom"/>
            <w:hideMark/>
          </w:tcPr>
          <w:p w14:paraId="41CA4E24"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0,69</w:t>
            </w:r>
          </w:p>
        </w:tc>
        <w:tc>
          <w:tcPr>
            <w:tcW w:w="709" w:type="dxa"/>
            <w:tcBorders>
              <w:left w:val="single" w:sz="8" w:space="0" w:color="auto"/>
            </w:tcBorders>
            <w:shd w:val="clear" w:color="auto" w:fill="auto"/>
            <w:noWrap/>
            <w:vAlign w:val="bottom"/>
            <w:hideMark/>
          </w:tcPr>
          <w:p w14:paraId="092482A3"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3,54</w:t>
            </w:r>
          </w:p>
        </w:tc>
        <w:tc>
          <w:tcPr>
            <w:tcW w:w="851" w:type="dxa"/>
            <w:shd w:val="clear" w:color="auto" w:fill="auto"/>
            <w:noWrap/>
            <w:vAlign w:val="bottom"/>
            <w:hideMark/>
          </w:tcPr>
          <w:p w14:paraId="58B46C99"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2,32</w:t>
            </w:r>
          </w:p>
        </w:tc>
      </w:tr>
      <w:tr w:rsidR="00324D24" w:rsidRPr="00517ECD" w14:paraId="0A0C7D7A" w14:textId="77777777" w:rsidTr="00635E50">
        <w:trPr>
          <w:trHeight w:val="310"/>
        </w:trPr>
        <w:tc>
          <w:tcPr>
            <w:tcW w:w="2268" w:type="dxa"/>
            <w:tcBorders>
              <w:right w:val="single" w:sz="8" w:space="0" w:color="auto"/>
            </w:tcBorders>
            <w:shd w:val="clear" w:color="000000" w:fill="FFFFFF"/>
            <w:vAlign w:val="bottom"/>
            <w:hideMark/>
          </w:tcPr>
          <w:p w14:paraId="35304AB7" w14:textId="77777777" w:rsidR="00324D24" w:rsidRPr="00517ECD" w:rsidRDefault="00324D24" w:rsidP="008B6F9B">
            <w:pPr>
              <w:spacing w:after="0" w:line="240" w:lineRule="auto"/>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Itamaracá</w:t>
            </w:r>
          </w:p>
        </w:tc>
        <w:tc>
          <w:tcPr>
            <w:tcW w:w="567" w:type="dxa"/>
            <w:tcBorders>
              <w:left w:val="single" w:sz="8" w:space="0" w:color="auto"/>
            </w:tcBorders>
            <w:shd w:val="clear" w:color="auto" w:fill="auto"/>
            <w:noWrap/>
            <w:vAlign w:val="bottom"/>
            <w:hideMark/>
          </w:tcPr>
          <w:p w14:paraId="18AF2985" w14:textId="77777777" w:rsidR="00324D24" w:rsidRPr="006B33F0"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6B33F0">
              <w:rPr>
                <w:rFonts w:ascii="Times New Roman" w:eastAsia="Times New Roman" w:hAnsi="Times New Roman" w:cs="Times New Roman"/>
                <w:b/>
                <w:bCs/>
                <w:color w:val="000000"/>
                <w:sz w:val="20"/>
                <w:szCs w:val="20"/>
                <w:lang w:eastAsia="pt-BR"/>
              </w:rPr>
              <w:t>3,21</w:t>
            </w:r>
          </w:p>
        </w:tc>
        <w:tc>
          <w:tcPr>
            <w:tcW w:w="540" w:type="dxa"/>
            <w:tcBorders>
              <w:right w:val="single" w:sz="8" w:space="0" w:color="auto"/>
            </w:tcBorders>
            <w:shd w:val="clear" w:color="auto" w:fill="auto"/>
            <w:noWrap/>
            <w:vAlign w:val="bottom"/>
            <w:hideMark/>
          </w:tcPr>
          <w:p w14:paraId="12D8A165" w14:textId="77777777" w:rsidR="00324D24" w:rsidRPr="006B33F0"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6B33F0">
              <w:rPr>
                <w:rFonts w:ascii="Times New Roman" w:eastAsia="Times New Roman" w:hAnsi="Times New Roman" w:cs="Times New Roman"/>
                <w:b/>
                <w:bCs/>
                <w:color w:val="000000"/>
                <w:sz w:val="20"/>
                <w:szCs w:val="20"/>
                <w:lang w:eastAsia="pt-BR"/>
              </w:rPr>
              <w:t>3,15</w:t>
            </w:r>
          </w:p>
        </w:tc>
        <w:tc>
          <w:tcPr>
            <w:tcW w:w="736" w:type="dxa"/>
            <w:tcBorders>
              <w:left w:val="single" w:sz="8" w:space="0" w:color="auto"/>
            </w:tcBorders>
            <w:shd w:val="clear" w:color="auto" w:fill="auto"/>
            <w:noWrap/>
            <w:vAlign w:val="bottom"/>
            <w:hideMark/>
          </w:tcPr>
          <w:p w14:paraId="1BB45D83"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0,73</w:t>
            </w:r>
          </w:p>
        </w:tc>
        <w:tc>
          <w:tcPr>
            <w:tcW w:w="851" w:type="dxa"/>
            <w:tcBorders>
              <w:right w:val="single" w:sz="8" w:space="0" w:color="auto"/>
            </w:tcBorders>
            <w:shd w:val="clear" w:color="auto" w:fill="auto"/>
            <w:noWrap/>
            <w:vAlign w:val="bottom"/>
            <w:hideMark/>
          </w:tcPr>
          <w:p w14:paraId="71741871"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1,07</w:t>
            </w:r>
          </w:p>
        </w:tc>
        <w:tc>
          <w:tcPr>
            <w:tcW w:w="708" w:type="dxa"/>
            <w:tcBorders>
              <w:left w:val="single" w:sz="8" w:space="0" w:color="auto"/>
            </w:tcBorders>
            <w:shd w:val="clear" w:color="auto" w:fill="auto"/>
            <w:noWrap/>
            <w:vAlign w:val="bottom"/>
            <w:hideMark/>
          </w:tcPr>
          <w:p w14:paraId="0DDAAD8D"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0,51</w:t>
            </w:r>
          </w:p>
        </w:tc>
        <w:tc>
          <w:tcPr>
            <w:tcW w:w="567" w:type="dxa"/>
            <w:tcBorders>
              <w:right w:val="single" w:sz="8" w:space="0" w:color="auto"/>
            </w:tcBorders>
            <w:shd w:val="clear" w:color="auto" w:fill="auto"/>
            <w:noWrap/>
            <w:vAlign w:val="bottom"/>
            <w:hideMark/>
          </w:tcPr>
          <w:p w14:paraId="1940AF80"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0,67</w:t>
            </w:r>
          </w:p>
        </w:tc>
        <w:tc>
          <w:tcPr>
            <w:tcW w:w="567" w:type="dxa"/>
            <w:tcBorders>
              <w:left w:val="single" w:sz="8" w:space="0" w:color="auto"/>
            </w:tcBorders>
            <w:shd w:val="clear" w:color="auto" w:fill="auto"/>
            <w:noWrap/>
            <w:vAlign w:val="bottom"/>
            <w:hideMark/>
          </w:tcPr>
          <w:p w14:paraId="61997A98"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0,61</w:t>
            </w:r>
          </w:p>
        </w:tc>
        <w:tc>
          <w:tcPr>
            <w:tcW w:w="567" w:type="dxa"/>
            <w:tcBorders>
              <w:right w:val="single" w:sz="8" w:space="0" w:color="auto"/>
            </w:tcBorders>
            <w:shd w:val="clear" w:color="auto" w:fill="auto"/>
            <w:noWrap/>
            <w:vAlign w:val="bottom"/>
            <w:hideMark/>
          </w:tcPr>
          <w:p w14:paraId="580102CB"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0,59</w:t>
            </w:r>
          </w:p>
        </w:tc>
        <w:tc>
          <w:tcPr>
            <w:tcW w:w="709" w:type="dxa"/>
            <w:tcBorders>
              <w:left w:val="single" w:sz="8" w:space="0" w:color="auto"/>
            </w:tcBorders>
            <w:shd w:val="clear" w:color="auto" w:fill="auto"/>
            <w:noWrap/>
            <w:vAlign w:val="bottom"/>
            <w:hideMark/>
          </w:tcPr>
          <w:p w14:paraId="39D4FCF7"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0,47</w:t>
            </w:r>
          </w:p>
        </w:tc>
        <w:tc>
          <w:tcPr>
            <w:tcW w:w="851" w:type="dxa"/>
            <w:shd w:val="clear" w:color="auto" w:fill="auto"/>
            <w:noWrap/>
            <w:vAlign w:val="bottom"/>
            <w:hideMark/>
          </w:tcPr>
          <w:p w14:paraId="3AF953B1"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0,88</w:t>
            </w:r>
          </w:p>
        </w:tc>
      </w:tr>
      <w:tr w:rsidR="00324D24" w:rsidRPr="00517ECD" w14:paraId="323FFE60" w14:textId="77777777" w:rsidTr="00635E50">
        <w:trPr>
          <w:trHeight w:val="310"/>
        </w:trPr>
        <w:tc>
          <w:tcPr>
            <w:tcW w:w="2268" w:type="dxa"/>
            <w:tcBorders>
              <w:right w:val="single" w:sz="8" w:space="0" w:color="auto"/>
            </w:tcBorders>
            <w:shd w:val="clear" w:color="000000" w:fill="FFFFFF"/>
            <w:vAlign w:val="bottom"/>
            <w:hideMark/>
          </w:tcPr>
          <w:p w14:paraId="1C36726F" w14:textId="77777777" w:rsidR="00324D24" w:rsidRPr="00517ECD" w:rsidRDefault="00324D24" w:rsidP="008B6F9B">
            <w:pPr>
              <w:spacing w:after="0" w:line="240" w:lineRule="auto"/>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Recife</w:t>
            </w:r>
          </w:p>
        </w:tc>
        <w:tc>
          <w:tcPr>
            <w:tcW w:w="567" w:type="dxa"/>
            <w:tcBorders>
              <w:left w:val="single" w:sz="8" w:space="0" w:color="auto"/>
            </w:tcBorders>
            <w:shd w:val="clear" w:color="auto" w:fill="auto"/>
            <w:noWrap/>
            <w:vAlign w:val="bottom"/>
            <w:hideMark/>
          </w:tcPr>
          <w:p w14:paraId="6FD0E03E"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0,66</w:t>
            </w:r>
          </w:p>
        </w:tc>
        <w:tc>
          <w:tcPr>
            <w:tcW w:w="540" w:type="dxa"/>
            <w:tcBorders>
              <w:right w:val="single" w:sz="8" w:space="0" w:color="auto"/>
            </w:tcBorders>
            <w:shd w:val="clear" w:color="auto" w:fill="auto"/>
            <w:noWrap/>
            <w:vAlign w:val="bottom"/>
            <w:hideMark/>
          </w:tcPr>
          <w:p w14:paraId="3B379526"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0,61</w:t>
            </w:r>
          </w:p>
        </w:tc>
        <w:tc>
          <w:tcPr>
            <w:tcW w:w="736" w:type="dxa"/>
            <w:tcBorders>
              <w:left w:val="single" w:sz="8" w:space="0" w:color="auto"/>
            </w:tcBorders>
            <w:shd w:val="clear" w:color="auto" w:fill="auto"/>
            <w:noWrap/>
            <w:vAlign w:val="bottom"/>
            <w:hideMark/>
          </w:tcPr>
          <w:p w14:paraId="5E619890"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1,00</w:t>
            </w:r>
          </w:p>
        </w:tc>
        <w:tc>
          <w:tcPr>
            <w:tcW w:w="851" w:type="dxa"/>
            <w:tcBorders>
              <w:right w:val="single" w:sz="8" w:space="0" w:color="auto"/>
            </w:tcBorders>
            <w:shd w:val="clear" w:color="auto" w:fill="auto"/>
            <w:noWrap/>
            <w:vAlign w:val="bottom"/>
            <w:hideMark/>
          </w:tcPr>
          <w:p w14:paraId="6126AA45"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1,17</w:t>
            </w:r>
          </w:p>
        </w:tc>
        <w:tc>
          <w:tcPr>
            <w:tcW w:w="708" w:type="dxa"/>
            <w:tcBorders>
              <w:left w:val="single" w:sz="8" w:space="0" w:color="auto"/>
            </w:tcBorders>
            <w:shd w:val="clear" w:color="auto" w:fill="auto"/>
            <w:noWrap/>
            <w:vAlign w:val="bottom"/>
            <w:hideMark/>
          </w:tcPr>
          <w:p w14:paraId="235F10BB"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1,00</w:t>
            </w:r>
          </w:p>
        </w:tc>
        <w:tc>
          <w:tcPr>
            <w:tcW w:w="567" w:type="dxa"/>
            <w:tcBorders>
              <w:right w:val="single" w:sz="8" w:space="0" w:color="auto"/>
            </w:tcBorders>
            <w:shd w:val="clear" w:color="auto" w:fill="auto"/>
            <w:noWrap/>
            <w:vAlign w:val="bottom"/>
            <w:hideMark/>
          </w:tcPr>
          <w:p w14:paraId="11118C7C"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0,95</w:t>
            </w:r>
          </w:p>
        </w:tc>
        <w:tc>
          <w:tcPr>
            <w:tcW w:w="567" w:type="dxa"/>
            <w:tcBorders>
              <w:left w:val="single" w:sz="8" w:space="0" w:color="auto"/>
            </w:tcBorders>
            <w:shd w:val="clear" w:color="auto" w:fill="auto"/>
            <w:noWrap/>
            <w:vAlign w:val="bottom"/>
            <w:hideMark/>
          </w:tcPr>
          <w:p w14:paraId="69472D83"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1,14</w:t>
            </w:r>
          </w:p>
        </w:tc>
        <w:tc>
          <w:tcPr>
            <w:tcW w:w="567" w:type="dxa"/>
            <w:tcBorders>
              <w:right w:val="single" w:sz="8" w:space="0" w:color="auto"/>
            </w:tcBorders>
            <w:shd w:val="clear" w:color="auto" w:fill="auto"/>
            <w:noWrap/>
            <w:vAlign w:val="bottom"/>
            <w:hideMark/>
          </w:tcPr>
          <w:p w14:paraId="6AA9EAD5"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1,14</w:t>
            </w:r>
          </w:p>
        </w:tc>
        <w:tc>
          <w:tcPr>
            <w:tcW w:w="709" w:type="dxa"/>
            <w:tcBorders>
              <w:left w:val="single" w:sz="8" w:space="0" w:color="auto"/>
            </w:tcBorders>
            <w:shd w:val="clear" w:color="auto" w:fill="auto"/>
            <w:noWrap/>
            <w:vAlign w:val="bottom"/>
            <w:hideMark/>
          </w:tcPr>
          <w:p w14:paraId="13A2CAF8"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0,16</w:t>
            </w:r>
          </w:p>
        </w:tc>
        <w:tc>
          <w:tcPr>
            <w:tcW w:w="851" w:type="dxa"/>
            <w:shd w:val="clear" w:color="auto" w:fill="auto"/>
            <w:noWrap/>
            <w:vAlign w:val="bottom"/>
            <w:hideMark/>
          </w:tcPr>
          <w:p w14:paraId="67513A8C"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0,17</w:t>
            </w:r>
          </w:p>
        </w:tc>
      </w:tr>
      <w:tr w:rsidR="00324D24" w:rsidRPr="00517ECD" w14:paraId="15D8BD76" w14:textId="77777777" w:rsidTr="00635E50">
        <w:trPr>
          <w:trHeight w:val="310"/>
        </w:trPr>
        <w:tc>
          <w:tcPr>
            <w:tcW w:w="2268" w:type="dxa"/>
            <w:tcBorders>
              <w:right w:val="single" w:sz="8" w:space="0" w:color="auto"/>
            </w:tcBorders>
            <w:shd w:val="clear" w:color="000000" w:fill="FFFFFF"/>
            <w:vAlign w:val="bottom"/>
            <w:hideMark/>
          </w:tcPr>
          <w:p w14:paraId="5C0E89D5" w14:textId="77777777" w:rsidR="00324D24" w:rsidRPr="00517ECD" w:rsidRDefault="00324D24" w:rsidP="008B6F9B">
            <w:pPr>
              <w:spacing w:after="0" w:line="240" w:lineRule="auto"/>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Suape</w:t>
            </w:r>
          </w:p>
        </w:tc>
        <w:tc>
          <w:tcPr>
            <w:tcW w:w="567" w:type="dxa"/>
            <w:tcBorders>
              <w:left w:val="single" w:sz="8" w:space="0" w:color="auto"/>
            </w:tcBorders>
            <w:shd w:val="clear" w:color="auto" w:fill="auto"/>
            <w:noWrap/>
            <w:vAlign w:val="bottom"/>
            <w:hideMark/>
          </w:tcPr>
          <w:p w14:paraId="34CA8BDE" w14:textId="77777777" w:rsidR="00324D24" w:rsidRPr="006B33F0"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6B33F0">
              <w:rPr>
                <w:rFonts w:ascii="Times New Roman" w:eastAsia="Times New Roman" w:hAnsi="Times New Roman" w:cs="Times New Roman"/>
                <w:b/>
                <w:bCs/>
                <w:color w:val="000000"/>
                <w:sz w:val="20"/>
                <w:szCs w:val="20"/>
                <w:lang w:eastAsia="pt-BR"/>
              </w:rPr>
              <w:t>1,71</w:t>
            </w:r>
          </w:p>
        </w:tc>
        <w:tc>
          <w:tcPr>
            <w:tcW w:w="540" w:type="dxa"/>
            <w:tcBorders>
              <w:right w:val="single" w:sz="8" w:space="0" w:color="auto"/>
            </w:tcBorders>
            <w:shd w:val="clear" w:color="auto" w:fill="auto"/>
            <w:noWrap/>
            <w:vAlign w:val="bottom"/>
            <w:hideMark/>
          </w:tcPr>
          <w:p w14:paraId="5964952B" w14:textId="77777777" w:rsidR="00324D24" w:rsidRPr="006B33F0"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6B33F0">
              <w:rPr>
                <w:rFonts w:ascii="Times New Roman" w:eastAsia="Times New Roman" w:hAnsi="Times New Roman" w:cs="Times New Roman"/>
                <w:b/>
                <w:bCs/>
                <w:color w:val="000000"/>
                <w:sz w:val="20"/>
                <w:szCs w:val="20"/>
                <w:lang w:eastAsia="pt-BR"/>
              </w:rPr>
              <w:t>1,86</w:t>
            </w:r>
          </w:p>
        </w:tc>
        <w:tc>
          <w:tcPr>
            <w:tcW w:w="736" w:type="dxa"/>
            <w:tcBorders>
              <w:left w:val="single" w:sz="8" w:space="0" w:color="auto"/>
            </w:tcBorders>
            <w:shd w:val="clear" w:color="auto" w:fill="auto"/>
            <w:noWrap/>
            <w:vAlign w:val="bottom"/>
            <w:hideMark/>
          </w:tcPr>
          <w:p w14:paraId="02BB8471"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3,51</w:t>
            </w:r>
          </w:p>
        </w:tc>
        <w:tc>
          <w:tcPr>
            <w:tcW w:w="851" w:type="dxa"/>
            <w:tcBorders>
              <w:right w:val="single" w:sz="8" w:space="0" w:color="auto"/>
            </w:tcBorders>
            <w:shd w:val="clear" w:color="auto" w:fill="auto"/>
            <w:noWrap/>
            <w:vAlign w:val="bottom"/>
            <w:hideMark/>
          </w:tcPr>
          <w:p w14:paraId="6ED49327"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1,10</w:t>
            </w:r>
          </w:p>
        </w:tc>
        <w:tc>
          <w:tcPr>
            <w:tcW w:w="708" w:type="dxa"/>
            <w:tcBorders>
              <w:left w:val="single" w:sz="8" w:space="0" w:color="auto"/>
            </w:tcBorders>
            <w:shd w:val="clear" w:color="auto" w:fill="auto"/>
            <w:noWrap/>
            <w:vAlign w:val="bottom"/>
            <w:hideMark/>
          </w:tcPr>
          <w:p w14:paraId="6C1E3089"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0,53</w:t>
            </w:r>
          </w:p>
        </w:tc>
        <w:tc>
          <w:tcPr>
            <w:tcW w:w="567" w:type="dxa"/>
            <w:tcBorders>
              <w:right w:val="single" w:sz="8" w:space="0" w:color="auto"/>
            </w:tcBorders>
            <w:shd w:val="clear" w:color="auto" w:fill="auto"/>
            <w:noWrap/>
            <w:vAlign w:val="bottom"/>
            <w:hideMark/>
          </w:tcPr>
          <w:p w14:paraId="5D38E1CB"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0,83</w:t>
            </w:r>
          </w:p>
        </w:tc>
        <w:tc>
          <w:tcPr>
            <w:tcW w:w="567" w:type="dxa"/>
            <w:tcBorders>
              <w:left w:val="single" w:sz="8" w:space="0" w:color="auto"/>
            </w:tcBorders>
            <w:shd w:val="clear" w:color="auto" w:fill="auto"/>
            <w:noWrap/>
            <w:vAlign w:val="bottom"/>
            <w:hideMark/>
          </w:tcPr>
          <w:p w14:paraId="6A3B037B"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0,56</w:t>
            </w:r>
          </w:p>
        </w:tc>
        <w:tc>
          <w:tcPr>
            <w:tcW w:w="567" w:type="dxa"/>
            <w:tcBorders>
              <w:right w:val="single" w:sz="8" w:space="0" w:color="auto"/>
            </w:tcBorders>
            <w:shd w:val="clear" w:color="auto" w:fill="auto"/>
            <w:noWrap/>
            <w:vAlign w:val="bottom"/>
            <w:hideMark/>
          </w:tcPr>
          <w:p w14:paraId="7501849C"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0,86</w:t>
            </w:r>
          </w:p>
        </w:tc>
        <w:tc>
          <w:tcPr>
            <w:tcW w:w="709" w:type="dxa"/>
            <w:tcBorders>
              <w:left w:val="single" w:sz="8" w:space="0" w:color="auto"/>
            </w:tcBorders>
            <w:shd w:val="clear" w:color="auto" w:fill="auto"/>
            <w:noWrap/>
            <w:vAlign w:val="bottom"/>
            <w:hideMark/>
          </w:tcPr>
          <w:p w14:paraId="56494956"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1,50</w:t>
            </w:r>
          </w:p>
        </w:tc>
        <w:tc>
          <w:tcPr>
            <w:tcW w:w="851" w:type="dxa"/>
            <w:shd w:val="clear" w:color="auto" w:fill="auto"/>
            <w:noWrap/>
            <w:vAlign w:val="bottom"/>
            <w:hideMark/>
          </w:tcPr>
          <w:p w14:paraId="548F3B09"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0,58</w:t>
            </w:r>
          </w:p>
        </w:tc>
      </w:tr>
      <w:tr w:rsidR="00324D24" w:rsidRPr="00517ECD" w14:paraId="01D6E2ED" w14:textId="77777777" w:rsidTr="00635E50">
        <w:trPr>
          <w:trHeight w:val="310"/>
        </w:trPr>
        <w:tc>
          <w:tcPr>
            <w:tcW w:w="2268" w:type="dxa"/>
            <w:tcBorders>
              <w:bottom w:val="single" w:sz="4" w:space="0" w:color="auto"/>
              <w:right w:val="single" w:sz="8" w:space="0" w:color="auto"/>
            </w:tcBorders>
            <w:shd w:val="clear" w:color="000000" w:fill="FFFFFF"/>
            <w:vAlign w:val="bottom"/>
            <w:hideMark/>
          </w:tcPr>
          <w:p w14:paraId="36E90EA4" w14:textId="77777777" w:rsidR="00324D24" w:rsidRPr="00517ECD" w:rsidRDefault="00324D24" w:rsidP="008B6F9B">
            <w:pPr>
              <w:spacing w:after="0" w:line="240" w:lineRule="auto"/>
              <w:rPr>
                <w:rFonts w:ascii="Times New Roman" w:eastAsia="Times New Roman" w:hAnsi="Times New Roman" w:cs="Times New Roman"/>
                <w:b/>
                <w:bCs/>
                <w:color w:val="000000"/>
                <w:sz w:val="20"/>
                <w:szCs w:val="20"/>
                <w:lang w:eastAsia="pt-BR"/>
              </w:rPr>
            </w:pPr>
            <w:r w:rsidRPr="00517ECD">
              <w:rPr>
                <w:rFonts w:ascii="Times New Roman" w:eastAsia="Times New Roman" w:hAnsi="Times New Roman" w:cs="Times New Roman"/>
                <w:b/>
                <w:bCs/>
                <w:color w:val="000000"/>
                <w:sz w:val="20"/>
                <w:szCs w:val="20"/>
                <w:lang w:eastAsia="pt-BR"/>
              </w:rPr>
              <w:t>Fernando de Noronha</w:t>
            </w:r>
          </w:p>
        </w:tc>
        <w:tc>
          <w:tcPr>
            <w:tcW w:w="567" w:type="dxa"/>
            <w:tcBorders>
              <w:left w:val="single" w:sz="8" w:space="0" w:color="auto"/>
              <w:bottom w:val="single" w:sz="4" w:space="0" w:color="auto"/>
            </w:tcBorders>
            <w:shd w:val="clear" w:color="auto" w:fill="auto"/>
            <w:noWrap/>
            <w:vAlign w:val="bottom"/>
            <w:hideMark/>
          </w:tcPr>
          <w:p w14:paraId="25E37AF4"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0,24</w:t>
            </w:r>
          </w:p>
        </w:tc>
        <w:tc>
          <w:tcPr>
            <w:tcW w:w="540" w:type="dxa"/>
            <w:tcBorders>
              <w:bottom w:val="single" w:sz="4" w:space="0" w:color="auto"/>
              <w:right w:val="single" w:sz="8" w:space="0" w:color="auto"/>
            </w:tcBorders>
            <w:shd w:val="clear" w:color="auto" w:fill="auto"/>
            <w:noWrap/>
            <w:vAlign w:val="bottom"/>
            <w:hideMark/>
          </w:tcPr>
          <w:p w14:paraId="22F0A029"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0,18</w:t>
            </w:r>
          </w:p>
        </w:tc>
        <w:tc>
          <w:tcPr>
            <w:tcW w:w="736" w:type="dxa"/>
            <w:tcBorders>
              <w:left w:val="single" w:sz="8" w:space="0" w:color="auto"/>
              <w:bottom w:val="single" w:sz="4" w:space="0" w:color="auto"/>
            </w:tcBorders>
            <w:shd w:val="clear" w:color="auto" w:fill="auto"/>
            <w:noWrap/>
            <w:vAlign w:val="bottom"/>
            <w:hideMark/>
          </w:tcPr>
          <w:p w14:paraId="043CFD3F"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0,13</w:t>
            </w:r>
          </w:p>
        </w:tc>
        <w:tc>
          <w:tcPr>
            <w:tcW w:w="851" w:type="dxa"/>
            <w:tcBorders>
              <w:bottom w:val="single" w:sz="4" w:space="0" w:color="auto"/>
              <w:right w:val="single" w:sz="8" w:space="0" w:color="auto"/>
            </w:tcBorders>
            <w:shd w:val="clear" w:color="auto" w:fill="auto"/>
            <w:noWrap/>
            <w:vAlign w:val="bottom"/>
            <w:hideMark/>
          </w:tcPr>
          <w:p w14:paraId="32CBFDC7"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0,08</w:t>
            </w:r>
          </w:p>
        </w:tc>
        <w:tc>
          <w:tcPr>
            <w:tcW w:w="708" w:type="dxa"/>
            <w:tcBorders>
              <w:left w:val="single" w:sz="8" w:space="0" w:color="auto"/>
              <w:bottom w:val="single" w:sz="4" w:space="0" w:color="auto"/>
            </w:tcBorders>
            <w:shd w:val="clear" w:color="auto" w:fill="auto"/>
            <w:noWrap/>
            <w:vAlign w:val="bottom"/>
            <w:hideMark/>
          </w:tcPr>
          <w:p w14:paraId="56D3955B"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1,23</w:t>
            </w:r>
          </w:p>
        </w:tc>
        <w:tc>
          <w:tcPr>
            <w:tcW w:w="567" w:type="dxa"/>
            <w:tcBorders>
              <w:bottom w:val="single" w:sz="4" w:space="0" w:color="auto"/>
              <w:right w:val="single" w:sz="8" w:space="0" w:color="auto"/>
            </w:tcBorders>
            <w:shd w:val="clear" w:color="auto" w:fill="auto"/>
            <w:noWrap/>
            <w:vAlign w:val="bottom"/>
            <w:hideMark/>
          </w:tcPr>
          <w:p w14:paraId="0E15AAA4"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0,76</w:t>
            </w:r>
          </w:p>
        </w:tc>
        <w:tc>
          <w:tcPr>
            <w:tcW w:w="567" w:type="dxa"/>
            <w:tcBorders>
              <w:left w:val="single" w:sz="8" w:space="0" w:color="auto"/>
              <w:bottom w:val="single" w:sz="4" w:space="0" w:color="auto"/>
            </w:tcBorders>
            <w:shd w:val="clear" w:color="auto" w:fill="auto"/>
            <w:noWrap/>
            <w:vAlign w:val="bottom"/>
            <w:hideMark/>
          </w:tcPr>
          <w:p w14:paraId="703FFC3D"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1,32</w:t>
            </w:r>
          </w:p>
        </w:tc>
        <w:tc>
          <w:tcPr>
            <w:tcW w:w="567" w:type="dxa"/>
            <w:tcBorders>
              <w:bottom w:val="single" w:sz="4" w:space="0" w:color="auto"/>
              <w:right w:val="single" w:sz="8" w:space="0" w:color="auto"/>
            </w:tcBorders>
            <w:shd w:val="clear" w:color="auto" w:fill="auto"/>
            <w:noWrap/>
            <w:vAlign w:val="bottom"/>
            <w:hideMark/>
          </w:tcPr>
          <w:p w14:paraId="61BCA5DF" w14:textId="77777777" w:rsidR="00324D24" w:rsidRPr="00560EA8" w:rsidRDefault="00324D24" w:rsidP="008B6F9B">
            <w:pPr>
              <w:spacing w:after="0" w:line="240" w:lineRule="auto"/>
              <w:jc w:val="right"/>
              <w:rPr>
                <w:rFonts w:ascii="Times New Roman" w:eastAsia="Times New Roman" w:hAnsi="Times New Roman" w:cs="Times New Roman"/>
                <w:b/>
                <w:bCs/>
                <w:color w:val="000000"/>
                <w:sz w:val="20"/>
                <w:szCs w:val="20"/>
                <w:lang w:eastAsia="pt-BR"/>
              </w:rPr>
            </w:pPr>
            <w:r w:rsidRPr="00560EA8">
              <w:rPr>
                <w:rFonts w:ascii="Times New Roman" w:eastAsia="Times New Roman" w:hAnsi="Times New Roman" w:cs="Times New Roman"/>
                <w:b/>
                <w:bCs/>
                <w:color w:val="000000"/>
                <w:sz w:val="20"/>
                <w:szCs w:val="20"/>
                <w:lang w:eastAsia="pt-BR"/>
              </w:rPr>
              <w:t>1,37</w:t>
            </w:r>
          </w:p>
        </w:tc>
        <w:tc>
          <w:tcPr>
            <w:tcW w:w="709" w:type="dxa"/>
            <w:tcBorders>
              <w:left w:val="single" w:sz="8" w:space="0" w:color="auto"/>
              <w:bottom w:val="single" w:sz="4" w:space="0" w:color="auto"/>
            </w:tcBorders>
            <w:shd w:val="clear" w:color="auto" w:fill="auto"/>
            <w:noWrap/>
            <w:vAlign w:val="bottom"/>
            <w:hideMark/>
          </w:tcPr>
          <w:p w14:paraId="1D3443A4"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0,06</w:t>
            </w:r>
          </w:p>
        </w:tc>
        <w:tc>
          <w:tcPr>
            <w:tcW w:w="851" w:type="dxa"/>
            <w:tcBorders>
              <w:bottom w:val="single" w:sz="4" w:space="0" w:color="auto"/>
            </w:tcBorders>
            <w:shd w:val="clear" w:color="auto" w:fill="auto"/>
            <w:noWrap/>
            <w:vAlign w:val="bottom"/>
            <w:hideMark/>
          </w:tcPr>
          <w:p w14:paraId="7913A611" w14:textId="77777777" w:rsidR="00324D24" w:rsidRPr="00517ECD" w:rsidRDefault="00324D24" w:rsidP="008B6F9B">
            <w:pPr>
              <w:spacing w:after="0" w:line="240" w:lineRule="auto"/>
              <w:jc w:val="right"/>
              <w:rPr>
                <w:rFonts w:ascii="Times New Roman" w:eastAsia="Times New Roman" w:hAnsi="Times New Roman" w:cs="Times New Roman"/>
                <w:color w:val="000000"/>
                <w:sz w:val="20"/>
                <w:szCs w:val="20"/>
                <w:lang w:eastAsia="pt-BR"/>
              </w:rPr>
            </w:pPr>
            <w:r w:rsidRPr="00517ECD">
              <w:rPr>
                <w:rFonts w:ascii="Times New Roman" w:eastAsia="Times New Roman" w:hAnsi="Times New Roman" w:cs="Times New Roman"/>
                <w:color w:val="000000"/>
                <w:sz w:val="20"/>
                <w:szCs w:val="20"/>
                <w:lang w:eastAsia="pt-BR"/>
              </w:rPr>
              <w:t>0,16</w:t>
            </w:r>
          </w:p>
        </w:tc>
      </w:tr>
    </w:tbl>
    <w:p w14:paraId="2BCC3E3E" w14:textId="77777777" w:rsidR="00324D24" w:rsidRDefault="00324D24" w:rsidP="00324D24">
      <w:pPr>
        <w:spacing w:after="0" w:line="360" w:lineRule="auto"/>
        <w:jc w:val="both"/>
        <w:rPr>
          <w:rFonts w:ascii="Times New Roman" w:hAnsi="Times New Roman" w:cs="Times New Roman"/>
          <w:color w:val="000000" w:themeColor="text1"/>
          <w:sz w:val="20"/>
          <w:szCs w:val="20"/>
        </w:rPr>
      </w:pPr>
      <w:r w:rsidRPr="001D6B0E">
        <w:rPr>
          <w:rFonts w:ascii="Times New Roman" w:hAnsi="Times New Roman" w:cs="Times New Roman"/>
          <w:color w:val="000000" w:themeColor="text1"/>
          <w:sz w:val="20"/>
          <w:szCs w:val="20"/>
        </w:rPr>
        <w:t xml:space="preserve">Fonte: Elaborado pelos autores com base nos dados da RAIS/MTE. </w:t>
      </w:r>
    </w:p>
    <w:p w14:paraId="6A1419A4" w14:textId="2028AB08" w:rsidR="00324D24" w:rsidRDefault="00324D24" w:rsidP="00324D24">
      <w:pPr>
        <w:spacing w:after="0" w:line="360" w:lineRule="auto"/>
        <w:jc w:val="both"/>
        <w:rPr>
          <w:rFonts w:ascii="Times New Roman" w:hAnsi="Times New Roman" w:cs="Times New Roman"/>
          <w:color w:val="000000" w:themeColor="text1"/>
          <w:sz w:val="24"/>
          <w:szCs w:val="24"/>
        </w:rPr>
      </w:pPr>
    </w:p>
    <w:p w14:paraId="5BD522A0" w14:textId="77777777" w:rsidR="00324D24" w:rsidRDefault="00324D24" w:rsidP="00635E50">
      <w:pPr>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As microrregiões Pajeú, Vale do Ipojuca e Garanhuns, apresentaram especializadas no setor do comércio tanto no ano de 2010 quanto em 2019. Oliveira Filho (2009) evidenciou uma forte concentração do emprego no setor do comércio na microrregião de Garanhuns e destacou o comércio como um dos setores mais relevantes da microrregião do Pajeú. As demais microrregiões que obtiveram QL desse setor igual ou superior a um foram Sertão do Moxotó, Petrolina, Itaparica, Alto Capibaribe, Médio Capibaribe, Vitória de Santo Antão, Recife e Fernando de Noronha em 2010. No ano de 2019, saem desta lista, as duas últimas microrregiões e entram Araripina e Salgueiro.</w:t>
      </w:r>
    </w:p>
    <w:p w14:paraId="1A9E2D98" w14:textId="7E32714A" w:rsidR="00324D24" w:rsidRDefault="00324D24" w:rsidP="00324D24">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ab/>
        <w:t xml:space="preserve">Ainda da tabela </w:t>
      </w:r>
      <w:r w:rsidR="00635E50">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 verificamos que o setor de serviços em Pernambuco possui uma maior especialização as microrregiões do Vale do Ipanema, Fernando de Noronha e Médio Capibaribe no ano de 2010. Para o ano de 2019, sai a microrregião do Médio Capibaribe e entra a microrregião de Recife. Oliveira filho (2009) destacou o setor de serviços de Fernando de Noronha, tendo em vista que outros setores sofrem com o isolamento físico e algumas exigências de preservação ambiental.</w:t>
      </w:r>
    </w:p>
    <w:p w14:paraId="4147CF0D" w14:textId="77777777" w:rsidR="00324D24" w:rsidRDefault="00324D24" w:rsidP="00324D24">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No setor agropecuário, em 2010, as microrregiões que obtiveram os maiores graus de especialização foram a do Brejo Pernambucano (QL = 7,60), Petrolina (QL = 5,69) e a Mata Setentrional Pernambucana (QL = 4,19). Em 2019, a microrregião de Petrolina assumiu a primeira colocação com QL igual a 7,51, a microrregião do Brejo Pernambucano com QL igual a 3,37 desceu para segunda colocada e a Mata Setentrional Pernambucana manteve em terceira colocada com QL igual a 2,92. O Brejo Pernambucano se destaca na produção de tomates, frutas e cana de açúcar. Lacerda e Santos (2017) destacam que a microrregião supracitada, teve destaque na distribuição do emprego na produção de lavouras temporárias e na horticultura. A microrregião da Mata Setentrional Pernambucana se destaca nas atividades ligados ao setor </w:t>
      </w:r>
      <w:proofErr w:type="spellStart"/>
      <w:r>
        <w:rPr>
          <w:rFonts w:ascii="Times New Roman" w:hAnsi="Times New Roman" w:cs="Times New Roman"/>
          <w:color w:val="000000" w:themeColor="text1"/>
          <w:sz w:val="24"/>
          <w:szCs w:val="24"/>
        </w:rPr>
        <w:t>sucro</w:t>
      </w:r>
      <w:proofErr w:type="spellEnd"/>
      <w:r>
        <w:rPr>
          <w:rFonts w:ascii="Times New Roman" w:hAnsi="Times New Roman" w:cs="Times New Roman"/>
          <w:color w:val="000000" w:themeColor="text1"/>
          <w:sz w:val="24"/>
          <w:szCs w:val="24"/>
        </w:rPr>
        <w:t xml:space="preserve">-alcooleiro e na pecuária. A microrregião de Petrolina se destaca na produção de lavouras permanentes. </w:t>
      </w:r>
    </w:p>
    <w:p w14:paraId="7ADEED5A" w14:textId="68CC13BC" w:rsidR="00324D24" w:rsidRDefault="00324D24" w:rsidP="00324D24">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Segundo Araújo e Santos (2019) a</w:t>
      </w:r>
      <w:r w:rsidRPr="006F1035">
        <w:rPr>
          <w:rFonts w:ascii="Times New Roman" w:hAnsi="Times New Roman" w:cs="Times New Roman"/>
          <w:color w:val="000000" w:themeColor="text1"/>
          <w:sz w:val="24"/>
          <w:szCs w:val="24"/>
        </w:rPr>
        <w:t xml:space="preserve"> partir de 2014, </w:t>
      </w:r>
      <w:r>
        <w:rPr>
          <w:rFonts w:ascii="Times New Roman" w:hAnsi="Times New Roman" w:cs="Times New Roman"/>
          <w:color w:val="000000" w:themeColor="text1"/>
          <w:sz w:val="24"/>
          <w:szCs w:val="24"/>
        </w:rPr>
        <w:t xml:space="preserve">o setor da agropecuária vem com um ritmo de crescimento de relevância, </w:t>
      </w:r>
      <w:r w:rsidRPr="006F1035">
        <w:rPr>
          <w:rFonts w:ascii="Times New Roman" w:hAnsi="Times New Roman" w:cs="Times New Roman"/>
          <w:color w:val="000000" w:themeColor="text1"/>
          <w:sz w:val="24"/>
          <w:szCs w:val="24"/>
        </w:rPr>
        <w:t xml:space="preserve">resultado de uma </w:t>
      </w:r>
      <w:r>
        <w:rPr>
          <w:rFonts w:ascii="Times New Roman" w:hAnsi="Times New Roman" w:cs="Times New Roman"/>
          <w:color w:val="000000" w:themeColor="text1"/>
          <w:sz w:val="24"/>
          <w:szCs w:val="24"/>
        </w:rPr>
        <w:t>safra melhor</w:t>
      </w:r>
      <w:r w:rsidRPr="006F1035">
        <w:rPr>
          <w:rFonts w:ascii="Times New Roman" w:hAnsi="Times New Roman" w:cs="Times New Roman"/>
          <w:color w:val="000000" w:themeColor="text1"/>
          <w:sz w:val="24"/>
          <w:szCs w:val="24"/>
        </w:rPr>
        <w:t xml:space="preserve"> combinada com valorização de preços de produtos voltados para exportação (ex. manga e uva).</w:t>
      </w:r>
      <w:r>
        <w:rPr>
          <w:rFonts w:ascii="Times New Roman" w:hAnsi="Times New Roman" w:cs="Times New Roman"/>
          <w:color w:val="000000" w:themeColor="text1"/>
          <w:sz w:val="24"/>
          <w:szCs w:val="24"/>
        </w:rPr>
        <w:t xml:space="preserve"> Para estes autores umas das mudanças do tecido produtivo local que vem trazendo transformações no ciclo expansivo pernambucano é o fortalecimento das </w:t>
      </w:r>
      <w:r w:rsidRPr="001D0160">
        <w:rPr>
          <w:rFonts w:ascii="Times New Roman" w:hAnsi="Times New Roman" w:cs="Times New Roman"/>
          <w:color w:val="000000" w:themeColor="text1"/>
          <w:sz w:val="24"/>
          <w:szCs w:val="24"/>
        </w:rPr>
        <w:t>culturas permanentes, especialmente a produção de manga e uva, nos perímetros irrigados do Sertão do São Francisco</w:t>
      </w:r>
      <w:r>
        <w:rPr>
          <w:rFonts w:ascii="Times New Roman" w:hAnsi="Times New Roman" w:cs="Times New Roman"/>
          <w:color w:val="000000" w:themeColor="text1"/>
          <w:sz w:val="24"/>
          <w:szCs w:val="24"/>
        </w:rPr>
        <w:t>. Segundo Lima e Sousa (2017) a fruti</w:t>
      </w:r>
      <w:r w:rsidRPr="00225DF6">
        <w:rPr>
          <w:rFonts w:ascii="Times New Roman" w:hAnsi="Times New Roman" w:cs="Times New Roman"/>
          <w:color w:val="000000" w:themeColor="text1"/>
          <w:sz w:val="24"/>
          <w:szCs w:val="24"/>
        </w:rPr>
        <w:t>cultura irrigada é o principal fator de desenvolvimento da região</w:t>
      </w:r>
      <w:r>
        <w:rPr>
          <w:rFonts w:ascii="Times New Roman" w:hAnsi="Times New Roman" w:cs="Times New Roman"/>
          <w:color w:val="000000" w:themeColor="text1"/>
          <w:sz w:val="24"/>
          <w:szCs w:val="24"/>
        </w:rPr>
        <w:t>, onde está localizada Petrolina.</w:t>
      </w:r>
      <w:r w:rsidRPr="00225DF6">
        <w:rPr>
          <w:rFonts w:ascii="Times New Roman" w:hAnsi="Times New Roman" w:cs="Times New Roman"/>
          <w:color w:val="000000" w:themeColor="text1"/>
          <w:sz w:val="24"/>
          <w:szCs w:val="24"/>
        </w:rPr>
        <w:t xml:space="preserve"> Essa atividade desencadeou um crescimento em praticamente todos os setores da economia e é a responsável pela dinâmica desse território.</w:t>
      </w:r>
      <w:r>
        <w:rPr>
          <w:rFonts w:ascii="Times New Roman" w:hAnsi="Times New Roman" w:cs="Times New Roman"/>
          <w:color w:val="000000" w:themeColor="text1"/>
          <w:sz w:val="24"/>
          <w:szCs w:val="24"/>
        </w:rPr>
        <w:t xml:space="preserve"> </w:t>
      </w:r>
      <w:r w:rsidRPr="003A69F8">
        <w:rPr>
          <w:rFonts w:ascii="Times New Roman" w:hAnsi="Times New Roman" w:cs="Times New Roman"/>
          <w:color w:val="000000" w:themeColor="text1"/>
          <w:sz w:val="24"/>
          <w:szCs w:val="24"/>
        </w:rPr>
        <w:t>O município de Petrolina destaca-se com a maior dimensão econômica, tendo suas atividades agrícolas e comerciais dinâmicas, inserida, em alguns setores, no mercado internacional.</w:t>
      </w:r>
      <w:r>
        <w:rPr>
          <w:rFonts w:ascii="Times New Roman" w:hAnsi="Times New Roman" w:cs="Times New Roman"/>
          <w:color w:val="000000" w:themeColor="text1"/>
          <w:sz w:val="24"/>
          <w:szCs w:val="24"/>
        </w:rPr>
        <w:t xml:space="preserve"> </w:t>
      </w:r>
    </w:p>
    <w:p w14:paraId="781DF48D" w14:textId="77777777" w:rsidR="00453055" w:rsidRDefault="00453055" w:rsidP="00324D24">
      <w:pPr>
        <w:spacing w:after="0" w:line="360" w:lineRule="auto"/>
        <w:jc w:val="both"/>
        <w:rPr>
          <w:rFonts w:ascii="Times New Roman" w:hAnsi="Times New Roman" w:cs="Times New Roman"/>
          <w:color w:val="000000" w:themeColor="text1"/>
          <w:sz w:val="24"/>
          <w:szCs w:val="24"/>
        </w:rPr>
      </w:pPr>
    </w:p>
    <w:p w14:paraId="7FE47D23" w14:textId="77777777" w:rsidR="00324D24" w:rsidRDefault="00324D24" w:rsidP="00324D24">
      <w:pPr>
        <w:spacing w:after="0" w:line="36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4.3. Coeficiente de Localização (CL)</w:t>
      </w:r>
    </w:p>
    <w:p w14:paraId="53360E73" w14:textId="303BBC96" w:rsidR="00324D24" w:rsidRDefault="00324D24" w:rsidP="00324D24">
      <w:pPr>
        <w:spacing w:after="0" w:line="360" w:lineRule="auto"/>
        <w:jc w:val="both"/>
        <w:rPr>
          <w:rFonts w:ascii="Times New Roman" w:hAnsi="Times New Roman"/>
          <w:sz w:val="24"/>
          <w:szCs w:val="24"/>
        </w:rPr>
      </w:pPr>
      <w:r>
        <w:rPr>
          <w:rFonts w:ascii="Times New Roman" w:hAnsi="Times New Roman" w:cs="Times New Roman"/>
          <w:b/>
          <w:bCs/>
          <w:color w:val="000000" w:themeColor="text1"/>
          <w:sz w:val="24"/>
          <w:szCs w:val="24"/>
        </w:rPr>
        <w:tab/>
      </w:r>
      <w:r>
        <w:rPr>
          <w:rFonts w:ascii="Times New Roman" w:hAnsi="Times New Roman" w:cs="Times New Roman"/>
          <w:color w:val="000000" w:themeColor="text1"/>
          <w:sz w:val="24"/>
          <w:szCs w:val="24"/>
        </w:rPr>
        <w:t xml:space="preserve">O Coeficiente de Localização mede </w:t>
      </w:r>
      <w:r>
        <w:rPr>
          <w:rFonts w:ascii="Times New Roman" w:hAnsi="Times New Roman"/>
          <w:sz w:val="24"/>
          <w:szCs w:val="24"/>
        </w:rPr>
        <w:t>se determinado setor é distribuído com mais intensidade que o conjunto dos demais setores em determinado recorte territorial. Se determinado setor em determinado território obtiver resultados do CL igual a um, considera-se que é consideravelmente mais intenso que os demais setores.  O setor será distribuído no território com a mesma intensidade do conjunto de todos os setores se o valor do CL for igual à zero. Essa análise pode ser feita considerando um determinado setor no estado com relação ao conjunto de todos os setores, conforme o gráfico 1. Pode-se observar que nenhum dos setores da economia que foram analisados apresentaram CL igual a um, ou seja, nenhum setor conseguiu ter um padrão máximo de concentração no estado de Pernambuco.</w:t>
      </w:r>
    </w:p>
    <w:p w14:paraId="7EBE879A" w14:textId="77777777" w:rsidR="00453055" w:rsidRDefault="00453055" w:rsidP="00324D24">
      <w:pPr>
        <w:spacing w:after="0" w:line="360" w:lineRule="auto"/>
        <w:jc w:val="both"/>
        <w:rPr>
          <w:rFonts w:ascii="Times New Roman" w:hAnsi="Times New Roman"/>
          <w:sz w:val="24"/>
          <w:szCs w:val="24"/>
        </w:rPr>
      </w:pPr>
    </w:p>
    <w:p w14:paraId="2950068F" w14:textId="6610A26E" w:rsidR="00324D24" w:rsidRDefault="00453055" w:rsidP="00324D24">
      <w:pPr>
        <w:spacing w:after="0" w:line="360" w:lineRule="auto"/>
        <w:jc w:val="center"/>
        <w:rPr>
          <w:rFonts w:ascii="Times New Roman" w:hAnsi="Times New Roman" w:cs="Times New Roman"/>
          <w:b/>
          <w:bCs/>
          <w:color w:val="000000" w:themeColor="text1"/>
          <w:sz w:val="24"/>
          <w:szCs w:val="24"/>
        </w:rPr>
      </w:pPr>
      <w:r w:rsidRPr="00DB1F61">
        <w:rPr>
          <w:rFonts w:ascii="Times New Roman" w:hAnsi="Times New Roman" w:cs="Times New Roman"/>
          <w:noProof/>
          <w:sz w:val="20"/>
          <w:szCs w:val="20"/>
        </w:rPr>
        <w:drawing>
          <wp:anchor distT="0" distB="0" distL="114300" distR="114300" simplePos="0" relativeHeight="251658240" behindDoc="1" locked="0" layoutInCell="1" allowOverlap="1" wp14:anchorId="168038A0" wp14:editId="7D17D3E1">
            <wp:simplePos x="0" y="0"/>
            <wp:positionH relativeFrom="column">
              <wp:posOffset>12065</wp:posOffset>
            </wp:positionH>
            <wp:positionV relativeFrom="paragraph">
              <wp:posOffset>259715</wp:posOffset>
            </wp:positionV>
            <wp:extent cx="5676900" cy="3620770"/>
            <wp:effectExtent l="0" t="0" r="0" b="17780"/>
            <wp:wrapTight wrapText="bothSides">
              <wp:wrapPolygon edited="0">
                <wp:start x="0" y="0"/>
                <wp:lineTo x="0" y="21592"/>
                <wp:lineTo x="21528" y="21592"/>
                <wp:lineTo x="21528" y="0"/>
                <wp:lineTo x="0" y="0"/>
              </wp:wrapPolygon>
            </wp:wrapTight>
            <wp:docPr id="4" name="Gráfico 4">
              <a:extLst xmlns:a="http://schemas.openxmlformats.org/drawingml/2006/main">
                <a:ext uri="{FF2B5EF4-FFF2-40B4-BE49-F238E27FC236}">
                  <a16:creationId xmlns:a16="http://schemas.microsoft.com/office/drawing/2014/main" id="{FD90A3AD-3706-FA82-6347-E795A3ECE5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anchor>
        </w:drawing>
      </w:r>
      <w:r w:rsidR="00324D24">
        <w:rPr>
          <w:rFonts w:ascii="Times New Roman" w:hAnsi="Times New Roman" w:cs="Times New Roman"/>
          <w:b/>
          <w:bCs/>
          <w:color w:val="000000" w:themeColor="text1"/>
          <w:sz w:val="24"/>
          <w:szCs w:val="24"/>
        </w:rPr>
        <w:t>Gráfico 1: Coeficiente de Localização por setor no estado de Pernambuco em 2010-2019</w:t>
      </w:r>
    </w:p>
    <w:p w14:paraId="09FBA89D" w14:textId="4A8832C6" w:rsidR="00324D24" w:rsidRPr="0011561C" w:rsidRDefault="00324D24" w:rsidP="00453055">
      <w:pPr>
        <w:spacing w:after="0" w:line="360" w:lineRule="auto"/>
        <w:rPr>
          <w:rFonts w:ascii="Times New Roman" w:hAnsi="Times New Roman" w:cs="Times New Roman"/>
          <w:color w:val="000000" w:themeColor="text1"/>
          <w:sz w:val="20"/>
          <w:szCs w:val="20"/>
        </w:rPr>
      </w:pPr>
      <w:r w:rsidRPr="0011561C">
        <w:rPr>
          <w:rFonts w:ascii="Times New Roman" w:hAnsi="Times New Roman" w:cs="Times New Roman"/>
          <w:color w:val="000000" w:themeColor="text1"/>
          <w:sz w:val="20"/>
          <w:szCs w:val="20"/>
        </w:rPr>
        <w:t xml:space="preserve">Fonte: Elaborado pelos autores com base nos dados da RAIS/MTE. </w:t>
      </w:r>
    </w:p>
    <w:p w14:paraId="7D7FC25B" w14:textId="3DC827E3" w:rsidR="00324D24" w:rsidRDefault="00324D24" w:rsidP="00324D24">
      <w:pPr>
        <w:spacing w:after="0" w:line="360" w:lineRule="auto"/>
        <w:jc w:val="both"/>
        <w:rPr>
          <w:rFonts w:ascii="Times New Roman" w:hAnsi="Times New Roman" w:cs="Times New Roman"/>
          <w:color w:val="000000" w:themeColor="text1"/>
          <w:sz w:val="24"/>
          <w:szCs w:val="24"/>
        </w:rPr>
      </w:pPr>
    </w:p>
    <w:p w14:paraId="42AF06C2" w14:textId="0CB2E5A1" w:rsidR="00324D24" w:rsidRDefault="00324D24" w:rsidP="00453055">
      <w:pPr>
        <w:spacing w:after="0" w:line="360" w:lineRule="auto"/>
        <w:ind w:firstLine="708"/>
        <w:jc w:val="both"/>
        <w:rPr>
          <w:rFonts w:ascii="Times New Roman" w:hAnsi="Times New Roman"/>
          <w:sz w:val="24"/>
          <w:szCs w:val="24"/>
        </w:rPr>
      </w:pPr>
      <w:r>
        <w:rPr>
          <w:rFonts w:ascii="Times New Roman" w:hAnsi="Times New Roman" w:cs="Times New Roman"/>
          <w:color w:val="000000" w:themeColor="text1"/>
          <w:sz w:val="24"/>
          <w:szCs w:val="24"/>
        </w:rPr>
        <w:t xml:space="preserve">Os setores que se mostraram mais dispersos no estado de Pernambuco foram o do comércio, com coeficientes de localização iguais a 0,07 e 0,06, em 2010 e 2019, </w:t>
      </w:r>
      <w:r>
        <w:rPr>
          <w:rFonts w:ascii="Times New Roman" w:hAnsi="Times New Roman" w:cs="Times New Roman"/>
          <w:color w:val="000000" w:themeColor="text1"/>
          <w:sz w:val="24"/>
          <w:szCs w:val="24"/>
        </w:rPr>
        <w:lastRenderedPageBreak/>
        <w:t xml:space="preserve">respectivamente, e o setor de serviços com </w:t>
      </w:r>
      <w:proofErr w:type="spellStart"/>
      <w:r>
        <w:rPr>
          <w:rFonts w:ascii="Times New Roman" w:hAnsi="Times New Roman" w:cs="Times New Roman"/>
          <w:color w:val="000000" w:themeColor="text1"/>
          <w:sz w:val="24"/>
          <w:szCs w:val="24"/>
        </w:rPr>
        <w:t>CLs</w:t>
      </w:r>
      <w:proofErr w:type="spellEnd"/>
      <w:r>
        <w:rPr>
          <w:rFonts w:ascii="Times New Roman" w:hAnsi="Times New Roman" w:cs="Times New Roman"/>
          <w:color w:val="000000" w:themeColor="text1"/>
          <w:sz w:val="24"/>
          <w:szCs w:val="24"/>
        </w:rPr>
        <w:t xml:space="preserve"> iguais a 0,10 e 0,08 nos anos analisados. A agropecuária, com coeficientes de localização iguais a 0,58 e 0,56, e a indústria com coeficientes iguais a 0,28 e 0,29 foram os setores mais concentrados no estado de Pernambuco. </w:t>
      </w:r>
      <w:r>
        <w:rPr>
          <w:rFonts w:ascii="Times New Roman" w:hAnsi="Times New Roman"/>
          <w:sz w:val="24"/>
          <w:szCs w:val="24"/>
        </w:rPr>
        <w:t>Os resultados demonstram uma distribuição semelhante com à dispersão territorial como um todo. Esses achados estão em conformidade com os result</w:t>
      </w:r>
      <w:r w:rsidR="00453055">
        <w:rPr>
          <w:rFonts w:ascii="Times New Roman" w:hAnsi="Times New Roman"/>
          <w:sz w:val="24"/>
          <w:szCs w:val="24"/>
        </w:rPr>
        <w:t>ad</w:t>
      </w:r>
      <w:r>
        <w:rPr>
          <w:rFonts w:ascii="Times New Roman" w:hAnsi="Times New Roman"/>
          <w:sz w:val="24"/>
          <w:szCs w:val="24"/>
        </w:rPr>
        <w:t>os de Oliveira Filho (2009) que identificou o setor do comércio como o mais disperso em 1999, 2003 e 2007. E o setor mais concentrado foi o agropecuário nos mesmos anos analisados.</w:t>
      </w:r>
    </w:p>
    <w:p w14:paraId="461FF6E1" w14:textId="77777777" w:rsidR="009348CC" w:rsidRDefault="009348CC" w:rsidP="00453055">
      <w:pPr>
        <w:spacing w:after="0" w:line="360" w:lineRule="auto"/>
        <w:ind w:firstLine="708"/>
        <w:jc w:val="both"/>
        <w:rPr>
          <w:rFonts w:ascii="Times New Roman" w:hAnsi="Times New Roman"/>
          <w:sz w:val="24"/>
          <w:szCs w:val="24"/>
        </w:rPr>
      </w:pPr>
    </w:p>
    <w:p w14:paraId="26C5079A" w14:textId="77777777" w:rsidR="00324D24" w:rsidRDefault="00324D24" w:rsidP="00324D24">
      <w:pPr>
        <w:spacing w:after="0" w:line="360" w:lineRule="auto"/>
        <w:jc w:val="both"/>
        <w:rPr>
          <w:rFonts w:ascii="Times New Roman" w:hAnsi="Times New Roman" w:cs="Times New Roman"/>
          <w:b/>
          <w:bCs/>
          <w:color w:val="000000" w:themeColor="text1"/>
          <w:sz w:val="24"/>
          <w:szCs w:val="24"/>
        </w:rPr>
      </w:pPr>
      <w:r w:rsidRPr="002B782A">
        <w:rPr>
          <w:rFonts w:ascii="Times New Roman" w:hAnsi="Times New Roman" w:cs="Times New Roman"/>
          <w:b/>
          <w:bCs/>
          <w:color w:val="000000" w:themeColor="text1"/>
          <w:sz w:val="24"/>
          <w:szCs w:val="24"/>
        </w:rPr>
        <w:t>4.4. Coeficiente de Especialização</w:t>
      </w:r>
    </w:p>
    <w:p w14:paraId="7FC0E959" w14:textId="534EE1B7" w:rsidR="00324D24" w:rsidRDefault="00324D24" w:rsidP="00324D24">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ab/>
      </w:r>
      <w:r>
        <w:rPr>
          <w:rFonts w:ascii="Times New Roman" w:hAnsi="Times New Roman"/>
          <w:sz w:val="24"/>
          <w:szCs w:val="24"/>
        </w:rPr>
        <w:t>O coeficiente de especialização (CE) busca demonstrar se uma determinada microrregião se mostrou em sua estrutura setorial com alto nível de especialização a nível estadual, sendo que para ser especializada uma determinada microrregião deve apresentar o valor do CE próximo ou igual a um. Ou seja, o</w:t>
      </w:r>
      <w:r>
        <w:rPr>
          <w:rFonts w:ascii="Times New Roman" w:hAnsi="Times New Roman" w:cs="Times New Roman"/>
          <w:color w:val="000000" w:themeColor="text1"/>
          <w:sz w:val="24"/>
          <w:szCs w:val="24"/>
        </w:rPr>
        <w:t xml:space="preserve"> Coeficiente de Especialização </w:t>
      </w:r>
      <w:r w:rsidRPr="00F12444">
        <w:rPr>
          <w:rFonts w:ascii="Times New Roman" w:hAnsi="Times New Roman" w:cs="Times New Roman"/>
          <w:color w:val="000000" w:themeColor="text1"/>
          <w:sz w:val="24"/>
          <w:szCs w:val="24"/>
        </w:rPr>
        <w:t>compa</w:t>
      </w:r>
      <w:r>
        <w:rPr>
          <w:rFonts w:ascii="Times New Roman" w:hAnsi="Times New Roman" w:cs="Times New Roman"/>
          <w:color w:val="000000" w:themeColor="text1"/>
          <w:sz w:val="24"/>
          <w:szCs w:val="24"/>
        </w:rPr>
        <w:t>r</w:t>
      </w:r>
      <w:r w:rsidRPr="00F12444">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 xml:space="preserve"> a</w:t>
      </w:r>
      <w:r w:rsidRPr="00F12444">
        <w:rPr>
          <w:rFonts w:ascii="Times New Roman" w:hAnsi="Times New Roman" w:cs="Times New Roman"/>
          <w:color w:val="000000" w:themeColor="text1"/>
          <w:sz w:val="24"/>
          <w:szCs w:val="24"/>
        </w:rPr>
        <w:t xml:space="preserve"> estrutura </w:t>
      </w:r>
      <w:r>
        <w:rPr>
          <w:rFonts w:ascii="Times New Roman" w:hAnsi="Times New Roman" w:cs="Times New Roman"/>
          <w:color w:val="000000" w:themeColor="text1"/>
          <w:sz w:val="24"/>
          <w:szCs w:val="24"/>
        </w:rPr>
        <w:t>econômica d</w:t>
      </w:r>
      <w:r w:rsidRPr="00F12444">
        <w:rPr>
          <w:rFonts w:ascii="Times New Roman" w:hAnsi="Times New Roman" w:cs="Times New Roman"/>
          <w:color w:val="000000" w:themeColor="text1"/>
          <w:sz w:val="24"/>
          <w:szCs w:val="24"/>
        </w:rPr>
        <w:t>a microrregião com à estrutura do estado como um todo</w:t>
      </w:r>
      <w:r>
        <w:rPr>
          <w:rFonts w:ascii="Times New Roman" w:hAnsi="Times New Roman" w:cs="Times New Roman"/>
          <w:color w:val="000000" w:themeColor="text1"/>
          <w:sz w:val="24"/>
          <w:szCs w:val="24"/>
        </w:rPr>
        <w:t>. Os valores do coeficiente de especialização complementam os resultados obtidos no quociente locacional e são mostrados no gráfico 2.</w:t>
      </w:r>
    </w:p>
    <w:p w14:paraId="14360A5E" w14:textId="378D2DB3" w:rsidR="009348CC" w:rsidRDefault="009348CC" w:rsidP="00324D24">
      <w:pPr>
        <w:spacing w:after="0" w:line="360" w:lineRule="auto"/>
        <w:jc w:val="both"/>
        <w:rPr>
          <w:rFonts w:ascii="Times New Roman" w:hAnsi="Times New Roman" w:cs="Times New Roman"/>
          <w:color w:val="000000" w:themeColor="text1"/>
          <w:sz w:val="24"/>
          <w:szCs w:val="24"/>
        </w:rPr>
      </w:pPr>
    </w:p>
    <w:p w14:paraId="3E1EFB57" w14:textId="459D0987" w:rsidR="009348CC" w:rsidRDefault="009348CC" w:rsidP="00324D24">
      <w:pPr>
        <w:spacing w:after="0" w:line="360" w:lineRule="auto"/>
        <w:jc w:val="both"/>
        <w:rPr>
          <w:rFonts w:ascii="Times New Roman" w:hAnsi="Times New Roman" w:cs="Times New Roman"/>
          <w:color w:val="000000" w:themeColor="text1"/>
          <w:sz w:val="24"/>
          <w:szCs w:val="24"/>
        </w:rPr>
      </w:pPr>
    </w:p>
    <w:p w14:paraId="3483607A" w14:textId="2F18F965" w:rsidR="009348CC" w:rsidRDefault="009348CC" w:rsidP="00324D24">
      <w:pPr>
        <w:spacing w:after="0" w:line="360" w:lineRule="auto"/>
        <w:jc w:val="both"/>
        <w:rPr>
          <w:rFonts w:ascii="Times New Roman" w:hAnsi="Times New Roman" w:cs="Times New Roman"/>
          <w:color w:val="000000" w:themeColor="text1"/>
          <w:sz w:val="24"/>
          <w:szCs w:val="24"/>
        </w:rPr>
      </w:pPr>
    </w:p>
    <w:p w14:paraId="6C245FB2" w14:textId="4A781EDB" w:rsidR="009348CC" w:rsidRDefault="009348CC" w:rsidP="00324D24">
      <w:pPr>
        <w:spacing w:after="0" w:line="360" w:lineRule="auto"/>
        <w:jc w:val="both"/>
        <w:rPr>
          <w:rFonts w:ascii="Times New Roman" w:hAnsi="Times New Roman" w:cs="Times New Roman"/>
          <w:color w:val="000000" w:themeColor="text1"/>
          <w:sz w:val="24"/>
          <w:szCs w:val="24"/>
        </w:rPr>
      </w:pPr>
    </w:p>
    <w:p w14:paraId="7D44A6AD" w14:textId="4DBB22FF" w:rsidR="009348CC" w:rsidRDefault="009348CC" w:rsidP="00324D24">
      <w:pPr>
        <w:spacing w:after="0" w:line="360" w:lineRule="auto"/>
        <w:jc w:val="both"/>
        <w:rPr>
          <w:rFonts w:ascii="Times New Roman" w:hAnsi="Times New Roman" w:cs="Times New Roman"/>
          <w:color w:val="000000" w:themeColor="text1"/>
          <w:sz w:val="24"/>
          <w:szCs w:val="24"/>
        </w:rPr>
      </w:pPr>
    </w:p>
    <w:p w14:paraId="1F3A7D0F" w14:textId="21DC7BEC" w:rsidR="009348CC" w:rsidRDefault="009348CC" w:rsidP="00324D24">
      <w:pPr>
        <w:spacing w:after="0" w:line="360" w:lineRule="auto"/>
        <w:jc w:val="both"/>
        <w:rPr>
          <w:rFonts w:ascii="Times New Roman" w:hAnsi="Times New Roman" w:cs="Times New Roman"/>
          <w:color w:val="000000" w:themeColor="text1"/>
          <w:sz w:val="24"/>
          <w:szCs w:val="24"/>
        </w:rPr>
      </w:pPr>
    </w:p>
    <w:p w14:paraId="228ACD8D" w14:textId="41FC5245" w:rsidR="009348CC" w:rsidRDefault="009348CC" w:rsidP="00324D24">
      <w:pPr>
        <w:spacing w:after="0" w:line="360" w:lineRule="auto"/>
        <w:jc w:val="both"/>
        <w:rPr>
          <w:rFonts w:ascii="Times New Roman" w:hAnsi="Times New Roman" w:cs="Times New Roman"/>
          <w:color w:val="000000" w:themeColor="text1"/>
          <w:sz w:val="24"/>
          <w:szCs w:val="24"/>
        </w:rPr>
      </w:pPr>
    </w:p>
    <w:p w14:paraId="07ECF5D0" w14:textId="289EF0C0" w:rsidR="009348CC" w:rsidRDefault="009348CC" w:rsidP="00324D24">
      <w:pPr>
        <w:spacing w:after="0" w:line="360" w:lineRule="auto"/>
        <w:jc w:val="both"/>
        <w:rPr>
          <w:rFonts w:ascii="Times New Roman" w:hAnsi="Times New Roman" w:cs="Times New Roman"/>
          <w:color w:val="000000" w:themeColor="text1"/>
          <w:sz w:val="24"/>
          <w:szCs w:val="24"/>
        </w:rPr>
      </w:pPr>
    </w:p>
    <w:p w14:paraId="7486B476" w14:textId="6EC61457" w:rsidR="009348CC" w:rsidRDefault="009348CC" w:rsidP="00324D24">
      <w:pPr>
        <w:spacing w:after="0" w:line="360" w:lineRule="auto"/>
        <w:jc w:val="both"/>
        <w:rPr>
          <w:rFonts w:ascii="Times New Roman" w:hAnsi="Times New Roman" w:cs="Times New Roman"/>
          <w:color w:val="000000" w:themeColor="text1"/>
          <w:sz w:val="24"/>
          <w:szCs w:val="24"/>
        </w:rPr>
      </w:pPr>
    </w:p>
    <w:p w14:paraId="40074903" w14:textId="7288D838" w:rsidR="009348CC" w:rsidRDefault="009348CC" w:rsidP="00324D24">
      <w:pPr>
        <w:spacing w:after="0" w:line="360" w:lineRule="auto"/>
        <w:jc w:val="both"/>
        <w:rPr>
          <w:rFonts w:ascii="Times New Roman" w:hAnsi="Times New Roman" w:cs="Times New Roman"/>
          <w:color w:val="000000" w:themeColor="text1"/>
          <w:sz w:val="24"/>
          <w:szCs w:val="24"/>
        </w:rPr>
      </w:pPr>
    </w:p>
    <w:p w14:paraId="06DBDE46" w14:textId="3BEAD5B5" w:rsidR="009348CC" w:rsidRDefault="009348CC" w:rsidP="00324D24">
      <w:pPr>
        <w:spacing w:after="0" w:line="360" w:lineRule="auto"/>
        <w:jc w:val="both"/>
        <w:rPr>
          <w:rFonts w:ascii="Times New Roman" w:hAnsi="Times New Roman" w:cs="Times New Roman"/>
          <w:color w:val="000000" w:themeColor="text1"/>
          <w:sz w:val="24"/>
          <w:szCs w:val="24"/>
        </w:rPr>
      </w:pPr>
    </w:p>
    <w:p w14:paraId="3B155606" w14:textId="77777777" w:rsidR="009348CC" w:rsidRDefault="009348CC" w:rsidP="00324D24">
      <w:pPr>
        <w:spacing w:after="0" w:line="360" w:lineRule="auto"/>
        <w:jc w:val="both"/>
        <w:rPr>
          <w:rFonts w:ascii="Times New Roman" w:hAnsi="Times New Roman" w:cs="Times New Roman"/>
          <w:color w:val="000000" w:themeColor="text1"/>
          <w:sz w:val="24"/>
          <w:szCs w:val="24"/>
        </w:rPr>
      </w:pPr>
    </w:p>
    <w:p w14:paraId="27BDDEA1" w14:textId="77777777" w:rsidR="00324D24" w:rsidRPr="002B782A" w:rsidRDefault="00324D24" w:rsidP="00324D24">
      <w:pPr>
        <w:spacing w:after="0" w:line="36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Gráfico 2: Coeficientes de Especialização das microrregiões pernambucanas em 2010 e 2019</w:t>
      </w:r>
    </w:p>
    <w:p w14:paraId="74C0892A" w14:textId="2DB9D084" w:rsidR="00324D24" w:rsidRPr="00E35CEA" w:rsidRDefault="00324D24" w:rsidP="00324D24">
      <w:pPr>
        <w:spacing w:after="0" w:line="360" w:lineRule="auto"/>
        <w:jc w:val="both"/>
        <w:rPr>
          <w:rFonts w:ascii="Times New Roman" w:hAnsi="Times New Roman" w:cs="Times New Roman"/>
          <w:color w:val="000000" w:themeColor="text1"/>
          <w:sz w:val="20"/>
          <w:szCs w:val="20"/>
        </w:rPr>
      </w:pPr>
      <w:r>
        <w:rPr>
          <w:noProof/>
        </w:rPr>
        <w:drawing>
          <wp:anchor distT="0" distB="0" distL="114300" distR="114300" simplePos="0" relativeHeight="251659264" behindDoc="1" locked="0" layoutInCell="1" allowOverlap="1" wp14:anchorId="195AF8B6" wp14:editId="01BC3E97">
            <wp:simplePos x="0" y="0"/>
            <wp:positionH relativeFrom="column">
              <wp:posOffset>-635</wp:posOffset>
            </wp:positionH>
            <wp:positionV relativeFrom="paragraph">
              <wp:posOffset>3175</wp:posOffset>
            </wp:positionV>
            <wp:extent cx="5746750" cy="3200400"/>
            <wp:effectExtent l="0" t="0" r="6350" b="0"/>
            <wp:wrapTight wrapText="bothSides">
              <wp:wrapPolygon edited="0">
                <wp:start x="0" y="0"/>
                <wp:lineTo x="0" y="21471"/>
                <wp:lineTo x="21552" y="21471"/>
                <wp:lineTo x="21552" y="0"/>
                <wp:lineTo x="0" y="0"/>
              </wp:wrapPolygon>
            </wp:wrapTight>
            <wp:docPr id="6" name="Gráfico 6">
              <a:extLst xmlns:a="http://schemas.openxmlformats.org/drawingml/2006/main">
                <a:ext uri="{FF2B5EF4-FFF2-40B4-BE49-F238E27FC236}">
                  <a16:creationId xmlns:a16="http://schemas.microsoft.com/office/drawing/2014/main" id="{DB26D82C-AF3E-3446-D966-E7733BF423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sidRPr="00E35CEA">
        <w:rPr>
          <w:rFonts w:ascii="Times New Roman" w:hAnsi="Times New Roman" w:cs="Times New Roman"/>
          <w:color w:val="000000" w:themeColor="text1"/>
          <w:sz w:val="20"/>
          <w:szCs w:val="20"/>
        </w:rPr>
        <w:t xml:space="preserve">Fonte: Elaborado pelos autores com base nos dados da RAIS/MTE. </w:t>
      </w:r>
    </w:p>
    <w:p w14:paraId="1C2A8F08" w14:textId="63F290EA" w:rsidR="00324D24" w:rsidRDefault="00324D24" w:rsidP="00324D24">
      <w:pPr>
        <w:spacing w:after="0" w:line="360" w:lineRule="auto"/>
        <w:jc w:val="both"/>
        <w:rPr>
          <w:rFonts w:ascii="Times New Roman" w:hAnsi="Times New Roman" w:cs="Times New Roman"/>
          <w:color w:val="000000" w:themeColor="text1"/>
          <w:sz w:val="24"/>
          <w:szCs w:val="24"/>
        </w:rPr>
      </w:pPr>
    </w:p>
    <w:p w14:paraId="18D4A8D2" w14:textId="77777777" w:rsidR="00324D24" w:rsidRDefault="00324D24" w:rsidP="00B12877">
      <w:pPr>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Com base nos dados do gráfico 2, nota-se que as microrregiões com os menores índices de especialização em 2010 foram Recife, Sertão do Moxotó, Araripina e Vale do Ipojuca. Vieira (2012) também identificou as microrregiões de Recife e Sertão do Moxotó com os menores valores nesse indicador. Já em 2019 foram Araripina, Médio Capibaribe, Brejo Pernambucano e Garanhuns. </w:t>
      </w:r>
      <w:r w:rsidRPr="0064116B">
        <w:rPr>
          <w:rFonts w:ascii="Times New Roman" w:hAnsi="Times New Roman" w:cs="Times New Roman"/>
          <w:color w:val="000000" w:themeColor="text1"/>
          <w:sz w:val="24"/>
          <w:szCs w:val="24"/>
        </w:rPr>
        <w:t xml:space="preserve">Isto indica que a estrutura destas microrregiões é semelhante à estrutura estadual do emprego, </w:t>
      </w:r>
      <w:r>
        <w:rPr>
          <w:rFonts w:ascii="Times New Roman" w:hAnsi="Times New Roman" w:cs="Times New Roman"/>
          <w:color w:val="000000" w:themeColor="text1"/>
          <w:sz w:val="24"/>
          <w:szCs w:val="24"/>
        </w:rPr>
        <w:t>isto pode ser explicado</w:t>
      </w:r>
      <w:r w:rsidRPr="0064116B">
        <w:rPr>
          <w:rFonts w:ascii="Times New Roman" w:hAnsi="Times New Roman" w:cs="Times New Roman"/>
          <w:color w:val="000000" w:themeColor="text1"/>
          <w:sz w:val="24"/>
          <w:szCs w:val="24"/>
        </w:rPr>
        <w:t xml:space="preserve"> porque elas têm uma participação </w:t>
      </w:r>
      <w:r>
        <w:rPr>
          <w:rFonts w:ascii="Times New Roman" w:hAnsi="Times New Roman" w:cs="Times New Roman"/>
          <w:color w:val="000000" w:themeColor="text1"/>
          <w:sz w:val="24"/>
          <w:szCs w:val="24"/>
        </w:rPr>
        <w:t>relevante</w:t>
      </w:r>
      <w:r w:rsidRPr="0064116B">
        <w:rPr>
          <w:rFonts w:ascii="Times New Roman" w:hAnsi="Times New Roman" w:cs="Times New Roman"/>
          <w:color w:val="000000" w:themeColor="text1"/>
          <w:sz w:val="24"/>
          <w:szCs w:val="24"/>
        </w:rPr>
        <w:t xml:space="preserve"> em quase todos os setores</w:t>
      </w:r>
      <w:r>
        <w:rPr>
          <w:rFonts w:ascii="Times New Roman" w:hAnsi="Times New Roman" w:cs="Times New Roman"/>
          <w:color w:val="000000" w:themeColor="text1"/>
          <w:sz w:val="24"/>
          <w:szCs w:val="24"/>
        </w:rPr>
        <w:t xml:space="preserve"> analisados</w:t>
      </w:r>
      <w:r w:rsidRPr="005257A9">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Dado que estas microrregiões são bastante diversificadas em relação as demais, isto explica os coeficientes próximos a zero. </w:t>
      </w:r>
    </w:p>
    <w:p w14:paraId="315D4D8B" w14:textId="77777777" w:rsidR="00324D24" w:rsidRDefault="00324D24" w:rsidP="00324D24">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As microrregiões que obtiveram os maiores índices de especialização da economia pernambucana foram Salgueiro, Mata Meridional Pernambucana e Itamaracá, no ano de 2010. A microrregião de Salgueiro foi destaque na construção civil com QL muito superior as demais microrregiões analisadas, pelas razões aqui já mencionadas na discussão do QL. A Mata Meridional Pernambucana teve </w:t>
      </w:r>
      <w:proofErr w:type="spellStart"/>
      <w:r>
        <w:rPr>
          <w:rFonts w:ascii="Times New Roman" w:hAnsi="Times New Roman" w:cs="Times New Roman"/>
          <w:color w:val="000000" w:themeColor="text1"/>
          <w:sz w:val="24"/>
          <w:szCs w:val="24"/>
        </w:rPr>
        <w:t>QLs</w:t>
      </w:r>
      <w:proofErr w:type="spellEnd"/>
      <w:r>
        <w:rPr>
          <w:rFonts w:ascii="Times New Roman" w:hAnsi="Times New Roman" w:cs="Times New Roman"/>
          <w:color w:val="000000" w:themeColor="text1"/>
          <w:sz w:val="24"/>
          <w:szCs w:val="24"/>
        </w:rPr>
        <w:t xml:space="preserve"> superiores a unidade nos setores da indústria e </w:t>
      </w:r>
      <w:r>
        <w:rPr>
          <w:rFonts w:ascii="Times New Roman" w:hAnsi="Times New Roman" w:cs="Times New Roman"/>
          <w:color w:val="000000" w:themeColor="text1"/>
          <w:sz w:val="24"/>
          <w:szCs w:val="24"/>
        </w:rPr>
        <w:lastRenderedPageBreak/>
        <w:t xml:space="preserve">agropecuário. Itamaracá foi destaque na indústria com QL igual a 3,21. No ano de 2019, os maiores índices de especialização foram identificados nas microrregiões de Itamaracá, que manteve seu bom desempenho na indústria (QL = 3,15) e avançou na construção civil com quociente locacional superior a um, Mata Setentrional Pernambucana destacando-se no setor da industrial (QL = 2,41) e no agropecuário (QL = 2,32) e Vitória de Santo Antão que obteve </w:t>
      </w:r>
      <w:proofErr w:type="spellStart"/>
      <w:r>
        <w:rPr>
          <w:rFonts w:ascii="Times New Roman" w:hAnsi="Times New Roman" w:cs="Times New Roman"/>
          <w:color w:val="000000" w:themeColor="text1"/>
          <w:sz w:val="24"/>
          <w:szCs w:val="24"/>
        </w:rPr>
        <w:t>QLs</w:t>
      </w:r>
      <w:proofErr w:type="spellEnd"/>
      <w:r>
        <w:rPr>
          <w:rFonts w:ascii="Times New Roman" w:hAnsi="Times New Roman" w:cs="Times New Roman"/>
          <w:color w:val="000000" w:themeColor="text1"/>
          <w:sz w:val="24"/>
          <w:szCs w:val="24"/>
        </w:rPr>
        <w:t xml:space="preserve"> superiores a um, nos setores da indústria e comércio. Isto se explica pelo fato destas microrregiões terem sido relativamente especializadas em setores relevantes nos referidos anos.  </w:t>
      </w:r>
    </w:p>
    <w:p w14:paraId="50A1F3AF" w14:textId="77777777" w:rsidR="00625D04" w:rsidRDefault="00625D04">
      <w:pPr>
        <w:spacing w:after="0" w:line="240" w:lineRule="auto"/>
        <w:jc w:val="both"/>
        <w:rPr>
          <w:rFonts w:ascii="Times New Roman" w:hAnsi="Times New Roman" w:cs="Times New Roman"/>
          <w:b/>
          <w:bCs/>
          <w:sz w:val="24"/>
          <w:szCs w:val="24"/>
        </w:rPr>
      </w:pPr>
    </w:p>
    <w:p w14:paraId="779FFF45" w14:textId="79836D7B" w:rsidR="00264F7F" w:rsidRDefault="00000000">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REFERÊNCIAS</w:t>
      </w:r>
    </w:p>
    <w:p w14:paraId="260558AC" w14:textId="77777777" w:rsidR="00324D24" w:rsidRPr="00C33AF5" w:rsidRDefault="00324D24" w:rsidP="00A17506">
      <w:pPr>
        <w:spacing w:before="160" w:after="0" w:line="240" w:lineRule="auto"/>
        <w:rPr>
          <w:rFonts w:ascii="Times New Roman" w:hAnsi="Times New Roman" w:cs="Times New Roman"/>
          <w:color w:val="000000" w:themeColor="text1"/>
          <w:sz w:val="24"/>
          <w:szCs w:val="24"/>
        </w:rPr>
      </w:pPr>
      <w:r w:rsidRPr="00C33AF5">
        <w:rPr>
          <w:rFonts w:ascii="Times New Roman" w:hAnsi="Times New Roman" w:cs="Times New Roman"/>
          <w:color w:val="000000" w:themeColor="text1"/>
          <w:sz w:val="24"/>
          <w:szCs w:val="24"/>
        </w:rPr>
        <w:t xml:space="preserve">ARAÚJO, T. B.; SANTOS, V. M. A Economia de Pernambuco: Dinâmica Econômica, Mudanças Recentes e Perspectivas. </w:t>
      </w:r>
      <w:r w:rsidRPr="00C33AF5">
        <w:rPr>
          <w:rFonts w:ascii="Times New Roman" w:hAnsi="Times New Roman" w:cs="Times New Roman"/>
          <w:b/>
          <w:bCs/>
          <w:color w:val="000000" w:themeColor="text1"/>
          <w:sz w:val="24"/>
          <w:szCs w:val="24"/>
        </w:rPr>
        <w:t>BNB Conjuntura Econômica</w:t>
      </w:r>
      <w:r w:rsidRPr="00C33AF5">
        <w:rPr>
          <w:rFonts w:ascii="Times New Roman" w:hAnsi="Times New Roman" w:cs="Times New Roman"/>
          <w:color w:val="000000" w:themeColor="text1"/>
          <w:sz w:val="24"/>
          <w:szCs w:val="24"/>
        </w:rPr>
        <w:t>. Fortaleza, Edição especial, p.335-344, 2019.</w:t>
      </w:r>
    </w:p>
    <w:p w14:paraId="36278CC9" w14:textId="77777777" w:rsidR="00324D24" w:rsidRPr="00C33AF5" w:rsidRDefault="00324D24" w:rsidP="00A17506">
      <w:pPr>
        <w:spacing w:before="160" w:after="0" w:line="240" w:lineRule="auto"/>
        <w:rPr>
          <w:rFonts w:ascii="Times New Roman" w:hAnsi="Times New Roman" w:cs="Times New Roman"/>
          <w:color w:val="000000" w:themeColor="text1"/>
          <w:sz w:val="24"/>
          <w:szCs w:val="24"/>
        </w:rPr>
      </w:pPr>
      <w:r w:rsidRPr="00C33AF5">
        <w:rPr>
          <w:rFonts w:ascii="Times New Roman" w:hAnsi="Times New Roman" w:cs="Times New Roman"/>
          <w:color w:val="000000" w:themeColor="text1"/>
          <w:sz w:val="24"/>
          <w:szCs w:val="24"/>
        </w:rPr>
        <w:t xml:space="preserve">CANO, W. </w:t>
      </w:r>
      <w:r w:rsidRPr="00C33AF5">
        <w:rPr>
          <w:rFonts w:ascii="Times New Roman" w:hAnsi="Times New Roman" w:cs="Times New Roman"/>
          <w:b/>
          <w:bCs/>
          <w:color w:val="000000" w:themeColor="text1"/>
          <w:sz w:val="24"/>
          <w:szCs w:val="24"/>
        </w:rPr>
        <w:t>Desequilíbrios Regionais e Concentração Industrial no Brasil</w:t>
      </w:r>
      <w:r w:rsidRPr="00C33AF5">
        <w:rPr>
          <w:rFonts w:ascii="Times New Roman" w:hAnsi="Times New Roman" w:cs="Times New Roman"/>
          <w:color w:val="000000" w:themeColor="text1"/>
          <w:sz w:val="24"/>
          <w:szCs w:val="24"/>
        </w:rPr>
        <w:t>: 1930- 1970. 3ª ed. São Paulo: Editora Unesp, 2007.</w:t>
      </w:r>
    </w:p>
    <w:p w14:paraId="2650CDBE" w14:textId="77777777" w:rsidR="00324D24" w:rsidRPr="00C33AF5" w:rsidRDefault="00324D24" w:rsidP="00A17506">
      <w:pPr>
        <w:spacing w:before="160" w:after="0" w:line="240" w:lineRule="auto"/>
        <w:rPr>
          <w:rFonts w:ascii="Times New Roman" w:hAnsi="Times New Roman" w:cs="Times New Roman"/>
          <w:color w:val="000000" w:themeColor="text1"/>
          <w:sz w:val="24"/>
          <w:szCs w:val="24"/>
        </w:rPr>
      </w:pPr>
      <w:r w:rsidRPr="00C33AF5">
        <w:rPr>
          <w:rFonts w:ascii="Times New Roman" w:hAnsi="Times New Roman" w:cs="Times New Roman"/>
          <w:color w:val="000000" w:themeColor="text1"/>
          <w:sz w:val="24"/>
          <w:szCs w:val="24"/>
        </w:rPr>
        <w:t xml:space="preserve">CANO, W. </w:t>
      </w:r>
      <w:r w:rsidRPr="00C33AF5">
        <w:rPr>
          <w:rFonts w:ascii="Times New Roman" w:hAnsi="Times New Roman" w:cs="Times New Roman"/>
          <w:b/>
          <w:bCs/>
          <w:color w:val="000000" w:themeColor="text1"/>
          <w:sz w:val="24"/>
          <w:szCs w:val="24"/>
        </w:rPr>
        <w:t>Desconcentração produtiva regional do Brasil (1970-2005).</w:t>
      </w:r>
      <w:r w:rsidRPr="00C33AF5">
        <w:rPr>
          <w:rFonts w:ascii="Times New Roman" w:hAnsi="Times New Roman" w:cs="Times New Roman"/>
          <w:color w:val="000000" w:themeColor="text1"/>
          <w:sz w:val="24"/>
          <w:szCs w:val="24"/>
        </w:rPr>
        <w:t xml:space="preserve"> São Paulo: Editora Unesp, 2008. </w:t>
      </w:r>
    </w:p>
    <w:p w14:paraId="04F1B9E2" w14:textId="77777777" w:rsidR="00324D24" w:rsidRPr="00C33AF5" w:rsidRDefault="00324D24" w:rsidP="00A17506">
      <w:pPr>
        <w:spacing w:before="160" w:after="0" w:line="240" w:lineRule="auto"/>
        <w:rPr>
          <w:rFonts w:ascii="Times New Roman" w:hAnsi="Times New Roman" w:cs="Times New Roman"/>
          <w:color w:val="000000" w:themeColor="text1"/>
          <w:sz w:val="24"/>
          <w:szCs w:val="24"/>
        </w:rPr>
      </w:pPr>
      <w:bookmarkStart w:id="2" w:name="_Hlk101961590"/>
      <w:r w:rsidRPr="00C33AF5">
        <w:rPr>
          <w:rFonts w:ascii="Times New Roman" w:hAnsi="Times New Roman" w:cs="Times New Roman"/>
          <w:color w:val="000000" w:themeColor="text1"/>
          <w:sz w:val="24"/>
          <w:szCs w:val="24"/>
        </w:rPr>
        <w:t xml:space="preserve">CAVALCANTE, L. R. M. T. Produção teórica em Economia regional: uma proposta de sistematização. </w:t>
      </w:r>
      <w:r w:rsidRPr="00C33AF5">
        <w:rPr>
          <w:rFonts w:ascii="Times New Roman" w:hAnsi="Times New Roman" w:cs="Times New Roman"/>
          <w:b/>
          <w:bCs/>
          <w:color w:val="000000" w:themeColor="text1"/>
          <w:sz w:val="24"/>
          <w:szCs w:val="24"/>
        </w:rPr>
        <w:t>Revista Brasileira de Estudos Regionais e Urbanos - ABER</w:t>
      </w:r>
      <w:r w:rsidRPr="00C33AF5">
        <w:rPr>
          <w:rFonts w:ascii="Times New Roman" w:hAnsi="Times New Roman" w:cs="Times New Roman"/>
          <w:color w:val="000000" w:themeColor="text1"/>
          <w:sz w:val="24"/>
          <w:szCs w:val="24"/>
        </w:rPr>
        <w:t xml:space="preserve">, Minas Gerais, v.2, n.1, p.9-32, 2007. </w:t>
      </w:r>
    </w:p>
    <w:p w14:paraId="4874CDFF" w14:textId="7678C212" w:rsidR="00324D24" w:rsidRPr="00C33AF5" w:rsidRDefault="00324D24" w:rsidP="00A17506">
      <w:pPr>
        <w:spacing w:before="160" w:after="0" w:line="240" w:lineRule="auto"/>
        <w:rPr>
          <w:rFonts w:ascii="Times New Roman" w:hAnsi="Times New Roman" w:cs="Times New Roman"/>
          <w:color w:val="000000" w:themeColor="text1"/>
          <w:sz w:val="24"/>
          <w:szCs w:val="24"/>
        </w:rPr>
      </w:pPr>
      <w:r w:rsidRPr="00C33AF5">
        <w:rPr>
          <w:rFonts w:ascii="Times New Roman" w:hAnsi="Times New Roman" w:cs="Times New Roman"/>
          <w:color w:val="000000" w:themeColor="text1"/>
          <w:sz w:val="24"/>
          <w:szCs w:val="24"/>
        </w:rPr>
        <w:t xml:space="preserve">CUNHA, J. C. </w:t>
      </w:r>
      <w:r w:rsidRPr="00C33AF5">
        <w:rPr>
          <w:rFonts w:ascii="Times New Roman" w:hAnsi="Times New Roman" w:cs="Times New Roman"/>
          <w:b/>
          <w:bCs/>
          <w:color w:val="000000" w:themeColor="text1"/>
          <w:sz w:val="24"/>
          <w:szCs w:val="24"/>
        </w:rPr>
        <w:t>Nova Geografia Econômica</w:t>
      </w:r>
      <w:r w:rsidRPr="00C33AF5">
        <w:rPr>
          <w:rFonts w:ascii="Times New Roman" w:hAnsi="Times New Roman" w:cs="Times New Roman"/>
          <w:color w:val="000000" w:themeColor="text1"/>
          <w:sz w:val="24"/>
          <w:szCs w:val="24"/>
        </w:rPr>
        <w:t xml:space="preserve">: Um ensaio para o Brasil. </w:t>
      </w:r>
      <w:r w:rsidR="000854C4" w:rsidRPr="00C33AF5">
        <w:rPr>
          <w:rFonts w:ascii="Times New Roman" w:hAnsi="Times New Roman" w:cs="Times New Roman"/>
          <w:color w:val="000000" w:themeColor="text1"/>
          <w:sz w:val="24"/>
          <w:szCs w:val="24"/>
        </w:rPr>
        <w:t xml:space="preserve">Orientador: Sabino da Silva Porto. 2008. </w:t>
      </w:r>
      <w:r w:rsidRPr="00C33AF5">
        <w:rPr>
          <w:rFonts w:ascii="Times New Roman" w:hAnsi="Times New Roman" w:cs="Times New Roman"/>
          <w:color w:val="000000" w:themeColor="text1"/>
          <w:sz w:val="24"/>
          <w:szCs w:val="24"/>
        </w:rPr>
        <w:t>132f. Dissertação</w:t>
      </w:r>
      <w:r w:rsidR="000854C4" w:rsidRPr="00C33AF5">
        <w:rPr>
          <w:rFonts w:ascii="Times New Roman" w:hAnsi="Times New Roman" w:cs="Times New Roman"/>
          <w:color w:val="000000" w:themeColor="text1"/>
          <w:sz w:val="24"/>
          <w:szCs w:val="24"/>
        </w:rPr>
        <w:t xml:space="preserve"> </w:t>
      </w:r>
      <w:r w:rsidRPr="00C33AF5">
        <w:rPr>
          <w:rFonts w:ascii="Times New Roman" w:hAnsi="Times New Roman" w:cs="Times New Roman"/>
          <w:color w:val="000000" w:themeColor="text1"/>
          <w:sz w:val="24"/>
          <w:szCs w:val="24"/>
        </w:rPr>
        <w:t>(</w:t>
      </w:r>
      <w:r w:rsidR="000854C4" w:rsidRPr="00C33AF5">
        <w:rPr>
          <w:rFonts w:ascii="Times New Roman" w:hAnsi="Times New Roman" w:cs="Times New Roman"/>
          <w:color w:val="000000" w:themeColor="text1"/>
          <w:sz w:val="24"/>
          <w:szCs w:val="24"/>
        </w:rPr>
        <w:t>Mestrado</w:t>
      </w:r>
      <w:r w:rsidR="000854C4" w:rsidRPr="00C33AF5">
        <w:rPr>
          <w:rFonts w:ascii="Times New Roman" w:hAnsi="Times New Roman" w:cs="Times New Roman"/>
          <w:color w:val="000000" w:themeColor="text1"/>
          <w:sz w:val="24"/>
          <w:szCs w:val="24"/>
        </w:rPr>
        <w:t xml:space="preserve"> em </w:t>
      </w:r>
      <w:r w:rsidRPr="00C33AF5">
        <w:rPr>
          <w:rFonts w:ascii="Times New Roman" w:hAnsi="Times New Roman" w:cs="Times New Roman"/>
          <w:color w:val="000000" w:themeColor="text1"/>
          <w:sz w:val="24"/>
          <w:szCs w:val="24"/>
        </w:rPr>
        <w:t>Economia Aplicada)</w:t>
      </w:r>
      <w:r w:rsidR="000854C4" w:rsidRPr="00C33AF5">
        <w:rPr>
          <w:rFonts w:ascii="Times New Roman" w:hAnsi="Times New Roman" w:cs="Times New Roman"/>
          <w:color w:val="000000" w:themeColor="text1"/>
          <w:sz w:val="24"/>
          <w:szCs w:val="24"/>
        </w:rPr>
        <w:t xml:space="preserve"> -</w:t>
      </w:r>
      <w:r w:rsidRPr="00C33AF5">
        <w:rPr>
          <w:rFonts w:ascii="Times New Roman" w:hAnsi="Times New Roman" w:cs="Times New Roman"/>
          <w:color w:val="000000" w:themeColor="text1"/>
          <w:sz w:val="24"/>
          <w:szCs w:val="24"/>
        </w:rPr>
        <w:t xml:space="preserve"> Faculdade de Ciências Econômicas</w:t>
      </w:r>
      <w:r w:rsidR="000854C4" w:rsidRPr="00C33AF5">
        <w:rPr>
          <w:rFonts w:ascii="Times New Roman" w:hAnsi="Times New Roman" w:cs="Times New Roman"/>
          <w:color w:val="000000" w:themeColor="text1"/>
          <w:sz w:val="24"/>
          <w:szCs w:val="24"/>
        </w:rPr>
        <w:t xml:space="preserve">, </w:t>
      </w:r>
      <w:r w:rsidRPr="00C33AF5">
        <w:rPr>
          <w:rFonts w:ascii="Times New Roman" w:hAnsi="Times New Roman" w:cs="Times New Roman"/>
          <w:color w:val="000000" w:themeColor="text1"/>
          <w:sz w:val="24"/>
          <w:szCs w:val="24"/>
        </w:rPr>
        <w:t>Universidade Federal do Rio Grande do Sul</w:t>
      </w:r>
      <w:r w:rsidR="000854C4" w:rsidRPr="00C33AF5">
        <w:rPr>
          <w:rFonts w:ascii="Times New Roman" w:hAnsi="Times New Roman" w:cs="Times New Roman"/>
          <w:color w:val="000000" w:themeColor="text1"/>
          <w:sz w:val="24"/>
          <w:szCs w:val="24"/>
        </w:rPr>
        <w:t xml:space="preserve">, </w:t>
      </w:r>
      <w:r w:rsidRPr="00C33AF5">
        <w:rPr>
          <w:rFonts w:ascii="Times New Roman" w:hAnsi="Times New Roman" w:cs="Times New Roman"/>
          <w:color w:val="000000" w:themeColor="text1"/>
          <w:sz w:val="24"/>
          <w:szCs w:val="24"/>
        </w:rPr>
        <w:t>Porto Alegre</w:t>
      </w:r>
      <w:r w:rsidR="000854C4" w:rsidRPr="00C33AF5">
        <w:rPr>
          <w:rFonts w:ascii="Times New Roman" w:hAnsi="Times New Roman" w:cs="Times New Roman"/>
          <w:color w:val="000000" w:themeColor="text1"/>
          <w:sz w:val="24"/>
          <w:szCs w:val="24"/>
        </w:rPr>
        <w:t xml:space="preserve"> - </w:t>
      </w:r>
      <w:r w:rsidRPr="00C33AF5">
        <w:rPr>
          <w:rFonts w:ascii="Times New Roman" w:hAnsi="Times New Roman" w:cs="Times New Roman"/>
          <w:color w:val="000000" w:themeColor="text1"/>
          <w:sz w:val="24"/>
          <w:szCs w:val="24"/>
        </w:rPr>
        <w:t>RS, 2008.</w:t>
      </w:r>
    </w:p>
    <w:p w14:paraId="440F80A2" w14:textId="77777777" w:rsidR="00324D24" w:rsidRPr="00C33AF5" w:rsidRDefault="00324D24" w:rsidP="00A17506">
      <w:pPr>
        <w:spacing w:before="160" w:after="0" w:line="240" w:lineRule="auto"/>
        <w:rPr>
          <w:rFonts w:ascii="Times New Roman" w:hAnsi="Times New Roman" w:cs="Times New Roman"/>
          <w:color w:val="000000" w:themeColor="text1"/>
          <w:sz w:val="24"/>
          <w:szCs w:val="24"/>
        </w:rPr>
      </w:pPr>
      <w:r w:rsidRPr="00C33AF5">
        <w:rPr>
          <w:rFonts w:ascii="Times New Roman" w:hAnsi="Times New Roman" w:cs="Times New Roman"/>
          <w:color w:val="000000" w:themeColor="text1"/>
          <w:sz w:val="24"/>
          <w:szCs w:val="24"/>
        </w:rPr>
        <w:t xml:space="preserve">DINIZ, C. C.; CROCCO, M. (Org). </w:t>
      </w:r>
      <w:r w:rsidRPr="00C33AF5">
        <w:rPr>
          <w:rFonts w:ascii="Times New Roman" w:hAnsi="Times New Roman" w:cs="Times New Roman"/>
          <w:b/>
          <w:bCs/>
          <w:color w:val="000000" w:themeColor="text1"/>
          <w:sz w:val="24"/>
          <w:szCs w:val="24"/>
        </w:rPr>
        <w:t>Economia Regional e Urbana</w:t>
      </w:r>
      <w:r w:rsidRPr="00C33AF5">
        <w:rPr>
          <w:rFonts w:ascii="Times New Roman" w:hAnsi="Times New Roman" w:cs="Times New Roman"/>
          <w:color w:val="000000" w:themeColor="text1"/>
          <w:sz w:val="24"/>
          <w:szCs w:val="24"/>
        </w:rPr>
        <w:t>: contribuições teóricas recentes. Belo Horizonte: Editora UFMG, 303p. 2006.</w:t>
      </w:r>
    </w:p>
    <w:p w14:paraId="21C6AE41" w14:textId="77777777" w:rsidR="00324D24" w:rsidRPr="00C33AF5" w:rsidRDefault="00324D24" w:rsidP="00A17506">
      <w:pPr>
        <w:spacing w:before="160" w:after="0" w:line="240" w:lineRule="auto"/>
        <w:rPr>
          <w:rFonts w:ascii="Times New Roman" w:hAnsi="Times New Roman" w:cs="Times New Roman"/>
          <w:color w:val="000000" w:themeColor="text1"/>
          <w:sz w:val="24"/>
          <w:szCs w:val="24"/>
        </w:rPr>
      </w:pPr>
      <w:r w:rsidRPr="00C33AF5">
        <w:rPr>
          <w:rFonts w:ascii="Times New Roman" w:hAnsi="Times New Roman" w:cs="Times New Roman"/>
          <w:color w:val="000000" w:themeColor="text1"/>
          <w:sz w:val="24"/>
          <w:szCs w:val="24"/>
        </w:rPr>
        <w:t xml:space="preserve">DINIZ, C. C. </w:t>
      </w:r>
      <w:r w:rsidRPr="00C33AF5">
        <w:rPr>
          <w:rFonts w:ascii="Times New Roman" w:hAnsi="Times New Roman" w:cs="Times New Roman"/>
          <w:b/>
          <w:bCs/>
          <w:color w:val="000000" w:themeColor="text1"/>
          <w:sz w:val="24"/>
          <w:szCs w:val="24"/>
        </w:rPr>
        <w:t>Dinâmica regional e ordenamento do território brasileiro:</w:t>
      </w:r>
      <w:r w:rsidRPr="00C33AF5">
        <w:rPr>
          <w:rFonts w:ascii="Times New Roman" w:hAnsi="Times New Roman" w:cs="Times New Roman"/>
          <w:color w:val="000000" w:themeColor="text1"/>
          <w:sz w:val="24"/>
          <w:szCs w:val="24"/>
        </w:rPr>
        <w:t xml:space="preserve"> desafios e oportunidades. Belo Horizonte: CEDEPLAR/ UFMG, 2013. Texto para discussão, n. 471. </w:t>
      </w:r>
    </w:p>
    <w:p w14:paraId="5E17C090" w14:textId="77777777" w:rsidR="00324D24" w:rsidRPr="00C33AF5" w:rsidRDefault="00324D24" w:rsidP="00A17506">
      <w:pPr>
        <w:spacing w:before="160" w:after="0" w:line="240" w:lineRule="auto"/>
        <w:rPr>
          <w:rFonts w:ascii="Times New Roman" w:hAnsi="Times New Roman" w:cs="Times New Roman"/>
          <w:color w:val="000000" w:themeColor="text1"/>
          <w:sz w:val="24"/>
          <w:szCs w:val="24"/>
        </w:rPr>
      </w:pPr>
      <w:r w:rsidRPr="00C33AF5">
        <w:rPr>
          <w:rFonts w:ascii="Times New Roman" w:hAnsi="Times New Roman" w:cs="Times New Roman"/>
          <w:color w:val="000000" w:themeColor="text1"/>
          <w:sz w:val="24"/>
          <w:szCs w:val="24"/>
        </w:rPr>
        <w:t xml:space="preserve">FERREIRA, C.M.C. As Teorias da Localização e a Organização Espacial da Economia. </w:t>
      </w:r>
      <w:r w:rsidRPr="00C33AF5">
        <w:rPr>
          <w:rFonts w:ascii="Times New Roman" w:hAnsi="Times New Roman" w:cs="Times New Roman"/>
          <w:i/>
          <w:iCs/>
          <w:color w:val="000000" w:themeColor="text1"/>
          <w:sz w:val="24"/>
          <w:szCs w:val="24"/>
        </w:rPr>
        <w:t>In</w:t>
      </w:r>
      <w:r w:rsidRPr="00C33AF5">
        <w:rPr>
          <w:rFonts w:ascii="Times New Roman" w:hAnsi="Times New Roman" w:cs="Times New Roman"/>
          <w:color w:val="000000" w:themeColor="text1"/>
          <w:sz w:val="24"/>
          <w:szCs w:val="24"/>
        </w:rPr>
        <w:t xml:space="preserve">: HADDAD, P. R. </w:t>
      </w:r>
      <w:r w:rsidRPr="00C33AF5">
        <w:rPr>
          <w:rFonts w:ascii="Times New Roman" w:hAnsi="Times New Roman" w:cs="Times New Roman"/>
          <w:b/>
          <w:bCs/>
          <w:color w:val="000000" w:themeColor="text1"/>
          <w:sz w:val="24"/>
          <w:szCs w:val="24"/>
        </w:rPr>
        <w:t>Economia Regional</w:t>
      </w:r>
      <w:r w:rsidRPr="00C33AF5">
        <w:rPr>
          <w:rFonts w:ascii="Times New Roman" w:hAnsi="Times New Roman" w:cs="Times New Roman"/>
          <w:color w:val="000000" w:themeColor="text1"/>
          <w:sz w:val="24"/>
          <w:szCs w:val="24"/>
        </w:rPr>
        <w:t>: Teorias e Métodos de Análise. Fortaleza. Banco do Nordeste do Brasil. S/A-ETENE. 1989.</w:t>
      </w:r>
    </w:p>
    <w:p w14:paraId="3F705BC2" w14:textId="77777777" w:rsidR="00324D24" w:rsidRPr="00C33AF5" w:rsidRDefault="00324D24" w:rsidP="00A17506">
      <w:pPr>
        <w:spacing w:before="160" w:after="0" w:line="240" w:lineRule="auto"/>
        <w:rPr>
          <w:rFonts w:ascii="Times New Roman" w:hAnsi="Times New Roman" w:cs="Times New Roman"/>
          <w:color w:val="000000" w:themeColor="text1"/>
          <w:sz w:val="24"/>
          <w:szCs w:val="24"/>
        </w:rPr>
      </w:pPr>
      <w:r w:rsidRPr="00C33AF5">
        <w:rPr>
          <w:rFonts w:ascii="Times New Roman" w:hAnsi="Times New Roman" w:cs="Times New Roman"/>
          <w:color w:val="000000" w:themeColor="text1"/>
          <w:sz w:val="24"/>
          <w:szCs w:val="24"/>
        </w:rPr>
        <w:t xml:space="preserve">FURTADO, C. </w:t>
      </w:r>
      <w:r w:rsidRPr="00C33AF5">
        <w:rPr>
          <w:rFonts w:ascii="Times New Roman" w:hAnsi="Times New Roman" w:cs="Times New Roman"/>
          <w:b/>
          <w:bCs/>
          <w:color w:val="000000" w:themeColor="text1"/>
          <w:sz w:val="24"/>
          <w:szCs w:val="24"/>
        </w:rPr>
        <w:t>Formação econômica do Brasil.</w:t>
      </w:r>
      <w:r w:rsidRPr="00C33AF5">
        <w:rPr>
          <w:rFonts w:ascii="Times New Roman" w:hAnsi="Times New Roman" w:cs="Times New Roman"/>
          <w:color w:val="000000" w:themeColor="text1"/>
          <w:sz w:val="24"/>
          <w:szCs w:val="24"/>
        </w:rPr>
        <w:t xml:space="preserve"> Editora Nacional: São Paulo, 1964.</w:t>
      </w:r>
    </w:p>
    <w:p w14:paraId="547CFBFD" w14:textId="11F7542F" w:rsidR="00324D24" w:rsidRPr="005E5290" w:rsidRDefault="00AF17DA" w:rsidP="00A17506">
      <w:pPr>
        <w:spacing w:before="160" w:after="0" w:line="240" w:lineRule="auto"/>
        <w:rPr>
          <w:rFonts w:ascii="Times New Roman" w:hAnsi="Times New Roman" w:cs="Times New Roman"/>
          <w:color w:val="000000" w:themeColor="text1"/>
          <w:sz w:val="24"/>
          <w:szCs w:val="24"/>
        </w:rPr>
      </w:pPr>
      <w:r w:rsidRPr="005E5290">
        <w:rPr>
          <w:rFonts w:ascii="Times New Roman" w:hAnsi="Times New Roman" w:cs="Times New Roman"/>
          <w:color w:val="000000" w:themeColor="text1"/>
          <w:sz w:val="24"/>
          <w:szCs w:val="24"/>
        </w:rPr>
        <w:t xml:space="preserve">HADDAD, P. R. </w:t>
      </w:r>
      <w:r w:rsidRPr="005E5290">
        <w:rPr>
          <w:rFonts w:ascii="Times New Roman" w:hAnsi="Times New Roman" w:cs="Times New Roman"/>
          <w:i/>
          <w:iCs/>
          <w:color w:val="000000" w:themeColor="text1"/>
          <w:sz w:val="24"/>
          <w:szCs w:val="24"/>
        </w:rPr>
        <w:t>et al.</w:t>
      </w:r>
      <w:r w:rsidRPr="005E5290">
        <w:rPr>
          <w:rFonts w:ascii="Times New Roman" w:hAnsi="Times New Roman" w:cs="Times New Roman"/>
          <w:color w:val="000000" w:themeColor="text1"/>
          <w:sz w:val="24"/>
          <w:szCs w:val="24"/>
        </w:rPr>
        <w:t xml:space="preserve"> (Org.). </w:t>
      </w:r>
      <w:r w:rsidRPr="005E5290">
        <w:rPr>
          <w:rFonts w:ascii="Times New Roman" w:hAnsi="Times New Roman" w:cs="Times New Roman"/>
          <w:b/>
          <w:bCs/>
          <w:color w:val="000000" w:themeColor="text1"/>
          <w:sz w:val="24"/>
          <w:szCs w:val="24"/>
        </w:rPr>
        <w:t>Economia regional</w:t>
      </w:r>
      <w:r w:rsidR="00324D24" w:rsidRPr="005E5290">
        <w:rPr>
          <w:rFonts w:ascii="Times New Roman" w:hAnsi="Times New Roman" w:cs="Times New Roman"/>
          <w:color w:val="000000" w:themeColor="text1"/>
          <w:sz w:val="24"/>
          <w:szCs w:val="24"/>
        </w:rPr>
        <w:t>: Teorias e Métodos de Análise. Fortaleza. Banco do Nordeste do Brasil. S/A-ETENE. 1989.</w:t>
      </w:r>
    </w:p>
    <w:p w14:paraId="59DC02EF" w14:textId="77777777" w:rsidR="00324D24" w:rsidRPr="005E5290" w:rsidRDefault="00324D24" w:rsidP="00A17506">
      <w:pPr>
        <w:spacing w:before="160" w:after="0" w:line="240" w:lineRule="auto"/>
        <w:rPr>
          <w:rFonts w:ascii="Times New Roman" w:hAnsi="Times New Roman" w:cs="Times New Roman"/>
          <w:color w:val="000000" w:themeColor="text1"/>
          <w:sz w:val="24"/>
          <w:szCs w:val="24"/>
        </w:rPr>
      </w:pPr>
      <w:r w:rsidRPr="005E5290">
        <w:rPr>
          <w:rFonts w:ascii="Times New Roman" w:hAnsi="Times New Roman" w:cs="Times New Roman"/>
          <w:color w:val="000000" w:themeColor="text1"/>
          <w:sz w:val="24"/>
          <w:szCs w:val="24"/>
        </w:rPr>
        <w:t xml:space="preserve">HADDAD, P. R. Medidas de localização e de especialização. </w:t>
      </w:r>
      <w:r w:rsidRPr="005E5290">
        <w:rPr>
          <w:rFonts w:ascii="Times New Roman" w:hAnsi="Times New Roman" w:cs="Times New Roman"/>
          <w:i/>
          <w:iCs/>
          <w:color w:val="000000" w:themeColor="text1"/>
          <w:sz w:val="24"/>
          <w:szCs w:val="24"/>
        </w:rPr>
        <w:t>In</w:t>
      </w:r>
      <w:r w:rsidRPr="005E5290">
        <w:rPr>
          <w:rFonts w:ascii="Times New Roman" w:hAnsi="Times New Roman" w:cs="Times New Roman"/>
          <w:color w:val="000000" w:themeColor="text1"/>
          <w:sz w:val="24"/>
          <w:szCs w:val="24"/>
        </w:rPr>
        <w:t xml:space="preserve">: HADDAD, P. R. </w:t>
      </w:r>
      <w:r w:rsidRPr="005E5290">
        <w:rPr>
          <w:rFonts w:ascii="Times New Roman" w:hAnsi="Times New Roman" w:cs="Times New Roman"/>
          <w:i/>
          <w:iCs/>
          <w:color w:val="000000" w:themeColor="text1"/>
          <w:sz w:val="24"/>
          <w:szCs w:val="24"/>
        </w:rPr>
        <w:t>et al.</w:t>
      </w:r>
      <w:r w:rsidRPr="005E5290">
        <w:rPr>
          <w:rFonts w:ascii="Times New Roman" w:hAnsi="Times New Roman" w:cs="Times New Roman"/>
          <w:color w:val="000000" w:themeColor="text1"/>
          <w:sz w:val="24"/>
          <w:szCs w:val="24"/>
        </w:rPr>
        <w:t xml:space="preserve"> (Org.). </w:t>
      </w:r>
      <w:r w:rsidRPr="005E5290">
        <w:rPr>
          <w:rFonts w:ascii="Times New Roman" w:hAnsi="Times New Roman" w:cs="Times New Roman"/>
          <w:b/>
          <w:bCs/>
          <w:color w:val="000000" w:themeColor="text1"/>
          <w:sz w:val="24"/>
          <w:szCs w:val="24"/>
        </w:rPr>
        <w:t>Economia regional</w:t>
      </w:r>
      <w:r w:rsidRPr="005E5290">
        <w:rPr>
          <w:rFonts w:ascii="Times New Roman" w:hAnsi="Times New Roman" w:cs="Times New Roman"/>
          <w:color w:val="000000" w:themeColor="text1"/>
          <w:sz w:val="24"/>
          <w:szCs w:val="24"/>
        </w:rPr>
        <w:t>: teorias e métodos de análise. Fortaleza: BNB-ETENE, 1989.</w:t>
      </w:r>
    </w:p>
    <w:p w14:paraId="6869657C" w14:textId="7E6A725D" w:rsidR="00324D24" w:rsidRPr="005E5290" w:rsidRDefault="00324D24" w:rsidP="00A17506">
      <w:pPr>
        <w:spacing w:before="160" w:after="0" w:line="240" w:lineRule="auto"/>
        <w:rPr>
          <w:rFonts w:ascii="Times New Roman" w:hAnsi="Times New Roman" w:cs="Times New Roman"/>
          <w:color w:val="000000" w:themeColor="text1"/>
          <w:sz w:val="24"/>
          <w:szCs w:val="24"/>
        </w:rPr>
      </w:pPr>
      <w:r w:rsidRPr="005E5290">
        <w:rPr>
          <w:rFonts w:ascii="Times New Roman" w:hAnsi="Times New Roman" w:cs="Times New Roman"/>
          <w:color w:val="000000" w:themeColor="text1"/>
          <w:sz w:val="24"/>
          <w:szCs w:val="24"/>
        </w:rPr>
        <w:lastRenderedPageBreak/>
        <w:t xml:space="preserve">IBGE – Instituto Brasileiro de Geografia e Estatística. </w:t>
      </w:r>
      <w:r w:rsidRPr="005E5290">
        <w:rPr>
          <w:rFonts w:ascii="Times New Roman" w:hAnsi="Times New Roman" w:cs="Times New Roman"/>
          <w:b/>
          <w:bCs/>
          <w:color w:val="000000" w:themeColor="text1"/>
          <w:sz w:val="24"/>
          <w:szCs w:val="24"/>
        </w:rPr>
        <w:t>Áreas territoriais</w:t>
      </w:r>
      <w:r w:rsidRPr="005E5290">
        <w:rPr>
          <w:rFonts w:ascii="Times New Roman" w:hAnsi="Times New Roman" w:cs="Times New Roman"/>
          <w:color w:val="000000" w:themeColor="text1"/>
          <w:sz w:val="24"/>
          <w:szCs w:val="24"/>
        </w:rPr>
        <w:t>. Disponível em:</w:t>
      </w:r>
      <w:r w:rsidR="00A17506" w:rsidRPr="005E5290">
        <w:rPr>
          <w:rFonts w:ascii="Times New Roman" w:hAnsi="Times New Roman" w:cs="Times New Roman"/>
          <w:color w:val="000000" w:themeColor="text1"/>
          <w:sz w:val="24"/>
          <w:szCs w:val="24"/>
        </w:rPr>
        <w:t xml:space="preserve"> </w:t>
      </w:r>
      <w:r w:rsidRPr="005E5290">
        <w:rPr>
          <w:rFonts w:ascii="Times New Roman" w:hAnsi="Times New Roman" w:cs="Times New Roman"/>
          <w:color w:val="000000" w:themeColor="text1"/>
          <w:sz w:val="24"/>
          <w:szCs w:val="24"/>
        </w:rPr>
        <w:t>https://www.ibge.gov.br/geociencias/organizacao-do-territorio/estrutura-territorial. Acesso em 18 de junho de 2022.</w:t>
      </w:r>
    </w:p>
    <w:p w14:paraId="2E673E02" w14:textId="50C04478" w:rsidR="00324D24" w:rsidRPr="005E5290" w:rsidRDefault="00324D24" w:rsidP="00A17506">
      <w:pPr>
        <w:spacing w:before="160" w:after="0" w:line="240" w:lineRule="auto"/>
        <w:rPr>
          <w:rFonts w:ascii="Times New Roman" w:hAnsi="Times New Roman" w:cs="Times New Roman"/>
          <w:color w:val="000000" w:themeColor="text1"/>
          <w:sz w:val="24"/>
          <w:szCs w:val="24"/>
        </w:rPr>
      </w:pPr>
      <w:r w:rsidRPr="005E5290">
        <w:rPr>
          <w:rFonts w:ascii="Times New Roman" w:hAnsi="Times New Roman" w:cs="Times New Roman"/>
          <w:color w:val="000000" w:themeColor="text1"/>
          <w:sz w:val="24"/>
          <w:szCs w:val="24"/>
        </w:rPr>
        <w:t xml:space="preserve">_______. Instituto Brasileiro de Geografia e Estatística. </w:t>
      </w:r>
      <w:r w:rsidRPr="005E5290">
        <w:rPr>
          <w:rFonts w:ascii="Times New Roman" w:hAnsi="Times New Roman" w:cs="Times New Roman"/>
          <w:b/>
          <w:bCs/>
          <w:color w:val="000000" w:themeColor="text1"/>
          <w:sz w:val="24"/>
          <w:szCs w:val="24"/>
        </w:rPr>
        <w:t>Estimativas da população</w:t>
      </w:r>
      <w:r w:rsidRPr="005E5290">
        <w:rPr>
          <w:rFonts w:ascii="Times New Roman" w:hAnsi="Times New Roman" w:cs="Times New Roman"/>
          <w:color w:val="000000" w:themeColor="text1"/>
          <w:sz w:val="24"/>
          <w:szCs w:val="24"/>
        </w:rPr>
        <w:t>. Disponível em:</w:t>
      </w:r>
      <w:r w:rsidR="00A17506" w:rsidRPr="005E5290">
        <w:rPr>
          <w:rFonts w:ascii="Times New Roman" w:hAnsi="Times New Roman" w:cs="Times New Roman"/>
          <w:color w:val="000000" w:themeColor="text1"/>
          <w:sz w:val="24"/>
          <w:szCs w:val="24"/>
        </w:rPr>
        <w:t xml:space="preserve"> </w:t>
      </w:r>
      <w:r w:rsidRPr="005E5290">
        <w:rPr>
          <w:rFonts w:ascii="Times New Roman" w:hAnsi="Times New Roman" w:cs="Times New Roman"/>
          <w:color w:val="000000" w:themeColor="text1"/>
          <w:sz w:val="24"/>
          <w:szCs w:val="24"/>
        </w:rPr>
        <w:t>https://ftp.ibge.gov.br/Estimativas_de_Populacao/Estimativas_2021/POP2021_20220711.pdf. Acesso em 18 de junho de 2022.</w:t>
      </w:r>
    </w:p>
    <w:p w14:paraId="49C2A526" w14:textId="79AB6C3D" w:rsidR="00324D24" w:rsidRPr="005E5290" w:rsidRDefault="00324D24" w:rsidP="00A17506">
      <w:pPr>
        <w:spacing w:before="160" w:after="0" w:line="240" w:lineRule="auto"/>
        <w:rPr>
          <w:rFonts w:ascii="Times New Roman" w:hAnsi="Times New Roman" w:cs="Times New Roman"/>
          <w:color w:val="000000" w:themeColor="text1"/>
          <w:sz w:val="24"/>
          <w:szCs w:val="24"/>
        </w:rPr>
      </w:pPr>
      <w:r w:rsidRPr="005E5290">
        <w:rPr>
          <w:rFonts w:ascii="Times New Roman" w:hAnsi="Times New Roman" w:cs="Times New Roman"/>
          <w:color w:val="000000" w:themeColor="text1"/>
          <w:sz w:val="24"/>
          <w:szCs w:val="24"/>
        </w:rPr>
        <w:t xml:space="preserve">_______. Instituto Brasileiro de Geografia e Estatística. </w:t>
      </w:r>
      <w:r w:rsidRPr="005E5290">
        <w:rPr>
          <w:rFonts w:ascii="Times New Roman" w:hAnsi="Times New Roman" w:cs="Times New Roman"/>
          <w:b/>
          <w:bCs/>
          <w:color w:val="000000" w:themeColor="text1"/>
          <w:sz w:val="24"/>
          <w:szCs w:val="24"/>
        </w:rPr>
        <w:t>Produto Interno Bruto</w:t>
      </w:r>
      <w:r w:rsidRPr="005E5290">
        <w:rPr>
          <w:rFonts w:ascii="Times New Roman" w:hAnsi="Times New Roman" w:cs="Times New Roman"/>
          <w:color w:val="000000" w:themeColor="text1"/>
          <w:sz w:val="24"/>
          <w:szCs w:val="24"/>
        </w:rPr>
        <w:t>. Disponível em:</w:t>
      </w:r>
      <w:r w:rsidR="00A17506" w:rsidRPr="005E5290">
        <w:rPr>
          <w:rFonts w:ascii="Times New Roman" w:hAnsi="Times New Roman" w:cs="Times New Roman"/>
          <w:color w:val="000000" w:themeColor="text1"/>
          <w:sz w:val="24"/>
          <w:szCs w:val="24"/>
        </w:rPr>
        <w:t xml:space="preserve"> </w:t>
      </w:r>
      <w:r w:rsidRPr="005E5290">
        <w:rPr>
          <w:rFonts w:ascii="Times New Roman" w:hAnsi="Times New Roman" w:cs="Times New Roman"/>
          <w:color w:val="000000" w:themeColor="text1"/>
          <w:sz w:val="24"/>
          <w:szCs w:val="24"/>
        </w:rPr>
        <w:t>https://www.ibge.gov.br/explica/pib.php. Acesso em 18 de junho de 2022.</w:t>
      </w:r>
    </w:p>
    <w:p w14:paraId="4B467527" w14:textId="77777777" w:rsidR="00324D24" w:rsidRPr="005E5290" w:rsidRDefault="00324D24" w:rsidP="00A17506">
      <w:pPr>
        <w:spacing w:before="160" w:after="0" w:line="240" w:lineRule="auto"/>
        <w:rPr>
          <w:rFonts w:ascii="Times New Roman" w:hAnsi="Times New Roman" w:cs="Times New Roman"/>
          <w:color w:val="000000" w:themeColor="text1"/>
          <w:sz w:val="24"/>
          <w:szCs w:val="24"/>
        </w:rPr>
      </w:pPr>
      <w:r w:rsidRPr="005E5290">
        <w:rPr>
          <w:rFonts w:ascii="Times New Roman" w:hAnsi="Times New Roman" w:cs="Times New Roman"/>
          <w:color w:val="000000" w:themeColor="text1"/>
          <w:sz w:val="24"/>
          <w:szCs w:val="24"/>
        </w:rPr>
        <w:t xml:space="preserve">LACERDA, T. N.; SANTOS, J. M. Análise da concentração do emprego da agropecuária do estado de Pernambuco: 2000 -2014. </w:t>
      </w:r>
      <w:r w:rsidRPr="005E5290">
        <w:rPr>
          <w:rFonts w:ascii="Times New Roman" w:hAnsi="Times New Roman" w:cs="Times New Roman"/>
          <w:b/>
          <w:bCs/>
          <w:color w:val="000000" w:themeColor="text1"/>
          <w:sz w:val="24"/>
          <w:szCs w:val="24"/>
        </w:rPr>
        <w:t>Revista de Desenvolvimento Econômico – RDE</w:t>
      </w:r>
      <w:r w:rsidRPr="005E5290">
        <w:rPr>
          <w:rFonts w:ascii="Times New Roman" w:hAnsi="Times New Roman" w:cs="Times New Roman"/>
          <w:color w:val="000000" w:themeColor="text1"/>
          <w:sz w:val="24"/>
          <w:szCs w:val="24"/>
        </w:rPr>
        <w:t xml:space="preserve">, Salvador, BA, Ano XIX – v. 1, n. 36, p. 246-264, 2017. </w:t>
      </w:r>
    </w:p>
    <w:bookmarkEnd w:id="2"/>
    <w:p w14:paraId="6909248B" w14:textId="77777777" w:rsidR="00324D24" w:rsidRPr="005E5290" w:rsidRDefault="00324D24" w:rsidP="00A17506">
      <w:pPr>
        <w:spacing w:before="160" w:after="0" w:line="240" w:lineRule="auto"/>
        <w:rPr>
          <w:rFonts w:ascii="Times New Roman" w:hAnsi="Times New Roman" w:cs="Times New Roman"/>
          <w:color w:val="000000" w:themeColor="text1"/>
          <w:sz w:val="24"/>
          <w:szCs w:val="24"/>
        </w:rPr>
      </w:pPr>
      <w:r w:rsidRPr="005E5290">
        <w:rPr>
          <w:rFonts w:ascii="Times New Roman" w:hAnsi="Times New Roman" w:cs="Times New Roman"/>
          <w:color w:val="000000" w:themeColor="text1"/>
          <w:sz w:val="24"/>
          <w:szCs w:val="24"/>
        </w:rPr>
        <w:t xml:space="preserve">LEMOS, Mauro Borges; CUNHA, Altivo R. A. Almeida. Novas aglomerações industriais e desenvolvimento regional recente no Brasil. </w:t>
      </w:r>
      <w:r w:rsidRPr="005E5290">
        <w:rPr>
          <w:rFonts w:ascii="Times New Roman" w:hAnsi="Times New Roman" w:cs="Times New Roman"/>
          <w:b/>
          <w:bCs/>
          <w:color w:val="000000" w:themeColor="text1"/>
          <w:sz w:val="24"/>
          <w:szCs w:val="24"/>
        </w:rPr>
        <w:t>Revista Econômica do Nordeste</w:t>
      </w:r>
      <w:r w:rsidRPr="005E5290">
        <w:rPr>
          <w:rFonts w:ascii="Times New Roman" w:hAnsi="Times New Roman" w:cs="Times New Roman"/>
          <w:color w:val="000000" w:themeColor="text1"/>
          <w:sz w:val="24"/>
          <w:szCs w:val="24"/>
        </w:rPr>
        <w:t>, Fortaleza, v. 27, n. 4, p. 725-761, out./dez. 1996.</w:t>
      </w:r>
    </w:p>
    <w:p w14:paraId="1ECBDE5C" w14:textId="77777777" w:rsidR="00324D24" w:rsidRPr="005E5290" w:rsidRDefault="00324D24" w:rsidP="00A17506">
      <w:pPr>
        <w:spacing w:before="160" w:after="0" w:line="240" w:lineRule="auto"/>
        <w:rPr>
          <w:rFonts w:ascii="Times New Roman" w:hAnsi="Times New Roman" w:cs="Times New Roman"/>
          <w:color w:val="000000" w:themeColor="text1"/>
          <w:sz w:val="24"/>
          <w:szCs w:val="24"/>
        </w:rPr>
      </w:pPr>
      <w:r w:rsidRPr="005E5290">
        <w:rPr>
          <w:rFonts w:ascii="Times New Roman" w:hAnsi="Times New Roman" w:cs="Times New Roman"/>
          <w:color w:val="000000" w:themeColor="text1"/>
          <w:sz w:val="24"/>
          <w:szCs w:val="24"/>
        </w:rPr>
        <w:t xml:space="preserve">LIMA, E. C.; LIMA, E. P. C.; EVAS, I. M.; TEIXEIRA, M. S. G. Teoria da base de exportação e sua relação com o desempenho econômico: o caso do estado de Santa Catarina. </w:t>
      </w:r>
      <w:r w:rsidRPr="005E5290">
        <w:rPr>
          <w:rFonts w:ascii="Times New Roman" w:hAnsi="Times New Roman" w:cs="Times New Roman"/>
          <w:b/>
          <w:bCs/>
          <w:color w:val="000000" w:themeColor="text1"/>
          <w:sz w:val="24"/>
          <w:szCs w:val="24"/>
        </w:rPr>
        <w:t>Textos de Economia</w:t>
      </w:r>
      <w:r w:rsidRPr="005E5290">
        <w:rPr>
          <w:rFonts w:ascii="Times New Roman" w:hAnsi="Times New Roman" w:cs="Times New Roman"/>
          <w:color w:val="000000" w:themeColor="text1"/>
          <w:sz w:val="24"/>
          <w:szCs w:val="24"/>
        </w:rPr>
        <w:t>, Florianópolis, v. 16, n. 1, p. 95-116, jan./jun. 2013.</w:t>
      </w:r>
    </w:p>
    <w:p w14:paraId="0E1E3E8D" w14:textId="77777777" w:rsidR="00324D24" w:rsidRPr="005E5290" w:rsidRDefault="00324D24" w:rsidP="00A17506">
      <w:pPr>
        <w:spacing w:before="160" w:after="0" w:line="240" w:lineRule="auto"/>
        <w:rPr>
          <w:rFonts w:ascii="Times New Roman" w:hAnsi="Times New Roman" w:cs="Times New Roman"/>
          <w:color w:val="000000" w:themeColor="text1"/>
          <w:sz w:val="24"/>
          <w:szCs w:val="24"/>
        </w:rPr>
      </w:pPr>
      <w:r w:rsidRPr="005E5290">
        <w:rPr>
          <w:rFonts w:ascii="Times New Roman" w:hAnsi="Times New Roman" w:cs="Times New Roman"/>
          <w:color w:val="000000" w:themeColor="text1"/>
          <w:sz w:val="24"/>
          <w:szCs w:val="24"/>
        </w:rPr>
        <w:t xml:space="preserve">LIMA, J. F. </w:t>
      </w:r>
      <w:r w:rsidRPr="005E5290">
        <w:rPr>
          <w:rFonts w:ascii="Times New Roman" w:hAnsi="Times New Roman" w:cs="Times New Roman"/>
          <w:i/>
          <w:iCs/>
          <w:color w:val="000000" w:themeColor="text1"/>
          <w:sz w:val="24"/>
          <w:szCs w:val="24"/>
        </w:rPr>
        <w:t>et al</w:t>
      </w:r>
      <w:r w:rsidRPr="005E5290">
        <w:rPr>
          <w:rFonts w:ascii="Times New Roman" w:hAnsi="Times New Roman" w:cs="Times New Roman"/>
          <w:color w:val="000000" w:themeColor="text1"/>
          <w:sz w:val="24"/>
          <w:szCs w:val="24"/>
        </w:rPr>
        <w:t xml:space="preserve">. Análise Regional das mesorregiões do estado do Paraná no Final do Século XX. </w:t>
      </w:r>
      <w:r w:rsidRPr="005E5290">
        <w:rPr>
          <w:rFonts w:ascii="Times New Roman" w:hAnsi="Times New Roman" w:cs="Times New Roman"/>
          <w:b/>
          <w:bCs/>
          <w:color w:val="000000" w:themeColor="text1"/>
          <w:sz w:val="24"/>
          <w:szCs w:val="24"/>
        </w:rPr>
        <w:t>Revista Análise Econômica</w:t>
      </w:r>
      <w:r w:rsidRPr="005E5290">
        <w:rPr>
          <w:rFonts w:ascii="Times New Roman" w:hAnsi="Times New Roman" w:cs="Times New Roman"/>
          <w:color w:val="000000" w:themeColor="text1"/>
          <w:sz w:val="24"/>
          <w:szCs w:val="24"/>
        </w:rPr>
        <w:t>, Porto Alegre, ano 24, n.46, p.7-26, 2006.</w:t>
      </w:r>
    </w:p>
    <w:p w14:paraId="39525382" w14:textId="77777777" w:rsidR="00324D24" w:rsidRPr="005E5290" w:rsidRDefault="00324D24" w:rsidP="00A17506">
      <w:pPr>
        <w:spacing w:before="160" w:after="0" w:line="240" w:lineRule="auto"/>
        <w:rPr>
          <w:rFonts w:ascii="Times New Roman" w:hAnsi="Times New Roman" w:cs="Times New Roman"/>
          <w:color w:val="000000" w:themeColor="text1"/>
          <w:sz w:val="24"/>
          <w:szCs w:val="24"/>
        </w:rPr>
      </w:pPr>
      <w:r w:rsidRPr="005E5290">
        <w:rPr>
          <w:rFonts w:ascii="Times New Roman" w:hAnsi="Times New Roman" w:cs="Times New Roman"/>
          <w:color w:val="000000" w:themeColor="text1"/>
          <w:sz w:val="24"/>
          <w:szCs w:val="24"/>
        </w:rPr>
        <w:t xml:space="preserve">LIMA, J. K. M.; ESPERIDIÃO, F. Uma análise dos Quocientes Locacionais das regiões brasileiras nos anos 1991, 2000 e 2010. </w:t>
      </w:r>
      <w:r w:rsidRPr="005E5290">
        <w:rPr>
          <w:rFonts w:ascii="Times New Roman" w:hAnsi="Times New Roman" w:cs="Times New Roman"/>
          <w:b/>
          <w:bCs/>
          <w:color w:val="000000" w:themeColor="text1"/>
          <w:sz w:val="24"/>
          <w:szCs w:val="24"/>
        </w:rPr>
        <w:t>Cadernos de Ciências Sociais Aplicadas (UESB)</w:t>
      </w:r>
      <w:r w:rsidRPr="005E5290">
        <w:rPr>
          <w:rFonts w:ascii="Times New Roman" w:hAnsi="Times New Roman" w:cs="Times New Roman"/>
          <w:color w:val="000000" w:themeColor="text1"/>
          <w:sz w:val="24"/>
          <w:szCs w:val="24"/>
        </w:rPr>
        <w:t xml:space="preserve">, Vitória da Conquista, Bahia, v. 11, n, 18, p. 175-196, 2014. </w:t>
      </w:r>
    </w:p>
    <w:p w14:paraId="265A631E" w14:textId="77777777" w:rsidR="00324D24" w:rsidRPr="005E5290" w:rsidRDefault="00324D24" w:rsidP="00A17506">
      <w:pPr>
        <w:spacing w:before="160" w:after="0" w:line="240" w:lineRule="auto"/>
        <w:rPr>
          <w:rFonts w:ascii="Times New Roman" w:hAnsi="Times New Roman" w:cs="Times New Roman"/>
          <w:b/>
          <w:bCs/>
          <w:color w:val="000000" w:themeColor="text1"/>
          <w:sz w:val="24"/>
          <w:szCs w:val="24"/>
        </w:rPr>
      </w:pPr>
      <w:r w:rsidRPr="005E5290">
        <w:rPr>
          <w:rFonts w:ascii="Times New Roman" w:hAnsi="Times New Roman" w:cs="Times New Roman"/>
          <w:color w:val="000000" w:themeColor="text1"/>
          <w:sz w:val="24"/>
          <w:szCs w:val="24"/>
        </w:rPr>
        <w:t xml:space="preserve">LIMA, R. J.; SOUSA, E. P. Desenvolvimento rural dos municípios da Região Integrada Petrolina (PE) – Juazeiro (BA). </w:t>
      </w:r>
      <w:r w:rsidRPr="005E5290">
        <w:rPr>
          <w:rFonts w:ascii="Times New Roman" w:hAnsi="Times New Roman" w:cs="Times New Roman"/>
          <w:b/>
          <w:bCs/>
          <w:color w:val="000000" w:themeColor="text1"/>
          <w:sz w:val="24"/>
          <w:szCs w:val="24"/>
        </w:rPr>
        <w:t>Cadernos de Ciências Sociais Aplicadas (UESB),</w:t>
      </w:r>
      <w:r w:rsidRPr="005E5290">
        <w:rPr>
          <w:rFonts w:ascii="Times New Roman" w:hAnsi="Times New Roman" w:cs="Times New Roman"/>
          <w:color w:val="000000" w:themeColor="text1"/>
          <w:sz w:val="24"/>
          <w:szCs w:val="24"/>
        </w:rPr>
        <w:t xml:space="preserve"> Vitória da Conquista, Bahia, v. 14, n, 23, p. 1-18, 2017.</w:t>
      </w:r>
      <w:r w:rsidRPr="005E5290">
        <w:rPr>
          <w:rFonts w:ascii="Times New Roman" w:hAnsi="Times New Roman" w:cs="Times New Roman"/>
          <w:b/>
          <w:bCs/>
          <w:color w:val="000000" w:themeColor="text1"/>
          <w:sz w:val="24"/>
          <w:szCs w:val="24"/>
        </w:rPr>
        <w:t xml:space="preserve"> </w:t>
      </w:r>
    </w:p>
    <w:p w14:paraId="749934E9" w14:textId="77777777" w:rsidR="00324D24" w:rsidRPr="005E5290" w:rsidRDefault="00324D24" w:rsidP="00A17506">
      <w:pPr>
        <w:spacing w:before="160" w:after="0" w:line="240" w:lineRule="auto"/>
        <w:rPr>
          <w:rFonts w:ascii="Times New Roman" w:hAnsi="Times New Roman" w:cs="Times New Roman"/>
          <w:color w:val="000000" w:themeColor="text1"/>
          <w:sz w:val="24"/>
          <w:szCs w:val="24"/>
        </w:rPr>
      </w:pPr>
      <w:r w:rsidRPr="005E5290">
        <w:rPr>
          <w:rFonts w:ascii="Times New Roman" w:hAnsi="Times New Roman" w:cs="Times New Roman"/>
          <w:color w:val="000000" w:themeColor="text1"/>
          <w:sz w:val="24"/>
          <w:szCs w:val="24"/>
        </w:rPr>
        <w:t xml:space="preserve">LÖSCH, A. </w:t>
      </w:r>
      <w:r w:rsidRPr="005E5290">
        <w:rPr>
          <w:rFonts w:ascii="Times New Roman" w:hAnsi="Times New Roman" w:cs="Times New Roman"/>
          <w:b/>
          <w:bCs/>
          <w:i/>
          <w:iCs/>
          <w:color w:val="000000" w:themeColor="text1"/>
          <w:sz w:val="24"/>
          <w:szCs w:val="24"/>
        </w:rPr>
        <w:t xml:space="preserve">The </w:t>
      </w:r>
      <w:proofErr w:type="spellStart"/>
      <w:r w:rsidRPr="005E5290">
        <w:rPr>
          <w:rFonts w:ascii="Times New Roman" w:hAnsi="Times New Roman" w:cs="Times New Roman"/>
          <w:b/>
          <w:bCs/>
          <w:i/>
          <w:iCs/>
          <w:color w:val="000000" w:themeColor="text1"/>
          <w:sz w:val="24"/>
          <w:szCs w:val="24"/>
        </w:rPr>
        <w:t>economics</w:t>
      </w:r>
      <w:proofErr w:type="spellEnd"/>
      <w:r w:rsidRPr="005E5290">
        <w:rPr>
          <w:rFonts w:ascii="Times New Roman" w:hAnsi="Times New Roman" w:cs="Times New Roman"/>
          <w:b/>
          <w:bCs/>
          <w:i/>
          <w:iCs/>
          <w:color w:val="000000" w:themeColor="text1"/>
          <w:sz w:val="24"/>
          <w:szCs w:val="24"/>
        </w:rPr>
        <w:t xml:space="preserve"> </w:t>
      </w:r>
      <w:proofErr w:type="spellStart"/>
      <w:r w:rsidRPr="005E5290">
        <w:rPr>
          <w:rFonts w:ascii="Times New Roman" w:hAnsi="Times New Roman" w:cs="Times New Roman"/>
          <w:b/>
          <w:bCs/>
          <w:i/>
          <w:iCs/>
          <w:color w:val="000000" w:themeColor="text1"/>
          <w:sz w:val="24"/>
          <w:szCs w:val="24"/>
        </w:rPr>
        <w:t>of</w:t>
      </w:r>
      <w:proofErr w:type="spellEnd"/>
      <w:r w:rsidRPr="005E5290">
        <w:rPr>
          <w:rFonts w:ascii="Times New Roman" w:hAnsi="Times New Roman" w:cs="Times New Roman"/>
          <w:b/>
          <w:bCs/>
          <w:i/>
          <w:iCs/>
          <w:color w:val="000000" w:themeColor="text1"/>
          <w:sz w:val="24"/>
          <w:szCs w:val="24"/>
        </w:rPr>
        <w:t xml:space="preserve"> </w:t>
      </w:r>
      <w:proofErr w:type="spellStart"/>
      <w:r w:rsidRPr="005E5290">
        <w:rPr>
          <w:rFonts w:ascii="Times New Roman" w:hAnsi="Times New Roman" w:cs="Times New Roman"/>
          <w:b/>
          <w:bCs/>
          <w:i/>
          <w:iCs/>
          <w:color w:val="000000" w:themeColor="text1"/>
          <w:sz w:val="24"/>
          <w:szCs w:val="24"/>
        </w:rPr>
        <w:t>location</w:t>
      </w:r>
      <w:proofErr w:type="spellEnd"/>
      <w:r w:rsidRPr="005E5290">
        <w:rPr>
          <w:rFonts w:ascii="Times New Roman" w:hAnsi="Times New Roman" w:cs="Times New Roman"/>
          <w:color w:val="000000" w:themeColor="text1"/>
          <w:sz w:val="24"/>
          <w:szCs w:val="24"/>
        </w:rPr>
        <w:t xml:space="preserve">. Yale U.P.: New Haven, 1954. </w:t>
      </w:r>
    </w:p>
    <w:p w14:paraId="348FC5A2" w14:textId="77777777" w:rsidR="00324D24" w:rsidRPr="005E5290" w:rsidRDefault="00324D24" w:rsidP="00A17506">
      <w:pPr>
        <w:spacing w:before="160" w:after="0" w:line="240" w:lineRule="auto"/>
        <w:rPr>
          <w:rFonts w:ascii="Times New Roman" w:hAnsi="Times New Roman" w:cs="Times New Roman"/>
          <w:b/>
          <w:bCs/>
          <w:color w:val="000000" w:themeColor="text1"/>
          <w:sz w:val="24"/>
          <w:szCs w:val="24"/>
        </w:rPr>
      </w:pPr>
      <w:r w:rsidRPr="005E5290">
        <w:rPr>
          <w:rFonts w:ascii="Times New Roman" w:hAnsi="Times New Roman" w:cs="Times New Roman"/>
          <w:color w:val="000000" w:themeColor="text1"/>
          <w:sz w:val="24"/>
          <w:szCs w:val="24"/>
        </w:rPr>
        <w:t xml:space="preserve">MONASTÉRIO, L. M. Indicadores de análise regional e espacial. </w:t>
      </w:r>
      <w:r w:rsidRPr="005E5290">
        <w:rPr>
          <w:rFonts w:ascii="Times New Roman" w:hAnsi="Times New Roman" w:cs="Times New Roman"/>
          <w:i/>
          <w:iCs/>
          <w:color w:val="000000" w:themeColor="text1"/>
          <w:sz w:val="24"/>
          <w:szCs w:val="24"/>
        </w:rPr>
        <w:t>In</w:t>
      </w:r>
      <w:r w:rsidRPr="005E5290">
        <w:rPr>
          <w:rFonts w:ascii="Times New Roman" w:hAnsi="Times New Roman" w:cs="Times New Roman"/>
          <w:color w:val="000000" w:themeColor="text1"/>
          <w:sz w:val="24"/>
          <w:szCs w:val="24"/>
        </w:rPr>
        <w:t xml:space="preserve">: CRUZ </w:t>
      </w:r>
      <w:r w:rsidRPr="005E5290">
        <w:rPr>
          <w:rFonts w:ascii="Times New Roman" w:hAnsi="Times New Roman" w:cs="Times New Roman"/>
          <w:i/>
          <w:iCs/>
          <w:color w:val="000000" w:themeColor="text1"/>
          <w:sz w:val="24"/>
          <w:szCs w:val="24"/>
        </w:rPr>
        <w:t>et. al</w:t>
      </w:r>
      <w:r w:rsidRPr="005E5290">
        <w:rPr>
          <w:rFonts w:ascii="Times New Roman" w:hAnsi="Times New Roman" w:cs="Times New Roman"/>
          <w:color w:val="000000" w:themeColor="text1"/>
          <w:sz w:val="24"/>
          <w:szCs w:val="24"/>
        </w:rPr>
        <w:t xml:space="preserve"> (Org.). </w:t>
      </w:r>
      <w:r w:rsidRPr="005E5290">
        <w:rPr>
          <w:rFonts w:ascii="Times New Roman" w:hAnsi="Times New Roman" w:cs="Times New Roman"/>
          <w:b/>
          <w:bCs/>
          <w:color w:val="000000" w:themeColor="text1"/>
          <w:sz w:val="24"/>
          <w:szCs w:val="24"/>
        </w:rPr>
        <w:t>Economia Regional e Urbana:</w:t>
      </w:r>
      <w:r w:rsidRPr="005E5290">
        <w:rPr>
          <w:rFonts w:ascii="Times New Roman" w:hAnsi="Times New Roman" w:cs="Times New Roman"/>
          <w:color w:val="000000" w:themeColor="text1"/>
          <w:sz w:val="24"/>
          <w:szCs w:val="24"/>
        </w:rPr>
        <w:t xml:space="preserve"> teorias e métodos com ênfase no Brasil. Rio de Janeiro: IPEA, 2011, p.315-331.</w:t>
      </w:r>
    </w:p>
    <w:p w14:paraId="0A9D9C6A" w14:textId="77777777" w:rsidR="00324D24" w:rsidRPr="005E5290" w:rsidRDefault="00324D24" w:rsidP="00A17506">
      <w:pPr>
        <w:spacing w:before="160" w:after="0" w:line="240" w:lineRule="auto"/>
        <w:rPr>
          <w:rFonts w:ascii="Times New Roman" w:hAnsi="Times New Roman" w:cs="Times New Roman"/>
          <w:color w:val="000000" w:themeColor="text1"/>
          <w:sz w:val="24"/>
          <w:szCs w:val="24"/>
        </w:rPr>
      </w:pPr>
      <w:r w:rsidRPr="005E5290">
        <w:rPr>
          <w:rFonts w:ascii="Times New Roman" w:hAnsi="Times New Roman" w:cs="Times New Roman"/>
          <w:color w:val="000000" w:themeColor="text1"/>
          <w:sz w:val="24"/>
          <w:szCs w:val="24"/>
        </w:rPr>
        <w:t xml:space="preserve">MONASTÉRIO, L. M.; CAVALCANTE, L. R. M. T. Fundamentos do pensamento econômico regional. </w:t>
      </w:r>
      <w:r w:rsidRPr="005E5290">
        <w:rPr>
          <w:rFonts w:ascii="Times New Roman" w:hAnsi="Times New Roman" w:cs="Times New Roman"/>
          <w:i/>
          <w:iCs/>
          <w:color w:val="000000" w:themeColor="text1"/>
          <w:sz w:val="24"/>
          <w:szCs w:val="24"/>
        </w:rPr>
        <w:t>In</w:t>
      </w:r>
      <w:r w:rsidRPr="005E5290">
        <w:rPr>
          <w:rFonts w:ascii="Times New Roman" w:hAnsi="Times New Roman" w:cs="Times New Roman"/>
          <w:color w:val="000000" w:themeColor="text1"/>
          <w:sz w:val="24"/>
          <w:szCs w:val="24"/>
        </w:rPr>
        <w:t xml:space="preserve">: CRUZ </w:t>
      </w:r>
      <w:r w:rsidRPr="005E5290">
        <w:rPr>
          <w:rFonts w:ascii="Times New Roman" w:hAnsi="Times New Roman" w:cs="Times New Roman"/>
          <w:i/>
          <w:iCs/>
          <w:color w:val="000000" w:themeColor="text1"/>
          <w:sz w:val="24"/>
          <w:szCs w:val="24"/>
        </w:rPr>
        <w:t>et. al</w:t>
      </w:r>
      <w:r w:rsidRPr="005E5290">
        <w:rPr>
          <w:rFonts w:ascii="Times New Roman" w:hAnsi="Times New Roman" w:cs="Times New Roman"/>
          <w:color w:val="000000" w:themeColor="text1"/>
          <w:sz w:val="24"/>
          <w:szCs w:val="24"/>
        </w:rPr>
        <w:t xml:space="preserve"> (Org.). </w:t>
      </w:r>
      <w:r w:rsidRPr="005E5290">
        <w:rPr>
          <w:rFonts w:ascii="Times New Roman" w:hAnsi="Times New Roman" w:cs="Times New Roman"/>
          <w:b/>
          <w:bCs/>
          <w:color w:val="000000" w:themeColor="text1"/>
          <w:sz w:val="24"/>
          <w:szCs w:val="24"/>
        </w:rPr>
        <w:t>Economia Regional e Urbana:</w:t>
      </w:r>
      <w:r w:rsidRPr="005E5290">
        <w:rPr>
          <w:rFonts w:ascii="Times New Roman" w:hAnsi="Times New Roman" w:cs="Times New Roman"/>
          <w:color w:val="000000" w:themeColor="text1"/>
          <w:sz w:val="24"/>
          <w:szCs w:val="24"/>
        </w:rPr>
        <w:t xml:space="preserve"> teorias e métodos com ênfase no Brasil. Rio de Janeiro: IPEA, 2011, p.43-77.</w:t>
      </w:r>
    </w:p>
    <w:p w14:paraId="5B8649B3" w14:textId="77777777" w:rsidR="00324D24" w:rsidRPr="005E5290" w:rsidRDefault="00324D24" w:rsidP="00A17506">
      <w:pPr>
        <w:spacing w:before="160" w:after="0" w:line="240" w:lineRule="auto"/>
        <w:rPr>
          <w:rFonts w:ascii="Times New Roman" w:hAnsi="Times New Roman" w:cs="Times New Roman"/>
          <w:color w:val="000000" w:themeColor="text1"/>
          <w:sz w:val="24"/>
          <w:szCs w:val="24"/>
        </w:rPr>
      </w:pPr>
      <w:r w:rsidRPr="005E5290">
        <w:rPr>
          <w:rFonts w:ascii="Times New Roman" w:hAnsi="Times New Roman" w:cs="Times New Roman"/>
          <w:color w:val="000000" w:themeColor="text1"/>
          <w:sz w:val="24"/>
          <w:szCs w:val="24"/>
        </w:rPr>
        <w:t xml:space="preserve">NORTH, D. C. </w:t>
      </w:r>
      <w:proofErr w:type="spellStart"/>
      <w:r w:rsidRPr="005E5290">
        <w:rPr>
          <w:rFonts w:ascii="Times New Roman" w:hAnsi="Times New Roman" w:cs="Times New Roman"/>
          <w:b/>
          <w:bCs/>
          <w:i/>
          <w:iCs/>
          <w:color w:val="000000" w:themeColor="text1"/>
          <w:sz w:val="24"/>
          <w:szCs w:val="24"/>
        </w:rPr>
        <w:t>Location</w:t>
      </w:r>
      <w:proofErr w:type="spellEnd"/>
      <w:r w:rsidRPr="005E5290">
        <w:rPr>
          <w:rFonts w:ascii="Times New Roman" w:hAnsi="Times New Roman" w:cs="Times New Roman"/>
          <w:b/>
          <w:bCs/>
          <w:i/>
          <w:iCs/>
          <w:color w:val="000000" w:themeColor="text1"/>
          <w:sz w:val="24"/>
          <w:szCs w:val="24"/>
        </w:rPr>
        <w:t xml:space="preserve"> </w:t>
      </w:r>
      <w:proofErr w:type="spellStart"/>
      <w:r w:rsidRPr="005E5290">
        <w:rPr>
          <w:rFonts w:ascii="Times New Roman" w:hAnsi="Times New Roman" w:cs="Times New Roman"/>
          <w:b/>
          <w:bCs/>
          <w:i/>
          <w:iCs/>
          <w:color w:val="000000" w:themeColor="text1"/>
          <w:sz w:val="24"/>
          <w:szCs w:val="24"/>
        </w:rPr>
        <w:t>theory</w:t>
      </w:r>
      <w:proofErr w:type="spellEnd"/>
      <w:r w:rsidRPr="005E5290">
        <w:rPr>
          <w:rFonts w:ascii="Times New Roman" w:hAnsi="Times New Roman" w:cs="Times New Roman"/>
          <w:b/>
          <w:bCs/>
          <w:i/>
          <w:iCs/>
          <w:color w:val="000000" w:themeColor="text1"/>
          <w:sz w:val="24"/>
          <w:szCs w:val="24"/>
        </w:rPr>
        <w:t xml:space="preserve"> </w:t>
      </w:r>
      <w:proofErr w:type="spellStart"/>
      <w:r w:rsidRPr="005E5290">
        <w:rPr>
          <w:rFonts w:ascii="Times New Roman" w:hAnsi="Times New Roman" w:cs="Times New Roman"/>
          <w:b/>
          <w:bCs/>
          <w:i/>
          <w:iCs/>
          <w:color w:val="000000" w:themeColor="text1"/>
          <w:sz w:val="24"/>
          <w:szCs w:val="24"/>
        </w:rPr>
        <w:t>and</w:t>
      </w:r>
      <w:proofErr w:type="spellEnd"/>
      <w:r w:rsidRPr="005E5290">
        <w:rPr>
          <w:rFonts w:ascii="Times New Roman" w:hAnsi="Times New Roman" w:cs="Times New Roman"/>
          <w:b/>
          <w:bCs/>
          <w:i/>
          <w:iCs/>
          <w:color w:val="000000" w:themeColor="text1"/>
          <w:sz w:val="24"/>
          <w:szCs w:val="24"/>
        </w:rPr>
        <w:t xml:space="preserve"> regional </w:t>
      </w:r>
      <w:proofErr w:type="spellStart"/>
      <w:r w:rsidRPr="005E5290">
        <w:rPr>
          <w:rFonts w:ascii="Times New Roman" w:hAnsi="Times New Roman" w:cs="Times New Roman"/>
          <w:b/>
          <w:bCs/>
          <w:i/>
          <w:iCs/>
          <w:color w:val="000000" w:themeColor="text1"/>
          <w:sz w:val="24"/>
          <w:szCs w:val="24"/>
        </w:rPr>
        <w:t>economic</w:t>
      </w:r>
      <w:proofErr w:type="spellEnd"/>
      <w:r w:rsidRPr="005E5290">
        <w:rPr>
          <w:rFonts w:ascii="Times New Roman" w:hAnsi="Times New Roman" w:cs="Times New Roman"/>
          <w:b/>
          <w:bCs/>
          <w:i/>
          <w:iCs/>
          <w:color w:val="000000" w:themeColor="text1"/>
          <w:sz w:val="24"/>
          <w:szCs w:val="24"/>
        </w:rPr>
        <w:t xml:space="preserve"> </w:t>
      </w:r>
      <w:proofErr w:type="spellStart"/>
      <w:r w:rsidRPr="005E5290">
        <w:rPr>
          <w:rFonts w:ascii="Times New Roman" w:hAnsi="Times New Roman" w:cs="Times New Roman"/>
          <w:b/>
          <w:bCs/>
          <w:i/>
          <w:iCs/>
          <w:color w:val="000000" w:themeColor="text1"/>
          <w:sz w:val="24"/>
          <w:szCs w:val="24"/>
        </w:rPr>
        <w:t>growth</w:t>
      </w:r>
      <w:proofErr w:type="spellEnd"/>
      <w:r w:rsidRPr="005E5290">
        <w:rPr>
          <w:rFonts w:ascii="Times New Roman" w:hAnsi="Times New Roman" w:cs="Times New Roman"/>
          <w:b/>
          <w:bCs/>
          <w:i/>
          <w:iCs/>
          <w:color w:val="000000" w:themeColor="text1"/>
          <w:sz w:val="24"/>
          <w:szCs w:val="24"/>
        </w:rPr>
        <w:t xml:space="preserve">. </w:t>
      </w:r>
      <w:proofErr w:type="spellStart"/>
      <w:r w:rsidRPr="005E5290">
        <w:rPr>
          <w:rFonts w:ascii="Times New Roman" w:hAnsi="Times New Roman" w:cs="Times New Roman"/>
          <w:i/>
          <w:iCs/>
          <w:color w:val="000000" w:themeColor="text1"/>
          <w:sz w:val="24"/>
          <w:szCs w:val="24"/>
        </w:rPr>
        <w:t>University</w:t>
      </w:r>
      <w:proofErr w:type="spellEnd"/>
      <w:r w:rsidRPr="005E5290">
        <w:rPr>
          <w:rFonts w:ascii="Times New Roman" w:hAnsi="Times New Roman" w:cs="Times New Roman"/>
          <w:i/>
          <w:iCs/>
          <w:color w:val="000000" w:themeColor="text1"/>
          <w:sz w:val="24"/>
          <w:szCs w:val="24"/>
        </w:rPr>
        <w:t xml:space="preserve"> </w:t>
      </w:r>
      <w:proofErr w:type="spellStart"/>
      <w:r w:rsidRPr="005E5290">
        <w:rPr>
          <w:rFonts w:ascii="Times New Roman" w:hAnsi="Times New Roman" w:cs="Times New Roman"/>
          <w:i/>
          <w:iCs/>
          <w:color w:val="000000" w:themeColor="text1"/>
          <w:sz w:val="24"/>
          <w:szCs w:val="24"/>
        </w:rPr>
        <w:t>of</w:t>
      </w:r>
      <w:proofErr w:type="spellEnd"/>
      <w:r w:rsidRPr="005E5290">
        <w:rPr>
          <w:rFonts w:ascii="Times New Roman" w:hAnsi="Times New Roman" w:cs="Times New Roman"/>
          <w:i/>
          <w:iCs/>
          <w:color w:val="000000" w:themeColor="text1"/>
          <w:sz w:val="24"/>
          <w:szCs w:val="24"/>
        </w:rPr>
        <w:t xml:space="preserve"> </w:t>
      </w:r>
      <w:proofErr w:type="spellStart"/>
      <w:r w:rsidRPr="005E5290">
        <w:rPr>
          <w:rFonts w:ascii="Times New Roman" w:hAnsi="Times New Roman" w:cs="Times New Roman"/>
          <w:i/>
          <w:iCs/>
          <w:color w:val="000000" w:themeColor="text1"/>
          <w:sz w:val="24"/>
          <w:szCs w:val="24"/>
        </w:rPr>
        <w:t>chicago</w:t>
      </w:r>
      <w:proofErr w:type="spellEnd"/>
      <w:r w:rsidRPr="005E5290">
        <w:rPr>
          <w:rFonts w:ascii="Times New Roman" w:hAnsi="Times New Roman" w:cs="Times New Roman"/>
          <w:i/>
          <w:iCs/>
          <w:color w:val="000000" w:themeColor="text1"/>
          <w:sz w:val="24"/>
          <w:szCs w:val="24"/>
        </w:rPr>
        <w:t xml:space="preserve"> Press</w:t>
      </w:r>
      <w:r w:rsidRPr="005E5290">
        <w:rPr>
          <w:rFonts w:ascii="Times New Roman" w:hAnsi="Times New Roman" w:cs="Times New Roman"/>
          <w:color w:val="000000" w:themeColor="text1"/>
          <w:sz w:val="24"/>
          <w:szCs w:val="24"/>
        </w:rPr>
        <w:t xml:space="preserve">, 1955. </w:t>
      </w:r>
    </w:p>
    <w:p w14:paraId="49C644E6" w14:textId="77777777" w:rsidR="00324D24" w:rsidRPr="005E5290" w:rsidRDefault="00324D24" w:rsidP="00A17506">
      <w:pPr>
        <w:spacing w:before="160" w:after="0" w:line="240" w:lineRule="auto"/>
        <w:rPr>
          <w:rFonts w:ascii="Times New Roman" w:hAnsi="Times New Roman" w:cs="Times New Roman"/>
          <w:color w:val="000000" w:themeColor="text1"/>
          <w:sz w:val="24"/>
          <w:szCs w:val="24"/>
        </w:rPr>
      </w:pPr>
      <w:r w:rsidRPr="005E5290">
        <w:rPr>
          <w:rFonts w:ascii="Times New Roman" w:hAnsi="Times New Roman" w:cs="Times New Roman"/>
          <w:color w:val="000000" w:themeColor="text1"/>
          <w:sz w:val="24"/>
          <w:szCs w:val="24"/>
        </w:rPr>
        <w:lastRenderedPageBreak/>
        <w:t xml:space="preserve">NORTH, D. C. Teoria da localização e crescimento econômico regional In: SCHWARTZMANN, J. (Org.) </w:t>
      </w:r>
      <w:r w:rsidRPr="005E5290">
        <w:rPr>
          <w:rFonts w:ascii="Times New Roman" w:hAnsi="Times New Roman" w:cs="Times New Roman"/>
          <w:b/>
          <w:bCs/>
          <w:color w:val="000000" w:themeColor="text1"/>
          <w:sz w:val="24"/>
          <w:szCs w:val="24"/>
        </w:rPr>
        <w:t>Economia regional e urbana</w:t>
      </w:r>
      <w:r w:rsidRPr="005E5290">
        <w:rPr>
          <w:rFonts w:ascii="Times New Roman" w:hAnsi="Times New Roman" w:cs="Times New Roman"/>
          <w:color w:val="000000" w:themeColor="text1"/>
          <w:sz w:val="24"/>
          <w:szCs w:val="24"/>
        </w:rPr>
        <w:t>: textos escolhidos. Belo Horizonte: UFMG, p. 333-343, 1977.</w:t>
      </w:r>
    </w:p>
    <w:p w14:paraId="564E0278" w14:textId="77777777" w:rsidR="00324D24" w:rsidRPr="00370E02" w:rsidRDefault="00324D24" w:rsidP="00A17506">
      <w:pPr>
        <w:spacing w:before="160" w:after="0" w:line="240" w:lineRule="auto"/>
        <w:rPr>
          <w:rFonts w:ascii="Times New Roman" w:hAnsi="Times New Roman" w:cs="Times New Roman"/>
          <w:b/>
          <w:bCs/>
          <w:color w:val="000000" w:themeColor="text1"/>
          <w:sz w:val="24"/>
          <w:szCs w:val="24"/>
        </w:rPr>
      </w:pPr>
      <w:r w:rsidRPr="00370E02">
        <w:rPr>
          <w:rFonts w:ascii="Times New Roman" w:hAnsi="Times New Roman" w:cs="Times New Roman"/>
          <w:color w:val="000000" w:themeColor="text1"/>
          <w:sz w:val="24"/>
          <w:szCs w:val="24"/>
        </w:rPr>
        <w:t xml:space="preserve">OLIVEIRA FILHO, G. C. </w:t>
      </w:r>
      <w:r w:rsidRPr="00370E02">
        <w:rPr>
          <w:rFonts w:ascii="Times New Roman" w:hAnsi="Times New Roman" w:cs="Times New Roman"/>
          <w:b/>
          <w:bCs/>
          <w:color w:val="000000" w:themeColor="text1"/>
          <w:sz w:val="24"/>
          <w:szCs w:val="24"/>
        </w:rPr>
        <w:t>A dinâmica contemporânea do padrão locacional das atividades econômicas no estado de Pernambuco</w:t>
      </w:r>
      <w:r w:rsidRPr="00370E02">
        <w:rPr>
          <w:rFonts w:ascii="Times New Roman" w:hAnsi="Times New Roman" w:cs="Times New Roman"/>
          <w:color w:val="000000" w:themeColor="text1"/>
          <w:sz w:val="24"/>
          <w:szCs w:val="24"/>
        </w:rPr>
        <w:t>.</w:t>
      </w:r>
      <w:r w:rsidRPr="00370E02">
        <w:rPr>
          <w:rFonts w:ascii="Times New Roman" w:hAnsi="Times New Roman" w:cs="Times New Roman"/>
          <w:b/>
          <w:bCs/>
          <w:color w:val="000000" w:themeColor="text1"/>
          <w:sz w:val="24"/>
          <w:szCs w:val="24"/>
        </w:rPr>
        <w:t xml:space="preserve"> </w:t>
      </w:r>
      <w:r w:rsidRPr="00370E02">
        <w:rPr>
          <w:rFonts w:ascii="Times New Roman" w:hAnsi="Times New Roman" w:cs="Times New Roman"/>
          <w:color w:val="000000" w:themeColor="text1"/>
          <w:sz w:val="24"/>
          <w:szCs w:val="24"/>
        </w:rPr>
        <w:t>Dissertação – Mestrado em Economia Aplicada, Universidade Federal de Pernambuco – UFPE/PIMES, Recife, PE, Brasil, 2009.</w:t>
      </w:r>
    </w:p>
    <w:p w14:paraId="09C1AA69" w14:textId="0BA6E83C" w:rsidR="00324D24" w:rsidRPr="00370E02" w:rsidRDefault="00324D24" w:rsidP="00A17506">
      <w:pPr>
        <w:spacing w:before="160" w:after="0" w:line="240" w:lineRule="auto"/>
        <w:rPr>
          <w:rFonts w:ascii="Times New Roman" w:hAnsi="Times New Roman" w:cs="Times New Roman"/>
          <w:color w:val="000000" w:themeColor="text1"/>
          <w:sz w:val="24"/>
          <w:szCs w:val="24"/>
        </w:rPr>
      </w:pPr>
      <w:r w:rsidRPr="00370E02">
        <w:rPr>
          <w:rFonts w:ascii="Times New Roman" w:hAnsi="Times New Roman" w:cs="Times New Roman"/>
          <w:color w:val="000000" w:themeColor="text1"/>
          <w:sz w:val="24"/>
          <w:szCs w:val="24"/>
        </w:rPr>
        <w:t xml:space="preserve">PIFFER, M. </w:t>
      </w:r>
      <w:r w:rsidRPr="00370E02">
        <w:rPr>
          <w:rFonts w:ascii="Times New Roman" w:hAnsi="Times New Roman" w:cs="Times New Roman"/>
          <w:b/>
          <w:bCs/>
          <w:color w:val="000000" w:themeColor="text1"/>
          <w:sz w:val="24"/>
          <w:szCs w:val="24"/>
        </w:rPr>
        <w:t>A teoria da base econômica e o desenvolvimento regional do Estado do Paraná no final do século XX</w:t>
      </w:r>
      <w:r w:rsidRPr="00370E02">
        <w:rPr>
          <w:rFonts w:ascii="Times New Roman" w:hAnsi="Times New Roman" w:cs="Times New Roman"/>
          <w:color w:val="000000" w:themeColor="text1"/>
          <w:sz w:val="24"/>
          <w:szCs w:val="24"/>
        </w:rPr>
        <w:t xml:space="preserve">. 2009. 167 f. Tese (Doutorado em Desenvolvimento Regional) – Universidade de Santa Cruz do Sul, </w:t>
      </w:r>
      <w:r w:rsidR="00AE087A" w:rsidRPr="00370E02">
        <w:rPr>
          <w:rFonts w:ascii="Times New Roman" w:hAnsi="Times New Roman" w:cs="Times New Roman"/>
          <w:color w:val="000000" w:themeColor="text1"/>
          <w:sz w:val="24"/>
          <w:szCs w:val="24"/>
        </w:rPr>
        <w:t xml:space="preserve">Santa </w:t>
      </w:r>
      <w:r w:rsidR="00614929" w:rsidRPr="00370E02">
        <w:rPr>
          <w:rFonts w:ascii="Times New Roman" w:hAnsi="Times New Roman" w:cs="Times New Roman"/>
          <w:color w:val="000000" w:themeColor="text1"/>
          <w:sz w:val="24"/>
          <w:szCs w:val="24"/>
        </w:rPr>
        <w:t>Cruz</w:t>
      </w:r>
      <w:r w:rsidR="00AE087A" w:rsidRPr="00370E02">
        <w:rPr>
          <w:rFonts w:ascii="Times New Roman" w:hAnsi="Times New Roman" w:cs="Times New Roman"/>
          <w:color w:val="000000" w:themeColor="text1"/>
          <w:sz w:val="24"/>
          <w:szCs w:val="24"/>
        </w:rPr>
        <w:t xml:space="preserve"> do Sul – RS, </w:t>
      </w:r>
      <w:r w:rsidRPr="00370E02">
        <w:rPr>
          <w:rFonts w:ascii="Times New Roman" w:hAnsi="Times New Roman" w:cs="Times New Roman"/>
          <w:color w:val="000000" w:themeColor="text1"/>
          <w:sz w:val="24"/>
          <w:szCs w:val="24"/>
        </w:rPr>
        <w:t>2009.</w:t>
      </w:r>
    </w:p>
    <w:p w14:paraId="65B33870" w14:textId="163752F5" w:rsidR="00324D24" w:rsidRPr="00370E02" w:rsidRDefault="00324D24" w:rsidP="00A17506">
      <w:pPr>
        <w:spacing w:before="160" w:after="0" w:line="240" w:lineRule="auto"/>
        <w:rPr>
          <w:rFonts w:ascii="Times New Roman" w:hAnsi="Times New Roman" w:cs="Times New Roman"/>
          <w:color w:val="000000" w:themeColor="text1"/>
          <w:sz w:val="24"/>
          <w:szCs w:val="24"/>
        </w:rPr>
      </w:pPr>
      <w:r w:rsidRPr="00370E02">
        <w:rPr>
          <w:rFonts w:ascii="Times New Roman" w:hAnsi="Times New Roman" w:cs="Times New Roman"/>
          <w:color w:val="000000" w:themeColor="text1"/>
          <w:sz w:val="24"/>
          <w:szCs w:val="24"/>
        </w:rPr>
        <w:t>PRADO J</w:t>
      </w:r>
      <w:r w:rsidR="00EB55F3" w:rsidRPr="00370E02">
        <w:rPr>
          <w:rFonts w:ascii="Times New Roman" w:hAnsi="Times New Roman" w:cs="Times New Roman"/>
          <w:color w:val="000000" w:themeColor="text1"/>
          <w:sz w:val="24"/>
          <w:szCs w:val="24"/>
        </w:rPr>
        <w:t>ÙNIOR</w:t>
      </w:r>
      <w:r w:rsidRPr="00370E02">
        <w:rPr>
          <w:rFonts w:ascii="Times New Roman" w:hAnsi="Times New Roman" w:cs="Times New Roman"/>
          <w:color w:val="000000" w:themeColor="text1"/>
          <w:sz w:val="24"/>
          <w:szCs w:val="24"/>
        </w:rPr>
        <w:t xml:space="preserve">, C. </w:t>
      </w:r>
      <w:r w:rsidRPr="00370E02">
        <w:rPr>
          <w:rFonts w:ascii="Times New Roman" w:hAnsi="Times New Roman" w:cs="Times New Roman"/>
          <w:b/>
          <w:bCs/>
          <w:color w:val="000000" w:themeColor="text1"/>
          <w:sz w:val="24"/>
          <w:szCs w:val="24"/>
        </w:rPr>
        <w:t>Formação do Brasil Contemporâneo</w:t>
      </w:r>
      <w:r w:rsidRPr="00370E02">
        <w:rPr>
          <w:rFonts w:ascii="Times New Roman" w:hAnsi="Times New Roman" w:cs="Times New Roman"/>
          <w:color w:val="000000" w:themeColor="text1"/>
          <w:sz w:val="24"/>
          <w:szCs w:val="24"/>
        </w:rPr>
        <w:t xml:space="preserve">. São Paulo: Brasiliense, 1963. </w:t>
      </w:r>
    </w:p>
    <w:p w14:paraId="278906AB" w14:textId="323DC20B" w:rsidR="00324D24" w:rsidRPr="00370E02" w:rsidRDefault="00324D24" w:rsidP="00A17506">
      <w:pPr>
        <w:spacing w:before="160" w:after="0" w:line="240" w:lineRule="auto"/>
        <w:rPr>
          <w:rFonts w:ascii="Times New Roman" w:hAnsi="Times New Roman" w:cs="Times New Roman"/>
          <w:color w:val="000000" w:themeColor="text1"/>
          <w:sz w:val="24"/>
          <w:szCs w:val="24"/>
        </w:rPr>
      </w:pPr>
      <w:r w:rsidRPr="00370E02">
        <w:rPr>
          <w:rFonts w:ascii="Times New Roman" w:hAnsi="Times New Roman" w:cs="Times New Roman"/>
          <w:color w:val="000000" w:themeColor="text1"/>
          <w:sz w:val="24"/>
          <w:szCs w:val="24"/>
        </w:rPr>
        <w:t xml:space="preserve">RAIS (Relação Anual de Informações Sociais). </w:t>
      </w:r>
      <w:r w:rsidRPr="00370E02">
        <w:rPr>
          <w:rFonts w:ascii="Times New Roman" w:hAnsi="Times New Roman" w:cs="Times New Roman"/>
          <w:b/>
          <w:bCs/>
          <w:color w:val="000000" w:themeColor="text1"/>
          <w:sz w:val="24"/>
          <w:szCs w:val="24"/>
        </w:rPr>
        <w:t>RAIS VÍNCULOS</w:t>
      </w:r>
      <w:r w:rsidRPr="00370E02">
        <w:rPr>
          <w:rFonts w:ascii="Times New Roman" w:hAnsi="Times New Roman" w:cs="Times New Roman"/>
          <w:color w:val="000000" w:themeColor="text1"/>
          <w:sz w:val="24"/>
          <w:szCs w:val="24"/>
        </w:rPr>
        <w:t>. Disponível em:</w:t>
      </w:r>
      <w:r w:rsidR="00A17506" w:rsidRPr="00370E02">
        <w:rPr>
          <w:rFonts w:ascii="Times New Roman" w:hAnsi="Times New Roman" w:cs="Times New Roman"/>
          <w:color w:val="000000" w:themeColor="text1"/>
          <w:sz w:val="24"/>
          <w:szCs w:val="24"/>
        </w:rPr>
        <w:t xml:space="preserve"> </w:t>
      </w:r>
      <w:r w:rsidRPr="00370E02">
        <w:rPr>
          <w:rFonts w:ascii="Times New Roman" w:hAnsi="Times New Roman" w:cs="Times New Roman"/>
          <w:color w:val="000000" w:themeColor="text1"/>
          <w:sz w:val="24"/>
          <w:szCs w:val="24"/>
        </w:rPr>
        <w:t xml:space="preserve">https://bi.mte.gov.br/bgcaged/caged_rais_vinculo_id/caged_rais_vinculo_basico_tab.php. Acesso em 18 de junho de 2022. </w:t>
      </w:r>
    </w:p>
    <w:p w14:paraId="4ED189C3" w14:textId="77777777" w:rsidR="00324D24" w:rsidRPr="00370E02" w:rsidRDefault="00324D24" w:rsidP="00A17506">
      <w:pPr>
        <w:spacing w:before="160" w:after="0" w:line="240" w:lineRule="auto"/>
        <w:rPr>
          <w:rFonts w:ascii="Times New Roman" w:hAnsi="Times New Roman" w:cs="Times New Roman"/>
          <w:color w:val="000000" w:themeColor="text1"/>
          <w:sz w:val="24"/>
          <w:szCs w:val="24"/>
        </w:rPr>
      </w:pPr>
      <w:r w:rsidRPr="00370E02">
        <w:rPr>
          <w:rFonts w:ascii="Times New Roman" w:hAnsi="Times New Roman" w:cs="Times New Roman"/>
          <w:color w:val="000000" w:themeColor="text1"/>
          <w:sz w:val="24"/>
          <w:szCs w:val="24"/>
        </w:rPr>
        <w:t xml:space="preserve">RAMPAZZO, Lino. </w:t>
      </w:r>
      <w:r w:rsidRPr="00370E02">
        <w:rPr>
          <w:rFonts w:ascii="Times New Roman" w:hAnsi="Times New Roman" w:cs="Times New Roman"/>
          <w:b/>
          <w:bCs/>
          <w:color w:val="000000" w:themeColor="text1"/>
          <w:sz w:val="24"/>
          <w:szCs w:val="24"/>
        </w:rPr>
        <w:t>Metodologia Científica:</w:t>
      </w:r>
      <w:r w:rsidRPr="00370E02">
        <w:rPr>
          <w:rFonts w:ascii="Times New Roman" w:hAnsi="Times New Roman" w:cs="Times New Roman"/>
          <w:color w:val="000000" w:themeColor="text1"/>
          <w:sz w:val="24"/>
          <w:szCs w:val="24"/>
        </w:rPr>
        <w:t xml:space="preserve"> para alunos dos cursos de graduação e pós-graduação. 7. ed. São Paulo, SP, Loyola, 2013.</w:t>
      </w:r>
    </w:p>
    <w:p w14:paraId="579EEE28" w14:textId="77777777" w:rsidR="00324D24" w:rsidRPr="00370E02" w:rsidRDefault="00324D24" w:rsidP="00A17506">
      <w:pPr>
        <w:spacing w:before="160" w:after="0" w:line="240" w:lineRule="auto"/>
        <w:rPr>
          <w:rFonts w:ascii="Times New Roman" w:hAnsi="Times New Roman" w:cs="Times New Roman"/>
          <w:color w:val="000000" w:themeColor="text1"/>
          <w:sz w:val="24"/>
          <w:szCs w:val="24"/>
        </w:rPr>
      </w:pPr>
      <w:r w:rsidRPr="00370E02">
        <w:rPr>
          <w:rFonts w:ascii="Times New Roman" w:hAnsi="Times New Roman" w:cs="Times New Roman"/>
          <w:color w:val="000000" w:themeColor="text1"/>
          <w:sz w:val="24"/>
          <w:szCs w:val="24"/>
        </w:rPr>
        <w:t xml:space="preserve">SIMÕES, R. F. </w:t>
      </w:r>
      <w:r w:rsidRPr="00370E02">
        <w:rPr>
          <w:rFonts w:ascii="Times New Roman" w:hAnsi="Times New Roman" w:cs="Times New Roman"/>
          <w:b/>
          <w:bCs/>
          <w:color w:val="000000" w:themeColor="text1"/>
          <w:sz w:val="24"/>
          <w:szCs w:val="24"/>
        </w:rPr>
        <w:t>Métodos de Análise Regional</w:t>
      </w:r>
      <w:r w:rsidRPr="00370E02">
        <w:rPr>
          <w:rFonts w:ascii="Times New Roman" w:hAnsi="Times New Roman" w:cs="Times New Roman"/>
          <w:color w:val="000000" w:themeColor="text1"/>
          <w:sz w:val="24"/>
          <w:szCs w:val="24"/>
        </w:rPr>
        <w:t>: Diagnóstico Para o Planejamento Regional. Belo Horizonte – MG. FACE/CEDEPLAR/UFMG/Ministério da integração, p.37. 2004.</w:t>
      </w:r>
    </w:p>
    <w:p w14:paraId="07235917" w14:textId="77777777" w:rsidR="00324D24" w:rsidRPr="00370E02" w:rsidRDefault="00324D24" w:rsidP="00A17506">
      <w:pPr>
        <w:spacing w:before="160" w:after="0" w:line="240" w:lineRule="auto"/>
        <w:rPr>
          <w:rFonts w:ascii="Times New Roman" w:hAnsi="Times New Roman" w:cs="Times New Roman"/>
          <w:color w:val="000000" w:themeColor="text1"/>
          <w:sz w:val="24"/>
          <w:szCs w:val="24"/>
        </w:rPr>
      </w:pPr>
      <w:r w:rsidRPr="00370E02">
        <w:rPr>
          <w:rFonts w:ascii="Times New Roman" w:hAnsi="Times New Roman" w:cs="Times New Roman"/>
          <w:color w:val="000000" w:themeColor="text1"/>
          <w:sz w:val="24"/>
          <w:szCs w:val="24"/>
        </w:rPr>
        <w:t xml:space="preserve">SOARES, F. A.; SANTOS, S. M.; FREITAS, E.E. Especialização Industrial e Economia de Escala: uma Análise a Partir das Microrregiões Brasileiras. </w:t>
      </w:r>
      <w:r w:rsidRPr="00370E02">
        <w:rPr>
          <w:rFonts w:ascii="Times New Roman" w:hAnsi="Times New Roman" w:cs="Times New Roman"/>
          <w:b/>
          <w:bCs/>
          <w:color w:val="000000" w:themeColor="text1"/>
          <w:sz w:val="24"/>
          <w:szCs w:val="24"/>
        </w:rPr>
        <w:t>Revista Econômica do Nordeste</w:t>
      </w:r>
      <w:r w:rsidRPr="00370E02">
        <w:rPr>
          <w:rFonts w:ascii="Times New Roman" w:hAnsi="Times New Roman" w:cs="Times New Roman"/>
          <w:color w:val="000000" w:themeColor="text1"/>
          <w:sz w:val="24"/>
          <w:szCs w:val="24"/>
        </w:rPr>
        <w:t>, Fortaleza, v.39, n. 4, p. 1-19, out-dez, 2008.</w:t>
      </w:r>
    </w:p>
    <w:p w14:paraId="721D71B0" w14:textId="7B497371" w:rsidR="00324D24" w:rsidRPr="00370E02" w:rsidRDefault="00324D24" w:rsidP="00A17506">
      <w:pPr>
        <w:spacing w:before="160" w:after="0" w:line="240" w:lineRule="auto"/>
        <w:rPr>
          <w:rFonts w:ascii="Times New Roman" w:hAnsi="Times New Roman" w:cs="Times New Roman"/>
          <w:b/>
          <w:bCs/>
          <w:color w:val="000000" w:themeColor="text1"/>
          <w:sz w:val="24"/>
          <w:szCs w:val="24"/>
        </w:rPr>
      </w:pPr>
      <w:r w:rsidRPr="00370E02">
        <w:rPr>
          <w:rFonts w:ascii="Times New Roman" w:hAnsi="Times New Roman" w:cs="Times New Roman"/>
          <w:color w:val="000000" w:themeColor="text1"/>
          <w:sz w:val="24"/>
          <w:szCs w:val="24"/>
        </w:rPr>
        <w:t xml:space="preserve">SOUZA, M. A. G. C. </w:t>
      </w:r>
      <w:r w:rsidRPr="00370E02">
        <w:rPr>
          <w:rFonts w:ascii="Times New Roman" w:hAnsi="Times New Roman" w:cs="Times New Roman"/>
          <w:b/>
          <w:bCs/>
          <w:color w:val="000000" w:themeColor="text1"/>
          <w:sz w:val="24"/>
          <w:szCs w:val="24"/>
        </w:rPr>
        <w:t>Uma análise da evolução da indústria pernambucana em 2007 e 2017</w:t>
      </w:r>
      <w:r w:rsidRPr="00370E02">
        <w:rPr>
          <w:rFonts w:ascii="Times New Roman" w:hAnsi="Times New Roman" w:cs="Times New Roman"/>
          <w:color w:val="000000" w:themeColor="text1"/>
          <w:sz w:val="24"/>
          <w:szCs w:val="24"/>
        </w:rPr>
        <w:t>.</w:t>
      </w:r>
      <w:r w:rsidRPr="00370E02">
        <w:rPr>
          <w:rFonts w:ascii="Times New Roman" w:hAnsi="Times New Roman" w:cs="Times New Roman"/>
          <w:b/>
          <w:bCs/>
          <w:color w:val="000000" w:themeColor="text1"/>
          <w:sz w:val="24"/>
          <w:szCs w:val="24"/>
        </w:rPr>
        <w:t xml:space="preserve"> </w:t>
      </w:r>
      <w:r w:rsidRPr="00370E02">
        <w:rPr>
          <w:rFonts w:ascii="Times New Roman" w:hAnsi="Times New Roman" w:cs="Times New Roman"/>
          <w:color w:val="000000" w:themeColor="text1"/>
          <w:sz w:val="24"/>
          <w:szCs w:val="24"/>
        </w:rPr>
        <w:t xml:space="preserve">Monografia </w:t>
      </w:r>
      <w:r w:rsidR="005C23DB" w:rsidRPr="00370E02">
        <w:rPr>
          <w:rFonts w:ascii="Times New Roman" w:hAnsi="Times New Roman" w:cs="Times New Roman"/>
          <w:color w:val="000000" w:themeColor="text1"/>
          <w:sz w:val="24"/>
          <w:szCs w:val="24"/>
        </w:rPr>
        <w:t>(</w:t>
      </w:r>
      <w:r w:rsidRPr="00370E02">
        <w:rPr>
          <w:rFonts w:ascii="Times New Roman" w:hAnsi="Times New Roman" w:cs="Times New Roman"/>
          <w:color w:val="000000" w:themeColor="text1"/>
          <w:sz w:val="24"/>
          <w:szCs w:val="24"/>
        </w:rPr>
        <w:t>Bacharelado em Ciências Econômicas</w:t>
      </w:r>
      <w:r w:rsidR="005C23DB" w:rsidRPr="00370E02">
        <w:rPr>
          <w:rFonts w:ascii="Times New Roman" w:hAnsi="Times New Roman" w:cs="Times New Roman"/>
          <w:color w:val="000000" w:themeColor="text1"/>
          <w:sz w:val="24"/>
          <w:szCs w:val="24"/>
        </w:rPr>
        <w:t>)</w:t>
      </w:r>
      <w:r w:rsidRPr="00370E02">
        <w:rPr>
          <w:rFonts w:ascii="Times New Roman" w:hAnsi="Times New Roman" w:cs="Times New Roman"/>
          <w:color w:val="000000" w:themeColor="text1"/>
          <w:sz w:val="24"/>
          <w:szCs w:val="24"/>
        </w:rPr>
        <w:t>, Universidade Federal Rural de Pernambuco, Unidade Acadêmica de Serra Talhada, Serra Talhada, PE, Brasil, 2019.</w:t>
      </w:r>
    </w:p>
    <w:p w14:paraId="6E9F5ED3" w14:textId="77777777" w:rsidR="00324D24" w:rsidRPr="00370E02" w:rsidRDefault="00324D24" w:rsidP="00A17506">
      <w:pPr>
        <w:spacing w:before="160" w:after="0" w:line="240" w:lineRule="auto"/>
        <w:rPr>
          <w:rFonts w:ascii="Times New Roman" w:hAnsi="Times New Roman" w:cs="Times New Roman"/>
          <w:color w:val="000000" w:themeColor="text1"/>
          <w:sz w:val="24"/>
          <w:szCs w:val="24"/>
        </w:rPr>
      </w:pPr>
      <w:r w:rsidRPr="00370E02">
        <w:rPr>
          <w:rFonts w:ascii="Times New Roman" w:hAnsi="Times New Roman" w:cs="Times New Roman"/>
          <w:color w:val="000000" w:themeColor="text1"/>
          <w:sz w:val="24"/>
          <w:szCs w:val="24"/>
        </w:rPr>
        <w:t xml:space="preserve">SOUZA, N. J. Conceito e aplicação da teoria da base econômica. </w:t>
      </w:r>
      <w:r w:rsidRPr="00370E02">
        <w:rPr>
          <w:rFonts w:ascii="Times New Roman" w:hAnsi="Times New Roman" w:cs="Times New Roman"/>
          <w:b/>
          <w:bCs/>
          <w:color w:val="000000" w:themeColor="text1"/>
          <w:sz w:val="24"/>
          <w:szCs w:val="24"/>
        </w:rPr>
        <w:t>Perspectiva Econômica</w:t>
      </w:r>
      <w:r w:rsidRPr="00370E02">
        <w:rPr>
          <w:rFonts w:ascii="Times New Roman" w:hAnsi="Times New Roman" w:cs="Times New Roman"/>
          <w:color w:val="000000" w:themeColor="text1"/>
          <w:sz w:val="24"/>
          <w:szCs w:val="24"/>
        </w:rPr>
        <w:t>, UNISINOS. São Leopoldo, v. 10, n. 25, p. 117-130, 1980.</w:t>
      </w:r>
    </w:p>
    <w:p w14:paraId="7305C873" w14:textId="77777777" w:rsidR="00324D24" w:rsidRPr="00370E02" w:rsidRDefault="00324D24" w:rsidP="00A17506">
      <w:pPr>
        <w:spacing w:before="160" w:after="0" w:line="240" w:lineRule="auto"/>
        <w:rPr>
          <w:rFonts w:ascii="Times New Roman" w:hAnsi="Times New Roman" w:cs="Times New Roman"/>
          <w:color w:val="000000" w:themeColor="text1"/>
          <w:sz w:val="24"/>
          <w:szCs w:val="24"/>
        </w:rPr>
      </w:pPr>
      <w:r w:rsidRPr="00370E02">
        <w:rPr>
          <w:rFonts w:ascii="Times New Roman" w:hAnsi="Times New Roman" w:cs="Times New Roman"/>
          <w:color w:val="000000" w:themeColor="text1"/>
          <w:sz w:val="24"/>
          <w:szCs w:val="24"/>
        </w:rPr>
        <w:t xml:space="preserve">SOUZA, N. J. </w:t>
      </w:r>
      <w:r w:rsidRPr="00370E02">
        <w:rPr>
          <w:rFonts w:ascii="Times New Roman" w:hAnsi="Times New Roman" w:cs="Times New Roman"/>
          <w:b/>
          <w:bCs/>
          <w:color w:val="000000" w:themeColor="text1"/>
          <w:sz w:val="24"/>
          <w:szCs w:val="24"/>
        </w:rPr>
        <w:t>Desenvolvimento Regional</w:t>
      </w:r>
      <w:r w:rsidRPr="00370E02">
        <w:rPr>
          <w:rFonts w:ascii="Times New Roman" w:hAnsi="Times New Roman" w:cs="Times New Roman"/>
          <w:color w:val="000000" w:themeColor="text1"/>
          <w:sz w:val="24"/>
          <w:szCs w:val="24"/>
        </w:rPr>
        <w:t>. São Paulo: Atlas, 2009.</w:t>
      </w:r>
    </w:p>
    <w:p w14:paraId="3FE7D119" w14:textId="77777777" w:rsidR="00324D24" w:rsidRPr="00370E02" w:rsidRDefault="00324D24" w:rsidP="00A17506">
      <w:pPr>
        <w:spacing w:before="160" w:after="0" w:line="240" w:lineRule="auto"/>
        <w:rPr>
          <w:rFonts w:ascii="Times New Roman" w:hAnsi="Times New Roman" w:cs="Times New Roman"/>
          <w:color w:val="000000" w:themeColor="text1"/>
          <w:sz w:val="24"/>
          <w:szCs w:val="24"/>
        </w:rPr>
      </w:pPr>
      <w:r w:rsidRPr="00370E02">
        <w:rPr>
          <w:rFonts w:ascii="Times New Roman" w:hAnsi="Times New Roman" w:cs="Times New Roman"/>
          <w:color w:val="000000" w:themeColor="text1"/>
          <w:sz w:val="24"/>
          <w:szCs w:val="24"/>
        </w:rPr>
        <w:t xml:space="preserve">SOUZA, N. J. Economia regional: conceito e fundamentos teóricos. </w:t>
      </w:r>
      <w:r w:rsidRPr="00370E02">
        <w:rPr>
          <w:rFonts w:ascii="Times New Roman" w:hAnsi="Times New Roman" w:cs="Times New Roman"/>
          <w:b/>
          <w:bCs/>
          <w:color w:val="000000" w:themeColor="text1"/>
          <w:sz w:val="24"/>
          <w:szCs w:val="24"/>
        </w:rPr>
        <w:t>Perspectiva Econômica</w:t>
      </w:r>
      <w:r w:rsidRPr="00370E02">
        <w:rPr>
          <w:rFonts w:ascii="Times New Roman" w:hAnsi="Times New Roman" w:cs="Times New Roman"/>
          <w:color w:val="000000" w:themeColor="text1"/>
          <w:sz w:val="24"/>
          <w:szCs w:val="24"/>
        </w:rPr>
        <w:t>, Rio Grande do Sul, v.11, n.32, p.67-102, 1981.</w:t>
      </w:r>
    </w:p>
    <w:p w14:paraId="3B4D8685" w14:textId="437FBB01" w:rsidR="00324D24" w:rsidRPr="00370E02" w:rsidRDefault="00324D24" w:rsidP="00A17506">
      <w:pPr>
        <w:spacing w:before="160" w:after="0" w:line="240" w:lineRule="auto"/>
        <w:rPr>
          <w:rFonts w:ascii="Times New Roman" w:hAnsi="Times New Roman" w:cs="Times New Roman"/>
          <w:b/>
          <w:bCs/>
          <w:color w:val="000000" w:themeColor="text1"/>
          <w:sz w:val="24"/>
          <w:szCs w:val="24"/>
        </w:rPr>
      </w:pPr>
      <w:r w:rsidRPr="00370E02">
        <w:rPr>
          <w:rFonts w:ascii="Times New Roman" w:hAnsi="Times New Roman" w:cs="Times New Roman"/>
          <w:color w:val="000000" w:themeColor="text1"/>
          <w:sz w:val="24"/>
          <w:szCs w:val="24"/>
        </w:rPr>
        <w:t xml:space="preserve">VIEIRA, D. T. </w:t>
      </w:r>
      <w:r w:rsidRPr="00370E02">
        <w:rPr>
          <w:rFonts w:ascii="Times New Roman" w:hAnsi="Times New Roman" w:cs="Times New Roman"/>
          <w:b/>
          <w:bCs/>
          <w:color w:val="000000" w:themeColor="text1"/>
          <w:sz w:val="24"/>
          <w:szCs w:val="24"/>
        </w:rPr>
        <w:t>Distribuição do emprego formal na indústria de transformação nas microrregiões do estado de Pernambuco no ano de 2011</w:t>
      </w:r>
      <w:r w:rsidRPr="00370E02">
        <w:rPr>
          <w:rFonts w:ascii="Times New Roman" w:hAnsi="Times New Roman" w:cs="Times New Roman"/>
          <w:color w:val="000000" w:themeColor="text1"/>
          <w:sz w:val="24"/>
          <w:szCs w:val="24"/>
        </w:rPr>
        <w:t xml:space="preserve">: uma aplicação do Quociente Locacional, Coeficiente de Especialização e Coeficiente Locacional. Trabalho de Conclusão de Curso </w:t>
      </w:r>
      <w:r w:rsidR="00593AE4" w:rsidRPr="00370E02">
        <w:rPr>
          <w:rFonts w:ascii="Times New Roman" w:hAnsi="Times New Roman" w:cs="Times New Roman"/>
          <w:color w:val="000000" w:themeColor="text1"/>
          <w:sz w:val="24"/>
          <w:szCs w:val="24"/>
        </w:rPr>
        <w:t>(</w:t>
      </w:r>
      <w:r w:rsidRPr="00370E02">
        <w:rPr>
          <w:rFonts w:ascii="Times New Roman" w:hAnsi="Times New Roman" w:cs="Times New Roman"/>
          <w:color w:val="000000" w:themeColor="text1"/>
          <w:sz w:val="24"/>
          <w:szCs w:val="24"/>
        </w:rPr>
        <w:t>Graduação em Administração</w:t>
      </w:r>
      <w:r w:rsidR="00593AE4" w:rsidRPr="00370E02">
        <w:rPr>
          <w:rFonts w:ascii="Times New Roman" w:hAnsi="Times New Roman" w:cs="Times New Roman"/>
          <w:color w:val="000000" w:themeColor="text1"/>
          <w:sz w:val="24"/>
          <w:szCs w:val="24"/>
        </w:rPr>
        <w:t>)</w:t>
      </w:r>
      <w:r w:rsidRPr="00370E02">
        <w:rPr>
          <w:rFonts w:ascii="Times New Roman" w:hAnsi="Times New Roman" w:cs="Times New Roman"/>
          <w:color w:val="000000" w:themeColor="text1"/>
          <w:sz w:val="24"/>
          <w:szCs w:val="24"/>
        </w:rPr>
        <w:t>, Universidade Federal de Pernambuco, Centro Acadêmico do Agreste, Caruaru-PE, Brasil, 2012.</w:t>
      </w:r>
    </w:p>
    <w:p w14:paraId="282E7F60" w14:textId="77777777" w:rsidR="00324D24" w:rsidRPr="00370E02" w:rsidRDefault="00324D24" w:rsidP="00A17506">
      <w:pPr>
        <w:spacing w:before="160" w:after="0" w:line="240" w:lineRule="auto"/>
        <w:rPr>
          <w:rFonts w:ascii="Times New Roman" w:hAnsi="Times New Roman" w:cs="Times New Roman"/>
          <w:color w:val="000000" w:themeColor="text1"/>
          <w:sz w:val="24"/>
          <w:szCs w:val="24"/>
        </w:rPr>
      </w:pPr>
      <w:r w:rsidRPr="00370E02">
        <w:rPr>
          <w:rFonts w:ascii="Times New Roman" w:hAnsi="Times New Roman" w:cs="Times New Roman"/>
          <w:color w:val="000000" w:themeColor="text1"/>
          <w:sz w:val="24"/>
          <w:szCs w:val="24"/>
        </w:rPr>
        <w:t xml:space="preserve">VON THÜNEN, J. H. </w:t>
      </w:r>
      <w:r w:rsidRPr="00370E02">
        <w:rPr>
          <w:rFonts w:ascii="Times New Roman" w:hAnsi="Times New Roman" w:cs="Times New Roman"/>
          <w:b/>
          <w:bCs/>
          <w:i/>
          <w:iCs/>
          <w:color w:val="000000" w:themeColor="text1"/>
          <w:sz w:val="24"/>
          <w:szCs w:val="24"/>
        </w:rPr>
        <w:t xml:space="preserve">The </w:t>
      </w:r>
      <w:proofErr w:type="spellStart"/>
      <w:r w:rsidRPr="00370E02">
        <w:rPr>
          <w:rFonts w:ascii="Times New Roman" w:hAnsi="Times New Roman" w:cs="Times New Roman"/>
          <w:b/>
          <w:bCs/>
          <w:i/>
          <w:iCs/>
          <w:color w:val="000000" w:themeColor="text1"/>
          <w:sz w:val="24"/>
          <w:szCs w:val="24"/>
        </w:rPr>
        <w:t>isolated</w:t>
      </w:r>
      <w:proofErr w:type="spellEnd"/>
      <w:r w:rsidRPr="00370E02">
        <w:rPr>
          <w:rFonts w:ascii="Times New Roman" w:hAnsi="Times New Roman" w:cs="Times New Roman"/>
          <w:b/>
          <w:bCs/>
          <w:i/>
          <w:iCs/>
          <w:color w:val="000000" w:themeColor="text1"/>
          <w:sz w:val="24"/>
          <w:szCs w:val="24"/>
        </w:rPr>
        <w:t xml:space="preserve"> </w:t>
      </w:r>
      <w:proofErr w:type="spellStart"/>
      <w:r w:rsidRPr="00370E02">
        <w:rPr>
          <w:rFonts w:ascii="Times New Roman" w:hAnsi="Times New Roman" w:cs="Times New Roman"/>
          <w:b/>
          <w:bCs/>
          <w:i/>
          <w:iCs/>
          <w:color w:val="000000" w:themeColor="text1"/>
          <w:sz w:val="24"/>
          <w:szCs w:val="24"/>
        </w:rPr>
        <w:t>state</w:t>
      </w:r>
      <w:proofErr w:type="spellEnd"/>
      <w:r w:rsidRPr="00370E02">
        <w:rPr>
          <w:rFonts w:ascii="Times New Roman" w:hAnsi="Times New Roman" w:cs="Times New Roman"/>
          <w:color w:val="000000" w:themeColor="text1"/>
          <w:sz w:val="24"/>
          <w:szCs w:val="24"/>
        </w:rPr>
        <w:t xml:space="preserve">. </w:t>
      </w:r>
      <w:r w:rsidRPr="00370E02">
        <w:rPr>
          <w:rFonts w:ascii="Times New Roman" w:hAnsi="Times New Roman" w:cs="Times New Roman"/>
          <w:i/>
          <w:iCs/>
          <w:color w:val="000000" w:themeColor="text1"/>
          <w:sz w:val="24"/>
          <w:szCs w:val="24"/>
        </w:rPr>
        <w:t xml:space="preserve">New York. Oxford: </w:t>
      </w:r>
      <w:proofErr w:type="spellStart"/>
      <w:r w:rsidRPr="00370E02">
        <w:rPr>
          <w:rFonts w:ascii="Times New Roman" w:hAnsi="Times New Roman" w:cs="Times New Roman"/>
          <w:i/>
          <w:iCs/>
          <w:color w:val="000000" w:themeColor="text1"/>
          <w:sz w:val="24"/>
          <w:szCs w:val="24"/>
        </w:rPr>
        <w:t>Pergamon</w:t>
      </w:r>
      <w:proofErr w:type="spellEnd"/>
      <w:r w:rsidRPr="00370E02">
        <w:rPr>
          <w:rFonts w:ascii="Times New Roman" w:hAnsi="Times New Roman" w:cs="Times New Roman"/>
          <w:i/>
          <w:iCs/>
          <w:color w:val="000000" w:themeColor="text1"/>
          <w:sz w:val="24"/>
          <w:szCs w:val="24"/>
        </w:rPr>
        <w:t xml:space="preserve"> Press</w:t>
      </w:r>
      <w:r w:rsidRPr="00370E02">
        <w:rPr>
          <w:rFonts w:ascii="Times New Roman" w:hAnsi="Times New Roman" w:cs="Times New Roman"/>
          <w:color w:val="000000" w:themeColor="text1"/>
          <w:sz w:val="24"/>
          <w:szCs w:val="24"/>
        </w:rPr>
        <w:t>, 1966. Edição original de 1826.</w:t>
      </w:r>
    </w:p>
    <w:p w14:paraId="1AD93E4C" w14:textId="77777777" w:rsidR="00324D24" w:rsidRPr="00370E02" w:rsidRDefault="00324D24" w:rsidP="00A17506">
      <w:pPr>
        <w:spacing w:before="160" w:after="0" w:line="240" w:lineRule="auto"/>
        <w:rPr>
          <w:rFonts w:ascii="Times New Roman" w:hAnsi="Times New Roman" w:cs="Times New Roman"/>
          <w:color w:val="000000" w:themeColor="text1"/>
          <w:sz w:val="24"/>
          <w:szCs w:val="24"/>
        </w:rPr>
      </w:pPr>
      <w:r w:rsidRPr="00370E02">
        <w:rPr>
          <w:rFonts w:ascii="Times New Roman" w:hAnsi="Times New Roman" w:cs="Times New Roman"/>
          <w:color w:val="000000" w:themeColor="text1"/>
          <w:sz w:val="24"/>
          <w:szCs w:val="24"/>
        </w:rPr>
        <w:lastRenderedPageBreak/>
        <w:t xml:space="preserve">WEBER, Alfred. </w:t>
      </w:r>
      <w:proofErr w:type="spellStart"/>
      <w:r w:rsidRPr="00370E02">
        <w:rPr>
          <w:rFonts w:ascii="Times New Roman" w:hAnsi="Times New Roman" w:cs="Times New Roman"/>
          <w:b/>
          <w:bCs/>
          <w:i/>
          <w:iCs/>
          <w:color w:val="000000" w:themeColor="text1"/>
          <w:sz w:val="24"/>
          <w:szCs w:val="24"/>
        </w:rPr>
        <w:t>Theory</w:t>
      </w:r>
      <w:proofErr w:type="spellEnd"/>
      <w:r w:rsidRPr="00370E02">
        <w:rPr>
          <w:rFonts w:ascii="Times New Roman" w:hAnsi="Times New Roman" w:cs="Times New Roman"/>
          <w:b/>
          <w:bCs/>
          <w:i/>
          <w:iCs/>
          <w:color w:val="000000" w:themeColor="text1"/>
          <w:sz w:val="24"/>
          <w:szCs w:val="24"/>
        </w:rPr>
        <w:t xml:space="preserve"> </w:t>
      </w:r>
      <w:proofErr w:type="spellStart"/>
      <w:r w:rsidRPr="00370E02">
        <w:rPr>
          <w:rFonts w:ascii="Times New Roman" w:hAnsi="Times New Roman" w:cs="Times New Roman"/>
          <w:b/>
          <w:bCs/>
          <w:i/>
          <w:iCs/>
          <w:color w:val="000000" w:themeColor="text1"/>
          <w:sz w:val="24"/>
          <w:szCs w:val="24"/>
        </w:rPr>
        <w:t>of</w:t>
      </w:r>
      <w:proofErr w:type="spellEnd"/>
      <w:r w:rsidRPr="00370E02">
        <w:rPr>
          <w:rFonts w:ascii="Times New Roman" w:hAnsi="Times New Roman" w:cs="Times New Roman"/>
          <w:b/>
          <w:bCs/>
          <w:i/>
          <w:iCs/>
          <w:color w:val="000000" w:themeColor="text1"/>
          <w:sz w:val="24"/>
          <w:szCs w:val="24"/>
        </w:rPr>
        <w:t xml:space="preserve"> </w:t>
      </w:r>
      <w:proofErr w:type="spellStart"/>
      <w:r w:rsidRPr="00370E02">
        <w:rPr>
          <w:rFonts w:ascii="Times New Roman" w:hAnsi="Times New Roman" w:cs="Times New Roman"/>
          <w:b/>
          <w:bCs/>
          <w:i/>
          <w:iCs/>
          <w:color w:val="000000" w:themeColor="text1"/>
          <w:sz w:val="24"/>
          <w:szCs w:val="24"/>
        </w:rPr>
        <w:t>the</w:t>
      </w:r>
      <w:proofErr w:type="spellEnd"/>
      <w:r w:rsidRPr="00370E02">
        <w:rPr>
          <w:rFonts w:ascii="Times New Roman" w:hAnsi="Times New Roman" w:cs="Times New Roman"/>
          <w:b/>
          <w:bCs/>
          <w:i/>
          <w:iCs/>
          <w:color w:val="000000" w:themeColor="text1"/>
          <w:sz w:val="24"/>
          <w:szCs w:val="24"/>
        </w:rPr>
        <w:t xml:space="preserve"> </w:t>
      </w:r>
      <w:proofErr w:type="spellStart"/>
      <w:r w:rsidRPr="00370E02">
        <w:rPr>
          <w:rFonts w:ascii="Times New Roman" w:hAnsi="Times New Roman" w:cs="Times New Roman"/>
          <w:b/>
          <w:bCs/>
          <w:i/>
          <w:iCs/>
          <w:color w:val="000000" w:themeColor="text1"/>
          <w:sz w:val="24"/>
          <w:szCs w:val="24"/>
        </w:rPr>
        <w:t>Location</w:t>
      </w:r>
      <w:proofErr w:type="spellEnd"/>
      <w:r w:rsidRPr="00370E02">
        <w:rPr>
          <w:rFonts w:ascii="Times New Roman" w:hAnsi="Times New Roman" w:cs="Times New Roman"/>
          <w:b/>
          <w:bCs/>
          <w:i/>
          <w:iCs/>
          <w:color w:val="000000" w:themeColor="text1"/>
          <w:sz w:val="24"/>
          <w:szCs w:val="24"/>
        </w:rPr>
        <w:t xml:space="preserve"> </w:t>
      </w:r>
      <w:proofErr w:type="spellStart"/>
      <w:r w:rsidRPr="00370E02">
        <w:rPr>
          <w:rFonts w:ascii="Times New Roman" w:hAnsi="Times New Roman" w:cs="Times New Roman"/>
          <w:b/>
          <w:bCs/>
          <w:i/>
          <w:iCs/>
          <w:color w:val="000000" w:themeColor="text1"/>
          <w:sz w:val="24"/>
          <w:szCs w:val="24"/>
        </w:rPr>
        <w:t>of</w:t>
      </w:r>
      <w:proofErr w:type="spellEnd"/>
      <w:r w:rsidRPr="00370E02">
        <w:rPr>
          <w:rFonts w:ascii="Times New Roman" w:hAnsi="Times New Roman" w:cs="Times New Roman"/>
          <w:b/>
          <w:bCs/>
          <w:i/>
          <w:iCs/>
          <w:color w:val="000000" w:themeColor="text1"/>
          <w:sz w:val="24"/>
          <w:szCs w:val="24"/>
        </w:rPr>
        <w:t xml:space="preserve"> Industries</w:t>
      </w:r>
      <w:r w:rsidRPr="00370E02">
        <w:rPr>
          <w:rFonts w:ascii="Times New Roman" w:hAnsi="Times New Roman" w:cs="Times New Roman"/>
          <w:color w:val="000000" w:themeColor="text1"/>
          <w:sz w:val="24"/>
          <w:szCs w:val="24"/>
        </w:rPr>
        <w:t xml:space="preserve">. </w:t>
      </w:r>
      <w:r w:rsidRPr="00370E02">
        <w:rPr>
          <w:rFonts w:ascii="Times New Roman" w:hAnsi="Times New Roman" w:cs="Times New Roman"/>
          <w:i/>
          <w:iCs/>
          <w:color w:val="000000" w:themeColor="text1"/>
          <w:sz w:val="24"/>
          <w:szCs w:val="24"/>
        </w:rPr>
        <w:t xml:space="preserve">Chicago: </w:t>
      </w:r>
      <w:proofErr w:type="spellStart"/>
      <w:r w:rsidRPr="00370E02">
        <w:rPr>
          <w:rFonts w:ascii="Times New Roman" w:hAnsi="Times New Roman" w:cs="Times New Roman"/>
          <w:i/>
          <w:iCs/>
          <w:color w:val="000000" w:themeColor="text1"/>
          <w:sz w:val="24"/>
          <w:szCs w:val="24"/>
        </w:rPr>
        <w:t>University</w:t>
      </w:r>
      <w:proofErr w:type="spellEnd"/>
      <w:r w:rsidRPr="00370E02">
        <w:rPr>
          <w:rFonts w:ascii="Times New Roman" w:hAnsi="Times New Roman" w:cs="Times New Roman"/>
          <w:i/>
          <w:iCs/>
          <w:color w:val="000000" w:themeColor="text1"/>
          <w:sz w:val="24"/>
          <w:szCs w:val="24"/>
        </w:rPr>
        <w:t xml:space="preserve"> </w:t>
      </w:r>
      <w:proofErr w:type="spellStart"/>
      <w:r w:rsidRPr="00370E02">
        <w:rPr>
          <w:rFonts w:ascii="Times New Roman" w:hAnsi="Times New Roman" w:cs="Times New Roman"/>
          <w:i/>
          <w:iCs/>
          <w:color w:val="000000" w:themeColor="text1"/>
          <w:sz w:val="24"/>
          <w:szCs w:val="24"/>
        </w:rPr>
        <w:t>of</w:t>
      </w:r>
      <w:proofErr w:type="spellEnd"/>
      <w:r w:rsidRPr="00370E02">
        <w:rPr>
          <w:rFonts w:ascii="Times New Roman" w:hAnsi="Times New Roman" w:cs="Times New Roman"/>
          <w:i/>
          <w:iCs/>
          <w:color w:val="000000" w:themeColor="text1"/>
          <w:sz w:val="24"/>
          <w:szCs w:val="24"/>
        </w:rPr>
        <w:t xml:space="preserve"> Chicago Press</w:t>
      </w:r>
      <w:r w:rsidRPr="00370E02">
        <w:rPr>
          <w:rFonts w:ascii="Times New Roman" w:hAnsi="Times New Roman" w:cs="Times New Roman"/>
          <w:color w:val="000000" w:themeColor="text1"/>
          <w:sz w:val="24"/>
          <w:szCs w:val="24"/>
        </w:rPr>
        <w:t>, 1969.</w:t>
      </w:r>
    </w:p>
    <w:p w14:paraId="1F8F5952" w14:textId="77777777" w:rsidR="00264F7F" w:rsidRDefault="00264F7F">
      <w:pPr>
        <w:spacing w:after="0" w:line="240" w:lineRule="auto"/>
        <w:jc w:val="both"/>
        <w:rPr>
          <w:rFonts w:ascii="Times New Roman" w:hAnsi="Times New Roman" w:cs="Times New Roman"/>
          <w:sz w:val="24"/>
          <w:szCs w:val="24"/>
        </w:rPr>
      </w:pPr>
    </w:p>
    <w:p w14:paraId="59626572" w14:textId="77777777" w:rsidR="00264F7F" w:rsidRDefault="00264F7F">
      <w:pPr>
        <w:spacing w:after="0" w:line="240" w:lineRule="auto"/>
        <w:jc w:val="both"/>
        <w:rPr>
          <w:rFonts w:ascii="Times New Roman" w:hAnsi="Times New Roman" w:cs="Times New Roman"/>
          <w:sz w:val="24"/>
          <w:szCs w:val="24"/>
        </w:rPr>
      </w:pPr>
    </w:p>
    <w:p w14:paraId="2EDAAB45" w14:textId="77777777" w:rsidR="00264F7F" w:rsidRDefault="00264F7F">
      <w:pPr>
        <w:spacing w:after="0" w:line="360" w:lineRule="auto"/>
        <w:jc w:val="both"/>
        <w:rPr>
          <w:rFonts w:ascii="Times New Roman" w:hAnsi="Times New Roman" w:cs="Times New Roman"/>
          <w:sz w:val="24"/>
          <w:szCs w:val="24"/>
        </w:rPr>
      </w:pPr>
    </w:p>
    <w:p w14:paraId="15E93C47" w14:textId="77777777" w:rsidR="00264F7F" w:rsidRDefault="0000000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14:paraId="2FBA2AD6" w14:textId="77777777" w:rsidR="00264F7F" w:rsidRDefault="00264F7F">
      <w:pPr>
        <w:spacing w:after="0" w:line="360" w:lineRule="auto"/>
        <w:jc w:val="both"/>
        <w:rPr>
          <w:rFonts w:ascii="Times New Roman" w:hAnsi="Times New Roman" w:cs="Times New Roman"/>
          <w:sz w:val="24"/>
          <w:szCs w:val="24"/>
        </w:rPr>
      </w:pPr>
    </w:p>
    <w:p w14:paraId="140A32AE" w14:textId="77777777" w:rsidR="00264F7F" w:rsidRDefault="00264F7F">
      <w:pPr>
        <w:spacing w:after="0" w:line="360" w:lineRule="auto"/>
        <w:jc w:val="both"/>
        <w:rPr>
          <w:rFonts w:ascii="Times New Roman" w:hAnsi="Times New Roman" w:cs="Times New Roman"/>
          <w:sz w:val="24"/>
          <w:szCs w:val="24"/>
        </w:rPr>
      </w:pPr>
    </w:p>
    <w:p w14:paraId="6646F601" w14:textId="77777777" w:rsidR="00264F7F" w:rsidRDefault="00264F7F">
      <w:pPr>
        <w:spacing w:after="0" w:line="360" w:lineRule="auto"/>
        <w:jc w:val="both"/>
        <w:rPr>
          <w:rFonts w:ascii="Times New Roman" w:hAnsi="Times New Roman" w:cs="Times New Roman"/>
          <w:sz w:val="24"/>
          <w:szCs w:val="24"/>
        </w:rPr>
      </w:pPr>
    </w:p>
    <w:p w14:paraId="4B58786D" w14:textId="77777777" w:rsidR="00264F7F" w:rsidRDefault="00264F7F">
      <w:pPr>
        <w:spacing w:after="0" w:line="360" w:lineRule="auto"/>
        <w:jc w:val="both"/>
        <w:rPr>
          <w:rFonts w:ascii="Times New Roman" w:hAnsi="Times New Roman" w:cs="Times New Roman"/>
          <w:sz w:val="24"/>
          <w:szCs w:val="24"/>
        </w:rPr>
      </w:pPr>
    </w:p>
    <w:p w14:paraId="1C10D54D" w14:textId="77777777" w:rsidR="00264F7F" w:rsidRDefault="00264F7F">
      <w:pPr>
        <w:spacing w:after="0" w:line="360" w:lineRule="auto"/>
        <w:jc w:val="both"/>
        <w:rPr>
          <w:rFonts w:ascii="Times New Roman" w:hAnsi="Times New Roman" w:cs="Times New Roman"/>
          <w:sz w:val="24"/>
          <w:szCs w:val="24"/>
        </w:rPr>
      </w:pPr>
    </w:p>
    <w:p w14:paraId="4CD3AD6F" w14:textId="77777777" w:rsidR="00264F7F" w:rsidRDefault="00264F7F">
      <w:pPr>
        <w:spacing w:after="0" w:line="360" w:lineRule="auto"/>
        <w:jc w:val="both"/>
        <w:rPr>
          <w:rFonts w:ascii="Times New Roman" w:hAnsi="Times New Roman" w:cs="Times New Roman"/>
          <w:sz w:val="24"/>
          <w:szCs w:val="24"/>
        </w:rPr>
      </w:pPr>
    </w:p>
    <w:p w14:paraId="6FB15995" w14:textId="77777777" w:rsidR="00264F7F" w:rsidRDefault="00264F7F">
      <w:pPr>
        <w:spacing w:after="0" w:line="360" w:lineRule="auto"/>
        <w:jc w:val="both"/>
        <w:rPr>
          <w:rFonts w:ascii="Times New Roman" w:hAnsi="Times New Roman" w:cs="Times New Roman"/>
          <w:sz w:val="24"/>
          <w:szCs w:val="24"/>
        </w:rPr>
      </w:pPr>
    </w:p>
    <w:p w14:paraId="01C6964E" w14:textId="77777777" w:rsidR="00264F7F" w:rsidRDefault="00264F7F">
      <w:pPr>
        <w:tabs>
          <w:tab w:val="left" w:pos="4820"/>
        </w:tabs>
        <w:spacing w:after="0" w:line="360" w:lineRule="auto"/>
        <w:jc w:val="both"/>
        <w:rPr>
          <w:rFonts w:ascii="Times New Roman" w:hAnsi="Times New Roman" w:cs="Times New Roman"/>
          <w:sz w:val="24"/>
          <w:szCs w:val="24"/>
        </w:rPr>
      </w:pPr>
    </w:p>
    <w:p w14:paraId="3A80D47A" w14:textId="77777777" w:rsidR="00264F7F" w:rsidRDefault="00264F7F">
      <w:pPr>
        <w:spacing w:after="0" w:line="360" w:lineRule="auto"/>
        <w:jc w:val="both"/>
        <w:rPr>
          <w:rFonts w:ascii="Times New Roman" w:hAnsi="Times New Roman" w:cs="Times New Roman"/>
          <w:sz w:val="24"/>
          <w:szCs w:val="24"/>
        </w:rPr>
      </w:pPr>
    </w:p>
    <w:sectPr w:rsidR="00264F7F">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3AFCF" w14:textId="77777777" w:rsidR="0067493A" w:rsidRDefault="0067493A">
      <w:pPr>
        <w:spacing w:line="240" w:lineRule="auto"/>
      </w:pPr>
      <w:r>
        <w:separator/>
      </w:r>
    </w:p>
  </w:endnote>
  <w:endnote w:type="continuationSeparator" w:id="0">
    <w:p w14:paraId="00513AFF" w14:textId="77777777" w:rsidR="0067493A" w:rsidRDefault="006749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863D1" w14:textId="77777777" w:rsidR="00264F7F" w:rsidRDefault="00000000">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1" allowOverlap="1" wp14:anchorId="7888866D" wp14:editId="2899F065">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440A18CD" w14:textId="77777777" w:rsidR="00264F7F" w:rsidRDefault="00264F7F">
    <w:pPr>
      <w:pStyle w:val="Rodap"/>
      <w:jc w:val="both"/>
      <w:rPr>
        <w:rFonts w:ascii="Times New Roman" w:hAnsi="Times New Roman" w:cs="Times New Roman"/>
        <w:sz w:val="20"/>
        <w:szCs w:val="20"/>
      </w:rPr>
    </w:pPr>
  </w:p>
  <w:p w14:paraId="52663C13" w14:textId="77777777" w:rsidR="00264F7F" w:rsidRDefault="00000000">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14:paraId="371B894F" w14:textId="77777777" w:rsidR="00264F7F" w:rsidRDefault="00264F7F">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003BA" w14:textId="77777777" w:rsidR="0067493A" w:rsidRDefault="0067493A">
      <w:pPr>
        <w:spacing w:after="0"/>
      </w:pPr>
      <w:r>
        <w:separator/>
      </w:r>
    </w:p>
  </w:footnote>
  <w:footnote w:type="continuationSeparator" w:id="0">
    <w:p w14:paraId="74A04E9C" w14:textId="77777777" w:rsidR="0067493A" w:rsidRDefault="0067493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930A4" w14:textId="77777777" w:rsidR="00264F7F" w:rsidRDefault="00000000">
    <w:pPr>
      <w:pStyle w:val="Cabealho"/>
      <w:jc w:val="center"/>
    </w:pPr>
    <w:r>
      <w:rPr>
        <w:noProof/>
      </w:rPr>
      <mc:AlternateContent>
        <mc:Choice Requires="wps">
          <w:drawing>
            <wp:anchor distT="0" distB="0" distL="114300" distR="114300" simplePos="0" relativeHeight="251660288" behindDoc="1" locked="0" layoutInCell="1" allowOverlap="1" wp14:anchorId="145D51E7" wp14:editId="5B1BD8D8">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565AACB6" wp14:editId="6FA09E93">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7FF07325" wp14:editId="467E5B7C">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78FBE249" w14:textId="77777777" w:rsidR="00264F7F" w:rsidRDefault="00264F7F">
    <w:pPr>
      <w:pStyle w:val="Cabealho"/>
      <w:jc w:val="center"/>
    </w:pPr>
  </w:p>
  <w:p w14:paraId="7224FB22" w14:textId="77777777" w:rsidR="00264F7F" w:rsidRDefault="00264F7F">
    <w:pPr>
      <w:pStyle w:val="Cabealh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36C01"/>
    <w:rsid w:val="000854C4"/>
    <w:rsid w:val="000C34C4"/>
    <w:rsid w:val="000F2C33"/>
    <w:rsid w:val="000F31DB"/>
    <w:rsid w:val="0017619A"/>
    <w:rsid w:val="001B630A"/>
    <w:rsid w:val="00206A92"/>
    <w:rsid w:val="00241841"/>
    <w:rsid w:val="00255C43"/>
    <w:rsid w:val="00264F7F"/>
    <w:rsid w:val="00316EF0"/>
    <w:rsid w:val="00324D24"/>
    <w:rsid w:val="003518E9"/>
    <w:rsid w:val="00370E02"/>
    <w:rsid w:val="003B6F0C"/>
    <w:rsid w:val="00453055"/>
    <w:rsid w:val="00480745"/>
    <w:rsid w:val="004C578B"/>
    <w:rsid w:val="004D292A"/>
    <w:rsid w:val="00507F7E"/>
    <w:rsid w:val="00510F45"/>
    <w:rsid w:val="00593AE4"/>
    <w:rsid w:val="005A6BEC"/>
    <w:rsid w:val="005C23DB"/>
    <w:rsid w:val="005D204E"/>
    <w:rsid w:val="005E5290"/>
    <w:rsid w:val="006006AD"/>
    <w:rsid w:val="00614929"/>
    <w:rsid w:val="00625D04"/>
    <w:rsid w:val="00635E50"/>
    <w:rsid w:val="006440CE"/>
    <w:rsid w:val="0067493A"/>
    <w:rsid w:val="00746F8D"/>
    <w:rsid w:val="00752DB5"/>
    <w:rsid w:val="007A3A8D"/>
    <w:rsid w:val="007C3EAC"/>
    <w:rsid w:val="0085799B"/>
    <w:rsid w:val="008653EF"/>
    <w:rsid w:val="009348CC"/>
    <w:rsid w:val="00975359"/>
    <w:rsid w:val="009E3701"/>
    <w:rsid w:val="009F167A"/>
    <w:rsid w:val="00A12BDF"/>
    <w:rsid w:val="00A17506"/>
    <w:rsid w:val="00AE0485"/>
    <w:rsid w:val="00AE087A"/>
    <w:rsid w:val="00AF17DA"/>
    <w:rsid w:val="00B05E9F"/>
    <w:rsid w:val="00B12877"/>
    <w:rsid w:val="00B91C0F"/>
    <w:rsid w:val="00BC6D50"/>
    <w:rsid w:val="00C33AF5"/>
    <w:rsid w:val="00C87F92"/>
    <w:rsid w:val="00D04DAD"/>
    <w:rsid w:val="00D5257D"/>
    <w:rsid w:val="00D8696D"/>
    <w:rsid w:val="00DB1F61"/>
    <w:rsid w:val="00E50039"/>
    <w:rsid w:val="00EB55F3"/>
    <w:rsid w:val="00FC4F7E"/>
    <w:rsid w:val="00FD0683"/>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5C026"/>
  <w15:docId w15:val="{62494D4A-EA46-4823-A35E-61ABF725D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table" w:styleId="Tabelacomgrade">
    <w:name w:val="Table Grid"/>
    <w:basedOn w:val="Tabelanormal"/>
    <w:uiPriority w:val="39"/>
    <w:rsid w:val="00625D0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dc46d1eac1ef11ee/&#193;rea%20de%20Trabalho/ARTIGO%20LIMA/DADOS%202010/CL%20201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debri\OneDrive\&#193;rea%20de%20Trabalho\ARTIGO%20LIMA\DADOS%202010\CE%202010.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'[CL 2010.xlsx]Planilha1'!$J$29</c:f>
              <c:strCache>
                <c:ptCount val="1"/>
                <c:pt idx="0">
                  <c:v>2019</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'[CL 2010.xlsx]Planilha1'!$I$30:$I$34</c:f>
              <c:strCache>
                <c:ptCount val="5"/>
                <c:pt idx="0">
                  <c:v>Agropecuária</c:v>
                </c:pt>
                <c:pt idx="1">
                  <c:v>Serviços</c:v>
                </c:pt>
                <c:pt idx="2">
                  <c:v>Comércio</c:v>
                </c:pt>
                <c:pt idx="3">
                  <c:v>Contrução Civil</c:v>
                </c:pt>
                <c:pt idx="4">
                  <c:v>Indústria</c:v>
                </c:pt>
              </c:strCache>
            </c:strRef>
          </c:cat>
          <c:val>
            <c:numRef>
              <c:f>'[CL 2010.xlsx]Planilha1'!$J$30:$J$34</c:f>
              <c:numCache>
                <c:formatCode>0.00</c:formatCode>
                <c:ptCount val="5"/>
                <c:pt idx="0">
                  <c:v>0.55935649066562398</c:v>
                </c:pt>
                <c:pt idx="1">
                  <c:v>8.3645818967545471E-2</c:v>
                </c:pt>
                <c:pt idx="2">
                  <c:v>6.3836834064740292E-2</c:v>
                </c:pt>
                <c:pt idx="3">
                  <c:v>0.15113935856432473</c:v>
                </c:pt>
                <c:pt idx="4">
                  <c:v>0.29337333947088773</c:v>
                </c:pt>
              </c:numCache>
            </c:numRef>
          </c:val>
          <c:extLst>
            <c:ext xmlns:c16="http://schemas.microsoft.com/office/drawing/2014/chart" uri="{C3380CC4-5D6E-409C-BE32-E72D297353CC}">
              <c16:uniqueId val="{00000000-5EB5-4940-AE3D-58908B42F2AC}"/>
            </c:ext>
          </c:extLst>
        </c:ser>
        <c:ser>
          <c:idx val="1"/>
          <c:order val="1"/>
          <c:tx>
            <c:strRef>
              <c:f>'[CL 2010.xlsx]Planilha1'!$K$29</c:f>
              <c:strCache>
                <c:ptCount val="1"/>
                <c:pt idx="0">
                  <c:v>2010</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'[CL 2010.xlsx]Planilha1'!$I$30:$I$34</c:f>
              <c:strCache>
                <c:ptCount val="5"/>
                <c:pt idx="0">
                  <c:v>Agropecuária</c:v>
                </c:pt>
                <c:pt idx="1">
                  <c:v>Serviços</c:v>
                </c:pt>
                <c:pt idx="2">
                  <c:v>Comércio</c:v>
                </c:pt>
                <c:pt idx="3">
                  <c:v>Contrução Civil</c:v>
                </c:pt>
                <c:pt idx="4">
                  <c:v>Indústria</c:v>
                </c:pt>
              </c:strCache>
            </c:strRef>
          </c:cat>
          <c:val>
            <c:numRef>
              <c:f>'[CL 2010.xlsx]Planilha1'!$K$30:$K$34</c:f>
              <c:numCache>
                <c:formatCode>0.00</c:formatCode>
                <c:ptCount val="5"/>
                <c:pt idx="0">
                  <c:v>0.57830481438676606</c:v>
                </c:pt>
                <c:pt idx="1">
                  <c:v>9.5602626017991785E-2</c:v>
                </c:pt>
                <c:pt idx="2">
                  <c:v>7.2217046029963317E-2</c:v>
                </c:pt>
                <c:pt idx="3">
                  <c:v>0.20377831285152717</c:v>
                </c:pt>
                <c:pt idx="4">
                  <c:v>0.2791593582299523</c:v>
                </c:pt>
              </c:numCache>
            </c:numRef>
          </c:val>
          <c:extLst>
            <c:ext xmlns:c16="http://schemas.microsoft.com/office/drawing/2014/chart" uri="{C3380CC4-5D6E-409C-BE32-E72D297353CC}">
              <c16:uniqueId val="{00000001-5EB5-4940-AE3D-58908B42F2AC}"/>
            </c:ext>
          </c:extLst>
        </c:ser>
        <c:dLbls>
          <c:dLblPos val="outEnd"/>
          <c:showLegendKey val="0"/>
          <c:showVal val="1"/>
          <c:showCatName val="0"/>
          <c:showSerName val="0"/>
          <c:showPercent val="0"/>
          <c:showBubbleSize val="0"/>
        </c:dLbls>
        <c:gapWidth val="100"/>
        <c:overlap val="-40"/>
        <c:axId val="1320268063"/>
        <c:axId val="1320268479"/>
      </c:barChart>
      <c:catAx>
        <c:axId val="1320268063"/>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pt-BR"/>
                  <a:t>Setores da Economia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crossAx val="1320268479"/>
        <c:crosses val="autoZero"/>
        <c:auto val="1"/>
        <c:lblAlgn val="ctr"/>
        <c:lblOffset val="100"/>
        <c:noMultiLvlLbl val="0"/>
      </c:catAx>
      <c:valAx>
        <c:axId val="1320268479"/>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pt-BR"/>
                  <a:t>Valor do Coeficiente de</a:t>
                </a:r>
                <a:r>
                  <a:rPr lang="pt-BR" baseline="0"/>
                  <a:t> Localização</a:t>
                </a:r>
                <a:endParaRPr lang="pt-BR"/>
              </a:p>
            </c:rich>
          </c:tx>
          <c:layout>
            <c:manualLayout>
              <c:xMode val="edge"/>
              <c:yMode val="edge"/>
              <c:x val="0.35608330425958351"/>
              <c:y val="0.8405325386589040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crossAx val="1320268063"/>
        <c:crosses val="autoZero"/>
        <c:crossBetween val="between"/>
      </c:valAx>
      <c:spPr>
        <a:noFill/>
        <a:ln>
          <a:noFill/>
        </a:ln>
        <a:effectLst/>
      </c:spPr>
    </c:plotArea>
    <c:legend>
      <c:legendPos val="b"/>
      <c:layout>
        <c:manualLayout>
          <c:xMode val="edge"/>
          <c:yMode val="edge"/>
          <c:x val="0.42329358876835427"/>
          <c:y val="0.91594467475150321"/>
          <c:w val="0.14926198975569063"/>
          <c:h val="5.9502536753232048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rot="0"/>
    <a:lstStyle/>
    <a:p>
      <a:pPr>
        <a:defRPr sz="1000">
          <a:solidFill>
            <a:schemeClr val="tx1"/>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Planilha1!$B$47</c:f>
              <c:strCache>
                <c:ptCount val="1"/>
                <c:pt idx="0">
                  <c:v>2010</c:v>
                </c:pt>
              </c:strCache>
            </c:strRef>
          </c:tx>
          <c:spPr>
            <a:solidFill>
              <a:schemeClr val="accent1"/>
            </a:solidFill>
            <a:ln>
              <a:noFill/>
            </a:ln>
            <a:effectLst/>
          </c:spPr>
          <c:invertIfNegative val="0"/>
          <c:cat>
            <c:strRef>
              <c:f>Planilha1!$A$48:$A$66</c:f>
              <c:strCache>
                <c:ptCount val="19"/>
                <c:pt idx="0">
                  <c:v>Araripina</c:v>
                </c:pt>
                <c:pt idx="1">
                  <c:v>Salgueiro</c:v>
                </c:pt>
                <c:pt idx="2">
                  <c:v>Pajeú</c:v>
                </c:pt>
                <c:pt idx="3">
                  <c:v>Sertão do Moxotó</c:v>
                </c:pt>
                <c:pt idx="4">
                  <c:v>Petrolina</c:v>
                </c:pt>
                <c:pt idx="5">
                  <c:v>Itaparica</c:v>
                </c:pt>
                <c:pt idx="6">
                  <c:v>Vale do Ipanema</c:v>
                </c:pt>
                <c:pt idx="7">
                  <c:v>Vale do Ipojuca</c:v>
                </c:pt>
                <c:pt idx="8">
                  <c:v>Alto Capibaribe</c:v>
                </c:pt>
                <c:pt idx="9">
                  <c:v>Médio Capibaribe</c:v>
                </c:pt>
                <c:pt idx="10">
                  <c:v>Garanhuns</c:v>
                </c:pt>
                <c:pt idx="11">
                  <c:v>Brejo Pernambucano</c:v>
                </c:pt>
                <c:pt idx="12">
                  <c:v>Mata Setentrional Pernambucana</c:v>
                </c:pt>
                <c:pt idx="13">
                  <c:v>Vitória de Santo Antão</c:v>
                </c:pt>
                <c:pt idx="14">
                  <c:v>Mata Meridional Pernambucana</c:v>
                </c:pt>
                <c:pt idx="15">
                  <c:v>Itamaracá</c:v>
                </c:pt>
                <c:pt idx="16">
                  <c:v>Recife</c:v>
                </c:pt>
                <c:pt idx="17">
                  <c:v>Suape</c:v>
                </c:pt>
                <c:pt idx="18">
                  <c:v>Fernando de Noronha</c:v>
                </c:pt>
              </c:strCache>
            </c:strRef>
          </c:cat>
          <c:val>
            <c:numRef>
              <c:f>Planilha1!$B$48:$B$66</c:f>
              <c:numCache>
                <c:formatCode>0.00</c:formatCode>
                <c:ptCount val="19"/>
                <c:pt idx="0">
                  <c:v>0.11861065026298949</c:v>
                </c:pt>
                <c:pt idx="1">
                  <c:v>0.40257514220739182</c:v>
                </c:pt>
                <c:pt idx="2">
                  <c:v>0.12933407961843876</c:v>
                </c:pt>
                <c:pt idx="3">
                  <c:v>9.9252163626369919E-2</c:v>
                </c:pt>
                <c:pt idx="4">
                  <c:v>0.23098327551252609</c:v>
                </c:pt>
                <c:pt idx="5">
                  <c:v>0.15289799552036973</c:v>
                </c:pt>
                <c:pt idx="6">
                  <c:v>0.22778987430146699</c:v>
                </c:pt>
                <c:pt idx="7">
                  <c:v>0.12349015056160906</c:v>
                </c:pt>
                <c:pt idx="8">
                  <c:v>0.19222412781606071</c:v>
                </c:pt>
                <c:pt idx="9">
                  <c:v>0.13153355205825473</c:v>
                </c:pt>
                <c:pt idx="10">
                  <c:v>0.13450277108863937</c:v>
                </c:pt>
                <c:pt idx="11">
                  <c:v>0.25805676808995753</c:v>
                </c:pt>
                <c:pt idx="12">
                  <c:v>0.32197202959837523</c:v>
                </c:pt>
                <c:pt idx="13">
                  <c:v>0.20441247564265755</c:v>
                </c:pt>
                <c:pt idx="14">
                  <c:v>0.34964249801837799</c:v>
                </c:pt>
                <c:pt idx="15">
                  <c:v>0.34022861083167016</c:v>
                </c:pt>
                <c:pt idx="16">
                  <c:v>8.0901624999455829E-2</c:v>
                </c:pt>
                <c:pt idx="17">
                  <c:v>0.32672888725291449</c:v>
                </c:pt>
                <c:pt idx="18">
                  <c:v>0.21766577019533906</c:v>
                </c:pt>
              </c:numCache>
            </c:numRef>
          </c:val>
          <c:extLst>
            <c:ext xmlns:c16="http://schemas.microsoft.com/office/drawing/2014/chart" uri="{C3380CC4-5D6E-409C-BE32-E72D297353CC}">
              <c16:uniqueId val="{00000000-85C2-4465-9731-3C95F21B9BB4}"/>
            </c:ext>
          </c:extLst>
        </c:ser>
        <c:ser>
          <c:idx val="1"/>
          <c:order val="1"/>
          <c:tx>
            <c:strRef>
              <c:f>Planilha1!$C$47</c:f>
              <c:strCache>
                <c:ptCount val="1"/>
                <c:pt idx="0">
                  <c:v>2019</c:v>
                </c:pt>
              </c:strCache>
            </c:strRef>
          </c:tx>
          <c:spPr>
            <a:solidFill>
              <a:schemeClr val="accent2"/>
            </a:solidFill>
            <a:ln>
              <a:noFill/>
            </a:ln>
            <a:effectLst/>
          </c:spPr>
          <c:invertIfNegative val="0"/>
          <c:cat>
            <c:strRef>
              <c:f>Planilha1!$A$48:$A$66</c:f>
              <c:strCache>
                <c:ptCount val="19"/>
                <c:pt idx="0">
                  <c:v>Araripina</c:v>
                </c:pt>
                <c:pt idx="1">
                  <c:v>Salgueiro</c:v>
                </c:pt>
                <c:pt idx="2">
                  <c:v>Pajeú</c:v>
                </c:pt>
                <c:pt idx="3">
                  <c:v>Sertão do Moxotó</c:v>
                </c:pt>
                <c:pt idx="4">
                  <c:v>Petrolina</c:v>
                </c:pt>
                <c:pt idx="5">
                  <c:v>Itaparica</c:v>
                </c:pt>
                <c:pt idx="6">
                  <c:v>Vale do Ipanema</c:v>
                </c:pt>
                <c:pt idx="7">
                  <c:v>Vale do Ipojuca</c:v>
                </c:pt>
                <c:pt idx="8">
                  <c:v>Alto Capibaribe</c:v>
                </c:pt>
                <c:pt idx="9">
                  <c:v>Médio Capibaribe</c:v>
                </c:pt>
                <c:pt idx="10">
                  <c:v>Garanhuns</c:v>
                </c:pt>
                <c:pt idx="11">
                  <c:v>Brejo Pernambucano</c:v>
                </c:pt>
                <c:pt idx="12">
                  <c:v>Mata Setentrional Pernambucana</c:v>
                </c:pt>
                <c:pt idx="13">
                  <c:v>Vitória de Santo Antão</c:v>
                </c:pt>
                <c:pt idx="14">
                  <c:v>Mata Meridional Pernambucana</c:v>
                </c:pt>
                <c:pt idx="15">
                  <c:v>Itamaracá</c:v>
                </c:pt>
                <c:pt idx="16">
                  <c:v>Recife</c:v>
                </c:pt>
                <c:pt idx="17">
                  <c:v>Suape</c:v>
                </c:pt>
                <c:pt idx="18">
                  <c:v>Fernando de Noronha</c:v>
                </c:pt>
              </c:strCache>
            </c:strRef>
          </c:cat>
          <c:val>
            <c:numRef>
              <c:f>Planilha1!$C$48:$C$66</c:f>
              <c:numCache>
                <c:formatCode>0.00</c:formatCode>
                <c:ptCount val="19"/>
                <c:pt idx="0">
                  <c:v>4.8609010656648327E-2</c:v>
                </c:pt>
                <c:pt idx="1">
                  <c:v>0.12372474612418059</c:v>
                </c:pt>
                <c:pt idx="2">
                  <c:v>9.3970025664300211E-2</c:v>
                </c:pt>
                <c:pt idx="3">
                  <c:v>0.14358847457048102</c:v>
                </c:pt>
                <c:pt idx="4">
                  <c:v>0.22702705688820285</c:v>
                </c:pt>
                <c:pt idx="5">
                  <c:v>0.13131172846188682</c:v>
                </c:pt>
                <c:pt idx="6">
                  <c:v>0.19192019421467846</c:v>
                </c:pt>
                <c:pt idx="7">
                  <c:v>0.10037647022810299</c:v>
                </c:pt>
                <c:pt idx="8">
                  <c:v>0.20395308621383809</c:v>
                </c:pt>
                <c:pt idx="9">
                  <c:v>6.1090477330434462E-2</c:v>
                </c:pt>
                <c:pt idx="10">
                  <c:v>7.6595293197264963E-2</c:v>
                </c:pt>
                <c:pt idx="11">
                  <c:v>7.5205646555407374E-2</c:v>
                </c:pt>
                <c:pt idx="12">
                  <c:v>0.29864861135247245</c:v>
                </c:pt>
                <c:pt idx="13">
                  <c:v>0.25229586074465965</c:v>
                </c:pt>
                <c:pt idx="14">
                  <c:v>0.24401784644813224</c:v>
                </c:pt>
                <c:pt idx="15">
                  <c:v>0.31056543445047619</c:v>
                </c:pt>
                <c:pt idx="16">
                  <c:v>9.1566837135120288E-2</c:v>
                </c:pt>
                <c:pt idx="17">
                  <c:v>0.12720693563117907</c:v>
                </c:pt>
                <c:pt idx="18">
                  <c:v>0.22236236299640791</c:v>
                </c:pt>
              </c:numCache>
            </c:numRef>
          </c:val>
          <c:extLst>
            <c:ext xmlns:c16="http://schemas.microsoft.com/office/drawing/2014/chart" uri="{C3380CC4-5D6E-409C-BE32-E72D297353CC}">
              <c16:uniqueId val="{00000001-85C2-4465-9731-3C95F21B9BB4}"/>
            </c:ext>
          </c:extLst>
        </c:ser>
        <c:dLbls>
          <c:showLegendKey val="0"/>
          <c:showVal val="0"/>
          <c:showCatName val="0"/>
          <c:showSerName val="0"/>
          <c:showPercent val="0"/>
          <c:showBubbleSize val="0"/>
        </c:dLbls>
        <c:gapWidth val="219"/>
        <c:overlap val="-27"/>
        <c:axId val="2047544896"/>
        <c:axId val="2047545312"/>
      </c:barChart>
      <c:catAx>
        <c:axId val="2047544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crossAx val="2047545312"/>
        <c:crosses val="autoZero"/>
        <c:auto val="1"/>
        <c:lblAlgn val="ctr"/>
        <c:lblOffset val="100"/>
        <c:noMultiLvlLbl val="0"/>
      </c:catAx>
      <c:valAx>
        <c:axId val="20475453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crossAx val="20475448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sz="1000">
          <a:solidFill>
            <a:schemeClr val="tx1"/>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24</Pages>
  <Words>7447</Words>
  <Characters>40218</Characters>
  <Application>Microsoft Office Word</Application>
  <DocSecurity>0</DocSecurity>
  <Lines>335</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DÉBORA THAÍS BACURAU GOMES</cp:lastModifiedBy>
  <cp:revision>36</cp:revision>
  <cp:lastPrinted>2022-08-15T18:58:00Z</cp:lastPrinted>
  <dcterms:created xsi:type="dcterms:W3CDTF">2022-05-20T13:04:00Z</dcterms:created>
  <dcterms:modified xsi:type="dcterms:W3CDTF">2022-08-15T19:11:00Z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