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CCFA" w14:textId="6A4AC199" w:rsidR="004C77A0" w:rsidRPr="0093288E" w:rsidRDefault="004C77A0" w:rsidP="004C77A0">
      <w:pPr>
        <w:spacing w:line="360" w:lineRule="auto"/>
        <w:jc w:val="center"/>
        <w:rPr>
          <w:rFonts w:ascii="Times New Roman" w:eastAsia="Arial" w:hAnsi="Times New Roman" w:cs="Times New Roman"/>
          <w:i/>
          <w:sz w:val="24"/>
          <w:szCs w:val="24"/>
        </w:rPr>
      </w:pPr>
      <w:r w:rsidRPr="0093288E">
        <w:rPr>
          <w:rFonts w:ascii="Times New Roman" w:eastAsia="Arial" w:hAnsi="Times New Roman" w:cs="Times New Roman"/>
          <w:b/>
          <w:sz w:val="28"/>
          <w:szCs w:val="28"/>
        </w:rPr>
        <w:t xml:space="preserve">A DIMENSÃO REGIONAL NO </w:t>
      </w:r>
      <w:r>
        <w:rPr>
          <w:rFonts w:ascii="Times New Roman" w:eastAsia="Arial" w:hAnsi="Times New Roman" w:cs="Times New Roman"/>
          <w:b/>
          <w:sz w:val="28"/>
          <w:szCs w:val="28"/>
        </w:rPr>
        <w:t xml:space="preserve">DESENVOLVIMENTO DA NAÇÃO: Impactos das políticas públicas regionais </w:t>
      </w:r>
      <w:r w:rsidRPr="00EC7E3C">
        <w:rPr>
          <w:rFonts w:ascii="Times New Roman" w:eastAsia="Arial" w:hAnsi="Times New Roman" w:cs="Times New Roman"/>
          <w:b/>
          <w:i/>
          <w:iCs/>
          <w:sz w:val="28"/>
          <w:szCs w:val="28"/>
        </w:rPr>
        <w:t>implícitas</w:t>
      </w:r>
      <w:r>
        <w:rPr>
          <w:rFonts w:ascii="Times New Roman" w:eastAsia="Arial" w:hAnsi="Times New Roman" w:cs="Times New Roman"/>
          <w:b/>
          <w:sz w:val="28"/>
          <w:szCs w:val="28"/>
        </w:rPr>
        <w:t xml:space="preserve"> e </w:t>
      </w:r>
      <w:r w:rsidRPr="00EC7E3C">
        <w:rPr>
          <w:rFonts w:ascii="Times New Roman" w:eastAsia="Arial" w:hAnsi="Times New Roman" w:cs="Times New Roman"/>
          <w:b/>
          <w:i/>
          <w:iCs/>
          <w:sz w:val="28"/>
          <w:szCs w:val="28"/>
        </w:rPr>
        <w:t>explícitas</w:t>
      </w:r>
      <w:r>
        <w:rPr>
          <w:rFonts w:ascii="Times New Roman" w:eastAsia="Arial" w:hAnsi="Times New Roman" w:cs="Times New Roman"/>
          <w:b/>
          <w:sz w:val="28"/>
          <w:szCs w:val="28"/>
        </w:rPr>
        <w:t xml:space="preserve"> no século XXI</w:t>
      </w:r>
    </w:p>
    <w:p w14:paraId="2C5D77AD" w14:textId="77777777" w:rsidR="004C77A0" w:rsidRDefault="004C77A0" w:rsidP="004C77A0">
      <w:pPr>
        <w:spacing w:after="0" w:line="360" w:lineRule="auto"/>
        <w:jc w:val="both"/>
        <w:rPr>
          <w:rFonts w:ascii="Times New Roman" w:eastAsia="Arial" w:hAnsi="Times New Roman" w:cs="Times New Roman"/>
          <w:b/>
          <w:sz w:val="24"/>
          <w:szCs w:val="24"/>
        </w:rPr>
      </w:pPr>
      <w:r>
        <w:rPr>
          <w:rFonts w:ascii="Times New Roman" w:eastAsia="Arial" w:hAnsi="Times New Roman" w:cs="Times New Roman"/>
          <w:b/>
          <w:sz w:val="24"/>
          <w:szCs w:val="24"/>
        </w:rPr>
        <w:t>RESUMO</w:t>
      </w:r>
    </w:p>
    <w:p w14:paraId="18C4EE0F" w14:textId="60829DE5" w:rsidR="004C77A0" w:rsidRDefault="004C77A0" w:rsidP="004C77A0">
      <w:pPr>
        <w:spacing w:line="360" w:lineRule="auto"/>
        <w:jc w:val="both"/>
        <w:rPr>
          <w:rFonts w:ascii="Times New Roman" w:eastAsia="Arial" w:hAnsi="Times New Roman" w:cs="Times New Roman"/>
          <w:sz w:val="24"/>
          <w:szCs w:val="24"/>
        </w:rPr>
      </w:pPr>
      <w:r>
        <w:rPr>
          <w:rFonts w:ascii="Times New Roman" w:eastAsia="Arial" w:hAnsi="Times New Roman" w:cs="Times New Roman"/>
          <w:bCs/>
          <w:sz w:val="24"/>
          <w:szCs w:val="24"/>
        </w:rPr>
        <w:t>A complexidade e diversidade de desafios e cenários que envolvem a questão regional brasileira leva, muitas vezes, a debates no âmbito acadêmico e da gestão pública que se desconectam ou minoram a dimensão macroeconômica do país frente à conjuntura global. O presente artigo busca fazer um esforço de articulação do cenário político e macroeconômico dos últimos vinte anos e as interações daí derivadas com as políticas públicas de corte regional. Destaca que, d</w:t>
      </w:r>
      <w:r w:rsidRPr="0093288E">
        <w:rPr>
          <w:rFonts w:ascii="Times New Roman" w:eastAsia="Arial" w:hAnsi="Times New Roman" w:cs="Times New Roman"/>
          <w:sz w:val="24"/>
          <w:szCs w:val="24"/>
        </w:rPr>
        <w:t>escasada</w:t>
      </w:r>
      <w:r>
        <w:rPr>
          <w:rFonts w:ascii="Times New Roman" w:eastAsia="Arial" w:hAnsi="Times New Roman" w:cs="Times New Roman"/>
          <w:sz w:val="24"/>
          <w:szCs w:val="24"/>
        </w:rPr>
        <w:t>s</w:t>
      </w:r>
      <w:r w:rsidRPr="0093288E">
        <w:rPr>
          <w:rFonts w:ascii="Times New Roman" w:eastAsia="Arial" w:hAnsi="Times New Roman" w:cs="Times New Roman"/>
          <w:sz w:val="24"/>
          <w:szCs w:val="24"/>
        </w:rPr>
        <w:t xml:space="preserve"> dos instrumentos de coordenação política e econômica</w:t>
      </w:r>
      <w:r>
        <w:rPr>
          <w:rFonts w:ascii="Times New Roman" w:eastAsia="Arial" w:hAnsi="Times New Roman" w:cs="Times New Roman"/>
          <w:sz w:val="24"/>
          <w:szCs w:val="24"/>
        </w:rPr>
        <w:t xml:space="preserve"> de alto nível decisório </w:t>
      </w:r>
      <w:r w:rsidRPr="0093288E">
        <w:rPr>
          <w:rFonts w:ascii="Times New Roman" w:eastAsia="Arial" w:hAnsi="Times New Roman" w:cs="Times New Roman"/>
          <w:sz w:val="24"/>
          <w:szCs w:val="24"/>
        </w:rPr>
        <w:t>e com clara orientação ao desenvolvimento nacional, as políticas de corte regional tendem a reduzir-se a ações circunstanciais e frágeis de “inclusão produtiva”, de expressão tipicamente atomizada e pouco efetiva. Esse perfil de intervenção desnatura o sentido de abrangência, perenidade e transformação das estruturas econômicas</w:t>
      </w:r>
      <w:r>
        <w:rPr>
          <w:rFonts w:ascii="Times New Roman" w:eastAsia="Arial" w:hAnsi="Times New Roman" w:cs="Times New Roman"/>
          <w:sz w:val="24"/>
          <w:szCs w:val="24"/>
        </w:rPr>
        <w:t xml:space="preserve"> nacionais que se integram regionalmente</w:t>
      </w:r>
      <w:r w:rsidRPr="0093288E">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sendo estas as características </w:t>
      </w:r>
      <w:r w:rsidRPr="0093288E">
        <w:rPr>
          <w:rFonts w:ascii="Times New Roman" w:eastAsia="Arial" w:hAnsi="Times New Roman" w:cs="Times New Roman"/>
          <w:sz w:val="24"/>
          <w:szCs w:val="24"/>
        </w:rPr>
        <w:t>esperad</w:t>
      </w:r>
      <w:r>
        <w:rPr>
          <w:rFonts w:ascii="Times New Roman" w:eastAsia="Arial" w:hAnsi="Times New Roman" w:cs="Times New Roman"/>
          <w:sz w:val="24"/>
          <w:szCs w:val="24"/>
        </w:rPr>
        <w:t>as</w:t>
      </w:r>
      <w:r w:rsidRPr="0093288E">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das </w:t>
      </w:r>
      <w:r w:rsidRPr="0093288E">
        <w:rPr>
          <w:rFonts w:ascii="Times New Roman" w:eastAsia="Arial" w:hAnsi="Times New Roman" w:cs="Times New Roman"/>
          <w:sz w:val="24"/>
          <w:szCs w:val="24"/>
        </w:rPr>
        <w:t xml:space="preserve">políticas </w:t>
      </w:r>
      <w:r w:rsidR="0098067F">
        <w:rPr>
          <w:rFonts w:ascii="Times New Roman" w:eastAsia="Arial" w:hAnsi="Times New Roman" w:cs="Times New Roman"/>
          <w:sz w:val="24"/>
          <w:szCs w:val="24"/>
        </w:rPr>
        <w:t>para o</w:t>
      </w:r>
      <w:r>
        <w:rPr>
          <w:rFonts w:ascii="Times New Roman" w:eastAsia="Arial" w:hAnsi="Times New Roman" w:cs="Times New Roman"/>
          <w:sz w:val="24"/>
          <w:szCs w:val="24"/>
        </w:rPr>
        <w:t xml:space="preserve"> desenvolvimento</w:t>
      </w:r>
      <w:r w:rsidRPr="0093288E">
        <w:rPr>
          <w:rFonts w:ascii="Times New Roman" w:eastAsia="Arial" w:hAnsi="Times New Roman" w:cs="Times New Roman"/>
          <w:sz w:val="24"/>
          <w:szCs w:val="24"/>
        </w:rPr>
        <w:t>.</w:t>
      </w:r>
    </w:p>
    <w:p w14:paraId="55ED707E" w14:textId="77777777" w:rsidR="004C77A0" w:rsidRPr="00BF7D05" w:rsidRDefault="004C77A0" w:rsidP="004C77A0">
      <w:pPr>
        <w:spacing w:line="360" w:lineRule="auto"/>
        <w:jc w:val="both"/>
        <w:rPr>
          <w:rFonts w:ascii="Times New Roman" w:eastAsia="Arial" w:hAnsi="Times New Roman" w:cs="Times New Roman"/>
          <w:b/>
          <w:bCs/>
          <w:sz w:val="24"/>
          <w:szCs w:val="24"/>
        </w:rPr>
      </w:pPr>
      <w:r>
        <w:rPr>
          <w:rFonts w:ascii="Times New Roman" w:eastAsia="Arial" w:hAnsi="Times New Roman" w:cs="Times New Roman"/>
          <w:b/>
          <w:bCs/>
          <w:sz w:val="24"/>
          <w:szCs w:val="24"/>
        </w:rPr>
        <w:t xml:space="preserve">Palavras-chave: </w:t>
      </w:r>
      <w:r w:rsidRPr="00BE78A4">
        <w:rPr>
          <w:rFonts w:ascii="Times New Roman" w:eastAsia="Arial" w:hAnsi="Times New Roman" w:cs="Times New Roman"/>
          <w:sz w:val="24"/>
          <w:szCs w:val="24"/>
        </w:rPr>
        <w:t>Desenvolvimento Regional; Desenvolvimento Econômico; Políticas Públicas; Planejamento Econômico.</w:t>
      </w:r>
    </w:p>
    <w:p w14:paraId="110170B6" w14:textId="77777777" w:rsidR="004C77A0" w:rsidRPr="00C21092" w:rsidRDefault="004C77A0" w:rsidP="004C77A0">
      <w:pPr>
        <w:spacing w:line="360" w:lineRule="auto"/>
        <w:jc w:val="both"/>
        <w:rPr>
          <w:rFonts w:ascii="Times New Roman" w:eastAsia="Arial" w:hAnsi="Times New Roman" w:cs="Times New Roman"/>
          <w:bCs/>
          <w:sz w:val="24"/>
          <w:szCs w:val="24"/>
        </w:rPr>
      </w:pPr>
      <w:r>
        <w:rPr>
          <w:rFonts w:ascii="Times New Roman" w:eastAsia="Arial" w:hAnsi="Times New Roman" w:cs="Times New Roman"/>
          <w:b/>
          <w:sz w:val="24"/>
          <w:szCs w:val="24"/>
        </w:rPr>
        <w:t xml:space="preserve">GT no IV SEDRES: </w:t>
      </w:r>
      <w:r>
        <w:rPr>
          <w:rFonts w:ascii="Times New Roman" w:eastAsia="Arial" w:hAnsi="Times New Roman" w:cs="Times New Roman"/>
          <w:bCs/>
          <w:sz w:val="24"/>
          <w:szCs w:val="24"/>
        </w:rPr>
        <w:t>Instituições, Governança Territorial e Desenvolvimento.</w:t>
      </w:r>
    </w:p>
    <w:p w14:paraId="7F4DAEE9" w14:textId="77777777" w:rsidR="004C77A0" w:rsidRPr="0093288E" w:rsidRDefault="004C77A0" w:rsidP="004C77A0">
      <w:pPr>
        <w:spacing w:line="360" w:lineRule="auto"/>
        <w:jc w:val="both"/>
        <w:rPr>
          <w:rFonts w:ascii="Times New Roman" w:eastAsia="Arial" w:hAnsi="Times New Roman" w:cs="Times New Roman"/>
          <w:b/>
          <w:sz w:val="24"/>
          <w:szCs w:val="24"/>
        </w:rPr>
      </w:pPr>
      <w:r>
        <w:rPr>
          <w:rFonts w:ascii="Times New Roman" w:eastAsia="Arial" w:hAnsi="Times New Roman" w:cs="Times New Roman"/>
          <w:b/>
          <w:sz w:val="24"/>
          <w:szCs w:val="24"/>
        </w:rPr>
        <w:t>INTRODUÇÃO</w:t>
      </w:r>
    </w:p>
    <w:p w14:paraId="623C14B5" w14:textId="77777777" w:rsidR="004C77A0" w:rsidRPr="0093288E" w:rsidRDefault="004C77A0" w:rsidP="004C77A0">
      <w:pPr>
        <w:spacing w:line="360" w:lineRule="auto"/>
        <w:ind w:firstLine="709"/>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O presente </w:t>
      </w:r>
      <w:r>
        <w:rPr>
          <w:rFonts w:ascii="Times New Roman" w:eastAsia="Arial" w:hAnsi="Times New Roman" w:cs="Times New Roman"/>
          <w:sz w:val="24"/>
          <w:szCs w:val="24"/>
        </w:rPr>
        <w:t>artigo</w:t>
      </w:r>
      <w:r w:rsidRPr="0093288E">
        <w:rPr>
          <w:rFonts w:ascii="Times New Roman" w:eastAsia="Arial" w:hAnsi="Times New Roman" w:cs="Times New Roman"/>
          <w:sz w:val="24"/>
          <w:szCs w:val="24"/>
        </w:rPr>
        <w:t xml:space="preserve"> traz uma leitura sobre os desafios e potencialidades que a questão regional suscita para a elaboração de uma estratégia nacional de desenvolvimento. Busca fazê-lo de forma objetiva e reflexiva, sem abandonar</w:t>
      </w:r>
      <w:r>
        <w:rPr>
          <w:rFonts w:ascii="Times New Roman" w:eastAsia="Arial" w:hAnsi="Times New Roman" w:cs="Times New Roman"/>
          <w:sz w:val="24"/>
          <w:szCs w:val="24"/>
        </w:rPr>
        <w:t xml:space="preserve"> o</w:t>
      </w:r>
      <w:r w:rsidRPr="0093288E">
        <w:rPr>
          <w:rFonts w:ascii="Times New Roman" w:eastAsia="Arial" w:hAnsi="Times New Roman" w:cs="Times New Roman"/>
          <w:sz w:val="24"/>
          <w:szCs w:val="24"/>
        </w:rPr>
        <w:t xml:space="preserve"> senso crítico nem deixar de recorrer aos condicionantes históricos que explicam a atual letargia em que se encontram as políticas públicas de corte </w:t>
      </w:r>
      <w:r>
        <w:rPr>
          <w:rFonts w:ascii="Times New Roman" w:eastAsia="Arial" w:hAnsi="Times New Roman" w:cs="Times New Roman"/>
          <w:sz w:val="24"/>
          <w:szCs w:val="24"/>
        </w:rPr>
        <w:t xml:space="preserve">explicitamente </w:t>
      </w:r>
      <w:r w:rsidRPr="0093288E">
        <w:rPr>
          <w:rFonts w:ascii="Times New Roman" w:eastAsia="Arial" w:hAnsi="Times New Roman" w:cs="Times New Roman"/>
          <w:sz w:val="24"/>
          <w:szCs w:val="24"/>
        </w:rPr>
        <w:t>territorial.</w:t>
      </w:r>
    </w:p>
    <w:p w14:paraId="35F34B88" w14:textId="77777777" w:rsidR="004C77A0" w:rsidRPr="0093288E" w:rsidRDefault="004C77A0" w:rsidP="004C77A0">
      <w:pPr>
        <w:spacing w:line="360" w:lineRule="auto"/>
        <w:ind w:firstLine="709"/>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Na primeira seção</w:t>
      </w:r>
      <w:r>
        <w:rPr>
          <w:rFonts w:ascii="Times New Roman" w:eastAsia="Arial" w:hAnsi="Times New Roman" w:cs="Times New Roman"/>
          <w:sz w:val="24"/>
          <w:szCs w:val="24"/>
        </w:rPr>
        <w:t xml:space="preserve">, </w:t>
      </w:r>
      <w:r>
        <w:rPr>
          <w:rFonts w:ascii="Times New Roman" w:eastAsia="Arial" w:hAnsi="Times New Roman" w:cs="Times New Roman"/>
          <w:i/>
          <w:iCs/>
          <w:sz w:val="24"/>
          <w:szCs w:val="24"/>
        </w:rPr>
        <w:t>Pertinências e limites das políticas orientadas ao desenvolvimento regional</w:t>
      </w:r>
      <w:r w:rsidRPr="0093288E">
        <w:rPr>
          <w:rFonts w:ascii="Times New Roman" w:eastAsia="Arial" w:hAnsi="Times New Roman" w:cs="Times New Roman"/>
          <w:sz w:val="24"/>
          <w:szCs w:val="24"/>
        </w:rPr>
        <w:t xml:space="preserve">, apresenta-se a pertinência do debate </w:t>
      </w:r>
      <w:r>
        <w:rPr>
          <w:rFonts w:ascii="Times New Roman" w:eastAsia="Arial" w:hAnsi="Times New Roman" w:cs="Times New Roman"/>
          <w:sz w:val="24"/>
          <w:szCs w:val="24"/>
        </w:rPr>
        <w:t xml:space="preserve">sobre o território </w:t>
      </w:r>
      <w:r w:rsidRPr="0093288E">
        <w:rPr>
          <w:rFonts w:ascii="Times New Roman" w:eastAsia="Arial" w:hAnsi="Times New Roman" w:cs="Times New Roman"/>
          <w:sz w:val="24"/>
          <w:szCs w:val="24"/>
        </w:rPr>
        <w:t xml:space="preserve">e seu condicionamento às </w:t>
      </w:r>
      <w:r w:rsidRPr="0093288E">
        <w:rPr>
          <w:rFonts w:ascii="Times New Roman" w:eastAsia="Arial" w:hAnsi="Times New Roman" w:cs="Times New Roman"/>
          <w:sz w:val="24"/>
          <w:szCs w:val="24"/>
        </w:rPr>
        <w:lastRenderedPageBreak/>
        <w:t xml:space="preserve">políticas macroeconômicas como determinante de seu maior ou menor êxito. Em seguida, </w:t>
      </w:r>
      <w:r>
        <w:rPr>
          <w:rFonts w:ascii="Times New Roman" w:eastAsia="Arial" w:hAnsi="Times New Roman" w:cs="Times New Roman"/>
          <w:sz w:val="24"/>
          <w:szCs w:val="24"/>
        </w:rPr>
        <w:t xml:space="preserve">em </w:t>
      </w:r>
      <w:r w:rsidRPr="0095042B">
        <w:rPr>
          <w:rFonts w:ascii="Times New Roman" w:eastAsia="Arial" w:hAnsi="Times New Roman" w:cs="Times New Roman"/>
          <w:bCs/>
          <w:i/>
          <w:iCs/>
          <w:sz w:val="24"/>
          <w:szCs w:val="24"/>
        </w:rPr>
        <w:t>As políticas regionais implícitas e explícitas no século XXI</w:t>
      </w:r>
      <w:r>
        <w:rPr>
          <w:rFonts w:ascii="Times New Roman" w:eastAsia="Arial" w:hAnsi="Times New Roman" w:cs="Times New Roman"/>
          <w:bCs/>
          <w:sz w:val="24"/>
          <w:szCs w:val="24"/>
        </w:rPr>
        <w:t>,</w:t>
      </w:r>
      <w:r w:rsidRPr="0095042B">
        <w:rPr>
          <w:rFonts w:ascii="Times New Roman" w:eastAsia="Arial" w:hAnsi="Times New Roman" w:cs="Times New Roman"/>
          <w:bCs/>
          <w:i/>
          <w:iCs/>
          <w:sz w:val="24"/>
          <w:szCs w:val="24"/>
        </w:rPr>
        <w:t xml:space="preserve"> </w:t>
      </w:r>
      <w:r>
        <w:rPr>
          <w:rFonts w:ascii="Times New Roman" w:eastAsia="Arial" w:hAnsi="Times New Roman" w:cs="Times New Roman"/>
          <w:sz w:val="24"/>
          <w:szCs w:val="24"/>
        </w:rPr>
        <w:t xml:space="preserve">problematiza-se </w:t>
      </w:r>
      <w:r w:rsidRPr="0093288E">
        <w:rPr>
          <w:rFonts w:ascii="Times New Roman" w:eastAsia="Arial" w:hAnsi="Times New Roman" w:cs="Times New Roman"/>
          <w:sz w:val="24"/>
          <w:szCs w:val="24"/>
        </w:rPr>
        <w:t xml:space="preserve">os instrumentos tradicionais de convergência econômica </w:t>
      </w:r>
      <w:r>
        <w:rPr>
          <w:rFonts w:ascii="Times New Roman" w:eastAsia="Arial" w:hAnsi="Times New Roman" w:cs="Times New Roman"/>
          <w:sz w:val="24"/>
          <w:szCs w:val="24"/>
        </w:rPr>
        <w:t xml:space="preserve">regional </w:t>
      </w:r>
      <w:r w:rsidRPr="0093288E">
        <w:rPr>
          <w:rFonts w:ascii="Times New Roman" w:eastAsia="Arial" w:hAnsi="Times New Roman" w:cs="Times New Roman"/>
          <w:sz w:val="24"/>
          <w:szCs w:val="24"/>
        </w:rPr>
        <w:t>empenhados pela política pública</w:t>
      </w:r>
      <w:r>
        <w:rPr>
          <w:rFonts w:ascii="Times New Roman" w:eastAsia="Arial" w:hAnsi="Times New Roman" w:cs="Times New Roman"/>
          <w:sz w:val="24"/>
          <w:szCs w:val="24"/>
        </w:rPr>
        <w:t xml:space="preserve">, algumas originadas em </w:t>
      </w:r>
      <w:r w:rsidRPr="0093288E">
        <w:rPr>
          <w:rFonts w:ascii="Times New Roman" w:eastAsia="Arial" w:hAnsi="Times New Roman" w:cs="Times New Roman"/>
          <w:sz w:val="24"/>
          <w:szCs w:val="24"/>
        </w:rPr>
        <w:t>meados do século passado. Uma reflexão sobre a efetividade destas na contemporaneidade é apresentada a fim de convidar à reflexão sobre o cumprimento dos objetivos assumidos por tais políticas.</w:t>
      </w:r>
    </w:p>
    <w:p w14:paraId="51A569D6" w14:textId="77777777" w:rsidR="004C77A0" w:rsidRPr="0010186B" w:rsidRDefault="004C77A0" w:rsidP="004C77A0">
      <w:pPr>
        <w:spacing w:line="360" w:lineRule="auto"/>
        <w:jc w:val="both"/>
        <w:rPr>
          <w:rFonts w:ascii="Times New Roman" w:eastAsia="Arial" w:hAnsi="Times New Roman" w:cs="Times New Roman"/>
          <w:b/>
          <w:sz w:val="24"/>
          <w:szCs w:val="24"/>
        </w:rPr>
      </w:pPr>
      <w:r w:rsidRPr="0093288E">
        <w:rPr>
          <w:rFonts w:ascii="Times New Roman" w:eastAsia="Arial" w:hAnsi="Times New Roman" w:cs="Times New Roman"/>
          <w:sz w:val="24"/>
          <w:szCs w:val="24"/>
        </w:rPr>
        <w:t>Na terceira seção,</w:t>
      </w:r>
      <w:r>
        <w:rPr>
          <w:rFonts w:ascii="Times New Roman" w:eastAsia="Arial" w:hAnsi="Times New Roman" w:cs="Times New Roman"/>
          <w:sz w:val="24"/>
          <w:szCs w:val="24"/>
        </w:rPr>
        <w:t xml:space="preserve"> </w:t>
      </w:r>
      <w:r w:rsidRPr="0010186B">
        <w:rPr>
          <w:rFonts w:ascii="Times New Roman" w:eastAsia="Arial" w:hAnsi="Times New Roman" w:cs="Times New Roman"/>
          <w:bCs/>
          <w:i/>
          <w:iCs/>
          <w:sz w:val="24"/>
          <w:szCs w:val="24"/>
        </w:rPr>
        <w:t>Desafios para a implementação das políticas de Desenvolvimento Regional no século XXI: A Política Nacional de Desenvolvimento Regional,</w:t>
      </w:r>
      <w:r w:rsidRPr="0093288E">
        <w:rPr>
          <w:rFonts w:ascii="Times New Roman" w:eastAsia="Arial" w:hAnsi="Times New Roman" w:cs="Times New Roman"/>
          <w:sz w:val="24"/>
          <w:szCs w:val="24"/>
        </w:rPr>
        <w:t xml:space="preserve"> uma análise </w:t>
      </w:r>
      <w:r>
        <w:rPr>
          <w:rFonts w:ascii="Times New Roman" w:eastAsia="Arial" w:hAnsi="Times New Roman" w:cs="Times New Roman"/>
          <w:sz w:val="24"/>
          <w:szCs w:val="24"/>
        </w:rPr>
        <w:t xml:space="preserve">do desemprenho desta política </w:t>
      </w:r>
      <w:r w:rsidRPr="0093288E">
        <w:rPr>
          <w:rFonts w:ascii="Times New Roman" w:eastAsia="Arial" w:hAnsi="Times New Roman" w:cs="Times New Roman"/>
          <w:sz w:val="24"/>
          <w:szCs w:val="24"/>
        </w:rPr>
        <w:t>é apresentada</w:t>
      </w:r>
      <w:r>
        <w:rPr>
          <w:rFonts w:ascii="Times New Roman" w:eastAsia="Arial" w:hAnsi="Times New Roman" w:cs="Times New Roman"/>
          <w:sz w:val="24"/>
          <w:szCs w:val="24"/>
        </w:rPr>
        <w:t>,</w:t>
      </w:r>
      <w:r w:rsidRPr="0093288E">
        <w:rPr>
          <w:rFonts w:ascii="Times New Roman" w:eastAsia="Arial" w:hAnsi="Times New Roman" w:cs="Times New Roman"/>
          <w:sz w:val="24"/>
          <w:szCs w:val="24"/>
        </w:rPr>
        <w:t xml:space="preserve"> à luz do debate recente sobre sua </w:t>
      </w:r>
      <w:r>
        <w:rPr>
          <w:rFonts w:ascii="Times New Roman" w:eastAsia="Arial" w:hAnsi="Times New Roman" w:cs="Times New Roman"/>
          <w:sz w:val="24"/>
          <w:szCs w:val="24"/>
        </w:rPr>
        <w:t xml:space="preserve">metodologia, importância </w:t>
      </w:r>
      <w:r w:rsidRPr="0093288E">
        <w:rPr>
          <w:rFonts w:ascii="Times New Roman" w:eastAsia="Arial" w:hAnsi="Times New Roman" w:cs="Times New Roman"/>
          <w:sz w:val="24"/>
          <w:szCs w:val="24"/>
        </w:rPr>
        <w:t>e entraves.</w:t>
      </w:r>
      <w:r>
        <w:rPr>
          <w:rFonts w:ascii="Times New Roman" w:eastAsia="Arial" w:hAnsi="Times New Roman" w:cs="Times New Roman"/>
          <w:sz w:val="24"/>
          <w:szCs w:val="24"/>
        </w:rPr>
        <w:t xml:space="preserve"> Por fim, as considerações finais buscam apontar caminhos para reativar o desenvolvimento econômico do país em bases regionalmente sustentadas com 10 proposições.</w:t>
      </w:r>
    </w:p>
    <w:p w14:paraId="51DA10E1" w14:textId="77777777" w:rsidR="004C77A0" w:rsidRPr="0093288E" w:rsidRDefault="004C77A0" w:rsidP="004C77A0">
      <w:pPr>
        <w:spacing w:line="360" w:lineRule="auto"/>
        <w:jc w:val="both"/>
        <w:rPr>
          <w:rFonts w:ascii="Times New Roman" w:eastAsia="Arial" w:hAnsi="Times New Roman" w:cs="Times New Roman"/>
          <w:b/>
          <w:sz w:val="24"/>
          <w:szCs w:val="24"/>
        </w:rPr>
      </w:pPr>
      <w:r w:rsidRPr="0093288E">
        <w:rPr>
          <w:rFonts w:ascii="Times New Roman" w:eastAsia="Arial" w:hAnsi="Times New Roman" w:cs="Times New Roman"/>
          <w:b/>
          <w:sz w:val="24"/>
          <w:szCs w:val="24"/>
        </w:rPr>
        <w:t>1. Pertinência</w:t>
      </w:r>
      <w:r>
        <w:rPr>
          <w:rFonts w:ascii="Times New Roman" w:eastAsia="Arial" w:hAnsi="Times New Roman" w:cs="Times New Roman"/>
          <w:b/>
          <w:sz w:val="24"/>
          <w:szCs w:val="24"/>
        </w:rPr>
        <w:t>s</w:t>
      </w:r>
      <w:r w:rsidRPr="0093288E">
        <w:rPr>
          <w:rFonts w:ascii="Times New Roman" w:eastAsia="Arial" w:hAnsi="Times New Roman" w:cs="Times New Roman"/>
          <w:b/>
          <w:sz w:val="24"/>
          <w:szCs w:val="24"/>
        </w:rPr>
        <w:t xml:space="preserve"> e limites das políticas orientadas ao desenvolvimento regional</w:t>
      </w:r>
    </w:p>
    <w:p w14:paraId="35C67549" w14:textId="77777777" w:rsidR="004C77A0" w:rsidRPr="0093288E" w:rsidRDefault="004C77A0" w:rsidP="004C77A0">
      <w:pPr>
        <w:spacing w:line="360" w:lineRule="auto"/>
        <w:jc w:val="both"/>
        <w:rPr>
          <w:rFonts w:ascii="Times New Roman" w:eastAsia="Arial" w:hAnsi="Times New Roman" w:cs="Times New Roman"/>
          <w:i/>
          <w:sz w:val="24"/>
          <w:szCs w:val="24"/>
        </w:rPr>
      </w:pPr>
      <w:r w:rsidRPr="0093288E">
        <w:rPr>
          <w:rFonts w:ascii="Times New Roman" w:eastAsia="Arial" w:hAnsi="Times New Roman" w:cs="Times New Roman"/>
          <w:i/>
          <w:sz w:val="24"/>
          <w:szCs w:val="24"/>
        </w:rPr>
        <w:t>1.1 As políticas regionais como eixo fundamental para o desenvolvimento econômico</w:t>
      </w:r>
    </w:p>
    <w:p w14:paraId="198E3A6D"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O crescimento econômico é um processo naturalmente desestabilizador: países que experimentam significativa elevação de seus rendimentos tendem a concentrá-lo em grupos sociais restritos e geograficamente localizados. Regiões dentro de um país que demonstram maior dinamismo econômico tendem a ofuscar as de menor desempenho, retirando investimentos destas em seu proveito, num ciclo cumulativo que beneficia poucos em detrimento de muitos. Isso ocorre porque a dotação de capital e de habilidades são assimétricas nas sociedades capitalistas, sendo este fenômeno concentrador mais intenso nos países subdesenvolvidos, </w:t>
      </w:r>
      <w:r>
        <w:rPr>
          <w:rFonts w:ascii="Times New Roman" w:eastAsia="Arial" w:hAnsi="Times New Roman" w:cs="Times New Roman"/>
          <w:sz w:val="24"/>
          <w:szCs w:val="24"/>
        </w:rPr>
        <w:t>em que</w:t>
      </w:r>
      <w:r w:rsidRPr="0093288E">
        <w:rPr>
          <w:rFonts w:ascii="Times New Roman" w:eastAsia="Arial" w:hAnsi="Times New Roman" w:cs="Times New Roman"/>
          <w:sz w:val="24"/>
          <w:szCs w:val="24"/>
        </w:rPr>
        <w:t xml:space="preserve"> os ativos </w:t>
      </w:r>
      <w:r>
        <w:rPr>
          <w:rFonts w:ascii="Times New Roman" w:eastAsia="Arial" w:hAnsi="Times New Roman" w:cs="Times New Roman"/>
          <w:sz w:val="24"/>
          <w:szCs w:val="24"/>
        </w:rPr>
        <w:t>estão</w:t>
      </w:r>
      <w:r w:rsidRPr="0093288E">
        <w:rPr>
          <w:rFonts w:ascii="Times New Roman" w:eastAsia="Arial" w:hAnsi="Times New Roman" w:cs="Times New Roman"/>
          <w:sz w:val="24"/>
          <w:szCs w:val="24"/>
        </w:rPr>
        <w:t xml:space="preserve"> mais restritos a uma diminuta elite e o acesso às oportunidades possibilitadas pelo crescimento econômico está obstado à grande parte da população. Ou seja, nos países pobres, o crescimento econômico tende a aprofundar ainda mais as desigualdades sociais e regionais ao concentrar renda, e não o contrário.</w:t>
      </w:r>
    </w:p>
    <w:p w14:paraId="00643753"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Essa proposição, sistematizada por Gunnar Myrdal </w:t>
      </w:r>
      <w:r>
        <w:rPr>
          <w:rFonts w:ascii="Times New Roman" w:eastAsia="Arial" w:hAnsi="Times New Roman" w:cs="Times New Roman"/>
          <w:sz w:val="24"/>
          <w:szCs w:val="24"/>
        </w:rPr>
        <w:t xml:space="preserve">e outros </w:t>
      </w:r>
      <w:r w:rsidRPr="0093288E">
        <w:rPr>
          <w:rFonts w:ascii="Times New Roman" w:eastAsia="Arial" w:hAnsi="Times New Roman" w:cs="Times New Roman"/>
          <w:sz w:val="24"/>
          <w:szCs w:val="24"/>
        </w:rPr>
        <w:t>nos anos 1950</w:t>
      </w:r>
      <w:r>
        <w:rPr>
          <w:rFonts w:ascii="Times New Roman" w:eastAsia="Arial" w:hAnsi="Times New Roman" w:cs="Times New Roman"/>
          <w:sz w:val="24"/>
          <w:szCs w:val="24"/>
        </w:rPr>
        <w:t xml:space="preserve"> (MYRDAL, 1960; PERROUX, 1967)</w:t>
      </w:r>
      <w:r w:rsidRPr="0093288E">
        <w:rPr>
          <w:rFonts w:ascii="Times New Roman" w:eastAsia="Arial" w:hAnsi="Times New Roman" w:cs="Times New Roman"/>
          <w:sz w:val="24"/>
          <w:szCs w:val="24"/>
        </w:rPr>
        <w:t xml:space="preserve"> se coadunou a importantes mudanças na maneira de pensar o crescimento e a distribuição da riqueza, no contexto de um mundo abalado </w:t>
      </w:r>
      <w:r>
        <w:rPr>
          <w:rFonts w:ascii="Times New Roman" w:eastAsia="Arial" w:hAnsi="Times New Roman" w:cs="Times New Roman"/>
          <w:sz w:val="24"/>
          <w:szCs w:val="24"/>
        </w:rPr>
        <w:t xml:space="preserve">ao </w:t>
      </w:r>
      <w:r w:rsidRPr="0093288E">
        <w:rPr>
          <w:rFonts w:ascii="Times New Roman" w:eastAsia="Arial" w:hAnsi="Times New Roman" w:cs="Times New Roman"/>
          <w:sz w:val="24"/>
          <w:szCs w:val="24"/>
        </w:rPr>
        <w:t xml:space="preserve">fim da Segunda </w:t>
      </w:r>
      <w:r w:rsidRPr="0093288E">
        <w:rPr>
          <w:rFonts w:ascii="Times New Roman" w:eastAsia="Arial" w:hAnsi="Times New Roman" w:cs="Times New Roman"/>
          <w:sz w:val="24"/>
          <w:szCs w:val="24"/>
        </w:rPr>
        <w:lastRenderedPageBreak/>
        <w:t xml:space="preserve">Guerra Mundial. No Brasil, Celso Furtado </w:t>
      </w:r>
      <w:r>
        <w:rPr>
          <w:rFonts w:ascii="Times New Roman" w:eastAsia="Arial" w:hAnsi="Times New Roman" w:cs="Times New Roman"/>
          <w:sz w:val="24"/>
          <w:szCs w:val="24"/>
        </w:rPr>
        <w:t xml:space="preserve">despontou e </w:t>
      </w:r>
      <w:r w:rsidRPr="0093288E">
        <w:rPr>
          <w:rFonts w:ascii="Times New Roman" w:eastAsia="Arial" w:hAnsi="Times New Roman" w:cs="Times New Roman"/>
          <w:sz w:val="24"/>
          <w:szCs w:val="24"/>
        </w:rPr>
        <w:t xml:space="preserve">permanece como grande referência para se abordar o desenvolvimento econômico e seus impactos regionais numa proposição </w:t>
      </w:r>
      <w:r>
        <w:rPr>
          <w:rFonts w:ascii="Times New Roman" w:eastAsia="Arial" w:hAnsi="Times New Roman" w:cs="Times New Roman"/>
          <w:sz w:val="24"/>
          <w:szCs w:val="24"/>
        </w:rPr>
        <w:t>mais homogeneizante</w:t>
      </w:r>
      <w:r w:rsidRPr="0093288E">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buscando integrar </w:t>
      </w:r>
      <w:r w:rsidRPr="0093288E">
        <w:rPr>
          <w:rFonts w:ascii="Times New Roman" w:eastAsia="Arial" w:hAnsi="Times New Roman" w:cs="Times New Roman"/>
          <w:sz w:val="24"/>
          <w:szCs w:val="24"/>
        </w:rPr>
        <w:t>social e espacialmente o território nacional</w:t>
      </w:r>
      <w:r>
        <w:rPr>
          <w:rFonts w:ascii="Times New Roman" w:eastAsia="Arial" w:hAnsi="Times New Roman" w:cs="Times New Roman"/>
          <w:sz w:val="24"/>
          <w:szCs w:val="24"/>
        </w:rPr>
        <w:t xml:space="preserve"> (FURTADO, 1961; 1974; 1981).</w:t>
      </w:r>
      <w:r w:rsidRPr="0093288E">
        <w:rPr>
          <w:rFonts w:ascii="Times New Roman" w:eastAsia="Arial" w:hAnsi="Times New Roman" w:cs="Times New Roman"/>
          <w:sz w:val="24"/>
          <w:szCs w:val="24"/>
        </w:rPr>
        <w:t xml:space="preserve"> </w:t>
      </w:r>
      <w:r>
        <w:rPr>
          <w:rFonts w:ascii="Times New Roman" w:eastAsia="Arial" w:hAnsi="Times New Roman" w:cs="Times New Roman"/>
          <w:sz w:val="24"/>
          <w:szCs w:val="24"/>
        </w:rPr>
        <w:t>I</w:t>
      </w:r>
      <w:r w:rsidRPr="0093288E">
        <w:rPr>
          <w:rFonts w:ascii="Times New Roman" w:eastAsia="Arial" w:hAnsi="Times New Roman" w:cs="Times New Roman"/>
          <w:sz w:val="24"/>
          <w:szCs w:val="24"/>
        </w:rPr>
        <w:t>sto é, não basta o crescimento do produto, é preciso socializar os ganhos</w:t>
      </w:r>
      <w:r>
        <w:rPr>
          <w:rFonts w:ascii="Times New Roman" w:eastAsia="Arial" w:hAnsi="Times New Roman" w:cs="Times New Roman"/>
          <w:sz w:val="24"/>
          <w:szCs w:val="24"/>
        </w:rPr>
        <w:t xml:space="preserve"> do progresso técnico</w:t>
      </w:r>
      <w:r w:rsidRPr="0093288E">
        <w:rPr>
          <w:rFonts w:ascii="Times New Roman" w:eastAsia="Arial" w:hAnsi="Times New Roman" w:cs="Times New Roman"/>
          <w:sz w:val="24"/>
          <w:szCs w:val="24"/>
        </w:rPr>
        <w:t xml:space="preserve"> – aí reside a distinção entre </w:t>
      </w:r>
      <w:r w:rsidRPr="0093288E">
        <w:rPr>
          <w:rFonts w:ascii="Times New Roman" w:eastAsia="Arial" w:hAnsi="Times New Roman" w:cs="Times New Roman"/>
          <w:i/>
          <w:sz w:val="24"/>
          <w:szCs w:val="24"/>
        </w:rPr>
        <w:t xml:space="preserve">crescimento </w:t>
      </w:r>
      <w:r w:rsidRPr="0093288E">
        <w:rPr>
          <w:rFonts w:ascii="Times New Roman" w:eastAsia="Arial" w:hAnsi="Times New Roman" w:cs="Times New Roman"/>
          <w:sz w:val="24"/>
          <w:szCs w:val="24"/>
        </w:rPr>
        <w:t xml:space="preserve">e </w:t>
      </w:r>
      <w:r w:rsidRPr="0093288E">
        <w:rPr>
          <w:rFonts w:ascii="Times New Roman" w:eastAsia="Arial" w:hAnsi="Times New Roman" w:cs="Times New Roman"/>
          <w:i/>
          <w:sz w:val="24"/>
          <w:szCs w:val="24"/>
        </w:rPr>
        <w:t>desenvolvimento</w:t>
      </w:r>
      <w:r w:rsidRPr="0093288E">
        <w:rPr>
          <w:rFonts w:ascii="Times New Roman" w:eastAsia="Arial" w:hAnsi="Times New Roman" w:cs="Times New Roman"/>
          <w:sz w:val="24"/>
          <w:szCs w:val="24"/>
        </w:rPr>
        <w:t>. Para que isso ocorra,</w:t>
      </w:r>
      <w:r>
        <w:rPr>
          <w:rFonts w:ascii="Times New Roman" w:eastAsia="Arial" w:hAnsi="Times New Roman" w:cs="Times New Roman"/>
          <w:sz w:val="24"/>
          <w:szCs w:val="24"/>
        </w:rPr>
        <w:t xml:space="preserve"> portanto,</w:t>
      </w:r>
      <w:r w:rsidRPr="0093288E">
        <w:rPr>
          <w:rFonts w:ascii="Times New Roman" w:eastAsia="Arial" w:hAnsi="Times New Roman" w:cs="Times New Roman"/>
          <w:sz w:val="24"/>
          <w:szCs w:val="24"/>
        </w:rPr>
        <w:t xml:space="preserve"> as forças de mercado devem ser coordenadas por um ente que não atue dentro </w:t>
      </w:r>
      <w:r>
        <w:rPr>
          <w:rFonts w:ascii="Times New Roman" w:eastAsia="Arial" w:hAnsi="Times New Roman" w:cs="Times New Roman"/>
          <w:sz w:val="24"/>
          <w:szCs w:val="24"/>
        </w:rPr>
        <w:t xml:space="preserve">da racionalidade microeconômica </w:t>
      </w:r>
      <w:r w:rsidRPr="0093288E">
        <w:rPr>
          <w:rFonts w:ascii="Times New Roman" w:eastAsia="Arial" w:hAnsi="Times New Roman" w:cs="Times New Roman"/>
          <w:sz w:val="24"/>
          <w:szCs w:val="24"/>
        </w:rPr>
        <w:t>de maximização dos lucros</w:t>
      </w:r>
      <w:r>
        <w:rPr>
          <w:rFonts w:ascii="Times New Roman" w:eastAsia="Arial" w:hAnsi="Times New Roman" w:cs="Times New Roman"/>
          <w:sz w:val="24"/>
          <w:szCs w:val="24"/>
        </w:rPr>
        <w:t>:</w:t>
      </w:r>
      <w:r w:rsidRPr="0093288E">
        <w:rPr>
          <w:rFonts w:ascii="Times New Roman" w:eastAsia="Arial" w:hAnsi="Times New Roman" w:cs="Times New Roman"/>
          <w:sz w:val="24"/>
          <w:szCs w:val="24"/>
        </w:rPr>
        <w:t xml:space="preserve"> o Estado.</w:t>
      </w:r>
      <w:r>
        <w:rPr>
          <w:rFonts w:ascii="Times New Roman" w:eastAsia="Arial" w:hAnsi="Times New Roman" w:cs="Times New Roman"/>
          <w:sz w:val="24"/>
          <w:szCs w:val="24"/>
        </w:rPr>
        <w:t xml:space="preserve"> Este também é o responsável pela partilha da produção social, conciliando os interesses privados de acumulação com o </w:t>
      </w:r>
      <w:r w:rsidRPr="002B1D72">
        <w:rPr>
          <w:rFonts w:ascii="Times New Roman" w:eastAsia="Arial" w:hAnsi="Times New Roman" w:cs="Times New Roman"/>
          <w:i/>
          <w:iCs/>
          <w:sz w:val="24"/>
          <w:szCs w:val="24"/>
        </w:rPr>
        <w:t>ótimo social</w:t>
      </w:r>
      <w:r>
        <w:rPr>
          <w:rFonts w:ascii="Times New Roman" w:eastAsia="Arial" w:hAnsi="Times New Roman" w:cs="Times New Roman"/>
          <w:sz w:val="24"/>
          <w:szCs w:val="24"/>
        </w:rPr>
        <w:t>.</w:t>
      </w:r>
    </w:p>
    <w:p w14:paraId="1FAB28D2"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Pr>
          <w:rFonts w:ascii="Times New Roman" w:eastAsia="Arial" w:hAnsi="Times New Roman" w:cs="Times New Roman"/>
          <w:sz w:val="24"/>
          <w:szCs w:val="24"/>
        </w:rPr>
        <w:t>O</w:t>
      </w:r>
      <w:r w:rsidRPr="0093288E">
        <w:rPr>
          <w:rFonts w:ascii="Times New Roman" w:eastAsia="Arial" w:hAnsi="Times New Roman" w:cs="Times New Roman"/>
          <w:sz w:val="24"/>
          <w:szCs w:val="24"/>
        </w:rPr>
        <w:t>bserva</w:t>
      </w:r>
      <w:r>
        <w:rPr>
          <w:rFonts w:ascii="Times New Roman" w:eastAsia="Arial" w:hAnsi="Times New Roman" w:cs="Times New Roman"/>
          <w:sz w:val="24"/>
          <w:szCs w:val="24"/>
        </w:rPr>
        <w:t>-se</w:t>
      </w:r>
      <w:r w:rsidRPr="0093288E">
        <w:rPr>
          <w:rFonts w:ascii="Times New Roman" w:eastAsia="Arial" w:hAnsi="Times New Roman" w:cs="Times New Roman"/>
          <w:sz w:val="24"/>
          <w:szCs w:val="24"/>
        </w:rPr>
        <w:t xml:space="preserve"> historicamente </w:t>
      </w:r>
      <w:r>
        <w:rPr>
          <w:rFonts w:ascii="Times New Roman" w:eastAsia="Arial" w:hAnsi="Times New Roman" w:cs="Times New Roman"/>
          <w:sz w:val="24"/>
          <w:szCs w:val="24"/>
        </w:rPr>
        <w:t xml:space="preserve">que </w:t>
      </w:r>
      <w:r w:rsidRPr="0093288E">
        <w:rPr>
          <w:rFonts w:ascii="Times New Roman" w:eastAsia="Arial" w:hAnsi="Times New Roman" w:cs="Times New Roman"/>
          <w:sz w:val="24"/>
          <w:szCs w:val="24"/>
        </w:rPr>
        <w:t>os países desenvolvidos –</w:t>
      </w:r>
      <w:r>
        <w:rPr>
          <w:rFonts w:ascii="Times New Roman" w:eastAsia="Arial" w:hAnsi="Times New Roman" w:cs="Times New Roman"/>
          <w:sz w:val="24"/>
          <w:szCs w:val="24"/>
        </w:rPr>
        <w:t xml:space="preserve"> </w:t>
      </w:r>
      <w:r w:rsidRPr="0093288E">
        <w:rPr>
          <w:rFonts w:ascii="Times New Roman" w:eastAsia="Arial" w:hAnsi="Times New Roman" w:cs="Times New Roman"/>
          <w:sz w:val="24"/>
          <w:szCs w:val="24"/>
        </w:rPr>
        <w:t>situados majoritariamente na Europa Ocidental e América do Norte – não só mudaram sua estrutura produtiva, ou seja, centraram esforços na industrialização como ação deliberada de Estados fortemente constituídos, como também deram permanente atenção à correção das desigualdades regionais</w:t>
      </w:r>
      <w:r>
        <w:rPr>
          <w:rFonts w:ascii="Times New Roman" w:eastAsia="Arial" w:hAnsi="Times New Roman" w:cs="Times New Roman"/>
          <w:sz w:val="24"/>
          <w:szCs w:val="24"/>
        </w:rPr>
        <w:t xml:space="preserve"> (MYRDAL, 1960)</w:t>
      </w:r>
      <w:r w:rsidRPr="0093288E">
        <w:rPr>
          <w:rFonts w:ascii="Times New Roman" w:eastAsia="Arial" w:hAnsi="Times New Roman" w:cs="Times New Roman"/>
          <w:sz w:val="24"/>
          <w:szCs w:val="24"/>
        </w:rPr>
        <w:t>. Uma sociedade regionalmente mais homogênea e integrada amplia o tamanho de seu mercado consumidor</w:t>
      </w:r>
      <w:r>
        <w:rPr>
          <w:rFonts w:ascii="Times New Roman" w:eastAsia="Arial" w:hAnsi="Times New Roman" w:cs="Times New Roman"/>
          <w:sz w:val="24"/>
          <w:szCs w:val="24"/>
        </w:rPr>
        <w:t>,</w:t>
      </w:r>
      <w:r w:rsidRPr="0093288E">
        <w:rPr>
          <w:rFonts w:ascii="Times New Roman" w:eastAsia="Arial" w:hAnsi="Times New Roman" w:cs="Times New Roman"/>
          <w:sz w:val="24"/>
          <w:szCs w:val="24"/>
        </w:rPr>
        <w:t xml:space="preserve"> na medida em que é socialmente mais inclusivo e dissemina a circulação monetária. Os fluxos de renda geram efeitos dinâmicos que diversificam e complexificam o </w:t>
      </w:r>
      <w:r>
        <w:rPr>
          <w:rFonts w:ascii="Times New Roman" w:eastAsia="Arial" w:hAnsi="Times New Roman" w:cs="Times New Roman"/>
          <w:sz w:val="24"/>
          <w:szCs w:val="24"/>
        </w:rPr>
        <w:t>consumo e a produção</w:t>
      </w:r>
      <w:r w:rsidRPr="0093288E">
        <w:rPr>
          <w:rFonts w:ascii="Times New Roman" w:eastAsia="Arial" w:hAnsi="Times New Roman" w:cs="Times New Roman"/>
          <w:sz w:val="24"/>
          <w:szCs w:val="24"/>
        </w:rPr>
        <w:t>, fortalecendo</w:t>
      </w:r>
      <w:r>
        <w:rPr>
          <w:rFonts w:ascii="Times New Roman" w:eastAsia="Arial" w:hAnsi="Times New Roman" w:cs="Times New Roman"/>
          <w:sz w:val="24"/>
          <w:szCs w:val="24"/>
        </w:rPr>
        <w:t xml:space="preserve"> as interrelações de</w:t>
      </w:r>
      <w:r w:rsidRPr="0093288E">
        <w:rPr>
          <w:rFonts w:ascii="Times New Roman" w:eastAsia="Arial" w:hAnsi="Times New Roman" w:cs="Times New Roman"/>
          <w:sz w:val="24"/>
          <w:szCs w:val="24"/>
        </w:rPr>
        <w:t xml:space="preserve"> </w:t>
      </w:r>
      <w:r>
        <w:rPr>
          <w:rFonts w:ascii="Times New Roman" w:eastAsia="Arial" w:hAnsi="Times New Roman" w:cs="Times New Roman"/>
          <w:sz w:val="24"/>
          <w:szCs w:val="24"/>
        </w:rPr>
        <w:t>mercado</w:t>
      </w:r>
      <w:r w:rsidRPr="0093288E">
        <w:rPr>
          <w:rFonts w:ascii="Times New Roman" w:eastAsia="Arial" w:hAnsi="Times New Roman" w:cs="Times New Roman"/>
          <w:sz w:val="24"/>
          <w:szCs w:val="24"/>
        </w:rPr>
        <w:t>. Assim, corrigir as disparidades regionais também resulta em fortalecer de maneira virtuosa a economia doméstica com promoção da equidade social.</w:t>
      </w:r>
    </w:p>
    <w:p w14:paraId="0449C694"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Logo, uma política de desenvolvimento nacional deve buscar integrar as regiões de seu território de maneira a engatá-las ao sistema produtivo tanto quanto possível, consolidando-se </w:t>
      </w:r>
      <w:r>
        <w:rPr>
          <w:rFonts w:ascii="Times New Roman" w:eastAsia="Arial" w:hAnsi="Times New Roman" w:cs="Times New Roman"/>
          <w:sz w:val="24"/>
          <w:szCs w:val="24"/>
        </w:rPr>
        <w:t xml:space="preserve">política, econômica e socialmente enquanto um </w:t>
      </w:r>
      <w:r w:rsidRPr="0093288E">
        <w:rPr>
          <w:rFonts w:ascii="Times New Roman" w:eastAsia="Arial" w:hAnsi="Times New Roman" w:cs="Times New Roman"/>
          <w:sz w:val="24"/>
          <w:szCs w:val="24"/>
        </w:rPr>
        <w:t xml:space="preserve">corpo orgânico uno. O desenvolvimento, em sua acepção ampla, deve ser </w:t>
      </w:r>
      <w:r>
        <w:rPr>
          <w:rFonts w:ascii="Times New Roman" w:eastAsia="Arial" w:hAnsi="Times New Roman" w:cs="Times New Roman"/>
          <w:sz w:val="24"/>
          <w:szCs w:val="24"/>
        </w:rPr>
        <w:t xml:space="preserve">tomado </w:t>
      </w:r>
      <w:r w:rsidRPr="0093288E">
        <w:rPr>
          <w:rFonts w:ascii="Times New Roman" w:eastAsia="Arial" w:hAnsi="Times New Roman" w:cs="Times New Roman"/>
          <w:sz w:val="24"/>
          <w:szCs w:val="24"/>
        </w:rPr>
        <w:t>como meio</w:t>
      </w:r>
      <w:r w:rsidRPr="0093288E">
        <w:rPr>
          <w:rFonts w:ascii="Times New Roman" w:eastAsia="Arial" w:hAnsi="Times New Roman" w:cs="Times New Roman"/>
          <w:i/>
          <w:sz w:val="24"/>
          <w:szCs w:val="24"/>
        </w:rPr>
        <w:t xml:space="preserve"> </w:t>
      </w:r>
      <w:r w:rsidRPr="0093288E">
        <w:rPr>
          <w:rFonts w:ascii="Times New Roman" w:eastAsia="Arial" w:hAnsi="Times New Roman" w:cs="Times New Roman"/>
          <w:sz w:val="24"/>
          <w:szCs w:val="24"/>
        </w:rPr>
        <w:t xml:space="preserve">de integração social e </w:t>
      </w:r>
      <w:r>
        <w:rPr>
          <w:rFonts w:ascii="Times New Roman" w:eastAsia="Arial" w:hAnsi="Times New Roman" w:cs="Times New Roman"/>
          <w:sz w:val="24"/>
          <w:szCs w:val="24"/>
        </w:rPr>
        <w:t xml:space="preserve">constituição </w:t>
      </w:r>
      <w:r w:rsidRPr="0093288E">
        <w:rPr>
          <w:rFonts w:ascii="Times New Roman" w:eastAsia="Arial" w:hAnsi="Times New Roman" w:cs="Times New Roman"/>
          <w:sz w:val="24"/>
          <w:szCs w:val="24"/>
        </w:rPr>
        <w:t>de uma sociedade em que as demandas mais prementes – morar, comer, estudar, fruir – estejam asseguradas a todos. Países em que as desigualdades econômicas entre suas regiões são profundas e progressivamente ampliadas no decorrer d</w:t>
      </w:r>
      <w:r>
        <w:rPr>
          <w:rFonts w:ascii="Times New Roman" w:eastAsia="Arial" w:hAnsi="Times New Roman" w:cs="Times New Roman"/>
          <w:sz w:val="24"/>
          <w:szCs w:val="24"/>
        </w:rPr>
        <w:t>a</w:t>
      </w:r>
      <w:r w:rsidRPr="0093288E">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história </w:t>
      </w:r>
      <w:r w:rsidRPr="0093288E">
        <w:rPr>
          <w:rFonts w:ascii="Times New Roman" w:eastAsia="Arial" w:hAnsi="Times New Roman" w:cs="Times New Roman"/>
          <w:sz w:val="24"/>
          <w:szCs w:val="24"/>
        </w:rPr>
        <w:t>tendem à desagregação social e política, resultando em graves antagonismos, onde movimentos separatistas são a expressão mais trágica</w:t>
      </w:r>
      <w:r>
        <w:rPr>
          <w:rFonts w:ascii="Times New Roman" w:eastAsia="Arial" w:hAnsi="Times New Roman" w:cs="Times New Roman"/>
          <w:sz w:val="24"/>
          <w:szCs w:val="24"/>
        </w:rPr>
        <w:t xml:space="preserve"> (PACHECO, 1998; OLIVEIRA, 2008)</w:t>
      </w:r>
      <w:r w:rsidRPr="0093288E">
        <w:rPr>
          <w:rFonts w:ascii="Times New Roman" w:eastAsia="Arial" w:hAnsi="Times New Roman" w:cs="Times New Roman"/>
          <w:sz w:val="24"/>
          <w:szCs w:val="24"/>
        </w:rPr>
        <w:t>.</w:t>
      </w:r>
    </w:p>
    <w:p w14:paraId="1D53C5CE" w14:textId="77777777" w:rsidR="004C77A0" w:rsidRPr="0093288E" w:rsidRDefault="004C77A0" w:rsidP="004C77A0">
      <w:pPr>
        <w:spacing w:line="360" w:lineRule="auto"/>
        <w:jc w:val="both"/>
        <w:rPr>
          <w:rFonts w:ascii="Times New Roman" w:eastAsia="Arial" w:hAnsi="Times New Roman" w:cs="Times New Roman"/>
          <w:i/>
          <w:sz w:val="24"/>
          <w:szCs w:val="24"/>
        </w:rPr>
      </w:pPr>
      <w:r w:rsidRPr="0093288E">
        <w:rPr>
          <w:rFonts w:ascii="Times New Roman" w:eastAsia="Arial" w:hAnsi="Times New Roman" w:cs="Times New Roman"/>
          <w:i/>
          <w:sz w:val="24"/>
          <w:szCs w:val="24"/>
        </w:rPr>
        <w:lastRenderedPageBreak/>
        <w:t>1.2 Limites e obstáculos à efetividade das políticas orientadas ao desenvolvimento regional</w:t>
      </w:r>
    </w:p>
    <w:p w14:paraId="31D81F7E" w14:textId="77777777" w:rsidR="004C77A0" w:rsidRPr="0093288E" w:rsidRDefault="004C77A0" w:rsidP="004C77A0">
      <w:pPr>
        <w:spacing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ab/>
        <w:t>Brevemente apresentadas as razões fundamentais para engajamento das políticas públicas de enfoque regional para desenvolvimento nacional, é preciso apontar para as limitações e as barreiras intransponíveis que tais políticas enfrentam no cenário mais amplo da gestão pública e da política macroeconômica assumida pelo governo central.</w:t>
      </w:r>
    </w:p>
    <w:p w14:paraId="4B3CEC54" w14:textId="77777777" w:rsidR="004C77A0" w:rsidRPr="0093288E" w:rsidRDefault="004C77A0" w:rsidP="004C77A0">
      <w:pPr>
        <w:spacing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ab/>
        <w:t>Embora as políticas regionais tenham sentido de coesão nacional e sejam estratégicas para o desenvolvimento do país, são os entes subnacionais – estados e municípios – os maiores interessados na efetividade destas. Isso porque, do ponto de vista estritamente econômico, os instrumentos locais de promoção do desenvolvimento são muito limitados: desde a Lei de Responsabilidade Fiscal</w:t>
      </w:r>
      <w:r w:rsidRPr="0093288E">
        <w:rPr>
          <w:rFonts w:ascii="Times New Roman" w:eastAsia="Arial" w:hAnsi="Times New Roman" w:cs="Times New Roman"/>
          <w:sz w:val="24"/>
          <w:szCs w:val="24"/>
          <w:vertAlign w:val="superscript"/>
        </w:rPr>
        <w:footnoteReference w:id="1"/>
      </w:r>
      <w:r w:rsidRPr="0093288E">
        <w:rPr>
          <w:rFonts w:ascii="Times New Roman" w:eastAsia="Arial" w:hAnsi="Times New Roman" w:cs="Times New Roman"/>
          <w:sz w:val="24"/>
          <w:szCs w:val="24"/>
        </w:rPr>
        <w:t xml:space="preserve">, estados e municípios não podem emitir dívida para se financiar de maneira autônoma; possuem fontes de arrecadação constitucionalmente limitadas e autoridade restrita a seu território, enquanto intervenções de maior impacto </w:t>
      </w:r>
      <w:r>
        <w:rPr>
          <w:rFonts w:ascii="Times New Roman" w:eastAsia="Arial" w:hAnsi="Times New Roman" w:cs="Times New Roman"/>
          <w:sz w:val="24"/>
          <w:szCs w:val="24"/>
        </w:rPr>
        <w:t>exigem</w:t>
      </w:r>
      <w:r w:rsidRPr="0093288E">
        <w:rPr>
          <w:rFonts w:ascii="Times New Roman" w:eastAsia="Arial" w:hAnsi="Times New Roman" w:cs="Times New Roman"/>
          <w:sz w:val="24"/>
          <w:szCs w:val="24"/>
        </w:rPr>
        <w:t xml:space="preserve"> concertação entre diferentes atores e regiões, demandando mecanismos de coordenação cujo manejo exige certa centralidade decisória e em que a legitimidade, em geral, é reconhecida à União. </w:t>
      </w:r>
    </w:p>
    <w:p w14:paraId="7B433E42"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Os entes subnacionais também não possuem poder decisório sobre variáveis fundamentais para o ciclo de negócios, como taxas de juros e câmbio, embora alguns estados contem com bancos regionais que, ao subsidiar o crédito, agem como contentores das políticas contracionistas do Banco Central</w:t>
      </w:r>
      <w:r>
        <w:rPr>
          <w:rFonts w:ascii="Times New Roman" w:eastAsia="Arial" w:hAnsi="Times New Roman" w:cs="Times New Roman"/>
          <w:sz w:val="24"/>
          <w:szCs w:val="24"/>
        </w:rPr>
        <w:t xml:space="preserve"> (</w:t>
      </w:r>
      <w:r w:rsidRPr="0093288E">
        <w:rPr>
          <w:rFonts w:ascii="Times New Roman" w:eastAsia="Arial" w:hAnsi="Times New Roman" w:cs="Times New Roman"/>
          <w:sz w:val="24"/>
          <w:szCs w:val="24"/>
        </w:rPr>
        <w:t>quando esse é o caso</w:t>
      </w:r>
      <w:r>
        <w:rPr>
          <w:rFonts w:ascii="Times New Roman" w:eastAsia="Arial" w:hAnsi="Times New Roman" w:cs="Times New Roman"/>
          <w:sz w:val="24"/>
          <w:szCs w:val="24"/>
        </w:rPr>
        <w:t>)</w:t>
      </w:r>
      <w:r w:rsidRPr="0093288E">
        <w:rPr>
          <w:rFonts w:ascii="Times New Roman" w:eastAsia="Arial" w:hAnsi="Times New Roman" w:cs="Times New Roman"/>
          <w:sz w:val="24"/>
          <w:szCs w:val="24"/>
        </w:rPr>
        <w:t>, ao mesmo tempo em que se colocam como alternativa às taxas praticadas pelo oligopólio bancário</w:t>
      </w:r>
      <w:r>
        <w:rPr>
          <w:rFonts w:ascii="Times New Roman" w:eastAsia="Arial" w:hAnsi="Times New Roman" w:cs="Times New Roman"/>
          <w:sz w:val="24"/>
          <w:szCs w:val="24"/>
        </w:rPr>
        <w:t xml:space="preserve"> brasileiro</w:t>
      </w:r>
      <w:r w:rsidRPr="0093288E">
        <w:rPr>
          <w:rFonts w:ascii="Times New Roman" w:eastAsia="Arial" w:hAnsi="Times New Roman" w:cs="Times New Roman"/>
          <w:sz w:val="24"/>
          <w:szCs w:val="24"/>
        </w:rPr>
        <w:t xml:space="preserve">. Contudo, essas instituições não estão isentas de praticar </w:t>
      </w:r>
      <w:r w:rsidRPr="0093288E">
        <w:rPr>
          <w:rFonts w:ascii="Times New Roman" w:eastAsia="Arial" w:hAnsi="Times New Roman" w:cs="Times New Roman"/>
          <w:i/>
          <w:sz w:val="24"/>
          <w:szCs w:val="24"/>
        </w:rPr>
        <w:t xml:space="preserve">seleção adversa </w:t>
      </w:r>
      <w:r w:rsidRPr="0093288E">
        <w:rPr>
          <w:rFonts w:ascii="Times New Roman" w:eastAsia="Arial" w:hAnsi="Times New Roman" w:cs="Times New Roman"/>
          <w:sz w:val="24"/>
          <w:szCs w:val="24"/>
        </w:rPr>
        <w:t xml:space="preserve">– quando recursos são concedidos àqueles que já contam com facilidade de crédito, enquanto são restringidos às empresas sem experiência prévia ou garantias financeiras, mesmo que suas operações sejam economicamente </w:t>
      </w:r>
      <w:r>
        <w:rPr>
          <w:rFonts w:ascii="Times New Roman" w:eastAsia="Arial" w:hAnsi="Times New Roman" w:cs="Times New Roman"/>
          <w:sz w:val="24"/>
          <w:szCs w:val="24"/>
        </w:rPr>
        <w:t>viáveis</w:t>
      </w:r>
      <w:r w:rsidRPr="0093288E">
        <w:rPr>
          <w:rFonts w:ascii="Times New Roman" w:eastAsia="Arial" w:hAnsi="Times New Roman" w:cs="Times New Roman"/>
          <w:sz w:val="24"/>
          <w:szCs w:val="24"/>
        </w:rPr>
        <w:t xml:space="preserve">. </w:t>
      </w:r>
    </w:p>
    <w:p w14:paraId="5DB871D2"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Também há uma tendência nos bancos regionais a disseminar o crédito em muitas pequenas iniciativas, o que pode gerar resultados do ponto de vista da inclusão</w:t>
      </w:r>
      <w:r>
        <w:rPr>
          <w:rFonts w:ascii="Times New Roman" w:eastAsia="Arial" w:hAnsi="Times New Roman" w:cs="Times New Roman"/>
          <w:sz w:val="24"/>
          <w:szCs w:val="24"/>
        </w:rPr>
        <w:t xml:space="preserve"> social</w:t>
      </w:r>
      <w:r w:rsidRPr="0093288E">
        <w:rPr>
          <w:rFonts w:ascii="Times New Roman" w:eastAsia="Arial" w:hAnsi="Times New Roman" w:cs="Times New Roman"/>
          <w:sz w:val="24"/>
          <w:szCs w:val="24"/>
        </w:rPr>
        <w:t xml:space="preserve">, </w:t>
      </w:r>
      <w:r w:rsidRPr="0093288E">
        <w:rPr>
          <w:rFonts w:ascii="Times New Roman" w:eastAsia="Arial" w:hAnsi="Times New Roman" w:cs="Times New Roman"/>
          <w:sz w:val="24"/>
          <w:szCs w:val="24"/>
        </w:rPr>
        <w:lastRenderedPageBreak/>
        <w:t>habilitando pequenos empreendedores</w:t>
      </w:r>
      <w:r>
        <w:rPr>
          <w:rFonts w:ascii="Times New Roman" w:eastAsia="Arial" w:hAnsi="Times New Roman" w:cs="Times New Roman"/>
          <w:sz w:val="24"/>
          <w:szCs w:val="24"/>
        </w:rPr>
        <w:t xml:space="preserve"> em seus negócios</w:t>
      </w:r>
      <w:r w:rsidRPr="0093288E">
        <w:rPr>
          <w:rFonts w:ascii="Times New Roman" w:eastAsia="Arial" w:hAnsi="Times New Roman" w:cs="Times New Roman"/>
          <w:sz w:val="24"/>
          <w:szCs w:val="24"/>
        </w:rPr>
        <w:t xml:space="preserve">, mas não gera os retornos de escala necessários para grandes </w:t>
      </w:r>
      <w:r>
        <w:rPr>
          <w:rFonts w:ascii="Times New Roman" w:eastAsia="Arial" w:hAnsi="Times New Roman" w:cs="Times New Roman"/>
          <w:sz w:val="24"/>
          <w:szCs w:val="24"/>
        </w:rPr>
        <w:t xml:space="preserve">e perenes </w:t>
      </w:r>
      <w:r w:rsidRPr="0093288E">
        <w:rPr>
          <w:rFonts w:ascii="Times New Roman" w:eastAsia="Arial" w:hAnsi="Times New Roman" w:cs="Times New Roman"/>
          <w:sz w:val="24"/>
          <w:szCs w:val="24"/>
        </w:rPr>
        <w:t>impactos territoriais.</w:t>
      </w:r>
    </w:p>
    <w:p w14:paraId="07F36B45" w14:textId="77777777" w:rsidR="004C77A0"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Em termos gerais, há importantes limitações na promoção de políticas locais por parte daqueles imediatamente beneficiados por elas, seja por falta de visão de conjunto das demandas essenciais, por dificuldade de coordenação horizontal entre entes de mesmo nível (municípios, por exemplo), e</w:t>
      </w:r>
      <w:r>
        <w:rPr>
          <w:rFonts w:ascii="Times New Roman" w:eastAsia="Arial" w:hAnsi="Times New Roman" w:cs="Times New Roman"/>
          <w:sz w:val="24"/>
          <w:szCs w:val="24"/>
        </w:rPr>
        <w:t>,</w:t>
      </w:r>
      <w:r w:rsidRPr="0093288E">
        <w:rPr>
          <w:rFonts w:ascii="Times New Roman" w:eastAsia="Arial" w:hAnsi="Times New Roman" w:cs="Times New Roman"/>
          <w:sz w:val="24"/>
          <w:szCs w:val="24"/>
        </w:rPr>
        <w:t xml:space="preserve"> principalmente</w:t>
      </w:r>
      <w:r>
        <w:rPr>
          <w:rFonts w:ascii="Times New Roman" w:eastAsia="Arial" w:hAnsi="Times New Roman" w:cs="Times New Roman"/>
          <w:sz w:val="24"/>
          <w:szCs w:val="24"/>
        </w:rPr>
        <w:t>,</w:t>
      </w:r>
      <w:r w:rsidRPr="0093288E">
        <w:rPr>
          <w:rFonts w:ascii="Times New Roman" w:eastAsia="Arial" w:hAnsi="Times New Roman" w:cs="Times New Roman"/>
          <w:sz w:val="24"/>
          <w:szCs w:val="24"/>
        </w:rPr>
        <w:t xml:space="preserve"> por carência de recursos que atinjam os montantes necessários para impactos territoriais efetivos e duradouros. Quando se trata de viabilizar e/ou fortalecer projetos que reúnem uma gama de vultuosos empreendimentos, no sentido de criar dinamismos econômicos locais abrangentes e integrados – o que </w:t>
      </w:r>
      <w:proofErr w:type="spellStart"/>
      <w:r w:rsidRPr="0093288E">
        <w:rPr>
          <w:rFonts w:ascii="Times New Roman" w:eastAsia="Arial" w:hAnsi="Times New Roman" w:cs="Times New Roman"/>
          <w:sz w:val="24"/>
          <w:szCs w:val="24"/>
        </w:rPr>
        <w:t>Hirschman</w:t>
      </w:r>
      <w:proofErr w:type="spellEnd"/>
      <w:r>
        <w:rPr>
          <w:rFonts w:ascii="Times New Roman" w:eastAsia="Arial" w:hAnsi="Times New Roman" w:cs="Times New Roman"/>
          <w:sz w:val="24"/>
          <w:szCs w:val="24"/>
        </w:rPr>
        <w:t xml:space="preserve"> (1961)</w:t>
      </w:r>
      <w:r w:rsidRPr="0093288E">
        <w:rPr>
          <w:rFonts w:ascii="Times New Roman" w:eastAsia="Arial" w:hAnsi="Times New Roman" w:cs="Times New Roman"/>
          <w:sz w:val="24"/>
          <w:szCs w:val="24"/>
        </w:rPr>
        <w:t xml:space="preserve"> chamou de “efeitos de fluência” no território, isto é, investimentos de alta monta e escala que mobilizam muitos atores –, o planejamento e</w:t>
      </w:r>
      <w:r>
        <w:rPr>
          <w:rFonts w:ascii="Times New Roman" w:eastAsia="Arial" w:hAnsi="Times New Roman" w:cs="Times New Roman"/>
          <w:sz w:val="24"/>
          <w:szCs w:val="24"/>
        </w:rPr>
        <w:t xml:space="preserve"> a</w:t>
      </w:r>
      <w:r w:rsidRPr="0093288E">
        <w:rPr>
          <w:rFonts w:ascii="Times New Roman" w:eastAsia="Arial" w:hAnsi="Times New Roman" w:cs="Times New Roman"/>
          <w:sz w:val="24"/>
          <w:szCs w:val="24"/>
        </w:rPr>
        <w:t xml:space="preserve"> operacionalização das ações assumem elevado grau de complexidade, remetendo a problemas em que a administração </w:t>
      </w:r>
      <w:r>
        <w:rPr>
          <w:rFonts w:ascii="Times New Roman" w:eastAsia="Arial" w:hAnsi="Times New Roman" w:cs="Times New Roman"/>
          <w:sz w:val="24"/>
          <w:szCs w:val="24"/>
        </w:rPr>
        <w:t xml:space="preserve">requer o </w:t>
      </w:r>
      <w:r w:rsidRPr="0093288E">
        <w:rPr>
          <w:rFonts w:ascii="Times New Roman" w:eastAsia="Arial" w:hAnsi="Times New Roman" w:cs="Times New Roman"/>
          <w:sz w:val="24"/>
          <w:szCs w:val="24"/>
        </w:rPr>
        <w:t xml:space="preserve">apoio de um poder coordenador central. </w:t>
      </w:r>
      <w:r>
        <w:rPr>
          <w:rFonts w:ascii="Times New Roman" w:eastAsia="Arial" w:hAnsi="Times New Roman" w:cs="Times New Roman"/>
          <w:sz w:val="24"/>
          <w:szCs w:val="24"/>
        </w:rPr>
        <w:t xml:space="preserve">Esse quadro </w:t>
      </w:r>
      <w:r w:rsidRPr="0093288E">
        <w:rPr>
          <w:rFonts w:ascii="Times New Roman" w:eastAsia="Arial" w:hAnsi="Times New Roman" w:cs="Times New Roman"/>
          <w:sz w:val="24"/>
          <w:szCs w:val="24"/>
        </w:rPr>
        <w:t xml:space="preserve">não implica necessariamente em políticas centralistas do estilo </w:t>
      </w:r>
      <w:r w:rsidRPr="0093288E">
        <w:rPr>
          <w:rFonts w:ascii="Times New Roman" w:eastAsia="Arial" w:hAnsi="Times New Roman" w:cs="Times New Roman"/>
          <w:i/>
          <w:sz w:val="24"/>
          <w:szCs w:val="24"/>
        </w:rPr>
        <w:t>top-</w:t>
      </w:r>
      <w:proofErr w:type="spellStart"/>
      <w:r w:rsidRPr="0093288E">
        <w:rPr>
          <w:rFonts w:ascii="Times New Roman" w:eastAsia="Arial" w:hAnsi="Times New Roman" w:cs="Times New Roman"/>
          <w:i/>
          <w:sz w:val="24"/>
          <w:szCs w:val="24"/>
        </w:rPr>
        <w:t>down</w:t>
      </w:r>
      <w:proofErr w:type="spellEnd"/>
      <w:r>
        <w:rPr>
          <w:rFonts w:ascii="Times New Roman" w:eastAsia="Arial" w:hAnsi="Times New Roman" w:cs="Times New Roman"/>
          <w:iCs/>
          <w:sz w:val="24"/>
          <w:szCs w:val="24"/>
        </w:rPr>
        <w:t>, mas aponta para a inevitabilidade da atuação de um poder político-administrativo de nível mais central para o sucesso da execução dessas ações</w:t>
      </w:r>
      <w:r w:rsidRPr="0093288E">
        <w:rPr>
          <w:rFonts w:ascii="Times New Roman" w:eastAsia="Arial" w:hAnsi="Times New Roman" w:cs="Times New Roman"/>
          <w:sz w:val="24"/>
          <w:szCs w:val="24"/>
        </w:rPr>
        <w:t>.</w:t>
      </w:r>
    </w:p>
    <w:p w14:paraId="2066F1B6"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Por fim, não existe uma “teoria geral” ou “bala de prata” para o desenvolvimento regional, como uma solução simplista e generalizável em um território tão heterogêneo e diversificado como o Brasil. Cada região carrega determinadas construções sociais e ambientais particulares que exigem soluções distintas do ponto de vista da produção, do consumo e do bem-estar coletivo. O que se pode afirmar, como acordo mínimo para a temática, é que a efetividade das políticas regionais depende de diferentes níveis de cooperação entre as diversas frentes de atuação do Estado – ministérios, secretarias, autarquias, bancos, empresas públicas etc. – e </w:t>
      </w:r>
      <w:r>
        <w:rPr>
          <w:rFonts w:ascii="Times New Roman" w:eastAsia="Arial" w:hAnsi="Times New Roman" w:cs="Times New Roman"/>
          <w:sz w:val="24"/>
          <w:szCs w:val="24"/>
        </w:rPr>
        <w:t>d</w:t>
      </w:r>
      <w:r w:rsidRPr="0093288E">
        <w:rPr>
          <w:rFonts w:ascii="Times New Roman" w:eastAsia="Arial" w:hAnsi="Times New Roman" w:cs="Times New Roman"/>
          <w:sz w:val="24"/>
          <w:szCs w:val="24"/>
        </w:rPr>
        <w:t xml:space="preserve">o setor privado, de perfil plural e com necessidades específicas. Diversos conjuntos particulares da iniciativa privada, com interesses relativamente comuns, podem ser estabelecidos: o das micro, pequenas e médias empresas; o das grandes empresas; o das cooperativas solidárias, empreendimentos sociais etc. Também </w:t>
      </w:r>
      <w:r>
        <w:rPr>
          <w:rFonts w:ascii="Times New Roman" w:eastAsia="Arial" w:hAnsi="Times New Roman" w:cs="Times New Roman"/>
          <w:sz w:val="24"/>
          <w:szCs w:val="24"/>
        </w:rPr>
        <w:t xml:space="preserve">é </w:t>
      </w:r>
      <w:r w:rsidRPr="0093288E">
        <w:rPr>
          <w:rFonts w:ascii="Times New Roman" w:eastAsia="Arial" w:hAnsi="Times New Roman" w:cs="Times New Roman"/>
          <w:sz w:val="24"/>
          <w:szCs w:val="24"/>
        </w:rPr>
        <w:t xml:space="preserve">imprescindível a elaboração de um desenho macroeconômico de longo prazo, com metas bem definidas que envolvam todos os atores relevantes no território. Em suma, significa defender um projeto claro de </w:t>
      </w:r>
      <w:r w:rsidRPr="0093288E">
        <w:rPr>
          <w:rFonts w:ascii="Times New Roman" w:eastAsia="Arial" w:hAnsi="Times New Roman" w:cs="Times New Roman"/>
          <w:sz w:val="24"/>
          <w:szCs w:val="24"/>
        </w:rPr>
        <w:lastRenderedPageBreak/>
        <w:t>desenvolvimento nacional assentado em bases regionais, com elevado esforço de elaboração sobre “o que somos”, “o que queremos ser” e “o que é possível” em dado período.</w:t>
      </w:r>
    </w:p>
    <w:p w14:paraId="28539D13"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A questão regional, dessa maneira, deve ser compreendida em perspectiva </w:t>
      </w:r>
      <w:proofErr w:type="spellStart"/>
      <w:r w:rsidRPr="0093288E">
        <w:rPr>
          <w:rFonts w:ascii="Times New Roman" w:eastAsia="Arial" w:hAnsi="Times New Roman" w:cs="Times New Roman"/>
          <w:sz w:val="24"/>
          <w:szCs w:val="24"/>
        </w:rPr>
        <w:t>multiescalar</w:t>
      </w:r>
      <w:proofErr w:type="spellEnd"/>
      <w:r w:rsidRPr="0093288E">
        <w:rPr>
          <w:rFonts w:ascii="Times New Roman" w:eastAsia="Arial" w:hAnsi="Times New Roman" w:cs="Times New Roman"/>
          <w:sz w:val="24"/>
          <w:szCs w:val="24"/>
        </w:rPr>
        <w:t xml:space="preserve">, considerando as especificidades locais dentro de um plano macroestrutural, envolvendo articulações entre as esferas governativas e um amplo leque de representações sociais – associações, sindicatos, cooperativas etc. Nesse sentido, a debilidade das finanças públicas e da capacidade de intervenção do Estado nas últimas décadas representam graves impedimentos às políticas regionais, como </w:t>
      </w:r>
      <w:r>
        <w:rPr>
          <w:rFonts w:ascii="Times New Roman" w:eastAsia="Arial" w:hAnsi="Times New Roman" w:cs="Times New Roman"/>
          <w:sz w:val="24"/>
          <w:szCs w:val="24"/>
        </w:rPr>
        <w:t>discutido mais a frente</w:t>
      </w:r>
      <w:r w:rsidRPr="0093288E">
        <w:rPr>
          <w:rFonts w:ascii="Times New Roman" w:eastAsia="Arial" w:hAnsi="Times New Roman" w:cs="Times New Roman"/>
          <w:sz w:val="24"/>
          <w:szCs w:val="24"/>
        </w:rPr>
        <w:t>, bem como a fragilização das estruturas representativas tradicionais, a exemplo dos sindicatos e associações civis.</w:t>
      </w:r>
    </w:p>
    <w:p w14:paraId="2ABDA018" w14:textId="77777777" w:rsidR="004C77A0" w:rsidRPr="0093288E" w:rsidRDefault="004C77A0" w:rsidP="004C77A0">
      <w:pPr>
        <w:spacing w:line="360" w:lineRule="auto"/>
        <w:jc w:val="both"/>
        <w:rPr>
          <w:rFonts w:ascii="Times New Roman" w:eastAsia="Arial" w:hAnsi="Times New Roman" w:cs="Times New Roman"/>
          <w:b/>
          <w:sz w:val="24"/>
          <w:szCs w:val="24"/>
        </w:rPr>
      </w:pPr>
      <w:r w:rsidRPr="0093288E">
        <w:rPr>
          <w:rFonts w:ascii="Times New Roman" w:eastAsia="Arial" w:hAnsi="Times New Roman" w:cs="Times New Roman"/>
          <w:b/>
          <w:sz w:val="24"/>
          <w:szCs w:val="24"/>
        </w:rPr>
        <w:t xml:space="preserve">2. </w:t>
      </w:r>
      <w:r>
        <w:rPr>
          <w:rFonts w:ascii="Times New Roman" w:eastAsia="Arial" w:hAnsi="Times New Roman" w:cs="Times New Roman"/>
          <w:b/>
          <w:sz w:val="24"/>
          <w:szCs w:val="24"/>
        </w:rPr>
        <w:t xml:space="preserve">As políticas regionais </w:t>
      </w:r>
      <w:r w:rsidRPr="00EC7E3C">
        <w:rPr>
          <w:rFonts w:ascii="Times New Roman" w:eastAsia="Arial" w:hAnsi="Times New Roman" w:cs="Times New Roman"/>
          <w:b/>
          <w:i/>
          <w:iCs/>
          <w:sz w:val="24"/>
          <w:szCs w:val="24"/>
        </w:rPr>
        <w:t>implícitas</w:t>
      </w:r>
      <w:r>
        <w:rPr>
          <w:rFonts w:ascii="Times New Roman" w:eastAsia="Arial" w:hAnsi="Times New Roman" w:cs="Times New Roman"/>
          <w:b/>
          <w:sz w:val="24"/>
          <w:szCs w:val="24"/>
        </w:rPr>
        <w:t xml:space="preserve"> e </w:t>
      </w:r>
      <w:r w:rsidRPr="00EC7E3C">
        <w:rPr>
          <w:rFonts w:ascii="Times New Roman" w:eastAsia="Arial" w:hAnsi="Times New Roman" w:cs="Times New Roman"/>
          <w:b/>
          <w:i/>
          <w:iCs/>
          <w:sz w:val="24"/>
          <w:szCs w:val="24"/>
        </w:rPr>
        <w:t>explícitas</w:t>
      </w:r>
      <w:r>
        <w:rPr>
          <w:rFonts w:ascii="Times New Roman" w:eastAsia="Arial" w:hAnsi="Times New Roman" w:cs="Times New Roman"/>
          <w:b/>
          <w:sz w:val="24"/>
          <w:szCs w:val="24"/>
        </w:rPr>
        <w:t xml:space="preserve"> no século XXI</w:t>
      </w:r>
    </w:p>
    <w:p w14:paraId="47B3896B" w14:textId="77777777" w:rsidR="004C77A0" w:rsidRDefault="004C77A0" w:rsidP="004C77A0">
      <w:pPr>
        <w:spacing w:line="360" w:lineRule="auto"/>
        <w:jc w:val="both"/>
        <w:rPr>
          <w:rFonts w:ascii="Times New Roman" w:eastAsia="Arial" w:hAnsi="Times New Roman" w:cs="Times New Roman"/>
          <w:i/>
          <w:sz w:val="24"/>
          <w:szCs w:val="24"/>
        </w:rPr>
      </w:pPr>
      <w:r>
        <w:rPr>
          <w:rFonts w:ascii="Times New Roman" w:eastAsia="Arial" w:hAnsi="Times New Roman" w:cs="Times New Roman"/>
          <w:i/>
          <w:sz w:val="24"/>
          <w:szCs w:val="24"/>
        </w:rPr>
        <w:t xml:space="preserve">2.1 </w:t>
      </w:r>
      <w:r>
        <w:rPr>
          <w:rFonts w:ascii="Times New Roman" w:eastAsia="Arial" w:hAnsi="Times New Roman" w:cs="Times New Roman"/>
          <w:i/>
          <w:sz w:val="24"/>
          <w:szCs w:val="24"/>
        </w:rPr>
        <w:tab/>
        <w:t xml:space="preserve">Impactos das políticas regionais </w:t>
      </w:r>
      <w:r w:rsidRPr="00DA5BAA">
        <w:rPr>
          <w:rFonts w:ascii="Times New Roman" w:eastAsia="Arial" w:hAnsi="Times New Roman" w:cs="Times New Roman"/>
          <w:iCs/>
          <w:sz w:val="24"/>
          <w:szCs w:val="24"/>
        </w:rPr>
        <w:t>implícitas</w:t>
      </w:r>
      <w:r w:rsidRPr="00AD742A">
        <w:rPr>
          <w:rFonts w:ascii="Times New Roman" w:eastAsia="Arial" w:hAnsi="Times New Roman" w:cs="Times New Roman"/>
          <w:i/>
          <w:sz w:val="24"/>
          <w:szCs w:val="24"/>
        </w:rPr>
        <w:t xml:space="preserve"> e </w:t>
      </w:r>
      <w:r w:rsidRPr="00DA5BAA">
        <w:rPr>
          <w:rFonts w:ascii="Times New Roman" w:eastAsia="Arial" w:hAnsi="Times New Roman" w:cs="Times New Roman"/>
          <w:iCs/>
          <w:sz w:val="24"/>
          <w:szCs w:val="24"/>
        </w:rPr>
        <w:t>explícitas</w:t>
      </w:r>
    </w:p>
    <w:p w14:paraId="4DAB9966" w14:textId="77777777" w:rsidR="004C77A0" w:rsidRPr="0093288E" w:rsidRDefault="004C77A0" w:rsidP="004C77A0">
      <w:pPr>
        <w:spacing w:line="360" w:lineRule="auto"/>
        <w:ind w:firstLine="720"/>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Articulando uma leitura do contexto econômico nacional e sua integração externa com as dinâmicas territoriais do país, Carlos Brandão</w:t>
      </w:r>
      <w:r>
        <w:rPr>
          <w:rFonts w:ascii="Times New Roman" w:eastAsia="Arial" w:hAnsi="Times New Roman" w:cs="Times New Roman"/>
          <w:sz w:val="24"/>
          <w:szCs w:val="24"/>
        </w:rPr>
        <w:t xml:space="preserve"> (2019)</w:t>
      </w:r>
      <w:r w:rsidRPr="0093288E">
        <w:rPr>
          <w:rFonts w:ascii="Times New Roman" w:eastAsia="Arial" w:hAnsi="Times New Roman" w:cs="Times New Roman"/>
          <w:sz w:val="24"/>
          <w:szCs w:val="24"/>
        </w:rPr>
        <w:t xml:space="preserve"> sugeriu uma caracterização de 5 fatores que explic</w:t>
      </w:r>
      <w:r>
        <w:rPr>
          <w:rFonts w:ascii="Times New Roman" w:eastAsia="Arial" w:hAnsi="Times New Roman" w:cs="Times New Roman"/>
          <w:sz w:val="24"/>
          <w:szCs w:val="24"/>
        </w:rPr>
        <w:t>a</w:t>
      </w:r>
      <w:r w:rsidRPr="0093288E">
        <w:rPr>
          <w:rFonts w:ascii="Times New Roman" w:eastAsia="Arial" w:hAnsi="Times New Roman" w:cs="Times New Roman"/>
          <w:sz w:val="24"/>
          <w:szCs w:val="24"/>
        </w:rPr>
        <w:t xml:space="preserve">m, em maior ou menor medida, como o território tem sido economicamente impactado nas últimas duas décadas: </w:t>
      </w:r>
      <w:r w:rsidRPr="0093288E">
        <w:rPr>
          <w:rFonts w:ascii="Times New Roman" w:eastAsia="Arial" w:hAnsi="Times New Roman" w:cs="Times New Roman"/>
          <w:i/>
          <w:sz w:val="24"/>
          <w:szCs w:val="24"/>
        </w:rPr>
        <w:t>i)</w:t>
      </w:r>
      <w:r w:rsidRPr="0093288E">
        <w:rPr>
          <w:rFonts w:ascii="Times New Roman" w:eastAsia="Arial" w:hAnsi="Times New Roman" w:cs="Times New Roman"/>
          <w:sz w:val="24"/>
          <w:szCs w:val="24"/>
        </w:rPr>
        <w:t xml:space="preserve"> pela demanda global de </w:t>
      </w:r>
      <w:r w:rsidRPr="0093288E">
        <w:rPr>
          <w:rFonts w:ascii="Times New Roman" w:eastAsia="Arial" w:hAnsi="Times New Roman" w:cs="Times New Roman"/>
          <w:i/>
          <w:sz w:val="24"/>
          <w:szCs w:val="24"/>
        </w:rPr>
        <w:t xml:space="preserve">commodities; </w:t>
      </w:r>
      <w:proofErr w:type="spellStart"/>
      <w:r w:rsidRPr="0093288E">
        <w:rPr>
          <w:rFonts w:ascii="Times New Roman" w:eastAsia="Arial" w:hAnsi="Times New Roman" w:cs="Times New Roman"/>
          <w:i/>
          <w:sz w:val="24"/>
          <w:szCs w:val="24"/>
        </w:rPr>
        <w:t>ii</w:t>
      </w:r>
      <w:proofErr w:type="spellEnd"/>
      <w:r w:rsidRPr="0093288E">
        <w:rPr>
          <w:rFonts w:ascii="Times New Roman" w:eastAsia="Arial" w:hAnsi="Times New Roman" w:cs="Times New Roman"/>
          <w:i/>
          <w:sz w:val="24"/>
          <w:szCs w:val="24"/>
        </w:rPr>
        <w:t>)</w:t>
      </w:r>
      <w:r w:rsidRPr="0093288E">
        <w:rPr>
          <w:rFonts w:ascii="Times New Roman" w:eastAsia="Arial" w:hAnsi="Times New Roman" w:cs="Times New Roman"/>
          <w:sz w:val="24"/>
          <w:szCs w:val="24"/>
        </w:rPr>
        <w:t xml:space="preserve"> pelos investimentos realizados ou orientados pelo Estado nas infraestruturas econômicas; </w:t>
      </w:r>
      <w:proofErr w:type="spellStart"/>
      <w:r w:rsidRPr="0093288E">
        <w:rPr>
          <w:rFonts w:ascii="Times New Roman" w:eastAsia="Arial" w:hAnsi="Times New Roman" w:cs="Times New Roman"/>
          <w:i/>
          <w:sz w:val="24"/>
          <w:szCs w:val="24"/>
        </w:rPr>
        <w:t>iii</w:t>
      </w:r>
      <w:proofErr w:type="spellEnd"/>
      <w:r w:rsidRPr="0093288E">
        <w:rPr>
          <w:rFonts w:ascii="Times New Roman" w:eastAsia="Arial" w:hAnsi="Times New Roman" w:cs="Times New Roman"/>
          <w:i/>
          <w:sz w:val="24"/>
          <w:szCs w:val="24"/>
        </w:rPr>
        <w:t>)</w:t>
      </w:r>
      <w:r w:rsidRPr="0093288E">
        <w:rPr>
          <w:rFonts w:ascii="Times New Roman" w:eastAsia="Arial" w:hAnsi="Times New Roman" w:cs="Times New Roman"/>
          <w:sz w:val="24"/>
          <w:szCs w:val="24"/>
        </w:rPr>
        <w:t xml:space="preserve"> pela força inercial dos fatores de aglomeração e urbanização e as externalidades positivas daí resultantes; </w:t>
      </w:r>
      <w:proofErr w:type="spellStart"/>
      <w:r w:rsidRPr="0093288E">
        <w:rPr>
          <w:rFonts w:ascii="Times New Roman" w:eastAsia="Arial" w:hAnsi="Times New Roman" w:cs="Times New Roman"/>
          <w:i/>
          <w:sz w:val="24"/>
          <w:szCs w:val="24"/>
        </w:rPr>
        <w:t>iv</w:t>
      </w:r>
      <w:proofErr w:type="spellEnd"/>
      <w:r w:rsidRPr="0093288E">
        <w:rPr>
          <w:rFonts w:ascii="Times New Roman" w:eastAsia="Arial" w:hAnsi="Times New Roman" w:cs="Times New Roman"/>
          <w:i/>
          <w:sz w:val="24"/>
          <w:szCs w:val="24"/>
        </w:rPr>
        <w:t>)</w:t>
      </w:r>
      <w:r w:rsidRPr="0093288E">
        <w:rPr>
          <w:rFonts w:ascii="Times New Roman" w:eastAsia="Arial" w:hAnsi="Times New Roman" w:cs="Times New Roman"/>
          <w:sz w:val="24"/>
          <w:szCs w:val="24"/>
        </w:rPr>
        <w:t xml:space="preserve"> investimentos pontuais restritos à atividade de interesse, que tendem a formar enclaves ou polos de baixíssimos encadeamentos no entorno; e </w:t>
      </w:r>
      <w:r w:rsidRPr="0093288E">
        <w:rPr>
          <w:rFonts w:ascii="Times New Roman" w:eastAsia="Arial" w:hAnsi="Times New Roman" w:cs="Times New Roman"/>
          <w:i/>
          <w:sz w:val="24"/>
          <w:szCs w:val="24"/>
        </w:rPr>
        <w:t>v)</w:t>
      </w:r>
      <w:r w:rsidRPr="0093288E">
        <w:rPr>
          <w:rFonts w:ascii="Times New Roman" w:eastAsia="Arial" w:hAnsi="Times New Roman" w:cs="Times New Roman"/>
          <w:sz w:val="24"/>
          <w:szCs w:val="24"/>
        </w:rPr>
        <w:t xml:space="preserve"> melhora no nível de renda por conta de políticas sociais distributivas, alargando os mercados locais.</w:t>
      </w:r>
    </w:p>
    <w:p w14:paraId="4B28BB7D" w14:textId="77777777" w:rsidR="004C77A0" w:rsidRPr="0093288E" w:rsidRDefault="004C77A0" w:rsidP="004C77A0">
      <w:pPr>
        <w:spacing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ab/>
        <w:t xml:space="preserve">Essa leitura aponta para impactos regionais diferenciados resultantes de políticas regionais </w:t>
      </w:r>
      <w:r w:rsidRPr="00694F24">
        <w:rPr>
          <w:rFonts w:ascii="Times New Roman" w:eastAsia="Arial" w:hAnsi="Times New Roman" w:cs="Times New Roman"/>
          <w:i/>
          <w:iCs/>
          <w:sz w:val="24"/>
          <w:szCs w:val="24"/>
        </w:rPr>
        <w:t>implícitas</w:t>
      </w:r>
      <w:r w:rsidRPr="0093288E">
        <w:rPr>
          <w:rFonts w:ascii="Times New Roman" w:eastAsia="Arial" w:hAnsi="Times New Roman" w:cs="Times New Roman"/>
          <w:sz w:val="24"/>
          <w:szCs w:val="24"/>
        </w:rPr>
        <w:t xml:space="preserve"> e </w:t>
      </w:r>
      <w:r w:rsidRPr="00694F24">
        <w:rPr>
          <w:rFonts w:ascii="Times New Roman" w:eastAsia="Arial" w:hAnsi="Times New Roman" w:cs="Times New Roman"/>
          <w:i/>
          <w:iCs/>
          <w:sz w:val="24"/>
          <w:szCs w:val="24"/>
        </w:rPr>
        <w:t>explícitas</w:t>
      </w:r>
      <w:r w:rsidRPr="0093288E">
        <w:rPr>
          <w:rFonts w:ascii="Times New Roman" w:eastAsia="Arial" w:hAnsi="Times New Roman" w:cs="Times New Roman"/>
          <w:sz w:val="24"/>
          <w:szCs w:val="24"/>
        </w:rPr>
        <w:t>. As políticas compensatórias e de valorização do salário</w:t>
      </w:r>
      <w:r>
        <w:rPr>
          <w:rFonts w:ascii="Times New Roman" w:eastAsia="Arial" w:hAnsi="Times New Roman" w:cs="Times New Roman"/>
          <w:sz w:val="24"/>
          <w:szCs w:val="24"/>
        </w:rPr>
        <w:t>-</w:t>
      </w:r>
      <w:r w:rsidRPr="0093288E">
        <w:rPr>
          <w:rFonts w:ascii="Times New Roman" w:eastAsia="Arial" w:hAnsi="Times New Roman" w:cs="Times New Roman"/>
          <w:sz w:val="24"/>
          <w:szCs w:val="24"/>
        </w:rPr>
        <w:t xml:space="preserve">mínimo postas em ação entre 2002 e 2015, por exemplo, ativaram efeitos econômicos regionais importantes, configurando uma externalidade positiva, mesmo que seu objetivo específico não estivesse orientado a uma política de corte territorial. Por isso, essas </w:t>
      </w:r>
      <w:r>
        <w:rPr>
          <w:rFonts w:ascii="Times New Roman" w:eastAsia="Arial" w:hAnsi="Times New Roman" w:cs="Times New Roman"/>
          <w:sz w:val="24"/>
          <w:szCs w:val="24"/>
        </w:rPr>
        <w:t xml:space="preserve">intervenções </w:t>
      </w:r>
      <w:r w:rsidRPr="0093288E">
        <w:rPr>
          <w:rFonts w:ascii="Times New Roman" w:eastAsia="Arial" w:hAnsi="Times New Roman" w:cs="Times New Roman"/>
          <w:sz w:val="24"/>
          <w:szCs w:val="24"/>
        </w:rPr>
        <w:t xml:space="preserve">são consideradas políticas regionais “implícitas”. Já a decisão microeconômica pelo investimento em determinada região pode ser franqueada por dispositivos tradicionais (“explícitos”) de </w:t>
      </w:r>
      <w:r w:rsidRPr="0093288E">
        <w:rPr>
          <w:rFonts w:ascii="Times New Roman" w:eastAsia="Arial" w:hAnsi="Times New Roman" w:cs="Times New Roman"/>
          <w:sz w:val="24"/>
          <w:szCs w:val="24"/>
        </w:rPr>
        <w:lastRenderedPageBreak/>
        <w:t>atração de capitais, como aqueles dos Fundos Constitucionais, mas não necessariamente são resultantes desses estímulos. Portanto, a definição do “implícito” e “explícito” não é clara em todas as circunstâncias, mas é razoável supor que os investimentos relevantes no território sejam captados, ou de alguma forma caracterizados, por ao menos uma das classificações propostas por essa tipologia.</w:t>
      </w:r>
    </w:p>
    <w:p w14:paraId="74AD97A7"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É o caso da expansão da fronteira agropecuária brasileira nas regiões Centro-Oeste, Norte e Nordeste do país, que responde a estímulos externos da demanda por </w:t>
      </w:r>
      <w:r w:rsidRPr="0093288E">
        <w:rPr>
          <w:rFonts w:ascii="Times New Roman" w:eastAsia="Arial" w:hAnsi="Times New Roman" w:cs="Times New Roman"/>
          <w:i/>
          <w:sz w:val="24"/>
          <w:szCs w:val="24"/>
        </w:rPr>
        <w:t>commodities</w:t>
      </w:r>
      <w:r w:rsidRPr="0093288E">
        <w:rPr>
          <w:rFonts w:ascii="Times New Roman" w:eastAsia="Arial" w:hAnsi="Times New Roman" w:cs="Times New Roman"/>
          <w:sz w:val="24"/>
          <w:szCs w:val="24"/>
        </w:rPr>
        <w:t>. Tendo em vista a volatilidade característica desse mercado e a vulnerabilidade na qual as regiões produtoras se v</w:t>
      </w:r>
      <w:r>
        <w:rPr>
          <w:rFonts w:ascii="Times New Roman" w:eastAsia="Arial" w:hAnsi="Times New Roman" w:cs="Times New Roman"/>
          <w:sz w:val="24"/>
          <w:szCs w:val="24"/>
        </w:rPr>
        <w:t>e</w:t>
      </w:r>
      <w:r w:rsidRPr="0093288E">
        <w:rPr>
          <w:rFonts w:ascii="Times New Roman" w:eastAsia="Arial" w:hAnsi="Times New Roman" w:cs="Times New Roman"/>
          <w:sz w:val="24"/>
          <w:szCs w:val="24"/>
        </w:rPr>
        <w:t xml:space="preserve">em quando especializadas nessas atividades, a elaboração de políticas que apontem alternativas de produção e integração econômica com o restante do território parece relevante. Ademais, a força da representatividade dos interesses ligados ao setor primário-exportador centraliza boa parte das intervenções do Poder Público no território na forma das infraestruturas econômicas, principalmente as relativas à logística, que procuram integrar as zonas de produção às regiões litorâneas para a exportação, reduzindo-se assim os custos do setor. </w:t>
      </w:r>
    </w:p>
    <w:p w14:paraId="429FDB6D"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Dessa maneira, há pelo menos forte integração entre as três tipologias apontadas por Brandão: os investimentos ligados às </w:t>
      </w:r>
      <w:r w:rsidRPr="0093288E">
        <w:rPr>
          <w:rFonts w:ascii="Times New Roman" w:eastAsia="Arial" w:hAnsi="Times New Roman" w:cs="Times New Roman"/>
          <w:i/>
          <w:sz w:val="24"/>
          <w:szCs w:val="24"/>
        </w:rPr>
        <w:t>commodities</w:t>
      </w:r>
      <w:r w:rsidRPr="0093288E">
        <w:rPr>
          <w:rFonts w:ascii="Times New Roman" w:eastAsia="Arial" w:hAnsi="Times New Roman" w:cs="Times New Roman"/>
          <w:sz w:val="24"/>
          <w:szCs w:val="24"/>
        </w:rPr>
        <w:t xml:space="preserve"> tendem a criar certos investimentos com característica de enclave no território, ao mesmo tempo que acionam a participação do setor público no sentido de suportar as atividades ligadas ao impulso externo</w:t>
      </w:r>
      <w:r w:rsidRPr="0093288E">
        <w:rPr>
          <w:rFonts w:ascii="Times New Roman" w:eastAsia="Arial" w:hAnsi="Times New Roman" w:cs="Times New Roman"/>
          <w:sz w:val="24"/>
          <w:szCs w:val="24"/>
          <w:vertAlign w:val="superscript"/>
        </w:rPr>
        <w:footnoteReference w:id="2"/>
      </w:r>
      <w:r w:rsidRPr="0093288E">
        <w:rPr>
          <w:rFonts w:ascii="Times New Roman" w:eastAsia="Arial" w:hAnsi="Times New Roman" w:cs="Times New Roman"/>
          <w:sz w:val="24"/>
          <w:szCs w:val="24"/>
        </w:rPr>
        <w:t xml:space="preserve">. Por óbvio, as intervenções no território nesses casos não derivam do planejamento regional como política de integração nacional e elevação da renda, ainda que estas invariavelmente acessem o fundo público para se realizarem, mas sim de demandas de um segmento privado que acaba definindo o ordenamento territorial segundo seus interesses particulares. Portanto, não se trata de mitigação dos “desequilíbrios regionais” históricos ou de intervenção lastreada num projeto de desenvolvimento nacional, mas sim da viabilização e ampliação do excedente acumulado por </w:t>
      </w:r>
      <w:r w:rsidRPr="0093288E">
        <w:rPr>
          <w:rFonts w:ascii="Times New Roman" w:eastAsia="Arial" w:hAnsi="Times New Roman" w:cs="Times New Roman"/>
          <w:sz w:val="24"/>
          <w:szCs w:val="24"/>
        </w:rPr>
        <w:lastRenderedPageBreak/>
        <w:t>um setor de importância ascendente – e talvez hegemônica – na condução política e econômica do país.</w:t>
      </w:r>
    </w:p>
    <w:p w14:paraId="09B1C4E2" w14:textId="77777777" w:rsidR="004C77A0" w:rsidRDefault="004C77A0" w:rsidP="004C77A0">
      <w:pPr>
        <w:spacing w:line="360" w:lineRule="auto"/>
        <w:ind w:firstLine="708"/>
        <w:jc w:val="both"/>
        <w:rPr>
          <w:rFonts w:ascii="Times New Roman" w:eastAsia="Arial" w:hAnsi="Times New Roman" w:cs="Times New Roman"/>
          <w:iCs/>
          <w:sz w:val="24"/>
          <w:szCs w:val="24"/>
        </w:rPr>
      </w:pPr>
      <w:r w:rsidRPr="0093288E">
        <w:rPr>
          <w:rFonts w:ascii="Times New Roman" w:eastAsia="Arial" w:hAnsi="Times New Roman" w:cs="Times New Roman"/>
          <w:sz w:val="24"/>
          <w:szCs w:val="24"/>
        </w:rPr>
        <w:t xml:space="preserve">Todavia, não se pode desconsiderar os impactos positivos que a infraestrutura logística possibilita às regiões por ela conectada, mesmo que sua fundamentação seja voltada a interesses específicos, dado que permite integração </w:t>
      </w:r>
      <w:proofErr w:type="spellStart"/>
      <w:r w:rsidRPr="0093288E">
        <w:rPr>
          <w:rFonts w:ascii="Times New Roman" w:eastAsia="Arial" w:hAnsi="Times New Roman" w:cs="Times New Roman"/>
          <w:sz w:val="24"/>
          <w:szCs w:val="24"/>
        </w:rPr>
        <w:t>inter</w:t>
      </w:r>
      <w:proofErr w:type="spellEnd"/>
      <w:r w:rsidRPr="0093288E">
        <w:rPr>
          <w:rFonts w:ascii="Times New Roman" w:eastAsia="Arial" w:hAnsi="Times New Roman" w:cs="Times New Roman"/>
          <w:sz w:val="24"/>
          <w:szCs w:val="24"/>
        </w:rPr>
        <w:t xml:space="preserve"> e intrarregional e a viabilização de negócios em sua extensão. Contudo, é importante destacar que o vigor dessas externalidades na escala regional é amplamente dependente das condições gerais de crescimento econômico e d</w:t>
      </w:r>
      <w:r>
        <w:rPr>
          <w:rFonts w:ascii="Times New Roman" w:eastAsia="Arial" w:hAnsi="Times New Roman" w:cs="Times New Roman"/>
          <w:sz w:val="24"/>
          <w:szCs w:val="24"/>
        </w:rPr>
        <w:t>o</w:t>
      </w:r>
      <w:r w:rsidRPr="0093288E">
        <w:rPr>
          <w:rFonts w:ascii="Times New Roman" w:eastAsia="Arial" w:hAnsi="Times New Roman" w:cs="Times New Roman"/>
          <w:sz w:val="24"/>
          <w:szCs w:val="24"/>
        </w:rPr>
        <w:t xml:space="preserve"> padrão de distribuição da renda</w:t>
      </w:r>
      <w:r>
        <w:rPr>
          <w:rFonts w:ascii="Times New Roman" w:eastAsia="Arial" w:hAnsi="Times New Roman" w:cs="Times New Roman"/>
          <w:sz w:val="24"/>
          <w:szCs w:val="24"/>
        </w:rPr>
        <w:t>,</w:t>
      </w:r>
      <w:r w:rsidRPr="0093288E">
        <w:rPr>
          <w:rFonts w:ascii="Times New Roman" w:eastAsia="Arial" w:hAnsi="Times New Roman" w:cs="Times New Roman"/>
          <w:sz w:val="24"/>
          <w:szCs w:val="24"/>
        </w:rPr>
        <w:t xml:space="preserve"> e não somente das dinâmicas do mercado externo que animam as atividades ligadas ao setor primário. Em suma, os estímulos do ambiente econômico como um todo são responsáveis </w:t>
      </w:r>
      <w:r>
        <w:rPr>
          <w:rFonts w:ascii="Times New Roman" w:eastAsia="Arial" w:hAnsi="Times New Roman" w:cs="Times New Roman"/>
          <w:sz w:val="24"/>
          <w:szCs w:val="24"/>
        </w:rPr>
        <w:t xml:space="preserve">pelo </w:t>
      </w:r>
      <w:r w:rsidRPr="0093288E">
        <w:rPr>
          <w:rFonts w:ascii="Times New Roman" w:eastAsia="Arial" w:hAnsi="Times New Roman" w:cs="Times New Roman"/>
          <w:sz w:val="24"/>
          <w:szCs w:val="24"/>
        </w:rPr>
        <w:t>maior ou menor sucesso das políticas regionais “implícitas” ou “explícitas”.</w:t>
      </w:r>
    </w:p>
    <w:p w14:paraId="03DAD53E" w14:textId="77777777" w:rsidR="004C77A0" w:rsidRPr="00D8467C" w:rsidRDefault="004C77A0" w:rsidP="004C77A0">
      <w:pPr>
        <w:spacing w:line="360" w:lineRule="auto"/>
        <w:jc w:val="both"/>
        <w:rPr>
          <w:rFonts w:ascii="Times New Roman" w:eastAsia="Arial" w:hAnsi="Times New Roman" w:cs="Times New Roman"/>
          <w:iCs/>
          <w:sz w:val="24"/>
          <w:szCs w:val="24"/>
        </w:rPr>
      </w:pPr>
      <w:r w:rsidRPr="00D8467C">
        <w:rPr>
          <w:rFonts w:ascii="Times New Roman" w:eastAsia="Arial" w:hAnsi="Times New Roman" w:cs="Times New Roman"/>
          <w:i/>
          <w:sz w:val="24"/>
          <w:szCs w:val="24"/>
        </w:rPr>
        <w:t xml:space="preserve">2.2 </w:t>
      </w:r>
      <w:r w:rsidRPr="00D8467C">
        <w:rPr>
          <w:rFonts w:ascii="Times New Roman" w:eastAsia="Arial" w:hAnsi="Times New Roman" w:cs="Times New Roman"/>
          <w:i/>
          <w:sz w:val="24"/>
          <w:szCs w:val="24"/>
        </w:rPr>
        <w:tab/>
      </w:r>
      <w:r w:rsidRPr="0093288E">
        <w:rPr>
          <w:rFonts w:ascii="Times New Roman" w:eastAsia="Arial" w:hAnsi="Times New Roman" w:cs="Times New Roman"/>
          <w:i/>
          <w:sz w:val="24"/>
          <w:szCs w:val="24"/>
        </w:rPr>
        <w:t xml:space="preserve">A qualidade das </w:t>
      </w:r>
      <w:r>
        <w:rPr>
          <w:rFonts w:ascii="Times New Roman" w:eastAsia="Arial" w:hAnsi="Times New Roman" w:cs="Times New Roman"/>
          <w:i/>
          <w:sz w:val="24"/>
          <w:szCs w:val="24"/>
        </w:rPr>
        <w:t>“</w:t>
      </w:r>
      <w:r w:rsidRPr="0093288E">
        <w:rPr>
          <w:rFonts w:ascii="Times New Roman" w:eastAsia="Arial" w:hAnsi="Times New Roman" w:cs="Times New Roman"/>
          <w:i/>
          <w:sz w:val="24"/>
          <w:szCs w:val="24"/>
        </w:rPr>
        <w:t>intervenções clássicas</w:t>
      </w:r>
      <w:r>
        <w:rPr>
          <w:rFonts w:ascii="Times New Roman" w:eastAsia="Arial" w:hAnsi="Times New Roman" w:cs="Times New Roman"/>
          <w:i/>
          <w:sz w:val="24"/>
          <w:szCs w:val="24"/>
        </w:rPr>
        <w:t>” ou explícitas</w:t>
      </w:r>
      <w:r w:rsidRPr="0093288E">
        <w:rPr>
          <w:rFonts w:ascii="Times New Roman" w:eastAsia="Arial" w:hAnsi="Times New Roman" w:cs="Times New Roman"/>
          <w:i/>
          <w:sz w:val="24"/>
          <w:szCs w:val="24"/>
        </w:rPr>
        <w:t xml:space="preserve"> contemporaneamente</w:t>
      </w:r>
    </w:p>
    <w:p w14:paraId="7D335568" w14:textId="77777777" w:rsidR="004C77A0" w:rsidRPr="0093288E" w:rsidRDefault="004C77A0" w:rsidP="004C77A0">
      <w:pPr>
        <w:spacing w:line="360" w:lineRule="auto"/>
        <w:ind w:firstLine="720"/>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As mudanças na concepção do papel do Estado na sociedade nos anos 1990, no bojo do chamado “Consenso de Washington”, transformaram a atuação do Poder Público em diversas frentes. A ideia subjacente era de que seu “enxugamento” levaria à maior eficiência </w:t>
      </w:r>
      <w:r>
        <w:rPr>
          <w:rFonts w:ascii="Times New Roman" w:eastAsia="Arial" w:hAnsi="Times New Roman" w:cs="Times New Roman"/>
          <w:sz w:val="24"/>
          <w:szCs w:val="24"/>
        </w:rPr>
        <w:t>econômica se conduzida pela</w:t>
      </w:r>
      <w:r w:rsidRPr="0093288E">
        <w:rPr>
          <w:rFonts w:ascii="Times New Roman" w:eastAsia="Arial" w:hAnsi="Times New Roman" w:cs="Times New Roman"/>
          <w:sz w:val="24"/>
          <w:szCs w:val="24"/>
        </w:rPr>
        <w:t xml:space="preserve"> iniciativa privada, o que resultaria </w:t>
      </w:r>
      <w:r>
        <w:rPr>
          <w:rFonts w:ascii="Times New Roman" w:eastAsia="Arial" w:hAnsi="Times New Roman" w:cs="Times New Roman"/>
          <w:sz w:val="24"/>
          <w:szCs w:val="24"/>
        </w:rPr>
        <w:t xml:space="preserve">na majoração dos </w:t>
      </w:r>
      <w:r w:rsidRPr="0093288E">
        <w:rPr>
          <w:rFonts w:ascii="Times New Roman" w:eastAsia="Arial" w:hAnsi="Times New Roman" w:cs="Times New Roman"/>
          <w:sz w:val="24"/>
          <w:szCs w:val="24"/>
        </w:rPr>
        <w:t>ganhos coletivos. Retoricamente foi esse o argumento que sustentou as privatizações no período, embora as razões pragmáticas se assentassem na necessidade de atrair influxos em dólar para a manutenção da política cambial – o Plano Real se sustentava numa forte valorização da moeda nacional em relação ao dólar estadunidense – e aliviar os desequilíbrios orçamentários da União, que, ao alienar ativos, liberaria recursos para o pagamento dos juros da dívida pública, seguindo o receituário de superávits primários</w:t>
      </w:r>
      <w:r>
        <w:rPr>
          <w:rFonts w:ascii="Times New Roman" w:eastAsia="Arial" w:hAnsi="Times New Roman" w:cs="Times New Roman"/>
          <w:sz w:val="24"/>
          <w:szCs w:val="24"/>
        </w:rPr>
        <w:t xml:space="preserve"> (FILGUEIRAS, 2000)</w:t>
      </w:r>
      <w:r w:rsidRPr="0093288E">
        <w:rPr>
          <w:rFonts w:ascii="Times New Roman" w:eastAsia="Arial" w:hAnsi="Times New Roman" w:cs="Times New Roman"/>
          <w:sz w:val="24"/>
          <w:szCs w:val="24"/>
        </w:rPr>
        <w:t>.</w:t>
      </w:r>
    </w:p>
    <w:p w14:paraId="3560653A" w14:textId="77777777" w:rsidR="004C77A0" w:rsidRDefault="004C77A0" w:rsidP="004C77A0">
      <w:pPr>
        <w:spacing w:line="360" w:lineRule="auto"/>
        <w:ind w:firstLine="708"/>
        <w:jc w:val="both"/>
        <w:rPr>
          <w:rFonts w:ascii="Times New Roman" w:hAnsi="Times New Roman" w:cs="Times New Roman"/>
          <w:sz w:val="24"/>
          <w:szCs w:val="24"/>
        </w:rPr>
      </w:pPr>
      <w:r w:rsidRPr="0093288E">
        <w:rPr>
          <w:rFonts w:ascii="Times New Roman" w:eastAsia="Arial" w:hAnsi="Times New Roman" w:cs="Times New Roman"/>
          <w:sz w:val="24"/>
          <w:szCs w:val="24"/>
        </w:rPr>
        <w:t>Essa orientação fez com que as empresas públicas deixassem de ter o papel de indutoras do desenvolvimento regional</w:t>
      </w:r>
      <w:r>
        <w:rPr>
          <w:rFonts w:ascii="Times New Roman" w:eastAsia="Arial" w:hAnsi="Times New Roman" w:cs="Times New Roman"/>
          <w:sz w:val="24"/>
          <w:szCs w:val="24"/>
        </w:rPr>
        <w:t>, como desemprenharam historicamente no período anterior</w:t>
      </w:r>
      <w:r w:rsidRPr="0093288E">
        <w:rPr>
          <w:rFonts w:ascii="Times New Roman" w:eastAsia="Arial" w:hAnsi="Times New Roman" w:cs="Times New Roman"/>
          <w:sz w:val="24"/>
          <w:szCs w:val="24"/>
        </w:rPr>
        <w:t>. Diante do debate fiscal que passou a ser predominante no cenário político, a importância do investimento público foi pouco a pouco solapada, privilegiando concessões e projetos de interesse da iniciativa privada que não dialoga</w:t>
      </w:r>
      <w:r>
        <w:rPr>
          <w:rFonts w:ascii="Times New Roman" w:eastAsia="Arial" w:hAnsi="Times New Roman" w:cs="Times New Roman"/>
          <w:sz w:val="24"/>
          <w:szCs w:val="24"/>
        </w:rPr>
        <w:t>va</w:t>
      </w:r>
      <w:r w:rsidRPr="0093288E">
        <w:rPr>
          <w:rFonts w:ascii="Times New Roman" w:eastAsia="Arial" w:hAnsi="Times New Roman" w:cs="Times New Roman"/>
          <w:sz w:val="24"/>
          <w:szCs w:val="24"/>
        </w:rPr>
        <w:t xml:space="preserve">m com </w:t>
      </w:r>
      <w:r>
        <w:rPr>
          <w:rFonts w:ascii="Times New Roman" w:eastAsia="Arial" w:hAnsi="Times New Roman" w:cs="Times New Roman"/>
          <w:sz w:val="24"/>
          <w:szCs w:val="24"/>
        </w:rPr>
        <w:t>o</w:t>
      </w:r>
      <w:r w:rsidRPr="0093288E">
        <w:rPr>
          <w:rFonts w:ascii="Times New Roman" w:eastAsia="Arial" w:hAnsi="Times New Roman" w:cs="Times New Roman"/>
          <w:sz w:val="24"/>
          <w:szCs w:val="24"/>
        </w:rPr>
        <w:t xml:space="preserve"> escopo mais amplo d</w:t>
      </w:r>
      <w:r>
        <w:rPr>
          <w:rFonts w:ascii="Times New Roman" w:eastAsia="Arial" w:hAnsi="Times New Roman" w:cs="Times New Roman"/>
          <w:sz w:val="24"/>
          <w:szCs w:val="24"/>
        </w:rPr>
        <w:t>a</w:t>
      </w:r>
      <w:r w:rsidRPr="0093288E">
        <w:rPr>
          <w:rFonts w:ascii="Times New Roman" w:eastAsia="Arial" w:hAnsi="Times New Roman" w:cs="Times New Roman"/>
          <w:sz w:val="24"/>
          <w:szCs w:val="24"/>
        </w:rPr>
        <w:t xml:space="preserve"> integração territorial e convergência de renda. O resultado dessa orientação </w:t>
      </w:r>
      <w:r>
        <w:rPr>
          <w:rFonts w:ascii="Times New Roman" w:eastAsia="Arial" w:hAnsi="Times New Roman" w:cs="Times New Roman"/>
          <w:sz w:val="24"/>
          <w:szCs w:val="24"/>
        </w:rPr>
        <w:t xml:space="preserve">foi </w:t>
      </w:r>
      <w:r w:rsidRPr="0093288E">
        <w:rPr>
          <w:rFonts w:ascii="Times New Roman" w:eastAsia="Arial" w:hAnsi="Times New Roman" w:cs="Times New Roman"/>
          <w:sz w:val="24"/>
          <w:szCs w:val="24"/>
        </w:rPr>
        <w:t xml:space="preserve">o particionamento de </w:t>
      </w:r>
      <w:r w:rsidRPr="0093288E">
        <w:rPr>
          <w:rFonts w:ascii="Times New Roman" w:eastAsia="Arial" w:hAnsi="Times New Roman" w:cs="Times New Roman"/>
          <w:sz w:val="24"/>
          <w:szCs w:val="24"/>
        </w:rPr>
        <w:lastRenderedPageBreak/>
        <w:t>empresas e projetos, com a consequente perda da dimensão estratégica nacional</w:t>
      </w:r>
      <w:r w:rsidRPr="0093288E">
        <w:rPr>
          <w:rFonts w:ascii="Times New Roman" w:hAnsi="Times New Roman" w:cs="Times New Roman"/>
          <w:sz w:val="24"/>
          <w:szCs w:val="24"/>
        </w:rPr>
        <w:t xml:space="preserve">, visto que as decisões </w:t>
      </w:r>
      <w:proofErr w:type="spellStart"/>
      <w:r w:rsidRPr="0093288E">
        <w:rPr>
          <w:rFonts w:ascii="Times New Roman" w:hAnsi="Times New Roman" w:cs="Times New Roman"/>
          <w:sz w:val="24"/>
          <w:szCs w:val="24"/>
        </w:rPr>
        <w:t>privadas</w:t>
      </w:r>
      <w:proofErr w:type="spellEnd"/>
      <w:r w:rsidRPr="0093288E">
        <w:rPr>
          <w:rFonts w:ascii="Times New Roman" w:hAnsi="Times New Roman" w:cs="Times New Roman"/>
          <w:sz w:val="24"/>
          <w:szCs w:val="24"/>
        </w:rPr>
        <w:t xml:space="preserve"> têm por objetivo a maximização dos lucros </w:t>
      </w:r>
      <w:r>
        <w:rPr>
          <w:rFonts w:ascii="Times New Roman" w:hAnsi="Times New Roman" w:cs="Times New Roman"/>
          <w:sz w:val="24"/>
          <w:szCs w:val="24"/>
        </w:rPr>
        <w:t>(</w:t>
      </w:r>
      <w:r w:rsidRPr="0093288E">
        <w:rPr>
          <w:rFonts w:ascii="Times New Roman" w:hAnsi="Times New Roman" w:cs="Times New Roman"/>
          <w:sz w:val="24"/>
          <w:szCs w:val="24"/>
        </w:rPr>
        <w:t>privados), e não a atuação orientada a ganhos difusos e de longo prazo. Mesmo as empresas que resistiram à onda de privatizações dos anos 1990 e permaneceram públicas sofrem com a dilapidação de suas subsidiárias, fundamentais para o bom funcionamento das atividades principais, além dos contingenciamentos orçamentários, no qual o objetivo reside na maximização dos dividendos aos acionistas privados</w:t>
      </w:r>
      <w:r w:rsidRPr="0093288E">
        <w:rPr>
          <w:rStyle w:val="Refdenotaderodap"/>
          <w:rFonts w:ascii="Times New Roman" w:hAnsi="Times New Roman" w:cs="Times New Roman"/>
          <w:sz w:val="24"/>
          <w:szCs w:val="24"/>
        </w:rPr>
        <w:footnoteReference w:id="3"/>
      </w:r>
      <w:r w:rsidRPr="0093288E">
        <w:rPr>
          <w:rFonts w:ascii="Times New Roman" w:hAnsi="Times New Roman" w:cs="Times New Roman"/>
          <w:sz w:val="24"/>
          <w:szCs w:val="24"/>
        </w:rPr>
        <w:t>.</w:t>
      </w:r>
    </w:p>
    <w:p w14:paraId="4E183205" w14:textId="77777777" w:rsidR="004C77A0" w:rsidRPr="009C1FAD" w:rsidRDefault="004C77A0" w:rsidP="004C77A0">
      <w:pPr>
        <w:spacing w:line="360" w:lineRule="auto"/>
        <w:jc w:val="both"/>
        <w:rPr>
          <w:rFonts w:ascii="Times New Roman" w:eastAsia="Arial" w:hAnsi="Times New Roman" w:cs="Times New Roman"/>
          <w:i/>
          <w:iCs/>
          <w:sz w:val="24"/>
          <w:szCs w:val="24"/>
        </w:rPr>
      </w:pPr>
      <w:r>
        <w:rPr>
          <w:rFonts w:ascii="Times New Roman" w:hAnsi="Times New Roman" w:cs="Times New Roman"/>
          <w:i/>
          <w:iCs/>
          <w:sz w:val="24"/>
          <w:szCs w:val="24"/>
        </w:rPr>
        <w:t xml:space="preserve">2.3 </w:t>
      </w:r>
      <w:r>
        <w:rPr>
          <w:rFonts w:ascii="Times New Roman" w:hAnsi="Times New Roman" w:cs="Times New Roman"/>
          <w:i/>
          <w:iCs/>
          <w:sz w:val="24"/>
          <w:szCs w:val="24"/>
        </w:rPr>
        <w:tab/>
        <w:t>O Programa de Aceleração do Crescimento</w:t>
      </w:r>
    </w:p>
    <w:p w14:paraId="1143BC64"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Somente a partir da segunda metade dos anos 2000 o investimento do poder público federal em infraestrutura passou a ser crescente, em contraste à década anterior, mas ainda abaixo dos montantes necessários. Boa parte desses investimentos foram motivados pela expansão do setor exportador de </w:t>
      </w:r>
      <w:r w:rsidRPr="0093288E">
        <w:rPr>
          <w:rFonts w:ascii="Times New Roman" w:eastAsia="Arial" w:hAnsi="Times New Roman" w:cs="Times New Roman"/>
          <w:i/>
          <w:sz w:val="24"/>
          <w:szCs w:val="24"/>
        </w:rPr>
        <w:t>commodities</w:t>
      </w:r>
      <w:r w:rsidRPr="0093288E">
        <w:rPr>
          <w:rFonts w:ascii="Times New Roman" w:eastAsia="Arial" w:hAnsi="Times New Roman" w:cs="Times New Roman"/>
          <w:sz w:val="24"/>
          <w:szCs w:val="24"/>
        </w:rPr>
        <w:t xml:space="preserve">, que passou a demandar a ampliação das infraestruturas logísticas, como portos e rodovias, a fim de minorar os gargalos de escoamento de sua produção. </w:t>
      </w:r>
    </w:p>
    <w:p w14:paraId="6E9F023F"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O Programa de Aceleração do Crescimento (PAC), lançado em 2007, tinha como objetivo a retomada do papel do Estado na indução dos investimentos privados em projetos estratégicos para o país, envolvendo tanto as infraestruturas econômicas – e as demandas do setor exportador – quanto as sociais. Ainda assim, os recursos financeiros não se mostraram suficientes frente às necessidades de ampliação e modernização desses ativos de uso coletivo no país. Além disso, os projetos sofreram com dificuldades de </w:t>
      </w:r>
      <w:proofErr w:type="spellStart"/>
      <w:r w:rsidRPr="0093288E">
        <w:rPr>
          <w:rFonts w:ascii="Times New Roman" w:eastAsia="Arial" w:hAnsi="Times New Roman" w:cs="Times New Roman"/>
          <w:sz w:val="24"/>
          <w:szCs w:val="24"/>
        </w:rPr>
        <w:t>projetamento</w:t>
      </w:r>
      <w:proofErr w:type="spellEnd"/>
      <w:r w:rsidRPr="0093288E">
        <w:rPr>
          <w:rFonts w:ascii="Times New Roman" w:eastAsia="Arial" w:hAnsi="Times New Roman" w:cs="Times New Roman"/>
          <w:sz w:val="24"/>
          <w:szCs w:val="24"/>
        </w:rPr>
        <w:t xml:space="preserve"> e condução por conta da desarticulação dos departamentos de planejamento do setor público, bem como de seus quadros técnicos, reflexo das transformações ocorridas nos anos 1990 quanto</w:t>
      </w:r>
      <w:r>
        <w:rPr>
          <w:rFonts w:ascii="Times New Roman" w:eastAsia="Arial" w:hAnsi="Times New Roman" w:cs="Times New Roman"/>
          <w:sz w:val="24"/>
          <w:szCs w:val="24"/>
        </w:rPr>
        <w:t xml:space="preserve"> à estrutura estatal</w:t>
      </w:r>
      <w:r w:rsidRPr="0093288E">
        <w:rPr>
          <w:rFonts w:ascii="Times New Roman" w:eastAsia="Arial" w:hAnsi="Times New Roman" w:cs="Times New Roman"/>
          <w:sz w:val="24"/>
          <w:szCs w:val="24"/>
        </w:rPr>
        <w:t>.</w:t>
      </w:r>
    </w:p>
    <w:p w14:paraId="65261462"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No auge da crise fiscal pós-2014, novamente limites seriam impostos à consecução de políticas para </w:t>
      </w:r>
      <w:r>
        <w:rPr>
          <w:rFonts w:ascii="Times New Roman" w:eastAsia="Arial" w:hAnsi="Times New Roman" w:cs="Times New Roman"/>
          <w:sz w:val="24"/>
          <w:szCs w:val="24"/>
        </w:rPr>
        <w:t xml:space="preserve">a infraestrutura </w:t>
      </w:r>
      <w:r w:rsidRPr="0093288E">
        <w:rPr>
          <w:rFonts w:ascii="Times New Roman" w:eastAsia="Arial" w:hAnsi="Times New Roman" w:cs="Times New Roman"/>
          <w:sz w:val="24"/>
          <w:szCs w:val="24"/>
        </w:rPr>
        <w:t xml:space="preserve">pelo poder público. Desde a manifestação da crise de 2014 até </w:t>
      </w:r>
      <w:r w:rsidRPr="0093288E">
        <w:rPr>
          <w:rFonts w:ascii="Times New Roman" w:eastAsia="Arial" w:hAnsi="Times New Roman" w:cs="Times New Roman"/>
          <w:sz w:val="24"/>
          <w:szCs w:val="24"/>
        </w:rPr>
        <w:lastRenderedPageBreak/>
        <w:t>2020, os investimentos públicos recuaram drasticamente, sendo que estes já vinham de um longo declínio que remonta aos anos 1980, período da “crise da dívida externa”.</w:t>
      </w:r>
    </w:p>
    <w:p w14:paraId="00E8EA38" w14:textId="77777777" w:rsidR="004C77A0" w:rsidRPr="0093288E" w:rsidRDefault="004C77A0" w:rsidP="004C77A0">
      <w:pPr>
        <w:spacing w:line="240" w:lineRule="auto"/>
        <w:jc w:val="center"/>
        <w:rPr>
          <w:rFonts w:ascii="Times New Roman" w:eastAsia="Arial" w:hAnsi="Times New Roman" w:cs="Times New Roman"/>
          <w:b/>
          <w:sz w:val="24"/>
          <w:szCs w:val="24"/>
        </w:rPr>
      </w:pPr>
      <w:r>
        <w:rPr>
          <w:rFonts w:ascii="Times New Roman" w:eastAsia="Arial" w:hAnsi="Times New Roman" w:cs="Times New Roman"/>
          <w:b/>
          <w:sz w:val="24"/>
          <w:szCs w:val="24"/>
        </w:rPr>
        <w:t xml:space="preserve">Gráfico 1: </w:t>
      </w:r>
      <w:r w:rsidRPr="0093288E">
        <w:rPr>
          <w:rFonts w:ascii="Times New Roman" w:eastAsia="Arial" w:hAnsi="Times New Roman" w:cs="Times New Roman"/>
          <w:b/>
          <w:sz w:val="24"/>
          <w:szCs w:val="24"/>
        </w:rPr>
        <w:t>Investimentos públicos em porcentagem do PIB</w:t>
      </w:r>
    </w:p>
    <w:p w14:paraId="026E0811" w14:textId="77777777" w:rsidR="004C77A0" w:rsidRDefault="004C77A0" w:rsidP="004C77A0">
      <w:pPr>
        <w:spacing w:line="360" w:lineRule="auto"/>
        <w:rPr>
          <w:rFonts w:ascii="Times New Roman" w:eastAsia="Arial" w:hAnsi="Times New Roman" w:cs="Times New Roman"/>
          <w:sz w:val="24"/>
          <w:szCs w:val="24"/>
        </w:rPr>
      </w:pPr>
      <w:r w:rsidRPr="0093288E">
        <w:rPr>
          <w:rFonts w:ascii="Times New Roman" w:eastAsia="Arial" w:hAnsi="Times New Roman" w:cs="Times New Roman"/>
          <w:noProof/>
          <w:sz w:val="24"/>
          <w:szCs w:val="24"/>
        </w:rPr>
        <w:drawing>
          <wp:inline distT="114300" distB="114300" distL="114300" distR="114300" wp14:anchorId="7FD580D2" wp14:editId="3CBC0215">
            <wp:extent cx="5684808" cy="2751826"/>
            <wp:effectExtent l="0" t="0" r="0" b="0"/>
            <wp:docPr id="4" name="image1.png" descr="Gráfico&#10;&#10;Descrição gerada automaticamente"/>
            <wp:cNvGraphicFramePr/>
            <a:graphic xmlns:a="http://schemas.openxmlformats.org/drawingml/2006/main">
              <a:graphicData uri="http://schemas.openxmlformats.org/drawingml/2006/picture">
                <pic:pic xmlns:pic="http://schemas.openxmlformats.org/drawingml/2006/picture">
                  <pic:nvPicPr>
                    <pic:cNvPr id="4" name="image1.png" descr="Gráfico&#10;&#10;Descrição gerada automaticamente"/>
                    <pic:cNvPicPr preferRelativeResize="0"/>
                  </pic:nvPicPr>
                  <pic:blipFill>
                    <a:blip r:embed="rId9"/>
                    <a:srcRect/>
                    <a:stretch>
                      <a:fillRect/>
                    </a:stretch>
                  </pic:blipFill>
                  <pic:spPr>
                    <a:xfrm>
                      <a:off x="0" y="0"/>
                      <a:ext cx="5726700" cy="2772105"/>
                    </a:xfrm>
                    <a:prstGeom prst="rect">
                      <a:avLst/>
                    </a:prstGeom>
                    <a:ln/>
                  </pic:spPr>
                </pic:pic>
              </a:graphicData>
            </a:graphic>
          </wp:inline>
        </w:drawing>
      </w:r>
      <w:r w:rsidRPr="0093288E">
        <w:rPr>
          <w:rFonts w:ascii="Times New Roman" w:eastAsia="Arial" w:hAnsi="Times New Roman" w:cs="Times New Roman"/>
          <w:sz w:val="24"/>
          <w:szCs w:val="24"/>
        </w:rPr>
        <w:t>Fonte: IBRE/FGV.</w:t>
      </w:r>
    </w:p>
    <w:p w14:paraId="52381D9D"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O PAC constitui um exemplo </w:t>
      </w:r>
      <w:r w:rsidRPr="0093288E">
        <w:rPr>
          <w:rFonts w:ascii="Times New Roman" w:eastAsia="Arial" w:hAnsi="Times New Roman" w:cs="Times New Roman"/>
          <w:sz w:val="24"/>
          <w:szCs w:val="24"/>
        </w:rPr>
        <w:t xml:space="preserve">desalentador </w:t>
      </w:r>
      <w:r>
        <w:rPr>
          <w:rFonts w:ascii="Times New Roman" w:eastAsia="Arial" w:hAnsi="Times New Roman" w:cs="Times New Roman"/>
          <w:sz w:val="24"/>
          <w:szCs w:val="24"/>
        </w:rPr>
        <w:t xml:space="preserve">de </w:t>
      </w:r>
      <w:r w:rsidRPr="0093288E">
        <w:rPr>
          <w:rFonts w:ascii="Times New Roman" w:eastAsia="Arial" w:hAnsi="Times New Roman" w:cs="Times New Roman"/>
          <w:sz w:val="24"/>
          <w:szCs w:val="24"/>
        </w:rPr>
        <w:t>com</w:t>
      </w:r>
      <w:r>
        <w:rPr>
          <w:rFonts w:ascii="Times New Roman" w:eastAsia="Arial" w:hAnsi="Times New Roman" w:cs="Times New Roman"/>
          <w:sz w:val="24"/>
          <w:szCs w:val="24"/>
        </w:rPr>
        <w:t>o</w:t>
      </w:r>
      <w:r w:rsidRPr="0093288E">
        <w:rPr>
          <w:rFonts w:ascii="Times New Roman" w:eastAsia="Arial" w:hAnsi="Times New Roman" w:cs="Times New Roman"/>
          <w:sz w:val="24"/>
          <w:szCs w:val="24"/>
        </w:rPr>
        <w:t xml:space="preserve"> o país </w:t>
      </w:r>
      <w:r>
        <w:rPr>
          <w:rFonts w:ascii="Times New Roman" w:eastAsia="Arial" w:hAnsi="Times New Roman" w:cs="Times New Roman"/>
          <w:sz w:val="24"/>
          <w:szCs w:val="24"/>
        </w:rPr>
        <w:t xml:space="preserve">tem lidado com seus projetos de longo prazo em infraestrutura. </w:t>
      </w:r>
      <w:r w:rsidRPr="0093288E">
        <w:rPr>
          <w:rFonts w:ascii="Times New Roman" w:eastAsia="Arial" w:hAnsi="Times New Roman" w:cs="Times New Roman"/>
          <w:sz w:val="24"/>
          <w:szCs w:val="24"/>
        </w:rPr>
        <w:t xml:space="preserve">No Brasil anterior à pandemia </w:t>
      </w:r>
      <w:r>
        <w:rPr>
          <w:rFonts w:ascii="Times New Roman" w:eastAsia="Arial" w:hAnsi="Times New Roman" w:cs="Times New Roman"/>
          <w:sz w:val="24"/>
          <w:szCs w:val="24"/>
        </w:rPr>
        <w:t xml:space="preserve">da COVID-19 </w:t>
      </w:r>
      <w:r w:rsidRPr="0093288E">
        <w:rPr>
          <w:rFonts w:ascii="Times New Roman" w:eastAsia="Arial" w:hAnsi="Times New Roman" w:cs="Times New Roman"/>
          <w:sz w:val="24"/>
          <w:szCs w:val="24"/>
        </w:rPr>
        <w:t>(levantamento de 2018), havia cerca de 4,7 mil obras do PAC paralisadas</w:t>
      </w:r>
      <w:r w:rsidRPr="0093288E">
        <w:rPr>
          <w:rFonts w:ascii="Times New Roman" w:eastAsia="Arial" w:hAnsi="Times New Roman" w:cs="Times New Roman"/>
          <w:sz w:val="24"/>
          <w:szCs w:val="24"/>
          <w:vertAlign w:val="superscript"/>
        </w:rPr>
        <w:footnoteReference w:id="4"/>
      </w:r>
      <w:r w:rsidRPr="0093288E">
        <w:rPr>
          <w:rFonts w:ascii="Times New Roman" w:eastAsia="Arial" w:hAnsi="Times New Roman" w:cs="Times New Roman"/>
          <w:sz w:val="24"/>
          <w:szCs w:val="24"/>
        </w:rPr>
        <w:t>. Essas obras soma</w:t>
      </w:r>
      <w:r>
        <w:rPr>
          <w:rFonts w:ascii="Times New Roman" w:eastAsia="Arial" w:hAnsi="Times New Roman" w:cs="Times New Roman"/>
          <w:sz w:val="24"/>
          <w:szCs w:val="24"/>
        </w:rPr>
        <w:t>va</w:t>
      </w:r>
      <w:r w:rsidRPr="0093288E">
        <w:rPr>
          <w:rFonts w:ascii="Times New Roman" w:eastAsia="Arial" w:hAnsi="Times New Roman" w:cs="Times New Roman"/>
          <w:sz w:val="24"/>
          <w:szCs w:val="24"/>
        </w:rPr>
        <w:t xml:space="preserve">m o equivalente a R$135 bilhões em investimentos, dos quais cerca de R$65 bilhões (ou seja, quase metade dos recursos) foram executados sem que houvesse o devido retorno social e econômico, já que as obras foram paralisadas. A continuidade dessas obras tem potencial para gerar 500 mil empregos, o que resolveria parte do grave problema de subutilização da força de trabalho no Brasil, que enfrenta índices </w:t>
      </w:r>
      <w:r>
        <w:rPr>
          <w:rFonts w:ascii="Times New Roman" w:eastAsia="Arial" w:hAnsi="Times New Roman" w:cs="Times New Roman"/>
          <w:sz w:val="24"/>
          <w:szCs w:val="24"/>
        </w:rPr>
        <w:t xml:space="preserve">graves </w:t>
      </w:r>
      <w:r w:rsidRPr="0093288E">
        <w:rPr>
          <w:rFonts w:ascii="Times New Roman" w:eastAsia="Arial" w:hAnsi="Times New Roman" w:cs="Times New Roman"/>
          <w:sz w:val="24"/>
          <w:szCs w:val="24"/>
        </w:rPr>
        <w:t>de desemprego</w:t>
      </w:r>
      <w:r>
        <w:rPr>
          <w:rFonts w:ascii="Times New Roman" w:eastAsia="Arial" w:hAnsi="Times New Roman" w:cs="Times New Roman"/>
          <w:sz w:val="24"/>
          <w:szCs w:val="24"/>
        </w:rPr>
        <w:t>.</w:t>
      </w:r>
    </w:p>
    <w:p w14:paraId="4DD4E02B" w14:textId="77777777" w:rsidR="004C77A0"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lastRenderedPageBreak/>
        <w:t>É sintomático que um dos setores mais afetados por essa paralisia nas obras do PAC seja justamente o da saúde: mais de 1,7 mil Unidades Básicas de Saúde - UBS incluídas no programa estão inconclusas, representando 37% do total de obras paralisadas. As UBS possuem grande capilaridade pelo território e muitas vezes se constituem como único acesso da população de pequenos municípios a serviços de saúde. As possibilidades dos municípios em contornar essas deficiências são escassas e sua dependência em relação aos programas federais é tão maior quanto mais reduzido é o tamanho do mercado local e sua base arrecadatória.</w:t>
      </w:r>
    </w:p>
    <w:p w14:paraId="7AA8B1D3" w14:textId="77777777" w:rsidR="004C77A0"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As infraestruturas econômicas e sociais</w:t>
      </w:r>
      <w:r w:rsidRPr="0093288E">
        <w:rPr>
          <w:rFonts w:ascii="Times New Roman" w:eastAsia="Arial" w:hAnsi="Times New Roman" w:cs="Times New Roman"/>
          <w:sz w:val="24"/>
          <w:szCs w:val="24"/>
          <w:vertAlign w:val="superscript"/>
        </w:rPr>
        <w:footnoteReference w:id="5"/>
      </w:r>
      <w:r w:rsidRPr="0093288E">
        <w:rPr>
          <w:rFonts w:ascii="Times New Roman" w:eastAsia="Arial" w:hAnsi="Times New Roman" w:cs="Times New Roman"/>
          <w:sz w:val="24"/>
          <w:szCs w:val="24"/>
        </w:rPr>
        <w:t xml:space="preserve"> constituem, ao mesmo tempo, desafio e oportunidade de retomada do crescimento econômico com grandes potencialidades de economias regionais; porém, </w:t>
      </w:r>
      <w:r>
        <w:rPr>
          <w:rFonts w:ascii="Times New Roman" w:eastAsia="Arial" w:hAnsi="Times New Roman" w:cs="Times New Roman"/>
          <w:sz w:val="24"/>
          <w:szCs w:val="24"/>
        </w:rPr>
        <w:t>su</w:t>
      </w:r>
      <w:r w:rsidRPr="0093288E">
        <w:rPr>
          <w:rFonts w:ascii="Times New Roman" w:eastAsia="Arial" w:hAnsi="Times New Roman" w:cs="Times New Roman"/>
          <w:sz w:val="24"/>
          <w:szCs w:val="24"/>
        </w:rPr>
        <w:t xml:space="preserve">a execução está constrangida desde 2014 pelas políticas econômicas seguidamente adotadas. É um desafio porque os gargalos </w:t>
      </w:r>
      <w:proofErr w:type="spellStart"/>
      <w:r w:rsidRPr="0093288E">
        <w:rPr>
          <w:rFonts w:ascii="Times New Roman" w:eastAsia="Arial" w:hAnsi="Times New Roman" w:cs="Times New Roman"/>
          <w:sz w:val="24"/>
          <w:szCs w:val="24"/>
        </w:rPr>
        <w:t>infraestruturais</w:t>
      </w:r>
      <w:proofErr w:type="spellEnd"/>
      <w:r w:rsidRPr="0093288E">
        <w:rPr>
          <w:rFonts w:ascii="Times New Roman" w:eastAsia="Arial" w:hAnsi="Times New Roman" w:cs="Times New Roman"/>
          <w:sz w:val="24"/>
          <w:szCs w:val="24"/>
        </w:rPr>
        <w:t xml:space="preserve">, sobretudo os logísticos (estradas, portos, ferrovias, hidrovias), mas também as energéticas, contribuem para o chamado “Custo Brasil”, uma pressão generalizada sobre os custos de produção e circulação de mercadorias que dificulta a competitividade do país. </w:t>
      </w:r>
    </w:p>
    <w:p w14:paraId="34BAF48C"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Por outro lado, as carências </w:t>
      </w:r>
      <w:proofErr w:type="spellStart"/>
      <w:r w:rsidRPr="0093288E">
        <w:rPr>
          <w:rFonts w:ascii="Times New Roman" w:eastAsia="Arial" w:hAnsi="Times New Roman" w:cs="Times New Roman"/>
          <w:sz w:val="24"/>
          <w:szCs w:val="24"/>
        </w:rPr>
        <w:t>infraestruturais</w:t>
      </w:r>
      <w:proofErr w:type="spellEnd"/>
      <w:r w:rsidRPr="0093288E">
        <w:rPr>
          <w:rFonts w:ascii="Times New Roman" w:eastAsia="Arial" w:hAnsi="Times New Roman" w:cs="Times New Roman"/>
          <w:sz w:val="24"/>
          <w:szCs w:val="24"/>
        </w:rPr>
        <w:t xml:space="preserve"> constituem grande oportunidade: sua construção contribui imediatamente para elevação do emprego, sendo um setor intensivo em mão de obra; demanda matérias-primas e tecnologias dominadas nacionalmente, mobilizando cadeias produtivas dentro do país, o que resulta num elevado multiplicador de emprego e de renda. Desencadeia-se assim um movimento virtuoso desde o início das empreitadas que, ao elevar o nível da demanda, colabora para elevar a arrecadação pública, a integração do território, a vitalização e viabilização de novas dinâmicas regionais e, por fim, a elevação da competitividade sistêmica da economia. Essa é uma oportunidade na qual os países desenvolvidos da América do Norte e Europa Ocidental não podem contar por já terem esgotado sua agenda no setor.</w:t>
      </w:r>
    </w:p>
    <w:p w14:paraId="0344734F" w14:textId="77777777" w:rsidR="004C77A0" w:rsidRPr="0093288E" w:rsidRDefault="004C77A0" w:rsidP="004C77A0">
      <w:pPr>
        <w:spacing w:line="360" w:lineRule="auto"/>
        <w:jc w:val="both"/>
        <w:rPr>
          <w:rFonts w:ascii="Times New Roman" w:hAnsi="Times New Roman" w:cs="Times New Roman"/>
          <w:i/>
          <w:iCs/>
          <w:sz w:val="24"/>
          <w:szCs w:val="24"/>
        </w:rPr>
      </w:pPr>
      <w:r w:rsidRPr="0093288E">
        <w:rPr>
          <w:rFonts w:ascii="Times New Roman" w:hAnsi="Times New Roman" w:cs="Times New Roman"/>
          <w:i/>
          <w:iCs/>
          <w:sz w:val="24"/>
          <w:szCs w:val="24"/>
        </w:rPr>
        <w:lastRenderedPageBreak/>
        <w:t>2.</w:t>
      </w:r>
      <w:r>
        <w:rPr>
          <w:rFonts w:ascii="Times New Roman" w:hAnsi="Times New Roman" w:cs="Times New Roman"/>
          <w:i/>
          <w:iCs/>
          <w:sz w:val="24"/>
          <w:szCs w:val="24"/>
        </w:rPr>
        <w:t>4</w:t>
      </w:r>
      <w:r>
        <w:rPr>
          <w:rFonts w:ascii="Times New Roman" w:hAnsi="Times New Roman" w:cs="Times New Roman"/>
          <w:i/>
          <w:iCs/>
          <w:sz w:val="24"/>
          <w:szCs w:val="24"/>
        </w:rPr>
        <w:tab/>
      </w:r>
      <w:r w:rsidRPr="0093288E">
        <w:rPr>
          <w:rFonts w:ascii="Times New Roman" w:hAnsi="Times New Roman" w:cs="Times New Roman"/>
          <w:i/>
          <w:iCs/>
          <w:sz w:val="24"/>
          <w:szCs w:val="24"/>
        </w:rPr>
        <w:t>Empresas públicas, políticas macroeconômicas e regionais: O caso da Petrobrás</w:t>
      </w:r>
    </w:p>
    <w:p w14:paraId="74084602" w14:textId="77777777" w:rsidR="004C77A0" w:rsidRDefault="004C77A0" w:rsidP="004C77A0">
      <w:pPr>
        <w:spacing w:line="360" w:lineRule="auto"/>
        <w:ind w:firstLine="708"/>
        <w:jc w:val="both"/>
        <w:rPr>
          <w:rFonts w:ascii="Times New Roman" w:hAnsi="Times New Roman" w:cs="Times New Roman"/>
          <w:sz w:val="24"/>
          <w:szCs w:val="24"/>
        </w:rPr>
      </w:pPr>
      <w:r w:rsidRPr="0093288E">
        <w:rPr>
          <w:rFonts w:ascii="Times New Roman" w:hAnsi="Times New Roman" w:cs="Times New Roman"/>
          <w:sz w:val="24"/>
          <w:szCs w:val="24"/>
        </w:rPr>
        <w:t xml:space="preserve">A política de preços praticada desde 2016 pela Petrobrás constitui um exemplo singular do conflito entre interesse público e privado: embora o Brasil possua capacidade de produção e refino de combustíveis derivados do petróleo para atender sua demanda interna, a precificação destes se dá de acordo com as cotações internacionais em moeda estrangeira (dólar), como se o país não fosse produtor de petróleo, mas importador – este é o chamado Preço de Paridade Internacional (PPI). </w:t>
      </w:r>
    </w:p>
    <w:p w14:paraId="7C72B04A" w14:textId="77777777" w:rsidR="004C77A0" w:rsidRPr="0093288E" w:rsidRDefault="004C77A0" w:rsidP="004C77A0">
      <w:pPr>
        <w:spacing w:line="360" w:lineRule="auto"/>
        <w:ind w:firstLine="708"/>
        <w:jc w:val="both"/>
        <w:rPr>
          <w:rFonts w:ascii="Times New Roman" w:hAnsi="Times New Roman" w:cs="Times New Roman"/>
          <w:sz w:val="24"/>
          <w:szCs w:val="24"/>
        </w:rPr>
      </w:pPr>
      <w:r w:rsidRPr="0093288E">
        <w:rPr>
          <w:rFonts w:ascii="Times New Roman" w:hAnsi="Times New Roman" w:cs="Times New Roman"/>
          <w:sz w:val="24"/>
          <w:szCs w:val="24"/>
        </w:rPr>
        <w:t>Isso impõe elevado sacrifício ao consumidor brasileiro em benefício do rendimento dos acionistas da empresa, particularmente os privados</w:t>
      </w:r>
      <w:r w:rsidRPr="0093288E">
        <w:rPr>
          <w:rStyle w:val="Refdenotaderodap"/>
          <w:rFonts w:ascii="Times New Roman" w:hAnsi="Times New Roman" w:cs="Times New Roman"/>
          <w:sz w:val="24"/>
          <w:szCs w:val="24"/>
        </w:rPr>
        <w:footnoteReference w:id="6"/>
      </w:r>
      <w:r w:rsidRPr="0093288E">
        <w:rPr>
          <w:rFonts w:ascii="Times New Roman" w:hAnsi="Times New Roman" w:cs="Times New Roman"/>
          <w:sz w:val="24"/>
          <w:szCs w:val="24"/>
        </w:rPr>
        <w:t>. Essa conduta acaba exercendo pressão generalizada sobre todos os preços da economia, muito dependentes dos combustíveis, tanto na produção quanto na circulação de mercadorias. Esse quadro tensiona a inflação e induz a uma política contracionista por parte do Banco Central do Brasil (BCB), que tem como instrumento principal para controle inflacionário a manipulação da taxa de juros. A elevação desta deteriora as condições macroeconômicas ao encarecer o crédito e desmobilizar as decisões privadas de investimento produtivo, com os agentes passando a considerar mais vantajoso aplicar recursos em títulos financeiros remunerados com base na taxa básica de juros (Selic). O BCB, ao tratar o choque de oferta dos combustíveis como uma pressão da demanda, eleva os juros para “esfriar o consumo” e controlar a alta dos preços, mas na prática se está ocultando a verdadeira origem do problema: a captura do Estado e de suas empresas aos interesses privados de poucos, particularmente do rentismo, que busca o máximo retorno no menor tempo possível.</w:t>
      </w:r>
    </w:p>
    <w:p w14:paraId="56E1F780" w14:textId="77777777" w:rsidR="004C77A0" w:rsidRPr="0093288E" w:rsidRDefault="004C77A0" w:rsidP="004C77A0">
      <w:pPr>
        <w:spacing w:line="360" w:lineRule="auto"/>
        <w:ind w:firstLine="708"/>
        <w:jc w:val="both"/>
        <w:rPr>
          <w:rFonts w:ascii="Times New Roman" w:hAnsi="Times New Roman" w:cs="Times New Roman"/>
          <w:sz w:val="24"/>
          <w:szCs w:val="24"/>
        </w:rPr>
      </w:pPr>
      <w:r w:rsidRPr="0093288E">
        <w:rPr>
          <w:rFonts w:ascii="Times New Roman" w:hAnsi="Times New Roman" w:cs="Times New Roman"/>
          <w:sz w:val="24"/>
          <w:szCs w:val="24"/>
        </w:rPr>
        <w:t xml:space="preserve">Outro conflito daí derivado é o fato de que estados e municípios como um todo, mas particularmente os impactados pela extração de petróleo, se beneficiam com a elevação dos </w:t>
      </w:r>
      <w:r w:rsidRPr="0093288E">
        <w:rPr>
          <w:rFonts w:ascii="Times New Roman" w:hAnsi="Times New Roman" w:cs="Times New Roman"/>
          <w:i/>
          <w:iCs/>
          <w:sz w:val="24"/>
          <w:szCs w:val="24"/>
        </w:rPr>
        <w:t>royalties</w:t>
      </w:r>
      <w:r w:rsidRPr="0093288E">
        <w:rPr>
          <w:rFonts w:ascii="Times New Roman" w:hAnsi="Times New Roman" w:cs="Times New Roman"/>
          <w:sz w:val="24"/>
          <w:szCs w:val="24"/>
        </w:rPr>
        <w:t xml:space="preserve">, uma compensação financeira paga à União e distribuída entre os entes federados. Todos os entes subnacionais recebem royalties do petróleo, porém os estados e municípios diretamente impactados pela atividade petrolífera recebem uma </w:t>
      </w:r>
      <w:r w:rsidRPr="0093288E">
        <w:rPr>
          <w:rFonts w:ascii="Times New Roman" w:hAnsi="Times New Roman" w:cs="Times New Roman"/>
          <w:i/>
          <w:iCs/>
          <w:sz w:val="24"/>
          <w:szCs w:val="24"/>
        </w:rPr>
        <w:t xml:space="preserve">participação especial </w:t>
      </w:r>
      <w:r w:rsidRPr="0093288E">
        <w:rPr>
          <w:rFonts w:ascii="Times New Roman" w:hAnsi="Times New Roman" w:cs="Times New Roman"/>
          <w:sz w:val="24"/>
          <w:szCs w:val="24"/>
        </w:rPr>
        <w:t xml:space="preserve">como </w:t>
      </w:r>
      <w:r w:rsidRPr="0093288E">
        <w:rPr>
          <w:rFonts w:ascii="Times New Roman" w:hAnsi="Times New Roman" w:cs="Times New Roman"/>
          <w:sz w:val="24"/>
          <w:szCs w:val="24"/>
        </w:rPr>
        <w:lastRenderedPageBreak/>
        <w:t xml:space="preserve">forma de indenização. O objetivo é o de possibilitar a promoção de atividades econômicas não atreladas a recursos naturais finitos, já que estes, ao se esgotarem, podem levar as regiões produtoras à uma regressão econômica. Como os </w:t>
      </w:r>
      <w:r w:rsidRPr="0093288E">
        <w:rPr>
          <w:rFonts w:ascii="Times New Roman" w:hAnsi="Times New Roman" w:cs="Times New Roman"/>
          <w:i/>
          <w:iCs/>
          <w:sz w:val="24"/>
          <w:szCs w:val="24"/>
        </w:rPr>
        <w:t>royalties</w:t>
      </w:r>
      <w:r w:rsidRPr="0093288E">
        <w:rPr>
          <w:rFonts w:ascii="Times New Roman" w:hAnsi="Times New Roman" w:cs="Times New Roman"/>
          <w:sz w:val="24"/>
          <w:szCs w:val="24"/>
        </w:rPr>
        <w:t xml:space="preserve"> são calculados com base no preço de comercialização, os reajustes altistas nos combustíveis elevam o montante a ser distribuído. Ademais, o Imposto sobre Circulação de Mercadorias e Serviços (ICMS) que incide sobre os combustíveis representa algo como 20% da arrecadação desse imposto para os estados, principal fonte tributária das unidades da federação.</w:t>
      </w:r>
    </w:p>
    <w:p w14:paraId="35E0C3A4" w14:textId="77777777" w:rsidR="004C77A0" w:rsidRPr="0093288E" w:rsidRDefault="004C77A0" w:rsidP="004C77A0">
      <w:pPr>
        <w:spacing w:line="360" w:lineRule="auto"/>
        <w:ind w:firstLine="708"/>
        <w:jc w:val="both"/>
        <w:rPr>
          <w:rFonts w:ascii="Times New Roman" w:hAnsi="Times New Roman" w:cs="Times New Roman"/>
          <w:sz w:val="24"/>
          <w:szCs w:val="24"/>
        </w:rPr>
      </w:pPr>
      <w:r w:rsidRPr="0093288E">
        <w:rPr>
          <w:rFonts w:ascii="Times New Roman" w:hAnsi="Times New Roman" w:cs="Times New Roman"/>
          <w:sz w:val="24"/>
          <w:szCs w:val="24"/>
        </w:rPr>
        <w:t>Logo, a elevação no preço dos combustíveis é, aparentemente, benéfica para as receitas de estados e municípios; porém, os efeitos adversos gerados por esse encarecimento terminam por deprimir a atividade econômica, reduzindo o consumo e a produção e impactando negativamente na arrecadação, especialmente num país onde grande parte da carga tributária incide sobre o consumo ao invés da renda. Trata-se de um regime altamente regressivo, na medida em que penaliza proporcionalmente os mais pobres.</w:t>
      </w:r>
    </w:p>
    <w:p w14:paraId="0ABE31C3" w14:textId="77777777" w:rsidR="004C77A0" w:rsidRPr="0093288E" w:rsidRDefault="004C77A0" w:rsidP="004C77A0">
      <w:pPr>
        <w:spacing w:line="360" w:lineRule="auto"/>
        <w:ind w:firstLine="708"/>
        <w:jc w:val="both"/>
        <w:rPr>
          <w:rFonts w:ascii="Times New Roman" w:eastAsia="Arial" w:hAnsi="Times New Roman" w:cs="Times New Roman"/>
          <w:i/>
          <w:sz w:val="24"/>
          <w:szCs w:val="24"/>
        </w:rPr>
      </w:pPr>
      <w:r w:rsidRPr="0093288E">
        <w:rPr>
          <w:rFonts w:ascii="Times New Roman" w:hAnsi="Times New Roman" w:cs="Times New Roman"/>
          <w:sz w:val="24"/>
          <w:szCs w:val="24"/>
        </w:rPr>
        <w:t xml:space="preserve">Esse exemplo constitui uma representação pertinente dos elos estabelecidos entre o nível mais amplo das políticas públicas – administração de preços sensíveis (combustíveis) por empresa pública (Petrobrás), do regime tributário e da partilha de </w:t>
      </w:r>
      <w:r w:rsidRPr="0093288E">
        <w:rPr>
          <w:rFonts w:ascii="Times New Roman" w:hAnsi="Times New Roman" w:cs="Times New Roman"/>
          <w:i/>
          <w:iCs/>
          <w:sz w:val="24"/>
          <w:szCs w:val="24"/>
        </w:rPr>
        <w:t>royalties</w:t>
      </w:r>
      <w:r w:rsidRPr="0093288E">
        <w:rPr>
          <w:rFonts w:ascii="Times New Roman" w:hAnsi="Times New Roman" w:cs="Times New Roman"/>
          <w:sz w:val="24"/>
          <w:szCs w:val="24"/>
        </w:rPr>
        <w:t xml:space="preserve"> – com o nível regional, dependente de instâncias hierarquicamente superiores para sua previsibilidade orçamentária. Demonstra-se assim, de maneira factual, uma faceta das restrições que os entes subnacionais enfrentam para manobrar políticas locais.</w:t>
      </w:r>
    </w:p>
    <w:p w14:paraId="3D87CEBF" w14:textId="77777777" w:rsidR="004C77A0" w:rsidRPr="0093288E" w:rsidRDefault="004C77A0" w:rsidP="004C77A0">
      <w:pPr>
        <w:spacing w:line="360" w:lineRule="auto"/>
        <w:jc w:val="both"/>
        <w:rPr>
          <w:rFonts w:ascii="Times New Roman" w:eastAsia="Arial" w:hAnsi="Times New Roman" w:cs="Times New Roman"/>
          <w:i/>
          <w:sz w:val="24"/>
          <w:szCs w:val="24"/>
        </w:rPr>
      </w:pPr>
      <w:r w:rsidRPr="0093288E">
        <w:rPr>
          <w:rFonts w:ascii="Times New Roman" w:eastAsia="Arial" w:hAnsi="Times New Roman" w:cs="Times New Roman"/>
          <w:i/>
          <w:sz w:val="24"/>
          <w:szCs w:val="24"/>
        </w:rPr>
        <w:t>2.</w:t>
      </w:r>
      <w:r>
        <w:rPr>
          <w:rFonts w:ascii="Times New Roman" w:eastAsia="Arial" w:hAnsi="Times New Roman" w:cs="Times New Roman"/>
          <w:i/>
          <w:sz w:val="24"/>
          <w:szCs w:val="24"/>
        </w:rPr>
        <w:t>5</w:t>
      </w:r>
      <w:r>
        <w:rPr>
          <w:rFonts w:ascii="Times New Roman" w:eastAsia="Arial" w:hAnsi="Times New Roman" w:cs="Times New Roman"/>
          <w:i/>
          <w:sz w:val="24"/>
          <w:szCs w:val="24"/>
        </w:rPr>
        <w:tab/>
      </w:r>
      <w:r w:rsidRPr="0093288E">
        <w:rPr>
          <w:rFonts w:ascii="Times New Roman" w:eastAsia="Arial" w:hAnsi="Times New Roman" w:cs="Times New Roman"/>
          <w:i/>
          <w:sz w:val="24"/>
          <w:szCs w:val="24"/>
        </w:rPr>
        <w:t>O Programa de Parceria de Investimentos (PPI)</w:t>
      </w:r>
    </w:p>
    <w:p w14:paraId="1E13451D" w14:textId="77777777" w:rsidR="004C77A0" w:rsidRPr="0093288E" w:rsidRDefault="004C77A0" w:rsidP="004C77A0">
      <w:pPr>
        <w:spacing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ab/>
        <w:t xml:space="preserve">As restrições orçamentárias advindas da menor arrecadação pública, corolário da crise iniciada em 2014, e o recrudescimento de uma orientação política que </w:t>
      </w:r>
      <w:r>
        <w:rPr>
          <w:rFonts w:ascii="Times New Roman" w:eastAsia="Arial" w:hAnsi="Times New Roman" w:cs="Times New Roman"/>
          <w:sz w:val="24"/>
          <w:szCs w:val="24"/>
        </w:rPr>
        <w:t xml:space="preserve">visa </w:t>
      </w:r>
      <w:r w:rsidRPr="0093288E">
        <w:rPr>
          <w:rFonts w:ascii="Times New Roman" w:eastAsia="Arial" w:hAnsi="Times New Roman" w:cs="Times New Roman"/>
          <w:sz w:val="24"/>
          <w:szCs w:val="24"/>
        </w:rPr>
        <w:t>reduz</w:t>
      </w:r>
      <w:r>
        <w:rPr>
          <w:rFonts w:ascii="Times New Roman" w:eastAsia="Arial" w:hAnsi="Times New Roman" w:cs="Times New Roman"/>
          <w:sz w:val="24"/>
          <w:szCs w:val="24"/>
        </w:rPr>
        <w:t>ir</w:t>
      </w:r>
      <w:r w:rsidRPr="0093288E">
        <w:rPr>
          <w:rFonts w:ascii="Times New Roman" w:eastAsia="Arial" w:hAnsi="Times New Roman" w:cs="Times New Roman"/>
          <w:sz w:val="24"/>
          <w:szCs w:val="24"/>
        </w:rPr>
        <w:t xml:space="preserve"> a atuação do Estado – algo patente na Emenda Constitucional n. 95 (EC 95) de 2016, que limitou as possibilidades de investimento público – vem dificultando sobremaneira o destravamento de projetos no setor de infraestrutura. O Programa de Parceria de Investimentos (PPI), instituído pela lei 13.334 de 2016, </w:t>
      </w:r>
      <w:r>
        <w:rPr>
          <w:rFonts w:ascii="Times New Roman" w:eastAsia="Arial" w:hAnsi="Times New Roman" w:cs="Times New Roman"/>
          <w:sz w:val="24"/>
          <w:szCs w:val="24"/>
        </w:rPr>
        <w:t xml:space="preserve">tem </w:t>
      </w:r>
      <w:r w:rsidRPr="0093288E">
        <w:rPr>
          <w:rFonts w:ascii="Times New Roman" w:eastAsia="Arial" w:hAnsi="Times New Roman" w:cs="Times New Roman"/>
          <w:sz w:val="24"/>
          <w:szCs w:val="24"/>
        </w:rPr>
        <w:t xml:space="preserve">como objetivo conclamar o setor privado à realização de empreendimentos de infraestrutura, conferindo-lhe maior liberdade na escolha e execução dos projetos, ao mesmo tempo que promove a alienação e concessão dos ativos públicos. O intuito </w:t>
      </w:r>
      <w:r w:rsidRPr="0093288E">
        <w:rPr>
          <w:rFonts w:ascii="Times New Roman" w:eastAsia="Arial" w:hAnsi="Times New Roman" w:cs="Times New Roman"/>
          <w:sz w:val="24"/>
          <w:szCs w:val="24"/>
        </w:rPr>
        <w:lastRenderedPageBreak/>
        <w:t>do PPI é reduzir ainda mais os poderes de intervenção e indução do setor público, tratando-se fundamentalmente de um mecanismo de desestatização e repactuação de contratos, inclusive naqueles anteriormente estabelecidos. Sua inovação restringiu-se exatamente aí: nos critérios contratuais, legando novos mecanismos de pactuação público-privadas, permitindo, em certas ocasiões, a dispensa do processo licitatório.</w:t>
      </w:r>
    </w:p>
    <w:p w14:paraId="644F2733" w14:textId="77777777" w:rsidR="004C77A0" w:rsidRPr="0093288E" w:rsidRDefault="004C77A0" w:rsidP="004C77A0">
      <w:pPr>
        <w:spacing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ab/>
        <w:t xml:space="preserve">Isto é, o Programa parte da premissa de que o destravamento dos projetos depende fundamentalmente de um arcabouço legal convidativo ao setor privado e da não-intervenção do setor público. Sem dúvida, as garantias jurídicas e o respeito contratual são importantes para o sucesso das parcerias público-privadas, mas não suficiente para estimulá-las e fazer frente ao atraso </w:t>
      </w:r>
      <w:proofErr w:type="spellStart"/>
      <w:r w:rsidRPr="0093288E">
        <w:rPr>
          <w:rFonts w:ascii="Times New Roman" w:eastAsia="Arial" w:hAnsi="Times New Roman" w:cs="Times New Roman"/>
          <w:sz w:val="24"/>
          <w:szCs w:val="24"/>
        </w:rPr>
        <w:t>infraestrutural</w:t>
      </w:r>
      <w:proofErr w:type="spellEnd"/>
      <w:r w:rsidRPr="0093288E">
        <w:rPr>
          <w:rFonts w:ascii="Times New Roman" w:eastAsia="Arial" w:hAnsi="Times New Roman" w:cs="Times New Roman"/>
          <w:sz w:val="24"/>
          <w:szCs w:val="24"/>
        </w:rPr>
        <w:t xml:space="preserve"> do país. A seleção dos projetos e sua concepção são atribuições pertinentes ao Estado, porque visam objetivos estratégicos, de maximização da produtividade sistêmica e do bem-estar coletivo, e não a maximização dos lucros privados, que é o objetivo da iniciativa privada. Portanto, compete ao Estado induzir o setor privado a atuar, de maneira rentável, em projetos de interesse público. Sem que o ente público tome a frente – inclusive com financiamentos factíveis a obras desse tipo – o setor privado não se disporá a assumir riscos de empreendimentos com longo prazo de execução e maturação.</w:t>
      </w:r>
    </w:p>
    <w:p w14:paraId="4B9FBC2C" w14:textId="77777777" w:rsidR="004C77A0" w:rsidRPr="0093288E" w:rsidRDefault="004C77A0" w:rsidP="004C77A0">
      <w:pPr>
        <w:spacing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ab/>
        <w:t>Isso explica os resultados insatisfatórios em quase 6 anos de promulgação da lei que instituiu o PPI</w:t>
      </w:r>
      <w:r w:rsidRPr="0093288E">
        <w:rPr>
          <w:rStyle w:val="Refdenotaderodap"/>
          <w:rFonts w:ascii="Times New Roman" w:eastAsia="Arial" w:hAnsi="Times New Roman" w:cs="Times New Roman"/>
          <w:sz w:val="24"/>
          <w:szCs w:val="24"/>
        </w:rPr>
        <w:footnoteReference w:id="7"/>
      </w:r>
      <w:r w:rsidRPr="0093288E">
        <w:rPr>
          <w:rFonts w:ascii="Times New Roman" w:eastAsia="Arial" w:hAnsi="Times New Roman" w:cs="Times New Roman"/>
          <w:sz w:val="24"/>
          <w:szCs w:val="24"/>
        </w:rPr>
        <w:t xml:space="preserve">: </w:t>
      </w:r>
    </w:p>
    <w:p w14:paraId="4A02CC5C" w14:textId="77777777" w:rsidR="004C77A0" w:rsidRPr="0093288E" w:rsidRDefault="004C77A0" w:rsidP="004C77A0">
      <w:pPr>
        <w:numPr>
          <w:ilvl w:val="0"/>
          <w:numId w:val="1"/>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Nenhuma obra pública foi entregue ou está em andamento;</w:t>
      </w:r>
    </w:p>
    <w:p w14:paraId="6866C03C" w14:textId="77777777" w:rsidR="004C77A0" w:rsidRPr="0093288E" w:rsidRDefault="004C77A0" w:rsidP="004C77A0">
      <w:pPr>
        <w:numPr>
          <w:ilvl w:val="0"/>
          <w:numId w:val="1"/>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Nenhuma autorização para novos empreendimentos foi concedida, está em andamento ou foi prorrogada;</w:t>
      </w:r>
    </w:p>
    <w:p w14:paraId="48E99D55" w14:textId="77777777" w:rsidR="004C77A0" w:rsidRPr="0093288E" w:rsidRDefault="004C77A0" w:rsidP="004C77A0">
      <w:pPr>
        <w:numPr>
          <w:ilvl w:val="0"/>
          <w:numId w:val="1"/>
        </w:numPr>
        <w:spacing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Nenhuma obra de parceria público-privada foi entregue e todas que se encontram em andamento estão em estágio inicial (em estudo);</w:t>
      </w:r>
    </w:p>
    <w:p w14:paraId="4545900F" w14:textId="77777777" w:rsidR="004C77A0" w:rsidRPr="0093288E" w:rsidRDefault="004C77A0" w:rsidP="004C77A0">
      <w:pPr>
        <w:spacing w:line="360" w:lineRule="auto"/>
        <w:ind w:firstLine="720"/>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Os únicos resultados aparentes do PPI estão nas concessões de ativos públicos, construídos pelo Estado no passado e em que os riscos e o tempo de entrega já foram </w:t>
      </w:r>
      <w:r w:rsidRPr="0093288E">
        <w:rPr>
          <w:rFonts w:ascii="Times New Roman" w:eastAsia="Arial" w:hAnsi="Times New Roman" w:cs="Times New Roman"/>
          <w:sz w:val="24"/>
          <w:szCs w:val="24"/>
        </w:rPr>
        <w:lastRenderedPageBreak/>
        <w:t>amortizados, bem como leilões para transmissão de energia elétrica, que já operavam por parcerias público-privadas antes do PPI, sendo apenas incorporadas pelo programa.</w:t>
      </w:r>
    </w:p>
    <w:p w14:paraId="18B4628C" w14:textId="77777777" w:rsidR="004C77A0" w:rsidRPr="0093288E" w:rsidRDefault="004C77A0" w:rsidP="004C77A0">
      <w:pPr>
        <w:spacing w:line="360" w:lineRule="auto"/>
        <w:ind w:firstLine="720"/>
        <w:jc w:val="both"/>
        <w:rPr>
          <w:rFonts w:ascii="Times New Roman" w:eastAsia="Arial" w:hAnsi="Times New Roman" w:cs="Times New Roman"/>
          <w:i/>
          <w:sz w:val="24"/>
          <w:szCs w:val="24"/>
        </w:rPr>
      </w:pPr>
      <w:r w:rsidRPr="0093288E">
        <w:rPr>
          <w:rFonts w:ascii="Times New Roman" w:eastAsia="Arial" w:hAnsi="Times New Roman" w:cs="Times New Roman"/>
          <w:sz w:val="24"/>
          <w:szCs w:val="24"/>
        </w:rPr>
        <w:t>As transformações necessárias para o desenvolvimento econômico, onde as infraestruturas têm papel fundamental enquanto indutoras e integradoras das dinâmicas regionais, não dependem de leis, mas de iniciativas públicas que promovam mudanças estruturais. Um passo para atingir esse objetivo é a revisão da EC 95 e a melhor racionalização dos investimentos, das parcerias público-privadas e das concessões, retomando um papel mais proativo do Estado.</w:t>
      </w:r>
    </w:p>
    <w:p w14:paraId="5B355931" w14:textId="77777777" w:rsidR="004C77A0" w:rsidRPr="0093288E" w:rsidRDefault="004C77A0" w:rsidP="004C77A0">
      <w:pPr>
        <w:spacing w:line="360" w:lineRule="auto"/>
        <w:jc w:val="both"/>
        <w:rPr>
          <w:rFonts w:ascii="Times New Roman" w:eastAsia="Arial" w:hAnsi="Times New Roman" w:cs="Times New Roman"/>
          <w:i/>
          <w:sz w:val="24"/>
          <w:szCs w:val="24"/>
        </w:rPr>
      </w:pPr>
      <w:r w:rsidRPr="0093288E">
        <w:rPr>
          <w:rFonts w:ascii="Times New Roman" w:eastAsia="Arial" w:hAnsi="Times New Roman" w:cs="Times New Roman"/>
          <w:i/>
          <w:sz w:val="24"/>
          <w:szCs w:val="24"/>
        </w:rPr>
        <w:t>2.3.3</w:t>
      </w:r>
      <w:r w:rsidRPr="0093288E">
        <w:rPr>
          <w:rFonts w:ascii="Times New Roman" w:eastAsia="Arial" w:hAnsi="Times New Roman" w:cs="Times New Roman"/>
          <w:i/>
          <w:sz w:val="24"/>
          <w:szCs w:val="24"/>
        </w:rPr>
        <w:tab/>
        <w:t>Os Fundos Constitucionais</w:t>
      </w:r>
    </w:p>
    <w:p w14:paraId="28AB9FD1"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A efetividade das políticas de desenvolvimento regionais não se relaciona apenas com as restrições financeiras, mas com a capacidade de planejamento, previsibilidade e alocação ótima de recursos – ou seja, investimentos com o maior retorno social possível. O caso dos Fundos Constitucionais (</w:t>
      </w:r>
      <w:proofErr w:type="spellStart"/>
      <w:r w:rsidRPr="0093288E">
        <w:rPr>
          <w:rFonts w:ascii="Times New Roman" w:eastAsia="Arial" w:hAnsi="Times New Roman" w:cs="Times New Roman"/>
          <w:sz w:val="24"/>
          <w:szCs w:val="24"/>
        </w:rPr>
        <w:t>FCs</w:t>
      </w:r>
      <w:proofErr w:type="spellEnd"/>
      <w:r w:rsidRPr="0093288E">
        <w:rPr>
          <w:rFonts w:ascii="Times New Roman" w:eastAsia="Arial" w:hAnsi="Times New Roman" w:cs="Times New Roman"/>
          <w:sz w:val="24"/>
          <w:szCs w:val="24"/>
        </w:rPr>
        <w:t>)</w:t>
      </w:r>
      <w:r w:rsidRPr="0093288E">
        <w:rPr>
          <w:rFonts w:ascii="Times New Roman" w:eastAsia="Arial" w:hAnsi="Times New Roman" w:cs="Times New Roman"/>
          <w:sz w:val="24"/>
          <w:szCs w:val="24"/>
          <w:vertAlign w:val="superscript"/>
        </w:rPr>
        <w:footnoteReference w:id="8"/>
      </w:r>
      <w:r w:rsidRPr="0093288E">
        <w:rPr>
          <w:rFonts w:ascii="Times New Roman" w:eastAsia="Arial" w:hAnsi="Times New Roman" w:cs="Times New Roman"/>
          <w:sz w:val="24"/>
          <w:szCs w:val="24"/>
        </w:rPr>
        <w:t xml:space="preserve"> traz dimensão dos problemas estratégicos e de coordenação das políticas com impacto regional: por serem instituídos pela Carta Magna, seus recursos não podem ser contingenciados ao sabor das conjunturas, o que garante certa continuidade e previsibilidade em relação aos montantes, ainda que vinculados à arrecadação da União. Esta é ciclicamente afetada pelas escolhas de política econômica doméstica e das condições circunstanciais da economia internacional.</w:t>
      </w:r>
    </w:p>
    <w:p w14:paraId="5B1EE7CC"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De forma geral, a destinação dos recursos dos </w:t>
      </w:r>
      <w:proofErr w:type="spellStart"/>
      <w:r w:rsidRPr="0093288E">
        <w:rPr>
          <w:rFonts w:ascii="Times New Roman" w:eastAsia="Arial" w:hAnsi="Times New Roman" w:cs="Times New Roman"/>
          <w:sz w:val="24"/>
          <w:szCs w:val="24"/>
        </w:rPr>
        <w:t>FCs</w:t>
      </w:r>
      <w:proofErr w:type="spellEnd"/>
      <w:r w:rsidRPr="0093288E">
        <w:rPr>
          <w:rFonts w:ascii="Times New Roman" w:eastAsia="Arial" w:hAnsi="Times New Roman" w:cs="Times New Roman"/>
          <w:sz w:val="24"/>
          <w:szCs w:val="24"/>
        </w:rPr>
        <w:t xml:space="preserve">, na forma de créditos subsidiados com longos períodos de carência e amortização, é difusa e esmaece os preceitos objetivos característicos das estratégias de desenvolvimento regional – impactos territoriais relevantes, </w:t>
      </w:r>
      <w:r w:rsidRPr="0093288E">
        <w:rPr>
          <w:rFonts w:ascii="Times New Roman" w:eastAsia="Arial" w:hAnsi="Times New Roman" w:cs="Times New Roman"/>
          <w:sz w:val="24"/>
          <w:szCs w:val="24"/>
        </w:rPr>
        <w:lastRenderedPageBreak/>
        <w:t xml:space="preserve">perenes e integrados a outras regiões. Um olhar atento para a concessão dos recursos dos </w:t>
      </w:r>
      <w:proofErr w:type="spellStart"/>
      <w:r w:rsidRPr="0093288E">
        <w:rPr>
          <w:rFonts w:ascii="Times New Roman" w:eastAsia="Arial" w:hAnsi="Times New Roman" w:cs="Times New Roman"/>
          <w:sz w:val="24"/>
          <w:szCs w:val="24"/>
        </w:rPr>
        <w:t>FCs</w:t>
      </w:r>
      <w:proofErr w:type="spellEnd"/>
      <w:r>
        <w:rPr>
          <w:rStyle w:val="Refdenotaderodap"/>
          <w:rFonts w:ascii="Times New Roman" w:eastAsia="Arial" w:hAnsi="Times New Roman" w:cs="Times New Roman"/>
          <w:sz w:val="24"/>
          <w:szCs w:val="24"/>
        </w:rPr>
        <w:footnoteReference w:id="9"/>
      </w:r>
      <w:r w:rsidRPr="0093288E">
        <w:rPr>
          <w:rFonts w:ascii="Times New Roman" w:eastAsia="Arial" w:hAnsi="Times New Roman" w:cs="Times New Roman"/>
          <w:sz w:val="24"/>
          <w:szCs w:val="24"/>
        </w:rPr>
        <w:t xml:space="preserve"> aponta que:</w:t>
      </w:r>
    </w:p>
    <w:p w14:paraId="4BAF52E7" w14:textId="77777777" w:rsidR="004C77A0" w:rsidRPr="0093288E" w:rsidRDefault="004C77A0" w:rsidP="004C77A0">
      <w:pPr>
        <w:numPr>
          <w:ilvl w:val="0"/>
          <w:numId w:val="3"/>
        </w:numPr>
        <w:pBdr>
          <w:top w:val="nil"/>
          <w:left w:val="nil"/>
          <w:bottom w:val="nil"/>
          <w:right w:val="nil"/>
          <w:between w:val="nil"/>
        </w:pBdr>
        <w:spacing w:after="0" w:line="360" w:lineRule="auto"/>
        <w:ind w:hanging="720"/>
        <w:jc w:val="both"/>
        <w:rPr>
          <w:rFonts w:ascii="Times New Roman" w:eastAsia="Arial" w:hAnsi="Times New Roman" w:cs="Times New Roman"/>
          <w:color w:val="000000"/>
          <w:sz w:val="24"/>
          <w:szCs w:val="24"/>
        </w:rPr>
      </w:pPr>
      <w:r w:rsidRPr="0093288E">
        <w:rPr>
          <w:rFonts w:ascii="Times New Roman" w:eastAsia="Arial" w:hAnsi="Times New Roman" w:cs="Times New Roman"/>
          <w:color w:val="000000"/>
          <w:sz w:val="24"/>
          <w:szCs w:val="24"/>
        </w:rPr>
        <w:t>Dos R$43,8 bilhões destinados aos fundos em 2020, o FNE concentrou quase 60% destes (R$25,8 bilhões), cuja maior parte dos recursos foi destinada ao agronegócio (R$8,2 bilhões), além de comércio e serviços (R$8,4 bilhões), o que totalizou 43% dos recursos. Isso significou expressivo apoio a setores caracterizados pela reduzida capacidade de encadeamento produtivo no território e pela baixa geração de tecnologias e qualificação da mão de obra. Esses recursos, numa perspectiva otimista, podem ser entendidos como meio de manutenção de pequenos negócios com perfil de inclusão produtiva – ou seja, mitigação da vulnerabilidade social por intermédio do trabalho. A concentração dos recursos na região do semiárido corrobora esse entendimento. Especificamente em relação ao agronegócio, o setor emprega pouca mão de obra, recolhe poucos impostos (Lei Kandir) e geralmente está orientado ao mercado externo, o que não constitui um problema em si, embora sugira que, dada sua inserção externa, tenha condições de financiamento fora das políticas regionais. Pessoas físicas também foram destinatárias de R$113 milhões dos recursos do FNE, além de outros R$11,7 milhões destinados ao Financiamento Estudantil (Fies). As linhas de crédito voltadas a conter os efeitos econômicos da Covid-19 foram igualmente implementadas. Assim, a destinação dos recursos assumiu um espectro amplo e difuso em excesso, algo incompatível para fomentar iniciativas integradas e estruturantes de desenvolvimento regional</w:t>
      </w:r>
    </w:p>
    <w:p w14:paraId="200C40EF" w14:textId="77777777" w:rsidR="004C77A0" w:rsidRPr="0093288E" w:rsidRDefault="004C77A0" w:rsidP="004C77A0">
      <w:pPr>
        <w:numPr>
          <w:ilvl w:val="0"/>
          <w:numId w:val="3"/>
        </w:numPr>
        <w:pBdr>
          <w:top w:val="nil"/>
          <w:left w:val="nil"/>
          <w:bottom w:val="nil"/>
          <w:right w:val="nil"/>
          <w:between w:val="nil"/>
        </w:pBdr>
        <w:spacing w:after="0" w:line="360" w:lineRule="auto"/>
        <w:ind w:hanging="720"/>
        <w:jc w:val="both"/>
        <w:rPr>
          <w:rFonts w:ascii="Times New Roman" w:eastAsia="Arial" w:hAnsi="Times New Roman" w:cs="Times New Roman"/>
          <w:color w:val="000000"/>
          <w:sz w:val="24"/>
          <w:szCs w:val="24"/>
        </w:rPr>
      </w:pPr>
      <w:r w:rsidRPr="0093288E">
        <w:rPr>
          <w:rFonts w:ascii="Times New Roman" w:eastAsia="Arial" w:hAnsi="Times New Roman" w:cs="Times New Roman"/>
          <w:color w:val="000000"/>
          <w:sz w:val="24"/>
          <w:szCs w:val="24"/>
        </w:rPr>
        <w:t xml:space="preserve">Na região Norte, que captou quase 25% dos recursos (R$10,48 bilhões), o agronegócio também se beneficiou com a maior parte (43%), além de insuficientes 3,5 bilhões (33,4%) destinados à infraestrutura da região, que sofre historicamente com a baixa integração territorial – o Amapá, por exemplo, não possui rodovia que o interligue a outro estado; além disso, também sofre com </w:t>
      </w:r>
      <w:r w:rsidRPr="0093288E">
        <w:rPr>
          <w:rFonts w:ascii="Times New Roman" w:eastAsia="Arial" w:hAnsi="Times New Roman" w:cs="Times New Roman"/>
          <w:color w:val="000000"/>
          <w:sz w:val="24"/>
          <w:szCs w:val="24"/>
        </w:rPr>
        <w:lastRenderedPageBreak/>
        <w:t xml:space="preserve">constantes apagões devido a baixos investimentos em infraestrutura energética, uma realidade em toda a região. A difusão do crédito em micro e pequenas empresas também </w:t>
      </w:r>
      <w:r w:rsidRPr="0093288E">
        <w:rPr>
          <w:rFonts w:ascii="Times New Roman" w:eastAsia="Arial" w:hAnsi="Times New Roman" w:cs="Times New Roman"/>
          <w:sz w:val="24"/>
          <w:szCs w:val="24"/>
        </w:rPr>
        <w:t>têm</w:t>
      </w:r>
      <w:r w:rsidRPr="0093288E">
        <w:rPr>
          <w:rFonts w:ascii="Times New Roman" w:eastAsia="Arial" w:hAnsi="Times New Roman" w:cs="Times New Roman"/>
          <w:color w:val="000000"/>
          <w:sz w:val="24"/>
          <w:szCs w:val="24"/>
        </w:rPr>
        <w:t xml:space="preserve"> papel relevante, levando a política regional a viés de inclusão produtiva</w:t>
      </w:r>
    </w:p>
    <w:p w14:paraId="1123E293" w14:textId="77777777" w:rsidR="004C77A0" w:rsidRPr="0093288E" w:rsidRDefault="004C77A0" w:rsidP="004C77A0">
      <w:pPr>
        <w:numPr>
          <w:ilvl w:val="0"/>
          <w:numId w:val="3"/>
        </w:numPr>
        <w:pBdr>
          <w:top w:val="nil"/>
          <w:left w:val="nil"/>
          <w:bottom w:val="nil"/>
          <w:right w:val="nil"/>
          <w:between w:val="nil"/>
        </w:pBdr>
        <w:spacing w:line="360" w:lineRule="auto"/>
        <w:ind w:hanging="720"/>
        <w:jc w:val="both"/>
        <w:rPr>
          <w:rFonts w:ascii="Times New Roman" w:eastAsia="Arial" w:hAnsi="Times New Roman" w:cs="Times New Roman"/>
          <w:color w:val="000000"/>
          <w:sz w:val="24"/>
          <w:szCs w:val="24"/>
        </w:rPr>
      </w:pPr>
      <w:r w:rsidRPr="0093288E">
        <w:rPr>
          <w:rFonts w:ascii="Times New Roman" w:eastAsia="Arial" w:hAnsi="Times New Roman" w:cs="Times New Roman"/>
          <w:color w:val="000000"/>
          <w:sz w:val="24"/>
          <w:szCs w:val="24"/>
        </w:rPr>
        <w:t xml:space="preserve">Na região Centro-Oeste, área com predomínio do agronegócio, a atividade recebe 70% dos recursos (R$5,3 bilhões dos R$7,5 bi destinados ao Fundo). Aqui o problema da </w:t>
      </w:r>
      <w:r w:rsidRPr="0093288E">
        <w:rPr>
          <w:rFonts w:ascii="Times New Roman" w:eastAsia="Arial" w:hAnsi="Times New Roman" w:cs="Times New Roman"/>
          <w:i/>
          <w:color w:val="000000"/>
          <w:sz w:val="24"/>
          <w:szCs w:val="24"/>
        </w:rPr>
        <w:t>seleção adversa</w:t>
      </w:r>
      <w:r w:rsidRPr="0093288E">
        <w:rPr>
          <w:rFonts w:ascii="Times New Roman" w:eastAsia="Arial" w:hAnsi="Times New Roman" w:cs="Times New Roman"/>
          <w:color w:val="000000"/>
          <w:sz w:val="24"/>
          <w:szCs w:val="24"/>
        </w:rPr>
        <w:t xml:space="preserve"> parece ser mais claro: o perfil dos estabelecimentos rurais da macrorregião é predominantemente o da grande propriedade, altamente maquinizada e voltada ao setor externo. Logo, a política regional estaria atuando em benefício daqueles mais bem posicionados no mercado, sugerindo disfuncionalidade da política.</w:t>
      </w:r>
    </w:p>
    <w:p w14:paraId="28B7DB66" w14:textId="77777777" w:rsidR="004C77A0" w:rsidRPr="0093288E" w:rsidRDefault="004C77A0" w:rsidP="004C77A0">
      <w:pPr>
        <w:pBdr>
          <w:top w:val="nil"/>
          <w:left w:val="nil"/>
          <w:bottom w:val="nil"/>
          <w:right w:val="nil"/>
          <w:between w:val="nil"/>
        </w:pBd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Dessa maneira, </w:t>
      </w:r>
      <w:r w:rsidRPr="0093288E">
        <w:rPr>
          <w:rFonts w:ascii="Times New Roman" w:eastAsia="Arial" w:hAnsi="Times New Roman" w:cs="Times New Roman"/>
          <w:color w:val="000000"/>
          <w:sz w:val="24"/>
          <w:szCs w:val="24"/>
        </w:rPr>
        <w:t>é necess</w:t>
      </w:r>
      <w:r w:rsidRPr="0093288E">
        <w:rPr>
          <w:rFonts w:ascii="Times New Roman" w:eastAsia="Arial" w:hAnsi="Times New Roman" w:cs="Times New Roman"/>
          <w:sz w:val="24"/>
          <w:szCs w:val="24"/>
        </w:rPr>
        <w:t xml:space="preserve">ário rever a forma como os recursos destinados às regiões prioritárias da política regional são empenhados, no intuito de evitar a seleção adversa e o baixo impacto que investimentos difusos podem acarretar. Um mapeamento mais apurado das potencialidades locais e um melhor direcionamento de recursos em setores de elevado encadeamento produtivo – como os da indústria de transformação – podem elevar a efetividade da política pública regional, majorando os níveis de renda nas localidades e gerando novas dinâmicas produtivas </w:t>
      </w:r>
      <w:r>
        <w:rPr>
          <w:rFonts w:ascii="Times New Roman" w:eastAsia="Arial" w:hAnsi="Times New Roman" w:cs="Times New Roman"/>
          <w:sz w:val="24"/>
          <w:szCs w:val="24"/>
        </w:rPr>
        <w:t>no território</w:t>
      </w:r>
      <w:r w:rsidRPr="0093288E">
        <w:rPr>
          <w:rFonts w:ascii="Times New Roman" w:eastAsia="Arial" w:hAnsi="Times New Roman" w:cs="Times New Roman"/>
          <w:sz w:val="24"/>
          <w:szCs w:val="24"/>
        </w:rPr>
        <w:t>.</w:t>
      </w:r>
    </w:p>
    <w:p w14:paraId="3068A229" w14:textId="77777777" w:rsidR="004C77A0" w:rsidRPr="0093288E" w:rsidRDefault="004C77A0" w:rsidP="004C77A0">
      <w:pPr>
        <w:spacing w:line="360" w:lineRule="auto"/>
        <w:jc w:val="both"/>
        <w:rPr>
          <w:rFonts w:ascii="Times New Roman" w:eastAsia="Arial" w:hAnsi="Times New Roman" w:cs="Times New Roman"/>
          <w:b/>
          <w:sz w:val="24"/>
          <w:szCs w:val="24"/>
        </w:rPr>
      </w:pPr>
      <w:r w:rsidRPr="0093288E">
        <w:rPr>
          <w:rFonts w:ascii="Times New Roman" w:eastAsia="Arial" w:hAnsi="Times New Roman" w:cs="Times New Roman"/>
          <w:b/>
          <w:sz w:val="24"/>
          <w:szCs w:val="24"/>
        </w:rPr>
        <w:t>3. Desafios para a implementação das políticas de Desenvolvimento Regional no século XXI</w:t>
      </w:r>
      <w:r>
        <w:rPr>
          <w:rFonts w:ascii="Times New Roman" w:eastAsia="Arial" w:hAnsi="Times New Roman" w:cs="Times New Roman"/>
          <w:b/>
          <w:sz w:val="24"/>
          <w:szCs w:val="24"/>
        </w:rPr>
        <w:t>: A Política Nacional de Desenvolvimento Regional.</w:t>
      </w:r>
    </w:p>
    <w:p w14:paraId="3921CB06"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Um esforço de reelaboração e reinserção da pauta do desenvolvimento regional nas atenções do executivo federal foi empenhado com a elaboração da Política Nacional de Desenvolvimento Regional (PNDR), formulada a partir de 2003 e instituída por decreto-lei presidencial em 2007. O próprio intervalo entre formulação e promulgação da PNDR sinaliza as dificuldades em se articular um projeto de desenvolvimento regionalmente estruturado num contexto em que os investimentos públicos estratégicos e as condições para a indução do investimento privado foram solapados por políticas econômicas de corte conservador</w:t>
      </w:r>
      <w:r>
        <w:rPr>
          <w:rFonts w:ascii="Times New Roman" w:eastAsia="Arial" w:hAnsi="Times New Roman" w:cs="Times New Roman"/>
          <w:sz w:val="24"/>
          <w:szCs w:val="24"/>
        </w:rPr>
        <w:t xml:space="preserve"> (RESENDE, 2007)</w:t>
      </w:r>
      <w:r w:rsidRPr="0093288E">
        <w:rPr>
          <w:rFonts w:ascii="Times New Roman" w:eastAsia="Arial" w:hAnsi="Times New Roman" w:cs="Times New Roman"/>
          <w:sz w:val="24"/>
          <w:szCs w:val="24"/>
        </w:rPr>
        <w:t>.</w:t>
      </w:r>
    </w:p>
    <w:p w14:paraId="60766DA2"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lastRenderedPageBreak/>
        <w:t>Apesar dos avanços em termos de tipologia regional e de entendimento socioeconômico do território, a PNDR não atingiu os objetivos almejados, passando por reformulação que resultou em atualização pelo Decreto n. 9.810 de 2019. Ainda que signifique avanço em termos de intencionalidade da política pública, sua execução é de difícil realização devido às dificuldades de conciliar a agenda territorial à política macroeconômica. Imposições restritivas ao papel do Estado, como a Emenda Constitucional n° 95/2016 - o chamado “Teto de Gastos” -, impede que o executivo federal viabilize investimentos estratégicos, impondo uma camisa de força ao ente público que, ao contrário de estimular o setor privado, acaba deteriorando as expectativas num cenário de baixo crescimento, elevado desemprego e compressão da massa salarial real. Nessas circunstâncias, o setor privado se ressente ao entender que as incertezas para sua atuação são elevadas. Apenas uma retomada do gasto público em setores estratégicos e de elevado efeito multiplicador, como as infraestruturas, pode induzir uma alteração das expectativas e reverter esse quadro de paralisia.</w:t>
      </w:r>
    </w:p>
    <w:p w14:paraId="3A58D27E"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Se a tipologia sugerida por Brandão</w:t>
      </w:r>
      <w:r>
        <w:rPr>
          <w:rFonts w:ascii="Times New Roman" w:eastAsia="Arial" w:hAnsi="Times New Roman" w:cs="Times New Roman"/>
          <w:sz w:val="24"/>
          <w:szCs w:val="24"/>
        </w:rPr>
        <w:t xml:space="preserve"> (2019), exposta na seção anterior,</w:t>
      </w:r>
      <w:r w:rsidRPr="0093288E">
        <w:rPr>
          <w:rFonts w:ascii="Times New Roman" w:eastAsia="Arial" w:hAnsi="Times New Roman" w:cs="Times New Roman"/>
          <w:sz w:val="24"/>
          <w:szCs w:val="24"/>
        </w:rPr>
        <w:t xml:space="preserve"> permite qualificar certas intervenções e transformações no território, ela não parece suficientemente calibrada para apontar áreas preferenciais de atuação da política regional. Isso porque ela não oferece certas compreensões das singularidades do território, deixando descobertas aquelas regiões que não são alvo de expansão agropecuária, nem de políticas regionais explícitas e nem de polos atrativos à localização empresarial por conta de eventual expansão da renda. Assim sendo, a tipologia sugerida por Fernando Macedo e Leonardo Porto</w:t>
      </w:r>
      <w:r>
        <w:rPr>
          <w:rFonts w:ascii="Times New Roman" w:eastAsia="Arial" w:hAnsi="Times New Roman" w:cs="Times New Roman"/>
          <w:sz w:val="24"/>
          <w:szCs w:val="24"/>
        </w:rPr>
        <w:t xml:space="preserve"> (2018)</w:t>
      </w:r>
      <w:r w:rsidRPr="0093288E">
        <w:rPr>
          <w:rFonts w:ascii="Times New Roman" w:eastAsia="Arial" w:hAnsi="Times New Roman" w:cs="Times New Roman"/>
          <w:sz w:val="24"/>
          <w:szCs w:val="24"/>
        </w:rPr>
        <w:t xml:space="preserve">, que considera indicadores demográficos, de produção e renda para qualificação de regiões em escala microrregional, acaba assumindo um caráter mais elegível à atuação da política pública dentro do escopo da PNDR. Por meio de combinação de variáveis selecionadas e previstas pela própria política, os autores chegaram a quatro classificações territoriais possíveis: </w:t>
      </w:r>
    </w:p>
    <w:p w14:paraId="7C90022A" w14:textId="77777777" w:rsidR="004C77A0" w:rsidRPr="0093288E" w:rsidRDefault="004C77A0" w:rsidP="004C77A0">
      <w:pPr>
        <w:numPr>
          <w:ilvl w:val="0"/>
          <w:numId w:val="4"/>
        </w:numPr>
        <w:pBdr>
          <w:top w:val="nil"/>
          <w:left w:val="nil"/>
          <w:bottom w:val="nil"/>
          <w:right w:val="nil"/>
          <w:between w:val="nil"/>
        </w:pBdr>
        <w:spacing w:after="0" w:line="360" w:lineRule="auto"/>
        <w:jc w:val="both"/>
        <w:rPr>
          <w:rFonts w:ascii="Times New Roman" w:eastAsia="Arial" w:hAnsi="Times New Roman" w:cs="Times New Roman"/>
          <w:color w:val="000000"/>
          <w:sz w:val="24"/>
          <w:szCs w:val="24"/>
        </w:rPr>
      </w:pPr>
      <w:r w:rsidRPr="0093288E">
        <w:rPr>
          <w:rFonts w:ascii="Times New Roman" w:eastAsia="Arial" w:hAnsi="Times New Roman" w:cs="Times New Roman"/>
          <w:color w:val="000000"/>
          <w:sz w:val="24"/>
          <w:szCs w:val="24"/>
        </w:rPr>
        <w:t xml:space="preserve">sub-regiões de alta renda, que congregam o quartil de microrregiões com maior rendimento por habitante do país </w:t>
      </w:r>
    </w:p>
    <w:p w14:paraId="3BAFEFA8" w14:textId="77777777" w:rsidR="004C77A0" w:rsidRPr="0093288E" w:rsidRDefault="004C77A0" w:rsidP="004C77A0">
      <w:pPr>
        <w:numPr>
          <w:ilvl w:val="0"/>
          <w:numId w:val="4"/>
        </w:numPr>
        <w:pBdr>
          <w:top w:val="nil"/>
          <w:left w:val="nil"/>
          <w:bottom w:val="nil"/>
          <w:right w:val="nil"/>
          <w:between w:val="nil"/>
        </w:pBdr>
        <w:spacing w:after="0" w:line="360" w:lineRule="auto"/>
        <w:jc w:val="both"/>
        <w:rPr>
          <w:rFonts w:ascii="Times New Roman" w:eastAsia="Arial" w:hAnsi="Times New Roman" w:cs="Times New Roman"/>
          <w:color w:val="000000"/>
          <w:sz w:val="24"/>
          <w:szCs w:val="24"/>
        </w:rPr>
      </w:pPr>
      <w:r w:rsidRPr="0093288E">
        <w:rPr>
          <w:rFonts w:ascii="Times New Roman" w:eastAsia="Arial" w:hAnsi="Times New Roman" w:cs="Times New Roman"/>
          <w:color w:val="000000"/>
          <w:sz w:val="24"/>
          <w:szCs w:val="24"/>
        </w:rPr>
        <w:lastRenderedPageBreak/>
        <w:t xml:space="preserve">sub-regiões de baixa renda, que agrupam o quartil inferior das microrregiões, com menor renda nominal por habitante e menor crescimento </w:t>
      </w:r>
      <w:r w:rsidRPr="0093288E">
        <w:rPr>
          <w:rFonts w:ascii="Times New Roman" w:eastAsia="Arial" w:hAnsi="Times New Roman" w:cs="Times New Roman"/>
          <w:i/>
          <w:color w:val="000000"/>
          <w:sz w:val="24"/>
          <w:szCs w:val="24"/>
        </w:rPr>
        <w:t xml:space="preserve">per capita </w:t>
      </w:r>
      <w:r w:rsidRPr="0093288E">
        <w:rPr>
          <w:rFonts w:ascii="Times New Roman" w:eastAsia="Arial" w:hAnsi="Times New Roman" w:cs="Times New Roman"/>
          <w:color w:val="000000"/>
          <w:sz w:val="24"/>
          <w:szCs w:val="24"/>
        </w:rPr>
        <w:t>do PIB</w:t>
      </w:r>
    </w:p>
    <w:p w14:paraId="6789D72C" w14:textId="77777777" w:rsidR="004C77A0" w:rsidRPr="0093288E" w:rsidRDefault="004C77A0" w:rsidP="004C77A0">
      <w:pPr>
        <w:numPr>
          <w:ilvl w:val="0"/>
          <w:numId w:val="4"/>
        </w:numPr>
        <w:pBdr>
          <w:top w:val="nil"/>
          <w:left w:val="nil"/>
          <w:bottom w:val="nil"/>
          <w:right w:val="nil"/>
          <w:between w:val="nil"/>
        </w:pBdr>
        <w:spacing w:after="0" w:line="360" w:lineRule="auto"/>
        <w:jc w:val="both"/>
        <w:rPr>
          <w:rFonts w:ascii="Times New Roman" w:eastAsia="Arial" w:hAnsi="Times New Roman" w:cs="Times New Roman"/>
          <w:color w:val="000000"/>
          <w:sz w:val="24"/>
          <w:szCs w:val="24"/>
        </w:rPr>
      </w:pPr>
      <w:r w:rsidRPr="0093288E">
        <w:rPr>
          <w:rFonts w:ascii="Times New Roman" w:eastAsia="Arial" w:hAnsi="Times New Roman" w:cs="Times New Roman"/>
          <w:color w:val="000000"/>
          <w:sz w:val="24"/>
          <w:szCs w:val="24"/>
        </w:rPr>
        <w:t xml:space="preserve">sub-regiões dinâmicas, obtidas pelo cruzamento das informações do rendimento médio com o PIB </w:t>
      </w:r>
      <w:r w:rsidRPr="0093288E">
        <w:rPr>
          <w:rFonts w:ascii="Times New Roman" w:eastAsia="Arial" w:hAnsi="Times New Roman" w:cs="Times New Roman"/>
          <w:i/>
          <w:color w:val="000000"/>
          <w:sz w:val="24"/>
          <w:szCs w:val="24"/>
        </w:rPr>
        <w:t xml:space="preserve">per capita; </w:t>
      </w:r>
      <w:r w:rsidRPr="0093288E">
        <w:rPr>
          <w:rFonts w:ascii="Times New Roman" w:eastAsia="Arial" w:hAnsi="Times New Roman" w:cs="Times New Roman"/>
          <w:color w:val="000000"/>
          <w:sz w:val="24"/>
          <w:szCs w:val="24"/>
        </w:rPr>
        <w:t xml:space="preserve">agregando microrregiões com maiores taxas de crescimento do PIB </w:t>
      </w:r>
      <w:r w:rsidRPr="0093288E">
        <w:rPr>
          <w:rFonts w:ascii="Times New Roman" w:eastAsia="Arial" w:hAnsi="Times New Roman" w:cs="Times New Roman"/>
          <w:i/>
          <w:color w:val="000000"/>
          <w:sz w:val="24"/>
          <w:szCs w:val="24"/>
        </w:rPr>
        <w:t>per capita</w:t>
      </w:r>
      <w:r w:rsidRPr="0093288E">
        <w:rPr>
          <w:rFonts w:ascii="Times New Roman" w:eastAsia="Arial" w:hAnsi="Times New Roman" w:cs="Times New Roman"/>
          <w:color w:val="000000"/>
          <w:sz w:val="24"/>
          <w:szCs w:val="24"/>
        </w:rPr>
        <w:t>,</w:t>
      </w:r>
      <w:r w:rsidRPr="0093288E">
        <w:rPr>
          <w:rFonts w:ascii="Times New Roman" w:eastAsia="Arial" w:hAnsi="Times New Roman" w:cs="Times New Roman"/>
          <w:i/>
          <w:color w:val="000000"/>
          <w:sz w:val="24"/>
          <w:szCs w:val="24"/>
        </w:rPr>
        <w:t xml:space="preserve"> </w:t>
      </w:r>
      <w:r w:rsidRPr="0093288E">
        <w:rPr>
          <w:rFonts w:ascii="Times New Roman" w:eastAsia="Arial" w:hAnsi="Times New Roman" w:cs="Times New Roman"/>
          <w:color w:val="000000"/>
          <w:sz w:val="24"/>
          <w:szCs w:val="24"/>
        </w:rPr>
        <w:t>mas que não figuram no grupo de alta renda</w:t>
      </w:r>
    </w:p>
    <w:p w14:paraId="2E109657" w14:textId="77777777" w:rsidR="004C77A0" w:rsidRPr="0093288E" w:rsidRDefault="004C77A0" w:rsidP="004C77A0">
      <w:pPr>
        <w:numPr>
          <w:ilvl w:val="0"/>
          <w:numId w:val="4"/>
        </w:numPr>
        <w:pBdr>
          <w:top w:val="nil"/>
          <w:left w:val="nil"/>
          <w:bottom w:val="nil"/>
          <w:right w:val="nil"/>
          <w:between w:val="nil"/>
        </w:pBdr>
        <w:spacing w:line="360" w:lineRule="auto"/>
        <w:jc w:val="both"/>
        <w:rPr>
          <w:rFonts w:ascii="Times New Roman" w:eastAsia="Arial" w:hAnsi="Times New Roman" w:cs="Times New Roman"/>
          <w:color w:val="000000"/>
          <w:sz w:val="24"/>
          <w:szCs w:val="24"/>
        </w:rPr>
      </w:pPr>
      <w:r w:rsidRPr="0093288E">
        <w:rPr>
          <w:rFonts w:ascii="Times New Roman" w:eastAsia="Arial" w:hAnsi="Times New Roman" w:cs="Times New Roman"/>
          <w:color w:val="000000"/>
          <w:sz w:val="24"/>
          <w:szCs w:val="24"/>
        </w:rPr>
        <w:t xml:space="preserve">sub-regiões estagnadas, sendo aquelas que apresentam valores intermediários de rendimento médio por habitante, mas com taxas médias ou baixas de crescimento do PIB </w:t>
      </w:r>
      <w:r w:rsidRPr="0093288E">
        <w:rPr>
          <w:rFonts w:ascii="Times New Roman" w:eastAsia="Arial" w:hAnsi="Times New Roman" w:cs="Times New Roman"/>
          <w:i/>
          <w:color w:val="000000"/>
          <w:sz w:val="24"/>
          <w:szCs w:val="24"/>
        </w:rPr>
        <w:t>per capita</w:t>
      </w:r>
      <w:r w:rsidRPr="0093288E">
        <w:rPr>
          <w:rFonts w:ascii="Times New Roman" w:eastAsia="Arial" w:hAnsi="Times New Roman" w:cs="Times New Roman"/>
          <w:color w:val="000000"/>
          <w:sz w:val="24"/>
          <w:szCs w:val="24"/>
        </w:rPr>
        <w:t xml:space="preserve"> </w:t>
      </w:r>
    </w:p>
    <w:p w14:paraId="4D645BE6"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Seguindo essa metodologia, os autores constataram que, para o período entre 2002 e 2014, predominou no Brasil regiões estagnadas (188), seguidas pelas de alta renda (139), baixa renda (120) e dinâmica (110). As macrorregiões Sudeste e Sul concentram a maior parte das regiões de alta renda (76% delas), enquanto o Nordeste permanece concentrando o maior número de regiões de baixa renda (78% destas). Os números mostram a importância das políticas regionais e a letargia na qual a reversão do quadro das desigualdades territoriais se</w:t>
      </w:r>
      <w:r>
        <w:rPr>
          <w:rFonts w:ascii="Times New Roman" w:eastAsia="Arial" w:hAnsi="Times New Roman" w:cs="Times New Roman"/>
          <w:sz w:val="24"/>
          <w:szCs w:val="24"/>
        </w:rPr>
        <w:t xml:space="preserve"> </w:t>
      </w:r>
      <w:r w:rsidRPr="0093288E">
        <w:rPr>
          <w:rFonts w:ascii="Times New Roman" w:eastAsia="Arial" w:hAnsi="Times New Roman" w:cs="Times New Roman"/>
          <w:sz w:val="24"/>
          <w:szCs w:val="24"/>
        </w:rPr>
        <w:t xml:space="preserve">encontra. </w:t>
      </w:r>
    </w:p>
    <w:p w14:paraId="1E266DA9" w14:textId="77777777" w:rsidR="004C77A0" w:rsidRDefault="004C77A0" w:rsidP="004C77A0">
      <w:pPr>
        <w:spacing w:after="0" w:line="360" w:lineRule="auto"/>
        <w:ind w:firstLine="708"/>
        <w:jc w:val="center"/>
        <w:rPr>
          <w:rFonts w:ascii="Times New Roman" w:eastAsia="Arial" w:hAnsi="Times New Roman" w:cs="Times New Roman"/>
          <w:sz w:val="24"/>
          <w:szCs w:val="24"/>
        </w:rPr>
      </w:pPr>
      <w:r w:rsidRPr="0093288E">
        <w:rPr>
          <w:rFonts w:ascii="Times New Roman" w:hAnsi="Times New Roman" w:cs="Times New Roman"/>
          <w:noProof/>
          <w:sz w:val="24"/>
          <w:szCs w:val="24"/>
        </w:rPr>
        <w:lastRenderedPageBreak/>
        <w:drawing>
          <wp:inline distT="0" distB="0" distL="0" distR="0" wp14:anchorId="13A8BAF8" wp14:editId="4B197FAE">
            <wp:extent cx="4686300" cy="4076700"/>
            <wp:effectExtent l="0" t="0" r="0" b="0"/>
            <wp:docPr id="6" name="image2.png" descr="Map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2.png" descr="Mapa&#10;&#10;Descrição gerada automaticamente"/>
                    <pic:cNvPicPr preferRelativeResize="0"/>
                  </pic:nvPicPr>
                  <pic:blipFill>
                    <a:blip r:embed="rId10"/>
                    <a:srcRect/>
                    <a:stretch>
                      <a:fillRect/>
                    </a:stretch>
                  </pic:blipFill>
                  <pic:spPr>
                    <a:xfrm>
                      <a:off x="0" y="0"/>
                      <a:ext cx="4686300" cy="4076700"/>
                    </a:xfrm>
                    <a:prstGeom prst="rect">
                      <a:avLst/>
                    </a:prstGeom>
                    <a:ln/>
                  </pic:spPr>
                </pic:pic>
              </a:graphicData>
            </a:graphic>
          </wp:inline>
        </w:drawing>
      </w:r>
    </w:p>
    <w:p w14:paraId="43499D79" w14:textId="77777777" w:rsidR="004C77A0" w:rsidRPr="0093288E" w:rsidRDefault="004C77A0" w:rsidP="004C77A0">
      <w:pPr>
        <w:spacing w:line="360" w:lineRule="auto"/>
        <w:ind w:firstLine="708"/>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Pr="0093288E">
        <w:rPr>
          <w:rFonts w:ascii="Times New Roman" w:eastAsia="Arial" w:hAnsi="Times New Roman" w:cs="Times New Roman"/>
          <w:sz w:val="24"/>
          <w:szCs w:val="24"/>
        </w:rPr>
        <w:t>Fonte: Macedo e Porto (2018).</w:t>
      </w:r>
    </w:p>
    <w:p w14:paraId="7A2B03D2"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Por fim, vale destacar que a recente profusão de políticas públicas com “explícita” orientação regional tem apresentado baixa efetividade, sendo ora redundantes ao se sobreporem umas às outras, ora carecendo de foco e objetivos realistas alcançáveis no horizonte programado. Todas sofrem conjuntamente com a escassez de recursos e visão global que conformem uma estratégia de desenvolvimento nacional assentada em bases regionais</w:t>
      </w:r>
      <w:r w:rsidRPr="0093288E">
        <w:rPr>
          <w:rFonts w:ascii="Times New Roman" w:eastAsia="Arial" w:hAnsi="Times New Roman" w:cs="Times New Roman"/>
          <w:sz w:val="24"/>
          <w:szCs w:val="24"/>
          <w:vertAlign w:val="superscript"/>
        </w:rPr>
        <w:footnoteReference w:id="10"/>
      </w:r>
      <w:r w:rsidRPr="0093288E">
        <w:rPr>
          <w:rFonts w:ascii="Times New Roman" w:eastAsia="Arial" w:hAnsi="Times New Roman" w:cs="Times New Roman"/>
          <w:sz w:val="24"/>
          <w:szCs w:val="24"/>
        </w:rPr>
        <w:t xml:space="preserve">. Posto de outra forma, a falta de coordenação na elaboração e execução das políticas que enlacem as várias dimensões do desenvolvimento, e não apenas aquelas de viés explicitamente territorial, </w:t>
      </w:r>
      <w:r w:rsidRPr="0093288E">
        <w:rPr>
          <w:rFonts w:ascii="Times New Roman" w:eastAsia="Arial" w:hAnsi="Times New Roman" w:cs="Times New Roman"/>
          <w:sz w:val="24"/>
          <w:szCs w:val="24"/>
        </w:rPr>
        <w:lastRenderedPageBreak/>
        <w:t xml:space="preserve">fragiliza o planejamento estatal e a coordenação dos agentes privados, frustrando os primados indicadores de eficácia, eficiência e efetividade do setor público. </w:t>
      </w:r>
    </w:p>
    <w:p w14:paraId="5F3E7976" w14:textId="77777777" w:rsidR="004C77A0" w:rsidRPr="0093288E" w:rsidRDefault="004C77A0" w:rsidP="004C77A0">
      <w:pPr>
        <w:spacing w:line="360" w:lineRule="auto"/>
        <w:jc w:val="both"/>
        <w:rPr>
          <w:rFonts w:ascii="Times New Roman" w:eastAsia="Arial" w:hAnsi="Times New Roman" w:cs="Times New Roman"/>
          <w:b/>
          <w:sz w:val="24"/>
          <w:szCs w:val="24"/>
        </w:rPr>
      </w:pPr>
      <w:r>
        <w:rPr>
          <w:rFonts w:ascii="Times New Roman" w:eastAsia="Arial" w:hAnsi="Times New Roman" w:cs="Times New Roman"/>
          <w:b/>
          <w:sz w:val="24"/>
          <w:szCs w:val="24"/>
        </w:rPr>
        <w:t>4</w:t>
      </w:r>
      <w:r w:rsidRPr="0093288E">
        <w:rPr>
          <w:rFonts w:ascii="Times New Roman" w:eastAsia="Arial" w:hAnsi="Times New Roman" w:cs="Times New Roman"/>
          <w:b/>
          <w:sz w:val="24"/>
          <w:szCs w:val="24"/>
        </w:rPr>
        <w:t xml:space="preserve">. </w:t>
      </w:r>
      <w:r>
        <w:rPr>
          <w:rFonts w:ascii="Times New Roman" w:eastAsia="Arial" w:hAnsi="Times New Roman" w:cs="Times New Roman"/>
          <w:b/>
          <w:sz w:val="24"/>
          <w:szCs w:val="24"/>
        </w:rPr>
        <w:t xml:space="preserve">Conclusão propositiva: </w:t>
      </w:r>
      <w:r w:rsidRPr="0093288E">
        <w:rPr>
          <w:rFonts w:ascii="Times New Roman" w:eastAsia="Arial" w:hAnsi="Times New Roman" w:cs="Times New Roman"/>
          <w:b/>
          <w:sz w:val="24"/>
          <w:szCs w:val="24"/>
        </w:rPr>
        <w:t xml:space="preserve">Propostas prioritárias para uma política de reativação econômica regionalmente sustentada </w:t>
      </w:r>
    </w:p>
    <w:p w14:paraId="7AC68C8A"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Descasada dos instrumentos de coordenação política e econômica e com clara orientação ao desenvolvimento nacional, as políticas de corte regional tendem a reduzir-se a ações circunstanciais e frágeis de “inclusão produtiva”, de expressão tipicamente atomizada e pouco efetiva. Esse perfil de intervenção desnatura o sentido de abrangência, perenidade e transformação das estruturas econômicas regionais, algo esperado em políticas públicas com esse viés. As políticas regionais podem, muitas vezes, estar fadadas a limitar</w:t>
      </w:r>
      <w:r>
        <w:rPr>
          <w:rFonts w:ascii="Times New Roman" w:eastAsia="Arial" w:hAnsi="Times New Roman" w:cs="Times New Roman"/>
          <w:sz w:val="24"/>
          <w:szCs w:val="24"/>
        </w:rPr>
        <w:t>em-se</w:t>
      </w:r>
      <w:r w:rsidRPr="0093288E">
        <w:rPr>
          <w:rFonts w:ascii="Times New Roman" w:eastAsia="Arial" w:hAnsi="Times New Roman" w:cs="Times New Roman"/>
          <w:sz w:val="24"/>
          <w:szCs w:val="24"/>
        </w:rPr>
        <w:t xml:space="preserve"> à remediação ou atendimento pontual das carências materiais espacialmente localizadas por meio da promoção do trabalho digno, que abrange a família ou a comunidade, mas que replicam estruturas autárquicas ou </w:t>
      </w:r>
      <w:proofErr w:type="spellStart"/>
      <w:r w:rsidRPr="0093288E">
        <w:rPr>
          <w:rFonts w:ascii="Times New Roman" w:eastAsia="Arial" w:hAnsi="Times New Roman" w:cs="Times New Roman"/>
          <w:sz w:val="24"/>
          <w:szCs w:val="24"/>
        </w:rPr>
        <w:t>semiautárquicas</w:t>
      </w:r>
      <w:proofErr w:type="spellEnd"/>
      <w:r w:rsidRPr="0093288E">
        <w:rPr>
          <w:rFonts w:ascii="Times New Roman" w:eastAsia="Arial" w:hAnsi="Times New Roman" w:cs="Times New Roman"/>
          <w:sz w:val="24"/>
          <w:szCs w:val="24"/>
        </w:rPr>
        <w:t xml:space="preserve"> de provimento material da vida, como no caso da criação animal e agricultura de subsistência.</w:t>
      </w:r>
    </w:p>
    <w:p w14:paraId="2E0A80D2" w14:textId="77777777" w:rsidR="004C77A0" w:rsidRPr="0093288E" w:rsidRDefault="004C77A0" w:rsidP="004C77A0">
      <w:pPr>
        <w:spacing w:line="360" w:lineRule="auto"/>
        <w:ind w:firstLine="708"/>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A retomada do crescimento econômico com justiça social deve debruçar-se não só na reativação dos polos econômicos já consolidados do país – </w:t>
      </w:r>
      <w:r>
        <w:rPr>
          <w:rFonts w:ascii="Times New Roman" w:eastAsia="Arial" w:hAnsi="Times New Roman" w:cs="Times New Roman"/>
          <w:sz w:val="24"/>
          <w:szCs w:val="24"/>
        </w:rPr>
        <w:t xml:space="preserve">as macrorregiões </w:t>
      </w:r>
      <w:r w:rsidRPr="0093288E">
        <w:rPr>
          <w:rFonts w:ascii="Times New Roman" w:eastAsia="Arial" w:hAnsi="Times New Roman" w:cs="Times New Roman"/>
          <w:sz w:val="24"/>
          <w:szCs w:val="24"/>
        </w:rPr>
        <w:t xml:space="preserve">Sudeste e Sul –, </w:t>
      </w:r>
      <w:r>
        <w:rPr>
          <w:rFonts w:ascii="Times New Roman" w:eastAsia="Arial" w:hAnsi="Times New Roman" w:cs="Times New Roman"/>
          <w:sz w:val="24"/>
          <w:szCs w:val="24"/>
        </w:rPr>
        <w:t xml:space="preserve">mas também </w:t>
      </w:r>
      <w:r w:rsidRPr="0093288E">
        <w:rPr>
          <w:rFonts w:ascii="Times New Roman" w:eastAsia="Arial" w:hAnsi="Times New Roman" w:cs="Times New Roman"/>
          <w:sz w:val="24"/>
          <w:szCs w:val="24"/>
        </w:rPr>
        <w:t>integrar as regiões estagnadas e de baixo dinamismo, combatendo as desigualdades sociais no território. Para isso, algumas medidas são prioritárias:</w:t>
      </w:r>
    </w:p>
    <w:p w14:paraId="63FCC756" w14:textId="77777777" w:rsidR="004C77A0" w:rsidRPr="0093288E" w:rsidRDefault="004C77A0" w:rsidP="004C77A0">
      <w:pPr>
        <w:numPr>
          <w:ilvl w:val="0"/>
          <w:numId w:val="2"/>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Revisar a Emenda Constitucional nº 95/2016, de forma que os montantes destinados aos investimentos públicos (portos, rodovias, ferrovias etc.) sejam excluídos do critério de contingenciamento dos gastos;</w:t>
      </w:r>
    </w:p>
    <w:p w14:paraId="73782048" w14:textId="77777777" w:rsidR="004C77A0" w:rsidRPr="0093288E" w:rsidRDefault="004C77A0" w:rsidP="004C77A0">
      <w:pPr>
        <w:numPr>
          <w:ilvl w:val="0"/>
          <w:numId w:val="2"/>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Promover uma Reforma Administrativa que retome o papel do Estado enquanto planejador, coordenador e indutor dos investimentos, qualificando a burocracia pública e enfatizando a perspectiva territorial na tomada de decisões, a fim de integrar as regiões de menor dinamismo econômico ao tecido produtivo;</w:t>
      </w:r>
    </w:p>
    <w:p w14:paraId="627B5587" w14:textId="77777777" w:rsidR="004C77A0" w:rsidRPr="0093288E" w:rsidRDefault="004C77A0" w:rsidP="004C77A0">
      <w:pPr>
        <w:numPr>
          <w:ilvl w:val="0"/>
          <w:numId w:val="2"/>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Concretizar a instauração do Comitê Interministerial de Planejamento da Infraestrutura e o Plano Integrado de Longo Prazo da Infraestrutura no âmbito do Governo Federal, previsto no Decreto Nº 10.526, de 20 de outubro de 2020. Seu </w:t>
      </w:r>
      <w:r w:rsidRPr="0093288E">
        <w:rPr>
          <w:rFonts w:ascii="Times New Roman" w:eastAsia="Arial" w:hAnsi="Times New Roman" w:cs="Times New Roman"/>
          <w:sz w:val="24"/>
          <w:szCs w:val="24"/>
        </w:rPr>
        <w:lastRenderedPageBreak/>
        <w:t xml:space="preserve">objetivo é fomentar investimentos, tanto públicos como privados, em infraestrutura no país para aumentar a oferta de </w:t>
      </w:r>
      <w:proofErr w:type="gramStart"/>
      <w:r w:rsidRPr="0093288E">
        <w:rPr>
          <w:rFonts w:ascii="Times New Roman" w:eastAsia="Arial" w:hAnsi="Times New Roman" w:cs="Times New Roman"/>
          <w:sz w:val="24"/>
          <w:szCs w:val="24"/>
        </w:rPr>
        <w:t>serviços  de</w:t>
      </w:r>
      <w:proofErr w:type="gramEnd"/>
      <w:r w:rsidRPr="0093288E">
        <w:rPr>
          <w:rFonts w:ascii="Times New Roman" w:eastAsia="Arial" w:hAnsi="Times New Roman" w:cs="Times New Roman"/>
          <w:sz w:val="24"/>
          <w:szCs w:val="24"/>
        </w:rPr>
        <w:t xml:space="preserve"> infraestrutura que visam o crescimento econômico e melhorar a qualidade do gasto público no setor de infraestrutura; Retomar as cerca de 4,7 mil obras paralisadas do Programa de Aceleração do Crescimento (PAC), com potencial de geração de 500 mil empregos e dinamização das economias locais. A reativação das obras promove a melhoria da produtividade sistêmica por meio da consolidação de infraestruturas econômicas (telecomunicação, rodovias, portos etc.) e melhoria do bem-estar social com as entregas de infraestruturas sociais (hospitais, escolas, universidades etc.);</w:t>
      </w:r>
    </w:p>
    <w:p w14:paraId="308D011F" w14:textId="77777777" w:rsidR="004C77A0" w:rsidRPr="0093288E" w:rsidRDefault="004C77A0" w:rsidP="004C77A0">
      <w:pPr>
        <w:numPr>
          <w:ilvl w:val="0"/>
          <w:numId w:val="2"/>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Promoção de um amplo programa estratégico de obras públicas voltadas às infraestruturas econômicas e sociais, para além das previstas no PAC. As carências </w:t>
      </w:r>
      <w:proofErr w:type="spellStart"/>
      <w:r w:rsidRPr="0093288E">
        <w:rPr>
          <w:rFonts w:ascii="Times New Roman" w:eastAsia="Arial" w:hAnsi="Times New Roman" w:cs="Times New Roman"/>
          <w:sz w:val="24"/>
          <w:szCs w:val="24"/>
        </w:rPr>
        <w:t>infraestruturais</w:t>
      </w:r>
      <w:proofErr w:type="spellEnd"/>
      <w:r w:rsidRPr="0093288E">
        <w:rPr>
          <w:rFonts w:ascii="Times New Roman" w:eastAsia="Arial" w:hAnsi="Times New Roman" w:cs="Times New Roman"/>
          <w:sz w:val="24"/>
          <w:szCs w:val="24"/>
        </w:rPr>
        <w:t xml:space="preserve"> do país constituem uma frente de oportunidades, na medida em que promove simultaneamente: </w:t>
      </w:r>
      <w:r w:rsidRPr="0093288E">
        <w:rPr>
          <w:rFonts w:ascii="Times New Roman" w:eastAsia="Arial" w:hAnsi="Times New Roman" w:cs="Times New Roman"/>
          <w:i/>
          <w:sz w:val="24"/>
          <w:szCs w:val="24"/>
        </w:rPr>
        <w:t>i)</w:t>
      </w:r>
      <w:r w:rsidRPr="0093288E">
        <w:rPr>
          <w:rFonts w:ascii="Times New Roman" w:eastAsia="Arial" w:hAnsi="Times New Roman" w:cs="Times New Roman"/>
          <w:sz w:val="24"/>
          <w:szCs w:val="24"/>
        </w:rPr>
        <w:t xml:space="preserve"> elevado volume de empregos, combatendo a elevada subutilização da força de trabalho; </w:t>
      </w:r>
      <w:proofErr w:type="spellStart"/>
      <w:r w:rsidRPr="0093288E">
        <w:rPr>
          <w:rFonts w:ascii="Times New Roman" w:eastAsia="Arial" w:hAnsi="Times New Roman" w:cs="Times New Roman"/>
          <w:i/>
          <w:sz w:val="24"/>
          <w:szCs w:val="24"/>
        </w:rPr>
        <w:t>ii</w:t>
      </w:r>
      <w:proofErr w:type="spellEnd"/>
      <w:r w:rsidRPr="0093288E">
        <w:rPr>
          <w:rFonts w:ascii="Times New Roman" w:eastAsia="Arial" w:hAnsi="Times New Roman" w:cs="Times New Roman"/>
          <w:i/>
          <w:sz w:val="24"/>
          <w:szCs w:val="24"/>
        </w:rPr>
        <w:t>)</w:t>
      </w:r>
      <w:r w:rsidRPr="0093288E">
        <w:rPr>
          <w:rFonts w:ascii="Times New Roman" w:eastAsia="Arial" w:hAnsi="Times New Roman" w:cs="Times New Roman"/>
          <w:sz w:val="24"/>
          <w:szCs w:val="24"/>
        </w:rPr>
        <w:t xml:space="preserve"> aumenta a produtividade sistêmica da economia ao gerar novos equipamentos de uso comum; e </w:t>
      </w:r>
      <w:proofErr w:type="spellStart"/>
      <w:r w:rsidRPr="0093288E">
        <w:rPr>
          <w:rFonts w:ascii="Times New Roman" w:eastAsia="Arial" w:hAnsi="Times New Roman" w:cs="Times New Roman"/>
          <w:i/>
          <w:sz w:val="24"/>
          <w:szCs w:val="24"/>
        </w:rPr>
        <w:t>iii</w:t>
      </w:r>
      <w:proofErr w:type="spellEnd"/>
      <w:r w:rsidRPr="0093288E">
        <w:rPr>
          <w:rFonts w:ascii="Times New Roman" w:eastAsia="Arial" w:hAnsi="Times New Roman" w:cs="Times New Roman"/>
          <w:i/>
          <w:sz w:val="24"/>
          <w:szCs w:val="24"/>
        </w:rPr>
        <w:t xml:space="preserve">) </w:t>
      </w:r>
      <w:r w:rsidRPr="0093288E">
        <w:rPr>
          <w:rFonts w:ascii="Times New Roman" w:eastAsia="Arial" w:hAnsi="Times New Roman" w:cs="Times New Roman"/>
          <w:sz w:val="24"/>
          <w:szCs w:val="24"/>
        </w:rPr>
        <w:t>integra o território, potencializando novas dinâmicas regionais e reduzindo as disparidades;</w:t>
      </w:r>
    </w:p>
    <w:p w14:paraId="2C70DD60" w14:textId="77777777" w:rsidR="004C77A0" w:rsidRPr="0093288E" w:rsidRDefault="004C77A0" w:rsidP="004C77A0">
      <w:pPr>
        <w:numPr>
          <w:ilvl w:val="0"/>
          <w:numId w:val="2"/>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Retomar a política de reajustes reais do salário-mínimo, devolvendo o poder de compra dos assalariados e tonificando o mercado através do consumo das famílias, o que fortalece os mercados locais e cria circularidades regionais positivas;</w:t>
      </w:r>
    </w:p>
    <w:p w14:paraId="00E980EC" w14:textId="77777777" w:rsidR="004C77A0" w:rsidRPr="0093288E" w:rsidRDefault="004C77A0" w:rsidP="004C77A0">
      <w:pPr>
        <w:numPr>
          <w:ilvl w:val="0"/>
          <w:numId w:val="2"/>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Concretizar a instauração do Núcleo de Inteligência Regional (NIR), previso no Capítulo IV do decreto n</w:t>
      </w:r>
      <w:hyperlink r:id="rId11">
        <w:r w:rsidRPr="0093288E">
          <w:rPr>
            <w:rFonts w:ascii="Times New Roman" w:eastAsia="Arial" w:hAnsi="Times New Roman" w:cs="Times New Roman"/>
            <w:sz w:val="24"/>
            <w:szCs w:val="24"/>
          </w:rPr>
          <w:t>º 9.810, de 30 de maio de 2019</w:t>
        </w:r>
      </w:hyperlink>
      <w:r w:rsidRPr="0093288E">
        <w:rPr>
          <w:rFonts w:ascii="Times New Roman" w:eastAsia="Arial" w:hAnsi="Times New Roman" w:cs="Times New Roman"/>
          <w:sz w:val="24"/>
          <w:szCs w:val="24"/>
        </w:rPr>
        <w:t>, que institui a Política Nacional de Desenvolvimento Regional, como instância privilegiada de análise e proposição da condução da política regional. Seu objetivo é articular os diversos organismos de atuação regional nas esferas administrativas do estado, como secretarias do Ministério do Desenvolvimento Regional, Superintendência do Desenvolvimento do Nordeste (Sudene), Superintendência do Desenvolvimento de Centro-Oeste (</w:t>
      </w:r>
      <w:proofErr w:type="spellStart"/>
      <w:r w:rsidRPr="0093288E">
        <w:rPr>
          <w:rFonts w:ascii="Times New Roman" w:eastAsia="Arial" w:hAnsi="Times New Roman" w:cs="Times New Roman"/>
          <w:sz w:val="24"/>
          <w:szCs w:val="24"/>
        </w:rPr>
        <w:t>Sudeco</w:t>
      </w:r>
      <w:proofErr w:type="spellEnd"/>
      <w:r w:rsidRPr="0093288E">
        <w:rPr>
          <w:rFonts w:ascii="Times New Roman" w:eastAsia="Arial" w:hAnsi="Times New Roman" w:cs="Times New Roman"/>
          <w:sz w:val="24"/>
          <w:szCs w:val="24"/>
        </w:rPr>
        <w:t>), Superintendência do Desenvolvimento da Amazônia (Sudam), institutos de pesquisa e assessoria como Ipea e IBGE, além de possíveis parceiros em outros níveis de governo, como secretarias municipais e estaduais etc.;</w:t>
      </w:r>
    </w:p>
    <w:p w14:paraId="1903976F" w14:textId="77777777" w:rsidR="004C77A0" w:rsidRPr="0093288E" w:rsidRDefault="004C77A0" w:rsidP="004C77A0">
      <w:pPr>
        <w:numPr>
          <w:ilvl w:val="0"/>
          <w:numId w:val="2"/>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lastRenderedPageBreak/>
        <w:t xml:space="preserve">Estabelecer instâncias de cooperação </w:t>
      </w:r>
      <w:proofErr w:type="spellStart"/>
      <w:r w:rsidRPr="0093288E">
        <w:rPr>
          <w:rFonts w:ascii="Times New Roman" w:eastAsia="Arial" w:hAnsi="Times New Roman" w:cs="Times New Roman"/>
          <w:sz w:val="24"/>
          <w:szCs w:val="24"/>
        </w:rPr>
        <w:t>multiescalar</w:t>
      </w:r>
      <w:proofErr w:type="spellEnd"/>
      <w:r w:rsidRPr="0093288E">
        <w:rPr>
          <w:rFonts w:ascii="Times New Roman" w:eastAsia="Arial" w:hAnsi="Times New Roman" w:cs="Times New Roman"/>
          <w:sz w:val="24"/>
          <w:szCs w:val="24"/>
        </w:rPr>
        <w:t xml:space="preserve"> entre o setor público e privado nas regiões prioritárias de atuação da política regional (regiões de baixa renda e estagnadas). Essas instâncias, passíveis de apoio técnico do NIR, promoveriam o encontro dos organismos de planejamento e execução da política regional nas esferas da União, estados, municípios com organizações da sociedade civil, empresários locais, associações empresariais, comunidades tradicionais e outros atores relevantes, reunidos em fóruns propositivos das ações de interesse coletivo da regionalidade;</w:t>
      </w:r>
    </w:p>
    <w:p w14:paraId="39D52B8F" w14:textId="77777777" w:rsidR="004C77A0" w:rsidRPr="0093288E" w:rsidRDefault="004C77A0" w:rsidP="004C77A0">
      <w:pPr>
        <w:numPr>
          <w:ilvl w:val="0"/>
          <w:numId w:val="2"/>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Reavaliação da alocação dos recursos oriundos dos Fundos Constitucionais, que abastecem as superintendências de desenvolvimento das regiões Norte, Nordeste e Centro-Oeste, evitando o processo de </w:t>
      </w:r>
      <w:r w:rsidRPr="0093288E">
        <w:rPr>
          <w:rFonts w:ascii="Times New Roman" w:eastAsia="Arial" w:hAnsi="Times New Roman" w:cs="Times New Roman"/>
          <w:i/>
          <w:sz w:val="24"/>
          <w:szCs w:val="24"/>
        </w:rPr>
        <w:t>seleção adversa</w:t>
      </w:r>
      <w:r w:rsidRPr="0093288E">
        <w:rPr>
          <w:rFonts w:ascii="Times New Roman" w:eastAsia="Arial" w:hAnsi="Times New Roman" w:cs="Times New Roman"/>
          <w:sz w:val="24"/>
          <w:szCs w:val="24"/>
        </w:rPr>
        <w:t xml:space="preserve"> e buscando fomentar atividades de maior valor agregado e encadeamento produtivo, como os que ocorrem na indústria de transformação;</w:t>
      </w:r>
    </w:p>
    <w:p w14:paraId="41F4CEB3" w14:textId="77777777" w:rsidR="004C77A0" w:rsidRPr="0093288E" w:rsidRDefault="004C77A0" w:rsidP="004C77A0">
      <w:pPr>
        <w:numPr>
          <w:ilvl w:val="0"/>
          <w:numId w:val="2"/>
        </w:numPr>
        <w:spacing w:after="0"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 Valorização da biodiversidade e desenvolvimento de práticas sustentáveis e economicamente viáveis que envolvam as comunidades das regiões de maior potencial na elaboração de novos produtos e criação de novos mercados, como a Amazônia e o Cerrado. Estes biomas são potenciais celeiros de inovação para as indústrias química, bioquímica, farmacêutica, cosmética e alimentícia, demandando políticas públicas específicas que mobilizem diversas frentes – acadêmica, jurídica, empresarial, comunitária – e que deve se distinguir, sobretudo, pela participação popular e respeito ao meio-ambiente;</w:t>
      </w:r>
    </w:p>
    <w:p w14:paraId="67AA7E98" w14:textId="77777777" w:rsidR="004C77A0" w:rsidRDefault="004C77A0" w:rsidP="004C77A0">
      <w:pPr>
        <w:numPr>
          <w:ilvl w:val="0"/>
          <w:numId w:val="2"/>
        </w:numPr>
        <w:spacing w:line="360" w:lineRule="auto"/>
        <w:jc w:val="both"/>
        <w:rPr>
          <w:rFonts w:ascii="Times New Roman" w:eastAsia="Arial" w:hAnsi="Times New Roman" w:cs="Times New Roman"/>
          <w:sz w:val="24"/>
          <w:szCs w:val="24"/>
        </w:rPr>
      </w:pPr>
      <w:r w:rsidRPr="0093288E">
        <w:rPr>
          <w:rFonts w:ascii="Times New Roman" w:eastAsia="Arial" w:hAnsi="Times New Roman" w:cs="Times New Roman"/>
          <w:sz w:val="24"/>
          <w:szCs w:val="24"/>
        </w:rPr>
        <w:t xml:space="preserve"> Reforma do espaço urbano nas grandes cidades, urbanizando aglomerados subnormais e ampliando a oferta de serviços básicos como saneamento, coleta de lixo e transporte, além da promoção de políticas de uso do solo com finalidade social, como equipamentos públicos (parques, praças, centros culturais etc.) e moradias de interesse social nas regiões centrais;</w:t>
      </w:r>
    </w:p>
    <w:p w14:paraId="12C777B2" w14:textId="77777777" w:rsidR="004C77A0" w:rsidRDefault="004C77A0" w:rsidP="004C77A0">
      <w:pPr>
        <w:spacing w:line="360" w:lineRule="auto"/>
        <w:jc w:val="both"/>
        <w:rPr>
          <w:rFonts w:ascii="Times New Roman" w:eastAsia="Arial" w:hAnsi="Times New Roman" w:cs="Times New Roman"/>
          <w:b/>
          <w:bCs/>
          <w:sz w:val="24"/>
          <w:szCs w:val="24"/>
        </w:rPr>
      </w:pPr>
      <w:r>
        <w:rPr>
          <w:rFonts w:ascii="Times New Roman" w:eastAsia="Arial" w:hAnsi="Times New Roman" w:cs="Times New Roman"/>
          <w:b/>
          <w:bCs/>
          <w:sz w:val="24"/>
          <w:szCs w:val="24"/>
        </w:rPr>
        <w:t>Referências</w:t>
      </w:r>
    </w:p>
    <w:p w14:paraId="09479F6A" w14:textId="77777777" w:rsidR="004C77A0" w:rsidRDefault="004C77A0" w:rsidP="004C77A0">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BRANDÃO</w:t>
      </w:r>
      <w:r w:rsidRPr="00DA5BAA">
        <w:rPr>
          <w:rFonts w:ascii="Times New Roman" w:hAnsi="Times New Roman" w:cs="Times New Roman"/>
          <w:color w:val="000000"/>
          <w:sz w:val="24"/>
          <w:szCs w:val="24"/>
        </w:rPr>
        <w:t>, C. A. As a</w:t>
      </w:r>
      <w:r w:rsidRPr="00DA5BAA">
        <w:rPr>
          <w:rFonts w:ascii="Times New Roman" w:hAnsi="Times New Roman" w:cs="Times New Roman"/>
          <w:i/>
          <w:color w:val="000000"/>
          <w:sz w:val="24"/>
          <w:szCs w:val="24"/>
        </w:rPr>
        <w:t xml:space="preserve">usências e os elos faltantes nas análises regionais no Brasil e a proposição de uma agenda de pesquisa de longo prazo. </w:t>
      </w:r>
      <w:r w:rsidRPr="00DA5BAA">
        <w:rPr>
          <w:rFonts w:ascii="Times New Roman" w:hAnsi="Times New Roman" w:cs="Times New Roman"/>
          <w:color w:val="000000"/>
          <w:sz w:val="24"/>
          <w:szCs w:val="24"/>
        </w:rPr>
        <w:t>Texto para Discussão 2461, Brasília: Ipea, 2019.</w:t>
      </w:r>
    </w:p>
    <w:p w14:paraId="1BBB5E62" w14:textId="77777777" w:rsidR="004C77A0" w:rsidRPr="00B76BC8" w:rsidRDefault="004C77A0" w:rsidP="004C77A0">
      <w:pPr>
        <w:spacing w:line="240" w:lineRule="auto"/>
        <w:jc w:val="both"/>
        <w:rPr>
          <w:rFonts w:ascii="Times New Roman" w:eastAsia="Arial" w:hAnsi="Times New Roman" w:cs="Times New Roman"/>
          <w:b/>
          <w:bCs/>
          <w:sz w:val="24"/>
          <w:szCs w:val="24"/>
        </w:rPr>
      </w:pPr>
      <w:r w:rsidRPr="00B76BC8">
        <w:rPr>
          <w:rFonts w:ascii="Times New Roman" w:hAnsi="Times New Roman" w:cs="Times New Roman"/>
          <w:color w:val="000000"/>
          <w:sz w:val="24"/>
          <w:szCs w:val="24"/>
        </w:rPr>
        <w:t>FILGUEIRAS, Lui</w:t>
      </w:r>
      <w:r>
        <w:rPr>
          <w:rFonts w:ascii="Times New Roman" w:hAnsi="Times New Roman" w:cs="Times New Roman"/>
          <w:color w:val="000000"/>
          <w:sz w:val="24"/>
          <w:szCs w:val="24"/>
        </w:rPr>
        <w:t>z</w:t>
      </w:r>
      <w:r w:rsidRPr="00B76BC8">
        <w:rPr>
          <w:rFonts w:ascii="Times New Roman" w:hAnsi="Times New Roman" w:cs="Times New Roman"/>
          <w:color w:val="000000"/>
          <w:sz w:val="24"/>
          <w:szCs w:val="24"/>
        </w:rPr>
        <w:t xml:space="preserve">. </w:t>
      </w:r>
      <w:r w:rsidRPr="00B76BC8">
        <w:rPr>
          <w:rFonts w:ascii="Times New Roman" w:hAnsi="Times New Roman" w:cs="Times New Roman"/>
          <w:b/>
          <w:bCs/>
          <w:iCs/>
          <w:color w:val="000000"/>
          <w:sz w:val="24"/>
          <w:szCs w:val="24"/>
        </w:rPr>
        <w:t>História do Plano Real</w:t>
      </w:r>
      <w:r w:rsidRPr="00B76BC8">
        <w:rPr>
          <w:rFonts w:ascii="Times New Roman" w:hAnsi="Times New Roman" w:cs="Times New Roman"/>
          <w:b/>
          <w:bCs/>
          <w:i/>
          <w:color w:val="000000"/>
          <w:sz w:val="24"/>
          <w:szCs w:val="24"/>
        </w:rPr>
        <w:t>.</w:t>
      </w:r>
      <w:r w:rsidRPr="00B76BC8">
        <w:rPr>
          <w:rFonts w:ascii="Times New Roman" w:hAnsi="Times New Roman" w:cs="Times New Roman"/>
          <w:i/>
          <w:color w:val="000000"/>
          <w:sz w:val="24"/>
          <w:szCs w:val="24"/>
        </w:rPr>
        <w:t xml:space="preserve"> </w:t>
      </w:r>
      <w:r w:rsidRPr="00B76BC8">
        <w:rPr>
          <w:rFonts w:ascii="Times New Roman" w:hAnsi="Times New Roman" w:cs="Times New Roman"/>
          <w:color w:val="000000"/>
          <w:sz w:val="24"/>
          <w:szCs w:val="24"/>
        </w:rPr>
        <w:t xml:space="preserve">São Paulo: </w:t>
      </w:r>
      <w:proofErr w:type="spellStart"/>
      <w:r w:rsidRPr="00B76BC8">
        <w:rPr>
          <w:rFonts w:ascii="Times New Roman" w:hAnsi="Times New Roman" w:cs="Times New Roman"/>
          <w:color w:val="000000"/>
          <w:sz w:val="24"/>
          <w:szCs w:val="24"/>
        </w:rPr>
        <w:t>Boitempo</w:t>
      </w:r>
      <w:proofErr w:type="spellEnd"/>
      <w:r w:rsidRPr="00B76BC8">
        <w:rPr>
          <w:rFonts w:ascii="Times New Roman" w:hAnsi="Times New Roman" w:cs="Times New Roman"/>
          <w:color w:val="000000"/>
          <w:sz w:val="24"/>
          <w:szCs w:val="24"/>
        </w:rPr>
        <w:t>, 2000</w:t>
      </w:r>
    </w:p>
    <w:p w14:paraId="7E2083E7" w14:textId="77777777" w:rsidR="004C77A0" w:rsidRDefault="004C77A0" w:rsidP="004C77A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FURTADO, Celso. </w:t>
      </w:r>
      <w:bookmarkStart w:id="0" w:name="_Hlk5208766"/>
      <w:r w:rsidRPr="00590256">
        <w:rPr>
          <w:rFonts w:ascii="Times New Roman" w:hAnsi="Times New Roman" w:cs="Times New Roman"/>
          <w:b/>
          <w:sz w:val="24"/>
          <w:szCs w:val="24"/>
        </w:rPr>
        <w:t>Desenvolvimento e subdesenvolvimento.</w:t>
      </w:r>
      <w:r>
        <w:rPr>
          <w:rFonts w:ascii="Times New Roman" w:hAnsi="Times New Roman" w:cs="Times New Roman"/>
          <w:sz w:val="24"/>
          <w:szCs w:val="24"/>
        </w:rPr>
        <w:t xml:space="preserve"> Rio de Janeiro: Editora Fundo de Cultura, 1961.</w:t>
      </w:r>
      <w:bookmarkEnd w:id="0"/>
    </w:p>
    <w:p w14:paraId="40713EDC" w14:textId="77777777" w:rsidR="004C77A0" w:rsidRPr="00D860C1" w:rsidRDefault="004C77A0" w:rsidP="004C77A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 </w:t>
      </w:r>
      <w:r>
        <w:rPr>
          <w:rFonts w:ascii="Times New Roman" w:hAnsi="Times New Roman" w:cs="Times New Roman"/>
          <w:b/>
          <w:bCs/>
          <w:sz w:val="24"/>
          <w:szCs w:val="24"/>
        </w:rPr>
        <w:t xml:space="preserve">O mito do desenvolvimento econômico. </w:t>
      </w:r>
      <w:r>
        <w:rPr>
          <w:rFonts w:ascii="Times New Roman" w:hAnsi="Times New Roman" w:cs="Times New Roman"/>
          <w:sz w:val="24"/>
          <w:szCs w:val="24"/>
        </w:rPr>
        <w:t>4ª edição. Rio de Janeiro: Ed. Paz e Terra, 1974.</w:t>
      </w:r>
    </w:p>
    <w:p w14:paraId="53856732" w14:textId="77777777" w:rsidR="004C77A0" w:rsidRDefault="004C77A0" w:rsidP="004C77A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______. </w:t>
      </w:r>
      <w:r w:rsidRPr="001724AB">
        <w:rPr>
          <w:rFonts w:ascii="Times New Roman" w:hAnsi="Times New Roman" w:cs="Times New Roman"/>
          <w:i/>
          <w:iCs/>
          <w:sz w:val="24"/>
          <w:szCs w:val="24"/>
        </w:rPr>
        <w:t>Uma política de desenvolvimento para o Nordeste</w:t>
      </w:r>
      <w:r>
        <w:rPr>
          <w:rFonts w:ascii="Times New Roman" w:hAnsi="Times New Roman" w:cs="Times New Roman"/>
          <w:sz w:val="24"/>
          <w:szCs w:val="24"/>
        </w:rPr>
        <w:t xml:space="preserve">. </w:t>
      </w:r>
      <w:r w:rsidRPr="00590256">
        <w:rPr>
          <w:rFonts w:ascii="Times New Roman" w:hAnsi="Times New Roman" w:cs="Times New Roman"/>
          <w:b/>
          <w:sz w:val="24"/>
          <w:szCs w:val="24"/>
        </w:rPr>
        <w:t>Novos Estudos Cebrap</w:t>
      </w:r>
      <w:r w:rsidRPr="00391333">
        <w:rPr>
          <w:rFonts w:ascii="Times New Roman" w:hAnsi="Times New Roman" w:cs="Times New Roman"/>
          <w:sz w:val="24"/>
          <w:szCs w:val="24"/>
        </w:rPr>
        <w:t>, São Paulo, v. 1, 1, p. 12-19, dez. 81</w:t>
      </w:r>
    </w:p>
    <w:p w14:paraId="3FD4CADF" w14:textId="77777777" w:rsidR="004C77A0" w:rsidRDefault="004C77A0" w:rsidP="004C77A0">
      <w:pPr>
        <w:spacing w:line="240" w:lineRule="auto"/>
        <w:jc w:val="both"/>
        <w:rPr>
          <w:rFonts w:ascii="Times New Roman" w:hAnsi="Times New Roman" w:cs="Times New Roman"/>
          <w:color w:val="000000"/>
          <w:sz w:val="24"/>
          <w:szCs w:val="24"/>
        </w:rPr>
      </w:pPr>
      <w:r w:rsidRPr="00283365">
        <w:rPr>
          <w:rFonts w:ascii="Times New Roman" w:hAnsi="Times New Roman" w:cs="Times New Roman"/>
          <w:color w:val="000000"/>
          <w:sz w:val="24"/>
          <w:szCs w:val="24"/>
        </w:rPr>
        <w:t xml:space="preserve">HIRSCHMAN, A. O. </w:t>
      </w:r>
      <w:r w:rsidRPr="00283365">
        <w:rPr>
          <w:rFonts w:ascii="Times New Roman" w:hAnsi="Times New Roman" w:cs="Times New Roman"/>
          <w:b/>
          <w:bCs/>
          <w:iCs/>
          <w:color w:val="000000"/>
          <w:sz w:val="24"/>
          <w:szCs w:val="24"/>
        </w:rPr>
        <w:t>Estratégia do desenvolvimento econômico.</w:t>
      </w:r>
      <w:r w:rsidRPr="00283365">
        <w:rPr>
          <w:rFonts w:ascii="Times New Roman" w:hAnsi="Times New Roman" w:cs="Times New Roman"/>
          <w:i/>
          <w:color w:val="000000"/>
          <w:sz w:val="24"/>
          <w:szCs w:val="24"/>
        </w:rPr>
        <w:t xml:space="preserve"> </w:t>
      </w:r>
      <w:r w:rsidRPr="00283365">
        <w:rPr>
          <w:rFonts w:ascii="Times New Roman" w:hAnsi="Times New Roman" w:cs="Times New Roman"/>
          <w:color w:val="000000"/>
          <w:sz w:val="24"/>
          <w:szCs w:val="24"/>
        </w:rPr>
        <w:t>Rio de Janeiro: Editora Fundo de Cultura, 1961</w:t>
      </w:r>
      <w:r>
        <w:rPr>
          <w:rFonts w:ascii="Times New Roman" w:hAnsi="Times New Roman" w:cs="Times New Roman"/>
          <w:color w:val="000000"/>
          <w:sz w:val="24"/>
          <w:szCs w:val="24"/>
        </w:rPr>
        <w:t>.</w:t>
      </w:r>
    </w:p>
    <w:p w14:paraId="6177A174" w14:textId="77777777" w:rsidR="004C77A0" w:rsidRDefault="004C77A0" w:rsidP="004C77A0">
      <w:pPr>
        <w:spacing w:line="240" w:lineRule="auto"/>
        <w:jc w:val="both"/>
        <w:rPr>
          <w:rFonts w:ascii="Times New Roman" w:hAnsi="Times New Roman" w:cs="Times New Roman"/>
          <w:color w:val="000000"/>
          <w:sz w:val="24"/>
          <w:szCs w:val="24"/>
        </w:rPr>
      </w:pPr>
      <w:r w:rsidRPr="001724AB">
        <w:rPr>
          <w:rFonts w:ascii="Times New Roman" w:hAnsi="Times New Roman" w:cs="Times New Roman"/>
          <w:color w:val="000000"/>
          <w:sz w:val="24"/>
          <w:szCs w:val="24"/>
        </w:rPr>
        <w:t xml:space="preserve">MACEDO, F. C., PORTO, L. </w:t>
      </w:r>
      <w:r w:rsidRPr="001724AB">
        <w:rPr>
          <w:rFonts w:ascii="Times New Roman" w:hAnsi="Times New Roman" w:cs="Times New Roman"/>
          <w:i/>
          <w:color w:val="000000"/>
          <w:sz w:val="24"/>
          <w:szCs w:val="24"/>
        </w:rPr>
        <w:t xml:space="preserve">Proposta de atualização das tipologias da PNDR. </w:t>
      </w:r>
      <w:r w:rsidRPr="001724AB">
        <w:rPr>
          <w:rFonts w:ascii="Times New Roman" w:hAnsi="Times New Roman" w:cs="Times New Roman"/>
          <w:color w:val="000000"/>
          <w:sz w:val="24"/>
          <w:szCs w:val="24"/>
        </w:rPr>
        <w:t>Texto para Discussão n° 2414. Brasília: Ipea, 2018.</w:t>
      </w:r>
    </w:p>
    <w:p w14:paraId="4579D42E" w14:textId="77777777" w:rsidR="004C77A0" w:rsidRPr="00D65BA9" w:rsidRDefault="004C77A0" w:rsidP="004C77A0">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MONTEIRO NETO, A.; SILVA, R. O.; SEVERIAN, D. </w:t>
      </w:r>
      <w:r>
        <w:rPr>
          <w:rFonts w:ascii="Times New Roman" w:hAnsi="Times New Roman" w:cs="Times New Roman"/>
          <w:b/>
          <w:bCs/>
          <w:color w:val="000000"/>
          <w:sz w:val="24"/>
          <w:szCs w:val="24"/>
        </w:rPr>
        <w:t xml:space="preserve">Brasil, Brasis: Reconfigurações territoriais da indústria no século XXI. </w:t>
      </w:r>
      <w:r>
        <w:rPr>
          <w:rFonts w:ascii="Times New Roman" w:hAnsi="Times New Roman" w:cs="Times New Roman"/>
          <w:color w:val="000000"/>
          <w:sz w:val="24"/>
          <w:szCs w:val="24"/>
        </w:rPr>
        <w:t>Brasília: Ipea, 2021.</w:t>
      </w:r>
    </w:p>
    <w:p w14:paraId="6DCDB7E8" w14:textId="77777777" w:rsidR="004C77A0" w:rsidRDefault="004C77A0" w:rsidP="004C77A0">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MYRDAL</w:t>
      </w:r>
      <w:r w:rsidRPr="00F31FDD">
        <w:rPr>
          <w:rFonts w:ascii="Times New Roman" w:hAnsi="Times New Roman" w:cs="Times New Roman"/>
          <w:color w:val="000000"/>
          <w:sz w:val="24"/>
          <w:szCs w:val="24"/>
        </w:rPr>
        <w:t>,</w:t>
      </w:r>
      <w:r>
        <w:rPr>
          <w:rFonts w:ascii="Times New Roman" w:hAnsi="Times New Roman" w:cs="Times New Roman"/>
          <w:color w:val="000000"/>
          <w:sz w:val="24"/>
          <w:szCs w:val="24"/>
        </w:rPr>
        <w:t xml:space="preserve"> Gunnar.</w:t>
      </w:r>
      <w:r w:rsidRPr="00F31FDD">
        <w:rPr>
          <w:rFonts w:ascii="Times New Roman" w:hAnsi="Times New Roman" w:cs="Times New Roman"/>
          <w:color w:val="000000"/>
          <w:sz w:val="24"/>
          <w:szCs w:val="24"/>
        </w:rPr>
        <w:t xml:space="preserve"> </w:t>
      </w:r>
      <w:r w:rsidRPr="00F31FDD">
        <w:rPr>
          <w:rFonts w:ascii="Times New Roman" w:hAnsi="Times New Roman" w:cs="Times New Roman"/>
          <w:b/>
          <w:bCs/>
          <w:iCs/>
          <w:color w:val="000000"/>
          <w:sz w:val="24"/>
          <w:szCs w:val="24"/>
        </w:rPr>
        <w:t>Teoria econômica e regiões subdesenvolvidas</w:t>
      </w:r>
      <w:r w:rsidRPr="00F31FDD">
        <w:rPr>
          <w:rFonts w:ascii="Times New Roman" w:hAnsi="Times New Roman" w:cs="Times New Roman"/>
          <w:i/>
          <w:color w:val="000000"/>
          <w:sz w:val="24"/>
          <w:szCs w:val="24"/>
        </w:rPr>
        <w:t xml:space="preserve">. </w:t>
      </w:r>
      <w:r w:rsidRPr="00F31FDD">
        <w:rPr>
          <w:rFonts w:ascii="Times New Roman" w:hAnsi="Times New Roman" w:cs="Times New Roman"/>
          <w:color w:val="000000"/>
          <w:sz w:val="24"/>
          <w:szCs w:val="24"/>
        </w:rPr>
        <w:t>Rio de Janeiro: ISEB, 1960.</w:t>
      </w:r>
    </w:p>
    <w:p w14:paraId="08153F43" w14:textId="77777777" w:rsidR="004C77A0" w:rsidRDefault="004C77A0" w:rsidP="004C77A0">
      <w:pPr>
        <w:spacing w:line="240" w:lineRule="auto"/>
        <w:jc w:val="both"/>
        <w:rPr>
          <w:rFonts w:ascii="Times New Roman" w:hAnsi="Times New Roman" w:cs="Times New Roman"/>
          <w:color w:val="000000"/>
          <w:sz w:val="24"/>
          <w:szCs w:val="24"/>
        </w:rPr>
      </w:pPr>
      <w:bookmarkStart w:id="1" w:name="_Toc529967763"/>
      <w:bookmarkStart w:id="2" w:name="_Toc529967855"/>
      <w:r w:rsidRPr="00F67364">
        <w:rPr>
          <w:rFonts w:ascii="Times New Roman" w:hAnsi="Times New Roman" w:cs="Times New Roman"/>
          <w:sz w:val="24"/>
          <w:szCs w:val="24"/>
        </w:rPr>
        <w:t xml:space="preserve">OLIVEIRA, Francisco. </w:t>
      </w:r>
      <w:r w:rsidRPr="00590256">
        <w:rPr>
          <w:rFonts w:ascii="Times New Roman" w:hAnsi="Times New Roman" w:cs="Times New Roman"/>
          <w:b/>
          <w:sz w:val="24"/>
          <w:szCs w:val="24"/>
        </w:rPr>
        <w:t xml:space="preserve">Noiva da revolução/Elegia para uma </w:t>
      </w:r>
      <w:proofErr w:type="spellStart"/>
      <w:r w:rsidRPr="00590256">
        <w:rPr>
          <w:rFonts w:ascii="Times New Roman" w:hAnsi="Times New Roman" w:cs="Times New Roman"/>
          <w:b/>
          <w:sz w:val="24"/>
          <w:szCs w:val="24"/>
        </w:rPr>
        <w:t>re</w:t>
      </w:r>
      <w:proofErr w:type="spellEnd"/>
      <w:r w:rsidRPr="00590256">
        <w:rPr>
          <w:rFonts w:ascii="Times New Roman" w:hAnsi="Times New Roman" w:cs="Times New Roman"/>
          <w:b/>
          <w:sz w:val="24"/>
          <w:szCs w:val="24"/>
        </w:rPr>
        <w:t>(li)</w:t>
      </w:r>
      <w:proofErr w:type="spellStart"/>
      <w:r w:rsidRPr="00590256">
        <w:rPr>
          <w:rFonts w:ascii="Times New Roman" w:hAnsi="Times New Roman" w:cs="Times New Roman"/>
          <w:b/>
          <w:sz w:val="24"/>
          <w:szCs w:val="24"/>
        </w:rPr>
        <w:t>gião</w:t>
      </w:r>
      <w:proofErr w:type="spellEnd"/>
      <w:r w:rsidRPr="00F67364">
        <w:rPr>
          <w:rFonts w:ascii="Times New Roman" w:hAnsi="Times New Roman" w:cs="Times New Roman"/>
          <w:sz w:val="24"/>
          <w:szCs w:val="24"/>
        </w:rPr>
        <w:t xml:space="preserve">. Editora </w:t>
      </w:r>
      <w:proofErr w:type="spellStart"/>
      <w:r w:rsidRPr="00F67364">
        <w:rPr>
          <w:rFonts w:ascii="Times New Roman" w:hAnsi="Times New Roman" w:cs="Times New Roman"/>
          <w:sz w:val="24"/>
          <w:szCs w:val="24"/>
        </w:rPr>
        <w:t>Boitempo</w:t>
      </w:r>
      <w:proofErr w:type="spellEnd"/>
      <w:r w:rsidRPr="00F67364">
        <w:rPr>
          <w:rFonts w:ascii="Times New Roman" w:hAnsi="Times New Roman" w:cs="Times New Roman"/>
          <w:sz w:val="24"/>
          <w:szCs w:val="24"/>
        </w:rPr>
        <w:t>, São Paulo: 2008.</w:t>
      </w:r>
      <w:bookmarkEnd w:id="1"/>
      <w:bookmarkEnd w:id="2"/>
    </w:p>
    <w:p w14:paraId="3228AA1C" w14:textId="77777777" w:rsidR="004C77A0" w:rsidRPr="0083146C" w:rsidRDefault="004C77A0" w:rsidP="004C77A0">
      <w:pPr>
        <w:spacing w:line="240" w:lineRule="auto"/>
        <w:jc w:val="both"/>
        <w:rPr>
          <w:rFonts w:ascii="Times New Roman" w:hAnsi="Times New Roman" w:cs="Times New Roman"/>
          <w:color w:val="000000"/>
          <w:sz w:val="24"/>
          <w:szCs w:val="24"/>
        </w:rPr>
      </w:pPr>
      <w:r w:rsidRPr="0083146C">
        <w:rPr>
          <w:rFonts w:ascii="Times New Roman" w:hAnsi="Times New Roman" w:cs="Times New Roman"/>
          <w:color w:val="000000"/>
          <w:sz w:val="24"/>
          <w:szCs w:val="24"/>
        </w:rPr>
        <w:t xml:space="preserve">PACHECO, Carlos A. </w:t>
      </w:r>
      <w:r w:rsidRPr="0083146C">
        <w:rPr>
          <w:rFonts w:ascii="Times New Roman" w:hAnsi="Times New Roman" w:cs="Times New Roman"/>
          <w:b/>
          <w:bCs/>
          <w:iCs/>
          <w:color w:val="000000"/>
          <w:sz w:val="24"/>
          <w:szCs w:val="24"/>
        </w:rPr>
        <w:t>Fragmentação da Nação.</w:t>
      </w:r>
      <w:r>
        <w:rPr>
          <w:rFonts w:ascii="Times New Roman" w:hAnsi="Times New Roman" w:cs="Times New Roman"/>
          <w:iCs/>
          <w:color w:val="000000"/>
          <w:sz w:val="24"/>
          <w:szCs w:val="24"/>
        </w:rPr>
        <w:t xml:space="preserve"> </w:t>
      </w:r>
      <w:r w:rsidRPr="0083146C">
        <w:rPr>
          <w:rFonts w:ascii="Times New Roman" w:hAnsi="Times New Roman" w:cs="Times New Roman"/>
          <w:color w:val="000000"/>
          <w:sz w:val="24"/>
          <w:szCs w:val="24"/>
        </w:rPr>
        <w:t>Campinas: Instituto de Economia/Unicamp, 1998.</w:t>
      </w:r>
    </w:p>
    <w:p w14:paraId="5D12B38F" w14:textId="77777777" w:rsidR="004C77A0" w:rsidRDefault="004C77A0" w:rsidP="004C77A0">
      <w:pPr>
        <w:spacing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PERROUX</w:t>
      </w:r>
      <w:r w:rsidRPr="00F31FDD">
        <w:rPr>
          <w:rFonts w:ascii="Times New Roman" w:hAnsi="Times New Roman" w:cs="Times New Roman"/>
          <w:color w:val="000000"/>
          <w:sz w:val="24"/>
          <w:szCs w:val="24"/>
        </w:rPr>
        <w:t>,</w:t>
      </w:r>
      <w:r>
        <w:rPr>
          <w:rFonts w:ascii="Times New Roman" w:hAnsi="Times New Roman" w:cs="Times New Roman"/>
          <w:color w:val="000000"/>
          <w:sz w:val="24"/>
          <w:szCs w:val="24"/>
        </w:rPr>
        <w:t xml:space="preserve"> François.</w:t>
      </w:r>
      <w:r w:rsidRPr="00F31FDD">
        <w:rPr>
          <w:rFonts w:ascii="Times New Roman" w:hAnsi="Times New Roman" w:cs="Times New Roman"/>
          <w:color w:val="000000"/>
          <w:sz w:val="24"/>
          <w:szCs w:val="24"/>
        </w:rPr>
        <w:t xml:space="preserve"> </w:t>
      </w:r>
      <w:r w:rsidRPr="00F31FDD">
        <w:rPr>
          <w:rFonts w:ascii="Times New Roman" w:hAnsi="Times New Roman" w:cs="Times New Roman"/>
          <w:b/>
          <w:bCs/>
          <w:iCs/>
          <w:color w:val="000000"/>
          <w:sz w:val="24"/>
          <w:szCs w:val="24"/>
        </w:rPr>
        <w:t>A economia do século XX</w:t>
      </w:r>
      <w:r w:rsidRPr="00F31FDD">
        <w:rPr>
          <w:rFonts w:ascii="Times New Roman" w:hAnsi="Times New Roman" w:cs="Times New Roman"/>
          <w:i/>
          <w:color w:val="000000"/>
          <w:sz w:val="24"/>
          <w:szCs w:val="24"/>
        </w:rPr>
        <w:t xml:space="preserve">. </w:t>
      </w:r>
      <w:r w:rsidRPr="00F31FDD">
        <w:rPr>
          <w:rFonts w:ascii="Times New Roman" w:hAnsi="Times New Roman" w:cs="Times New Roman"/>
          <w:color w:val="000000"/>
          <w:sz w:val="24"/>
          <w:szCs w:val="24"/>
        </w:rPr>
        <w:t>Lisboa: Ed. Helder, 1967.</w:t>
      </w:r>
    </w:p>
    <w:p w14:paraId="6E5F26F1" w14:textId="10E92C91" w:rsidR="004E35B0" w:rsidRPr="004C77A0" w:rsidRDefault="004C77A0" w:rsidP="004C77A0">
      <w:pPr>
        <w:spacing w:line="240" w:lineRule="auto"/>
        <w:jc w:val="both"/>
        <w:rPr>
          <w:rFonts w:ascii="Times New Roman" w:hAnsi="Times New Roman" w:cs="Times New Roman"/>
          <w:iCs/>
          <w:color w:val="000000"/>
          <w:sz w:val="24"/>
          <w:szCs w:val="24"/>
        </w:rPr>
      </w:pPr>
      <w:r w:rsidRPr="00D15DEE">
        <w:rPr>
          <w:rFonts w:ascii="Times New Roman" w:hAnsi="Times New Roman" w:cs="Times New Roman"/>
          <w:color w:val="000000"/>
          <w:sz w:val="24"/>
          <w:szCs w:val="24"/>
        </w:rPr>
        <w:t xml:space="preserve">RESENDE, G. M. </w:t>
      </w:r>
      <w:r w:rsidRPr="00D15DEE">
        <w:rPr>
          <w:rFonts w:ascii="Times New Roman" w:hAnsi="Times New Roman" w:cs="Times New Roman"/>
          <w:b/>
          <w:bCs/>
          <w:iCs/>
          <w:color w:val="000000"/>
          <w:sz w:val="24"/>
          <w:szCs w:val="24"/>
        </w:rPr>
        <w:t xml:space="preserve">Avaliação de Políticas Públicas: uma análise da Política Nacional de Desenvolvimento Regional. </w:t>
      </w:r>
      <w:r w:rsidRPr="00D15DEE">
        <w:rPr>
          <w:rFonts w:ascii="Times New Roman" w:hAnsi="Times New Roman" w:cs="Times New Roman"/>
          <w:color w:val="000000"/>
          <w:sz w:val="24"/>
          <w:szCs w:val="24"/>
        </w:rPr>
        <w:t>Brasília: Ipea, 2007</w:t>
      </w:r>
      <w:r w:rsidRPr="00D15DEE">
        <w:rPr>
          <w:rFonts w:ascii="Times New Roman" w:hAnsi="Times New Roman" w:cs="Times New Roman"/>
          <w:i/>
          <w:color w:val="000000"/>
          <w:sz w:val="24"/>
          <w:szCs w:val="24"/>
        </w:rPr>
        <w:t>.</w:t>
      </w:r>
    </w:p>
    <w:sectPr w:rsidR="004E35B0" w:rsidRPr="004C77A0">
      <w:headerReference w:type="default" r:id="rId12"/>
      <w:footerReference w:type="default" r:id="rId13"/>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2815B" w14:textId="77777777" w:rsidR="00F378AA" w:rsidRDefault="00F378AA">
      <w:pPr>
        <w:spacing w:line="240" w:lineRule="auto"/>
      </w:pPr>
      <w:r>
        <w:separator/>
      </w:r>
    </w:p>
  </w:endnote>
  <w:endnote w:type="continuationSeparator" w:id="0">
    <w:p w14:paraId="7556BF72" w14:textId="77777777" w:rsidR="00F378AA" w:rsidRDefault="00F378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03062" w14:textId="77777777" w:rsidR="004E35B0"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3C24A0C2" wp14:editId="6438165B">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413D0D4C" w14:textId="77777777" w:rsidR="004E35B0" w:rsidRDefault="004E35B0">
    <w:pPr>
      <w:pStyle w:val="Rodap"/>
      <w:jc w:val="both"/>
      <w:rPr>
        <w:rFonts w:ascii="Times New Roman" w:hAnsi="Times New Roman" w:cs="Times New Roman"/>
        <w:sz w:val="20"/>
        <w:szCs w:val="20"/>
      </w:rPr>
    </w:pPr>
  </w:p>
  <w:p w14:paraId="5E33F373" w14:textId="77777777" w:rsidR="004E35B0"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0A0F70A0" w14:textId="77777777" w:rsidR="004E35B0" w:rsidRDefault="004E35B0">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D17BB" w14:textId="77777777" w:rsidR="00F378AA" w:rsidRDefault="00F378AA">
      <w:pPr>
        <w:spacing w:after="0"/>
      </w:pPr>
      <w:r>
        <w:separator/>
      </w:r>
    </w:p>
  </w:footnote>
  <w:footnote w:type="continuationSeparator" w:id="0">
    <w:p w14:paraId="11AC1CA6" w14:textId="77777777" w:rsidR="00F378AA" w:rsidRDefault="00F378AA">
      <w:pPr>
        <w:spacing w:after="0"/>
      </w:pPr>
      <w:r>
        <w:continuationSeparator/>
      </w:r>
    </w:p>
  </w:footnote>
  <w:footnote w:id="1">
    <w:p w14:paraId="493CDF00" w14:textId="77777777" w:rsidR="004C77A0" w:rsidRPr="00DD4B10" w:rsidRDefault="004C77A0" w:rsidP="004C77A0">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DD4B10">
        <w:rPr>
          <w:rFonts w:ascii="Times New Roman" w:hAnsi="Times New Roman" w:cs="Times New Roman"/>
          <w:vertAlign w:val="superscript"/>
        </w:rPr>
        <w:footnoteRef/>
      </w:r>
      <w:r w:rsidRPr="00DD4B10">
        <w:rPr>
          <w:rFonts w:ascii="Times New Roman" w:hAnsi="Times New Roman" w:cs="Times New Roman"/>
          <w:color w:val="000000"/>
          <w:sz w:val="20"/>
          <w:szCs w:val="20"/>
        </w:rPr>
        <w:t xml:space="preserve"> A Lei Complementar n° 101, sancionada em 04/05/2000 pelo então presidente Fernando Henrique Cardoso, disciplinou as execuções orçamentárias da União, Estados, Municípios e Distrito Federal.</w:t>
      </w:r>
    </w:p>
  </w:footnote>
  <w:footnote w:id="2">
    <w:p w14:paraId="3F43D50C" w14:textId="77777777" w:rsidR="004C77A0" w:rsidRPr="00DD4B10" w:rsidRDefault="004C77A0" w:rsidP="004C77A0">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DD4B10">
        <w:rPr>
          <w:rFonts w:ascii="Times New Roman" w:hAnsi="Times New Roman" w:cs="Times New Roman"/>
          <w:vertAlign w:val="superscript"/>
        </w:rPr>
        <w:footnoteRef/>
      </w:r>
      <w:r w:rsidRPr="00DD4B10">
        <w:rPr>
          <w:rFonts w:ascii="Times New Roman" w:hAnsi="Times New Roman" w:cs="Times New Roman"/>
          <w:color w:val="000000"/>
          <w:sz w:val="20"/>
          <w:szCs w:val="20"/>
        </w:rPr>
        <w:t xml:space="preserve"> A atuação do setor público na viabilização das infraestruturas ligadas ao agronegócio – e como um todo – tem sido muito menos no aporte financeiro e mais na organização das concessões de terras públicas e operacionalização dos serviços, oferecendo incentivos fiscais e creditícios às empresas operadoras.</w:t>
      </w:r>
    </w:p>
  </w:footnote>
  <w:footnote w:id="3">
    <w:p w14:paraId="2851033B" w14:textId="77777777" w:rsidR="004C77A0" w:rsidRPr="00DD4B10" w:rsidRDefault="004C77A0" w:rsidP="004C77A0">
      <w:pPr>
        <w:pStyle w:val="Textodenotaderodap"/>
        <w:jc w:val="both"/>
        <w:rPr>
          <w:rFonts w:ascii="Times New Roman" w:hAnsi="Times New Roman" w:cs="Times New Roman"/>
        </w:rPr>
      </w:pPr>
      <w:r w:rsidRPr="00DD4B10">
        <w:rPr>
          <w:rStyle w:val="Refdenotaderodap"/>
          <w:rFonts w:ascii="Times New Roman" w:hAnsi="Times New Roman" w:cs="Times New Roman"/>
        </w:rPr>
        <w:footnoteRef/>
      </w:r>
      <w:r w:rsidRPr="00DD4B10">
        <w:rPr>
          <w:rFonts w:ascii="Times New Roman" w:hAnsi="Times New Roman" w:cs="Times New Roman"/>
        </w:rPr>
        <w:t xml:space="preserve"> A participação do setor privado no sistema elétrico ao final dos anos 1990 resultou em desinvestimentos que terminaram, em 2001, num “apagão”.  A privatização das empresas públicas de serviços, como energia elétrica e telefonia, gera outro agravante macroeconômico: as receitas das empresas são obtidas em moeda local (Real), mas as remessas aos seus controladores estrangeiros são feitas em dólares, ocasionando importantes pressões no Balanço de Pagamentos.</w:t>
      </w:r>
    </w:p>
  </w:footnote>
  <w:footnote w:id="4">
    <w:p w14:paraId="46F5A80E" w14:textId="77777777" w:rsidR="004C77A0" w:rsidRPr="00DD4B10" w:rsidRDefault="004C77A0" w:rsidP="004C77A0">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DD4B10">
        <w:rPr>
          <w:rFonts w:ascii="Times New Roman" w:hAnsi="Times New Roman" w:cs="Times New Roman"/>
          <w:vertAlign w:val="superscript"/>
        </w:rPr>
        <w:footnoteRef/>
      </w:r>
      <w:r w:rsidRPr="00DD4B10">
        <w:rPr>
          <w:rFonts w:ascii="Times New Roman" w:hAnsi="Times New Roman" w:cs="Times New Roman"/>
          <w:color w:val="000000"/>
          <w:sz w:val="20"/>
          <w:szCs w:val="20"/>
        </w:rPr>
        <w:t xml:space="preserve"> Segundo levantamento da Câmara Brasileira da Indústria da Construção (CBIC), a partir de dados do extinto Ministério do Planejamento, 57,6% das obras paralisadas do PAC se devem ao motivo “Outros”.  A falta de transparência sobre a motivação das interrupções das obras, além de ensejar a desconfiança habitual da população, dificulta a retomada dos projetos por omitir os obstáculos à execução. Link: </w:t>
      </w:r>
      <w:hyperlink r:id="rId1" w:history="1">
        <w:r w:rsidRPr="00DD4B10">
          <w:rPr>
            <w:rStyle w:val="Hyperlink"/>
            <w:rFonts w:ascii="Times New Roman" w:hAnsi="Times New Roman" w:cs="Times New Roman"/>
          </w:rPr>
          <w:t>https://cbic.org.br/infraestrutura/wp-content/uploads/sites/26/2019/09/Pesquisa_Obras_Paralisadas_Analise_da_situa%C3%A7%C3%A3o_atual_e_propostas_para_retomada-.pdf</w:t>
        </w:r>
      </w:hyperlink>
      <w:r w:rsidRPr="00DD4B10">
        <w:rPr>
          <w:rFonts w:ascii="Times New Roman" w:hAnsi="Times New Roman" w:cs="Times New Roman"/>
        </w:rPr>
        <w:t xml:space="preserve"> </w:t>
      </w:r>
      <w:r w:rsidRPr="00DD4B10">
        <w:rPr>
          <w:rFonts w:ascii="Times New Roman" w:hAnsi="Times New Roman" w:cs="Times New Roman"/>
          <w:color w:val="000000"/>
          <w:sz w:val="20"/>
          <w:szCs w:val="20"/>
        </w:rPr>
        <w:t>(Acessado em 29/07/2022)</w:t>
      </w:r>
    </w:p>
  </w:footnote>
  <w:footnote w:id="5">
    <w:p w14:paraId="593CEEB6" w14:textId="77777777" w:rsidR="004C77A0" w:rsidRPr="00DD4B10" w:rsidRDefault="004C77A0" w:rsidP="004C77A0">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DD4B10">
        <w:rPr>
          <w:rFonts w:ascii="Times New Roman" w:hAnsi="Times New Roman" w:cs="Times New Roman"/>
          <w:vertAlign w:val="superscript"/>
        </w:rPr>
        <w:footnoteRef/>
      </w:r>
      <w:r w:rsidRPr="00DD4B10">
        <w:rPr>
          <w:rFonts w:ascii="Times New Roman" w:hAnsi="Times New Roman" w:cs="Times New Roman"/>
          <w:color w:val="000000"/>
          <w:sz w:val="20"/>
          <w:szCs w:val="20"/>
        </w:rPr>
        <w:t xml:space="preserve"> </w:t>
      </w:r>
      <w:r w:rsidRPr="00DD4B10">
        <w:rPr>
          <w:rFonts w:ascii="Times New Roman" w:eastAsia="Arial" w:hAnsi="Times New Roman" w:cs="Times New Roman"/>
          <w:color w:val="000000"/>
          <w:sz w:val="24"/>
          <w:szCs w:val="24"/>
        </w:rPr>
        <w:t xml:space="preserve">  </w:t>
      </w:r>
      <w:r w:rsidRPr="00DD4B10">
        <w:rPr>
          <w:rFonts w:ascii="Times New Roman" w:hAnsi="Times New Roman" w:cs="Times New Roman"/>
          <w:color w:val="000000"/>
          <w:sz w:val="20"/>
          <w:szCs w:val="20"/>
        </w:rPr>
        <w:t>As infraestruturas econômicas são aquelas que elevam a eficiência empresarial ou mesmo viabilizam novos negócios, como a construção de rodovias, ferrovias, portos, aeroportos, hidrelétricas etc. As infraestruturas sociais são aquelas que atendem diretamente à população, contribuindo para elevação do bem-estar social, tal como escolas, hospitais, saneamento básico, parques etc.</w:t>
      </w:r>
    </w:p>
  </w:footnote>
  <w:footnote w:id="6">
    <w:p w14:paraId="119E9CDA" w14:textId="77777777" w:rsidR="004C77A0" w:rsidRPr="00DD4B10" w:rsidRDefault="004C77A0" w:rsidP="004C77A0">
      <w:pPr>
        <w:pStyle w:val="Textodenotaderodap"/>
        <w:jc w:val="both"/>
        <w:rPr>
          <w:rFonts w:ascii="Times New Roman" w:hAnsi="Times New Roman" w:cs="Times New Roman"/>
        </w:rPr>
      </w:pPr>
      <w:r w:rsidRPr="00DD4B10">
        <w:rPr>
          <w:rStyle w:val="Refdenotaderodap"/>
          <w:rFonts w:ascii="Times New Roman" w:hAnsi="Times New Roman" w:cs="Times New Roman"/>
        </w:rPr>
        <w:footnoteRef/>
      </w:r>
      <w:r w:rsidRPr="00DD4B10">
        <w:rPr>
          <w:rFonts w:ascii="Times New Roman" w:hAnsi="Times New Roman" w:cs="Times New Roman"/>
        </w:rPr>
        <w:t xml:space="preserve"> Neste caso particular, o conflito de interesses gerado pela lógica financista contamina o interesse público, já que os estados ampliam sua arrecadação tributária em ICMS por conta da elevação de preços, e tanto estados quanto municípios se beneficiam de um maior montante em royalties.</w:t>
      </w:r>
    </w:p>
  </w:footnote>
  <w:footnote w:id="7">
    <w:p w14:paraId="0CF41DC8" w14:textId="77777777" w:rsidR="004C77A0" w:rsidRPr="00DD4B10" w:rsidRDefault="004C77A0" w:rsidP="004C77A0">
      <w:pPr>
        <w:pStyle w:val="Textodenotaderodap"/>
        <w:rPr>
          <w:rFonts w:ascii="Times New Roman" w:hAnsi="Times New Roman" w:cs="Times New Roman"/>
        </w:rPr>
      </w:pPr>
      <w:r w:rsidRPr="00DD4B10">
        <w:rPr>
          <w:rStyle w:val="Refdenotaderodap"/>
          <w:rFonts w:ascii="Times New Roman" w:hAnsi="Times New Roman" w:cs="Times New Roman"/>
        </w:rPr>
        <w:footnoteRef/>
      </w:r>
      <w:r w:rsidRPr="00DD4B10">
        <w:rPr>
          <w:rFonts w:ascii="Times New Roman" w:hAnsi="Times New Roman" w:cs="Times New Roman"/>
        </w:rPr>
        <w:t xml:space="preserve"> </w:t>
      </w:r>
      <w:r w:rsidRPr="00DD4B10">
        <w:rPr>
          <w:rFonts w:ascii="Times New Roman" w:hAnsi="Times New Roman" w:cs="Times New Roman"/>
          <w:color w:val="000000"/>
        </w:rPr>
        <w:t xml:space="preserve">Fonte: </w:t>
      </w:r>
      <w:hyperlink r:id="rId2" w:anchor="/" w:history="1">
        <w:r w:rsidRPr="00DD4B10">
          <w:rPr>
            <w:rStyle w:val="Hyperlink"/>
            <w:rFonts w:ascii="Times New Roman" w:hAnsi="Times New Roman" w:cs="Times New Roman"/>
          </w:rPr>
          <w:t>https://portal.ppi.gov.br/projetos1#/</w:t>
        </w:r>
      </w:hyperlink>
      <w:r w:rsidRPr="00DD4B10">
        <w:rPr>
          <w:rFonts w:ascii="Times New Roman" w:hAnsi="Times New Roman" w:cs="Times New Roman"/>
          <w:color w:val="000000"/>
        </w:rPr>
        <w:t>. Consultado em 30/05/2022.</w:t>
      </w:r>
    </w:p>
  </w:footnote>
  <w:footnote w:id="8">
    <w:p w14:paraId="0C27392E" w14:textId="77777777" w:rsidR="004C77A0" w:rsidRPr="00DD4B10" w:rsidRDefault="004C77A0" w:rsidP="004C77A0">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DD4B10">
        <w:rPr>
          <w:rFonts w:ascii="Times New Roman" w:hAnsi="Times New Roman" w:cs="Times New Roman"/>
          <w:vertAlign w:val="superscript"/>
        </w:rPr>
        <w:footnoteRef/>
      </w:r>
      <w:r w:rsidRPr="00DD4B10">
        <w:rPr>
          <w:rFonts w:ascii="Times New Roman" w:hAnsi="Times New Roman" w:cs="Times New Roman"/>
          <w:color w:val="000000"/>
          <w:sz w:val="20"/>
          <w:szCs w:val="20"/>
        </w:rPr>
        <w:t xml:space="preserve"> São eles: Fundo Constitucional de Financiamento do Nordeste (FNE), Fundo Constitucional de Financiamento do Norte (FNO) e Fundo Constitucional de Financiamento do Centro-Oeste (FCO). As entidades que estabelecem as diretrizes para aplicação dos recursos são as superintendências regionais: Sudene, Sudam e Sudeco. Operam como intermediadores dos fundos, respectivamente, o Banco do Nordeste do Brasil (BNB), Banco da Amazônia (Basa), e, para o Centro-Oeste, Banco do Brasil (BB), Bancoob, Banco de Brasília (BRB), Goiás Fomento, Sicredi, agências no Mato Grosso do Sul do Banco Regional de Desenvolvimento do Extremo Sul, CRESOL-SICOPER (MS) e MT-Fomento.</w:t>
      </w:r>
    </w:p>
  </w:footnote>
  <w:footnote w:id="9">
    <w:p w14:paraId="57C9640A" w14:textId="77777777" w:rsidR="004C77A0" w:rsidRPr="00DD4B10" w:rsidRDefault="004C77A0" w:rsidP="004C77A0">
      <w:pPr>
        <w:pStyle w:val="Textodenotaderodap"/>
        <w:rPr>
          <w:rFonts w:ascii="Times New Roman" w:hAnsi="Times New Roman" w:cs="Times New Roman"/>
        </w:rPr>
      </w:pPr>
      <w:r w:rsidRPr="00DD4B10">
        <w:rPr>
          <w:rStyle w:val="Refdenotaderodap"/>
          <w:rFonts w:ascii="Times New Roman" w:hAnsi="Times New Roman" w:cs="Times New Roman"/>
        </w:rPr>
        <w:footnoteRef/>
      </w:r>
      <w:r w:rsidRPr="00DD4B10">
        <w:rPr>
          <w:rFonts w:ascii="Times New Roman" w:hAnsi="Times New Roman" w:cs="Times New Roman"/>
        </w:rPr>
        <w:t xml:space="preserve"> Fonte: </w:t>
      </w:r>
      <w:hyperlink r:id="rId3" w:history="1">
        <w:r w:rsidRPr="00DD4B10">
          <w:rPr>
            <w:rStyle w:val="Hyperlink"/>
            <w:rFonts w:ascii="Times New Roman" w:hAnsi="Times New Roman" w:cs="Times New Roman"/>
          </w:rPr>
          <w:t>https://www.gov.br/mdr/pt-br/assuntos/fundos-regionais-e-incentivos-fiscais/publicacoes-fundos-regionais-e-incentivos-fiscais</w:t>
        </w:r>
      </w:hyperlink>
      <w:r w:rsidRPr="00DD4B10">
        <w:rPr>
          <w:rFonts w:ascii="Times New Roman" w:hAnsi="Times New Roman" w:cs="Times New Roman"/>
        </w:rPr>
        <w:t xml:space="preserve"> </w:t>
      </w:r>
    </w:p>
  </w:footnote>
  <w:footnote w:id="10">
    <w:p w14:paraId="640FB4AA" w14:textId="77777777" w:rsidR="004C77A0" w:rsidRDefault="004C77A0" w:rsidP="004C77A0">
      <w:pPr>
        <w:pBdr>
          <w:top w:val="nil"/>
          <w:left w:val="nil"/>
          <w:bottom w:val="nil"/>
          <w:right w:val="nil"/>
          <w:between w:val="nil"/>
        </w:pBdr>
        <w:spacing w:after="0" w:line="240" w:lineRule="auto"/>
        <w:jc w:val="both"/>
        <w:rPr>
          <w:color w:val="000000"/>
          <w:sz w:val="20"/>
          <w:szCs w:val="20"/>
        </w:rPr>
      </w:pPr>
      <w:r w:rsidRPr="00DD4B10">
        <w:rPr>
          <w:rFonts w:ascii="Times New Roman" w:hAnsi="Times New Roman" w:cs="Times New Roman"/>
          <w:vertAlign w:val="superscript"/>
        </w:rPr>
        <w:footnoteRef/>
      </w:r>
      <w:r w:rsidRPr="00DD4B10">
        <w:rPr>
          <w:rFonts w:ascii="Times New Roman" w:hAnsi="Times New Roman" w:cs="Times New Roman"/>
          <w:color w:val="000000"/>
          <w:sz w:val="20"/>
          <w:szCs w:val="20"/>
        </w:rPr>
        <w:t xml:space="preserve"> Atualmente o Ministério do Desenvolvimento Regional (MDR) administra onze políticas nacionais voltadas ao tema: Além da Política Nacional de Desenvolvimento Regional, há a de Desenvolvimento Urbano, a de Proteção e Defesa Civil, a de Recursos Hídricos, a de Segurança Hídrica, a de Irrigação (compartilhada com o Ministério da Agricultura, Pecuária e Abastecimento), a de Habitação, a de Saneamento, a de Mobilidade Urbana, a de subsídio à habitação popular, saneamento e mobilidade urbana e a de Ordenamento Territorial.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F7BDA" w14:textId="77777777" w:rsidR="004E35B0"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37A720D3" wp14:editId="21A31D37">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09A4834D" wp14:editId="074DDCEB">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5120E2D6" wp14:editId="75AAFFCF">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3A6F54C7" w14:textId="77777777" w:rsidR="004E35B0" w:rsidRDefault="004E35B0">
    <w:pPr>
      <w:pStyle w:val="Cabealho"/>
      <w:jc w:val="center"/>
    </w:pPr>
  </w:p>
  <w:p w14:paraId="5C14366D" w14:textId="77777777" w:rsidR="004E35B0" w:rsidRDefault="004E35B0">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7358B"/>
    <w:multiLevelType w:val="multilevel"/>
    <w:tmpl w:val="C7AE067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15:restartNumberingAfterBreak="0">
    <w:nsid w:val="1199419D"/>
    <w:multiLevelType w:val="multilevel"/>
    <w:tmpl w:val="C7B28A4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5F41D41"/>
    <w:multiLevelType w:val="multilevel"/>
    <w:tmpl w:val="09929C1C"/>
    <w:lvl w:ilvl="0">
      <w:start w:val="1"/>
      <w:numFmt w:val="lowerRoman"/>
      <w:lvlText w:val="%1)"/>
      <w:lvlJc w:val="left"/>
      <w:pPr>
        <w:ind w:left="1428" w:hanging="719"/>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15:restartNumberingAfterBreak="0">
    <w:nsid w:val="735730D0"/>
    <w:multiLevelType w:val="multilevel"/>
    <w:tmpl w:val="CD2EE508"/>
    <w:lvl w:ilvl="0">
      <w:start w:val="1"/>
      <w:numFmt w:val="lowerRoman"/>
      <w:lvlText w:val="%1)"/>
      <w:lvlJc w:val="left"/>
      <w:pPr>
        <w:ind w:left="2136" w:hanging="720"/>
      </w:pPr>
      <w:rPr>
        <w:i/>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num w:numId="1" w16cid:durableId="1234312676">
    <w:abstractNumId w:val="1"/>
  </w:num>
  <w:num w:numId="2" w16cid:durableId="1834639324">
    <w:abstractNumId w:val="0"/>
  </w:num>
  <w:num w:numId="3" w16cid:durableId="1255825908">
    <w:abstractNumId w:val="2"/>
  </w:num>
  <w:num w:numId="4" w16cid:durableId="392704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F2C33"/>
    <w:rsid w:val="00144A35"/>
    <w:rsid w:val="0017619A"/>
    <w:rsid w:val="00206A92"/>
    <w:rsid w:val="00241841"/>
    <w:rsid w:val="00255C43"/>
    <w:rsid w:val="004C77A0"/>
    <w:rsid w:val="004D292A"/>
    <w:rsid w:val="004E35B0"/>
    <w:rsid w:val="00507F7E"/>
    <w:rsid w:val="00510F45"/>
    <w:rsid w:val="007A3A8D"/>
    <w:rsid w:val="007C3EAC"/>
    <w:rsid w:val="0085799B"/>
    <w:rsid w:val="0098067F"/>
    <w:rsid w:val="009E3983"/>
    <w:rsid w:val="009F167A"/>
    <w:rsid w:val="00A12BDF"/>
    <w:rsid w:val="00BC6D50"/>
    <w:rsid w:val="00BE78A4"/>
    <w:rsid w:val="00C87F92"/>
    <w:rsid w:val="00E50039"/>
    <w:rsid w:val="00F378AA"/>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872D2"/>
  <w15:docId w15:val="{F5AEED66-C5A7-46DC-811D-462B0BCF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7A0"/>
    <w:pPr>
      <w:spacing w:after="160" w:line="259" w:lineRule="auto"/>
    </w:pPr>
    <w:rPr>
      <w:rFonts w:ascii="Calibri" w:eastAsia="Calibri" w:hAnsi="Calibri" w:cs="Calibri"/>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styleId="Refdenotaderodap">
    <w:name w:val="footnote reference"/>
    <w:basedOn w:val="Fontepargpadro"/>
    <w:uiPriority w:val="99"/>
    <w:semiHidden/>
    <w:unhideWhenUsed/>
    <w:rsid w:val="004C77A0"/>
    <w:rPr>
      <w:vertAlign w:val="superscript"/>
    </w:rPr>
  </w:style>
  <w:style w:type="paragraph" w:styleId="Textodenotaderodap">
    <w:name w:val="footnote text"/>
    <w:basedOn w:val="Normal"/>
    <w:link w:val="TextodenotaderodapChar"/>
    <w:uiPriority w:val="99"/>
    <w:semiHidden/>
    <w:unhideWhenUsed/>
    <w:rsid w:val="004C77A0"/>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qFormat/>
    <w:rsid w:val="004C77A0"/>
    <w:rPr>
      <w:rFonts w:ascii="Calibri" w:eastAsia="Calibri" w:hAnsi="Calibri" w:cs="Calibri"/>
    </w:rPr>
  </w:style>
  <w:style w:type="character" w:styleId="Hyperlink">
    <w:name w:val="Hyperlink"/>
    <w:basedOn w:val="Fontepargpadro"/>
    <w:uiPriority w:val="99"/>
    <w:unhideWhenUsed/>
    <w:rsid w:val="004C77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ov.br/mdr/pt-br/assuntos/fundos-regionais-e-incentivos-fiscais/publicacoes-fundos-regionais-e-incentivos-fiscais" TargetMode="External"/><Relationship Id="rId2" Type="http://schemas.openxmlformats.org/officeDocument/2006/relationships/hyperlink" Target="https://portal.ppi.gov.br/projetos1" TargetMode="External"/><Relationship Id="rId1" Type="http://schemas.openxmlformats.org/officeDocument/2006/relationships/hyperlink" Target="https://cbic.org.br/infraestrutura/wp-content/uploads/sites/26/2019/09/Pesquisa_Obras_Paralisadas_Analise_da_situa%C3%A7%C3%A3o_atual_e_propostas_para_retomad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7320</Words>
  <Characters>39529</Characters>
  <Application>Microsoft Office Word</Application>
  <DocSecurity>0</DocSecurity>
  <Lines>329</Lines>
  <Paragraphs>93</Paragraphs>
  <ScaleCrop>false</ScaleCrop>
  <Company/>
  <LinksUpToDate>false</LinksUpToDate>
  <CharactersWithSpaces>46756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DANILO SILVA</cp:lastModifiedBy>
  <cp:revision>6</cp:revision>
  <dcterms:created xsi:type="dcterms:W3CDTF">2022-07-30T18:38:00Z</dcterms:created>
  <dcterms:modified xsi:type="dcterms:W3CDTF">2022-07-30T18:42:00Z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