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8E7BF" w14:textId="5B7D8B3B" w:rsidR="008E1847" w:rsidRPr="008E1847" w:rsidRDefault="008E1847" w:rsidP="008147B9">
      <w:pPr>
        <w:spacing w:after="0" w:line="360" w:lineRule="auto"/>
        <w:jc w:val="center"/>
        <w:rPr>
          <w:rFonts w:ascii="Times New Roman" w:hAnsi="Times New Roman" w:cs="Times New Roman"/>
          <w:b/>
          <w:bCs/>
          <w:sz w:val="28"/>
          <w:szCs w:val="28"/>
        </w:rPr>
      </w:pPr>
      <w:r w:rsidRPr="008E1847">
        <w:rPr>
          <w:rFonts w:ascii="Times New Roman" w:hAnsi="Times New Roman" w:cs="Times New Roman"/>
          <w:b/>
          <w:bCs/>
          <w:sz w:val="28"/>
          <w:szCs w:val="28"/>
        </w:rPr>
        <w:t xml:space="preserve">A INSERÇÃO FEMININA NO MERCADO DE TRABALHO BRASILEIRO: Os Efeitos </w:t>
      </w:r>
      <w:r>
        <w:rPr>
          <w:rFonts w:ascii="Times New Roman" w:hAnsi="Times New Roman" w:cs="Times New Roman"/>
          <w:b/>
          <w:bCs/>
          <w:sz w:val="28"/>
          <w:szCs w:val="28"/>
        </w:rPr>
        <w:t>d</w:t>
      </w:r>
      <w:r w:rsidRPr="008E1847">
        <w:rPr>
          <w:rFonts w:ascii="Times New Roman" w:hAnsi="Times New Roman" w:cs="Times New Roman"/>
          <w:b/>
          <w:bCs/>
          <w:sz w:val="28"/>
          <w:szCs w:val="28"/>
        </w:rPr>
        <w:t xml:space="preserve">e Raça </w:t>
      </w:r>
      <w:r>
        <w:rPr>
          <w:rFonts w:ascii="Times New Roman" w:hAnsi="Times New Roman" w:cs="Times New Roman"/>
          <w:b/>
          <w:bCs/>
          <w:sz w:val="28"/>
          <w:szCs w:val="28"/>
        </w:rPr>
        <w:t>e</w:t>
      </w:r>
      <w:r w:rsidRPr="008E1847">
        <w:rPr>
          <w:rFonts w:ascii="Times New Roman" w:hAnsi="Times New Roman" w:cs="Times New Roman"/>
          <w:b/>
          <w:bCs/>
          <w:sz w:val="28"/>
          <w:szCs w:val="28"/>
        </w:rPr>
        <w:t xml:space="preserve"> Maternidade</w:t>
      </w:r>
    </w:p>
    <w:p w14:paraId="26051463" w14:textId="77777777" w:rsidR="0078081E" w:rsidRDefault="0078081E" w:rsidP="002042AD">
      <w:pPr>
        <w:spacing w:after="0" w:line="360" w:lineRule="auto"/>
        <w:rPr>
          <w:rFonts w:ascii="Times New Roman" w:hAnsi="Times New Roman" w:cs="Times New Roman"/>
          <w:sz w:val="28"/>
          <w:szCs w:val="28"/>
        </w:rPr>
      </w:pPr>
    </w:p>
    <w:p w14:paraId="2BEBE319" w14:textId="77777777" w:rsidR="0078081E" w:rsidRPr="009A2E52" w:rsidRDefault="00000000">
      <w:pPr>
        <w:pStyle w:val="Ttulo"/>
        <w:jc w:val="both"/>
        <w:rPr>
          <w:rFonts w:ascii="Times New Roman" w:hAnsi="Times New Roman"/>
          <w:sz w:val="24"/>
          <w:lang w:val="pt-BR"/>
        </w:rPr>
      </w:pPr>
      <w:r w:rsidRPr="009A2E52">
        <w:rPr>
          <w:rFonts w:ascii="Times New Roman" w:hAnsi="Times New Roman"/>
          <w:sz w:val="24"/>
          <w:lang w:val="pt-BR"/>
        </w:rPr>
        <w:t>RESUMO</w:t>
      </w:r>
    </w:p>
    <w:p w14:paraId="1373F45A" w14:textId="5D39951B" w:rsidR="0078081E" w:rsidRPr="00CB082C" w:rsidRDefault="00CB082C" w:rsidP="00CB082C">
      <w:pPr>
        <w:jc w:val="both"/>
      </w:pPr>
      <w:r>
        <w:rPr>
          <w:rFonts w:ascii="Times New Roman" w:hAnsi="Times New Roman" w:cs="Times New Roman"/>
          <w:sz w:val="24"/>
          <w:szCs w:val="24"/>
        </w:rPr>
        <w:t xml:space="preserve">O </w:t>
      </w:r>
      <w:r w:rsidRPr="005150E1">
        <w:rPr>
          <w:rFonts w:ascii="Times New Roman" w:hAnsi="Times New Roman" w:cs="Times New Roman"/>
          <w:sz w:val="24"/>
          <w:szCs w:val="24"/>
        </w:rPr>
        <w:t xml:space="preserve">presente </w:t>
      </w:r>
      <w:r>
        <w:rPr>
          <w:rFonts w:ascii="Times New Roman" w:hAnsi="Times New Roman" w:cs="Times New Roman"/>
          <w:sz w:val="24"/>
          <w:szCs w:val="24"/>
        </w:rPr>
        <w:t>trabalho</w:t>
      </w:r>
      <w:r w:rsidRPr="005150E1">
        <w:rPr>
          <w:rFonts w:ascii="Times New Roman" w:hAnsi="Times New Roman" w:cs="Times New Roman"/>
          <w:sz w:val="24"/>
          <w:szCs w:val="24"/>
        </w:rPr>
        <w:t xml:space="preserve"> tem como principal objetivo investigar os efeitos de raça e </w:t>
      </w:r>
      <w:r>
        <w:rPr>
          <w:rFonts w:ascii="Times New Roman" w:hAnsi="Times New Roman" w:cs="Times New Roman"/>
          <w:sz w:val="24"/>
          <w:szCs w:val="24"/>
        </w:rPr>
        <w:t xml:space="preserve">da </w:t>
      </w:r>
      <w:r w:rsidRPr="005150E1">
        <w:rPr>
          <w:rFonts w:ascii="Times New Roman" w:hAnsi="Times New Roman" w:cs="Times New Roman"/>
          <w:sz w:val="24"/>
          <w:szCs w:val="24"/>
        </w:rPr>
        <w:t>maternidade na inserção feminina no mercado de trabalho brasileiro e nos diferenciais salariais. Para atingir o objetivo proposto, utiliz</w:t>
      </w:r>
      <w:r>
        <w:rPr>
          <w:rFonts w:ascii="Times New Roman" w:hAnsi="Times New Roman" w:cs="Times New Roman"/>
          <w:sz w:val="24"/>
          <w:szCs w:val="24"/>
        </w:rPr>
        <w:t>aram</w:t>
      </w:r>
      <w:r w:rsidRPr="005150E1">
        <w:rPr>
          <w:rFonts w:ascii="Times New Roman" w:hAnsi="Times New Roman" w:cs="Times New Roman"/>
          <w:sz w:val="24"/>
          <w:szCs w:val="24"/>
        </w:rPr>
        <w:t>-se os dados da Pesquisa Nacional por Amostragem de Domicílios (PNAD) de 2015,</w:t>
      </w:r>
      <w:r>
        <w:rPr>
          <w:rFonts w:ascii="Times New Roman" w:hAnsi="Times New Roman" w:cs="Times New Roman"/>
          <w:sz w:val="24"/>
          <w:szCs w:val="24"/>
        </w:rPr>
        <w:t xml:space="preserve"> </w:t>
      </w:r>
      <w:r w:rsidRPr="005150E1">
        <w:rPr>
          <w:rFonts w:ascii="Times New Roman" w:hAnsi="Times New Roman" w:cs="Times New Roman"/>
          <w:sz w:val="24"/>
          <w:szCs w:val="24"/>
        </w:rPr>
        <w:t xml:space="preserve">disponibilizada pelo Instituto Brasileiro de Geografia e Estatística (IBGE). A presente análise é constituída em duas etapas, na primeira por meio do modelo logit binário </w:t>
      </w:r>
      <w:r>
        <w:rPr>
          <w:rFonts w:ascii="Times New Roman" w:hAnsi="Times New Roman" w:cs="Times New Roman"/>
          <w:sz w:val="24"/>
          <w:szCs w:val="24"/>
        </w:rPr>
        <w:t>s</w:t>
      </w:r>
      <w:r w:rsidRPr="005150E1">
        <w:rPr>
          <w:rFonts w:ascii="Times New Roman" w:hAnsi="Times New Roman" w:cs="Times New Roman"/>
          <w:sz w:val="24"/>
          <w:szCs w:val="24"/>
        </w:rPr>
        <w:t xml:space="preserve">e averiguou a participação no mercado de trabalho das mulheres que se tornaram mães e, na segunda buscou-se identificar de que maneira a maternidade afeta o salário das mulheres através da </w:t>
      </w:r>
      <w:r w:rsidRPr="005150E1">
        <w:rPr>
          <w:rFonts w:ascii="Times New Roman" w:eastAsiaTheme="minorEastAsia" w:hAnsi="Times New Roman" w:cs="Times New Roman"/>
          <w:sz w:val="24"/>
          <w:szCs w:val="24"/>
        </w:rPr>
        <w:t>equação minceriana</w:t>
      </w:r>
      <w:r w:rsidRPr="005150E1">
        <w:rPr>
          <w:rFonts w:ascii="Times New Roman" w:hAnsi="Times New Roman" w:cs="Times New Roman"/>
          <w:sz w:val="24"/>
          <w:szCs w:val="24"/>
        </w:rPr>
        <w:t>.</w:t>
      </w:r>
      <w:r>
        <w:rPr>
          <w:rFonts w:ascii="Times New Roman" w:hAnsi="Times New Roman" w:cs="Times New Roman"/>
          <w:sz w:val="24"/>
          <w:szCs w:val="24"/>
        </w:rPr>
        <w:t xml:space="preserve"> Os resultados encontrados corroboram com a literatura especializada, em que ter filho reduz a chance da mulher se inserir no mercado de trabalho e impacta negativamente no salário recebido, o fator raça/cor também afeta negativamente os ganhos das mulheres no mercado de trabalho.</w:t>
      </w:r>
    </w:p>
    <w:p w14:paraId="43921168" w14:textId="3DF40232" w:rsidR="0078081E" w:rsidRPr="008E1847" w:rsidRDefault="00000000" w:rsidP="00CB082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8E1847">
        <w:rPr>
          <w:rFonts w:ascii="Times New Roman" w:hAnsi="Times New Roman" w:cs="Times New Roman"/>
          <w:sz w:val="24"/>
          <w:szCs w:val="24"/>
        </w:rPr>
        <w:t>o</w:t>
      </w:r>
      <w:r w:rsidR="008E1847" w:rsidRPr="005150E1">
        <w:rPr>
          <w:rFonts w:ascii="Times New Roman" w:hAnsi="Times New Roman" w:cs="Times New Roman"/>
          <w:sz w:val="24"/>
          <w:szCs w:val="24"/>
        </w:rPr>
        <w:t xml:space="preserve">ferta de trabalho; </w:t>
      </w:r>
      <w:r w:rsidR="008E1847">
        <w:rPr>
          <w:rFonts w:ascii="Times New Roman" w:hAnsi="Times New Roman" w:cs="Times New Roman"/>
          <w:sz w:val="24"/>
          <w:szCs w:val="24"/>
        </w:rPr>
        <w:t>p</w:t>
      </w:r>
      <w:r w:rsidR="008E1847" w:rsidRPr="005150E1">
        <w:rPr>
          <w:rFonts w:ascii="Times New Roman" w:hAnsi="Times New Roman" w:cs="Times New Roman"/>
          <w:sz w:val="24"/>
          <w:szCs w:val="24"/>
        </w:rPr>
        <w:t>enalidade salarial; mulheres.</w:t>
      </w:r>
    </w:p>
    <w:p w14:paraId="40C7AA94" w14:textId="24508FBA" w:rsidR="0078081E"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w:t>
      </w:r>
      <w:r w:rsidRPr="008E1847">
        <w:rPr>
          <w:rFonts w:ascii="Times New Roman" w:hAnsi="Times New Roman" w:cs="Times New Roman"/>
          <w:b/>
          <w:bCs/>
          <w:sz w:val="24"/>
          <w:szCs w:val="24"/>
          <w:vertAlign w:val="superscript"/>
        </w:rPr>
        <w:t>o</w:t>
      </w:r>
      <w:r>
        <w:rPr>
          <w:rFonts w:ascii="Times New Roman" w:hAnsi="Times New Roman" w:cs="Times New Roman"/>
          <w:b/>
          <w:bCs/>
          <w:sz w:val="24"/>
          <w:szCs w:val="24"/>
        </w:rPr>
        <w:t xml:space="preserve"> </w:t>
      </w:r>
      <w:r w:rsidR="008E1847">
        <w:rPr>
          <w:rFonts w:ascii="Times New Roman" w:hAnsi="Times New Roman" w:cs="Times New Roman"/>
          <w:b/>
          <w:bCs/>
          <w:sz w:val="24"/>
          <w:szCs w:val="24"/>
        </w:rPr>
        <w:t>5</w:t>
      </w:r>
      <w:r>
        <w:rPr>
          <w:rFonts w:ascii="Times New Roman" w:hAnsi="Times New Roman" w:cs="Times New Roman"/>
          <w:sz w:val="24"/>
          <w:szCs w:val="24"/>
        </w:rPr>
        <w:t xml:space="preserve">: </w:t>
      </w:r>
      <w:r w:rsidR="008E1847" w:rsidRPr="008E1847">
        <w:rPr>
          <w:rFonts w:ascii="Times New Roman" w:hAnsi="Times New Roman" w:cs="Times New Roman"/>
          <w:sz w:val="24"/>
          <w:szCs w:val="24"/>
        </w:rPr>
        <w:t>Ambiente, Populações e Desenvolvimento</w:t>
      </w:r>
    </w:p>
    <w:p w14:paraId="46E7D4EB" w14:textId="77777777" w:rsidR="0078081E"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6D92F00C" w14:textId="0B3F2439" w:rsidR="008E1847" w:rsidRPr="005150E1" w:rsidRDefault="008E1847" w:rsidP="0006400E">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O mercado de trabalho brasileiro tem demostrado um importante progresso nas últimas décadas, principalmente no que diz respeito </w:t>
      </w:r>
      <w:r>
        <w:rPr>
          <w:rFonts w:ascii="Times New Roman" w:hAnsi="Times New Roman" w:cs="Times New Roman"/>
          <w:sz w:val="24"/>
          <w:szCs w:val="24"/>
        </w:rPr>
        <w:t xml:space="preserve">à </w:t>
      </w:r>
      <w:r w:rsidRPr="005150E1">
        <w:rPr>
          <w:rFonts w:ascii="Times New Roman" w:hAnsi="Times New Roman" w:cs="Times New Roman"/>
          <w:sz w:val="24"/>
          <w:szCs w:val="24"/>
        </w:rPr>
        <w:t>crescente inserção de mão de obra feminina e redução, mas não eliminação, das desigualdades de renda.</w:t>
      </w:r>
      <w:r w:rsidR="0006400E">
        <w:rPr>
          <w:rFonts w:ascii="Times New Roman" w:hAnsi="Times New Roman" w:cs="Times New Roman"/>
          <w:sz w:val="24"/>
          <w:szCs w:val="24"/>
        </w:rPr>
        <w:t xml:space="preserve"> </w:t>
      </w:r>
      <w:r w:rsidRPr="005150E1">
        <w:rPr>
          <w:rFonts w:ascii="Times New Roman" w:hAnsi="Times New Roman" w:cs="Times New Roman"/>
          <w:sz w:val="24"/>
          <w:szCs w:val="24"/>
        </w:rPr>
        <w:t>A diferença de remuneração no mercado de trabalho possui duas explicações. Primeiramente, a questão da produtividade, o que nessa situação é comum trabalhadores com maior</w:t>
      </w:r>
      <w:r>
        <w:rPr>
          <w:rFonts w:ascii="Times New Roman" w:hAnsi="Times New Roman" w:cs="Times New Roman"/>
          <w:sz w:val="24"/>
          <w:szCs w:val="24"/>
        </w:rPr>
        <w:t>es</w:t>
      </w:r>
      <w:r w:rsidRPr="005150E1">
        <w:rPr>
          <w:rFonts w:ascii="Times New Roman" w:hAnsi="Times New Roman" w:cs="Times New Roman"/>
          <w:sz w:val="24"/>
          <w:szCs w:val="24"/>
        </w:rPr>
        <w:t xml:space="preserve"> níve</w:t>
      </w:r>
      <w:r>
        <w:rPr>
          <w:rFonts w:ascii="Times New Roman" w:hAnsi="Times New Roman" w:cs="Times New Roman"/>
          <w:sz w:val="24"/>
          <w:szCs w:val="24"/>
        </w:rPr>
        <w:t>is</w:t>
      </w:r>
      <w:r w:rsidRPr="005150E1">
        <w:rPr>
          <w:rFonts w:ascii="Times New Roman" w:hAnsi="Times New Roman" w:cs="Times New Roman"/>
          <w:sz w:val="24"/>
          <w:szCs w:val="24"/>
        </w:rPr>
        <w:t xml:space="preserve"> de escolaridad</w:t>
      </w:r>
      <w:r>
        <w:rPr>
          <w:rFonts w:ascii="Times New Roman" w:hAnsi="Times New Roman" w:cs="Times New Roman"/>
          <w:sz w:val="24"/>
          <w:szCs w:val="24"/>
        </w:rPr>
        <w:t xml:space="preserve">e </w:t>
      </w:r>
      <w:r w:rsidRPr="005150E1">
        <w:rPr>
          <w:rFonts w:ascii="Times New Roman" w:hAnsi="Times New Roman" w:cs="Times New Roman"/>
          <w:sz w:val="24"/>
          <w:szCs w:val="24"/>
        </w:rPr>
        <w:t xml:space="preserve">e experiência receberem salários melhores, assim, o mercado de trabalho atua como revelador das disparidades existentes no âmbito educacional. A segunda é a desigualdade na renda de trabalhadores com produtividades iguais. O mercado de trabalho induz a segregação e intensifica a discriminação já existente quando remunera de maneira distinta homens e mulheres ou brancos e negros com a mesma produtividade (BARROS </w:t>
      </w:r>
      <w:r w:rsidRPr="005150E1">
        <w:rPr>
          <w:rFonts w:ascii="Times New Roman" w:hAnsi="Times New Roman" w:cs="Times New Roman"/>
          <w:i/>
          <w:iCs/>
          <w:sz w:val="24"/>
          <w:szCs w:val="24"/>
        </w:rPr>
        <w:t>et al.</w:t>
      </w:r>
      <w:r w:rsidRPr="005150E1">
        <w:rPr>
          <w:rFonts w:ascii="Times New Roman" w:hAnsi="Times New Roman" w:cs="Times New Roman"/>
          <w:sz w:val="24"/>
          <w:szCs w:val="24"/>
        </w:rPr>
        <w:t>, 2007).</w:t>
      </w:r>
    </w:p>
    <w:p w14:paraId="390FF452" w14:textId="77777777" w:rsidR="008E1847" w:rsidRPr="005150E1" w:rsidRDefault="008E1847" w:rsidP="008E1847">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Embora as mulheres disponham em média mais anos de escolaridade que os homens, ainda seguem auferindo remunerações menores, sendo grande parte dessa disparidade explicada pela discriminação. No que concerne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diferença salarial por raça, os pesquisadores dessa temática ressaltam que essa discriminação existe desde a colonização até os dias atuais, a má </w:t>
      </w:r>
      <w:r w:rsidRPr="005150E1">
        <w:rPr>
          <w:rFonts w:ascii="Times New Roman" w:hAnsi="Times New Roman" w:cs="Times New Roman"/>
          <w:sz w:val="24"/>
          <w:szCs w:val="24"/>
        </w:rPr>
        <w:lastRenderedPageBreak/>
        <w:t>distribuição da renda acrescida a uma sociedade escravocrata contribuiu para a continuidade da disparidade salarial no país (MEIRELES; SILVA, 2012).</w:t>
      </w:r>
    </w:p>
    <w:p w14:paraId="4E0989D5" w14:textId="77777777" w:rsidR="008E1847" w:rsidRPr="005150E1" w:rsidRDefault="008E1847" w:rsidP="008E1847">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A relação entre filhos e a interação dos pais, principalmente das mulheres, no mercado de trabalho é assunto debatido tanto em países desenvolvidos (GOLDIN, 1997; MARON; MEULDERS, 2008) como países em desenvolvimento (RIOS-NETO, 1996; CRUCES; GALIANI, 2003). Países com taxas de participação da mulher no mercado de trabalho elevadas, como a Dinamarca, tem grande parte das disparidades de gênero oriunda do nascimento de filhos (KLEVEN; LANDAIS; SøGAARD, 2018).</w:t>
      </w:r>
    </w:p>
    <w:p w14:paraId="5EF99DFF" w14:textId="002834E9" w:rsidR="008E1847" w:rsidRPr="005150E1" w:rsidRDefault="008E1847" w:rsidP="008E1847">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Tal fenômeno é denominado penalidade salarial pela maternidade, muito relatado pela literatura especializada e diz respeito ao fato de</w:t>
      </w:r>
      <w:r>
        <w:rPr>
          <w:rFonts w:ascii="Times New Roman" w:hAnsi="Times New Roman" w:cs="Times New Roman"/>
          <w:sz w:val="24"/>
          <w:szCs w:val="24"/>
        </w:rPr>
        <w:t xml:space="preserve"> mulheres com filhos receberem </w:t>
      </w:r>
      <w:r w:rsidRPr="005150E1">
        <w:rPr>
          <w:rFonts w:ascii="Times New Roman" w:hAnsi="Times New Roman" w:cs="Times New Roman"/>
          <w:sz w:val="24"/>
          <w:szCs w:val="24"/>
        </w:rPr>
        <w:t xml:space="preserve">remuneração inferior </w:t>
      </w:r>
      <w:r>
        <w:rPr>
          <w:rFonts w:ascii="Times New Roman" w:hAnsi="Times New Roman" w:cs="Times New Roman"/>
          <w:sz w:val="24"/>
          <w:szCs w:val="24"/>
        </w:rPr>
        <w:t>à</w:t>
      </w:r>
      <w:r w:rsidR="00415CBC">
        <w:rPr>
          <w:rFonts w:ascii="Times New Roman" w:hAnsi="Times New Roman" w:cs="Times New Roman"/>
          <w:sz w:val="24"/>
          <w:szCs w:val="24"/>
        </w:rPr>
        <w:t>s</w:t>
      </w:r>
      <w:r>
        <w:rPr>
          <w:rFonts w:ascii="Times New Roman" w:hAnsi="Times New Roman" w:cs="Times New Roman"/>
          <w:sz w:val="24"/>
          <w:szCs w:val="24"/>
        </w:rPr>
        <w:t xml:space="preserve"> </w:t>
      </w:r>
      <w:r w:rsidRPr="005150E1">
        <w:rPr>
          <w:rFonts w:ascii="Times New Roman" w:hAnsi="Times New Roman" w:cs="Times New Roman"/>
          <w:sz w:val="24"/>
          <w:szCs w:val="24"/>
        </w:rPr>
        <w:t>mulheres sem filho. Livermore; Rodgers; Siminski</w:t>
      </w:r>
      <w:r w:rsidR="00415CBC">
        <w:rPr>
          <w:rStyle w:val="Refdecomentrio"/>
        </w:rPr>
        <w:t xml:space="preserve"> (</w:t>
      </w:r>
      <w:r w:rsidRPr="005150E1">
        <w:rPr>
          <w:rFonts w:ascii="Times New Roman" w:hAnsi="Times New Roman" w:cs="Times New Roman"/>
          <w:sz w:val="24"/>
          <w:szCs w:val="24"/>
        </w:rPr>
        <w:t xml:space="preserve">2011) </w:t>
      </w:r>
      <w:r w:rsidR="00254186">
        <w:rPr>
          <w:rFonts w:ascii="Times New Roman" w:hAnsi="Times New Roman" w:cs="Times New Roman"/>
          <w:sz w:val="24"/>
          <w:szCs w:val="24"/>
        </w:rPr>
        <w:t xml:space="preserve">relatam que </w:t>
      </w:r>
      <w:r w:rsidRPr="005150E1">
        <w:rPr>
          <w:rFonts w:ascii="Times New Roman" w:hAnsi="Times New Roman" w:cs="Times New Roman"/>
          <w:sz w:val="24"/>
          <w:szCs w:val="24"/>
        </w:rPr>
        <w:t xml:space="preserve">os filhos podem interferir </w:t>
      </w:r>
      <w:r>
        <w:rPr>
          <w:rFonts w:ascii="Times New Roman" w:hAnsi="Times New Roman" w:cs="Times New Roman"/>
          <w:sz w:val="24"/>
          <w:szCs w:val="24"/>
        </w:rPr>
        <w:t xml:space="preserve">nas </w:t>
      </w:r>
      <w:r w:rsidRPr="005150E1">
        <w:rPr>
          <w:rFonts w:ascii="Times New Roman" w:hAnsi="Times New Roman" w:cs="Times New Roman"/>
          <w:sz w:val="24"/>
          <w:szCs w:val="24"/>
        </w:rPr>
        <w:t xml:space="preserve">escolhas das mulheres em relação </w:t>
      </w:r>
      <w:r>
        <w:rPr>
          <w:rFonts w:ascii="Times New Roman" w:hAnsi="Times New Roman" w:cs="Times New Roman"/>
          <w:sz w:val="24"/>
          <w:szCs w:val="24"/>
        </w:rPr>
        <w:t xml:space="preserve">ao </w:t>
      </w:r>
      <w:r w:rsidRPr="005150E1">
        <w:rPr>
          <w:rFonts w:ascii="Times New Roman" w:hAnsi="Times New Roman" w:cs="Times New Roman"/>
          <w:sz w:val="24"/>
          <w:szCs w:val="24"/>
        </w:rPr>
        <w:t>tipo de ocupação, níveis resultantes de experiência, estabilidade no emprego que elas acumula</w:t>
      </w:r>
      <w:r>
        <w:rPr>
          <w:rFonts w:ascii="Times New Roman" w:hAnsi="Times New Roman" w:cs="Times New Roman"/>
          <w:sz w:val="24"/>
          <w:szCs w:val="24"/>
        </w:rPr>
        <w:t>m e e</w:t>
      </w:r>
      <w:r w:rsidRPr="005150E1">
        <w:rPr>
          <w:rFonts w:ascii="Times New Roman" w:hAnsi="Times New Roman" w:cs="Times New Roman"/>
          <w:sz w:val="24"/>
          <w:szCs w:val="24"/>
        </w:rPr>
        <w:t xml:space="preserve">ducação. </w:t>
      </w:r>
      <w:r w:rsidR="00254186">
        <w:rPr>
          <w:rFonts w:ascii="Times New Roman" w:hAnsi="Times New Roman" w:cs="Times New Roman"/>
          <w:sz w:val="24"/>
          <w:szCs w:val="24"/>
        </w:rPr>
        <w:t>Para</w:t>
      </w:r>
      <w:r w:rsidRPr="005150E1">
        <w:rPr>
          <w:rFonts w:ascii="Times New Roman" w:hAnsi="Times New Roman" w:cs="Times New Roman"/>
          <w:sz w:val="24"/>
          <w:szCs w:val="24"/>
        </w:rPr>
        <w:t xml:space="preserve"> Piras e Ripani (2005) a maternidade induz o afastamento das mulheres do mercado de trabalho ou as limita a empregos com carga horária parcial.</w:t>
      </w:r>
    </w:p>
    <w:p w14:paraId="376C4BF6" w14:textId="09CCCB57" w:rsidR="0078081E" w:rsidRDefault="008E1847" w:rsidP="00515F0A">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Com base nisso, as questões importantes que norteiam a pesquisa são: a maternidade impacta na inserção das mulheres no mercado de trabalho de maneira significativa e, consequentemente, no seu salário?  Esta influência se dá de maneira diferenciada em relação </w:t>
      </w:r>
      <w:r>
        <w:rPr>
          <w:rFonts w:ascii="Times New Roman" w:hAnsi="Times New Roman" w:cs="Times New Roman"/>
          <w:sz w:val="24"/>
          <w:szCs w:val="24"/>
        </w:rPr>
        <w:t>a</w:t>
      </w:r>
      <w:r w:rsidR="00515F0A">
        <w:rPr>
          <w:rFonts w:ascii="Times New Roman" w:hAnsi="Times New Roman" w:cs="Times New Roman"/>
          <w:sz w:val="24"/>
          <w:szCs w:val="24"/>
        </w:rPr>
        <w:t xml:space="preserve"> </w:t>
      </w:r>
      <w:r w:rsidRPr="005150E1">
        <w:rPr>
          <w:rFonts w:ascii="Times New Roman" w:hAnsi="Times New Roman" w:cs="Times New Roman"/>
          <w:sz w:val="24"/>
          <w:szCs w:val="24"/>
        </w:rPr>
        <w:t>raça? Assim, a presente pesquisa tem como principal objetivo investigar os efeitos de raça e</w:t>
      </w:r>
      <w:r w:rsidR="00515F0A">
        <w:rPr>
          <w:rFonts w:ascii="Times New Roman" w:hAnsi="Times New Roman" w:cs="Times New Roman"/>
          <w:sz w:val="24"/>
          <w:szCs w:val="24"/>
        </w:rPr>
        <w:t xml:space="preserve"> da</w:t>
      </w:r>
      <w:r w:rsidRPr="005150E1">
        <w:rPr>
          <w:rFonts w:ascii="Times New Roman" w:hAnsi="Times New Roman" w:cs="Times New Roman"/>
          <w:sz w:val="24"/>
          <w:szCs w:val="24"/>
        </w:rPr>
        <w:t xml:space="preserve"> maternidade na inserção feminina no mercado de trabalho brasileiro e nos diferenciais salariais, com ênfase nas diferenças entre mulheres com filhos e mulheres sem filhos. Para atingir o objetivo proposto, utiliz</w:t>
      </w:r>
      <w:r>
        <w:rPr>
          <w:rFonts w:ascii="Times New Roman" w:hAnsi="Times New Roman" w:cs="Times New Roman"/>
          <w:sz w:val="24"/>
          <w:szCs w:val="24"/>
        </w:rPr>
        <w:t>aram-s</w:t>
      </w:r>
      <w:r w:rsidRPr="005150E1">
        <w:rPr>
          <w:rFonts w:ascii="Times New Roman" w:hAnsi="Times New Roman" w:cs="Times New Roman"/>
          <w:sz w:val="24"/>
          <w:szCs w:val="24"/>
        </w:rPr>
        <w:t xml:space="preserve">e os dados da Pesquisa Nacional por Amostragem de Domicílios (PNAD) de 2015, a última com periodicidade anual disponibilizada pelo Instituto Brasileiro de Geografia e Estatística (IBGE), que permite averiguar de modo mais amplo a dinâmica do mercado de trabalho brasileiro, no período analisado. </w:t>
      </w:r>
      <w:r w:rsidR="00194637">
        <w:rPr>
          <w:rFonts w:ascii="Times New Roman" w:hAnsi="Times New Roman" w:cs="Times New Roman"/>
          <w:sz w:val="24"/>
          <w:szCs w:val="24"/>
        </w:rPr>
        <w:t>O trabalho se divide</w:t>
      </w:r>
      <w:r w:rsidRPr="005150E1">
        <w:rPr>
          <w:rFonts w:ascii="Times New Roman" w:hAnsi="Times New Roman" w:cs="Times New Roman"/>
          <w:sz w:val="24"/>
          <w:szCs w:val="24"/>
        </w:rPr>
        <w:t xml:space="preserve"> em duas etapas, na primeira por meio do modelo logit binário averiguou a participação no mercado de trabalho das mulheres que se tornaram mães e, na segunda buscou-se identificar de que maneira a maternidade afeta o salário das mulheres, para tanto, utilizou-se </w:t>
      </w:r>
      <w:r>
        <w:rPr>
          <w:rFonts w:ascii="Times New Roman" w:hAnsi="Times New Roman" w:cs="Times New Roman"/>
          <w:sz w:val="24"/>
          <w:szCs w:val="24"/>
        </w:rPr>
        <w:t>a estimação de uma equação minceriana (</w:t>
      </w:r>
      <w:r w:rsidRPr="005150E1">
        <w:rPr>
          <w:rFonts w:ascii="Times New Roman" w:hAnsi="Times New Roman" w:cs="Times New Roman"/>
          <w:sz w:val="24"/>
          <w:szCs w:val="24"/>
        </w:rPr>
        <w:t>MINCER</w:t>
      </w:r>
      <w:r>
        <w:rPr>
          <w:rFonts w:ascii="Times New Roman" w:hAnsi="Times New Roman" w:cs="Times New Roman"/>
          <w:sz w:val="24"/>
          <w:szCs w:val="24"/>
        </w:rPr>
        <w:t>,</w:t>
      </w:r>
      <w:r w:rsidRPr="005150E1">
        <w:rPr>
          <w:rFonts w:ascii="Times New Roman" w:hAnsi="Times New Roman" w:cs="Times New Roman"/>
          <w:sz w:val="24"/>
          <w:szCs w:val="24"/>
        </w:rPr>
        <w:t xml:space="preserve"> 1978)</w:t>
      </w:r>
      <w:r>
        <w:rPr>
          <w:rFonts w:ascii="Times New Roman" w:hAnsi="Times New Roman" w:cs="Times New Roman"/>
          <w:sz w:val="24"/>
          <w:szCs w:val="24"/>
        </w:rPr>
        <w:t>.</w:t>
      </w:r>
      <w:r w:rsidR="004D0E34">
        <w:rPr>
          <w:rFonts w:ascii="Times New Roman" w:hAnsi="Times New Roman" w:cs="Times New Roman"/>
          <w:sz w:val="24"/>
          <w:szCs w:val="24"/>
        </w:rPr>
        <w:t xml:space="preserve"> </w:t>
      </w:r>
      <w:r w:rsidR="004E3132">
        <w:rPr>
          <w:rFonts w:ascii="Times New Roman" w:hAnsi="Times New Roman" w:cs="Times New Roman"/>
          <w:sz w:val="24"/>
          <w:szCs w:val="24"/>
        </w:rPr>
        <w:t>J</w:t>
      </w:r>
      <w:r w:rsidRPr="005150E1">
        <w:rPr>
          <w:rFonts w:ascii="Times New Roman" w:hAnsi="Times New Roman" w:cs="Times New Roman"/>
          <w:sz w:val="24"/>
          <w:szCs w:val="24"/>
        </w:rPr>
        <w:t>ustifica</w:t>
      </w:r>
      <w:r w:rsidR="004E3132">
        <w:rPr>
          <w:rFonts w:ascii="Times New Roman" w:hAnsi="Times New Roman" w:cs="Times New Roman"/>
          <w:sz w:val="24"/>
          <w:szCs w:val="24"/>
        </w:rPr>
        <w:t>-se este estudo</w:t>
      </w:r>
      <w:r w:rsidRPr="005150E1">
        <w:rPr>
          <w:rFonts w:ascii="Times New Roman" w:hAnsi="Times New Roman" w:cs="Times New Roman"/>
          <w:sz w:val="24"/>
          <w:szCs w:val="24"/>
        </w:rPr>
        <w:t xml:space="preserve"> pelo </w:t>
      </w:r>
      <w:r w:rsidR="004D0E34">
        <w:rPr>
          <w:rFonts w:ascii="Times New Roman" w:hAnsi="Times New Roman" w:cs="Times New Roman"/>
          <w:sz w:val="24"/>
          <w:szCs w:val="24"/>
        </w:rPr>
        <w:t>f</w:t>
      </w:r>
      <w:r w:rsidRPr="005150E1">
        <w:rPr>
          <w:rFonts w:ascii="Times New Roman" w:hAnsi="Times New Roman" w:cs="Times New Roman"/>
          <w:sz w:val="24"/>
          <w:szCs w:val="24"/>
        </w:rPr>
        <w:t>a</w:t>
      </w:r>
      <w:r w:rsidR="004D0E34">
        <w:rPr>
          <w:rFonts w:ascii="Times New Roman" w:hAnsi="Times New Roman" w:cs="Times New Roman"/>
          <w:sz w:val="24"/>
          <w:szCs w:val="24"/>
        </w:rPr>
        <w:t>to da</w:t>
      </w:r>
      <w:r w:rsidRPr="005150E1">
        <w:rPr>
          <w:rFonts w:ascii="Times New Roman" w:hAnsi="Times New Roman" w:cs="Times New Roman"/>
          <w:sz w:val="24"/>
          <w:szCs w:val="24"/>
        </w:rPr>
        <w:t xml:space="preserve"> literatura brasileira ainda </w:t>
      </w:r>
      <w:r w:rsidRPr="005150E1">
        <w:rPr>
          <w:rFonts w:ascii="Times New Roman" w:hAnsi="Times New Roman" w:cs="Times New Roman"/>
          <w:sz w:val="24"/>
          <w:szCs w:val="24"/>
        </w:rPr>
        <w:lastRenderedPageBreak/>
        <w:t>explora</w:t>
      </w:r>
      <w:r w:rsidR="002B430A">
        <w:rPr>
          <w:rFonts w:ascii="Times New Roman" w:hAnsi="Times New Roman" w:cs="Times New Roman"/>
          <w:sz w:val="24"/>
          <w:szCs w:val="24"/>
        </w:rPr>
        <w:t>r</w:t>
      </w:r>
      <w:r w:rsidRPr="005150E1">
        <w:rPr>
          <w:rFonts w:ascii="Times New Roman" w:hAnsi="Times New Roman" w:cs="Times New Roman"/>
          <w:sz w:val="24"/>
          <w:szCs w:val="24"/>
        </w:rPr>
        <w:t xml:space="preserve"> pouco essa temática, principalmente relacionando </w:t>
      </w:r>
      <w:r w:rsidR="00515F0A">
        <w:rPr>
          <w:rFonts w:ascii="Times New Roman" w:hAnsi="Times New Roman" w:cs="Times New Roman"/>
          <w:sz w:val="24"/>
          <w:szCs w:val="24"/>
        </w:rPr>
        <w:t>a raça e maternidade</w:t>
      </w:r>
      <w:r w:rsidRPr="005150E1">
        <w:rPr>
          <w:rFonts w:ascii="Times New Roman" w:hAnsi="Times New Roman" w:cs="Times New Roman"/>
          <w:sz w:val="24"/>
          <w:szCs w:val="24"/>
        </w:rPr>
        <w:t xml:space="preserve"> – diferencial buscado nesse estudo</w:t>
      </w:r>
      <w:r w:rsidR="004D0E34">
        <w:rPr>
          <w:rFonts w:ascii="Times New Roman" w:hAnsi="Times New Roman" w:cs="Times New Roman"/>
          <w:sz w:val="24"/>
          <w:szCs w:val="24"/>
        </w:rPr>
        <w:t>.</w:t>
      </w:r>
    </w:p>
    <w:p w14:paraId="5299E260" w14:textId="41A69D20" w:rsidR="0078081E"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26EF91FD" w14:textId="5723C2C9" w:rsidR="002B08C0" w:rsidRPr="002B08C0" w:rsidRDefault="002B08C0" w:rsidP="002B08C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2B08C0">
        <w:rPr>
          <w:rFonts w:ascii="Times New Roman" w:hAnsi="Times New Roman" w:cs="Times New Roman"/>
          <w:b/>
          <w:bCs/>
          <w:sz w:val="24"/>
          <w:szCs w:val="24"/>
        </w:rPr>
        <w:t xml:space="preserve">.1 </w:t>
      </w:r>
      <w:r w:rsidR="00761DC8">
        <w:rPr>
          <w:rFonts w:ascii="Times New Roman" w:hAnsi="Times New Roman" w:cs="Times New Roman"/>
          <w:b/>
          <w:bCs/>
          <w:sz w:val="24"/>
          <w:szCs w:val="24"/>
        </w:rPr>
        <w:t xml:space="preserve">Base de Dados </w:t>
      </w:r>
    </w:p>
    <w:p w14:paraId="1C07BB72" w14:textId="5708DAE8" w:rsidR="002B08C0" w:rsidRPr="005150E1" w:rsidRDefault="00761DC8" w:rsidP="00761DC8">
      <w:pPr>
        <w:spacing w:after="0" w:line="360" w:lineRule="auto"/>
        <w:ind w:firstLine="709"/>
        <w:jc w:val="both"/>
        <w:rPr>
          <w:rFonts w:ascii="Times New Roman" w:hAnsi="Times New Roman" w:cs="Times New Roman"/>
          <w:sz w:val="24"/>
          <w:szCs w:val="24"/>
        </w:rPr>
      </w:pPr>
      <w:r>
        <w:rPr>
          <w:rFonts w:ascii="Times New Roman" w:eastAsiaTheme="minorEastAsia" w:hAnsi="Times New Roman" w:cs="Times New Roman"/>
          <w:sz w:val="24"/>
          <w:szCs w:val="24"/>
        </w:rPr>
        <w:t>Os micro</w:t>
      </w:r>
      <w:r w:rsidRPr="005150E1">
        <w:rPr>
          <w:rFonts w:ascii="Times New Roman" w:hAnsi="Times New Roman" w:cs="Times New Roman"/>
          <w:sz w:val="24"/>
          <w:szCs w:val="24"/>
        </w:rPr>
        <w:t xml:space="preserve">dados da </w:t>
      </w:r>
      <w:r>
        <w:rPr>
          <w:rFonts w:ascii="Times New Roman" w:hAnsi="Times New Roman" w:cs="Times New Roman"/>
          <w:sz w:val="24"/>
          <w:szCs w:val="24"/>
        </w:rPr>
        <w:t>PNAD</w:t>
      </w:r>
      <w:r w:rsidRPr="005150E1">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5150E1">
        <w:rPr>
          <w:rFonts w:ascii="Times New Roman" w:hAnsi="Times New Roman" w:cs="Times New Roman"/>
          <w:sz w:val="24"/>
          <w:szCs w:val="24"/>
        </w:rPr>
        <w:t>2015</w:t>
      </w:r>
      <w:r>
        <w:rPr>
          <w:rFonts w:ascii="Times New Roman" w:hAnsi="Times New Roman" w:cs="Times New Roman"/>
          <w:sz w:val="24"/>
          <w:szCs w:val="24"/>
        </w:rPr>
        <w:t xml:space="preserve"> é a base de dados utilizada</w:t>
      </w:r>
      <w:r w:rsidRPr="005150E1">
        <w:rPr>
          <w:rFonts w:ascii="Times New Roman" w:hAnsi="Times New Roman" w:cs="Times New Roman"/>
          <w:sz w:val="24"/>
          <w:szCs w:val="24"/>
        </w:rPr>
        <w:t xml:space="preserve">, </w:t>
      </w:r>
      <w:r>
        <w:rPr>
          <w:rFonts w:ascii="Times New Roman" w:hAnsi="Times New Roman" w:cs="Times New Roman"/>
          <w:sz w:val="24"/>
          <w:szCs w:val="24"/>
        </w:rPr>
        <w:t>ela é</w:t>
      </w:r>
      <w:r w:rsidRPr="005150E1">
        <w:rPr>
          <w:rFonts w:ascii="Times New Roman" w:hAnsi="Times New Roman" w:cs="Times New Roman"/>
          <w:sz w:val="24"/>
          <w:szCs w:val="24"/>
        </w:rPr>
        <w:t xml:space="preserve"> última com periodicidade anual disponibilizada pelo </w:t>
      </w:r>
      <w:r>
        <w:rPr>
          <w:rFonts w:ascii="Times New Roman" w:hAnsi="Times New Roman" w:cs="Times New Roman"/>
          <w:sz w:val="24"/>
          <w:szCs w:val="24"/>
        </w:rPr>
        <w:t>IBGE</w:t>
      </w:r>
      <w:r w:rsidRPr="005150E1">
        <w:rPr>
          <w:rFonts w:ascii="Times New Roman" w:hAnsi="Times New Roman" w:cs="Times New Roman"/>
          <w:sz w:val="24"/>
          <w:szCs w:val="24"/>
        </w:rPr>
        <w:t xml:space="preserve"> que permite averiguar de modo mais amplo a dinâmica do mercado de trabalho brasileiro</w:t>
      </w:r>
      <w:r>
        <w:rPr>
          <w:rFonts w:ascii="Times New Roman" w:hAnsi="Times New Roman" w:cs="Times New Roman"/>
          <w:sz w:val="24"/>
          <w:szCs w:val="24"/>
        </w:rPr>
        <w:t xml:space="preserve">. </w:t>
      </w:r>
      <w:r w:rsidRPr="005150E1">
        <w:rPr>
          <w:rFonts w:ascii="Times New Roman" w:hAnsi="Times New Roman" w:cs="Times New Roman"/>
          <w:sz w:val="24"/>
          <w:szCs w:val="24"/>
        </w:rPr>
        <w:t xml:space="preserve">O recorte amostral selecionou </w:t>
      </w:r>
      <w:bookmarkStart w:id="0" w:name="_Hlk110167840"/>
      <w:r w:rsidRPr="005150E1">
        <w:rPr>
          <w:rFonts w:ascii="Times New Roman" w:eastAsia="Times New Roman" w:hAnsi="Times New Roman" w:cs="Times New Roman"/>
          <w:sz w:val="24"/>
          <w:szCs w:val="24"/>
          <w:lang w:eastAsia="pt-BR"/>
        </w:rPr>
        <w:t xml:space="preserve">60.527 </w:t>
      </w:r>
      <w:r w:rsidRPr="005150E1">
        <w:rPr>
          <w:rFonts w:ascii="Times New Roman" w:hAnsi="Times New Roman" w:cs="Times New Roman"/>
          <w:sz w:val="24"/>
          <w:szCs w:val="24"/>
        </w:rPr>
        <w:t>mulheres de 16 a 49 anos</w:t>
      </w:r>
      <w:bookmarkEnd w:id="0"/>
      <w:r w:rsidRPr="005150E1">
        <w:rPr>
          <w:rFonts w:ascii="Times New Roman" w:hAnsi="Times New Roman" w:cs="Times New Roman"/>
          <w:sz w:val="24"/>
          <w:szCs w:val="24"/>
        </w:rPr>
        <w:t>, residentes das cinco macrorregiões brasileir</w:t>
      </w:r>
      <w:r>
        <w:rPr>
          <w:rFonts w:ascii="Times New Roman" w:hAnsi="Times New Roman" w:cs="Times New Roman"/>
          <w:sz w:val="24"/>
          <w:szCs w:val="24"/>
        </w:rPr>
        <w:t xml:space="preserve">as. </w:t>
      </w:r>
      <w:r w:rsidRPr="005150E1">
        <w:rPr>
          <w:rFonts w:ascii="Times New Roman" w:hAnsi="Times New Roman" w:cs="Times New Roman"/>
          <w:sz w:val="24"/>
          <w:szCs w:val="24"/>
        </w:rPr>
        <w:t>A escolha desta faixa etária levou em conta que, neste intervalo de idade, são observadas as mais altas taxas de inserção no mercado de trabalho, em sua maioria já tiveram acesso à educação básica e ao mesmo tempo estariam em idade fértil e evita-se captar efeitos da aposentadoria precoce. Para investigar a penalidade salarial, realizou-se um recorte das mulheres economicamente ativas</w:t>
      </w:r>
      <w:r w:rsidR="0028054E">
        <w:rPr>
          <w:rFonts w:ascii="Times New Roman" w:hAnsi="Times New Roman" w:cs="Times New Roman"/>
          <w:sz w:val="24"/>
          <w:szCs w:val="24"/>
        </w:rPr>
        <w:t xml:space="preserve"> e com carga horária superior a 20 horas por semana</w:t>
      </w:r>
      <w:r w:rsidRPr="005150E1">
        <w:rPr>
          <w:rFonts w:ascii="Times New Roman" w:hAnsi="Times New Roman" w:cs="Times New Roman"/>
          <w:sz w:val="24"/>
          <w:szCs w:val="24"/>
        </w:rPr>
        <w:t xml:space="preserve">, cuja amostra englobou </w:t>
      </w:r>
      <w:r w:rsidRPr="005150E1">
        <w:rPr>
          <w:rFonts w:ascii="Times New Roman" w:eastAsia="Times New Roman" w:hAnsi="Times New Roman" w:cs="Times New Roman"/>
          <w:sz w:val="24"/>
          <w:szCs w:val="24"/>
          <w:lang w:eastAsia="pt-BR"/>
        </w:rPr>
        <w:t>29.266 mulheres.</w:t>
      </w:r>
    </w:p>
    <w:p w14:paraId="6FAED51C" w14:textId="3240B9AA" w:rsidR="002B08C0" w:rsidRPr="00CB082C" w:rsidRDefault="002B08C0" w:rsidP="00CB082C">
      <w:pPr>
        <w:spacing w:after="0" w:line="360" w:lineRule="auto"/>
        <w:jc w:val="both"/>
        <w:rPr>
          <w:rFonts w:ascii="Times New Roman" w:hAnsi="Times New Roman" w:cs="Times New Roman"/>
          <w:b/>
          <w:bCs/>
          <w:sz w:val="24"/>
          <w:szCs w:val="24"/>
        </w:rPr>
      </w:pPr>
      <w:r w:rsidRPr="00CB082C">
        <w:rPr>
          <w:rFonts w:ascii="Times New Roman" w:hAnsi="Times New Roman" w:cs="Times New Roman"/>
          <w:b/>
          <w:bCs/>
          <w:sz w:val="24"/>
          <w:szCs w:val="24"/>
        </w:rPr>
        <w:t>2.2 Descrição do Método Analítico</w:t>
      </w:r>
    </w:p>
    <w:p w14:paraId="21328511" w14:textId="77777777" w:rsidR="002B08C0" w:rsidRPr="005150E1" w:rsidRDefault="002B08C0" w:rsidP="002B08C0">
      <w:pPr>
        <w:spacing w:after="0" w:line="360" w:lineRule="auto"/>
        <w:jc w:val="both"/>
        <w:rPr>
          <w:rFonts w:ascii="Times New Roman" w:hAnsi="Times New Roman" w:cs="Times New Roman"/>
          <w:sz w:val="24"/>
          <w:szCs w:val="24"/>
        </w:rPr>
      </w:pPr>
      <w:r w:rsidRPr="005150E1">
        <w:rPr>
          <w:rFonts w:ascii="Times New Roman" w:hAnsi="Times New Roman" w:cs="Times New Roman"/>
          <w:sz w:val="24"/>
          <w:szCs w:val="24"/>
        </w:rPr>
        <w:tab/>
        <w:t xml:space="preserve">A presente análise é constituída em duas etapas, na primeira por meio do modelo logit binário se averiguou como se deu a participação das mulheres no mercado de trabalho em 2015 e, na segunda analisou-se como o salário das mulheres é influenciado por uma série de fatores, para tanto, utilizou-se </w:t>
      </w:r>
      <w:r>
        <w:rPr>
          <w:rFonts w:ascii="Times New Roman" w:hAnsi="Times New Roman" w:cs="Times New Roman"/>
          <w:sz w:val="24"/>
          <w:szCs w:val="24"/>
        </w:rPr>
        <w:t>a equação minceriana (MINCER, 1978).</w:t>
      </w:r>
    </w:p>
    <w:p w14:paraId="2A279440" w14:textId="221F7A4E" w:rsidR="002B08C0" w:rsidRDefault="002B08C0" w:rsidP="002B08C0">
      <w:pPr>
        <w:pStyle w:val="PargrafodaLista"/>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2</w:t>
      </w:r>
      <w:r w:rsidRPr="005150E1">
        <w:rPr>
          <w:rFonts w:ascii="Times New Roman" w:hAnsi="Times New Roman" w:cs="Times New Roman"/>
          <w:sz w:val="24"/>
          <w:szCs w:val="24"/>
        </w:rPr>
        <w:t>.2.1 Participação no mercado de trabalho - Logit binário</w:t>
      </w:r>
    </w:p>
    <w:p w14:paraId="5FA1C740" w14:textId="366F5A9F" w:rsidR="00E37F5B"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color w:val="000000"/>
          <w:sz w:val="24"/>
          <w:szCs w:val="24"/>
        </w:rPr>
        <w:tab/>
      </w:r>
      <w:r w:rsidRPr="00BF2BC1">
        <w:rPr>
          <w:rFonts w:ascii="TimesNewRomanPSMT" w:hAnsi="TimesNewRomanPSMT"/>
          <w:color w:val="000000"/>
          <w:sz w:val="24"/>
          <w:szCs w:val="24"/>
        </w:rPr>
        <w:t>O modelo logit</w:t>
      </w:r>
      <w:r>
        <w:rPr>
          <w:rFonts w:ascii="TimesNewRomanPSMT" w:hAnsi="TimesNewRomanPSMT"/>
          <w:color w:val="000000"/>
          <w:sz w:val="24"/>
          <w:szCs w:val="24"/>
        </w:rPr>
        <w:t xml:space="preserve"> </w:t>
      </w:r>
      <w:r w:rsidRPr="00BF2BC1">
        <w:rPr>
          <w:rFonts w:ascii="TimesNewRomanPSMT" w:hAnsi="TimesNewRomanPSMT"/>
          <w:color w:val="000000"/>
          <w:sz w:val="24"/>
          <w:szCs w:val="24"/>
        </w:rPr>
        <w:t>constitui um tipo particular de modelo com variáveis dependentes limitadas. É o mais</w:t>
      </w:r>
      <w:r>
        <w:rPr>
          <w:rFonts w:ascii="TimesNewRomanPSMT" w:hAnsi="TimesNewRomanPSMT"/>
          <w:color w:val="000000"/>
          <w:sz w:val="24"/>
          <w:szCs w:val="24"/>
        </w:rPr>
        <w:t xml:space="preserve"> </w:t>
      </w:r>
      <w:r w:rsidRPr="00BF2BC1">
        <w:rPr>
          <w:rFonts w:ascii="TimesNewRomanPSMT" w:hAnsi="TimesNewRomanPSMT"/>
          <w:color w:val="000000"/>
          <w:sz w:val="24"/>
          <w:szCs w:val="24"/>
        </w:rPr>
        <w:t>simples dos modelos envolvendo variáveis dependentes qualitativas. (PINO, 2007). Com</w:t>
      </w:r>
      <w:r>
        <w:rPr>
          <w:rFonts w:ascii="TimesNewRomanPSMT" w:hAnsi="TimesNewRomanPSMT"/>
          <w:color w:val="000000"/>
          <w:sz w:val="24"/>
          <w:szCs w:val="24"/>
        </w:rPr>
        <w:t xml:space="preserve"> </w:t>
      </w:r>
      <w:r w:rsidRPr="00BF2BC1">
        <w:rPr>
          <w:rFonts w:ascii="TimesNewRomanPSMT" w:hAnsi="TimesNewRomanPSMT"/>
          <w:color w:val="000000"/>
          <w:sz w:val="24"/>
          <w:szCs w:val="24"/>
        </w:rPr>
        <w:t>relação a variável qualitativa, esta é considerada uma variável binária (também</w:t>
      </w:r>
      <w:r>
        <w:rPr>
          <w:rFonts w:ascii="TimesNewRomanPSMT" w:hAnsi="TimesNewRomanPSMT"/>
          <w:color w:val="000000"/>
          <w:sz w:val="24"/>
          <w:szCs w:val="24"/>
        </w:rPr>
        <w:t xml:space="preserve"> </w:t>
      </w:r>
      <w:r w:rsidRPr="00BF2BC1">
        <w:rPr>
          <w:rFonts w:ascii="TimesNewRomanPSMT" w:hAnsi="TimesNewRomanPSMT"/>
          <w:color w:val="000000"/>
          <w:sz w:val="24"/>
          <w:szCs w:val="24"/>
        </w:rPr>
        <w:t>denominada variável “dummy”) é aquela que só tem dois valores distintos, geralmente</w:t>
      </w:r>
      <w:r>
        <w:rPr>
          <w:rFonts w:ascii="TimesNewRomanPSMT" w:hAnsi="TimesNewRomanPSMT"/>
          <w:color w:val="000000"/>
        </w:rPr>
        <w:t xml:space="preserve"> </w:t>
      </w:r>
      <w:r w:rsidRPr="00BF2BC1">
        <w:rPr>
          <w:rFonts w:ascii="TimesNewRomanPSMT" w:hAnsi="TimesNewRomanPSMT"/>
          <w:color w:val="000000"/>
          <w:sz w:val="24"/>
          <w:szCs w:val="24"/>
        </w:rPr>
        <w:t>zero e um. (HOFFMANN; VIEIRA, 1998).</w:t>
      </w:r>
    </w:p>
    <w:p w14:paraId="5C65D616" w14:textId="5557F733" w:rsidR="00E37F5B"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noProof/>
          <w:color w:val="000000"/>
          <w:sz w:val="24"/>
          <w:szCs w:val="24"/>
        </w:rPr>
        <mc:AlternateContent>
          <mc:Choice Requires="wps">
            <w:drawing>
              <wp:anchor distT="0" distB="0" distL="114300" distR="114300" simplePos="0" relativeHeight="251662336" behindDoc="0" locked="0" layoutInCell="1" allowOverlap="1" wp14:anchorId="1528EA67" wp14:editId="1405A137">
                <wp:simplePos x="0" y="0"/>
                <wp:positionH relativeFrom="column">
                  <wp:posOffset>5253990</wp:posOffset>
                </wp:positionH>
                <wp:positionV relativeFrom="paragraph">
                  <wp:posOffset>561975</wp:posOffset>
                </wp:positionV>
                <wp:extent cx="381000" cy="285750"/>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381000" cy="285750"/>
                        </a:xfrm>
                        <a:prstGeom prst="rect">
                          <a:avLst/>
                        </a:prstGeom>
                        <a:noFill/>
                        <a:ln w="6350">
                          <a:noFill/>
                        </a:ln>
                      </wps:spPr>
                      <wps:txbx>
                        <w:txbxContent>
                          <w:p w14:paraId="03EC134D"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8EA67" id="_x0000_t202" coordsize="21600,21600" o:spt="202" path="m,l,21600r21600,l21600,xe">
                <v:stroke joinstyle="miter"/>
                <v:path gradientshapeok="t" o:connecttype="rect"/>
              </v:shapetype>
              <v:shape id="Caixa de Texto 4" o:spid="_x0000_s1026" type="#_x0000_t202" style="position:absolute;left:0;text-align:left;margin-left:413.7pt;margin-top:44.25pt;width:30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" filled="f" stroked="f" strokeweight=".5pt">
                <v:textbox>
                  <w:txbxContent>
                    <w:p w14:paraId="03EC134D"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(1)</w:t>
                      </w:r>
                    </w:p>
                  </w:txbxContent>
                </v:textbox>
              </v:shape>
            </w:pict>
          </mc:Fallback>
        </mc:AlternateContent>
      </w:r>
      <w:r>
        <w:rPr>
          <w:rFonts w:ascii="TimesNewRomanPSMT" w:hAnsi="TimesNewRomanPSMT"/>
          <w:color w:val="000000"/>
          <w:sz w:val="24"/>
          <w:szCs w:val="24"/>
        </w:rPr>
        <w:tab/>
      </w:r>
      <w:r w:rsidRPr="00BF2BC1">
        <w:rPr>
          <w:rFonts w:ascii="TimesNewRomanPSMT" w:hAnsi="TimesNewRomanPSMT"/>
          <w:color w:val="000000"/>
          <w:sz w:val="24"/>
          <w:szCs w:val="24"/>
        </w:rPr>
        <w:t>Para Gujarati e Porter (2011) o modelo de distribuição logística é definido da</w:t>
      </w:r>
      <w:r w:rsidRPr="00BF2BC1">
        <w:rPr>
          <w:rFonts w:ascii="TimesNewRomanPSMT" w:hAnsi="TimesNewRomanPSMT"/>
          <w:color w:val="000000"/>
        </w:rPr>
        <w:br/>
      </w:r>
      <w:r w:rsidRPr="00BF2BC1">
        <w:rPr>
          <w:rFonts w:ascii="TimesNewRomanPSMT" w:hAnsi="TimesNewRomanPSMT"/>
          <w:color w:val="000000"/>
          <w:sz w:val="24"/>
          <w:szCs w:val="24"/>
        </w:rPr>
        <w:t>seguinte maneira:</w:t>
      </w:r>
    </w:p>
    <w:p w14:paraId="49D30327" w14:textId="77777777" w:rsidR="00E37F5B" w:rsidRDefault="00000000" w:rsidP="00E37F5B">
      <w:pPr>
        <w:tabs>
          <w:tab w:val="left" w:pos="709"/>
        </w:tabs>
        <w:spacing w:after="0" w:line="360" w:lineRule="auto"/>
        <w:jc w:val="both"/>
        <w:rPr>
          <w:rFonts w:ascii="TimesNewRomanPSMT" w:hAnsi="TimesNewRomanPSMT"/>
          <w:color w:val="000000"/>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i</m:t>
              </m:r>
            </m:sub>
          </m:sSub>
          <m:r>
            <w:rPr>
              <w:rFonts w:ascii="Cambria Math" w:hAnsi="Cambria Math"/>
              <w:color w:val="000000"/>
              <w:sz w:val="24"/>
              <w:szCs w:val="24"/>
            </w:rPr>
            <m:t>=P</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Y</m:t>
                  </m:r>
                </m:e>
                <m:sub>
                  <m:r>
                    <w:rPr>
                      <w:rFonts w:ascii="Cambria Math" w:hAnsi="Cambria Math"/>
                      <w:color w:val="000000"/>
                      <w:sz w:val="24"/>
                      <w:szCs w:val="24"/>
                    </w:rPr>
                    <m:t>i</m:t>
                  </m:r>
                </m:sub>
              </m:sSub>
              <m:r>
                <w:rPr>
                  <w:rFonts w:ascii="Cambria Math" w:hAnsi="Cambria Math"/>
                  <w:color w:val="000000"/>
                  <w:sz w:val="24"/>
                  <w:szCs w:val="24"/>
                </w:rPr>
                <m:t>=</m:t>
              </m:r>
              <m:f>
                <m:fPr>
                  <m:type m:val="skw"/>
                  <m:ctrlPr>
                    <w:rPr>
                      <w:rFonts w:ascii="Cambria Math" w:hAnsi="Cambria Math"/>
                      <w:i/>
                      <w:color w:val="000000"/>
                      <w:sz w:val="24"/>
                      <w:szCs w:val="24"/>
                    </w:rPr>
                  </m:ctrlPr>
                </m:fPr>
                <m:num>
                  <m:r>
                    <w:rPr>
                      <w:rFonts w:ascii="Cambria Math" w:hAnsi="Cambria Math"/>
                      <w:color w:val="000000"/>
                      <w:sz w:val="24"/>
                      <w:szCs w:val="24"/>
                    </w:rPr>
                    <m:t>1</m:t>
                  </m:r>
                </m:num>
                <m:den>
                  <m:sSub>
                    <m:sSubPr>
                      <m:ctrlPr>
                        <w:rPr>
                          <w:rFonts w:ascii="Cambria Math" w:hAnsi="Cambria Math"/>
                          <w:i/>
                          <w:color w:val="000000"/>
                          <w:sz w:val="24"/>
                          <w:szCs w:val="24"/>
                        </w:rPr>
                      </m:ctrlPr>
                    </m:sSubPr>
                    <m:e>
                      <m:r>
                        <w:rPr>
                          <w:rFonts w:ascii="Cambria Math" w:hAnsi="Cambria Math"/>
                          <w:color w:val="000000"/>
                          <w:sz w:val="24"/>
                          <w:szCs w:val="24"/>
                        </w:rPr>
                        <m:t>X</m:t>
                      </m:r>
                    </m:e>
                    <m:sub>
                      <m:r>
                        <w:rPr>
                          <w:rFonts w:ascii="Cambria Math" w:hAnsi="Cambria Math"/>
                          <w:color w:val="000000"/>
                          <w:sz w:val="24"/>
                          <w:szCs w:val="24"/>
                        </w:rPr>
                        <m:t>i</m:t>
                      </m:r>
                    </m:sub>
                  </m:sSub>
                </m:den>
              </m:f>
            </m:e>
          </m:d>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1</m:t>
              </m:r>
            </m:num>
            <m:den>
              <m:r>
                <w:rPr>
                  <w:rFonts w:ascii="Cambria Math" w:hAnsi="Cambria Math"/>
                  <w:color w:val="000000"/>
                  <w:sz w:val="24"/>
                  <w:szCs w:val="24"/>
                </w:rPr>
                <m:t>1+</m:t>
              </m:r>
              <m:sSup>
                <m:sSupPr>
                  <m:ctrlPr>
                    <w:rPr>
                      <w:rFonts w:ascii="Cambria Math" w:hAnsi="Cambria Math"/>
                      <w:i/>
                      <w:color w:val="000000"/>
                      <w:sz w:val="24"/>
                      <w:szCs w:val="24"/>
                    </w:rPr>
                  </m:ctrlPr>
                </m:sSupPr>
                <m:e>
                  <m:r>
                    <w:rPr>
                      <w:rFonts w:ascii="Cambria Math" w:hAnsi="Cambria Math"/>
                      <w:color w:val="000000"/>
                      <w:sz w:val="24"/>
                      <w:szCs w:val="24"/>
                    </w:rPr>
                    <m:t>e</m:t>
                  </m:r>
                </m:e>
                <m:sup>
                  <m:r>
                    <w:rPr>
                      <w:rFonts w:ascii="Cambria Math" w:hAnsi="Cambria Math"/>
                      <w:color w:val="000000"/>
                      <w:sz w:val="24"/>
                      <w:szCs w:val="24"/>
                    </w:rPr>
                    <m:t>-β'Xi</m:t>
                  </m:r>
                </m:sup>
              </m:sSup>
            </m:den>
          </m:f>
          <m:r>
            <w:rPr>
              <w:rFonts w:ascii="Cambria Math" w:hAnsi="Cambria Math"/>
              <w:color w:val="000000"/>
              <w:sz w:val="24"/>
              <w:szCs w:val="24"/>
            </w:rPr>
            <m:t>=F(</m:t>
          </m:r>
          <m:sSup>
            <m:sSupPr>
              <m:ctrlPr>
                <w:rPr>
                  <w:rFonts w:ascii="Cambria Math" w:hAnsi="Cambria Math"/>
                  <w:i/>
                  <w:color w:val="000000"/>
                  <w:sz w:val="24"/>
                  <w:szCs w:val="24"/>
                </w:rPr>
              </m:ctrlPr>
            </m:sSupPr>
            <m:e>
              <m:r>
                <w:rPr>
                  <w:rFonts w:ascii="Cambria Math" w:hAnsi="Cambria Math"/>
                  <w:color w:val="000000"/>
                  <w:sz w:val="24"/>
                  <w:szCs w:val="24"/>
                </w:rPr>
                <m:t>β</m:t>
              </m:r>
            </m:e>
            <m:sup>
              <m:r>
                <w:rPr>
                  <w:rFonts w:ascii="Cambria Math" w:hAnsi="Cambria Math"/>
                  <w:color w:val="000000"/>
                  <w:sz w:val="24"/>
                  <w:szCs w:val="24"/>
                </w:rPr>
                <m:t>'</m:t>
              </m:r>
            </m:sup>
          </m:sSup>
          <m:r>
            <w:rPr>
              <w:rFonts w:ascii="Cambria Math" w:hAnsi="Cambria Math"/>
              <w:color w:val="000000"/>
              <w:sz w:val="24"/>
              <w:szCs w:val="24"/>
            </w:rPr>
            <m:t>Xi)</m:t>
          </m:r>
        </m:oMath>
      </m:oMathPara>
    </w:p>
    <w:p w14:paraId="3F2CBDFE" w14:textId="6416AF82" w:rsidR="00E37F5B" w:rsidRPr="00236160" w:rsidRDefault="00E37F5B" w:rsidP="00E37F5B">
      <w:pPr>
        <w:tabs>
          <w:tab w:val="left" w:pos="709"/>
        </w:tabs>
        <w:spacing w:after="0" w:line="360" w:lineRule="auto"/>
        <w:jc w:val="both"/>
        <w:rPr>
          <w:rFonts w:ascii="TimesNewRomanPSMT" w:hAnsi="TimesNewRomanPSMT"/>
          <w:color w:val="000000"/>
          <w:sz w:val="24"/>
          <w:szCs w:val="24"/>
        </w:rPr>
      </w:pPr>
      <w:r w:rsidRPr="00236160">
        <w:rPr>
          <w:rFonts w:ascii="TimesNewRomanPSMT" w:hAnsi="TimesNewRomanPSMT"/>
          <w:color w:val="000000"/>
          <w:sz w:val="24"/>
          <w:szCs w:val="24"/>
        </w:rPr>
        <w:t xml:space="preserve">em que </w:t>
      </w:r>
      <w:r w:rsidRPr="00236160">
        <w:rPr>
          <w:rFonts w:ascii="Cambria Math" w:hAnsi="Cambria Math" w:cs="Cambria Math"/>
          <w:color w:val="000000"/>
          <w:sz w:val="24"/>
          <w:szCs w:val="24"/>
        </w:rPr>
        <w:t>𝑌𝑖</w:t>
      </w:r>
      <w:r w:rsidRPr="00236160">
        <w:rPr>
          <w:rFonts w:ascii="TimesNewRomanPSMT" w:hAnsi="TimesNewRomanPSMT"/>
          <w:color w:val="000000"/>
          <w:sz w:val="24"/>
          <w:szCs w:val="24"/>
        </w:rPr>
        <w:t xml:space="preserve"> é a variável dummy que varia entre 0 e 1, Xi o vetor de variável explicativas e</w:t>
      </w:r>
    </w:p>
    <w:p w14:paraId="32819669" w14:textId="77777777" w:rsidR="00E37F5B" w:rsidRDefault="00E37F5B" w:rsidP="00E37F5B">
      <w:pPr>
        <w:tabs>
          <w:tab w:val="left" w:pos="709"/>
        </w:tabs>
        <w:spacing w:after="0" w:line="360" w:lineRule="auto"/>
        <w:jc w:val="both"/>
        <w:rPr>
          <w:rFonts w:ascii="TimesNewRomanPSMT" w:hAnsi="TimesNewRomanPSMT"/>
          <w:color w:val="000000"/>
          <w:sz w:val="24"/>
          <w:szCs w:val="24"/>
        </w:rPr>
      </w:pPr>
      <w:r w:rsidRPr="00236160">
        <w:rPr>
          <w:rFonts w:ascii="TimesNewRomanPSMT" w:hAnsi="TimesNewRomanPSMT"/>
          <w:color w:val="000000"/>
          <w:sz w:val="24"/>
          <w:szCs w:val="24"/>
        </w:rPr>
        <w:t>β o vetor de parâmetros.</w:t>
      </w:r>
    </w:p>
    <w:p w14:paraId="30740B85" w14:textId="77777777" w:rsidR="00E37F5B" w:rsidRPr="002132F9"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color w:val="000000"/>
          <w:sz w:val="24"/>
          <w:szCs w:val="24"/>
        </w:rPr>
        <w:lastRenderedPageBreak/>
        <w:tab/>
      </w:r>
      <w:r w:rsidRPr="002132F9">
        <w:rPr>
          <w:rFonts w:ascii="TimesNewRomanPSMT" w:hAnsi="TimesNewRomanPSMT"/>
          <w:color w:val="000000"/>
          <w:sz w:val="24"/>
          <w:szCs w:val="24"/>
        </w:rPr>
        <w:t>Sendo Pi a probabilidade do indivíduo praticar a pendularidade, 1 - Pi será a</w:t>
      </w:r>
    </w:p>
    <w:p w14:paraId="6EEAAAD4" w14:textId="77777777" w:rsidR="00E37F5B"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noProof/>
          <w:color w:val="000000"/>
          <w:sz w:val="24"/>
          <w:szCs w:val="24"/>
        </w:rPr>
        <mc:AlternateContent>
          <mc:Choice Requires="wps">
            <w:drawing>
              <wp:anchor distT="0" distB="0" distL="114300" distR="114300" simplePos="0" relativeHeight="251663360" behindDoc="0" locked="0" layoutInCell="1" allowOverlap="1" wp14:anchorId="0D8286C2" wp14:editId="0B0EFB15">
                <wp:simplePos x="0" y="0"/>
                <wp:positionH relativeFrom="column">
                  <wp:posOffset>5248275</wp:posOffset>
                </wp:positionH>
                <wp:positionV relativeFrom="paragraph">
                  <wp:posOffset>276225</wp:posOffset>
                </wp:positionV>
                <wp:extent cx="381000" cy="285750"/>
                <wp:effectExtent l="0" t="0" r="0" b="0"/>
                <wp:wrapNone/>
                <wp:docPr id="8" name="Caixa de Texto 8"/>
                <wp:cNvGraphicFramePr/>
                <a:graphic xmlns:a="http://schemas.openxmlformats.org/drawingml/2006/main">
                  <a:graphicData uri="http://schemas.microsoft.com/office/word/2010/wordprocessingShape">
                    <wps:wsp>
                      <wps:cNvSpPr txBox="1"/>
                      <wps:spPr>
                        <a:xfrm>
                          <a:off x="0" y="0"/>
                          <a:ext cx="381000" cy="285750"/>
                        </a:xfrm>
                        <a:prstGeom prst="rect">
                          <a:avLst/>
                        </a:prstGeom>
                        <a:noFill/>
                        <a:ln w="6350">
                          <a:noFill/>
                        </a:ln>
                      </wps:spPr>
                      <wps:txbx>
                        <w:txbxContent>
                          <w:p w14:paraId="12AD225A"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w:t>
                            </w:r>
                            <w:r>
                              <w:rPr>
                                <w:rFonts w:ascii="Times New Roman" w:hAnsi="Times New Roman" w:cs="Times New Roman"/>
                              </w:rPr>
                              <w:t>2</w:t>
                            </w:r>
                            <w:r w:rsidRPr="00757ADC">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286C2" id="Caixa de Texto 8" o:spid="_x0000_s1027" type="#_x0000_t202" style="position:absolute;left:0;text-align:left;margin-left:413.25pt;margin-top:21.75pt;width:30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" filled="f" stroked="f" strokeweight=".5pt">
                <v:textbox>
                  <w:txbxContent>
                    <w:p w14:paraId="12AD225A"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w:t>
                      </w:r>
                      <w:r>
                        <w:rPr>
                          <w:rFonts w:ascii="Times New Roman" w:hAnsi="Times New Roman" w:cs="Times New Roman"/>
                        </w:rPr>
                        <w:t>2</w:t>
                      </w:r>
                      <w:r w:rsidRPr="00757ADC">
                        <w:rPr>
                          <w:rFonts w:ascii="Times New Roman" w:hAnsi="Times New Roman" w:cs="Times New Roman"/>
                        </w:rPr>
                        <w:t>)</w:t>
                      </w:r>
                    </w:p>
                  </w:txbxContent>
                </v:textbox>
              </v:shape>
            </w:pict>
          </mc:Fallback>
        </mc:AlternateContent>
      </w:r>
      <w:r w:rsidRPr="002132F9">
        <w:rPr>
          <w:rFonts w:ascii="TimesNewRomanPSMT" w:hAnsi="TimesNewRomanPSMT"/>
          <w:color w:val="000000"/>
          <w:sz w:val="24"/>
          <w:szCs w:val="24"/>
        </w:rPr>
        <w:t>probabilidade de não praticar a pendularidade. Desta forma, pode-se escrever:</w:t>
      </w:r>
    </w:p>
    <w:p w14:paraId="3BA88C17" w14:textId="77777777" w:rsidR="00E37F5B" w:rsidRDefault="00000000" w:rsidP="00E37F5B">
      <w:pPr>
        <w:tabs>
          <w:tab w:val="left" w:pos="709"/>
        </w:tabs>
        <w:spacing w:after="0" w:line="360" w:lineRule="auto"/>
        <w:jc w:val="center"/>
        <w:rPr>
          <w:rFonts w:ascii="TimesNewRomanPSMT" w:hAnsi="TimesNewRomanPSMT"/>
          <w:color w:val="000000"/>
          <w:sz w:val="24"/>
          <w:szCs w:val="24"/>
        </w:rPr>
      </w:pPr>
      <m:oMathPara>
        <m:oMath>
          <m:f>
            <m:fPr>
              <m:ctrlPr>
                <w:rPr>
                  <w:rFonts w:ascii="Cambria Math" w:hAnsi="Cambria Math"/>
                  <w:i/>
                  <w:color w:val="000000"/>
                  <w:sz w:val="24"/>
                  <w:szCs w:val="24"/>
                </w:rPr>
              </m:ctrlPr>
            </m:fPr>
            <m:num>
              <m:r>
                <w:rPr>
                  <w:rFonts w:ascii="Cambria Math" w:hAnsi="Cambria Math"/>
                  <w:color w:val="000000"/>
                  <w:sz w:val="24"/>
                  <w:szCs w:val="24"/>
                </w:rPr>
                <m:t>Pi</m:t>
              </m:r>
            </m:num>
            <m:den>
              <m:r>
                <w:rPr>
                  <w:rFonts w:ascii="Cambria Math" w:hAnsi="Cambria Math"/>
                  <w:color w:val="000000"/>
                  <w:sz w:val="24"/>
                  <w:szCs w:val="24"/>
                </w:rPr>
                <m:t>1-Pi</m:t>
              </m:r>
            </m:den>
          </m:f>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1</m:t>
              </m:r>
            </m:num>
            <m:den>
              <m:r>
                <w:rPr>
                  <w:rFonts w:ascii="Cambria Math" w:hAnsi="Cambria Math"/>
                  <w:color w:val="000000"/>
                  <w:sz w:val="24"/>
                  <w:szCs w:val="24"/>
                </w:rPr>
                <m:t>1+</m:t>
              </m:r>
              <m:sSup>
                <m:sSupPr>
                  <m:ctrlPr>
                    <w:rPr>
                      <w:rFonts w:ascii="Cambria Math" w:hAnsi="Cambria Math"/>
                      <w:i/>
                      <w:color w:val="000000"/>
                      <w:sz w:val="24"/>
                      <w:szCs w:val="24"/>
                    </w:rPr>
                  </m:ctrlPr>
                </m:sSupPr>
                <m:e>
                  <m:r>
                    <w:rPr>
                      <w:rFonts w:ascii="Cambria Math" w:hAnsi="Cambria Math"/>
                      <w:color w:val="000000"/>
                      <w:sz w:val="24"/>
                      <w:szCs w:val="24"/>
                    </w:rPr>
                    <m:t>e</m:t>
                  </m:r>
                </m:e>
                <m:sup>
                  <m:r>
                    <w:rPr>
                      <w:rFonts w:ascii="Cambria Math" w:hAnsi="Cambria Math"/>
                      <w:color w:val="000000"/>
                      <w:sz w:val="24"/>
                      <w:szCs w:val="24"/>
                    </w:rPr>
                    <m:t>-β'Xi</m:t>
                  </m:r>
                </m:sup>
              </m:sSup>
            </m:den>
          </m:f>
        </m:oMath>
      </m:oMathPara>
    </w:p>
    <w:p w14:paraId="4C13189C" w14:textId="77777777" w:rsidR="00E37F5B"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noProof/>
          <w:color w:val="000000"/>
          <w:sz w:val="24"/>
          <w:szCs w:val="24"/>
        </w:rPr>
        <mc:AlternateContent>
          <mc:Choice Requires="wps">
            <w:drawing>
              <wp:anchor distT="0" distB="0" distL="114300" distR="114300" simplePos="0" relativeHeight="251664384" behindDoc="0" locked="0" layoutInCell="1" allowOverlap="1" wp14:anchorId="1F2D6781" wp14:editId="3386DEAC">
                <wp:simplePos x="0" y="0"/>
                <wp:positionH relativeFrom="column">
                  <wp:posOffset>5257800</wp:posOffset>
                </wp:positionH>
                <wp:positionV relativeFrom="paragraph">
                  <wp:posOffset>346075</wp:posOffset>
                </wp:positionV>
                <wp:extent cx="381000" cy="285750"/>
                <wp:effectExtent l="0" t="0" r="0" b="0"/>
                <wp:wrapNone/>
                <wp:docPr id="9" name="Caixa de Texto 9"/>
                <wp:cNvGraphicFramePr/>
                <a:graphic xmlns:a="http://schemas.openxmlformats.org/drawingml/2006/main">
                  <a:graphicData uri="http://schemas.microsoft.com/office/word/2010/wordprocessingShape">
                    <wps:wsp>
                      <wps:cNvSpPr txBox="1"/>
                      <wps:spPr>
                        <a:xfrm>
                          <a:off x="0" y="0"/>
                          <a:ext cx="381000" cy="285750"/>
                        </a:xfrm>
                        <a:prstGeom prst="rect">
                          <a:avLst/>
                        </a:prstGeom>
                        <a:noFill/>
                        <a:ln w="6350">
                          <a:noFill/>
                        </a:ln>
                      </wps:spPr>
                      <wps:txbx>
                        <w:txbxContent>
                          <w:p w14:paraId="34C87D3B"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w:t>
                            </w:r>
                            <w:r>
                              <w:rPr>
                                <w:rFonts w:ascii="Times New Roman" w:hAnsi="Times New Roman" w:cs="Times New Roman"/>
                              </w:rPr>
                              <w:t>3</w:t>
                            </w:r>
                            <w:r w:rsidRPr="00757ADC">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D6781" id="Caixa de Texto 9" o:spid="_x0000_s1028" type="#_x0000_t202" style="position:absolute;left:0;text-align:left;margin-left:414pt;margin-top:27.25pt;width:30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" filled="f" stroked="f" strokeweight=".5pt">
                <v:textbox>
                  <w:txbxContent>
                    <w:p w14:paraId="34C87D3B" w14:textId="77777777" w:rsidR="00E37F5B" w:rsidRPr="00757ADC" w:rsidRDefault="00E37F5B" w:rsidP="00E37F5B">
                      <w:pPr>
                        <w:rPr>
                          <w:rFonts w:ascii="Times New Roman" w:hAnsi="Times New Roman" w:cs="Times New Roman"/>
                        </w:rPr>
                      </w:pPr>
                      <w:r w:rsidRPr="00757ADC">
                        <w:rPr>
                          <w:rFonts w:ascii="Times New Roman" w:hAnsi="Times New Roman" w:cs="Times New Roman"/>
                        </w:rPr>
                        <w:t>(</w:t>
                      </w:r>
                      <w:r>
                        <w:rPr>
                          <w:rFonts w:ascii="Times New Roman" w:hAnsi="Times New Roman" w:cs="Times New Roman"/>
                        </w:rPr>
                        <w:t>3</w:t>
                      </w:r>
                      <w:r w:rsidRPr="00757ADC">
                        <w:rPr>
                          <w:rFonts w:ascii="Times New Roman" w:hAnsi="Times New Roman" w:cs="Times New Roman"/>
                        </w:rPr>
                        <w:t>)</w:t>
                      </w:r>
                    </w:p>
                  </w:txbxContent>
                </v:textbox>
              </v:shape>
            </w:pict>
          </mc:Fallback>
        </mc:AlternateContent>
      </w:r>
      <w:r>
        <w:rPr>
          <w:rFonts w:ascii="TimesNewRomanPSMT" w:hAnsi="TimesNewRomanPSMT"/>
          <w:color w:val="000000"/>
          <w:sz w:val="24"/>
          <w:szCs w:val="24"/>
        </w:rPr>
        <w:tab/>
      </w:r>
      <w:r w:rsidRPr="002132F9">
        <w:rPr>
          <w:rFonts w:ascii="TimesNewRomanPSMT" w:hAnsi="TimesNewRomanPSMT"/>
          <w:color w:val="000000"/>
          <w:sz w:val="24"/>
          <w:szCs w:val="24"/>
        </w:rPr>
        <w:t>Tomando-se o logaritmo natural de (2), obtêm-se o seguinte modelo Logit:</w:t>
      </w:r>
    </w:p>
    <w:p w14:paraId="13A3F2BD" w14:textId="77777777" w:rsidR="00E37F5B" w:rsidRDefault="00E37F5B" w:rsidP="00E37F5B">
      <w:pPr>
        <w:tabs>
          <w:tab w:val="left" w:pos="709"/>
        </w:tabs>
        <w:spacing w:after="0" w:line="360" w:lineRule="auto"/>
        <w:jc w:val="both"/>
        <w:rPr>
          <w:rFonts w:ascii="TimesNewRomanPSMT" w:hAnsi="TimesNewRomanPSMT"/>
          <w:color w:val="000000"/>
          <w:sz w:val="24"/>
          <w:szCs w:val="24"/>
        </w:rPr>
      </w:pPr>
      <m:oMathPara>
        <m:oMath>
          <m:r>
            <w:rPr>
              <w:rFonts w:ascii="Cambria Math" w:hAnsi="Cambria Math"/>
              <w:color w:val="000000"/>
              <w:sz w:val="24"/>
              <w:szCs w:val="24"/>
            </w:rPr>
            <m:t>Li=</m:t>
          </m:r>
          <m:func>
            <m:funcPr>
              <m:ctrlPr>
                <w:rPr>
                  <w:rFonts w:ascii="Cambria Math" w:hAnsi="Cambria Math"/>
                  <w:color w:val="000000"/>
                  <w:sz w:val="24"/>
                  <w:szCs w:val="24"/>
                </w:rPr>
              </m:ctrlPr>
            </m:funcPr>
            <m:fName>
              <m:r>
                <m:rPr>
                  <m:sty m:val="p"/>
                </m:rPr>
                <w:rPr>
                  <w:rFonts w:ascii="Cambria Math" w:hAnsi="Cambria Math"/>
                  <w:color w:val="000000"/>
                  <w:sz w:val="24"/>
                  <w:szCs w:val="24"/>
                </w:rPr>
                <m:t>ln</m:t>
              </m:r>
            </m:fName>
            <m:e>
              <m:d>
                <m:dPr>
                  <m:ctrlPr>
                    <w:rPr>
                      <w:rFonts w:ascii="Cambria Math" w:hAnsi="Cambria Math"/>
                      <w:i/>
                      <w:color w:val="000000"/>
                      <w:sz w:val="24"/>
                      <w:szCs w:val="24"/>
                    </w:rPr>
                  </m:ctrlPr>
                </m:dPr>
                <m:e>
                  <m:f>
                    <m:fPr>
                      <m:ctrlPr>
                        <w:rPr>
                          <w:rFonts w:ascii="Cambria Math" w:hAnsi="Cambria Math"/>
                          <w:i/>
                          <w:color w:val="000000"/>
                          <w:sz w:val="24"/>
                          <w:szCs w:val="24"/>
                        </w:rPr>
                      </m:ctrlPr>
                    </m:fPr>
                    <m:num>
                      <m:r>
                        <w:rPr>
                          <w:rFonts w:ascii="Cambria Math" w:hAnsi="Cambria Math"/>
                          <w:color w:val="000000"/>
                          <w:sz w:val="24"/>
                          <w:szCs w:val="24"/>
                        </w:rPr>
                        <m:t>Pi</m:t>
                      </m:r>
                    </m:num>
                    <m:den>
                      <m:r>
                        <w:rPr>
                          <w:rFonts w:ascii="Cambria Math" w:hAnsi="Cambria Math"/>
                          <w:color w:val="000000"/>
                          <w:sz w:val="24"/>
                          <w:szCs w:val="24"/>
                        </w:rPr>
                        <m:t>1-Pi</m:t>
                      </m:r>
                    </m:den>
                  </m:f>
                </m:e>
              </m:d>
            </m:e>
          </m:func>
          <m:r>
            <w:rPr>
              <w:rFonts w:ascii="Cambria Math" w:hAnsi="Cambria Math"/>
              <w:color w:val="000000"/>
              <w:sz w:val="24"/>
              <w:szCs w:val="24"/>
            </w:rPr>
            <m:t xml:space="preserve">= </m:t>
          </m:r>
          <m:sSup>
            <m:sSupPr>
              <m:ctrlPr>
                <w:rPr>
                  <w:rFonts w:ascii="Cambria Math" w:hAnsi="Cambria Math"/>
                  <w:i/>
                  <w:color w:val="000000"/>
                  <w:sz w:val="24"/>
                  <w:szCs w:val="24"/>
                </w:rPr>
              </m:ctrlPr>
            </m:sSupPr>
            <m:e>
              <m:r>
                <w:rPr>
                  <w:rFonts w:ascii="Cambria Math" w:hAnsi="Cambria Math"/>
                  <w:color w:val="000000"/>
                  <w:sz w:val="24"/>
                  <w:szCs w:val="24"/>
                </w:rPr>
                <m:t>β</m:t>
              </m:r>
            </m:e>
            <m:sup>
              <m:r>
                <w:rPr>
                  <w:rFonts w:ascii="Cambria Math" w:hAnsi="Cambria Math"/>
                  <w:color w:val="000000"/>
                  <w:sz w:val="24"/>
                  <w:szCs w:val="24"/>
                </w:rPr>
                <m:t>'</m:t>
              </m:r>
            </m:sup>
          </m:sSup>
          <m:r>
            <w:rPr>
              <w:rFonts w:ascii="Cambria Math" w:hAnsi="Cambria Math"/>
              <w:color w:val="000000"/>
              <w:sz w:val="24"/>
              <w:szCs w:val="24"/>
            </w:rPr>
            <m:t>Xi+Ui</m:t>
          </m:r>
        </m:oMath>
      </m:oMathPara>
    </w:p>
    <w:p w14:paraId="2CA3D19D" w14:textId="5F247C3B" w:rsidR="00E37F5B" w:rsidRDefault="00E37F5B" w:rsidP="00E37F5B">
      <w:pPr>
        <w:rPr>
          <w:rFonts w:ascii="TimesNewRomanPSMT" w:hAnsi="TimesNewRomanPSMT"/>
          <w:color w:val="000000"/>
          <w:sz w:val="24"/>
          <w:szCs w:val="24"/>
        </w:rPr>
      </w:pPr>
      <w:r w:rsidRPr="00267440">
        <w:rPr>
          <w:rFonts w:ascii="TimesNewRomanPSMT" w:hAnsi="TimesNewRomanPSMT"/>
          <w:color w:val="000000"/>
          <w:sz w:val="24"/>
          <w:szCs w:val="24"/>
        </w:rPr>
        <w:t xml:space="preserve">em que Li é o logaritmo da razão de chances e </w:t>
      </w:r>
      <w:r w:rsidRPr="00267440">
        <w:rPr>
          <w:rFonts w:ascii="Cambria Math" w:hAnsi="Cambria Math" w:cs="Cambria Math"/>
          <w:color w:val="000000"/>
          <w:sz w:val="24"/>
          <w:szCs w:val="24"/>
        </w:rPr>
        <w:t>𝑈𝑖</w:t>
      </w:r>
      <w:r w:rsidRPr="00267440">
        <w:rPr>
          <w:rFonts w:ascii="TimesNewRomanPSMT" w:hAnsi="TimesNewRomanPSMT"/>
          <w:color w:val="000000"/>
          <w:sz w:val="24"/>
          <w:szCs w:val="24"/>
        </w:rPr>
        <w:t xml:space="preserve"> o termo de erro.</w:t>
      </w:r>
    </w:p>
    <w:p w14:paraId="52DFE78C" w14:textId="74B38122" w:rsidR="00E37F5B" w:rsidRPr="00267440" w:rsidRDefault="00E37F5B" w:rsidP="00E37F5B">
      <w:pPr>
        <w:tabs>
          <w:tab w:val="left" w:pos="709"/>
        </w:tabs>
        <w:spacing w:after="0" w:line="360" w:lineRule="auto"/>
        <w:jc w:val="both"/>
        <w:rPr>
          <w:rFonts w:ascii="TimesNewRomanPSMT" w:hAnsi="TimesNewRomanPSMT"/>
          <w:color w:val="000000"/>
          <w:sz w:val="24"/>
          <w:szCs w:val="24"/>
        </w:rPr>
      </w:pPr>
      <w:r>
        <w:rPr>
          <w:rFonts w:ascii="TimesNewRomanPSMT" w:hAnsi="TimesNewRomanPSMT"/>
          <w:color w:val="000000"/>
          <w:sz w:val="24"/>
          <w:szCs w:val="24"/>
        </w:rPr>
        <w:tab/>
      </w:r>
      <w:r w:rsidRPr="00267440">
        <w:rPr>
          <w:rFonts w:ascii="TimesNewRomanPSMT" w:hAnsi="TimesNewRomanPSMT"/>
          <w:color w:val="000000"/>
          <w:sz w:val="24"/>
          <w:szCs w:val="24"/>
        </w:rPr>
        <w:t>Para estimação adequada dos parâmetros, o modelo será estimado pelo Método de</w:t>
      </w:r>
    </w:p>
    <w:p w14:paraId="15BEC6DE" w14:textId="72C2C8D6" w:rsidR="00E37F5B" w:rsidRPr="00E37F5B" w:rsidRDefault="00E37F5B" w:rsidP="00E37F5B">
      <w:r w:rsidRPr="00E63185">
        <w:rPr>
          <w:rFonts w:ascii="Times New Roman" w:hAnsi="Times New Roman" w:cs="Times New Roman"/>
          <w:color w:val="000000"/>
          <w:sz w:val="24"/>
          <w:szCs w:val="24"/>
        </w:rPr>
        <w:t>M</w:t>
      </w:r>
      <w:r w:rsidRPr="00E63185">
        <w:rPr>
          <w:rFonts w:ascii="Times New Roman" w:hAnsi="Times New Roman" w:cs="Times New Roman" w:hint="eastAsia"/>
          <w:color w:val="000000"/>
          <w:sz w:val="24"/>
          <w:szCs w:val="24"/>
        </w:rPr>
        <w:t>á</w:t>
      </w:r>
      <w:r w:rsidRPr="00E63185">
        <w:rPr>
          <w:rFonts w:ascii="Times New Roman" w:hAnsi="Times New Roman" w:cs="Times New Roman"/>
          <w:color w:val="000000"/>
          <w:sz w:val="24"/>
          <w:szCs w:val="24"/>
        </w:rPr>
        <w:t>xima Verossimilhan</w:t>
      </w:r>
      <w:r w:rsidRPr="00E63185">
        <w:rPr>
          <w:rFonts w:ascii="Times New Roman" w:hAnsi="Times New Roman" w:cs="Times New Roman" w:hint="eastAsia"/>
          <w:color w:val="000000"/>
          <w:sz w:val="24"/>
          <w:szCs w:val="24"/>
        </w:rPr>
        <w:t>ç</w:t>
      </w:r>
      <w:r w:rsidRPr="00E63185">
        <w:rPr>
          <w:rFonts w:ascii="Times New Roman" w:hAnsi="Times New Roman" w:cs="Times New Roman"/>
          <w:color w:val="000000"/>
          <w:sz w:val="24"/>
          <w:szCs w:val="24"/>
        </w:rPr>
        <w:t>a.</w:t>
      </w:r>
    </w:p>
    <w:p w14:paraId="5121B337" w14:textId="0EF56643" w:rsidR="002B08C0" w:rsidRPr="005150E1" w:rsidRDefault="002B08C0" w:rsidP="00CB082C">
      <w:pPr>
        <w:pStyle w:val="PargrafodaLista"/>
        <w:spacing w:after="0" w:line="36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5150E1">
        <w:rPr>
          <w:rFonts w:ascii="Times New Roman" w:eastAsiaTheme="minorEastAsia" w:hAnsi="Times New Roman" w:cs="Times New Roman"/>
          <w:sz w:val="24"/>
          <w:szCs w:val="24"/>
        </w:rPr>
        <w:t xml:space="preserve">.2.1.1 Razão de chances </w:t>
      </w:r>
    </w:p>
    <w:p w14:paraId="47A039FA" w14:textId="213231BB" w:rsidR="002B08C0" w:rsidRPr="005150E1" w:rsidRDefault="002B08C0" w:rsidP="00E37F5B">
      <w:pPr>
        <w:spacing w:after="0" w:line="360" w:lineRule="auto"/>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ab/>
        <w:t>De acordo com Vaz (2020), uma forma bem intuitiva de se fazer a interpretação é em termos de razão de chances, ao invés de quantidade de logit. A razão de chances é dada pelo quociente entre a chance de ocorrer um determinado evento para dois grupos. No caso deste trabalho, busca-se analisar o quociente de chances de participação no mercado de trabalho para mulheres com e sem filhos</w:t>
      </w:r>
      <w:r w:rsidR="00E37F5B">
        <w:rPr>
          <w:rFonts w:ascii="Times New Roman" w:eastAsiaTheme="minorEastAsia" w:hAnsi="Times New Roman" w:cs="Times New Roman"/>
          <w:sz w:val="24"/>
          <w:szCs w:val="24"/>
        </w:rPr>
        <w:t>.</w:t>
      </w:r>
    </w:p>
    <w:p w14:paraId="04C9D811" w14:textId="5F3CBE5A" w:rsidR="002B08C0" w:rsidRPr="005150E1" w:rsidRDefault="002B08C0" w:rsidP="00D2794C">
      <w:pPr>
        <w:spacing w:after="0" w:line="360" w:lineRule="auto"/>
        <w:ind w:firstLine="708"/>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Desta maneira a razão de chances ou em inglês </w:t>
      </w:r>
      <w:r w:rsidRPr="005150E1">
        <w:rPr>
          <w:rFonts w:ascii="Times New Roman" w:eastAsiaTheme="minorEastAsia" w:hAnsi="Times New Roman" w:cs="Times New Roman"/>
          <w:i/>
          <w:iCs/>
          <w:sz w:val="24"/>
          <w:szCs w:val="24"/>
        </w:rPr>
        <w:t>odds ration</w:t>
      </w:r>
      <w:r w:rsidRPr="005150E1">
        <w:rPr>
          <w:rFonts w:ascii="Times New Roman" w:eastAsiaTheme="minorEastAsia" w:hAnsi="Times New Roman" w:cs="Times New Roman"/>
          <w:sz w:val="24"/>
          <w:szCs w:val="24"/>
        </w:rPr>
        <w:t>, é dada por:</w:t>
      </w:r>
    </w:p>
    <w:p w14:paraId="225E0EF2" w14:textId="30343E09" w:rsidR="002B08C0" w:rsidRPr="005150E1" w:rsidRDefault="002B08C0" w:rsidP="00D2794C">
      <w:pPr>
        <w:spacing w:after="0" w:line="360" w:lineRule="auto"/>
        <w:ind w:left="708" w:firstLine="708"/>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OR=</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e>
            </m:d>
            <m:r>
              <w:rPr>
                <w:rFonts w:ascii="Cambria Math" w:eastAsiaTheme="minorEastAsia" w:hAnsi="Cambria Math" w:cs="Times New Roman"/>
                <w:sz w:val="24"/>
                <w:szCs w:val="24"/>
              </w:rPr>
              <m:t>[1-π</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π</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[1-π</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den>
        </m:f>
      </m:oMath>
      <w:r w:rsidRPr="005150E1">
        <w:rPr>
          <w:rFonts w:ascii="Times New Roman" w:eastAsiaTheme="minorEastAsia" w:hAnsi="Times New Roman" w:cs="Times New Roman"/>
          <w:sz w:val="24"/>
          <w:szCs w:val="24"/>
        </w:rPr>
        <w:t xml:space="preserve">                                                                                      (0</w:t>
      </w:r>
      <w:r w:rsidR="00E37F5B">
        <w:rPr>
          <w:rFonts w:ascii="Times New Roman" w:eastAsiaTheme="minorEastAsia" w:hAnsi="Times New Roman" w:cs="Times New Roman"/>
          <w:sz w:val="24"/>
          <w:szCs w:val="24"/>
        </w:rPr>
        <w:t>4</w:t>
      </w:r>
      <w:r w:rsidRPr="005150E1">
        <w:rPr>
          <w:rFonts w:ascii="Times New Roman" w:eastAsiaTheme="minorEastAsia" w:hAnsi="Times New Roman" w:cs="Times New Roman"/>
          <w:sz w:val="24"/>
          <w:szCs w:val="24"/>
        </w:rPr>
        <w:t>)</w:t>
      </w:r>
    </w:p>
    <w:p w14:paraId="0D701A48" w14:textId="77777777" w:rsidR="002B08C0" w:rsidRPr="005150E1" w:rsidRDefault="002B08C0" w:rsidP="002B08C0">
      <w:pPr>
        <w:spacing w:after="0" w:line="360" w:lineRule="auto"/>
        <w:ind w:firstLine="708"/>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Onde se OR &lt; 1sugere uma redução na probabilidade de o evento ocorrer; se OR=1, aponta que a probabilidade do evento ocorrer e não ocorrer </w:t>
      </w:r>
      <w:r>
        <w:rPr>
          <w:rFonts w:ascii="Times New Roman" w:eastAsiaTheme="minorEastAsia" w:hAnsi="Times New Roman" w:cs="Times New Roman"/>
          <w:sz w:val="24"/>
          <w:szCs w:val="24"/>
        </w:rPr>
        <w:t xml:space="preserve">é a </w:t>
      </w:r>
      <w:r w:rsidRPr="005150E1">
        <w:rPr>
          <w:rFonts w:ascii="Times New Roman" w:eastAsiaTheme="minorEastAsia" w:hAnsi="Times New Roman" w:cs="Times New Roman"/>
          <w:sz w:val="24"/>
          <w:szCs w:val="24"/>
        </w:rPr>
        <w:t>mesma e por fim se, OR &gt; 1</w:t>
      </w:r>
      <w:r>
        <w:rPr>
          <w:rFonts w:ascii="Times New Roman" w:eastAsiaTheme="minorEastAsia" w:hAnsi="Times New Roman" w:cs="Times New Roman"/>
          <w:sz w:val="24"/>
          <w:szCs w:val="24"/>
        </w:rPr>
        <w:t xml:space="preserve"> </w:t>
      </w:r>
      <w:r w:rsidRPr="005150E1">
        <w:rPr>
          <w:rFonts w:ascii="Times New Roman" w:eastAsiaTheme="minorEastAsia" w:hAnsi="Times New Roman" w:cs="Times New Roman"/>
          <w:sz w:val="24"/>
          <w:szCs w:val="24"/>
        </w:rPr>
        <w:t>insinua que as chances de o evento analisado ocorrer é superior ao caso contrário.</w:t>
      </w:r>
    </w:p>
    <w:p w14:paraId="3A9ABE7E" w14:textId="68548510" w:rsidR="002B08C0" w:rsidRPr="005150E1" w:rsidRDefault="002B08C0" w:rsidP="006349B2">
      <w:pPr>
        <w:spacing w:after="0" w:line="360" w:lineRule="auto"/>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ab/>
        <w:t xml:space="preserve">Neste trabalho, o modelo logístico foi estimado </w:t>
      </w:r>
      <w:r w:rsidR="006349B2">
        <w:rPr>
          <w:rFonts w:ascii="Times New Roman" w:eastAsiaTheme="minorEastAsia" w:hAnsi="Times New Roman" w:cs="Times New Roman"/>
          <w:sz w:val="24"/>
          <w:szCs w:val="24"/>
        </w:rPr>
        <w:t>considerando a</w:t>
      </w:r>
      <w:r w:rsidRPr="005150E1">
        <w:rPr>
          <w:rFonts w:ascii="Times New Roman" w:eastAsiaTheme="minorEastAsia" w:hAnsi="Times New Roman" w:cs="Times New Roman"/>
          <w:sz w:val="24"/>
          <w:szCs w:val="24"/>
        </w:rPr>
        <w:t xml:space="preserve"> </w:t>
      </w:r>
      <w:r w:rsidRPr="005150E1">
        <w:rPr>
          <w:rFonts w:ascii="Times New Roman" w:hAnsi="Times New Roman" w:cs="Times New Roman"/>
          <w:sz w:val="24"/>
          <w:szCs w:val="24"/>
        </w:rPr>
        <w:t>Partmerctrab, variável dependente binária,</w:t>
      </w:r>
      <w:r w:rsidR="006349B2">
        <w:rPr>
          <w:rFonts w:ascii="Times New Roman" w:hAnsi="Times New Roman" w:cs="Times New Roman"/>
          <w:sz w:val="24"/>
          <w:szCs w:val="24"/>
        </w:rPr>
        <w:t xml:space="preserve"> que</w:t>
      </w:r>
      <w:r w:rsidRPr="005150E1">
        <w:rPr>
          <w:rFonts w:ascii="Times New Roman" w:hAnsi="Times New Roman" w:cs="Times New Roman"/>
          <w:sz w:val="24"/>
          <w:szCs w:val="24"/>
        </w:rPr>
        <w:t xml:space="preserve"> </w:t>
      </w:r>
      <w:r w:rsidR="006349B2">
        <w:rPr>
          <w:rFonts w:ascii="Times New Roman" w:hAnsi="Times New Roman" w:cs="Times New Roman"/>
          <w:sz w:val="24"/>
          <w:szCs w:val="24"/>
        </w:rPr>
        <w:t xml:space="preserve">se </w:t>
      </w:r>
      <w:r w:rsidRPr="005150E1">
        <w:rPr>
          <w:rFonts w:ascii="Times New Roman" w:hAnsi="Times New Roman" w:cs="Times New Roman"/>
          <w:sz w:val="24"/>
          <w:szCs w:val="24"/>
        </w:rPr>
        <w:t>refere</w:t>
      </w:r>
      <w:r>
        <w:rPr>
          <w:rFonts w:ascii="Times New Roman" w:hAnsi="Times New Roman" w:cs="Times New Roman"/>
          <w:sz w:val="24"/>
          <w:szCs w:val="24"/>
        </w:rPr>
        <w:t xml:space="preserve"> à</w:t>
      </w:r>
      <w:r w:rsidRPr="005150E1">
        <w:rPr>
          <w:rFonts w:ascii="Times New Roman" w:hAnsi="Times New Roman" w:cs="Times New Roman"/>
          <w:sz w:val="24"/>
          <w:szCs w:val="24"/>
        </w:rPr>
        <w:t xml:space="preserve"> participaçã</w:t>
      </w:r>
      <w:r>
        <w:rPr>
          <w:rFonts w:ascii="Times New Roman" w:hAnsi="Times New Roman" w:cs="Times New Roman"/>
          <w:sz w:val="24"/>
          <w:szCs w:val="24"/>
        </w:rPr>
        <w:t xml:space="preserve">o </w:t>
      </w:r>
      <w:r w:rsidRPr="005150E1">
        <w:rPr>
          <w:rFonts w:ascii="Times New Roman" w:hAnsi="Times New Roman" w:cs="Times New Roman"/>
          <w:sz w:val="24"/>
          <w:szCs w:val="24"/>
        </w:rPr>
        <w:t xml:space="preserve">no mercado de trabalho;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oMath>
      <w:r w:rsidRPr="005150E1">
        <w:rPr>
          <w:rFonts w:ascii="Times New Roman" w:eastAsiaTheme="minorEastAsia" w:hAnsi="Times New Roman" w:cs="Times New Roman"/>
          <w:sz w:val="24"/>
          <w:szCs w:val="24"/>
        </w:rPr>
        <w:t xml:space="preserve"> é o intercepto;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r>
          <w:rPr>
            <w:rFonts w:ascii="Cambria Math" w:hAnsi="Cambria Math" w:cs="Times New Roman"/>
            <w:sz w:val="24"/>
            <w:szCs w:val="24"/>
          </w:rPr>
          <m:t xml:space="preserve"> </m:t>
        </m:r>
      </m:oMath>
      <w:r w:rsidRPr="005150E1">
        <w:rPr>
          <w:rFonts w:ascii="Times New Roman" w:eastAsiaTheme="minorEastAsia" w:hAnsi="Times New Roman" w:cs="Times New Roman"/>
          <w:sz w:val="24"/>
          <w:szCs w:val="24"/>
        </w:rPr>
        <w:t>são os parâmetros do modelo e as variáveis associadas a estes são as variáveis explicativas do modelo</w:t>
      </w:r>
      <w:r w:rsidR="00FE3920">
        <w:rPr>
          <w:rFonts w:ascii="Times New Roman" w:eastAsiaTheme="minorEastAsia" w:hAnsi="Times New Roman" w:cs="Times New Roman"/>
          <w:sz w:val="24"/>
          <w:szCs w:val="24"/>
        </w:rPr>
        <w:t xml:space="preserve"> (</w:t>
      </w:r>
      <w:r w:rsidR="00FE3920" w:rsidRPr="005150E1">
        <w:rPr>
          <w:rFonts w:ascii="Times New Roman" w:eastAsiaTheme="minorEastAsia" w:hAnsi="Times New Roman" w:cs="Times New Roman"/>
          <w:sz w:val="24"/>
          <w:szCs w:val="24"/>
        </w:rPr>
        <w:t>cfilho, ccomp, preta, parda, indígena, amarela, idade, idade</w:t>
      </w:r>
      <w:r w:rsidR="00FE3920" w:rsidRPr="005150E1">
        <w:rPr>
          <w:rFonts w:ascii="Times New Roman" w:eastAsiaTheme="minorEastAsia" w:hAnsi="Times New Roman" w:cs="Times New Roman"/>
          <w:sz w:val="24"/>
          <w:szCs w:val="24"/>
          <w:vertAlign w:val="superscript"/>
        </w:rPr>
        <w:t>2</w:t>
      </w:r>
      <w:r w:rsidR="00FE3920" w:rsidRPr="005150E1">
        <w:rPr>
          <w:rFonts w:ascii="Times New Roman" w:eastAsiaTheme="minorEastAsia" w:hAnsi="Times New Roman" w:cs="Times New Roman"/>
          <w:sz w:val="24"/>
          <w:szCs w:val="24"/>
        </w:rPr>
        <w:t>, fundcom medin, medcom supin, supcom, Norte, Nordeste, Sul e Centro-oeste</w:t>
      </w:r>
      <w:r w:rsidR="00FE3920">
        <w:rPr>
          <w:rFonts w:ascii="Times New Roman" w:eastAsiaTheme="minorEastAsia" w:hAnsi="Times New Roman" w:cs="Times New Roman"/>
          <w:sz w:val="24"/>
          <w:szCs w:val="24"/>
        </w:rPr>
        <w:t>)</w:t>
      </w:r>
      <w:r w:rsidRPr="005150E1">
        <w:rPr>
          <w:rFonts w:ascii="Times New Roman" w:eastAsiaTheme="minorEastAsia" w:hAnsi="Times New Roman" w:cs="Times New Roman"/>
          <w:sz w:val="24"/>
          <w:szCs w:val="24"/>
        </w:rPr>
        <w:t>, que serão descritas no Quadro 1.</w:t>
      </w:r>
    </w:p>
    <w:p w14:paraId="5D8AB194" w14:textId="7BDDC19E" w:rsidR="002B08C0" w:rsidRPr="005150E1" w:rsidRDefault="00FC6F42" w:rsidP="00D2794C">
      <w:pPr>
        <w:pStyle w:val="PargrafodaLista"/>
        <w:spacing w:after="0" w:line="360" w:lineRule="auto"/>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2B08C0" w:rsidRPr="005150E1">
        <w:rPr>
          <w:rFonts w:ascii="Times New Roman" w:eastAsiaTheme="minorEastAsia" w:hAnsi="Times New Roman" w:cs="Times New Roman"/>
          <w:sz w:val="24"/>
          <w:szCs w:val="24"/>
        </w:rPr>
        <w:t>.2.2 Maternidade e o salário – Modelo Minceriano</w:t>
      </w:r>
    </w:p>
    <w:p w14:paraId="0EFDF58B" w14:textId="32775CC2" w:rsidR="002B08C0" w:rsidRPr="005150E1" w:rsidRDefault="002B08C0" w:rsidP="00515F0A">
      <w:pPr>
        <w:spacing w:after="0" w:line="360" w:lineRule="auto"/>
        <w:ind w:firstLine="709"/>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A segunda etapa da análise é verificar se o fato de ser mãe impacta no seu salário. Para tanto, este trabalho utilizou-se do modelo proposto por Mincer (197</w:t>
      </w:r>
      <w:r w:rsidR="008A64C8">
        <w:rPr>
          <w:rFonts w:ascii="Times New Roman" w:eastAsiaTheme="minorEastAsia" w:hAnsi="Times New Roman" w:cs="Times New Roman"/>
          <w:sz w:val="24"/>
          <w:szCs w:val="24"/>
        </w:rPr>
        <w:t>8</w:t>
      </w:r>
      <w:r w:rsidRPr="005150E1">
        <w:rPr>
          <w:rFonts w:ascii="Times New Roman" w:eastAsiaTheme="minorEastAsia" w:hAnsi="Times New Roman" w:cs="Times New Roman"/>
          <w:sz w:val="24"/>
          <w:szCs w:val="24"/>
        </w:rPr>
        <w:t xml:space="preserve">), em que se busca analisar </w:t>
      </w:r>
      <w:r w:rsidRPr="005150E1">
        <w:rPr>
          <w:rFonts w:ascii="Times New Roman" w:eastAsiaTheme="minorEastAsia" w:hAnsi="Times New Roman" w:cs="Times New Roman"/>
          <w:sz w:val="24"/>
          <w:szCs w:val="24"/>
        </w:rPr>
        <w:lastRenderedPageBreak/>
        <w:t>a associação existente entre o salário do indivíduo e variáveis produtivas como capital humano. Assim a equação minceriana, denominada assim devido ao nome de seu criador, é descrita da seguinte forma:</w:t>
      </w:r>
    </w:p>
    <w:p w14:paraId="022E81EA" w14:textId="4BDBB3D6" w:rsidR="002B08C0" w:rsidRPr="005150E1" w:rsidRDefault="002B08C0" w:rsidP="00515F0A">
      <w:pPr>
        <w:spacing w:after="0" w:line="360" w:lineRule="auto"/>
        <w:ind w:firstLine="708"/>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lnW=</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3</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t>
            </m:r>
          </m:e>
          <m:sub>
            <m:r>
              <w:rPr>
                <w:rFonts w:ascii="Cambria Math" w:eastAsiaTheme="minorEastAsia" w:hAnsi="Cambria Math" w:cs="Times New Roman"/>
                <w:sz w:val="24"/>
                <w:szCs w:val="24"/>
              </w:rPr>
              <m:t>i</m:t>
            </m:r>
          </m:sub>
        </m:sSub>
      </m:oMath>
      <w:r w:rsidRPr="005150E1">
        <w:rPr>
          <w:rFonts w:ascii="Times New Roman" w:eastAsiaTheme="minorEastAsia" w:hAnsi="Times New Roman" w:cs="Times New Roman"/>
          <w:sz w:val="24"/>
          <w:szCs w:val="24"/>
        </w:rPr>
        <w:t xml:space="preserve">                                                                           </w:t>
      </w:r>
    </w:p>
    <w:p w14:paraId="4D3A9160" w14:textId="6D09D3B4" w:rsidR="002B08C0" w:rsidRPr="005150E1" w:rsidRDefault="0028054E" w:rsidP="002B08C0">
      <w:pPr>
        <w:spacing w:after="0" w:line="360" w:lineRule="auto"/>
        <w:ind w:firstLine="708"/>
        <w:jc w:val="both"/>
        <w:rPr>
          <w:rFonts w:ascii="Times New Roman" w:eastAsiaTheme="minorEastAsia"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A2ADDBA" wp14:editId="7F9FDE17">
                <wp:simplePos x="0" y="0"/>
                <wp:positionH relativeFrom="column">
                  <wp:posOffset>5281930</wp:posOffset>
                </wp:positionH>
                <wp:positionV relativeFrom="paragraph">
                  <wp:posOffset>-380365</wp:posOffset>
                </wp:positionV>
                <wp:extent cx="542925" cy="342900"/>
                <wp:effectExtent l="0" t="0" r="0" b="0"/>
                <wp:wrapNone/>
                <wp:docPr id="7" name="Caixa de Texto 7"/>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46E5AAAF" w14:textId="09018C1E" w:rsidR="002B08C0" w:rsidRPr="00806794" w:rsidRDefault="002B08C0" w:rsidP="002B08C0">
                            <w:pPr>
                              <w:rPr>
                                <w:rFonts w:ascii="Times New Roman" w:hAnsi="Times New Roman" w:cs="Times New Roman"/>
                                <w:sz w:val="24"/>
                                <w:szCs w:val="24"/>
                              </w:rPr>
                            </w:pPr>
                            <w:r>
                              <w:rPr>
                                <w:rFonts w:ascii="Times New Roman" w:hAnsi="Times New Roman" w:cs="Times New Roman"/>
                                <w:sz w:val="24"/>
                                <w:szCs w:val="24"/>
                              </w:rPr>
                              <w:t>(0</w:t>
                            </w:r>
                            <w:r w:rsidR="00E37F5B">
                              <w:rPr>
                                <w:rFonts w:ascii="Times New Roman" w:hAnsi="Times New Roman" w:cs="Times New Roman"/>
                                <w:sz w:val="24"/>
                                <w:szCs w:val="24"/>
                              </w:rPr>
                              <w:t>5</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ADDBA" id="Caixa de Texto 7" o:spid="_x0000_s1029" type="#_x0000_t202" style="position:absolute;left:0;text-align:left;margin-left:415.9pt;margin-top:-29.95pt;width:42.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" filled="f" stroked="f" strokeweight=".5pt">
                <v:textbox>
                  <w:txbxContent>
                    <w:p w14:paraId="46E5AAAF" w14:textId="09018C1E" w:rsidR="002B08C0" w:rsidRPr="00806794" w:rsidRDefault="002B08C0" w:rsidP="002B08C0">
                      <w:pPr>
                        <w:rPr>
                          <w:rFonts w:ascii="Times New Roman" w:hAnsi="Times New Roman" w:cs="Times New Roman"/>
                          <w:sz w:val="24"/>
                          <w:szCs w:val="24"/>
                        </w:rPr>
                      </w:pPr>
                      <w:r>
                        <w:rPr>
                          <w:rFonts w:ascii="Times New Roman" w:hAnsi="Times New Roman" w:cs="Times New Roman"/>
                          <w:sz w:val="24"/>
                          <w:szCs w:val="24"/>
                        </w:rPr>
                        <w:t>(0</w:t>
                      </w:r>
                      <w:r w:rsidR="00E37F5B">
                        <w:rPr>
                          <w:rFonts w:ascii="Times New Roman" w:hAnsi="Times New Roman" w:cs="Times New Roman"/>
                          <w:sz w:val="24"/>
                          <w:szCs w:val="24"/>
                        </w:rPr>
                        <w:t>5</w:t>
                      </w:r>
                      <w:r>
                        <w:rPr>
                          <w:rFonts w:ascii="Times New Roman" w:hAnsi="Times New Roman" w:cs="Times New Roman"/>
                          <w:sz w:val="24"/>
                          <w:szCs w:val="24"/>
                        </w:rPr>
                        <w:t>)</w:t>
                      </w:r>
                    </w:p>
                  </w:txbxContent>
                </v:textbox>
              </v:shape>
            </w:pict>
          </mc:Fallback>
        </mc:AlternateContent>
      </w:r>
      <w:r w:rsidR="002B08C0" w:rsidRPr="005150E1">
        <w:rPr>
          <w:rFonts w:ascii="Times New Roman" w:eastAsiaTheme="minorEastAsia" w:hAnsi="Times New Roman" w:cs="Times New Roman"/>
          <w:sz w:val="24"/>
          <w:szCs w:val="24"/>
        </w:rPr>
        <w:t xml:space="preserve">Em que </w:t>
      </w:r>
      <m:oMath>
        <m:r>
          <w:rPr>
            <w:rFonts w:ascii="Cambria Math" w:eastAsiaTheme="minorEastAsia" w:hAnsi="Cambria Math" w:cs="Times New Roman"/>
            <w:sz w:val="24"/>
            <w:szCs w:val="24"/>
          </w:rPr>
          <m:t>lnW</m:t>
        </m:r>
      </m:oMath>
      <w:r w:rsidR="002B08C0" w:rsidRPr="005150E1">
        <w:rPr>
          <w:rFonts w:ascii="Times New Roman" w:eastAsiaTheme="minorEastAsia" w:hAnsi="Times New Roman" w:cs="Times New Roman"/>
          <w:sz w:val="24"/>
          <w:szCs w:val="24"/>
        </w:rPr>
        <w:t xml:space="preserve">é o regressando e refere-se ao logaritmo natural da variável salário dos indivíduos; β, são os parâmetros do modelo; E, corresponde aos anos de estudos do indivíduo; T concerne ao tempo de experiência no mercado de trabalho em anos;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oMath>
      <w:r w:rsidR="002B08C0" w:rsidRPr="005150E1">
        <w:rPr>
          <w:rFonts w:ascii="Times New Roman" w:eastAsiaTheme="minorEastAsia" w:hAnsi="Times New Roman" w:cs="Times New Roman"/>
          <w:sz w:val="24"/>
          <w:szCs w:val="24"/>
        </w:rPr>
        <w:t xml:space="preserve"> se refere ao retorno de longo prazo do tempo de experiência e, por fim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w:r w:rsidR="002B08C0" w:rsidRPr="005150E1">
        <w:rPr>
          <w:rFonts w:ascii="Times New Roman" w:eastAsiaTheme="minorEastAsia" w:hAnsi="Times New Roman" w:cs="Times New Roman"/>
          <w:sz w:val="24"/>
          <w:szCs w:val="24"/>
        </w:rPr>
        <w:t xml:space="preserve"> é um vetor constituído pelas características pessoais do trabalhador</w:t>
      </w:r>
      <w:r w:rsidR="002B08C0" w:rsidRPr="005150E1">
        <w:rPr>
          <w:rFonts w:ascii="Times New Roman" w:eastAsiaTheme="minorEastAsia" w:hAnsi="Times New Roman" w:cs="Times New Roman"/>
        </w:rPr>
        <w:t xml:space="preserve"> (BACCHI, </w:t>
      </w:r>
      <w:r w:rsidR="002B08C0" w:rsidRPr="005150E1">
        <w:rPr>
          <w:rFonts w:ascii="Times New Roman" w:eastAsiaTheme="minorEastAsia" w:hAnsi="Times New Roman" w:cs="Times New Roman"/>
          <w:i/>
          <w:iCs/>
        </w:rPr>
        <w:t>et al</w:t>
      </w:r>
      <w:r w:rsidR="002B08C0" w:rsidRPr="005150E1">
        <w:rPr>
          <w:rFonts w:ascii="Times New Roman" w:eastAsiaTheme="minorEastAsia" w:hAnsi="Times New Roman" w:cs="Times New Roman"/>
        </w:rPr>
        <w:t>, 2017).</w:t>
      </w:r>
    </w:p>
    <w:p w14:paraId="5024822A" w14:textId="01BAFC72" w:rsidR="002B08C0" w:rsidRPr="005150E1" w:rsidRDefault="002B08C0" w:rsidP="00FE3920">
      <w:pPr>
        <w:spacing w:after="0" w:line="360" w:lineRule="auto"/>
        <w:ind w:firstLine="708"/>
        <w:jc w:val="both"/>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Neste estudo, o modelo foi estimado </w:t>
      </w:r>
      <w:r w:rsidR="00FE3920">
        <w:rPr>
          <w:rFonts w:ascii="Times New Roman" w:eastAsiaTheme="minorEastAsia" w:hAnsi="Times New Roman" w:cs="Times New Roman"/>
          <w:sz w:val="24"/>
          <w:szCs w:val="24"/>
        </w:rPr>
        <w:t xml:space="preserve">considerando </w:t>
      </w:r>
      <w:r w:rsidRPr="005150E1">
        <w:rPr>
          <w:rFonts w:ascii="Times New Roman" w:eastAsiaTheme="minorEastAsia" w:hAnsi="Times New Roman" w:cs="Times New Roman"/>
          <w:sz w:val="24"/>
          <w:szCs w:val="24"/>
        </w:rPr>
        <w:t xml:space="preserve">a variável dependente </w:t>
      </w:r>
      <w:r w:rsidRPr="005150E1">
        <w:rPr>
          <w:rFonts w:ascii="Cambria Math" w:eastAsiaTheme="minorEastAsia" w:hAnsi="Cambria Math" w:cs="Times New Roman"/>
          <w:i/>
          <w:sz w:val="24"/>
          <w:szCs w:val="24"/>
        </w:rPr>
        <w:t xml:space="preserve"> </w:t>
      </w:r>
      <m:oMath>
        <m:r>
          <w:rPr>
            <w:rFonts w:ascii="Cambria Math" w:eastAsiaTheme="minorEastAsia" w:hAnsi="Cambria Math" w:cs="Times New Roman"/>
            <w:sz w:val="24"/>
            <w:szCs w:val="24"/>
          </w:rPr>
          <m:t>lnW</m:t>
        </m:r>
      </m:oMath>
      <w:r w:rsidRPr="005150E1">
        <w:rPr>
          <w:rFonts w:ascii="Times New Roman" w:eastAsiaTheme="minorEastAsia" w:hAnsi="Times New Roman" w:cs="Times New Roman"/>
          <w:sz w:val="24"/>
          <w:szCs w:val="24"/>
        </w:rPr>
        <w:t>; e as variáveis explicativas do salário hora da mulher: cfilho, ccomp, preta, parda, indígena, amarela, idade, idade</w:t>
      </w:r>
      <w:r w:rsidRPr="005150E1">
        <w:rPr>
          <w:rFonts w:ascii="Times New Roman" w:eastAsiaTheme="minorEastAsia" w:hAnsi="Times New Roman" w:cs="Times New Roman"/>
          <w:sz w:val="24"/>
          <w:szCs w:val="24"/>
          <w:vertAlign w:val="superscript"/>
        </w:rPr>
        <w:t>2</w:t>
      </w:r>
      <w:r w:rsidRPr="005150E1">
        <w:rPr>
          <w:rFonts w:ascii="Times New Roman" w:eastAsiaTheme="minorEastAsia" w:hAnsi="Times New Roman" w:cs="Times New Roman"/>
          <w:sz w:val="24"/>
          <w:szCs w:val="24"/>
        </w:rPr>
        <w:t>, fundcom medin, medcom supin, supcom, Norte, Nordeste, Sul e Centro-oeste, conforme descritas no Quadro 1.</w:t>
      </w:r>
    </w:p>
    <w:p w14:paraId="23A27295" w14:textId="1DC05646" w:rsidR="002B08C0" w:rsidRPr="005150E1" w:rsidRDefault="00347BA0" w:rsidP="005077D8">
      <w:pPr>
        <w:pStyle w:val="PargrafodaLista"/>
        <w:spacing w:after="0" w:line="360" w:lineRule="auto"/>
        <w:ind w:left="360"/>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2</w:t>
      </w:r>
      <w:r w:rsidR="002B08C0" w:rsidRPr="005150E1">
        <w:rPr>
          <w:rFonts w:ascii="Times New Roman" w:eastAsiaTheme="minorEastAsia" w:hAnsi="Times New Roman" w:cs="Times New Roman"/>
          <w:b/>
          <w:bCs/>
          <w:sz w:val="24"/>
          <w:szCs w:val="24"/>
        </w:rPr>
        <w:t xml:space="preserve">.3 Variáveis </w:t>
      </w:r>
      <w:r w:rsidR="005077D8">
        <w:rPr>
          <w:rFonts w:ascii="Times New Roman" w:eastAsiaTheme="minorEastAsia" w:hAnsi="Times New Roman" w:cs="Times New Roman"/>
          <w:b/>
          <w:bCs/>
          <w:sz w:val="24"/>
          <w:szCs w:val="24"/>
        </w:rPr>
        <w:t>C</w:t>
      </w:r>
      <w:r w:rsidR="002B08C0" w:rsidRPr="005150E1">
        <w:rPr>
          <w:rFonts w:ascii="Times New Roman" w:eastAsiaTheme="minorEastAsia" w:hAnsi="Times New Roman" w:cs="Times New Roman"/>
          <w:b/>
          <w:bCs/>
          <w:sz w:val="24"/>
          <w:szCs w:val="24"/>
        </w:rPr>
        <w:t xml:space="preserve">onsideradas na </w:t>
      </w:r>
      <w:r w:rsidR="005077D8">
        <w:rPr>
          <w:rFonts w:ascii="Times New Roman" w:eastAsiaTheme="minorEastAsia" w:hAnsi="Times New Roman" w:cs="Times New Roman"/>
          <w:b/>
          <w:bCs/>
          <w:sz w:val="24"/>
          <w:szCs w:val="24"/>
        </w:rPr>
        <w:t>P</w:t>
      </w:r>
      <w:r w:rsidR="002B08C0" w:rsidRPr="005150E1">
        <w:rPr>
          <w:rFonts w:ascii="Times New Roman" w:eastAsiaTheme="minorEastAsia" w:hAnsi="Times New Roman" w:cs="Times New Roman"/>
          <w:b/>
          <w:bCs/>
          <w:sz w:val="24"/>
          <w:szCs w:val="24"/>
        </w:rPr>
        <w:t>esquisa</w:t>
      </w:r>
    </w:p>
    <w:p w14:paraId="2A127221" w14:textId="48446B04" w:rsidR="002B08C0" w:rsidRPr="005077D8" w:rsidRDefault="002B08C0" w:rsidP="005077D8">
      <w:pPr>
        <w:spacing w:after="0" w:line="360" w:lineRule="auto"/>
        <w:ind w:firstLine="709"/>
        <w:jc w:val="both"/>
        <w:rPr>
          <w:rFonts w:ascii="Times New Roman" w:hAnsi="Times New Roman" w:cs="Times New Roman"/>
          <w:sz w:val="24"/>
          <w:szCs w:val="24"/>
        </w:rPr>
      </w:pPr>
      <w:r w:rsidRPr="005150E1">
        <w:rPr>
          <w:rFonts w:ascii="Times New Roman" w:eastAsiaTheme="minorEastAsia" w:hAnsi="Times New Roman" w:cs="Times New Roman"/>
          <w:sz w:val="24"/>
          <w:szCs w:val="24"/>
        </w:rPr>
        <w:t xml:space="preserve">A presente pesquisa procurou analisar a participação da mulher no mercado de trabalho e os determinantes do </w:t>
      </w:r>
      <w:r w:rsidR="005077D8">
        <w:rPr>
          <w:rFonts w:ascii="Times New Roman" w:eastAsiaTheme="minorEastAsia" w:hAnsi="Times New Roman" w:cs="Times New Roman"/>
          <w:sz w:val="24"/>
          <w:szCs w:val="24"/>
        </w:rPr>
        <w:t xml:space="preserve">seu </w:t>
      </w:r>
      <w:r w:rsidRPr="005150E1">
        <w:rPr>
          <w:rFonts w:ascii="Times New Roman" w:eastAsiaTheme="minorEastAsia" w:hAnsi="Times New Roman" w:cs="Times New Roman"/>
          <w:sz w:val="24"/>
          <w:szCs w:val="24"/>
        </w:rPr>
        <w:t>salário</w:t>
      </w:r>
      <w:r w:rsidR="005077D8" w:rsidRPr="005150E1">
        <w:rPr>
          <w:rFonts w:ascii="Times New Roman" w:eastAsiaTheme="minorEastAsia" w:hAnsi="Times New Roman" w:cs="Times New Roman"/>
          <w:sz w:val="24"/>
          <w:szCs w:val="24"/>
        </w:rPr>
        <w:t xml:space="preserve">, </w:t>
      </w:r>
      <w:r w:rsidR="005077D8">
        <w:rPr>
          <w:rFonts w:ascii="Times New Roman" w:eastAsiaTheme="minorEastAsia" w:hAnsi="Times New Roman" w:cs="Times New Roman"/>
          <w:sz w:val="24"/>
          <w:szCs w:val="24"/>
        </w:rPr>
        <w:t xml:space="preserve">as variáveis utilizadas nos modelos econométricos </w:t>
      </w:r>
      <w:r w:rsidRPr="005150E1">
        <w:rPr>
          <w:rFonts w:ascii="Times New Roman" w:eastAsiaTheme="minorEastAsia" w:hAnsi="Times New Roman" w:cs="Times New Roman"/>
          <w:sz w:val="24"/>
          <w:szCs w:val="24"/>
        </w:rPr>
        <w:t>estão apresentadas no Quadro 1</w:t>
      </w:r>
      <w:r w:rsidR="00F97436">
        <w:rPr>
          <w:rFonts w:ascii="Times New Roman" w:eastAsiaTheme="minorEastAsia" w:hAnsi="Times New Roman" w:cs="Times New Roman"/>
          <w:sz w:val="24"/>
          <w:szCs w:val="24"/>
        </w:rPr>
        <w:t xml:space="preserve">, onde </w:t>
      </w:r>
      <w:r w:rsidR="00F97436" w:rsidRPr="005150E1">
        <w:rPr>
          <w:rFonts w:ascii="Times New Roman" w:eastAsiaTheme="minorEastAsia" w:hAnsi="Times New Roman" w:cs="Times New Roman"/>
          <w:sz w:val="24"/>
          <w:szCs w:val="24"/>
        </w:rPr>
        <w:t>a</w:t>
      </w:r>
      <w:r w:rsidR="00F97436">
        <w:rPr>
          <w:rFonts w:ascii="Times New Roman" w:eastAsiaTheme="minorEastAsia" w:hAnsi="Times New Roman" w:cs="Times New Roman"/>
          <w:sz w:val="24"/>
          <w:szCs w:val="24"/>
        </w:rPr>
        <w:t xml:space="preserve"> variável</w:t>
      </w:r>
      <w:r w:rsidR="00F97436" w:rsidRPr="005150E1">
        <w:rPr>
          <w:rFonts w:ascii="Times New Roman" w:eastAsiaTheme="minorEastAsia" w:hAnsi="Times New Roman" w:cs="Times New Roman"/>
          <w:sz w:val="24"/>
          <w:szCs w:val="24"/>
        </w:rPr>
        <w:t xml:space="preserve"> Partmerctrab é a variável </w:t>
      </w:r>
      <w:r w:rsidR="00F97436">
        <w:rPr>
          <w:rFonts w:ascii="Times New Roman" w:eastAsiaTheme="minorEastAsia" w:hAnsi="Times New Roman" w:cs="Times New Roman"/>
          <w:sz w:val="24"/>
          <w:szCs w:val="24"/>
        </w:rPr>
        <w:t xml:space="preserve">dependente </w:t>
      </w:r>
      <w:r w:rsidR="00F97436" w:rsidRPr="005150E1">
        <w:rPr>
          <w:rFonts w:ascii="Times New Roman" w:eastAsiaTheme="minorEastAsia" w:hAnsi="Times New Roman" w:cs="Times New Roman"/>
          <w:sz w:val="24"/>
          <w:szCs w:val="24"/>
        </w:rPr>
        <w:t>da regressão logística e a segunda, Lnw, refere-se a variável dependente utilizada na equação salarial de minc</w:t>
      </w:r>
      <w:r w:rsidR="00F97436">
        <w:rPr>
          <w:rFonts w:ascii="Times New Roman" w:eastAsiaTheme="minorEastAsia" w:hAnsi="Times New Roman" w:cs="Times New Roman"/>
          <w:sz w:val="24"/>
          <w:szCs w:val="24"/>
        </w:rPr>
        <w:t>eria.</w:t>
      </w:r>
      <w:r w:rsidRPr="005150E1">
        <w:rPr>
          <w:rFonts w:ascii="Times New Roman" w:eastAsiaTheme="minorEastAsia" w:hAnsi="Times New Roman" w:cs="Times New Roman"/>
          <w:sz w:val="24"/>
          <w:szCs w:val="24"/>
        </w:rPr>
        <w:t xml:space="preserve">                            </w:t>
      </w:r>
    </w:p>
    <w:p w14:paraId="20B13814" w14:textId="77777777" w:rsidR="002B08C0" w:rsidRPr="002042AD" w:rsidRDefault="002B08C0" w:rsidP="002042AD">
      <w:pPr>
        <w:spacing w:after="0" w:line="360" w:lineRule="auto"/>
        <w:ind w:firstLine="708"/>
        <w:jc w:val="center"/>
        <w:rPr>
          <w:rFonts w:ascii="Times New Roman" w:eastAsiaTheme="minorEastAsia" w:hAnsi="Times New Roman" w:cs="Times New Roman"/>
          <w:b/>
          <w:bCs/>
          <w:sz w:val="24"/>
          <w:szCs w:val="24"/>
        </w:rPr>
      </w:pPr>
      <w:r w:rsidRPr="002042AD">
        <w:rPr>
          <w:rFonts w:ascii="Times New Roman" w:eastAsiaTheme="minorEastAsia" w:hAnsi="Times New Roman" w:cs="Times New Roman"/>
          <w:b/>
          <w:bCs/>
          <w:sz w:val="24"/>
          <w:szCs w:val="24"/>
        </w:rPr>
        <w:t>Quadro 1 – Variáveis consideradas na pesquisa</w:t>
      </w:r>
    </w:p>
    <w:tbl>
      <w:tblPr>
        <w:tblStyle w:val="Tabelacomgrade"/>
        <w:tblW w:w="9028" w:type="dxa"/>
        <w:tblLook w:val="04A0" w:firstRow="1" w:lastRow="0" w:firstColumn="1" w:lastColumn="0" w:noHBand="0" w:noVBand="1"/>
      </w:tblPr>
      <w:tblGrid>
        <w:gridCol w:w="1272"/>
        <w:gridCol w:w="1481"/>
        <w:gridCol w:w="1697"/>
        <w:gridCol w:w="4578"/>
      </w:tblGrid>
      <w:tr w:rsidR="002B08C0" w:rsidRPr="005150E1" w14:paraId="6902C9D8" w14:textId="77777777" w:rsidTr="002042AD">
        <w:trPr>
          <w:trHeight w:val="177"/>
        </w:trPr>
        <w:tc>
          <w:tcPr>
            <w:tcW w:w="0" w:type="auto"/>
            <w:gridSpan w:val="2"/>
          </w:tcPr>
          <w:p w14:paraId="49C113CF"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Variável</w:t>
            </w:r>
          </w:p>
        </w:tc>
        <w:tc>
          <w:tcPr>
            <w:tcW w:w="0" w:type="auto"/>
            <w:vAlign w:val="center"/>
          </w:tcPr>
          <w:p w14:paraId="0F21BD0D"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Nome</w:t>
            </w:r>
          </w:p>
        </w:tc>
        <w:tc>
          <w:tcPr>
            <w:tcW w:w="0" w:type="auto"/>
            <w:vAlign w:val="center"/>
          </w:tcPr>
          <w:p w14:paraId="1C5E4ED4"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Descrição</w:t>
            </w:r>
          </w:p>
        </w:tc>
      </w:tr>
      <w:tr w:rsidR="002B08C0" w:rsidRPr="005150E1" w14:paraId="05E4AB22" w14:textId="77777777" w:rsidTr="002042AD">
        <w:trPr>
          <w:cantSplit/>
          <w:trHeight w:val="285"/>
        </w:trPr>
        <w:tc>
          <w:tcPr>
            <w:tcW w:w="1231" w:type="dxa"/>
            <w:vMerge w:val="restart"/>
          </w:tcPr>
          <w:p w14:paraId="2B065177" w14:textId="77777777" w:rsidR="002B08C0" w:rsidRPr="005150E1" w:rsidRDefault="002B08C0" w:rsidP="002C7A0E">
            <w:pPr>
              <w:jc w:val="center"/>
              <w:rPr>
                <w:rFonts w:ascii="Times New Roman" w:hAnsi="Times New Roman" w:cs="Times New Roman"/>
                <w:b/>
                <w:bCs/>
                <w:sz w:val="20"/>
                <w:szCs w:val="20"/>
              </w:rPr>
            </w:pPr>
          </w:p>
          <w:p w14:paraId="2C700E95" w14:textId="77777777" w:rsidR="002B08C0" w:rsidRPr="005150E1" w:rsidRDefault="002B08C0" w:rsidP="002C7A0E">
            <w:pPr>
              <w:jc w:val="center"/>
              <w:rPr>
                <w:rFonts w:ascii="Times New Roman" w:hAnsi="Times New Roman" w:cs="Times New Roman"/>
                <w:b/>
                <w:bCs/>
                <w:sz w:val="20"/>
                <w:szCs w:val="20"/>
              </w:rPr>
            </w:pPr>
          </w:p>
          <w:p w14:paraId="61EC477D" w14:textId="77777777" w:rsidR="002B08C0" w:rsidRPr="005150E1" w:rsidRDefault="002B08C0" w:rsidP="002C7A0E">
            <w:pPr>
              <w:jc w:val="center"/>
              <w:rPr>
                <w:rFonts w:ascii="Times New Roman" w:hAnsi="Times New Roman" w:cs="Times New Roman"/>
                <w:b/>
                <w:bCs/>
                <w:sz w:val="20"/>
                <w:szCs w:val="20"/>
              </w:rPr>
            </w:pPr>
          </w:p>
          <w:p w14:paraId="407F6CB0" w14:textId="77777777" w:rsidR="002B08C0" w:rsidRPr="005150E1" w:rsidRDefault="002B08C0" w:rsidP="002C7A0E">
            <w:pPr>
              <w:jc w:val="center"/>
              <w:rPr>
                <w:rFonts w:ascii="Times New Roman" w:hAnsi="Times New Roman" w:cs="Times New Roman"/>
                <w:b/>
                <w:bCs/>
                <w:sz w:val="20"/>
                <w:szCs w:val="20"/>
              </w:rPr>
            </w:pPr>
          </w:p>
          <w:p w14:paraId="73797373" w14:textId="77777777" w:rsidR="002B08C0" w:rsidRPr="005150E1" w:rsidRDefault="002B08C0" w:rsidP="002C7A0E">
            <w:pPr>
              <w:rPr>
                <w:rFonts w:ascii="Times New Roman" w:hAnsi="Times New Roman" w:cs="Times New Roman"/>
                <w:b/>
                <w:bCs/>
                <w:sz w:val="20"/>
                <w:szCs w:val="20"/>
              </w:rPr>
            </w:pPr>
            <w:r w:rsidRPr="005150E1">
              <w:rPr>
                <w:rFonts w:ascii="Times New Roman" w:hAnsi="Times New Roman" w:cs="Times New Roman"/>
                <w:b/>
                <w:bCs/>
                <w:sz w:val="20"/>
                <w:szCs w:val="20"/>
              </w:rPr>
              <w:t xml:space="preserve">Variáveis dependentes </w:t>
            </w:r>
          </w:p>
          <w:p w14:paraId="154F08FA"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 xml:space="preserve"> </w:t>
            </w:r>
          </w:p>
        </w:tc>
        <w:tc>
          <w:tcPr>
            <w:tcW w:w="1481" w:type="dxa"/>
            <w:vAlign w:val="center"/>
          </w:tcPr>
          <w:p w14:paraId="14181E96" w14:textId="77777777" w:rsidR="002B08C0" w:rsidRPr="005150E1" w:rsidRDefault="002B08C0" w:rsidP="002C7A0E">
            <w:pPr>
              <w:jc w:val="center"/>
              <w:rPr>
                <w:rFonts w:ascii="Times New Roman" w:hAnsi="Times New Roman" w:cs="Times New Roman"/>
                <w:b/>
                <w:bCs/>
                <w:sz w:val="20"/>
                <w:szCs w:val="20"/>
              </w:rPr>
            </w:pPr>
            <w:bookmarkStart w:id="1" w:name="_Hlk110178967"/>
            <w:r w:rsidRPr="005150E1">
              <w:rPr>
                <w:rFonts w:ascii="Times New Roman" w:hAnsi="Times New Roman" w:cs="Times New Roman"/>
                <w:b/>
                <w:bCs/>
                <w:sz w:val="20"/>
                <w:szCs w:val="20"/>
              </w:rPr>
              <w:t>Partmerctrab</w:t>
            </w:r>
            <w:bookmarkEnd w:id="1"/>
          </w:p>
        </w:tc>
        <w:tc>
          <w:tcPr>
            <w:tcW w:w="0" w:type="auto"/>
            <w:vAlign w:val="center"/>
          </w:tcPr>
          <w:p w14:paraId="7C5A2A12"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Participação no mercado de trabalho</w:t>
            </w:r>
          </w:p>
        </w:tc>
        <w:tc>
          <w:tcPr>
            <w:tcW w:w="0" w:type="auto"/>
            <w:vAlign w:val="center"/>
          </w:tcPr>
          <w:p w14:paraId="4A78586A" w14:textId="4E61BD13" w:rsidR="002B08C0" w:rsidRPr="005150E1" w:rsidRDefault="002B08C0" w:rsidP="00347BA0">
            <w:pPr>
              <w:jc w:val="center"/>
              <w:rPr>
                <w:rFonts w:ascii="Times New Roman" w:hAnsi="Times New Roman" w:cs="Times New Roman"/>
                <w:sz w:val="20"/>
                <w:szCs w:val="20"/>
              </w:rPr>
            </w:pPr>
            <w:r w:rsidRPr="005150E1">
              <w:rPr>
                <w:rFonts w:ascii="Times New Roman" w:hAnsi="Times New Roman" w:cs="Times New Roman"/>
                <w:sz w:val="20"/>
                <w:szCs w:val="20"/>
              </w:rPr>
              <w:t>Representa a oferta de trabalho das mulheres (Condição de atividade). Assume valor 1 para aquelas que participam do mercado de trabalho e 0,</w:t>
            </w:r>
            <w:r w:rsidR="00347BA0">
              <w:rPr>
                <w:rFonts w:ascii="Times New Roman" w:hAnsi="Times New Roman" w:cs="Times New Roman"/>
                <w:sz w:val="20"/>
                <w:szCs w:val="20"/>
              </w:rPr>
              <w:t xml:space="preserve"> </w:t>
            </w:r>
            <w:r w:rsidRPr="005150E1">
              <w:rPr>
                <w:rFonts w:ascii="Times New Roman" w:hAnsi="Times New Roman" w:cs="Times New Roman"/>
                <w:sz w:val="20"/>
                <w:szCs w:val="20"/>
              </w:rPr>
              <w:t>caso contrário</w:t>
            </w:r>
          </w:p>
        </w:tc>
      </w:tr>
      <w:tr w:rsidR="002B08C0" w:rsidRPr="005150E1" w14:paraId="2AE421E9" w14:textId="77777777" w:rsidTr="002042AD">
        <w:trPr>
          <w:cantSplit/>
          <w:trHeight w:val="1068"/>
        </w:trPr>
        <w:tc>
          <w:tcPr>
            <w:tcW w:w="1231" w:type="dxa"/>
            <w:vMerge/>
          </w:tcPr>
          <w:p w14:paraId="3085FBEA" w14:textId="77777777" w:rsidR="002B08C0" w:rsidRPr="005150E1" w:rsidRDefault="002B08C0" w:rsidP="002C7A0E">
            <w:pPr>
              <w:jc w:val="center"/>
              <w:rPr>
                <w:rFonts w:ascii="Times New Roman" w:hAnsi="Times New Roman" w:cs="Times New Roman"/>
                <w:b/>
                <w:bCs/>
                <w:sz w:val="20"/>
                <w:szCs w:val="20"/>
              </w:rPr>
            </w:pPr>
          </w:p>
        </w:tc>
        <w:tc>
          <w:tcPr>
            <w:tcW w:w="1481" w:type="dxa"/>
            <w:vAlign w:val="center"/>
          </w:tcPr>
          <w:p w14:paraId="1F1DFB34" w14:textId="77777777" w:rsidR="002B08C0" w:rsidRPr="005150E1" w:rsidRDefault="002B08C0" w:rsidP="002C7A0E">
            <w:pPr>
              <w:jc w:val="center"/>
              <w:rPr>
                <w:rFonts w:ascii="Times New Roman" w:hAnsi="Times New Roman" w:cs="Times New Roman"/>
                <w:b/>
                <w:bCs/>
                <w:sz w:val="20"/>
                <w:szCs w:val="20"/>
              </w:rPr>
            </w:pPr>
            <w:bookmarkStart w:id="2" w:name="_Hlk110179015"/>
            <w:r w:rsidRPr="005150E1">
              <w:rPr>
                <w:rFonts w:ascii="Times New Roman" w:hAnsi="Times New Roman" w:cs="Times New Roman"/>
                <w:b/>
                <w:bCs/>
                <w:sz w:val="20"/>
                <w:szCs w:val="20"/>
              </w:rPr>
              <w:t>Lnw</w:t>
            </w:r>
            <w:bookmarkEnd w:id="2"/>
          </w:p>
        </w:tc>
        <w:tc>
          <w:tcPr>
            <w:tcW w:w="0" w:type="auto"/>
            <w:vAlign w:val="center"/>
          </w:tcPr>
          <w:p w14:paraId="5C3AC066"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Logaritmo do salário-hora</w:t>
            </w:r>
          </w:p>
        </w:tc>
        <w:tc>
          <w:tcPr>
            <w:tcW w:w="0" w:type="auto"/>
            <w:vAlign w:val="center"/>
          </w:tcPr>
          <w:p w14:paraId="54F3DFF8"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Refere-se aos rendimentos brutos salariais por hora das mulheres no Brasil em 2015</w:t>
            </w:r>
          </w:p>
        </w:tc>
      </w:tr>
      <w:tr w:rsidR="002B08C0" w:rsidRPr="005150E1" w14:paraId="783FD65E" w14:textId="77777777" w:rsidTr="002042AD">
        <w:trPr>
          <w:cantSplit/>
          <w:trHeight w:val="696"/>
        </w:trPr>
        <w:tc>
          <w:tcPr>
            <w:tcW w:w="1231" w:type="dxa"/>
            <w:vMerge w:val="restart"/>
          </w:tcPr>
          <w:p w14:paraId="0CF5A1F1" w14:textId="77777777" w:rsidR="002B08C0" w:rsidRPr="005150E1" w:rsidRDefault="002B08C0" w:rsidP="002C7A0E">
            <w:pPr>
              <w:jc w:val="center"/>
              <w:rPr>
                <w:rFonts w:ascii="Times New Roman" w:hAnsi="Times New Roman" w:cs="Times New Roman"/>
                <w:b/>
                <w:bCs/>
                <w:sz w:val="20"/>
                <w:szCs w:val="20"/>
              </w:rPr>
            </w:pPr>
          </w:p>
          <w:p w14:paraId="46525A2A" w14:textId="77777777" w:rsidR="002B08C0" w:rsidRPr="005150E1" w:rsidRDefault="002B08C0" w:rsidP="002C7A0E">
            <w:pPr>
              <w:jc w:val="center"/>
              <w:rPr>
                <w:rFonts w:ascii="Times New Roman" w:hAnsi="Times New Roman" w:cs="Times New Roman"/>
                <w:b/>
                <w:bCs/>
                <w:sz w:val="20"/>
                <w:szCs w:val="20"/>
              </w:rPr>
            </w:pPr>
          </w:p>
          <w:p w14:paraId="6059DF43" w14:textId="77777777" w:rsidR="002B08C0" w:rsidRPr="005150E1" w:rsidRDefault="002B08C0" w:rsidP="002C7A0E">
            <w:pPr>
              <w:jc w:val="center"/>
              <w:rPr>
                <w:rFonts w:ascii="Times New Roman" w:hAnsi="Times New Roman" w:cs="Times New Roman"/>
                <w:b/>
                <w:bCs/>
                <w:sz w:val="20"/>
                <w:szCs w:val="20"/>
              </w:rPr>
            </w:pPr>
          </w:p>
          <w:p w14:paraId="72D6FDA8" w14:textId="77777777" w:rsidR="002B08C0" w:rsidRPr="005150E1" w:rsidRDefault="002B08C0" w:rsidP="002C7A0E">
            <w:pPr>
              <w:jc w:val="center"/>
              <w:rPr>
                <w:rFonts w:ascii="Times New Roman" w:hAnsi="Times New Roman" w:cs="Times New Roman"/>
                <w:b/>
                <w:bCs/>
                <w:sz w:val="20"/>
                <w:szCs w:val="20"/>
              </w:rPr>
            </w:pPr>
          </w:p>
          <w:p w14:paraId="3CCDFA96" w14:textId="77777777" w:rsidR="002B08C0" w:rsidRPr="005150E1" w:rsidRDefault="002B08C0" w:rsidP="002C7A0E">
            <w:pPr>
              <w:jc w:val="center"/>
              <w:rPr>
                <w:rFonts w:ascii="Times New Roman" w:hAnsi="Times New Roman" w:cs="Times New Roman"/>
                <w:b/>
                <w:bCs/>
                <w:sz w:val="20"/>
                <w:szCs w:val="20"/>
              </w:rPr>
            </w:pPr>
          </w:p>
          <w:p w14:paraId="45131D57" w14:textId="77777777" w:rsidR="002B08C0" w:rsidRPr="005150E1" w:rsidRDefault="002B08C0" w:rsidP="002C7A0E">
            <w:pPr>
              <w:jc w:val="center"/>
              <w:rPr>
                <w:rFonts w:ascii="Times New Roman" w:hAnsi="Times New Roman" w:cs="Times New Roman"/>
                <w:b/>
                <w:bCs/>
                <w:sz w:val="20"/>
                <w:szCs w:val="20"/>
              </w:rPr>
            </w:pPr>
          </w:p>
          <w:p w14:paraId="09596C13" w14:textId="77777777" w:rsidR="002B08C0" w:rsidRPr="005150E1" w:rsidRDefault="002B08C0" w:rsidP="002C7A0E">
            <w:pPr>
              <w:jc w:val="center"/>
              <w:rPr>
                <w:rFonts w:ascii="Times New Roman" w:hAnsi="Times New Roman" w:cs="Times New Roman"/>
                <w:b/>
                <w:bCs/>
                <w:sz w:val="20"/>
                <w:szCs w:val="20"/>
              </w:rPr>
            </w:pPr>
          </w:p>
          <w:p w14:paraId="4693C3BC" w14:textId="77777777" w:rsidR="002B08C0" w:rsidRPr="005150E1" w:rsidRDefault="002B08C0" w:rsidP="002C7A0E">
            <w:pPr>
              <w:jc w:val="center"/>
              <w:rPr>
                <w:rFonts w:ascii="Times New Roman" w:hAnsi="Times New Roman" w:cs="Times New Roman"/>
                <w:b/>
                <w:bCs/>
                <w:sz w:val="20"/>
                <w:szCs w:val="20"/>
              </w:rPr>
            </w:pPr>
          </w:p>
          <w:p w14:paraId="2DC8CAEE" w14:textId="77777777" w:rsidR="002B08C0" w:rsidRPr="005150E1" w:rsidRDefault="002B08C0" w:rsidP="002C7A0E">
            <w:pPr>
              <w:jc w:val="center"/>
              <w:rPr>
                <w:rFonts w:ascii="Times New Roman" w:hAnsi="Times New Roman" w:cs="Times New Roman"/>
                <w:b/>
                <w:bCs/>
                <w:sz w:val="20"/>
                <w:szCs w:val="20"/>
              </w:rPr>
            </w:pPr>
          </w:p>
          <w:p w14:paraId="0B1DD8D1" w14:textId="77777777" w:rsidR="002B08C0" w:rsidRPr="005150E1" w:rsidRDefault="002B08C0" w:rsidP="002C7A0E">
            <w:pPr>
              <w:jc w:val="center"/>
              <w:rPr>
                <w:rFonts w:ascii="Times New Roman" w:hAnsi="Times New Roman" w:cs="Times New Roman"/>
                <w:b/>
                <w:bCs/>
                <w:sz w:val="20"/>
                <w:szCs w:val="20"/>
              </w:rPr>
            </w:pPr>
          </w:p>
          <w:p w14:paraId="131380ED" w14:textId="77777777" w:rsidR="002B08C0" w:rsidRPr="005150E1" w:rsidRDefault="002B08C0" w:rsidP="002C7A0E">
            <w:pPr>
              <w:jc w:val="center"/>
              <w:rPr>
                <w:rFonts w:ascii="Times New Roman" w:hAnsi="Times New Roman" w:cs="Times New Roman"/>
                <w:b/>
                <w:bCs/>
                <w:sz w:val="20"/>
                <w:szCs w:val="20"/>
              </w:rPr>
            </w:pPr>
          </w:p>
          <w:p w14:paraId="6E45C402" w14:textId="77777777" w:rsidR="002B08C0" w:rsidRPr="005150E1" w:rsidRDefault="002B08C0" w:rsidP="002C7A0E">
            <w:pPr>
              <w:jc w:val="center"/>
              <w:rPr>
                <w:rFonts w:ascii="Times New Roman" w:hAnsi="Times New Roman" w:cs="Times New Roman"/>
                <w:b/>
                <w:bCs/>
                <w:sz w:val="20"/>
                <w:szCs w:val="20"/>
              </w:rPr>
            </w:pPr>
          </w:p>
          <w:p w14:paraId="057D7E9C" w14:textId="77777777" w:rsidR="002B08C0" w:rsidRPr="005150E1" w:rsidRDefault="002B08C0" w:rsidP="002C7A0E">
            <w:pPr>
              <w:jc w:val="center"/>
              <w:rPr>
                <w:rFonts w:ascii="Times New Roman" w:hAnsi="Times New Roman" w:cs="Times New Roman"/>
                <w:b/>
                <w:bCs/>
                <w:sz w:val="20"/>
                <w:szCs w:val="20"/>
              </w:rPr>
            </w:pPr>
          </w:p>
          <w:p w14:paraId="3A6EE024" w14:textId="77777777" w:rsidR="002B08C0" w:rsidRPr="005150E1" w:rsidRDefault="002B08C0" w:rsidP="002C7A0E">
            <w:pPr>
              <w:jc w:val="center"/>
              <w:rPr>
                <w:rFonts w:ascii="Times New Roman" w:hAnsi="Times New Roman" w:cs="Times New Roman"/>
                <w:b/>
                <w:bCs/>
                <w:sz w:val="20"/>
                <w:szCs w:val="20"/>
              </w:rPr>
            </w:pPr>
          </w:p>
          <w:p w14:paraId="4A99AB21" w14:textId="77777777" w:rsidR="002B08C0" w:rsidRPr="005150E1" w:rsidRDefault="002B08C0" w:rsidP="002C7A0E">
            <w:pPr>
              <w:jc w:val="center"/>
              <w:rPr>
                <w:rFonts w:ascii="Times New Roman" w:hAnsi="Times New Roman" w:cs="Times New Roman"/>
                <w:b/>
                <w:bCs/>
                <w:sz w:val="20"/>
                <w:szCs w:val="20"/>
              </w:rPr>
            </w:pPr>
          </w:p>
          <w:p w14:paraId="0446F9F7" w14:textId="77777777" w:rsidR="002B08C0" w:rsidRPr="005150E1" w:rsidRDefault="002B08C0" w:rsidP="002C7A0E">
            <w:pPr>
              <w:jc w:val="center"/>
              <w:rPr>
                <w:rFonts w:ascii="Times New Roman" w:hAnsi="Times New Roman" w:cs="Times New Roman"/>
                <w:b/>
                <w:bCs/>
                <w:sz w:val="20"/>
                <w:szCs w:val="20"/>
              </w:rPr>
            </w:pPr>
          </w:p>
          <w:p w14:paraId="31F03E91"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 xml:space="preserve">Variáveis explicativas </w:t>
            </w:r>
          </w:p>
        </w:tc>
        <w:tc>
          <w:tcPr>
            <w:tcW w:w="1481" w:type="dxa"/>
            <w:vAlign w:val="center"/>
          </w:tcPr>
          <w:p w14:paraId="689CFF3D"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Idade</w:t>
            </w:r>
          </w:p>
        </w:tc>
        <w:tc>
          <w:tcPr>
            <w:tcW w:w="0" w:type="auto"/>
            <w:vAlign w:val="center"/>
          </w:tcPr>
          <w:p w14:paraId="69F8BAB3"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Idade</w:t>
            </w:r>
          </w:p>
        </w:tc>
        <w:tc>
          <w:tcPr>
            <w:tcW w:w="0" w:type="auto"/>
            <w:vAlign w:val="center"/>
          </w:tcPr>
          <w:p w14:paraId="061F4251"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 xml:space="preserve">Idade da mulher, restrita ao intervalo de </w:t>
            </w:r>
            <w:r>
              <w:rPr>
                <w:rFonts w:ascii="Times New Roman" w:hAnsi="Times New Roman" w:cs="Times New Roman"/>
                <w:sz w:val="20"/>
                <w:szCs w:val="20"/>
              </w:rPr>
              <w:t>16</w:t>
            </w:r>
            <w:r w:rsidRPr="005150E1">
              <w:rPr>
                <w:rFonts w:ascii="Times New Roman" w:hAnsi="Times New Roman" w:cs="Times New Roman"/>
                <w:sz w:val="20"/>
                <w:szCs w:val="20"/>
              </w:rPr>
              <w:t xml:space="preserve"> a 49 anos, neste intervalo de idade, são observadas as mais altas taxas de inserção no mercado de trabalho, a maioria dos indivíduos já atingiu sua escolaridade máxima e evita-se captar efeitos da aposentadoria precoce.</w:t>
            </w:r>
          </w:p>
        </w:tc>
      </w:tr>
      <w:tr w:rsidR="002B08C0" w:rsidRPr="005150E1" w14:paraId="5A51634F" w14:textId="77777777" w:rsidTr="002042AD">
        <w:trPr>
          <w:cantSplit/>
          <w:trHeight w:val="532"/>
        </w:trPr>
        <w:tc>
          <w:tcPr>
            <w:tcW w:w="1231" w:type="dxa"/>
            <w:vMerge/>
            <w:textDirection w:val="btLr"/>
          </w:tcPr>
          <w:p w14:paraId="440FD626"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2E974F57"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idade2</w:t>
            </w:r>
          </w:p>
        </w:tc>
        <w:tc>
          <w:tcPr>
            <w:tcW w:w="0" w:type="auto"/>
            <w:vAlign w:val="center"/>
          </w:tcPr>
          <w:p w14:paraId="7DCB86C8"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Idade ao quadrado</w:t>
            </w:r>
          </w:p>
        </w:tc>
        <w:tc>
          <w:tcPr>
            <w:tcW w:w="0" w:type="auto"/>
            <w:vAlign w:val="center"/>
          </w:tcPr>
          <w:p w14:paraId="03FEA01E"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Controle de característica individual</w:t>
            </w:r>
          </w:p>
        </w:tc>
      </w:tr>
      <w:tr w:rsidR="002B08C0" w:rsidRPr="005150E1" w14:paraId="68F41292" w14:textId="77777777" w:rsidTr="002042AD">
        <w:trPr>
          <w:cantSplit/>
          <w:trHeight w:val="738"/>
        </w:trPr>
        <w:tc>
          <w:tcPr>
            <w:tcW w:w="1231" w:type="dxa"/>
            <w:vMerge/>
            <w:textDirection w:val="btLr"/>
          </w:tcPr>
          <w:p w14:paraId="7F5BA151"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79489589"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Cfilho</w:t>
            </w:r>
          </w:p>
        </w:tc>
        <w:tc>
          <w:tcPr>
            <w:tcW w:w="0" w:type="auto"/>
            <w:vAlign w:val="center"/>
          </w:tcPr>
          <w:p w14:paraId="709DA55F"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Filho</w:t>
            </w:r>
          </w:p>
        </w:tc>
        <w:tc>
          <w:tcPr>
            <w:tcW w:w="0" w:type="auto"/>
            <w:vAlign w:val="center"/>
          </w:tcPr>
          <w:p w14:paraId="6ADE3069"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para a mulher que teve filho nascido vivo até a data de referência, e 0 caso contrário.</w:t>
            </w:r>
          </w:p>
        </w:tc>
      </w:tr>
      <w:tr w:rsidR="002B08C0" w:rsidRPr="005150E1" w14:paraId="2F3C22BC" w14:textId="77777777" w:rsidTr="002042AD">
        <w:trPr>
          <w:cantSplit/>
          <w:trHeight w:val="654"/>
        </w:trPr>
        <w:tc>
          <w:tcPr>
            <w:tcW w:w="1231" w:type="dxa"/>
            <w:vMerge/>
            <w:textDirection w:val="btLr"/>
          </w:tcPr>
          <w:p w14:paraId="76795090"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2714A93D"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Fundcom medin</w:t>
            </w:r>
          </w:p>
        </w:tc>
        <w:tc>
          <w:tcPr>
            <w:tcW w:w="0" w:type="auto"/>
            <w:vAlign w:val="center"/>
          </w:tcPr>
          <w:p w14:paraId="5EAD45A0"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Fundamental completo e médio incompleto</w:t>
            </w:r>
          </w:p>
        </w:tc>
        <w:tc>
          <w:tcPr>
            <w:tcW w:w="0" w:type="auto"/>
            <w:vAlign w:val="center"/>
          </w:tcPr>
          <w:p w14:paraId="3854FB5E"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para a mulher que tem fundamental completo e médio incompleto e 0 caso contrário.</w:t>
            </w:r>
          </w:p>
        </w:tc>
      </w:tr>
      <w:tr w:rsidR="002B08C0" w:rsidRPr="005150E1" w14:paraId="2FB5828D" w14:textId="77777777" w:rsidTr="002042AD">
        <w:trPr>
          <w:cantSplit/>
          <w:trHeight w:val="736"/>
        </w:trPr>
        <w:tc>
          <w:tcPr>
            <w:tcW w:w="1231" w:type="dxa"/>
            <w:vMerge/>
            <w:textDirection w:val="btLr"/>
          </w:tcPr>
          <w:p w14:paraId="310D5B1E"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686D590D"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eastAsia="Times New Roman" w:hAnsi="Times New Roman" w:cs="Times New Roman"/>
                <w:b/>
                <w:bCs/>
                <w:sz w:val="20"/>
                <w:szCs w:val="20"/>
                <w:lang w:eastAsia="pt-BR"/>
              </w:rPr>
              <w:t>Medcom supin</w:t>
            </w:r>
          </w:p>
        </w:tc>
        <w:tc>
          <w:tcPr>
            <w:tcW w:w="0" w:type="auto"/>
            <w:vAlign w:val="center"/>
          </w:tcPr>
          <w:p w14:paraId="45FE28AE"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Médio completo e superior incompleto</w:t>
            </w:r>
          </w:p>
        </w:tc>
        <w:tc>
          <w:tcPr>
            <w:tcW w:w="0" w:type="auto"/>
            <w:vAlign w:val="center"/>
          </w:tcPr>
          <w:p w14:paraId="426B76B3"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para a mulher que tem ensino médio completo e superior incompleto e 0 caso contrário.</w:t>
            </w:r>
          </w:p>
        </w:tc>
      </w:tr>
      <w:tr w:rsidR="002B08C0" w:rsidRPr="005150E1" w14:paraId="36F869C9" w14:textId="77777777" w:rsidTr="002042AD">
        <w:trPr>
          <w:cantSplit/>
          <w:trHeight w:val="900"/>
        </w:trPr>
        <w:tc>
          <w:tcPr>
            <w:tcW w:w="1231" w:type="dxa"/>
            <w:vMerge/>
            <w:textDirection w:val="btLr"/>
          </w:tcPr>
          <w:p w14:paraId="615E26AC"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73FE9150"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eastAsia="Times New Roman" w:hAnsi="Times New Roman" w:cs="Times New Roman"/>
                <w:b/>
                <w:bCs/>
                <w:sz w:val="20"/>
                <w:szCs w:val="20"/>
                <w:lang w:eastAsia="pt-BR"/>
              </w:rPr>
              <w:t>Supcom</w:t>
            </w:r>
          </w:p>
        </w:tc>
        <w:tc>
          <w:tcPr>
            <w:tcW w:w="0" w:type="auto"/>
            <w:vAlign w:val="center"/>
          </w:tcPr>
          <w:p w14:paraId="08199B6F"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Superior Completo</w:t>
            </w:r>
          </w:p>
        </w:tc>
        <w:tc>
          <w:tcPr>
            <w:tcW w:w="0" w:type="auto"/>
            <w:vAlign w:val="center"/>
          </w:tcPr>
          <w:p w14:paraId="596C9E0E"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para a mulher que tem escolaridade Superior Completo e 0 caso contrário.</w:t>
            </w:r>
          </w:p>
        </w:tc>
      </w:tr>
      <w:tr w:rsidR="002B08C0" w:rsidRPr="005150E1" w14:paraId="3F17F625" w14:textId="77777777" w:rsidTr="002042AD">
        <w:trPr>
          <w:cantSplit/>
          <w:trHeight w:val="581"/>
        </w:trPr>
        <w:tc>
          <w:tcPr>
            <w:tcW w:w="1231" w:type="dxa"/>
            <w:vMerge/>
            <w:textDirection w:val="btLr"/>
          </w:tcPr>
          <w:p w14:paraId="72FF10AB"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3E2F695B" w14:textId="77777777" w:rsidR="002B08C0" w:rsidRPr="005150E1" w:rsidRDefault="002B08C0" w:rsidP="002C7A0E">
            <w:pPr>
              <w:jc w:val="center"/>
              <w:rPr>
                <w:rFonts w:ascii="Times New Roman" w:hAnsi="Times New Roman" w:cs="Times New Roman"/>
                <w:b/>
                <w:bCs/>
                <w:sz w:val="20"/>
                <w:szCs w:val="20"/>
              </w:rPr>
            </w:pPr>
            <w:r>
              <w:rPr>
                <w:rFonts w:ascii="Times New Roman" w:hAnsi="Times New Roman" w:cs="Times New Roman"/>
                <w:b/>
                <w:bCs/>
                <w:sz w:val="20"/>
                <w:szCs w:val="20"/>
              </w:rPr>
              <w:t>Branco</w:t>
            </w:r>
          </w:p>
        </w:tc>
        <w:tc>
          <w:tcPr>
            <w:tcW w:w="0" w:type="auto"/>
            <w:vAlign w:val="center"/>
          </w:tcPr>
          <w:p w14:paraId="3BE99E00"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Branco (base)</w:t>
            </w:r>
          </w:p>
        </w:tc>
        <w:tc>
          <w:tcPr>
            <w:tcW w:w="0" w:type="auto"/>
            <w:vAlign w:val="center"/>
          </w:tcPr>
          <w:p w14:paraId="0C5F4CF4"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for branca e 0 caso contrário.</w:t>
            </w:r>
          </w:p>
        </w:tc>
      </w:tr>
      <w:tr w:rsidR="002B08C0" w:rsidRPr="005150E1" w14:paraId="66E70F03" w14:textId="77777777" w:rsidTr="002042AD">
        <w:trPr>
          <w:cantSplit/>
          <w:trHeight w:val="650"/>
        </w:trPr>
        <w:tc>
          <w:tcPr>
            <w:tcW w:w="1231" w:type="dxa"/>
            <w:vMerge/>
            <w:textDirection w:val="btLr"/>
          </w:tcPr>
          <w:p w14:paraId="154ACA8D"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71494648"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Preto</w:t>
            </w:r>
          </w:p>
        </w:tc>
        <w:tc>
          <w:tcPr>
            <w:tcW w:w="0" w:type="auto"/>
            <w:vAlign w:val="center"/>
          </w:tcPr>
          <w:p w14:paraId="231A27CD"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Preto</w:t>
            </w:r>
          </w:p>
        </w:tc>
        <w:tc>
          <w:tcPr>
            <w:tcW w:w="0" w:type="auto"/>
            <w:vAlign w:val="center"/>
          </w:tcPr>
          <w:p w14:paraId="3D75AFD3"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for preta e 0 caso contrário.</w:t>
            </w:r>
          </w:p>
        </w:tc>
      </w:tr>
      <w:tr w:rsidR="002B08C0" w:rsidRPr="005150E1" w14:paraId="661F4920" w14:textId="77777777" w:rsidTr="002042AD">
        <w:trPr>
          <w:cantSplit/>
          <w:trHeight w:val="579"/>
        </w:trPr>
        <w:tc>
          <w:tcPr>
            <w:tcW w:w="1231" w:type="dxa"/>
            <w:vMerge/>
            <w:textDirection w:val="btLr"/>
          </w:tcPr>
          <w:p w14:paraId="4937CC5E"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7CA809A9"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Pardo</w:t>
            </w:r>
          </w:p>
        </w:tc>
        <w:tc>
          <w:tcPr>
            <w:tcW w:w="0" w:type="auto"/>
            <w:vAlign w:val="center"/>
          </w:tcPr>
          <w:p w14:paraId="55879E97"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Pardo</w:t>
            </w:r>
          </w:p>
        </w:tc>
        <w:tc>
          <w:tcPr>
            <w:tcW w:w="0" w:type="auto"/>
            <w:vAlign w:val="center"/>
          </w:tcPr>
          <w:p w14:paraId="4EDBECFB"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for parda e 0 caso contrário.</w:t>
            </w:r>
          </w:p>
        </w:tc>
      </w:tr>
      <w:tr w:rsidR="002B08C0" w:rsidRPr="005150E1" w14:paraId="73A1B2F5" w14:textId="77777777" w:rsidTr="002042AD">
        <w:trPr>
          <w:cantSplit/>
          <w:trHeight w:val="579"/>
        </w:trPr>
        <w:tc>
          <w:tcPr>
            <w:tcW w:w="1231" w:type="dxa"/>
            <w:vMerge/>
            <w:textDirection w:val="btLr"/>
          </w:tcPr>
          <w:p w14:paraId="594538B3"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4F9D1054" w14:textId="77777777" w:rsidR="002B08C0" w:rsidRPr="005150E1" w:rsidRDefault="002B08C0" w:rsidP="002C7A0E">
            <w:pPr>
              <w:jc w:val="center"/>
              <w:rPr>
                <w:rFonts w:ascii="Times New Roman" w:hAnsi="Times New Roman" w:cs="Times New Roman"/>
                <w:b/>
                <w:bCs/>
                <w:sz w:val="20"/>
                <w:szCs w:val="20"/>
              </w:rPr>
            </w:pPr>
            <w:r>
              <w:rPr>
                <w:rFonts w:ascii="Times New Roman" w:hAnsi="Times New Roman" w:cs="Times New Roman"/>
                <w:b/>
                <w:bCs/>
                <w:sz w:val="20"/>
                <w:szCs w:val="20"/>
              </w:rPr>
              <w:t>Indígena</w:t>
            </w:r>
          </w:p>
        </w:tc>
        <w:tc>
          <w:tcPr>
            <w:tcW w:w="0" w:type="auto"/>
            <w:vAlign w:val="center"/>
          </w:tcPr>
          <w:p w14:paraId="57885688" w14:textId="77777777" w:rsidR="002B08C0" w:rsidRPr="005150E1" w:rsidRDefault="002B08C0" w:rsidP="002C7A0E">
            <w:pPr>
              <w:jc w:val="center"/>
              <w:rPr>
                <w:rFonts w:ascii="Times New Roman" w:hAnsi="Times New Roman" w:cs="Times New Roman"/>
                <w:sz w:val="20"/>
                <w:szCs w:val="20"/>
              </w:rPr>
            </w:pPr>
            <w:r>
              <w:rPr>
                <w:rFonts w:ascii="Times New Roman" w:hAnsi="Times New Roman" w:cs="Times New Roman"/>
                <w:sz w:val="20"/>
                <w:szCs w:val="20"/>
              </w:rPr>
              <w:t>Indígena</w:t>
            </w:r>
          </w:p>
        </w:tc>
        <w:tc>
          <w:tcPr>
            <w:tcW w:w="0" w:type="auto"/>
            <w:vAlign w:val="center"/>
          </w:tcPr>
          <w:p w14:paraId="246C8E74"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 xml:space="preserve">Variável binária que assume valor 1 se a mulher for </w:t>
            </w:r>
            <w:r>
              <w:rPr>
                <w:rFonts w:ascii="Times New Roman" w:hAnsi="Times New Roman" w:cs="Times New Roman"/>
                <w:sz w:val="20"/>
                <w:szCs w:val="20"/>
              </w:rPr>
              <w:t>indígena</w:t>
            </w:r>
            <w:r w:rsidRPr="005150E1">
              <w:rPr>
                <w:rFonts w:ascii="Times New Roman" w:hAnsi="Times New Roman" w:cs="Times New Roman"/>
                <w:sz w:val="20"/>
                <w:szCs w:val="20"/>
              </w:rPr>
              <w:t xml:space="preserve"> e 0 caso contrário.</w:t>
            </w:r>
          </w:p>
        </w:tc>
      </w:tr>
      <w:tr w:rsidR="002B08C0" w:rsidRPr="005150E1" w14:paraId="1E997B1D" w14:textId="77777777" w:rsidTr="002042AD">
        <w:trPr>
          <w:cantSplit/>
          <w:trHeight w:val="579"/>
        </w:trPr>
        <w:tc>
          <w:tcPr>
            <w:tcW w:w="1231" w:type="dxa"/>
            <w:vMerge/>
            <w:textDirection w:val="btLr"/>
          </w:tcPr>
          <w:p w14:paraId="1D5B5166"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534E7B36" w14:textId="77777777" w:rsidR="002B08C0" w:rsidRPr="005150E1" w:rsidRDefault="002B08C0" w:rsidP="002C7A0E">
            <w:pPr>
              <w:jc w:val="center"/>
              <w:rPr>
                <w:rFonts w:ascii="Times New Roman" w:hAnsi="Times New Roman" w:cs="Times New Roman"/>
                <w:b/>
                <w:bCs/>
                <w:sz w:val="20"/>
                <w:szCs w:val="20"/>
              </w:rPr>
            </w:pPr>
            <w:r>
              <w:rPr>
                <w:rFonts w:ascii="Times New Roman" w:hAnsi="Times New Roman" w:cs="Times New Roman"/>
                <w:b/>
                <w:bCs/>
                <w:sz w:val="20"/>
                <w:szCs w:val="20"/>
              </w:rPr>
              <w:t>Amarelo</w:t>
            </w:r>
          </w:p>
        </w:tc>
        <w:tc>
          <w:tcPr>
            <w:tcW w:w="0" w:type="auto"/>
            <w:vAlign w:val="center"/>
          </w:tcPr>
          <w:p w14:paraId="04D9B990" w14:textId="77777777" w:rsidR="002B08C0" w:rsidRPr="005150E1" w:rsidRDefault="002B08C0" w:rsidP="002C7A0E">
            <w:pPr>
              <w:jc w:val="center"/>
              <w:rPr>
                <w:rFonts w:ascii="Times New Roman" w:hAnsi="Times New Roman" w:cs="Times New Roman"/>
                <w:sz w:val="20"/>
                <w:szCs w:val="20"/>
              </w:rPr>
            </w:pPr>
            <w:r>
              <w:rPr>
                <w:rFonts w:ascii="Times New Roman" w:hAnsi="Times New Roman" w:cs="Times New Roman"/>
                <w:sz w:val="20"/>
                <w:szCs w:val="20"/>
              </w:rPr>
              <w:t>Amarelo</w:t>
            </w:r>
          </w:p>
        </w:tc>
        <w:tc>
          <w:tcPr>
            <w:tcW w:w="0" w:type="auto"/>
            <w:vAlign w:val="center"/>
          </w:tcPr>
          <w:p w14:paraId="2FB06EDA"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 xml:space="preserve">Variável binária que assume valor 1 se a mulher for </w:t>
            </w:r>
            <w:r>
              <w:rPr>
                <w:rFonts w:ascii="Times New Roman" w:hAnsi="Times New Roman" w:cs="Times New Roman"/>
                <w:sz w:val="20"/>
                <w:szCs w:val="20"/>
              </w:rPr>
              <w:t>amarela</w:t>
            </w:r>
            <w:r w:rsidRPr="005150E1">
              <w:rPr>
                <w:rFonts w:ascii="Times New Roman" w:hAnsi="Times New Roman" w:cs="Times New Roman"/>
                <w:sz w:val="20"/>
                <w:szCs w:val="20"/>
              </w:rPr>
              <w:t xml:space="preserve"> e 0 caso contrário.</w:t>
            </w:r>
          </w:p>
        </w:tc>
      </w:tr>
      <w:tr w:rsidR="002B08C0" w:rsidRPr="005150E1" w14:paraId="1B0AF765" w14:textId="77777777" w:rsidTr="002042AD">
        <w:trPr>
          <w:cantSplit/>
          <w:trHeight w:val="634"/>
        </w:trPr>
        <w:tc>
          <w:tcPr>
            <w:tcW w:w="1231" w:type="dxa"/>
            <w:vMerge/>
            <w:textDirection w:val="btLr"/>
          </w:tcPr>
          <w:p w14:paraId="0114B9D1"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132935D5"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Norte</w:t>
            </w:r>
          </w:p>
        </w:tc>
        <w:tc>
          <w:tcPr>
            <w:tcW w:w="0" w:type="auto"/>
            <w:vAlign w:val="center"/>
          </w:tcPr>
          <w:p w14:paraId="2F02FAFB"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Norte</w:t>
            </w:r>
          </w:p>
        </w:tc>
        <w:tc>
          <w:tcPr>
            <w:tcW w:w="0" w:type="auto"/>
            <w:vAlign w:val="center"/>
          </w:tcPr>
          <w:p w14:paraId="206342EB"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reside na região Norte e 0 caso contrário.</w:t>
            </w:r>
          </w:p>
        </w:tc>
      </w:tr>
      <w:tr w:rsidR="002B08C0" w:rsidRPr="005150E1" w14:paraId="09DCDD3F" w14:textId="77777777" w:rsidTr="002042AD">
        <w:trPr>
          <w:cantSplit/>
          <w:trHeight w:val="559"/>
        </w:trPr>
        <w:tc>
          <w:tcPr>
            <w:tcW w:w="1231" w:type="dxa"/>
            <w:vMerge/>
            <w:textDirection w:val="btLr"/>
          </w:tcPr>
          <w:p w14:paraId="0EC19A80"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3450D031"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Nordeste</w:t>
            </w:r>
          </w:p>
        </w:tc>
        <w:tc>
          <w:tcPr>
            <w:tcW w:w="0" w:type="auto"/>
            <w:vAlign w:val="center"/>
          </w:tcPr>
          <w:p w14:paraId="1B4FC607"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Nordeste</w:t>
            </w:r>
          </w:p>
        </w:tc>
        <w:tc>
          <w:tcPr>
            <w:tcW w:w="0" w:type="auto"/>
            <w:vAlign w:val="center"/>
          </w:tcPr>
          <w:p w14:paraId="5E6CAAAF"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reside na região Nordeste e 0 caso contrário.</w:t>
            </w:r>
          </w:p>
        </w:tc>
      </w:tr>
      <w:tr w:rsidR="002B08C0" w:rsidRPr="005150E1" w14:paraId="1C4A8DF1" w14:textId="77777777" w:rsidTr="002042AD">
        <w:trPr>
          <w:cantSplit/>
          <w:trHeight w:val="632"/>
        </w:trPr>
        <w:tc>
          <w:tcPr>
            <w:tcW w:w="1231" w:type="dxa"/>
            <w:vMerge/>
            <w:textDirection w:val="btLr"/>
          </w:tcPr>
          <w:p w14:paraId="792077A0"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6D9A28BD"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Sudeste</w:t>
            </w:r>
          </w:p>
        </w:tc>
        <w:tc>
          <w:tcPr>
            <w:tcW w:w="0" w:type="auto"/>
            <w:vAlign w:val="center"/>
          </w:tcPr>
          <w:p w14:paraId="4E19BEFD"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Sudeste (base)</w:t>
            </w:r>
          </w:p>
        </w:tc>
        <w:tc>
          <w:tcPr>
            <w:tcW w:w="0" w:type="auto"/>
            <w:vAlign w:val="center"/>
          </w:tcPr>
          <w:p w14:paraId="4CC0D224"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reside na região Sudeste e 0 caso contrário.</w:t>
            </w:r>
          </w:p>
        </w:tc>
      </w:tr>
      <w:tr w:rsidR="002B08C0" w:rsidRPr="005150E1" w14:paraId="7866CD4B" w14:textId="77777777" w:rsidTr="002042AD">
        <w:trPr>
          <w:cantSplit/>
          <w:trHeight w:val="687"/>
        </w:trPr>
        <w:tc>
          <w:tcPr>
            <w:tcW w:w="1231" w:type="dxa"/>
            <w:vMerge/>
            <w:textDirection w:val="btLr"/>
          </w:tcPr>
          <w:p w14:paraId="73340860"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2E324310"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Sul</w:t>
            </w:r>
          </w:p>
        </w:tc>
        <w:tc>
          <w:tcPr>
            <w:tcW w:w="0" w:type="auto"/>
            <w:vAlign w:val="center"/>
          </w:tcPr>
          <w:p w14:paraId="59437DC6"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Sul</w:t>
            </w:r>
          </w:p>
        </w:tc>
        <w:tc>
          <w:tcPr>
            <w:tcW w:w="0" w:type="auto"/>
            <w:vAlign w:val="center"/>
          </w:tcPr>
          <w:p w14:paraId="0D3D0148"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reside na região Sul e 0 caso contrário.</w:t>
            </w:r>
          </w:p>
        </w:tc>
      </w:tr>
      <w:tr w:rsidR="002B08C0" w:rsidRPr="005150E1" w14:paraId="4224CFA3" w14:textId="77777777" w:rsidTr="002042AD">
        <w:trPr>
          <w:cantSplit/>
          <w:trHeight w:val="697"/>
        </w:trPr>
        <w:tc>
          <w:tcPr>
            <w:tcW w:w="1231" w:type="dxa"/>
            <w:vMerge/>
            <w:textDirection w:val="btLr"/>
          </w:tcPr>
          <w:p w14:paraId="1ADEA18C"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69E82F87"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Centro – Oeste</w:t>
            </w:r>
          </w:p>
        </w:tc>
        <w:tc>
          <w:tcPr>
            <w:tcW w:w="0" w:type="auto"/>
            <w:vAlign w:val="center"/>
          </w:tcPr>
          <w:p w14:paraId="0B744CAD"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Centro – Oeste</w:t>
            </w:r>
          </w:p>
        </w:tc>
        <w:tc>
          <w:tcPr>
            <w:tcW w:w="0" w:type="auto"/>
            <w:vAlign w:val="center"/>
          </w:tcPr>
          <w:p w14:paraId="07AE3B47"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reside na região Centro- Oeste e 0 caso contrário.</w:t>
            </w:r>
          </w:p>
        </w:tc>
      </w:tr>
      <w:tr w:rsidR="002B08C0" w:rsidRPr="005150E1" w14:paraId="3CD6DA30" w14:textId="77777777" w:rsidTr="002042AD">
        <w:trPr>
          <w:cantSplit/>
          <w:trHeight w:val="680"/>
        </w:trPr>
        <w:tc>
          <w:tcPr>
            <w:tcW w:w="1231" w:type="dxa"/>
            <w:vMerge/>
            <w:textDirection w:val="btLr"/>
          </w:tcPr>
          <w:p w14:paraId="193E6693" w14:textId="77777777" w:rsidR="002B08C0" w:rsidRPr="005150E1" w:rsidRDefault="002B08C0" w:rsidP="002C7A0E">
            <w:pPr>
              <w:ind w:right="113"/>
              <w:jc w:val="center"/>
              <w:rPr>
                <w:rFonts w:ascii="Times New Roman" w:hAnsi="Times New Roman" w:cs="Times New Roman"/>
                <w:b/>
                <w:bCs/>
                <w:sz w:val="20"/>
                <w:szCs w:val="20"/>
              </w:rPr>
            </w:pPr>
          </w:p>
        </w:tc>
        <w:tc>
          <w:tcPr>
            <w:tcW w:w="1481" w:type="dxa"/>
            <w:vAlign w:val="center"/>
          </w:tcPr>
          <w:p w14:paraId="09F1DE63" w14:textId="77777777" w:rsidR="002B08C0" w:rsidRPr="005150E1" w:rsidRDefault="002B08C0" w:rsidP="002C7A0E">
            <w:pPr>
              <w:jc w:val="center"/>
              <w:rPr>
                <w:rFonts w:ascii="Times New Roman" w:hAnsi="Times New Roman" w:cs="Times New Roman"/>
                <w:b/>
                <w:bCs/>
                <w:sz w:val="20"/>
                <w:szCs w:val="20"/>
              </w:rPr>
            </w:pPr>
            <w:r w:rsidRPr="005150E1">
              <w:rPr>
                <w:rFonts w:ascii="Times New Roman" w:hAnsi="Times New Roman" w:cs="Times New Roman"/>
                <w:b/>
                <w:bCs/>
                <w:sz w:val="20"/>
                <w:szCs w:val="20"/>
              </w:rPr>
              <w:t>Ccomp</w:t>
            </w:r>
          </w:p>
        </w:tc>
        <w:tc>
          <w:tcPr>
            <w:tcW w:w="0" w:type="auto"/>
            <w:vAlign w:val="center"/>
          </w:tcPr>
          <w:p w14:paraId="1EED2C4C"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Companheiro</w:t>
            </w:r>
          </w:p>
        </w:tc>
        <w:tc>
          <w:tcPr>
            <w:tcW w:w="0" w:type="auto"/>
            <w:vAlign w:val="center"/>
          </w:tcPr>
          <w:p w14:paraId="0BC91928" w14:textId="77777777" w:rsidR="002B08C0" w:rsidRPr="005150E1" w:rsidRDefault="002B08C0" w:rsidP="002C7A0E">
            <w:pPr>
              <w:jc w:val="center"/>
              <w:rPr>
                <w:rFonts w:ascii="Times New Roman" w:hAnsi="Times New Roman" w:cs="Times New Roman"/>
                <w:sz w:val="20"/>
                <w:szCs w:val="20"/>
              </w:rPr>
            </w:pPr>
            <w:r w:rsidRPr="005150E1">
              <w:rPr>
                <w:rFonts w:ascii="Times New Roman" w:hAnsi="Times New Roman" w:cs="Times New Roman"/>
                <w:sz w:val="20"/>
                <w:szCs w:val="20"/>
              </w:rPr>
              <w:t>Variável binária que assume valor 1 se a mulher vive com companheiro e 0 caso contrário.</w:t>
            </w:r>
          </w:p>
        </w:tc>
      </w:tr>
    </w:tbl>
    <w:p w14:paraId="2A9E3AA2" w14:textId="2BAF046C" w:rsidR="002B08C0" w:rsidRPr="00F97436" w:rsidRDefault="002B08C0" w:rsidP="00F97436">
      <w:pPr>
        <w:spacing w:after="0" w:line="240" w:lineRule="auto"/>
        <w:jc w:val="both"/>
        <w:rPr>
          <w:rFonts w:ascii="Times New Roman" w:eastAsiaTheme="minorEastAsia" w:hAnsi="Times New Roman" w:cs="Times New Roman"/>
          <w:sz w:val="20"/>
          <w:szCs w:val="20"/>
        </w:rPr>
      </w:pPr>
      <w:r w:rsidRPr="005150E1">
        <w:rPr>
          <w:rFonts w:ascii="Times New Roman" w:eastAsiaTheme="minorEastAsia" w:hAnsi="Times New Roman" w:cs="Times New Roman"/>
          <w:sz w:val="24"/>
          <w:szCs w:val="24"/>
        </w:rPr>
        <w:t xml:space="preserve"> </w:t>
      </w:r>
      <w:r w:rsidRPr="005150E1">
        <w:rPr>
          <w:rFonts w:ascii="Times New Roman" w:eastAsiaTheme="minorEastAsia" w:hAnsi="Times New Roman" w:cs="Times New Roman"/>
          <w:sz w:val="20"/>
          <w:szCs w:val="20"/>
        </w:rPr>
        <w:t>Fonte: PNAD/ IBGE- Elaboração própria</w:t>
      </w:r>
    </w:p>
    <w:p w14:paraId="6C0C2B9F" w14:textId="77777777" w:rsidR="005077D8" w:rsidRDefault="005077D8">
      <w:pPr>
        <w:spacing w:after="0" w:line="240" w:lineRule="auto"/>
        <w:jc w:val="both"/>
        <w:rPr>
          <w:rFonts w:ascii="Times New Roman" w:hAnsi="Times New Roman" w:cs="Times New Roman"/>
          <w:sz w:val="24"/>
          <w:szCs w:val="24"/>
        </w:rPr>
      </w:pPr>
    </w:p>
    <w:p w14:paraId="16649C57" w14:textId="2B1742EC" w:rsidR="0078081E" w:rsidRPr="00FE3920" w:rsidRDefault="00000000" w:rsidP="00FE3920">
      <w:pPr>
        <w:pStyle w:val="PargrafodaLista"/>
        <w:numPr>
          <w:ilvl w:val="0"/>
          <w:numId w:val="2"/>
        </w:numPr>
        <w:spacing w:after="0" w:line="240" w:lineRule="auto"/>
        <w:jc w:val="both"/>
        <w:rPr>
          <w:rFonts w:ascii="Times New Roman" w:hAnsi="Times New Roman" w:cs="Times New Roman"/>
          <w:b/>
          <w:bCs/>
          <w:sz w:val="24"/>
          <w:szCs w:val="24"/>
        </w:rPr>
      </w:pPr>
      <w:r w:rsidRPr="00FE3920">
        <w:rPr>
          <w:rFonts w:ascii="Times New Roman" w:hAnsi="Times New Roman" w:cs="Times New Roman"/>
          <w:b/>
          <w:bCs/>
          <w:sz w:val="24"/>
          <w:szCs w:val="24"/>
        </w:rPr>
        <w:t>REFERENCIAL TEÓRICO</w:t>
      </w:r>
    </w:p>
    <w:p w14:paraId="7010984B" w14:textId="271C2DE0" w:rsidR="00FE3920" w:rsidRPr="00FE3920" w:rsidRDefault="00FE3920" w:rsidP="00FE3920">
      <w:pPr>
        <w:spacing w:after="0" w:line="36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 xml:space="preserve">3.1 </w:t>
      </w:r>
      <w:r w:rsidRPr="00FE3920">
        <w:rPr>
          <w:rFonts w:ascii="Times New Roman" w:hAnsi="Times New Roman" w:cs="Times New Roman"/>
          <w:b/>
          <w:bCs/>
          <w:sz w:val="24"/>
          <w:szCs w:val="24"/>
        </w:rPr>
        <w:t>Breves considerações sobre a penalidade de gênero, raça e maternidade no mercado de trabalho</w:t>
      </w:r>
    </w:p>
    <w:p w14:paraId="47AF565A"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A herança histórica atribui à mulher a responsabilidade com os filhos, o compromisso com os afazeres domésticos e o cuidado com os parentes idosos, em contrapartida os homens ficam encarregados de sere</w:t>
      </w:r>
      <w:r>
        <w:rPr>
          <w:rFonts w:ascii="Times New Roman" w:hAnsi="Times New Roman" w:cs="Times New Roman"/>
          <w:sz w:val="24"/>
          <w:szCs w:val="24"/>
        </w:rPr>
        <w:t>m os</w:t>
      </w:r>
      <w:r w:rsidRPr="005150E1">
        <w:rPr>
          <w:rFonts w:ascii="Times New Roman" w:hAnsi="Times New Roman" w:cs="Times New Roman"/>
          <w:sz w:val="24"/>
          <w:szCs w:val="24"/>
        </w:rPr>
        <w:t xml:space="preserve"> provedor</w:t>
      </w:r>
      <w:r>
        <w:rPr>
          <w:rFonts w:ascii="Times New Roman" w:hAnsi="Times New Roman" w:cs="Times New Roman"/>
          <w:sz w:val="24"/>
          <w:szCs w:val="24"/>
        </w:rPr>
        <w:t>es</w:t>
      </w:r>
      <w:r w:rsidRPr="005150E1">
        <w:rPr>
          <w:rFonts w:ascii="Times New Roman" w:hAnsi="Times New Roman" w:cs="Times New Roman"/>
          <w:sz w:val="24"/>
          <w:szCs w:val="24"/>
        </w:rPr>
        <w:t xml:space="preserve"> da família. Dessa forma, ao adentrar o mercado de trabalho, as mulheres n</w:t>
      </w:r>
      <w:r>
        <w:rPr>
          <w:rFonts w:ascii="Times New Roman" w:hAnsi="Times New Roman" w:cs="Times New Roman"/>
          <w:sz w:val="24"/>
          <w:szCs w:val="24"/>
        </w:rPr>
        <w:t>em</w:t>
      </w:r>
      <w:r w:rsidRPr="005150E1">
        <w:rPr>
          <w:rFonts w:ascii="Times New Roman" w:hAnsi="Times New Roman" w:cs="Times New Roman"/>
          <w:sz w:val="24"/>
          <w:szCs w:val="24"/>
        </w:rPr>
        <w:t xml:space="preserve"> </w:t>
      </w:r>
      <w:r>
        <w:rPr>
          <w:rFonts w:ascii="Times New Roman" w:hAnsi="Times New Roman" w:cs="Times New Roman"/>
          <w:sz w:val="24"/>
          <w:szCs w:val="24"/>
        </w:rPr>
        <w:t xml:space="preserve">sempre </w:t>
      </w:r>
      <w:r w:rsidRPr="005150E1">
        <w:rPr>
          <w:rFonts w:ascii="Times New Roman" w:hAnsi="Times New Roman" w:cs="Times New Roman"/>
          <w:sz w:val="24"/>
          <w:szCs w:val="24"/>
        </w:rPr>
        <w:t xml:space="preserve">são designadas a cargos de elevada hierarquia e </w:t>
      </w:r>
      <w:r>
        <w:rPr>
          <w:rFonts w:ascii="Times New Roman" w:hAnsi="Times New Roman" w:cs="Times New Roman"/>
          <w:sz w:val="24"/>
          <w:szCs w:val="24"/>
        </w:rPr>
        <w:t>tendem a</w:t>
      </w:r>
      <w:r w:rsidRPr="005150E1">
        <w:rPr>
          <w:rFonts w:ascii="Times New Roman" w:hAnsi="Times New Roman" w:cs="Times New Roman"/>
          <w:sz w:val="24"/>
          <w:szCs w:val="24"/>
        </w:rPr>
        <w:t xml:space="preserve"> aufer</w:t>
      </w:r>
      <w:r>
        <w:rPr>
          <w:rFonts w:ascii="Times New Roman" w:hAnsi="Times New Roman" w:cs="Times New Roman"/>
          <w:sz w:val="24"/>
          <w:szCs w:val="24"/>
        </w:rPr>
        <w:t>ir</w:t>
      </w:r>
      <w:r w:rsidRPr="005150E1">
        <w:rPr>
          <w:rFonts w:ascii="Times New Roman" w:hAnsi="Times New Roman" w:cs="Times New Roman"/>
          <w:sz w:val="24"/>
          <w:szCs w:val="24"/>
        </w:rPr>
        <w:t xml:space="preserve"> salários mais baixo</w:t>
      </w:r>
      <w:r>
        <w:rPr>
          <w:rFonts w:ascii="Times New Roman" w:hAnsi="Times New Roman" w:cs="Times New Roman"/>
          <w:sz w:val="24"/>
          <w:szCs w:val="24"/>
        </w:rPr>
        <w:t>s.</w:t>
      </w:r>
    </w:p>
    <w:p w14:paraId="2C90A41F"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Queiroz e Moreira (2009) ressaltam que o ingresso das mulheres no mercado de trabalho é mais complicado que dos homens, uma vez que o casamento e os filhos afetam sua vida. A atuação feminina no mercado de trabalho demonstrou significante ascensão a partir de 1970, em virtude dos processos de industrialização e urbanização, e permanece crescente até os dias atuais.</w:t>
      </w:r>
    </w:p>
    <w:p w14:paraId="43F5028B"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A segregação ocupacional é um dos elementos que compõe as relações de gênero e está relacionada à divisão existente no mercado de trabalho, ocupações “femininas” e “masculinas”. As ocupações direcionadas para as mulheres apresentam pouco prestígio e baixa remuneração e ocupações para os homens são bem vistas socialmente e dispões de uma remuneração melhor (MINCATO </w:t>
      </w:r>
      <w:r w:rsidRPr="005150E1">
        <w:rPr>
          <w:rFonts w:ascii="Times New Roman" w:hAnsi="Times New Roman" w:cs="Times New Roman"/>
          <w:i/>
          <w:iCs/>
          <w:sz w:val="24"/>
          <w:szCs w:val="24"/>
        </w:rPr>
        <w:t>et a.l</w:t>
      </w:r>
      <w:r w:rsidRPr="005150E1">
        <w:rPr>
          <w:rFonts w:ascii="Times New Roman" w:hAnsi="Times New Roman" w:cs="Times New Roman"/>
          <w:sz w:val="24"/>
          <w:szCs w:val="24"/>
        </w:rPr>
        <w:t>, 2013).</w:t>
      </w:r>
    </w:p>
    <w:p w14:paraId="296F5AB3"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Destarte, é importante frisar que muitos estudos</w:t>
      </w:r>
      <w:r>
        <w:rPr>
          <w:rFonts w:ascii="Times New Roman" w:hAnsi="Times New Roman" w:cs="Times New Roman"/>
          <w:sz w:val="24"/>
          <w:szCs w:val="24"/>
        </w:rPr>
        <w:t>, como os de</w:t>
      </w:r>
      <w:r w:rsidRPr="005150E1">
        <w:rPr>
          <w:rFonts w:ascii="Times New Roman" w:hAnsi="Times New Roman" w:cs="Times New Roman"/>
          <w:sz w:val="24"/>
          <w:szCs w:val="24"/>
        </w:rPr>
        <w:t xml:space="preserve"> Bruschini, </w:t>
      </w:r>
      <w:r>
        <w:rPr>
          <w:rFonts w:ascii="Times New Roman" w:hAnsi="Times New Roman" w:cs="Times New Roman"/>
          <w:sz w:val="24"/>
          <w:szCs w:val="24"/>
        </w:rPr>
        <w:t>(</w:t>
      </w:r>
      <w:r w:rsidRPr="005150E1">
        <w:rPr>
          <w:rFonts w:ascii="Times New Roman" w:hAnsi="Times New Roman" w:cs="Times New Roman"/>
          <w:sz w:val="24"/>
          <w:szCs w:val="24"/>
        </w:rPr>
        <w:t>2007</w:t>
      </w:r>
      <w:r>
        <w:rPr>
          <w:rFonts w:ascii="Times New Roman" w:hAnsi="Times New Roman" w:cs="Times New Roman"/>
          <w:sz w:val="24"/>
          <w:szCs w:val="24"/>
        </w:rPr>
        <w:t>)</w:t>
      </w:r>
      <w:r w:rsidRPr="005150E1">
        <w:rPr>
          <w:rFonts w:ascii="Times New Roman" w:hAnsi="Times New Roman" w:cs="Times New Roman"/>
          <w:sz w:val="24"/>
          <w:szCs w:val="24"/>
        </w:rPr>
        <w:t xml:space="preserve">; Mincato </w:t>
      </w:r>
      <w:r w:rsidRPr="005150E1">
        <w:rPr>
          <w:rFonts w:ascii="Times New Roman" w:hAnsi="Times New Roman" w:cs="Times New Roman"/>
          <w:i/>
          <w:iCs/>
          <w:sz w:val="24"/>
          <w:szCs w:val="24"/>
        </w:rPr>
        <w:t>et al.</w:t>
      </w:r>
      <w:r w:rsidRPr="005150E1">
        <w:rPr>
          <w:rFonts w:ascii="Times New Roman" w:hAnsi="Times New Roman" w:cs="Times New Roman"/>
          <w:sz w:val="24"/>
          <w:szCs w:val="24"/>
        </w:rPr>
        <w:t xml:space="preserve">, </w:t>
      </w:r>
      <w:r>
        <w:rPr>
          <w:rFonts w:ascii="Times New Roman" w:hAnsi="Times New Roman" w:cs="Times New Roman"/>
          <w:sz w:val="24"/>
          <w:szCs w:val="24"/>
        </w:rPr>
        <w:t>(</w:t>
      </w:r>
      <w:r w:rsidRPr="005150E1">
        <w:rPr>
          <w:rFonts w:ascii="Times New Roman" w:hAnsi="Times New Roman" w:cs="Times New Roman"/>
          <w:sz w:val="24"/>
          <w:szCs w:val="24"/>
        </w:rPr>
        <w:t>2013</w:t>
      </w:r>
      <w:r>
        <w:rPr>
          <w:rFonts w:ascii="Times New Roman" w:hAnsi="Times New Roman" w:cs="Times New Roman"/>
          <w:sz w:val="24"/>
          <w:szCs w:val="24"/>
        </w:rPr>
        <w:t>)</w:t>
      </w:r>
      <w:r w:rsidRPr="005150E1">
        <w:rPr>
          <w:rFonts w:ascii="Times New Roman" w:hAnsi="Times New Roman" w:cs="Times New Roman"/>
          <w:sz w:val="24"/>
          <w:szCs w:val="24"/>
        </w:rPr>
        <w:t xml:space="preserve">; Leme </w:t>
      </w:r>
      <w:r>
        <w:rPr>
          <w:rFonts w:ascii="Times New Roman" w:hAnsi="Times New Roman" w:cs="Times New Roman"/>
          <w:sz w:val="24"/>
          <w:szCs w:val="24"/>
        </w:rPr>
        <w:t>e</w:t>
      </w:r>
      <w:r w:rsidRPr="005150E1">
        <w:rPr>
          <w:rFonts w:ascii="Times New Roman" w:hAnsi="Times New Roman" w:cs="Times New Roman"/>
          <w:sz w:val="24"/>
          <w:szCs w:val="24"/>
        </w:rPr>
        <w:t xml:space="preserve"> Wajnman, </w:t>
      </w:r>
      <w:r>
        <w:rPr>
          <w:rFonts w:ascii="Times New Roman" w:hAnsi="Times New Roman" w:cs="Times New Roman"/>
          <w:sz w:val="24"/>
          <w:szCs w:val="24"/>
        </w:rPr>
        <w:t>(</w:t>
      </w:r>
      <w:r w:rsidRPr="005150E1">
        <w:rPr>
          <w:rFonts w:ascii="Times New Roman" w:hAnsi="Times New Roman" w:cs="Times New Roman"/>
          <w:sz w:val="24"/>
          <w:szCs w:val="24"/>
        </w:rPr>
        <w:t>2000</w:t>
      </w:r>
      <w:r>
        <w:rPr>
          <w:rFonts w:ascii="Times New Roman" w:hAnsi="Times New Roman" w:cs="Times New Roman"/>
          <w:sz w:val="24"/>
          <w:szCs w:val="24"/>
        </w:rPr>
        <w:t>) e</w:t>
      </w:r>
      <w:r w:rsidRPr="005150E1">
        <w:rPr>
          <w:rFonts w:ascii="Times New Roman" w:hAnsi="Times New Roman" w:cs="Times New Roman"/>
          <w:sz w:val="24"/>
          <w:szCs w:val="24"/>
        </w:rPr>
        <w:t xml:space="preserve"> Soares, </w:t>
      </w:r>
      <w:r>
        <w:rPr>
          <w:rFonts w:ascii="Times New Roman" w:hAnsi="Times New Roman" w:cs="Times New Roman"/>
          <w:sz w:val="24"/>
          <w:szCs w:val="24"/>
        </w:rPr>
        <w:t>(</w:t>
      </w:r>
      <w:r w:rsidRPr="005150E1">
        <w:rPr>
          <w:rFonts w:ascii="Times New Roman" w:hAnsi="Times New Roman" w:cs="Times New Roman"/>
          <w:sz w:val="24"/>
          <w:szCs w:val="24"/>
        </w:rPr>
        <w:t>20</w:t>
      </w:r>
      <w:r>
        <w:rPr>
          <w:rFonts w:ascii="Times New Roman" w:hAnsi="Times New Roman" w:cs="Times New Roman"/>
          <w:sz w:val="24"/>
          <w:szCs w:val="24"/>
        </w:rPr>
        <w:t>00</w:t>
      </w:r>
      <w:r w:rsidRPr="005150E1">
        <w:rPr>
          <w:rFonts w:ascii="Times New Roman" w:hAnsi="Times New Roman" w:cs="Times New Roman"/>
          <w:sz w:val="24"/>
          <w:szCs w:val="24"/>
        </w:rPr>
        <w:t>) observaram que a disparidade de rendimento entre os gêneros não pode ser explicada por aspectos produtivos, como por exemplo: nível de escolaridade, jornada de trabalho, tipo de ocupação e setor de atividade. O que de fato explica a desigualdade na remuneração é a grande discriminação existente no mercado de trabalho e que afeta diretamente as mulheres.</w:t>
      </w:r>
    </w:p>
    <w:p w14:paraId="51DF23A6" w14:textId="47F73DEF" w:rsidR="00FE3920" w:rsidRPr="000B6431" w:rsidRDefault="00FE3920" w:rsidP="000B6431">
      <w:pPr>
        <w:spacing w:after="0" w:line="360" w:lineRule="auto"/>
        <w:ind w:firstLine="709"/>
        <w:jc w:val="both"/>
        <w:rPr>
          <w:rFonts w:ascii="Times New Roman" w:hAnsi="Times New Roman" w:cs="Times New Roman"/>
          <w:sz w:val="20"/>
          <w:szCs w:val="20"/>
        </w:rPr>
      </w:pPr>
      <w:r w:rsidRPr="005150E1">
        <w:rPr>
          <w:rFonts w:ascii="Times New Roman" w:hAnsi="Times New Roman" w:cs="Times New Roman"/>
          <w:sz w:val="24"/>
          <w:szCs w:val="24"/>
        </w:rPr>
        <w:lastRenderedPageBreak/>
        <w:t xml:space="preserve">A desigualdade racial no mercado de trabalho existe e é uma assertiva unânime entre os estudiosos (CHADAREVIAN, 2011). A grande parte da diferença salarial de raça é explicada pela discriminação. Acrescida a toda discriminação racial, pesquisadores desta temática indicam que as mulheres negras apontam desvantagem nos indicadores sociais e de mercado de trabalho mais relevantes, elas formam o eixo da pirâmide social, visto que são penalizadas tanto em relação ao gênero quanto </w:t>
      </w:r>
      <w:r>
        <w:rPr>
          <w:rFonts w:ascii="Times New Roman" w:hAnsi="Times New Roman" w:cs="Times New Roman"/>
          <w:sz w:val="24"/>
          <w:szCs w:val="24"/>
        </w:rPr>
        <w:t xml:space="preserve">à </w:t>
      </w:r>
      <w:r w:rsidRPr="005150E1">
        <w:rPr>
          <w:rFonts w:ascii="Times New Roman" w:hAnsi="Times New Roman" w:cs="Times New Roman"/>
          <w:sz w:val="24"/>
          <w:szCs w:val="24"/>
        </w:rPr>
        <w:t>raça. Toda a discriminação relacionada à população negra afet</w:t>
      </w:r>
      <w:r>
        <w:rPr>
          <w:rFonts w:ascii="Times New Roman" w:hAnsi="Times New Roman" w:cs="Times New Roman"/>
          <w:sz w:val="24"/>
          <w:szCs w:val="24"/>
        </w:rPr>
        <w:t xml:space="preserve">a, </w:t>
      </w:r>
      <w:r w:rsidRPr="005150E1">
        <w:rPr>
          <w:rFonts w:ascii="Times New Roman" w:hAnsi="Times New Roman" w:cs="Times New Roman"/>
          <w:sz w:val="24"/>
          <w:szCs w:val="24"/>
        </w:rPr>
        <w:t xml:space="preserve">sobretudo as mulheres (ABRAMO, 2006; SANTOS, 2009). </w:t>
      </w:r>
    </w:p>
    <w:p w14:paraId="78677C88"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À medida que a mulher negra se destaca, os obstáculos amplia</w:t>
      </w:r>
      <w:r>
        <w:rPr>
          <w:rFonts w:ascii="Times New Roman" w:hAnsi="Times New Roman" w:cs="Times New Roman"/>
          <w:sz w:val="24"/>
          <w:szCs w:val="24"/>
        </w:rPr>
        <w:t xml:space="preserve">m, </w:t>
      </w:r>
      <w:r w:rsidRPr="005150E1">
        <w:rPr>
          <w:rFonts w:ascii="Times New Roman" w:hAnsi="Times New Roman" w:cs="Times New Roman"/>
          <w:sz w:val="24"/>
          <w:szCs w:val="24"/>
        </w:rPr>
        <w:t>sobretudo por causa da concorrência existente no mercado de trabalho. Em trabalhos domésticos que configuram menor prestígio a concorrência reduz e as mulheres negras ingressam com maior facilidade, de modo que é nesta profissão onde se encontra a maioria das mulheres negras (SINGER, 1998).</w:t>
      </w:r>
    </w:p>
    <w:p w14:paraId="35215675"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Optar por ingressar no mercado de trabalho, principalmente </w:t>
      </w:r>
      <w:r>
        <w:rPr>
          <w:rFonts w:ascii="Times New Roman" w:hAnsi="Times New Roman" w:cs="Times New Roman"/>
          <w:sz w:val="24"/>
          <w:szCs w:val="24"/>
        </w:rPr>
        <w:t xml:space="preserve">para as </w:t>
      </w:r>
      <w:r w:rsidRPr="005150E1">
        <w:rPr>
          <w:rFonts w:ascii="Times New Roman" w:hAnsi="Times New Roman" w:cs="Times New Roman"/>
          <w:sz w:val="24"/>
          <w:szCs w:val="24"/>
        </w:rPr>
        <w:t>mulheres, é uma decisão que está interligada ao ambiente familiar. Por exemplo, tornar-se mãe é um fator importante para as movimentações profissionais e, por conseguinte, para as prováveis disparidades salariais de gênero. As desigualdades salariais entre mulheres que possuem atributos profissionais e pessoais que se assemelham, mas que diferem apenas no fato de ser ou não mãe, caracteriza a chamada penalidade pela maternidade (GUIGINSKI; WAJNMAN, 2019).</w:t>
      </w:r>
    </w:p>
    <w:p w14:paraId="5AFE9374"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Posteriormente ao nascimento do primeiro filho, muitas mulheres escolhem trabalhar em lugares que lhes possibilitem uma maior flexibilidade para conseguir lidar com a dupla jornada de responsabilidades – trabalho e família - o que pode induzir sua saída do setor formal e, consequentemente, a perda de salários, possíveis benefícios e seguridade social (MATTAR, 2018; BERNIELL </w:t>
      </w:r>
      <w:r w:rsidRPr="005150E1">
        <w:rPr>
          <w:rFonts w:ascii="Times New Roman" w:hAnsi="Times New Roman" w:cs="Times New Roman"/>
          <w:i/>
          <w:iCs/>
          <w:sz w:val="24"/>
          <w:szCs w:val="24"/>
        </w:rPr>
        <w:t>et al.</w:t>
      </w:r>
      <w:r w:rsidRPr="005150E1">
        <w:rPr>
          <w:rFonts w:ascii="Times New Roman" w:hAnsi="Times New Roman" w:cs="Times New Roman"/>
          <w:sz w:val="24"/>
          <w:szCs w:val="24"/>
        </w:rPr>
        <w:t>, 2019).</w:t>
      </w:r>
    </w:p>
    <w:p w14:paraId="736BB7E2"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Muitas teorias corroboram para a explicação sobre a penalidade salarial pela maternidade, dentre elas, pode-se citar: a teoria dos diferenciais compensatórios de salário - as mães tendem a optar por empregos que tenham uma remuneração menor, mas, em contrapartida, possibilitam conciliar os cuidados </w:t>
      </w:r>
      <w:r>
        <w:rPr>
          <w:rFonts w:ascii="Times New Roman" w:hAnsi="Times New Roman" w:cs="Times New Roman"/>
          <w:sz w:val="24"/>
          <w:szCs w:val="24"/>
        </w:rPr>
        <w:t xml:space="preserve">dos </w:t>
      </w:r>
      <w:r w:rsidRPr="005150E1">
        <w:rPr>
          <w:rFonts w:ascii="Times New Roman" w:hAnsi="Times New Roman" w:cs="Times New Roman"/>
          <w:sz w:val="24"/>
          <w:szCs w:val="24"/>
        </w:rPr>
        <w:t xml:space="preserve">filhos (GOUGH; NOONAN, 2013); a alocação seletiva para maternidade, evidenciando que as mulheres com filhos podem se diferenciar das mulheres sem filhos em características como à produtividade no trabalho, </w:t>
      </w:r>
      <w:r w:rsidRPr="005150E1">
        <w:rPr>
          <w:rFonts w:ascii="Times New Roman" w:hAnsi="Times New Roman" w:cs="Times New Roman"/>
          <w:sz w:val="24"/>
          <w:szCs w:val="24"/>
        </w:rPr>
        <w:lastRenderedPageBreak/>
        <w:t>podendo assim afetar a remuneração (CUKROWSKA-TORZEWSKA; MATYSIAK, 2020); a teoria do capital humano, relacionada às diferenças de idade, nível educacional e não acumulação ou perda de conhecimento no período de interrupções no trabalho ou redução da carga horária no emprego (BECKER, 1985); a teoria do esforço no trabalho - as mulheres se encontram mais propícias ao aumento do trabalho doméstico depois do nascimento da criança e, com isso, tenderiam a se dedicar menos em seus empregos remunerados (PARROTT, 2014).</w:t>
      </w:r>
    </w:p>
    <w:p w14:paraId="067A44C7"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Destarte, pode-se frisar que existem inúmeras diferenças entre os países desenvolvidos e os em desenvolvimento, todavia, apesar de serem países desenvolvidos, apresentam penalidades salariais expressivas. Um exemplo relevante é a França, cujas evidencias enfatizam que o fato de ter filho não reflete diretamente no salário/hora das mulheres, porém a penalidade salarial afeta as mães com dois ou mais filhos (DUVIVIER; NARCY, 2015). No entanto, em países como Alemanha, EUA, Dinamarca, Suécia, Reino Unido e Áustria, as mulheres apontam uma grande e constante redução nos rendimentos logo após o nascimento do primeiro filho, e mesmo que se passem dez anos desse fato, os ganhos não são recuperados (KLEVEN; LANDAIS; SøGAARD, 2018; KLEVEN </w:t>
      </w:r>
      <w:r w:rsidRPr="005150E1">
        <w:rPr>
          <w:rFonts w:ascii="Times New Roman" w:hAnsi="Times New Roman" w:cs="Times New Roman"/>
          <w:i/>
          <w:iCs/>
          <w:sz w:val="24"/>
          <w:szCs w:val="24"/>
        </w:rPr>
        <w:t>et al.</w:t>
      </w:r>
      <w:r w:rsidRPr="005150E1">
        <w:rPr>
          <w:rFonts w:ascii="Times New Roman" w:hAnsi="Times New Roman" w:cs="Times New Roman"/>
          <w:sz w:val="24"/>
          <w:szCs w:val="24"/>
        </w:rPr>
        <w:t>, 2019).</w:t>
      </w:r>
    </w:p>
    <w:p w14:paraId="1BAD3A85"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Conforme salienta Maron e Meulders (2008), a maternidade pode acarretar a desistência, temporária ou definitiva, das mulheres de permanecerem no mercado de trabalho, acaba por encorajá-las a diminuir sua jornada de trabalho ou até mesmo induzir a mudança de profissão ou setor do mercado, além de poder adiar sua promoção a conquistas de melhores remunerações e cargos. </w:t>
      </w:r>
    </w:p>
    <w:p w14:paraId="5FAACAF2"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Estudos como o de Souza, Rios-Neto e Queiroz (2011) mostram que ter filhos reduz a probabilidade participação feminina no mercado de trabalho, e fatores como ordem de nascimento e estado conjugal das mulheres não influenciam nesse aspecto. Porém, Lima (2022) enfatiza que na primeira infância o cuidado é relativamente maior e os filhos extraem mais energia. Dessa forma, a penalidade salarial pela maternidade é maior nos primeiros anos de vida e reduzem à medida que as crianças crescem.</w:t>
      </w:r>
    </w:p>
    <w:p w14:paraId="300B667A" w14:textId="7F18C4A9" w:rsidR="00FE3920" w:rsidRPr="00FE3920"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Em seu estudo sobre a América Latina, Villanueva e Lin (2020) encontraram que a maternidade no Brasil penaliza as mulheres em uma diferença salarial, aproximadamente, de 12%. De modo complementar, Guiginski e Wajnman (2019) corroboram com a conceituação </w:t>
      </w:r>
      <w:r w:rsidRPr="005150E1">
        <w:rPr>
          <w:rFonts w:ascii="Times New Roman" w:hAnsi="Times New Roman" w:cs="Times New Roman"/>
          <w:sz w:val="24"/>
          <w:szCs w:val="24"/>
        </w:rPr>
        <w:lastRenderedPageBreak/>
        <w:t>de penalidade e reafirmam que ter filhos reduz a probabilidade de inserção das mulheres brasileiras no mercado de trabalho.</w:t>
      </w:r>
    </w:p>
    <w:p w14:paraId="40672538" w14:textId="3B9127BF" w:rsidR="00FE3920" w:rsidRPr="00FE3920" w:rsidRDefault="00FE3920" w:rsidP="00FE3920">
      <w:pPr>
        <w:pStyle w:val="PargrafodaLista"/>
        <w:numPr>
          <w:ilvl w:val="1"/>
          <w:numId w:val="2"/>
        </w:numPr>
        <w:spacing w:after="0" w:line="360" w:lineRule="auto"/>
        <w:jc w:val="both"/>
        <w:rPr>
          <w:rFonts w:ascii="Times New Roman" w:hAnsi="Times New Roman" w:cs="Times New Roman"/>
          <w:b/>
          <w:bCs/>
          <w:sz w:val="24"/>
          <w:szCs w:val="24"/>
        </w:rPr>
      </w:pPr>
      <w:r w:rsidRPr="00FE3920">
        <w:rPr>
          <w:rFonts w:ascii="Times New Roman" w:hAnsi="Times New Roman" w:cs="Times New Roman"/>
          <w:b/>
          <w:bCs/>
          <w:sz w:val="24"/>
          <w:szCs w:val="24"/>
        </w:rPr>
        <w:t>Penalidade salarial pela maternidade</w:t>
      </w:r>
    </w:p>
    <w:p w14:paraId="500BB973"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Durante o século XX ocorrem importantes transformações sociais direcionadas para as relações de gênero, mas, apesar desse fato, as mulheres ainda são predominantes em atividades domésticas e de cuidado no Brasil, acarretando para elas uma sobrecarga de trabalho muito superior à dos homens.</w:t>
      </w:r>
    </w:p>
    <w:p w14:paraId="6CD63E07"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Convém ressaltar que as mulheres brasileiras conquistaram grandes avanços em áreas significativas, mas as desigualdades ainda permanecem, não somente em aspectos como menores participação e nível salarial, ao comparar com os homens, mas também em relação à qualidade do acesso ao mercado de trabalho (CEPAL/PNUD/OIT, 2008; ALVES, 2016). Wajnman (2016) corrobora com essa assertiva, afirmando que, no contexto brasileiro, a inserção das mulheres no mercado de trabalho ainda é bem mais complicado do que para homens, tanto em relação à quantidade como em questão à qualidade dos postos de trabalho a que podem alcançar.</w:t>
      </w:r>
    </w:p>
    <w:p w14:paraId="721676CB"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A diferença ocupacional baseada no sexo se torna evidente em todas as latitudes independentemente dos sistemas políticos, níveis de desenvolvimento econômico e entornos religiosos, culturais e sociais. É uma das especificidades mais persistentes dos mercados de trabalho de todos os países. Essa persistência da desigualdade ocupacional por sexo dentro do mercado de trabalho está fortemente vinculada aos estereótipos de gênero existentes na sociedade (OIT, 2009).</w:t>
      </w:r>
    </w:p>
    <w:p w14:paraId="62D84B72"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Para Hirata e Kergoat (2007), as relações sociais entre os sexos est</w:t>
      </w:r>
      <w:r>
        <w:rPr>
          <w:rFonts w:ascii="Times New Roman" w:hAnsi="Times New Roman" w:cs="Times New Roman"/>
          <w:sz w:val="24"/>
          <w:szCs w:val="24"/>
        </w:rPr>
        <w:t>ão encadeadas aos p</w:t>
      </w:r>
      <w:r w:rsidRPr="005150E1">
        <w:rPr>
          <w:rFonts w:ascii="Times New Roman" w:hAnsi="Times New Roman" w:cs="Times New Roman"/>
          <w:sz w:val="24"/>
          <w:szCs w:val="24"/>
        </w:rPr>
        <w:t>rocessos de construção histórica e tem como características a ocupação majoritariamente dos homen</w:t>
      </w:r>
      <w:r>
        <w:rPr>
          <w:rFonts w:ascii="Times New Roman" w:hAnsi="Times New Roman" w:cs="Times New Roman"/>
          <w:sz w:val="24"/>
          <w:szCs w:val="24"/>
        </w:rPr>
        <w:t xml:space="preserve">s no </w:t>
      </w:r>
      <w:r w:rsidRPr="005150E1">
        <w:rPr>
          <w:rFonts w:ascii="Times New Roman" w:hAnsi="Times New Roman" w:cs="Times New Roman"/>
          <w:sz w:val="24"/>
          <w:szCs w:val="24"/>
        </w:rPr>
        <w:t>âmbito produtivo e de valor social mais elevado e das mulheres no âmbito reprodutivo e relacionado à família.</w:t>
      </w:r>
    </w:p>
    <w:p w14:paraId="1ED33E71"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Ainda é importante frisar que as permanências históricas, culturais e sociais da divisão sexual do trabalho, nas esferas produtiva e reprodutiva, por um lado, e os empecilhos de compatibilização entre trabalho e família, por outro, são dois dos elementos mais relevantes </w:t>
      </w:r>
      <w:r w:rsidRPr="005150E1">
        <w:rPr>
          <w:rFonts w:ascii="Times New Roman" w:hAnsi="Times New Roman" w:cs="Times New Roman"/>
          <w:sz w:val="24"/>
          <w:szCs w:val="24"/>
        </w:rPr>
        <w:lastRenderedPageBreak/>
        <w:t>para os avanços incompletos nas relações de gênero e a estagnação das transformações no Brasil (OIT, 2009; ALVES, 2016; WAJNMAN, 2016).</w:t>
      </w:r>
    </w:p>
    <w:p w14:paraId="290F295A"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Convém destacar que o termo divisão sexual do trabalho foi desenvolvido na França e discute a persistência de vestígios sociais e culturais do trabalho produtivo, que afetam a segregação entre homens e mulheres no mercado de trabalho; e reprodutivo, relacionado a disparidade existente na divisão do trabalho familiar e doméstico entre os sexos (HIRATA; KERGOAT, 2007).</w:t>
      </w:r>
    </w:p>
    <w:p w14:paraId="45B2334B"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De modo geral, entende-se o trabalho de reprodução social como aquele fundamental para </w:t>
      </w:r>
      <w:r>
        <w:rPr>
          <w:rFonts w:ascii="Times New Roman" w:hAnsi="Times New Roman" w:cs="Times New Roman"/>
          <w:sz w:val="24"/>
          <w:szCs w:val="24"/>
        </w:rPr>
        <w:t xml:space="preserve">a </w:t>
      </w:r>
      <w:r w:rsidRPr="005150E1">
        <w:rPr>
          <w:rFonts w:ascii="Times New Roman" w:hAnsi="Times New Roman" w:cs="Times New Roman"/>
          <w:sz w:val="24"/>
          <w:szCs w:val="24"/>
        </w:rPr>
        <w:t>reprodução da sociedade, porém que não se desempenha para o mercado e cuja grandeza econômica não é reconhecida. Independentemente do estágio de desenvolvimento dos países, na grande maioria deles o trabalho dedicado à esfera da reprodução social é majoritariamente de incumbência feminina. Quando são examinadas as características relacionadas à dupla jornada, ou seja, à compatibilização entre a esfera de reprodução social e de produção propriamente econômica, as disparidades de gênero se apresentam de maneira ainda mais nítida (OIT, 2009).</w:t>
      </w:r>
    </w:p>
    <w:p w14:paraId="606696AA"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Waldfogel (1998) argumenta que as persistentes diferenças de gênero no mercado de trabalho induzem a uma penalidade, quer seja pela maternidade ou pela família. A penalidade salarial pela maternidade, como frisado, é um termo utilizado para se referir aos diferenciais salariais existentes entre mulheres que exercem funções semelhantes e compartilham características pessoais comu</w:t>
      </w:r>
      <w:r>
        <w:rPr>
          <w:rFonts w:ascii="Times New Roman" w:hAnsi="Times New Roman" w:cs="Times New Roman"/>
          <w:sz w:val="24"/>
          <w:szCs w:val="24"/>
        </w:rPr>
        <w:t xml:space="preserve">ns, </w:t>
      </w:r>
      <w:r w:rsidRPr="005150E1">
        <w:rPr>
          <w:rFonts w:ascii="Times New Roman" w:hAnsi="Times New Roman" w:cs="Times New Roman"/>
          <w:sz w:val="24"/>
          <w:szCs w:val="24"/>
        </w:rPr>
        <w:t>mas que diferem no fato de mãe ou não. Ao comparadas mulheres com e sem filhos, aquelas que são mães, geralmente, obtém salários menores aos das mulheres sem filhos (WALDFOGEL, 1998; KUHHIRT; LUDWIG, 2012; GOUGH; NOONAN, 2013).</w:t>
      </w:r>
    </w:p>
    <w:p w14:paraId="5AAEF077"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O avanço da participação das mulheres no mercado laboral não vem sendo seguido de mudanças nas relações de gênero, principalmente no que diz respeito </w:t>
      </w:r>
      <w:r>
        <w:rPr>
          <w:rFonts w:ascii="Times New Roman" w:hAnsi="Times New Roman" w:cs="Times New Roman"/>
          <w:sz w:val="24"/>
          <w:szCs w:val="24"/>
        </w:rPr>
        <w:t xml:space="preserve">às </w:t>
      </w:r>
      <w:r w:rsidRPr="005150E1">
        <w:rPr>
          <w:rFonts w:ascii="Times New Roman" w:hAnsi="Times New Roman" w:cs="Times New Roman"/>
          <w:sz w:val="24"/>
          <w:szCs w:val="24"/>
        </w:rPr>
        <w:t>responsabilidades domésticas e familiar, o que acaba submetendo as mulheres a uma jornada de trabalho dupla (OIT, 2009).</w:t>
      </w:r>
    </w:p>
    <w:p w14:paraId="044BF6FA"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No âmbito familiar, as crianças requerem cuidados de um responsável, normalmente fornecidos pela mãe. Embora esta necessidade seja parcial, o adulto que fornece os cuidados </w:t>
      </w:r>
      <w:r w:rsidRPr="005150E1">
        <w:rPr>
          <w:rFonts w:ascii="Times New Roman" w:hAnsi="Times New Roman" w:cs="Times New Roman"/>
          <w:sz w:val="24"/>
          <w:szCs w:val="24"/>
        </w:rPr>
        <w:lastRenderedPageBreak/>
        <w:t xml:space="preserve">para a criança acaba se limitando, o que pode dificultar sua inserção no mercado de trabalho, ou levá-lo a ofertar uma carga horária menor no seu emprego, ou ainda adentrar </w:t>
      </w:r>
      <w:r>
        <w:rPr>
          <w:rFonts w:ascii="Times New Roman" w:hAnsi="Times New Roman" w:cs="Times New Roman"/>
          <w:sz w:val="24"/>
          <w:szCs w:val="24"/>
        </w:rPr>
        <w:t xml:space="preserve">à </w:t>
      </w:r>
      <w:r w:rsidRPr="005150E1">
        <w:rPr>
          <w:rFonts w:ascii="Times New Roman" w:hAnsi="Times New Roman" w:cs="Times New Roman"/>
          <w:sz w:val="24"/>
          <w:szCs w:val="24"/>
        </w:rPr>
        <w:t>esfera do trabalho informal e sub-remunerado (ENGLAND, 2010; FOLBRE, 2012).</w:t>
      </w:r>
    </w:p>
    <w:p w14:paraId="714E7DF4"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Nem a inserção maciça das mulheres no mercado de trabalho conseguiu impedir que elas acumul</w:t>
      </w:r>
      <w:r>
        <w:rPr>
          <w:rFonts w:ascii="Times New Roman" w:hAnsi="Times New Roman" w:cs="Times New Roman"/>
          <w:sz w:val="24"/>
          <w:szCs w:val="24"/>
        </w:rPr>
        <w:t xml:space="preserve">assem </w:t>
      </w:r>
      <w:r w:rsidRPr="005150E1">
        <w:rPr>
          <w:rFonts w:ascii="Times New Roman" w:hAnsi="Times New Roman" w:cs="Times New Roman"/>
          <w:sz w:val="24"/>
          <w:szCs w:val="24"/>
        </w:rPr>
        <w:t>atividades referentes ao cuidado. Um diferencial notório é que algumas mulheres dispõem de serviços domiciliares destinados para o cuidado, enquanto outra</w:t>
      </w:r>
      <w:r>
        <w:rPr>
          <w:rFonts w:ascii="Times New Roman" w:hAnsi="Times New Roman" w:cs="Times New Roman"/>
          <w:sz w:val="24"/>
          <w:szCs w:val="24"/>
        </w:rPr>
        <w:t xml:space="preserve">s </w:t>
      </w:r>
      <w:r w:rsidRPr="005150E1">
        <w:rPr>
          <w:rFonts w:ascii="Times New Roman" w:hAnsi="Times New Roman" w:cs="Times New Roman"/>
          <w:sz w:val="24"/>
          <w:szCs w:val="24"/>
        </w:rPr>
        <w:t xml:space="preserve">necessitam conciliar as atividades domésticas e cuidado dos filhos com o seu trabalho remunerado, possuindo também o auxílio de outras mulheres da família. A “terceirização” do cuidado, por parte de mulheres que possuem uma renda maior, é proporcionada pela utilização destes serviços fornecidos por outras mulheres que vem no cuidado a oportunidade de uma remuneração (WELTERS, 2021). </w:t>
      </w:r>
    </w:p>
    <w:p w14:paraId="6B42EF20" w14:textId="77777777" w:rsidR="00FE3920" w:rsidRPr="005150E1" w:rsidRDefault="00FE3920" w:rsidP="00FE3920">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Segundo Guimarães e Vieira (2020), as mulheres que vivenciam um cenário de extrema pobreza e que não dispõem de proteção social constituem essas redes de apoio, chamadas “ajudas”, isto é, as amizades, a vizinhança e a família, que possibilitam a estruturação destas atividades, necessárias para a sobrevivência.</w:t>
      </w:r>
    </w:p>
    <w:p w14:paraId="45F66329" w14:textId="4376D891" w:rsidR="00FE3920" w:rsidRPr="000B6431" w:rsidRDefault="00FE3920" w:rsidP="000B6431">
      <w:pPr>
        <w:spacing w:after="0" w:line="360" w:lineRule="auto"/>
        <w:ind w:firstLine="709"/>
        <w:jc w:val="both"/>
        <w:rPr>
          <w:rFonts w:ascii="Times New Roman" w:hAnsi="Times New Roman" w:cs="Times New Roman"/>
          <w:sz w:val="20"/>
          <w:szCs w:val="20"/>
        </w:rPr>
      </w:pPr>
      <w:r w:rsidRPr="005150E1">
        <w:rPr>
          <w:rFonts w:ascii="Times New Roman" w:hAnsi="Times New Roman" w:cs="Times New Roman"/>
          <w:sz w:val="24"/>
          <w:szCs w:val="24"/>
        </w:rPr>
        <w:t xml:space="preserve">Sorj (2013) observa como as ações direcionadas para o cuidado se configuram e analisa a enorme fragilidade do ingresso laboral das mães, com experiências diferentes entre as mulheres de distintas classes sociais, mas, apesar de seu posto na família, as mulheres exercem uma carga maior deste tipo de trabalho do que os homens. </w:t>
      </w:r>
    </w:p>
    <w:p w14:paraId="465BAFDF" w14:textId="659D9314" w:rsidR="0078081E" w:rsidRDefault="00FE3920" w:rsidP="00D2794C">
      <w:pPr>
        <w:spacing w:after="0" w:line="360" w:lineRule="auto"/>
        <w:ind w:firstLine="709"/>
        <w:jc w:val="both"/>
        <w:rPr>
          <w:rFonts w:ascii="Times New Roman" w:hAnsi="Times New Roman" w:cs="Times New Roman"/>
          <w:sz w:val="24"/>
          <w:szCs w:val="24"/>
        </w:rPr>
      </w:pPr>
      <w:r w:rsidRPr="005150E1">
        <w:rPr>
          <w:rFonts w:ascii="Times New Roman" w:hAnsi="Times New Roman" w:cs="Times New Roman"/>
          <w:sz w:val="24"/>
          <w:szCs w:val="24"/>
        </w:rPr>
        <w:t xml:space="preserve">É importante frisar que, ao mesmo tempo, muitas mulheres que disponibilizam seu tempo para </w:t>
      </w:r>
      <w:r>
        <w:rPr>
          <w:rFonts w:ascii="Times New Roman" w:hAnsi="Times New Roman" w:cs="Times New Roman"/>
          <w:sz w:val="24"/>
          <w:szCs w:val="24"/>
        </w:rPr>
        <w:t xml:space="preserve">as </w:t>
      </w:r>
      <w:r w:rsidRPr="005150E1">
        <w:rPr>
          <w:rFonts w:ascii="Times New Roman" w:hAnsi="Times New Roman" w:cs="Times New Roman"/>
          <w:sz w:val="24"/>
          <w:szCs w:val="24"/>
        </w:rPr>
        <w:t>atividades direcionadas ao cuidado, acabam perdendo inúmeras oportunidades, não apenas no que diz respeito ao mercado de trabalho, mas também no âmbito educacional, visto que muitas vezes abandonam os estudos.</w:t>
      </w:r>
    </w:p>
    <w:p w14:paraId="21415C44" w14:textId="53C8B859" w:rsidR="00435564" w:rsidRPr="00D2794C" w:rsidRDefault="00000000" w:rsidP="00D2794C">
      <w:pPr>
        <w:pStyle w:val="PargrafodaLista"/>
        <w:numPr>
          <w:ilvl w:val="0"/>
          <w:numId w:val="2"/>
        </w:numPr>
        <w:spacing w:after="0" w:line="240" w:lineRule="auto"/>
        <w:jc w:val="both"/>
        <w:rPr>
          <w:rFonts w:ascii="Times New Roman" w:hAnsi="Times New Roman" w:cs="Times New Roman"/>
          <w:b/>
          <w:bCs/>
          <w:sz w:val="24"/>
          <w:szCs w:val="24"/>
        </w:rPr>
      </w:pPr>
      <w:r w:rsidRPr="00435564">
        <w:rPr>
          <w:rFonts w:ascii="Times New Roman" w:hAnsi="Times New Roman" w:cs="Times New Roman"/>
          <w:b/>
          <w:bCs/>
          <w:sz w:val="24"/>
          <w:szCs w:val="24"/>
        </w:rPr>
        <w:t xml:space="preserve">RESULTADOS E DISCUSSÕES </w:t>
      </w:r>
    </w:p>
    <w:p w14:paraId="1EA6B109" w14:textId="71BC90C2" w:rsidR="00077BDD" w:rsidRDefault="00F716E9" w:rsidP="00435564">
      <w:pPr>
        <w:tabs>
          <w:tab w:val="center" w:pos="4715"/>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77BDD" w:rsidRPr="005150E1">
        <w:rPr>
          <w:rFonts w:ascii="Times New Roman" w:hAnsi="Times New Roman" w:cs="Times New Roman"/>
          <w:b/>
          <w:bCs/>
          <w:sz w:val="24"/>
          <w:szCs w:val="24"/>
        </w:rPr>
        <w:t xml:space="preserve">4.1 Análise </w:t>
      </w:r>
      <w:r w:rsidR="00665468">
        <w:rPr>
          <w:rFonts w:ascii="Times New Roman" w:hAnsi="Times New Roman" w:cs="Times New Roman"/>
          <w:b/>
          <w:bCs/>
          <w:sz w:val="24"/>
          <w:szCs w:val="24"/>
        </w:rPr>
        <w:t>D</w:t>
      </w:r>
      <w:r w:rsidR="00077BDD" w:rsidRPr="005150E1">
        <w:rPr>
          <w:rFonts w:ascii="Times New Roman" w:hAnsi="Times New Roman" w:cs="Times New Roman"/>
          <w:b/>
          <w:bCs/>
          <w:sz w:val="24"/>
          <w:szCs w:val="24"/>
        </w:rPr>
        <w:t xml:space="preserve">escritiva dos </w:t>
      </w:r>
      <w:r w:rsidR="00665468">
        <w:rPr>
          <w:rFonts w:ascii="Times New Roman" w:hAnsi="Times New Roman" w:cs="Times New Roman"/>
          <w:b/>
          <w:bCs/>
          <w:sz w:val="24"/>
          <w:szCs w:val="24"/>
        </w:rPr>
        <w:t>D</w:t>
      </w:r>
      <w:r w:rsidR="00077BDD" w:rsidRPr="005150E1">
        <w:rPr>
          <w:rFonts w:ascii="Times New Roman" w:hAnsi="Times New Roman" w:cs="Times New Roman"/>
          <w:b/>
          <w:bCs/>
          <w:sz w:val="24"/>
          <w:szCs w:val="24"/>
        </w:rPr>
        <w:t>ados</w:t>
      </w:r>
    </w:p>
    <w:p w14:paraId="54856D07" w14:textId="77777777" w:rsidR="00665468" w:rsidRDefault="00665468" w:rsidP="006654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Nesta seção será apresentada uma breve análise descritiva das </w:t>
      </w:r>
      <w:r w:rsidRPr="005150E1">
        <w:rPr>
          <w:rFonts w:ascii="Times New Roman" w:hAnsi="Times New Roman" w:cs="Times New Roman"/>
          <w:sz w:val="24"/>
          <w:szCs w:val="24"/>
        </w:rPr>
        <w:t xml:space="preserve">variáveis referentes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condição da mulher com relação </w:t>
      </w:r>
      <w:r>
        <w:rPr>
          <w:rFonts w:ascii="Times New Roman" w:hAnsi="Times New Roman" w:cs="Times New Roman"/>
          <w:sz w:val="24"/>
          <w:szCs w:val="24"/>
        </w:rPr>
        <w:t xml:space="preserve">à </w:t>
      </w:r>
      <w:r w:rsidRPr="005150E1">
        <w:rPr>
          <w:rFonts w:ascii="Times New Roman" w:hAnsi="Times New Roman" w:cs="Times New Roman"/>
          <w:sz w:val="24"/>
          <w:szCs w:val="24"/>
        </w:rPr>
        <w:t>atividade, maternidade, local de residência, raça/cor e por fi</w:t>
      </w:r>
      <w:r>
        <w:rPr>
          <w:rFonts w:ascii="Times New Roman" w:hAnsi="Times New Roman" w:cs="Times New Roman"/>
          <w:sz w:val="24"/>
          <w:szCs w:val="24"/>
        </w:rPr>
        <w:t xml:space="preserve">m, </w:t>
      </w:r>
      <w:r w:rsidRPr="005150E1">
        <w:rPr>
          <w:rFonts w:ascii="Times New Roman" w:hAnsi="Times New Roman" w:cs="Times New Roman"/>
          <w:sz w:val="24"/>
          <w:szCs w:val="24"/>
        </w:rPr>
        <w:t>nível educacional.</w:t>
      </w:r>
    </w:p>
    <w:p w14:paraId="1DB477F7" w14:textId="77777777" w:rsidR="00665468" w:rsidRDefault="00665468" w:rsidP="006654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 Tabela 1 exibe </w:t>
      </w:r>
      <w:r w:rsidRPr="005150E1">
        <w:rPr>
          <w:rFonts w:ascii="Times New Roman" w:hAnsi="Times New Roman" w:cs="Times New Roman"/>
          <w:sz w:val="24"/>
          <w:szCs w:val="24"/>
        </w:rPr>
        <w:t>as distribuições relativas das mulheres de 16 a 49 anos por condição de atividade</w:t>
      </w:r>
      <w:r>
        <w:rPr>
          <w:rFonts w:ascii="Times New Roman" w:hAnsi="Times New Roman" w:cs="Times New Roman"/>
          <w:sz w:val="24"/>
          <w:szCs w:val="24"/>
        </w:rPr>
        <w:t>, por ter</w:t>
      </w:r>
      <w:r w:rsidRPr="005150E1">
        <w:rPr>
          <w:rFonts w:ascii="Times New Roman" w:hAnsi="Times New Roman" w:cs="Times New Roman"/>
          <w:sz w:val="24"/>
          <w:szCs w:val="24"/>
        </w:rPr>
        <w:t xml:space="preserve"> filho nascido vivo até 2015</w:t>
      </w:r>
      <w:r>
        <w:rPr>
          <w:rFonts w:ascii="Times New Roman" w:hAnsi="Times New Roman" w:cs="Times New Roman"/>
          <w:sz w:val="24"/>
          <w:szCs w:val="24"/>
        </w:rPr>
        <w:t>, por macror</w:t>
      </w:r>
      <w:r w:rsidRPr="005150E1">
        <w:rPr>
          <w:rFonts w:ascii="Times New Roman" w:hAnsi="Times New Roman" w:cs="Times New Roman"/>
          <w:sz w:val="24"/>
          <w:szCs w:val="24"/>
        </w:rPr>
        <w:t>região de residência</w:t>
      </w:r>
      <w:r>
        <w:rPr>
          <w:rFonts w:ascii="Times New Roman" w:hAnsi="Times New Roman" w:cs="Times New Roman"/>
          <w:sz w:val="24"/>
          <w:szCs w:val="24"/>
        </w:rPr>
        <w:t xml:space="preserve">, </w:t>
      </w:r>
      <w:r w:rsidRPr="00DB682B">
        <w:rPr>
          <w:rFonts w:ascii="Times New Roman" w:hAnsi="Times New Roman" w:cs="Times New Roman"/>
          <w:sz w:val="24"/>
          <w:szCs w:val="24"/>
        </w:rPr>
        <w:t>por raça/cor</w:t>
      </w:r>
      <w:r>
        <w:rPr>
          <w:rFonts w:ascii="Times New Roman" w:hAnsi="Times New Roman" w:cs="Times New Roman"/>
          <w:sz w:val="24"/>
          <w:szCs w:val="24"/>
        </w:rPr>
        <w:t xml:space="preserve"> e nível de instrução.</w:t>
      </w:r>
    </w:p>
    <w:p w14:paraId="2F6B1114" w14:textId="77777777" w:rsidR="00665468" w:rsidRPr="005150E1" w:rsidRDefault="00665468" w:rsidP="00665468">
      <w:pPr>
        <w:spacing w:after="0" w:line="240" w:lineRule="auto"/>
        <w:jc w:val="center"/>
        <w:rPr>
          <w:rFonts w:ascii="Times New Roman" w:hAnsi="Times New Roman" w:cs="Times New Roman"/>
          <w:b/>
          <w:bCs/>
          <w:sz w:val="24"/>
          <w:szCs w:val="24"/>
        </w:rPr>
      </w:pPr>
      <w:r w:rsidRPr="005150E1">
        <w:rPr>
          <w:rFonts w:ascii="Times New Roman" w:hAnsi="Times New Roman" w:cs="Times New Roman"/>
          <w:b/>
          <w:bCs/>
          <w:sz w:val="24"/>
          <w:szCs w:val="24"/>
        </w:rPr>
        <w:t>Tabela 1 – Distribuiç</w:t>
      </w:r>
      <w:r>
        <w:rPr>
          <w:rFonts w:ascii="Times New Roman" w:hAnsi="Times New Roman" w:cs="Times New Roman"/>
          <w:b/>
          <w:bCs/>
          <w:sz w:val="24"/>
          <w:szCs w:val="24"/>
        </w:rPr>
        <w:t>ão</w:t>
      </w:r>
      <w:r w:rsidRPr="005150E1">
        <w:rPr>
          <w:rFonts w:ascii="Times New Roman" w:hAnsi="Times New Roman" w:cs="Times New Roman"/>
          <w:b/>
          <w:bCs/>
          <w:sz w:val="24"/>
          <w:szCs w:val="24"/>
        </w:rPr>
        <w:t xml:space="preserve"> relativa das mulheres de 16 a 49 anos por Condição de atividade</w:t>
      </w:r>
      <w:r>
        <w:rPr>
          <w:rFonts w:ascii="Times New Roman" w:hAnsi="Times New Roman" w:cs="Times New Roman"/>
          <w:b/>
          <w:bCs/>
          <w:sz w:val="24"/>
          <w:szCs w:val="24"/>
        </w:rPr>
        <w:t xml:space="preserve">, filho, macrorregião, raça/cor e nível de instrução. </w:t>
      </w:r>
    </w:p>
    <w:tbl>
      <w:tblPr>
        <w:tblW w:w="3631"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171"/>
        <w:gridCol w:w="1460"/>
      </w:tblGrid>
      <w:tr w:rsidR="00665468" w:rsidRPr="007A355C" w14:paraId="3CFD722D" w14:textId="77777777" w:rsidTr="00531AA1">
        <w:trPr>
          <w:trHeight w:val="300"/>
          <w:jc w:val="center"/>
        </w:trPr>
        <w:tc>
          <w:tcPr>
            <w:tcW w:w="2171" w:type="dxa"/>
            <w:tcBorders>
              <w:top w:val="single" w:sz="4" w:space="0" w:color="auto"/>
              <w:bottom w:val="single" w:sz="4" w:space="0" w:color="auto"/>
              <w:right w:val="single" w:sz="4" w:space="0" w:color="auto"/>
            </w:tcBorders>
            <w:shd w:val="clear" w:color="auto" w:fill="E7E6E6" w:themeFill="background2"/>
            <w:noWrap/>
            <w:vAlign w:val="bottom"/>
            <w:hideMark/>
          </w:tcPr>
          <w:p w14:paraId="397AF7A5" w14:textId="77777777" w:rsidR="00665468" w:rsidRPr="007A355C" w:rsidRDefault="00665468" w:rsidP="00531AA1">
            <w:pPr>
              <w:spacing w:after="0" w:line="240" w:lineRule="auto"/>
              <w:rPr>
                <w:rFonts w:ascii="Times New Roman" w:eastAsia="Times New Roman" w:hAnsi="Times New Roman" w:cs="Times New Roman"/>
                <w:b/>
                <w:bCs/>
                <w:sz w:val="20"/>
                <w:szCs w:val="20"/>
                <w:lang w:eastAsia="pt-BR"/>
              </w:rPr>
            </w:pPr>
            <w:r w:rsidRPr="007A355C">
              <w:rPr>
                <w:rFonts w:ascii="Times New Roman" w:eastAsia="Times New Roman" w:hAnsi="Times New Roman" w:cs="Times New Roman"/>
                <w:b/>
                <w:bCs/>
                <w:sz w:val="20"/>
                <w:szCs w:val="20"/>
                <w:lang w:eastAsia="pt-BR"/>
              </w:rPr>
              <w:t>Variáveis</w:t>
            </w:r>
          </w:p>
        </w:tc>
        <w:tc>
          <w:tcPr>
            <w:tcW w:w="1460" w:type="dxa"/>
            <w:tcBorders>
              <w:left w:val="single" w:sz="4" w:space="0" w:color="auto"/>
              <w:bottom w:val="single" w:sz="4" w:space="0" w:color="auto"/>
            </w:tcBorders>
            <w:shd w:val="clear" w:color="auto" w:fill="E7E6E6" w:themeFill="background2"/>
            <w:noWrap/>
            <w:vAlign w:val="bottom"/>
            <w:hideMark/>
          </w:tcPr>
          <w:p w14:paraId="3D7B4471" w14:textId="77777777" w:rsidR="00665468" w:rsidRPr="007A355C" w:rsidRDefault="00665468" w:rsidP="00531AA1">
            <w:pPr>
              <w:spacing w:after="0" w:line="240" w:lineRule="auto"/>
              <w:rPr>
                <w:rFonts w:ascii="Times New Roman" w:eastAsia="Times New Roman" w:hAnsi="Times New Roman" w:cs="Times New Roman"/>
                <w:b/>
                <w:bCs/>
                <w:color w:val="000000"/>
                <w:sz w:val="20"/>
                <w:szCs w:val="20"/>
                <w:lang w:eastAsia="pt-BR"/>
              </w:rPr>
            </w:pPr>
            <w:r w:rsidRPr="007A355C">
              <w:rPr>
                <w:rFonts w:ascii="Times New Roman" w:eastAsia="Times New Roman" w:hAnsi="Times New Roman" w:cs="Times New Roman"/>
                <w:b/>
                <w:bCs/>
                <w:color w:val="000000"/>
                <w:sz w:val="20"/>
                <w:szCs w:val="20"/>
                <w:lang w:eastAsia="pt-BR"/>
              </w:rPr>
              <w:t>Freq. Rel (%)</w:t>
            </w:r>
          </w:p>
        </w:tc>
      </w:tr>
      <w:tr w:rsidR="00665468" w:rsidRPr="007A355C" w14:paraId="58FDFF0E" w14:textId="77777777" w:rsidTr="00531AA1">
        <w:trPr>
          <w:trHeight w:val="600"/>
          <w:jc w:val="center"/>
        </w:trPr>
        <w:tc>
          <w:tcPr>
            <w:tcW w:w="2171" w:type="dxa"/>
            <w:tcBorders>
              <w:top w:val="single" w:sz="4" w:space="0" w:color="auto"/>
              <w:bottom w:val="nil"/>
              <w:right w:val="single" w:sz="4" w:space="0" w:color="auto"/>
            </w:tcBorders>
            <w:shd w:val="clear" w:color="auto" w:fill="auto"/>
            <w:vAlign w:val="center"/>
            <w:hideMark/>
          </w:tcPr>
          <w:p w14:paraId="6211FAFE"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Não Economicamente Ativa</w:t>
            </w:r>
          </w:p>
        </w:tc>
        <w:tc>
          <w:tcPr>
            <w:tcW w:w="1460" w:type="dxa"/>
            <w:tcBorders>
              <w:top w:val="single" w:sz="4" w:space="0" w:color="auto"/>
              <w:left w:val="single" w:sz="4" w:space="0" w:color="auto"/>
              <w:bottom w:val="nil"/>
            </w:tcBorders>
            <w:shd w:val="clear" w:color="auto" w:fill="auto"/>
            <w:noWrap/>
            <w:vAlign w:val="center"/>
            <w:hideMark/>
          </w:tcPr>
          <w:p w14:paraId="66D6C986"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30,24</w:t>
            </w:r>
          </w:p>
        </w:tc>
      </w:tr>
      <w:tr w:rsidR="00665468" w:rsidRPr="007A355C" w14:paraId="67EA246C" w14:textId="77777777" w:rsidTr="00531AA1">
        <w:trPr>
          <w:trHeight w:val="600"/>
          <w:jc w:val="center"/>
        </w:trPr>
        <w:tc>
          <w:tcPr>
            <w:tcW w:w="2171" w:type="dxa"/>
            <w:tcBorders>
              <w:top w:val="nil"/>
              <w:right w:val="single" w:sz="4" w:space="0" w:color="auto"/>
            </w:tcBorders>
            <w:shd w:val="clear" w:color="auto" w:fill="auto"/>
            <w:vAlign w:val="center"/>
            <w:hideMark/>
          </w:tcPr>
          <w:p w14:paraId="232EB313"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Economicamente Ativa</w:t>
            </w:r>
          </w:p>
        </w:tc>
        <w:tc>
          <w:tcPr>
            <w:tcW w:w="1460" w:type="dxa"/>
            <w:tcBorders>
              <w:top w:val="nil"/>
              <w:left w:val="single" w:sz="4" w:space="0" w:color="auto"/>
            </w:tcBorders>
            <w:shd w:val="clear" w:color="auto" w:fill="auto"/>
            <w:noWrap/>
            <w:vAlign w:val="center"/>
            <w:hideMark/>
          </w:tcPr>
          <w:p w14:paraId="5198A476"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69,76</w:t>
            </w:r>
          </w:p>
        </w:tc>
      </w:tr>
      <w:tr w:rsidR="00665468" w:rsidRPr="007A355C" w14:paraId="3D107805" w14:textId="77777777" w:rsidTr="00531AA1">
        <w:trPr>
          <w:trHeight w:val="531"/>
          <w:jc w:val="center"/>
        </w:trPr>
        <w:tc>
          <w:tcPr>
            <w:tcW w:w="2171" w:type="dxa"/>
            <w:tcBorders>
              <w:right w:val="single" w:sz="4" w:space="0" w:color="auto"/>
            </w:tcBorders>
            <w:shd w:val="clear" w:color="auto" w:fill="auto"/>
            <w:vAlign w:val="center"/>
            <w:hideMark/>
          </w:tcPr>
          <w:p w14:paraId="1C84301C"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Teve filho nascido vivo até 2015</w:t>
            </w:r>
          </w:p>
        </w:tc>
        <w:tc>
          <w:tcPr>
            <w:tcW w:w="1460" w:type="dxa"/>
            <w:tcBorders>
              <w:left w:val="single" w:sz="4" w:space="0" w:color="auto"/>
            </w:tcBorders>
            <w:shd w:val="clear" w:color="auto" w:fill="auto"/>
            <w:noWrap/>
            <w:vAlign w:val="center"/>
            <w:hideMark/>
          </w:tcPr>
          <w:p w14:paraId="163652BA"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84,10</w:t>
            </w:r>
          </w:p>
        </w:tc>
      </w:tr>
      <w:tr w:rsidR="00665468" w:rsidRPr="007A355C" w14:paraId="346535D5" w14:textId="77777777" w:rsidTr="00531AA1">
        <w:trPr>
          <w:trHeight w:val="553"/>
          <w:jc w:val="center"/>
        </w:trPr>
        <w:tc>
          <w:tcPr>
            <w:tcW w:w="2171" w:type="dxa"/>
            <w:tcBorders>
              <w:right w:val="single" w:sz="4" w:space="0" w:color="auto"/>
            </w:tcBorders>
            <w:shd w:val="clear" w:color="auto" w:fill="auto"/>
            <w:vAlign w:val="center"/>
            <w:hideMark/>
          </w:tcPr>
          <w:p w14:paraId="3BD93879"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Não teve filho nascido vivo até 2015</w:t>
            </w:r>
          </w:p>
        </w:tc>
        <w:tc>
          <w:tcPr>
            <w:tcW w:w="1460" w:type="dxa"/>
            <w:tcBorders>
              <w:left w:val="single" w:sz="4" w:space="0" w:color="auto"/>
            </w:tcBorders>
            <w:shd w:val="clear" w:color="auto" w:fill="auto"/>
            <w:noWrap/>
            <w:vAlign w:val="center"/>
            <w:hideMark/>
          </w:tcPr>
          <w:p w14:paraId="17585FF0"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15,90</w:t>
            </w:r>
          </w:p>
        </w:tc>
      </w:tr>
      <w:tr w:rsidR="00665468" w:rsidRPr="007A355C" w14:paraId="6A701605" w14:textId="77777777" w:rsidTr="00531AA1">
        <w:trPr>
          <w:trHeight w:val="300"/>
          <w:jc w:val="center"/>
        </w:trPr>
        <w:tc>
          <w:tcPr>
            <w:tcW w:w="2171" w:type="dxa"/>
            <w:tcBorders>
              <w:right w:val="single" w:sz="4" w:space="0" w:color="auto"/>
            </w:tcBorders>
            <w:shd w:val="clear" w:color="auto" w:fill="auto"/>
            <w:noWrap/>
            <w:vAlign w:val="center"/>
            <w:hideMark/>
          </w:tcPr>
          <w:p w14:paraId="29CEF656"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Norte</w:t>
            </w:r>
          </w:p>
        </w:tc>
        <w:tc>
          <w:tcPr>
            <w:tcW w:w="1460" w:type="dxa"/>
            <w:tcBorders>
              <w:left w:val="single" w:sz="4" w:space="0" w:color="auto"/>
            </w:tcBorders>
            <w:shd w:val="clear" w:color="auto" w:fill="auto"/>
            <w:noWrap/>
            <w:vAlign w:val="center"/>
            <w:hideMark/>
          </w:tcPr>
          <w:p w14:paraId="03CCFF70"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8,48</w:t>
            </w:r>
          </w:p>
        </w:tc>
      </w:tr>
      <w:tr w:rsidR="00665468" w:rsidRPr="007A355C" w14:paraId="17F66EB0" w14:textId="77777777" w:rsidTr="00531AA1">
        <w:trPr>
          <w:trHeight w:val="300"/>
          <w:jc w:val="center"/>
        </w:trPr>
        <w:tc>
          <w:tcPr>
            <w:tcW w:w="2171" w:type="dxa"/>
            <w:tcBorders>
              <w:right w:val="single" w:sz="4" w:space="0" w:color="auto"/>
            </w:tcBorders>
            <w:shd w:val="clear" w:color="auto" w:fill="auto"/>
            <w:noWrap/>
            <w:vAlign w:val="center"/>
            <w:hideMark/>
          </w:tcPr>
          <w:p w14:paraId="6909AFB5"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Nordeste</w:t>
            </w:r>
          </w:p>
        </w:tc>
        <w:tc>
          <w:tcPr>
            <w:tcW w:w="1460" w:type="dxa"/>
            <w:tcBorders>
              <w:left w:val="single" w:sz="4" w:space="0" w:color="auto"/>
            </w:tcBorders>
            <w:shd w:val="clear" w:color="auto" w:fill="auto"/>
            <w:noWrap/>
            <w:vAlign w:val="center"/>
            <w:hideMark/>
          </w:tcPr>
          <w:p w14:paraId="33A69031"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27,22</w:t>
            </w:r>
          </w:p>
        </w:tc>
      </w:tr>
      <w:tr w:rsidR="00665468" w:rsidRPr="007A355C" w14:paraId="2B06A081" w14:textId="77777777" w:rsidTr="00531AA1">
        <w:trPr>
          <w:trHeight w:val="300"/>
          <w:jc w:val="center"/>
        </w:trPr>
        <w:tc>
          <w:tcPr>
            <w:tcW w:w="2171" w:type="dxa"/>
            <w:tcBorders>
              <w:right w:val="single" w:sz="4" w:space="0" w:color="auto"/>
            </w:tcBorders>
            <w:shd w:val="clear" w:color="auto" w:fill="auto"/>
            <w:noWrap/>
            <w:vAlign w:val="center"/>
            <w:hideMark/>
          </w:tcPr>
          <w:p w14:paraId="640102F8"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Sudeste</w:t>
            </w:r>
          </w:p>
        </w:tc>
        <w:tc>
          <w:tcPr>
            <w:tcW w:w="1460" w:type="dxa"/>
            <w:tcBorders>
              <w:left w:val="single" w:sz="4" w:space="0" w:color="auto"/>
            </w:tcBorders>
            <w:shd w:val="clear" w:color="auto" w:fill="auto"/>
            <w:noWrap/>
            <w:vAlign w:val="center"/>
            <w:hideMark/>
          </w:tcPr>
          <w:p w14:paraId="15DBC44E"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41,15</w:t>
            </w:r>
          </w:p>
        </w:tc>
      </w:tr>
      <w:tr w:rsidR="00665468" w:rsidRPr="007A355C" w14:paraId="32ED0A2F" w14:textId="77777777" w:rsidTr="00531AA1">
        <w:trPr>
          <w:trHeight w:val="300"/>
          <w:jc w:val="center"/>
        </w:trPr>
        <w:tc>
          <w:tcPr>
            <w:tcW w:w="2171" w:type="dxa"/>
            <w:tcBorders>
              <w:right w:val="single" w:sz="4" w:space="0" w:color="auto"/>
            </w:tcBorders>
            <w:shd w:val="clear" w:color="auto" w:fill="auto"/>
            <w:noWrap/>
            <w:vAlign w:val="center"/>
            <w:hideMark/>
          </w:tcPr>
          <w:p w14:paraId="3848493C"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Sul</w:t>
            </w:r>
          </w:p>
        </w:tc>
        <w:tc>
          <w:tcPr>
            <w:tcW w:w="1460" w:type="dxa"/>
            <w:tcBorders>
              <w:left w:val="single" w:sz="4" w:space="0" w:color="auto"/>
            </w:tcBorders>
            <w:shd w:val="clear" w:color="auto" w:fill="auto"/>
            <w:noWrap/>
            <w:vAlign w:val="center"/>
            <w:hideMark/>
          </w:tcPr>
          <w:p w14:paraId="482E4A81"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14,80</w:t>
            </w:r>
          </w:p>
        </w:tc>
      </w:tr>
      <w:tr w:rsidR="00665468" w:rsidRPr="007A355C" w14:paraId="1F47ED7A" w14:textId="77777777" w:rsidTr="00531AA1">
        <w:trPr>
          <w:trHeight w:val="300"/>
          <w:jc w:val="center"/>
        </w:trPr>
        <w:tc>
          <w:tcPr>
            <w:tcW w:w="2171" w:type="dxa"/>
            <w:tcBorders>
              <w:right w:val="single" w:sz="4" w:space="0" w:color="auto"/>
            </w:tcBorders>
            <w:shd w:val="clear" w:color="auto" w:fill="auto"/>
            <w:noWrap/>
            <w:vAlign w:val="center"/>
            <w:hideMark/>
          </w:tcPr>
          <w:p w14:paraId="4AAC8650"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Centro-Oeste</w:t>
            </w:r>
          </w:p>
        </w:tc>
        <w:tc>
          <w:tcPr>
            <w:tcW w:w="1460" w:type="dxa"/>
            <w:tcBorders>
              <w:left w:val="single" w:sz="4" w:space="0" w:color="auto"/>
            </w:tcBorders>
            <w:shd w:val="clear" w:color="auto" w:fill="auto"/>
            <w:noWrap/>
            <w:vAlign w:val="center"/>
            <w:hideMark/>
          </w:tcPr>
          <w:p w14:paraId="57A991B7"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8,36</w:t>
            </w:r>
          </w:p>
        </w:tc>
      </w:tr>
      <w:tr w:rsidR="00665468" w:rsidRPr="007A355C" w14:paraId="0C029C64" w14:textId="77777777" w:rsidTr="00531AA1">
        <w:trPr>
          <w:trHeight w:val="300"/>
          <w:jc w:val="center"/>
        </w:trPr>
        <w:tc>
          <w:tcPr>
            <w:tcW w:w="2171" w:type="dxa"/>
            <w:tcBorders>
              <w:right w:val="single" w:sz="4" w:space="0" w:color="auto"/>
            </w:tcBorders>
            <w:shd w:val="clear" w:color="auto" w:fill="auto"/>
            <w:noWrap/>
            <w:vAlign w:val="center"/>
            <w:hideMark/>
          </w:tcPr>
          <w:p w14:paraId="256E2C8D"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Indígena</w:t>
            </w:r>
          </w:p>
        </w:tc>
        <w:tc>
          <w:tcPr>
            <w:tcW w:w="1460" w:type="dxa"/>
            <w:tcBorders>
              <w:left w:val="single" w:sz="4" w:space="0" w:color="auto"/>
            </w:tcBorders>
            <w:shd w:val="clear" w:color="auto" w:fill="auto"/>
            <w:noWrap/>
            <w:vAlign w:val="center"/>
            <w:hideMark/>
          </w:tcPr>
          <w:p w14:paraId="0EAFDECA"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0,46</w:t>
            </w:r>
          </w:p>
        </w:tc>
      </w:tr>
      <w:tr w:rsidR="00665468" w:rsidRPr="007A355C" w14:paraId="70D3DF34" w14:textId="77777777" w:rsidTr="00531AA1">
        <w:trPr>
          <w:trHeight w:val="300"/>
          <w:jc w:val="center"/>
        </w:trPr>
        <w:tc>
          <w:tcPr>
            <w:tcW w:w="2171" w:type="dxa"/>
            <w:tcBorders>
              <w:right w:val="single" w:sz="4" w:space="0" w:color="auto"/>
            </w:tcBorders>
            <w:shd w:val="clear" w:color="auto" w:fill="auto"/>
            <w:noWrap/>
            <w:vAlign w:val="center"/>
            <w:hideMark/>
          </w:tcPr>
          <w:p w14:paraId="5B3653DC"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Branca</w:t>
            </w:r>
          </w:p>
        </w:tc>
        <w:tc>
          <w:tcPr>
            <w:tcW w:w="1460" w:type="dxa"/>
            <w:tcBorders>
              <w:left w:val="single" w:sz="4" w:space="0" w:color="auto"/>
            </w:tcBorders>
            <w:shd w:val="clear" w:color="auto" w:fill="auto"/>
            <w:noWrap/>
            <w:vAlign w:val="center"/>
            <w:hideMark/>
          </w:tcPr>
          <w:p w14:paraId="4E3C0D37"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44,19</w:t>
            </w:r>
          </w:p>
        </w:tc>
      </w:tr>
      <w:tr w:rsidR="00665468" w:rsidRPr="007A355C" w14:paraId="73CC465F" w14:textId="77777777" w:rsidTr="00531AA1">
        <w:trPr>
          <w:trHeight w:val="300"/>
          <w:jc w:val="center"/>
        </w:trPr>
        <w:tc>
          <w:tcPr>
            <w:tcW w:w="2171" w:type="dxa"/>
            <w:tcBorders>
              <w:right w:val="single" w:sz="4" w:space="0" w:color="auto"/>
            </w:tcBorders>
            <w:shd w:val="clear" w:color="auto" w:fill="auto"/>
            <w:noWrap/>
            <w:vAlign w:val="center"/>
            <w:hideMark/>
          </w:tcPr>
          <w:p w14:paraId="0B26C122"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Preta</w:t>
            </w:r>
          </w:p>
        </w:tc>
        <w:tc>
          <w:tcPr>
            <w:tcW w:w="1460" w:type="dxa"/>
            <w:tcBorders>
              <w:left w:val="single" w:sz="4" w:space="0" w:color="auto"/>
            </w:tcBorders>
            <w:shd w:val="clear" w:color="auto" w:fill="auto"/>
            <w:noWrap/>
            <w:vAlign w:val="center"/>
            <w:hideMark/>
          </w:tcPr>
          <w:p w14:paraId="68CBF6E9"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9,65</w:t>
            </w:r>
          </w:p>
        </w:tc>
      </w:tr>
      <w:tr w:rsidR="00665468" w:rsidRPr="007A355C" w14:paraId="7C1BB917" w14:textId="77777777" w:rsidTr="00531AA1">
        <w:trPr>
          <w:trHeight w:val="300"/>
          <w:jc w:val="center"/>
        </w:trPr>
        <w:tc>
          <w:tcPr>
            <w:tcW w:w="2171" w:type="dxa"/>
            <w:tcBorders>
              <w:right w:val="single" w:sz="4" w:space="0" w:color="auto"/>
            </w:tcBorders>
            <w:shd w:val="clear" w:color="auto" w:fill="auto"/>
            <w:noWrap/>
            <w:vAlign w:val="center"/>
            <w:hideMark/>
          </w:tcPr>
          <w:p w14:paraId="7EB4A2C5"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Amarela</w:t>
            </w:r>
          </w:p>
        </w:tc>
        <w:tc>
          <w:tcPr>
            <w:tcW w:w="1460" w:type="dxa"/>
            <w:tcBorders>
              <w:left w:val="single" w:sz="4" w:space="0" w:color="auto"/>
            </w:tcBorders>
            <w:shd w:val="clear" w:color="auto" w:fill="auto"/>
            <w:noWrap/>
            <w:vAlign w:val="center"/>
            <w:hideMark/>
          </w:tcPr>
          <w:p w14:paraId="72D54DEF"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0,45</w:t>
            </w:r>
          </w:p>
        </w:tc>
      </w:tr>
      <w:tr w:rsidR="00665468" w:rsidRPr="007A355C" w14:paraId="553D21AC" w14:textId="77777777" w:rsidTr="00531AA1">
        <w:trPr>
          <w:trHeight w:val="300"/>
          <w:jc w:val="center"/>
        </w:trPr>
        <w:tc>
          <w:tcPr>
            <w:tcW w:w="2171" w:type="dxa"/>
            <w:tcBorders>
              <w:right w:val="single" w:sz="4" w:space="0" w:color="auto"/>
            </w:tcBorders>
            <w:shd w:val="clear" w:color="auto" w:fill="auto"/>
            <w:noWrap/>
            <w:vAlign w:val="center"/>
            <w:hideMark/>
          </w:tcPr>
          <w:p w14:paraId="4E989D84"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Parda</w:t>
            </w:r>
          </w:p>
        </w:tc>
        <w:tc>
          <w:tcPr>
            <w:tcW w:w="1460" w:type="dxa"/>
            <w:tcBorders>
              <w:left w:val="single" w:sz="4" w:space="0" w:color="auto"/>
            </w:tcBorders>
            <w:shd w:val="clear" w:color="auto" w:fill="auto"/>
            <w:noWrap/>
            <w:vAlign w:val="center"/>
            <w:hideMark/>
          </w:tcPr>
          <w:p w14:paraId="4FDFBC06"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45,25</w:t>
            </w:r>
          </w:p>
        </w:tc>
      </w:tr>
      <w:tr w:rsidR="00665468" w:rsidRPr="007A355C" w14:paraId="0F07EA4D" w14:textId="77777777" w:rsidTr="00531AA1">
        <w:trPr>
          <w:trHeight w:val="577"/>
          <w:jc w:val="center"/>
        </w:trPr>
        <w:tc>
          <w:tcPr>
            <w:tcW w:w="2171" w:type="dxa"/>
            <w:tcBorders>
              <w:right w:val="single" w:sz="4" w:space="0" w:color="auto"/>
            </w:tcBorders>
            <w:shd w:val="clear" w:color="auto" w:fill="auto"/>
            <w:vAlign w:val="center"/>
            <w:hideMark/>
          </w:tcPr>
          <w:p w14:paraId="2541A81D"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Sem Instrução e fundamental Incompleto</w:t>
            </w:r>
          </w:p>
        </w:tc>
        <w:tc>
          <w:tcPr>
            <w:tcW w:w="1460" w:type="dxa"/>
            <w:tcBorders>
              <w:left w:val="single" w:sz="4" w:space="0" w:color="auto"/>
            </w:tcBorders>
            <w:shd w:val="clear" w:color="auto" w:fill="auto"/>
            <w:noWrap/>
            <w:vAlign w:val="center"/>
            <w:hideMark/>
          </w:tcPr>
          <w:p w14:paraId="62DB3833"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27,67</w:t>
            </w:r>
          </w:p>
        </w:tc>
      </w:tr>
      <w:tr w:rsidR="00665468" w:rsidRPr="007A355C" w14:paraId="4593315F" w14:textId="77777777" w:rsidTr="00531AA1">
        <w:trPr>
          <w:trHeight w:val="661"/>
          <w:jc w:val="center"/>
        </w:trPr>
        <w:tc>
          <w:tcPr>
            <w:tcW w:w="2171" w:type="dxa"/>
            <w:tcBorders>
              <w:right w:val="single" w:sz="4" w:space="0" w:color="auto"/>
            </w:tcBorders>
            <w:shd w:val="clear" w:color="auto" w:fill="auto"/>
            <w:vAlign w:val="center"/>
            <w:hideMark/>
          </w:tcPr>
          <w:p w14:paraId="3DB4436C"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Fundamental Completo e Médio Incompleto</w:t>
            </w:r>
          </w:p>
        </w:tc>
        <w:tc>
          <w:tcPr>
            <w:tcW w:w="1460" w:type="dxa"/>
            <w:tcBorders>
              <w:left w:val="single" w:sz="4" w:space="0" w:color="auto"/>
            </w:tcBorders>
            <w:shd w:val="clear" w:color="auto" w:fill="auto"/>
            <w:noWrap/>
            <w:vAlign w:val="center"/>
            <w:hideMark/>
          </w:tcPr>
          <w:p w14:paraId="478B4998"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17,60</w:t>
            </w:r>
          </w:p>
        </w:tc>
      </w:tr>
      <w:tr w:rsidR="00665468" w:rsidRPr="007A355C" w14:paraId="2C290083" w14:textId="77777777" w:rsidTr="00531AA1">
        <w:trPr>
          <w:trHeight w:val="543"/>
          <w:jc w:val="center"/>
        </w:trPr>
        <w:tc>
          <w:tcPr>
            <w:tcW w:w="2171" w:type="dxa"/>
            <w:tcBorders>
              <w:right w:val="single" w:sz="4" w:space="0" w:color="auto"/>
            </w:tcBorders>
            <w:shd w:val="clear" w:color="auto" w:fill="auto"/>
            <w:vAlign w:val="center"/>
            <w:hideMark/>
          </w:tcPr>
          <w:p w14:paraId="3AD9EB98"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Médio Completo e Superior Incompleto</w:t>
            </w:r>
          </w:p>
        </w:tc>
        <w:tc>
          <w:tcPr>
            <w:tcW w:w="1460" w:type="dxa"/>
            <w:tcBorders>
              <w:left w:val="single" w:sz="4" w:space="0" w:color="auto"/>
            </w:tcBorders>
            <w:shd w:val="clear" w:color="auto" w:fill="auto"/>
            <w:noWrap/>
            <w:vAlign w:val="center"/>
            <w:hideMark/>
          </w:tcPr>
          <w:p w14:paraId="552FF724"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39,66</w:t>
            </w:r>
          </w:p>
        </w:tc>
      </w:tr>
      <w:tr w:rsidR="00665468" w:rsidRPr="007A355C" w14:paraId="59264708" w14:textId="77777777" w:rsidTr="00531AA1">
        <w:trPr>
          <w:trHeight w:val="423"/>
          <w:jc w:val="center"/>
        </w:trPr>
        <w:tc>
          <w:tcPr>
            <w:tcW w:w="2171" w:type="dxa"/>
            <w:tcBorders>
              <w:bottom w:val="single" w:sz="4" w:space="0" w:color="auto"/>
              <w:right w:val="single" w:sz="4" w:space="0" w:color="auto"/>
            </w:tcBorders>
            <w:shd w:val="clear" w:color="auto" w:fill="auto"/>
            <w:vAlign w:val="center"/>
            <w:hideMark/>
          </w:tcPr>
          <w:p w14:paraId="3C0572AA"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Superior Completo</w:t>
            </w:r>
          </w:p>
        </w:tc>
        <w:tc>
          <w:tcPr>
            <w:tcW w:w="1460" w:type="dxa"/>
            <w:tcBorders>
              <w:left w:val="single" w:sz="4" w:space="0" w:color="auto"/>
            </w:tcBorders>
            <w:shd w:val="clear" w:color="auto" w:fill="auto"/>
            <w:noWrap/>
            <w:vAlign w:val="center"/>
            <w:hideMark/>
          </w:tcPr>
          <w:p w14:paraId="380CABC4" w14:textId="77777777" w:rsidR="00665468" w:rsidRPr="007A355C" w:rsidRDefault="00665468" w:rsidP="00531AA1">
            <w:pPr>
              <w:spacing w:after="0" w:line="240" w:lineRule="auto"/>
              <w:jc w:val="center"/>
              <w:rPr>
                <w:rFonts w:ascii="Times New Roman" w:eastAsia="Times New Roman" w:hAnsi="Times New Roman" w:cs="Times New Roman"/>
                <w:color w:val="000000"/>
                <w:sz w:val="20"/>
                <w:szCs w:val="20"/>
                <w:lang w:eastAsia="pt-BR"/>
              </w:rPr>
            </w:pPr>
            <w:r w:rsidRPr="007A355C">
              <w:rPr>
                <w:rFonts w:ascii="Times New Roman" w:eastAsia="Times New Roman" w:hAnsi="Times New Roman" w:cs="Times New Roman"/>
                <w:color w:val="000000"/>
                <w:sz w:val="20"/>
                <w:szCs w:val="20"/>
                <w:lang w:eastAsia="pt-BR"/>
              </w:rPr>
              <w:t>15,07</w:t>
            </w:r>
          </w:p>
        </w:tc>
      </w:tr>
    </w:tbl>
    <w:p w14:paraId="2C7FED07" w14:textId="77777777" w:rsidR="00665468" w:rsidRPr="00435564" w:rsidRDefault="00665468" w:rsidP="00665468">
      <w:pPr>
        <w:spacing w:after="0" w:line="360" w:lineRule="auto"/>
        <w:ind w:firstLine="708"/>
        <w:jc w:val="both"/>
        <w:rPr>
          <w:rFonts w:ascii="Times New Roman" w:hAnsi="Times New Roman" w:cs="Times New Roman"/>
          <w:sz w:val="20"/>
          <w:szCs w:val="20"/>
        </w:rPr>
      </w:pPr>
      <w:r w:rsidRPr="005150E1">
        <w:rPr>
          <w:rFonts w:ascii="Times New Roman" w:hAnsi="Times New Roman" w:cs="Times New Roman"/>
          <w:sz w:val="20"/>
          <w:szCs w:val="20"/>
        </w:rPr>
        <w:t>Fonte: Elaboração própria com base em dados da pesquisa</w:t>
      </w:r>
    </w:p>
    <w:p w14:paraId="42B4E755" w14:textId="77777777" w:rsidR="00665468" w:rsidRDefault="00665468" w:rsidP="006654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dados da Tabela 1 mostram que em 2015, o Brasil tinha </w:t>
      </w:r>
      <w:r w:rsidRPr="00B716F7">
        <w:rPr>
          <w:rFonts w:ascii="Times New Roman" w:hAnsi="Times New Roman" w:cs="Times New Roman"/>
          <w:sz w:val="24"/>
          <w:szCs w:val="24"/>
        </w:rPr>
        <w:t>34.569.914</w:t>
      </w:r>
      <w:r>
        <w:rPr>
          <w:rFonts w:ascii="Times New Roman" w:hAnsi="Times New Roman" w:cs="Times New Roman"/>
          <w:sz w:val="24"/>
          <w:szCs w:val="24"/>
        </w:rPr>
        <w:t xml:space="preserve"> (amostra expandida) de mulheres entre 16 e 49 anos, a parcela majoritária</w:t>
      </w:r>
      <w:r w:rsidRPr="005150E1">
        <w:rPr>
          <w:rFonts w:ascii="Times New Roman" w:hAnsi="Times New Roman" w:cs="Times New Roman"/>
          <w:sz w:val="24"/>
          <w:szCs w:val="24"/>
        </w:rPr>
        <w:t xml:space="preserve"> das mulheres n</w:t>
      </w:r>
      <w:r>
        <w:rPr>
          <w:rFonts w:ascii="Times New Roman" w:hAnsi="Times New Roman" w:cs="Times New Roman"/>
          <w:sz w:val="24"/>
          <w:szCs w:val="24"/>
        </w:rPr>
        <w:t>est</w:t>
      </w:r>
      <w:r w:rsidRPr="005150E1">
        <w:rPr>
          <w:rFonts w:ascii="Times New Roman" w:hAnsi="Times New Roman" w:cs="Times New Roman"/>
          <w:sz w:val="24"/>
          <w:szCs w:val="24"/>
        </w:rPr>
        <w:t xml:space="preserve">a faixa etária se encontram </w:t>
      </w:r>
      <w:r>
        <w:rPr>
          <w:rFonts w:ascii="Times New Roman" w:hAnsi="Times New Roman" w:cs="Times New Roman"/>
          <w:sz w:val="24"/>
          <w:szCs w:val="24"/>
        </w:rPr>
        <w:t xml:space="preserve">na condição de </w:t>
      </w:r>
      <w:r w:rsidRPr="005150E1">
        <w:rPr>
          <w:rFonts w:ascii="Times New Roman" w:hAnsi="Times New Roman" w:cs="Times New Roman"/>
          <w:sz w:val="24"/>
          <w:szCs w:val="24"/>
        </w:rPr>
        <w:t xml:space="preserve">economicamente ativas, equivalendo a 69,76% do total de mulheres, ou seja, que estão em idade ativa para o trabalho e que e/ou estavam trabalhando ou estavam à procura de emprego em 2015. Concernente </w:t>
      </w:r>
      <w:r>
        <w:rPr>
          <w:rFonts w:ascii="Times New Roman" w:hAnsi="Times New Roman" w:cs="Times New Roman"/>
          <w:sz w:val="24"/>
          <w:szCs w:val="24"/>
        </w:rPr>
        <w:t xml:space="preserve">às </w:t>
      </w:r>
      <w:r w:rsidRPr="005150E1">
        <w:rPr>
          <w:rFonts w:ascii="Times New Roman" w:hAnsi="Times New Roman" w:cs="Times New Roman"/>
          <w:sz w:val="24"/>
          <w:szCs w:val="24"/>
        </w:rPr>
        <w:t xml:space="preserve">mulheres não economicamente ativas, </w:t>
      </w:r>
      <w:r w:rsidRPr="005150E1">
        <w:rPr>
          <w:rFonts w:ascii="Times New Roman" w:hAnsi="Times New Roman" w:cs="Times New Roman"/>
          <w:sz w:val="24"/>
          <w:szCs w:val="24"/>
        </w:rPr>
        <w:lastRenderedPageBreak/>
        <w:t>observa-se que 30,24% das mulheres se encontram nesta classificação, ou seja, nesta categoria estão as mulheres que estão em idade ativa, mas que não est</w:t>
      </w:r>
      <w:r>
        <w:rPr>
          <w:rFonts w:ascii="Times New Roman" w:hAnsi="Times New Roman" w:cs="Times New Roman"/>
          <w:sz w:val="24"/>
          <w:szCs w:val="24"/>
        </w:rPr>
        <w:t xml:space="preserve">avam </w:t>
      </w:r>
      <w:r w:rsidRPr="005150E1">
        <w:rPr>
          <w:rFonts w:ascii="Times New Roman" w:hAnsi="Times New Roman" w:cs="Times New Roman"/>
          <w:sz w:val="24"/>
          <w:szCs w:val="24"/>
        </w:rPr>
        <w:t>à procura de emprego, ou por interesse ou por não ter condições de exercer uma determinada função.</w:t>
      </w:r>
    </w:p>
    <w:p w14:paraId="311B6DCA" w14:textId="77777777" w:rsidR="00665468" w:rsidRDefault="00665468" w:rsidP="00665468">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Conforme mostrado na Tabela </w:t>
      </w:r>
      <w:r>
        <w:rPr>
          <w:rFonts w:ascii="Times New Roman" w:hAnsi="Times New Roman" w:cs="Times New Roman"/>
          <w:sz w:val="24"/>
          <w:szCs w:val="24"/>
        </w:rPr>
        <w:t>1</w:t>
      </w:r>
      <w:r w:rsidRPr="005150E1">
        <w:rPr>
          <w:rFonts w:ascii="Times New Roman" w:hAnsi="Times New Roman" w:cs="Times New Roman"/>
          <w:sz w:val="24"/>
          <w:szCs w:val="24"/>
        </w:rPr>
        <w:t>, 84,10% das mulheres entrevistadas informaram ter filho nascido vivo até a data de referência e 15,90% afirmaram não ter filho não possuir filho até o ano de 2015.</w:t>
      </w:r>
      <w:r>
        <w:rPr>
          <w:rFonts w:ascii="Times New Roman" w:hAnsi="Times New Roman" w:cs="Times New Roman"/>
          <w:sz w:val="24"/>
          <w:szCs w:val="24"/>
        </w:rPr>
        <w:t xml:space="preserve"> Com relação a macrorregião de residência, </w:t>
      </w:r>
      <w:r w:rsidRPr="005150E1">
        <w:rPr>
          <w:rFonts w:ascii="Times New Roman" w:hAnsi="Times New Roman" w:cs="Times New Roman"/>
          <w:sz w:val="24"/>
          <w:szCs w:val="24"/>
        </w:rPr>
        <w:t>a maior parte das mulheres entrevistadas reside</w:t>
      </w:r>
      <w:r>
        <w:rPr>
          <w:rFonts w:ascii="Times New Roman" w:hAnsi="Times New Roman" w:cs="Times New Roman"/>
          <w:sz w:val="24"/>
          <w:szCs w:val="24"/>
        </w:rPr>
        <w:t xml:space="preserve"> n</w:t>
      </w:r>
      <w:r w:rsidRPr="005150E1">
        <w:rPr>
          <w:rFonts w:ascii="Times New Roman" w:hAnsi="Times New Roman" w:cs="Times New Roman"/>
          <w:sz w:val="24"/>
          <w:szCs w:val="24"/>
        </w:rPr>
        <w:t xml:space="preserve">as regiões Sudeste e Nordeste, haja vista que 41,15% e 27,22%, respectivamente, das mulheres se concentraram nestas regiões. No que concerne </w:t>
      </w:r>
      <w:r>
        <w:rPr>
          <w:rFonts w:ascii="Times New Roman" w:hAnsi="Times New Roman" w:cs="Times New Roman"/>
          <w:sz w:val="24"/>
          <w:szCs w:val="24"/>
        </w:rPr>
        <w:t xml:space="preserve">às </w:t>
      </w:r>
      <w:r w:rsidRPr="005150E1">
        <w:rPr>
          <w:rFonts w:ascii="Times New Roman" w:hAnsi="Times New Roman" w:cs="Times New Roman"/>
          <w:sz w:val="24"/>
          <w:szCs w:val="24"/>
        </w:rPr>
        <w:t xml:space="preserve">menores participação de mulheres nas regiões, foi verificado, nesta ordem, </w:t>
      </w:r>
      <w:r>
        <w:rPr>
          <w:rFonts w:ascii="Times New Roman" w:hAnsi="Times New Roman" w:cs="Times New Roman"/>
          <w:sz w:val="24"/>
          <w:szCs w:val="24"/>
        </w:rPr>
        <w:t>n</w:t>
      </w:r>
      <w:r w:rsidRPr="005150E1">
        <w:rPr>
          <w:rFonts w:ascii="Times New Roman" w:hAnsi="Times New Roman" w:cs="Times New Roman"/>
          <w:sz w:val="24"/>
          <w:szCs w:val="24"/>
        </w:rPr>
        <w:t>as regiões Centro – Oeste e Norte, haja vista que apresentaram 8,36% e 8,48%, do total de mulheres entrevistadas para o ano de 2015.</w:t>
      </w:r>
    </w:p>
    <w:p w14:paraId="49BE42B4" w14:textId="0A42EF0A" w:rsidR="00665468" w:rsidRPr="00665468" w:rsidRDefault="00665468" w:rsidP="006654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Sobre a condição de raça/cor, </w:t>
      </w:r>
      <w:r w:rsidRPr="005150E1">
        <w:rPr>
          <w:rFonts w:ascii="Times New Roman" w:hAnsi="Times New Roman" w:cs="Times New Roman"/>
          <w:sz w:val="24"/>
          <w:szCs w:val="24"/>
        </w:rPr>
        <w:t>as maiores parcelas de mulheres entrevistadas na data de referênci</w:t>
      </w:r>
      <w:r>
        <w:rPr>
          <w:rFonts w:ascii="Times New Roman" w:hAnsi="Times New Roman" w:cs="Times New Roman"/>
          <w:sz w:val="24"/>
          <w:szCs w:val="24"/>
        </w:rPr>
        <w:t xml:space="preserve">a </w:t>
      </w:r>
      <w:r w:rsidRPr="005150E1">
        <w:rPr>
          <w:rFonts w:ascii="Times New Roman" w:hAnsi="Times New Roman" w:cs="Times New Roman"/>
          <w:sz w:val="24"/>
          <w:szCs w:val="24"/>
        </w:rPr>
        <w:t>eram pardas e brancas, correspondendo a 45,25% e 44,19%, respectivamente, do total de mulheres entrevistadas. No que diz respeito as menores participações, percebe-se que 0,45% se declararam como amarelas e 0,46% como indígenas.</w:t>
      </w:r>
      <w:r>
        <w:rPr>
          <w:rFonts w:ascii="Times New Roman" w:hAnsi="Times New Roman" w:cs="Times New Roman"/>
          <w:sz w:val="24"/>
          <w:szCs w:val="24"/>
        </w:rPr>
        <w:t xml:space="preserve"> Por fim, no que concerne ao nível de instrução</w:t>
      </w:r>
      <w:r w:rsidRPr="005150E1">
        <w:rPr>
          <w:rFonts w:ascii="Times New Roman" w:hAnsi="Times New Roman" w:cs="Times New Roman"/>
          <w:sz w:val="24"/>
          <w:szCs w:val="24"/>
        </w:rPr>
        <w:t>, a maior parte das mulheres entrevistadas inform</w:t>
      </w:r>
      <w:r>
        <w:rPr>
          <w:rFonts w:ascii="Times New Roman" w:hAnsi="Times New Roman" w:cs="Times New Roman"/>
          <w:sz w:val="24"/>
          <w:szCs w:val="24"/>
        </w:rPr>
        <w:t xml:space="preserve">ou </w:t>
      </w:r>
      <w:r w:rsidRPr="005150E1">
        <w:rPr>
          <w:rFonts w:ascii="Times New Roman" w:hAnsi="Times New Roman" w:cs="Times New Roman"/>
          <w:sz w:val="24"/>
          <w:szCs w:val="24"/>
        </w:rPr>
        <w:t>possuir ensino médio completo e superior incompleto. Sendo a menor participação, das mulheres que possuem ensino superior completo no ano de 2015.</w:t>
      </w:r>
    </w:p>
    <w:p w14:paraId="31BD06AF" w14:textId="77777777" w:rsidR="00077BDD" w:rsidRPr="005150E1" w:rsidRDefault="00077BDD" w:rsidP="00077BDD">
      <w:pPr>
        <w:spacing w:after="0" w:line="360" w:lineRule="auto"/>
        <w:ind w:left="360"/>
        <w:jc w:val="both"/>
        <w:rPr>
          <w:rFonts w:ascii="Times New Roman" w:hAnsi="Times New Roman" w:cs="Times New Roman"/>
          <w:b/>
          <w:bCs/>
          <w:sz w:val="24"/>
          <w:szCs w:val="24"/>
        </w:rPr>
      </w:pPr>
      <w:r w:rsidRPr="005150E1">
        <w:rPr>
          <w:rFonts w:ascii="Times New Roman" w:hAnsi="Times New Roman" w:cs="Times New Roman"/>
          <w:b/>
          <w:bCs/>
          <w:sz w:val="24"/>
          <w:szCs w:val="24"/>
        </w:rPr>
        <w:t xml:space="preserve">4.2 Análise da </w:t>
      </w:r>
      <w:r>
        <w:rPr>
          <w:rFonts w:ascii="Times New Roman" w:hAnsi="Times New Roman" w:cs="Times New Roman"/>
          <w:b/>
          <w:bCs/>
          <w:sz w:val="24"/>
          <w:szCs w:val="24"/>
        </w:rPr>
        <w:t>I</w:t>
      </w:r>
      <w:r w:rsidRPr="005150E1">
        <w:rPr>
          <w:rFonts w:ascii="Times New Roman" w:hAnsi="Times New Roman" w:cs="Times New Roman"/>
          <w:b/>
          <w:bCs/>
          <w:sz w:val="24"/>
          <w:szCs w:val="24"/>
        </w:rPr>
        <w:t xml:space="preserve">nserção </w:t>
      </w:r>
      <w:r>
        <w:rPr>
          <w:rFonts w:ascii="Times New Roman" w:hAnsi="Times New Roman" w:cs="Times New Roman"/>
          <w:b/>
          <w:bCs/>
          <w:sz w:val="24"/>
          <w:szCs w:val="24"/>
        </w:rPr>
        <w:t>F</w:t>
      </w:r>
      <w:r w:rsidRPr="005150E1">
        <w:rPr>
          <w:rFonts w:ascii="Times New Roman" w:hAnsi="Times New Roman" w:cs="Times New Roman"/>
          <w:b/>
          <w:bCs/>
          <w:sz w:val="24"/>
          <w:szCs w:val="24"/>
        </w:rPr>
        <w:t xml:space="preserve">eminina no </w:t>
      </w:r>
      <w:r>
        <w:rPr>
          <w:rFonts w:ascii="Times New Roman" w:hAnsi="Times New Roman" w:cs="Times New Roman"/>
          <w:b/>
          <w:bCs/>
          <w:sz w:val="24"/>
          <w:szCs w:val="24"/>
        </w:rPr>
        <w:t>M</w:t>
      </w:r>
      <w:r w:rsidRPr="005150E1">
        <w:rPr>
          <w:rFonts w:ascii="Times New Roman" w:hAnsi="Times New Roman" w:cs="Times New Roman"/>
          <w:b/>
          <w:bCs/>
          <w:sz w:val="24"/>
          <w:szCs w:val="24"/>
        </w:rPr>
        <w:t xml:space="preserve">ercado de </w:t>
      </w:r>
      <w:r>
        <w:rPr>
          <w:rFonts w:ascii="Times New Roman" w:hAnsi="Times New Roman" w:cs="Times New Roman"/>
          <w:b/>
          <w:bCs/>
          <w:sz w:val="24"/>
          <w:szCs w:val="24"/>
        </w:rPr>
        <w:t>T</w:t>
      </w:r>
      <w:r w:rsidRPr="005150E1">
        <w:rPr>
          <w:rFonts w:ascii="Times New Roman" w:hAnsi="Times New Roman" w:cs="Times New Roman"/>
          <w:b/>
          <w:bCs/>
          <w:sz w:val="24"/>
          <w:szCs w:val="24"/>
        </w:rPr>
        <w:t>rabalho</w:t>
      </w:r>
    </w:p>
    <w:p w14:paraId="3BB62DB5" w14:textId="1A7FBD14"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Nesta seção, apresenta-se uma avaliação dos principais condicionantes referentes à participação da mulher no mercado de trabalho brasileiro. Para estimar a associação entre a presença de filhos e a chance de participação no mercado de trabalho foi estimado o modelo de regressão logístico binário, logit, e os resultados da regressão estão expressos na tabela </w:t>
      </w:r>
      <w:r w:rsidR="00700A51">
        <w:rPr>
          <w:rFonts w:ascii="Times New Roman" w:hAnsi="Times New Roman" w:cs="Times New Roman"/>
          <w:sz w:val="24"/>
          <w:szCs w:val="24"/>
        </w:rPr>
        <w:t>2</w:t>
      </w:r>
      <w:r w:rsidRPr="005150E1">
        <w:rPr>
          <w:rFonts w:ascii="Times New Roman" w:hAnsi="Times New Roman" w:cs="Times New Roman"/>
          <w:sz w:val="24"/>
          <w:szCs w:val="24"/>
        </w:rPr>
        <w:t>.</w:t>
      </w:r>
    </w:p>
    <w:p w14:paraId="16F38D71" w14:textId="1381E775" w:rsidR="00675A86" w:rsidRPr="00675A86" w:rsidRDefault="00077BDD" w:rsidP="00675A86">
      <w:pPr>
        <w:spacing w:after="0" w:line="360" w:lineRule="auto"/>
        <w:ind w:firstLine="708"/>
        <w:jc w:val="both"/>
        <w:rPr>
          <w:rFonts w:ascii="Times New Roman" w:eastAsia="Times New Roman" w:hAnsi="Times New Roman" w:cs="Times New Roman"/>
          <w:sz w:val="24"/>
          <w:szCs w:val="24"/>
          <w:lang w:eastAsia="pt-BR"/>
        </w:rPr>
      </w:pPr>
      <w:r w:rsidRPr="005150E1">
        <w:rPr>
          <w:rFonts w:ascii="Times New Roman" w:hAnsi="Times New Roman" w:cs="Times New Roman"/>
          <w:sz w:val="24"/>
          <w:szCs w:val="24"/>
        </w:rPr>
        <w:t>A regressão apresenta a probabilidade Chi2= 0,000, demonstrando assim que a significância global ou conjunta da regressão é estatisticamente significante a 1%, ou seja, existe pelo menos um coeficiente na regressão diferente de zero. Ainda convém ressaltar que por ser um modelo não linear, não se analis</w:t>
      </w:r>
      <w:r>
        <w:rPr>
          <w:rFonts w:ascii="Times New Roman" w:hAnsi="Times New Roman" w:cs="Times New Roman"/>
          <w:sz w:val="24"/>
          <w:szCs w:val="24"/>
        </w:rPr>
        <w:t>a diretamente os valores d</w:t>
      </w:r>
      <w:r w:rsidRPr="005150E1">
        <w:rPr>
          <w:rFonts w:ascii="Times New Roman" w:hAnsi="Times New Roman" w:cs="Times New Roman"/>
          <w:sz w:val="24"/>
          <w:szCs w:val="24"/>
        </w:rPr>
        <w:t>o</w:t>
      </w:r>
      <w:r>
        <w:rPr>
          <w:rFonts w:ascii="Times New Roman" w:hAnsi="Times New Roman" w:cs="Times New Roman"/>
          <w:sz w:val="24"/>
          <w:szCs w:val="24"/>
        </w:rPr>
        <w:t>s</w:t>
      </w:r>
      <w:r w:rsidRPr="005150E1">
        <w:rPr>
          <w:rFonts w:ascii="Times New Roman" w:hAnsi="Times New Roman" w:cs="Times New Roman"/>
          <w:sz w:val="24"/>
          <w:szCs w:val="24"/>
        </w:rPr>
        <w:t xml:space="preserve"> coeficiente</w:t>
      </w:r>
      <w:r>
        <w:rPr>
          <w:rFonts w:ascii="Times New Roman" w:hAnsi="Times New Roman" w:cs="Times New Roman"/>
          <w:sz w:val="24"/>
          <w:szCs w:val="24"/>
        </w:rPr>
        <w:t>s das variáveis</w:t>
      </w:r>
      <w:r w:rsidRPr="005150E1">
        <w:rPr>
          <w:rFonts w:ascii="Times New Roman" w:hAnsi="Times New Roman" w:cs="Times New Roman"/>
          <w:sz w:val="24"/>
          <w:szCs w:val="24"/>
        </w:rPr>
        <w:t>, observa</w:t>
      </w:r>
      <w:r>
        <w:rPr>
          <w:rFonts w:ascii="Times New Roman" w:hAnsi="Times New Roman" w:cs="Times New Roman"/>
          <w:sz w:val="24"/>
          <w:szCs w:val="24"/>
        </w:rPr>
        <w:t>m</w:t>
      </w:r>
      <w:r w:rsidRPr="005150E1">
        <w:rPr>
          <w:rFonts w:ascii="Times New Roman" w:hAnsi="Times New Roman" w:cs="Times New Roman"/>
          <w:sz w:val="24"/>
          <w:szCs w:val="24"/>
        </w:rPr>
        <w:t>-se o</w:t>
      </w:r>
      <w:r>
        <w:rPr>
          <w:rFonts w:ascii="Times New Roman" w:hAnsi="Times New Roman" w:cs="Times New Roman"/>
          <w:sz w:val="24"/>
          <w:szCs w:val="24"/>
        </w:rPr>
        <w:t>s sinais e a significância</w:t>
      </w:r>
      <w:r w:rsidRPr="005150E1">
        <w:rPr>
          <w:rFonts w:ascii="Times New Roman" w:hAnsi="Times New Roman" w:cs="Times New Roman"/>
          <w:sz w:val="24"/>
          <w:szCs w:val="24"/>
        </w:rPr>
        <w:t xml:space="preserve">. </w:t>
      </w:r>
      <w:r w:rsidR="00675A86" w:rsidRPr="005150E1">
        <w:rPr>
          <w:rFonts w:ascii="Times New Roman" w:eastAsia="Times New Roman" w:hAnsi="Times New Roman" w:cs="Times New Roman"/>
          <w:sz w:val="24"/>
          <w:szCs w:val="24"/>
          <w:lang w:eastAsia="pt-BR"/>
        </w:rPr>
        <w:t xml:space="preserve">Com relação ao poder de explicação do </w:t>
      </w:r>
      <w:r w:rsidR="00675A86" w:rsidRPr="005150E1">
        <w:rPr>
          <w:rFonts w:ascii="Times New Roman" w:eastAsia="Times New Roman" w:hAnsi="Times New Roman" w:cs="Times New Roman"/>
          <w:sz w:val="24"/>
          <w:szCs w:val="24"/>
          <w:lang w:eastAsia="pt-BR"/>
        </w:rPr>
        <w:lastRenderedPageBreak/>
        <w:t xml:space="preserve">modelo </w:t>
      </w:r>
      <w:r w:rsidR="00675A86">
        <w:rPr>
          <w:rFonts w:ascii="Times New Roman" w:eastAsia="Times New Roman" w:hAnsi="Times New Roman" w:cs="Times New Roman"/>
          <w:sz w:val="24"/>
          <w:szCs w:val="24"/>
          <w:lang w:eastAsia="pt-BR"/>
        </w:rPr>
        <w:t>o critério de percentual de avaliação correta aponta que entre o que o modelo prediz e o que ocorre na amostra é de 70,35%.</w:t>
      </w:r>
    </w:p>
    <w:p w14:paraId="5BF861DB" w14:textId="1949A629" w:rsidR="00077BDD" w:rsidRPr="005150E1" w:rsidRDefault="00077BDD" w:rsidP="00435564">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Os resultados dos estimadores encontrados na tabela </w:t>
      </w:r>
      <w:r w:rsidR="009A24E7">
        <w:rPr>
          <w:rFonts w:ascii="Times New Roman" w:hAnsi="Times New Roman" w:cs="Times New Roman"/>
          <w:sz w:val="24"/>
          <w:szCs w:val="24"/>
        </w:rPr>
        <w:t>2</w:t>
      </w:r>
      <w:r w:rsidRPr="005150E1">
        <w:rPr>
          <w:rFonts w:ascii="Times New Roman" w:hAnsi="Times New Roman" w:cs="Times New Roman"/>
          <w:sz w:val="24"/>
          <w:szCs w:val="24"/>
        </w:rPr>
        <w:t xml:space="preserve"> estão expressos </w:t>
      </w:r>
      <w:r>
        <w:rPr>
          <w:rFonts w:ascii="Times New Roman" w:hAnsi="Times New Roman" w:cs="Times New Roman"/>
          <w:sz w:val="24"/>
          <w:szCs w:val="24"/>
        </w:rPr>
        <w:t>com os s</w:t>
      </w:r>
      <w:r w:rsidRPr="005150E1">
        <w:rPr>
          <w:rFonts w:ascii="Times New Roman" w:hAnsi="Times New Roman" w:cs="Times New Roman"/>
          <w:sz w:val="24"/>
          <w:szCs w:val="24"/>
        </w:rPr>
        <w:t>eus respectivos coeficientes e em razão de chances, cuja variável de interesse é a participação da mulher no mercado de trabalho, com ênfase no fato de ser ou não mãe, levando em consideração a região de residência, raça/cor e nível educacional. Na regressão, todos os coeficientes mostram-se estatisticamente significativos, sendo o coeficiente indígena significante ao nível de 5% e as demais variáveis significantes a 1%.</w:t>
      </w:r>
    </w:p>
    <w:p w14:paraId="62CEED57" w14:textId="53C640C4" w:rsidR="00077BDD" w:rsidRPr="005150E1" w:rsidRDefault="00077BDD" w:rsidP="00077BDD">
      <w:pPr>
        <w:spacing w:after="0" w:line="240" w:lineRule="auto"/>
        <w:jc w:val="center"/>
        <w:rPr>
          <w:rFonts w:ascii="Times New Roman" w:hAnsi="Times New Roman" w:cs="Times New Roman"/>
          <w:b/>
          <w:bCs/>
          <w:sz w:val="24"/>
          <w:szCs w:val="24"/>
        </w:rPr>
      </w:pPr>
      <w:r w:rsidRPr="005150E1">
        <w:rPr>
          <w:rFonts w:ascii="Times New Roman" w:hAnsi="Times New Roman" w:cs="Times New Roman"/>
          <w:b/>
          <w:bCs/>
          <w:sz w:val="24"/>
          <w:szCs w:val="24"/>
        </w:rPr>
        <w:t xml:space="preserve">Tabela </w:t>
      </w:r>
      <w:r w:rsidR="009A24E7">
        <w:rPr>
          <w:rFonts w:ascii="Times New Roman" w:hAnsi="Times New Roman" w:cs="Times New Roman"/>
          <w:b/>
          <w:bCs/>
          <w:sz w:val="24"/>
          <w:szCs w:val="24"/>
        </w:rPr>
        <w:t>2</w:t>
      </w:r>
      <w:r w:rsidRPr="005150E1">
        <w:rPr>
          <w:rFonts w:ascii="Times New Roman" w:hAnsi="Times New Roman" w:cs="Times New Roman"/>
          <w:b/>
          <w:bCs/>
          <w:sz w:val="24"/>
          <w:szCs w:val="24"/>
        </w:rPr>
        <w:t xml:space="preserve">: </w:t>
      </w:r>
      <w:r w:rsidRPr="005150E1">
        <w:rPr>
          <w:rFonts w:ascii="Times New Roman" w:hAnsi="Times New Roman" w:cs="Times New Roman"/>
          <w:sz w:val="24"/>
          <w:szCs w:val="24"/>
        </w:rPr>
        <w:t xml:space="preserve"> </w:t>
      </w:r>
      <w:r w:rsidRPr="005150E1">
        <w:rPr>
          <w:rFonts w:ascii="Times New Roman" w:hAnsi="Times New Roman" w:cs="Times New Roman"/>
          <w:b/>
          <w:bCs/>
          <w:sz w:val="24"/>
          <w:szCs w:val="24"/>
        </w:rPr>
        <w:t>Razão de Chances de Participação da Mulher no Mercado de Trabalho</w:t>
      </w:r>
    </w:p>
    <w:tbl>
      <w:tblPr>
        <w:tblW w:w="942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920"/>
        <w:gridCol w:w="1360"/>
        <w:gridCol w:w="1380"/>
        <w:gridCol w:w="2080"/>
        <w:gridCol w:w="1680"/>
      </w:tblGrid>
      <w:tr w:rsidR="00077BDD" w:rsidRPr="005150E1" w14:paraId="0BBEF82F" w14:textId="77777777" w:rsidTr="002C7A0E">
        <w:trPr>
          <w:trHeight w:val="255"/>
          <w:jc w:val="center"/>
        </w:trPr>
        <w:tc>
          <w:tcPr>
            <w:tcW w:w="2920" w:type="dxa"/>
            <w:tcBorders>
              <w:top w:val="single" w:sz="4" w:space="0" w:color="auto"/>
              <w:bottom w:val="single" w:sz="4" w:space="0" w:color="auto"/>
            </w:tcBorders>
            <w:shd w:val="clear" w:color="auto" w:fill="D0CECE" w:themeFill="background2" w:themeFillShade="E6"/>
            <w:noWrap/>
            <w:vAlign w:val="bottom"/>
            <w:hideMark/>
          </w:tcPr>
          <w:p w14:paraId="37741A31"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Variáveis</w:t>
            </w:r>
          </w:p>
        </w:tc>
        <w:tc>
          <w:tcPr>
            <w:tcW w:w="1360" w:type="dxa"/>
            <w:tcBorders>
              <w:top w:val="single" w:sz="4" w:space="0" w:color="auto"/>
              <w:bottom w:val="single" w:sz="4" w:space="0" w:color="auto"/>
            </w:tcBorders>
            <w:shd w:val="clear" w:color="auto" w:fill="D0CECE" w:themeFill="background2" w:themeFillShade="E6"/>
            <w:noWrap/>
            <w:vAlign w:val="bottom"/>
            <w:hideMark/>
          </w:tcPr>
          <w:p w14:paraId="7C1D9FBD"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Coeficientes</w:t>
            </w:r>
          </w:p>
        </w:tc>
        <w:tc>
          <w:tcPr>
            <w:tcW w:w="1380" w:type="dxa"/>
            <w:tcBorders>
              <w:top w:val="single" w:sz="4" w:space="0" w:color="auto"/>
              <w:bottom w:val="single" w:sz="4" w:space="0" w:color="auto"/>
            </w:tcBorders>
            <w:shd w:val="clear" w:color="auto" w:fill="D0CECE" w:themeFill="background2" w:themeFillShade="E6"/>
            <w:noWrap/>
            <w:vAlign w:val="bottom"/>
            <w:hideMark/>
          </w:tcPr>
          <w:p w14:paraId="178622FA"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Erro - Padrão</w:t>
            </w:r>
          </w:p>
        </w:tc>
        <w:tc>
          <w:tcPr>
            <w:tcW w:w="2080" w:type="dxa"/>
            <w:tcBorders>
              <w:top w:val="single" w:sz="4" w:space="0" w:color="auto"/>
              <w:bottom w:val="single" w:sz="4" w:space="0" w:color="auto"/>
            </w:tcBorders>
            <w:shd w:val="clear" w:color="auto" w:fill="D0CECE" w:themeFill="background2" w:themeFillShade="E6"/>
            <w:noWrap/>
            <w:vAlign w:val="bottom"/>
            <w:hideMark/>
          </w:tcPr>
          <w:p w14:paraId="0FF89A7A"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Razão de Chances</w:t>
            </w:r>
          </w:p>
        </w:tc>
        <w:tc>
          <w:tcPr>
            <w:tcW w:w="1680" w:type="dxa"/>
            <w:tcBorders>
              <w:top w:val="single" w:sz="4" w:space="0" w:color="auto"/>
              <w:bottom w:val="single" w:sz="4" w:space="0" w:color="auto"/>
            </w:tcBorders>
            <w:shd w:val="clear" w:color="auto" w:fill="D0CECE" w:themeFill="background2" w:themeFillShade="E6"/>
            <w:noWrap/>
            <w:vAlign w:val="bottom"/>
            <w:hideMark/>
          </w:tcPr>
          <w:p w14:paraId="4F4B0300"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Erro - Padrão</w:t>
            </w:r>
          </w:p>
        </w:tc>
      </w:tr>
      <w:tr w:rsidR="00077BDD" w:rsidRPr="005150E1" w14:paraId="06CBCC62" w14:textId="77777777" w:rsidTr="002C7A0E">
        <w:trPr>
          <w:trHeight w:val="255"/>
          <w:jc w:val="center"/>
        </w:trPr>
        <w:tc>
          <w:tcPr>
            <w:tcW w:w="2920" w:type="dxa"/>
            <w:tcBorders>
              <w:top w:val="single" w:sz="4" w:space="0" w:color="auto"/>
            </w:tcBorders>
            <w:shd w:val="clear" w:color="auto" w:fill="auto"/>
            <w:noWrap/>
            <w:vAlign w:val="bottom"/>
            <w:hideMark/>
          </w:tcPr>
          <w:p w14:paraId="3843ED1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c_filho</w:t>
            </w:r>
          </w:p>
        </w:tc>
        <w:tc>
          <w:tcPr>
            <w:tcW w:w="1360" w:type="dxa"/>
            <w:tcBorders>
              <w:top w:val="single" w:sz="4" w:space="0" w:color="auto"/>
            </w:tcBorders>
            <w:shd w:val="clear" w:color="auto" w:fill="auto"/>
            <w:noWrap/>
            <w:vAlign w:val="bottom"/>
            <w:hideMark/>
          </w:tcPr>
          <w:p w14:paraId="20EBE9F8" w14:textId="77777777" w:rsidR="00077BDD" w:rsidRPr="005150E1" w:rsidRDefault="00077BDD" w:rsidP="002C7A0E">
            <w:pPr>
              <w:spacing w:after="0" w:line="240" w:lineRule="auto"/>
              <w:jc w:val="center"/>
              <w:rPr>
                <w:rFonts w:ascii="Times New Roman" w:eastAsia="Times New Roman" w:hAnsi="Times New Roman" w:cs="Times New Roman"/>
                <w:sz w:val="20"/>
                <w:szCs w:val="20"/>
                <w:vertAlign w:val="superscript"/>
                <w:lang w:eastAsia="pt-BR"/>
              </w:rPr>
            </w:pPr>
            <w:r w:rsidRPr="005150E1">
              <w:rPr>
                <w:rFonts w:ascii="Times New Roman" w:eastAsia="Times New Roman" w:hAnsi="Times New Roman" w:cs="Times New Roman"/>
                <w:sz w:val="20"/>
                <w:szCs w:val="20"/>
                <w:lang w:eastAsia="pt-BR"/>
              </w:rPr>
              <w:t>-0,49</w:t>
            </w:r>
            <w:r w:rsidRPr="005150E1">
              <w:rPr>
                <w:rFonts w:ascii="Times New Roman" w:eastAsia="Times New Roman" w:hAnsi="Times New Roman" w:cs="Times New Roman"/>
                <w:sz w:val="20"/>
                <w:szCs w:val="20"/>
                <w:vertAlign w:val="superscript"/>
                <w:lang w:eastAsia="pt-BR"/>
              </w:rPr>
              <w:t>***</w:t>
            </w:r>
          </w:p>
        </w:tc>
        <w:tc>
          <w:tcPr>
            <w:tcW w:w="1380" w:type="dxa"/>
            <w:tcBorders>
              <w:top w:val="single" w:sz="4" w:space="0" w:color="auto"/>
            </w:tcBorders>
            <w:shd w:val="clear" w:color="auto" w:fill="auto"/>
            <w:noWrap/>
            <w:vAlign w:val="bottom"/>
            <w:hideMark/>
          </w:tcPr>
          <w:p w14:paraId="157B9BA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0,0300</w:t>
            </w:r>
          </w:p>
        </w:tc>
        <w:tc>
          <w:tcPr>
            <w:tcW w:w="2080" w:type="dxa"/>
            <w:tcBorders>
              <w:top w:val="single" w:sz="4" w:space="0" w:color="auto"/>
            </w:tcBorders>
            <w:shd w:val="clear" w:color="auto" w:fill="auto"/>
            <w:noWrap/>
            <w:vAlign w:val="bottom"/>
            <w:hideMark/>
          </w:tcPr>
          <w:p w14:paraId="420FE16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0,61</w:t>
            </w:r>
            <w:r w:rsidRPr="005150E1">
              <w:rPr>
                <w:rFonts w:ascii="Times New Roman" w:eastAsia="Times New Roman" w:hAnsi="Times New Roman" w:cs="Times New Roman"/>
                <w:sz w:val="20"/>
                <w:szCs w:val="20"/>
                <w:vertAlign w:val="superscript"/>
                <w:lang w:eastAsia="pt-BR"/>
              </w:rPr>
              <w:t>***</w:t>
            </w:r>
          </w:p>
        </w:tc>
        <w:tc>
          <w:tcPr>
            <w:tcW w:w="1680" w:type="dxa"/>
            <w:tcBorders>
              <w:top w:val="single" w:sz="4" w:space="0" w:color="auto"/>
            </w:tcBorders>
            <w:shd w:val="clear" w:color="auto" w:fill="auto"/>
            <w:noWrap/>
            <w:vAlign w:val="bottom"/>
            <w:hideMark/>
          </w:tcPr>
          <w:p w14:paraId="76466CE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0,0183</w:t>
            </w:r>
          </w:p>
        </w:tc>
      </w:tr>
      <w:tr w:rsidR="00077BDD" w:rsidRPr="005150E1" w14:paraId="41C09C22" w14:textId="77777777" w:rsidTr="002C7A0E">
        <w:trPr>
          <w:trHeight w:val="255"/>
          <w:jc w:val="center"/>
        </w:trPr>
        <w:tc>
          <w:tcPr>
            <w:tcW w:w="2920" w:type="dxa"/>
            <w:shd w:val="clear" w:color="auto" w:fill="auto"/>
            <w:noWrap/>
            <w:vAlign w:val="bottom"/>
            <w:hideMark/>
          </w:tcPr>
          <w:p w14:paraId="536C7A9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c_comp</w:t>
            </w:r>
          </w:p>
        </w:tc>
        <w:tc>
          <w:tcPr>
            <w:tcW w:w="1360" w:type="dxa"/>
            <w:shd w:val="clear" w:color="auto" w:fill="auto"/>
            <w:noWrap/>
            <w:vAlign w:val="bottom"/>
            <w:hideMark/>
          </w:tcPr>
          <w:p w14:paraId="03A77BB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-0,85</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4B41462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0,0271</w:t>
            </w:r>
          </w:p>
        </w:tc>
        <w:tc>
          <w:tcPr>
            <w:tcW w:w="2080" w:type="dxa"/>
            <w:shd w:val="clear" w:color="auto" w:fill="auto"/>
            <w:noWrap/>
            <w:vAlign w:val="bottom"/>
            <w:hideMark/>
          </w:tcPr>
          <w:p w14:paraId="222C8AD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0,43</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21D69FE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0,0115</w:t>
            </w:r>
          </w:p>
        </w:tc>
      </w:tr>
      <w:tr w:rsidR="00077BDD" w:rsidRPr="005150E1" w14:paraId="63A05E34" w14:textId="77777777" w:rsidTr="002C7A0E">
        <w:trPr>
          <w:trHeight w:val="255"/>
          <w:jc w:val="center"/>
        </w:trPr>
        <w:tc>
          <w:tcPr>
            <w:tcW w:w="2920" w:type="dxa"/>
            <w:shd w:val="clear" w:color="auto" w:fill="auto"/>
            <w:noWrap/>
            <w:vAlign w:val="bottom"/>
            <w:hideMark/>
          </w:tcPr>
          <w:p w14:paraId="1532A7E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preta</w:t>
            </w:r>
          </w:p>
        </w:tc>
        <w:tc>
          <w:tcPr>
            <w:tcW w:w="1360" w:type="dxa"/>
            <w:shd w:val="clear" w:color="auto" w:fill="auto"/>
            <w:noWrap/>
            <w:vAlign w:val="bottom"/>
            <w:hideMark/>
          </w:tcPr>
          <w:p w14:paraId="53613EA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0,23</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54ADB42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0,0339</w:t>
            </w:r>
          </w:p>
        </w:tc>
        <w:tc>
          <w:tcPr>
            <w:tcW w:w="2080" w:type="dxa"/>
            <w:shd w:val="clear" w:color="auto" w:fill="auto"/>
            <w:noWrap/>
            <w:vAlign w:val="bottom"/>
            <w:hideMark/>
          </w:tcPr>
          <w:p w14:paraId="26E454E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1,25</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209A89A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0,0425</w:t>
            </w:r>
          </w:p>
        </w:tc>
      </w:tr>
      <w:tr w:rsidR="00077BDD" w:rsidRPr="005150E1" w14:paraId="543C0EAD" w14:textId="77777777" w:rsidTr="002C7A0E">
        <w:trPr>
          <w:trHeight w:val="255"/>
          <w:jc w:val="center"/>
        </w:trPr>
        <w:tc>
          <w:tcPr>
            <w:tcW w:w="2920" w:type="dxa"/>
            <w:shd w:val="clear" w:color="auto" w:fill="auto"/>
            <w:noWrap/>
            <w:vAlign w:val="bottom"/>
            <w:hideMark/>
          </w:tcPr>
          <w:p w14:paraId="1A4ADF1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parda</w:t>
            </w:r>
          </w:p>
        </w:tc>
        <w:tc>
          <w:tcPr>
            <w:tcW w:w="1360" w:type="dxa"/>
            <w:shd w:val="clear" w:color="auto" w:fill="auto"/>
            <w:noWrap/>
            <w:vAlign w:val="bottom"/>
            <w:hideMark/>
          </w:tcPr>
          <w:p w14:paraId="455E166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0,07</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458F4AF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0,0216</w:t>
            </w:r>
          </w:p>
        </w:tc>
        <w:tc>
          <w:tcPr>
            <w:tcW w:w="2080" w:type="dxa"/>
            <w:shd w:val="clear" w:color="auto" w:fill="auto"/>
            <w:noWrap/>
            <w:vAlign w:val="bottom"/>
            <w:hideMark/>
          </w:tcPr>
          <w:p w14:paraId="253B806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1,08</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76B9E2B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0,0232</w:t>
            </w:r>
          </w:p>
        </w:tc>
      </w:tr>
      <w:tr w:rsidR="00077BDD" w:rsidRPr="005150E1" w14:paraId="60E73D90" w14:textId="77777777" w:rsidTr="002C7A0E">
        <w:trPr>
          <w:trHeight w:val="255"/>
          <w:jc w:val="center"/>
        </w:trPr>
        <w:tc>
          <w:tcPr>
            <w:tcW w:w="2920" w:type="dxa"/>
            <w:shd w:val="clear" w:color="auto" w:fill="auto"/>
            <w:noWrap/>
            <w:vAlign w:val="bottom"/>
            <w:hideMark/>
          </w:tcPr>
          <w:p w14:paraId="1F0BEEA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indigena</w:t>
            </w:r>
          </w:p>
        </w:tc>
        <w:tc>
          <w:tcPr>
            <w:tcW w:w="1360" w:type="dxa"/>
            <w:shd w:val="clear" w:color="auto" w:fill="auto"/>
            <w:noWrap/>
            <w:vAlign w:val="bottom"/>
            <w:hideMark/>
          </w:tcPr>
          <w:p w14:paraId="27CFFE93" w14:textId="77777777" w:rsidR="00077BDD" w:rsidRPr="005150E1" w:rsidRDefault="00077BDD" w:rsidP="002C7A0E">
            <w:pPr>
              <w:spacing w:after="0" w:line="240" w:lineRule="auto"/>
              <w:jc w:val="center"/>
              <w:rPr>
                <w:rFonts w:ascii="Times New Roman" w:eastAsia="Times New Roman" w:hAnsi="Times New Roman" w:cs="Times New Roman"/>
                <w:sz w:val="20"/>
                <w:szCs w:val="20"/>
                <w:vertAlign w:val="superscript"/>
                <w:lang w:eastAsia="pt-BR"/>
              </w:rPr>
            </w:pPr>
            <w:r w:rsidRPr="005150E1">
              <w:rPr>
                <w:rFonts w:ascii="Times New Roman" w:eastAsia="Times New Roman" w:hAnsi="Times New Roman" w:cs="Times New Roman"/>
                <w:sz w:val="20"/>
                <w:szCs w:val="20"/>
                <w:lang w:eastAsia="pt-BR"/>
              </w:rPr>
              <w:t>0,30</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716608D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0,1255</w:t>
            </w:r>
          </w:p>
        </w:tc>
        <w:tc>
          <w:tcPr>
            <w:tcW w:w="2080" w:type="dxa"/>
            <w:shd w:val="clear" w:color="auto" w:fill="auto"/>
            <w:noWrap/>
            <w:vAlign w:val="bottom"/>
            <w:hideMark/>
          </w:tcPr>
          <w:p w14:paraId="726D3BB3" w14:textId="77777777" w:rsidR="00077BDD" w:rsidRPr="005150E1" w:rsidRDefault="00077BDD" w:rsidP="002C7A0E">
            <w:pPr>
              <w:spacing w:after="0" w:line="240" w:lineRule="auto"/>
              <w:jc w:val="center"/>
              <w:rPr>
                <w:rFonts w:ascii="Times New Roman" w:eastAsia="Times New Roman" w:hAnsi="Times New Roman" w:cs="Times New Roman"/>
                <w:sz w:val="20"/>
                <w:szCs w:val="20"/>
                <w:vertAlign w:val="superscript"/>
                <w:lang w:eastAsia="pt-BR"/>
              </w:rPr>
            </w:pPr>
            <w:r w:rsidRPr="005150E1">
              <w:rPr>
                <w:rFonts w:ascii="Times New Roman" w:eastAsia="Times New Roman" w:hAnsi="Times New Roman" w:cs="Times New Roman"/>
                <w:sz w:val="20"/>
                <w:szCs w:val="20"/>
                <w:lang w:eastAsia="pt-BR"/>
              </w:rPr>
              <w:t>1,35</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639832F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0,1694</w:t>
            </w:r>
          </w:p>
        </w:tc>
      </w:tr>
      <w:tr w:rsidR="00077BDD" w:rsidRPr="005150E1" w14:paraId="3CF4C516" w14:textId="77777777" w:rsidTr="002C7A0E">
        <w:trPr>
          <w:trHeight w:val="255"/>
          <w:jc w:val="center"/>
        </w:trPr>
        <w:tc>
          <w:tcPr>
            <w:tcW w:w="2920" w:type="dxa"/>
            <w:shd w:val="clear" w:color="auto" w:fill="auto"/>
            <w:noWrap/>
            <w:vAlign w:val="bottom"/>
            <w:hideMark/>
          </w:tcPr>
          <w:p w14:paraId="22319A6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amarela</w:t>
            </w:r>
          </w:p>
        </w:tc>
        <w:tc>
          <w:tcPr>
            <w:tcW w:w="1360" w:type="dxa"/>
            <w:shd w:val="clear" w:color="auto" w:fill="auto"/>
            <w:noWrap/>
            <w:vAlign w:val="bottom"/>
            <w:hideMark/>
          </w:tcPr>
          <w:p w14:paraId="63FC1F4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-0,23</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5A48CEC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0,1523</w:t>
            </w:r>
          </w:p>
        </w:tc>
        <w:tc>
          <w:tcPr>
            <w:tcW w:w="2080" w:type="dxa"/>
            <w:shd w:val="clear" w:color="auto" w:fill="auto"/>
            <w:noWrap/>
            <w:vAlign w:val="bottom"/>
            <w:hideMark/>
          </w:tcPr>
          <w:p w14:paraId="3632201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0,80</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3C05936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0,1215</w:t>
            </w:r>
          </w:p>
        </w:tc>
      </w:tr>
      <w:tr w:rsidR="00077BDD" w:rsidRPr="005150E1" w14:paraId="41C089A1" w14:textId="77777777" w:rsidTr="002C7A0E">
        <w:trPr>
          <w:trHeight w:val="255"/>
          <w:jc w:val="center"/>
        </w:trPr>
        <w:tc>
          <w:tcPr>
            <w:tcW w:w="2920" w:type="dxa"/>
            <w:shd w:val="clear" w:color="auto" w:fill="auto"/>
            <w:noWrap/>
            <w:vAlign w:val="bottom"/>
            <w:hideMark/>
          </w:tcPr>
          <w:p w14:paraId="1539C1B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idade</w:t>
            </w:r>
          </w:p>
        </w:tc>
        <w:tc>
          <w:tcPr>
            <w:tcW w:w="1360" w:type="dxa"/>
            <w:shd w:val="clear" w:color="auto" w:fill="auto"/>
            <w:noWrap/>
            <w:vAlign w:val="bottom"/>
            <w:hideMark/>
          </w:tcPr>
          <w:p w14:paraId="63C8A84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0,20</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23ED554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0,0093</w:t>
            </w:r>
          </w:p>
        </w:tc>
        <w:tc>
          <w:tcPr>
            <w:tcW w:w="2080" w:type="dxa"/>
            <w:shd w:val="clear" w:color="auto" w:fill="auto"/>
            <w:noWrap/>
            <w:vAlign w:val="bottom"/>
            <w:hideMark/>
          </w:tcPr>
          <w:p w14:paraId="62ECA32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1,23</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2B3C421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0,0115</w:t>
            </w:r>
          </w:p>
        </w:tc>
      </w:tr>
      <w:tr w:rsidR="00077BDD" w:rsidRPr="005150E1" w14:paraId="55900E24" w14:textId="77777777" w:rsidTr="002C7A0E">
        <w:trPr>
          <w:trHeight w:val="255"/>
          <w:jc w:val="center"/>
        </w:trPr>
        <w:tc>
          <w:tcPr>
            <w:tcW w:w="2920" w:type="dxa"/>
            <w:shd w:val="clear" w:color="auto" w:fill="auto"/>
            <w:noWrap/>
            <w:vAlign w:val="bottom"/>
            <w:hideMark/>
          </w:tcPr>
          <w:p w14:paraId="126CC972" w14:textId="686335A7" w:rsidR="00077BDD" w:rsidRPr="005150E1" w:rsidRDefault="00435564"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w:t>
            </w:r>
            <w:r w:rsidR="00077BDD" w:rsidRPr="005150E1">
              <w:rPr>
                <w:rFonts w:ascii="Times New Roman" w:eastAsia="Times New Roman" w:hAnsi="Times New Roman" w:cs="Times New Roman"/>
                <w:sz w:val="20"/>
                <w:szCs w:val="20"/>
                <w:lang w:eastAsia="pt-BR"/>
              </w:rPr>
              <w:t>dade</w:t>
            </w:r>
            <w:r>
              <w:rPr>
                <w:rFonts w:ascii="Times New Roman" w:eastAsia="Times New Roman" w:hAnsi="Times New Roman" w:cs="Times New Roman"/>
                <w:sz w:val="20"/>
                <w:szCs w:val="20"/>
                <w:lang w:eastAsia="pt-BR"/>
              </w:rPr>
              <w:t>2</w:t>
            </w:r>
          </w:p>
        </w:tc>
        <w:tc>
          <w:tcPr>
            <w:tcW w:w="1360" w:type="dxa"/>
            <w:shd w:val="clear" w:color="auto" w:fill="auto"/>
            <w:noWrap/>
            <w:vAlign w:val="bottom"/>
            <w:hideMark/>
          </w:tcPr>
          <w:p w14:paraId="7278D9B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0,003</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2145A11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0,0001</w:t>
            </w:r>
          </w:p>
        </w:tc>
        <w:tc>
          <w:tcPr>
            <w:tcW w:w="2080" w:type="dxa"/>
            <w:shd w:val="clear" w:color="auto" w:fill="auto"/>
            <w:noWrap/>
            <w:vAlign w:val="bottom"/>
            <w:hideMark/>
          </w:tcPr>
          <w:p w14:paraId="0740E39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1,00</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5F68E11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0,0001</w:t>
            </w:r>
          </w:p>
        </w:tc>
      </w:tr>
      <w:tr w:rsidR="00077BDD" w:rsidRPr="005150E1" w14:paraId="68B01852" w14:textId="77777777" w:rsidTr="002C7A0E">
        <w:trPr>
          <w:trHeight w:val="255"/>
          <w:jc w:val="center"/>
        </w:trPr>
        <w:tc>
          <w:tcPr>
            <w:tcW w:w="2920" w:type="dxa"/>
            <w:shd w:val="clear" w:color="auto" w:fill="auto"/>
            <w:noWrap/>
            <w:vAlign w:val="bottom"/>
            <w:hideMark/>
          </w:tcPr>
          <w:p w14:paraId="127B4C4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fundcom_medin</w:t>
            </w:r>
          </w:p>
        </w:tc>
        <w:tc>
          <w:tcPr>
            <w:tcW w:w="1360" w:type="dxa"/>
            <w:shd w:val="clear" w:color="auto" w:fill="auto"/>
            <w:noWrap/>
            <w:vAlign w:val="bottom"/>
            <w:hideMark/>
          </w:tcPr>
          <w:p w14:paraId="1F2AFBE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0,27</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4F0F26F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0,0265</w:t>
            </w:r>
          </w:p>
        </w:tc>
        <w:tc>
          <w:tcPr>
            <w:tcW w:w="2080" w:type="dxa"/>
            <w:shd w:val="clear" w:color="auto" w:fill="auto"/>
            <w:noWrap/>
            <w:vAlign w:val="bottom"/>
            <w:hideMark/>
          </w:tcPr>
          <w:p w14:paraId="135674E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1,32</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76CE701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0,0349</w:t>
            </w:r>
          </w:p>
        </w:tc>
      </w:tr>
      <w:tr w:rsidR="00077BDD" w:rsidRPr="005150E1" w14:paraId="5B90D5CF" w14:textId="77777777" w:rsidTr="002C7A0E">
        <w:trPr>
          <w:trHeight w:val="255"/>
          <w:jc w:val="center"/>
        </w:trPr>
        <w:tc>
          <w:tcPr>
            <w:tcW w:w="2920" w:type="dxa"/>
            <w:shd w:val="clear" w:color="auto" w:fill="auto"/>
            <w:noWrap/>
            <w:vAlign w:val="bottom"/>
            <w:hideMark/>
          </w:tcPr>
          <w:p w14:paraId="46A1F18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medcom_supin</w:t>
            </w:r>
          </w:p>
        </w:tc>
        <w:tc>
          <w:tcPr>
            <w:tcW w:w="1360" w:type="dxa"/>
            <w:shd w:val="clear" w:color="auto" w:fill="auto"/>
            <w:noWrap/>
            <w:vAlign w:val="bottom"/>
            <w:hideMark/>
          </w:tcPr>
          <w:p w14:paraId="4DBADB6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0,62</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147FA35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0,0225</w:t>
            </w:r>
          </w:p>
        </w:tc>
        <w:tc>
          <w:tcPr>
            <w:tcW w:w="2080" w:type="dxa"/>
            <w:shd w:val="clear" w:color="auto" w:fill="auto"/>
            <w:noWrap/>
            <w:vAlign w:val="bottom"/>
            <w:hideMark/>
          </w:tcPr>
          <w:p w14:paraId="7FAAC8F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1,86</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55EC0BE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0,0418</w:t>
            </w:r>
          </w:p>
        </w:tc>
      </w:tr>
      <w:tr w:rsidR="00077BDD" w:rsidRPr="005150E1" w14:paraId="5E32F56A" w14:textId="77777777" w:rsidTr="002C7A0E">
        <w:trPr>
          <w:trHeight w:val="255"/>
          <w:jc w:val="center"/>
        </w:trPr>
        <w:tc>
          <w:tcPr>
            <w:tcW w:w="2920" w:type="dxa"/>
            <w:shd w:val="clear" w:color="auto" w:fill="auto"/>
            <w:noWrap/>
            <w:vAlign w:val="bottom"/>
            <w:hideMark/>
          </w:tcPr>
          <w:p w14:paraId="5E6757F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supcom</w:t>
            </w:r>
          </w:p>
        </w:tc>
        <w:tc>
          <w:tcPr>
            <w:tcW w:w="1360" w:type="dxa"/>
            <w:shd w:val="clear" w:color="auto" w:fill="auto"/>
            <w:noWrap/>
            <w:vAlign w:val="bottom"/>
            <w:hideMark/>
          </w:tcPr>
          <w:p w14:paraId="3DA5880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1,60</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126129D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0,0383</w:t>
            </w:r>
          </w:p>
        </w:tc>
        <w:tc>
          <w:tcPr>
            <w:tcW w:w="2080" w:type="dxa"/>
            <w:shd w:val="clear" w:color="auto" w:fill="auto"/>
            <w:noWrap/>
            <w:vAlign w:val="bottom"/>
            <w:hideMark/>
          </w:tcPr>
          <w:p w14:paraId="348F3C7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4,97</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760FFB9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0,1903</w:t>
            </w:r>
          </w:p>
        </w:tc>
      </w:tr>
      <w:tr w:rsidR="00077BDD" w:rsidRPr="005150E1" w14:paraId="5D9989E9" w14:textId="77777777" w:rsidTr="002C7A0E">
        <w:trPr>
          <w:trHeight w:val="255"/>
          <w:jc w:val="center"/>
        </w:trPr>
        <w:tc>
          <w:tcPr>
            <w:tcW w:w="2920" w:type="dxa"/>
            <w:shd w:val="clear" w:color="auto" w:fill="auto"/>
            <w:noWrap/>
            <w:vAlign w:val="bottom"/>
            <w:hideMark/>
          </w:tcPr>
          <w:p w14:paraId="63FDDA9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norte</w:t>
            </w:r>
          </w:p>
        </w:tc>
        <w:tc>
          <w:tcPr>
            <w:tcW w:w="1360" w:type="dxa"/>
            <w:shd w:val="clear" w:color="auto" w:fill="auto"/>
            <w:noWrap/>
            <w:vAlign w:val="bottom"/>
            <w:hideMark/>
          </w:tcPr>
          <w:p w14:paraId="1CB6DE9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-0,34</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2E853E1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0,0290</w:t>
            </w:r>
          </w:p>
        </w:tc>
        <w:tc>
          <w:tcPr>
            <w:tcW w:w="2080" w:type="dxa"/>
            <w:shd w:val="clear" w:color="auto" w:fill="auto"/>
            <w:noWrap/>
            <w:vAlign w:val="bottom"/>
            <w:hideMark/>
          </w:tcPr>
          <w:p w14:paraId="48ACA56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0,71</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2252CD4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0,0206</w:t>
            </w:r>
          </w:p>
        </w:tc>
      </w:tr>
      <w:tr w:rsidR="00077BDD" w:rsidRPr="005150E1" w14:paraId="03CC9DF4" w14:textId="77777777" w:rsidTr="002C7A0E">
        <w:trPr>
          <w:trHeight w:val="255"/>
          <w:jc w:val="center"/>
        </w:trPr>
        <w:tc>
          <w:tcPr>
            <w:tcW w:w="2920" w:type="dxa"/>
            <w:shd w:val="clear" w:color="auto" w:fill="auto"/>
            <w:noWrap/>
            <w:vAlign w:val="bottom"/>
            <w:hideMark/>
          </w:tcPr>
          <w:p w14:paraId="664C922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nordeste</w:t>
            </w:r>
          </w:p>
        </w:tc>
        <w:tc>
          <w:tcPr>
            <w:tcW w:w="1360" w:type="dxa"/>
            <w:shd w:val="clear" w:color="auto" w:fill="auto"/>
            <w:noWrap/>
            <w:vAlign w:val="bottom"/>
            <w:hideMark/>
          </w:tcPr>
          <w:p w14:paraId="22909CB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-0,24</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20D9068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0,0249</w:t>
            </w:r>
          </w:p>
        </w:tc>
        <w:tc>
          <w:tcPr>
            <w:tcW w:w="2080" w:type="dxa"/>
            <w:shd w:val="clear" w:color="auto" w:fill="auto"/>
            <w:noWrap/>
            <w:vAlign w:val="bottom"/>
            <w:hideMark/>
          </w:tcPr>
          <w:p w14:paraId="40DD228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0,78</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7E8307B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0,0196</w:t>
            </w:r>
          </w:p>
        </w:tc>
      </w:tr>
      <w:tr w:rsidR="00077BDD" w:rsidRPr="005150E1" w14:paraId="41D7EEC8" w14:textId="77777777" w:rsidTr="002C7A0E">
        <w:trPr>
          <w:trHeight w:val="255"/>
          <w:jc w:val="center"/>
        </w:trPr>
        <w:tc>
          <w:tcPr>
            <w:tcW w:w="2920" w:type="dxa"/>
            <w:shd w:val="clear" w:color="auto" w:fill="auto"/>
            <w:noWrap/>
            <w:vAlign w:val="bottom"/>
            <w:hideMark/>
          </w:tcPr>
          <w:p w14:paraId="5BD4476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sul</w:t>
            </w:r>
          </w:p>
        </w:tc>
        <w:tc>
          <w:tcPr>
            <w:tcW w:w="1360" w:type="dxa"/>
            <w:shd w:val="clear" w:color="auto" w:fill="auto"/>
            <w:noWrap/>
            <w:vAlign w:val="bottom"/>
            <w:hideMark/>
          </w:tcPr>
          <w:p w14:paraId="79C4D36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0,21</w:t>
            </w:r>
            <w:r w:rsidRPr="005150E1">
              <w:rPr>
                <w:rFonts w:ascii="Times New Roman" w:eastAsia="Times New Roman" w:hAnsi="Times New Roman" w:cs="Times New Roman"/>
                <w:sz w:val="20"/>
                <w:szCs w:val="20"/>
                <w:vertAlign w:val="superscript"/>
                <w:lang w:eastAsia="pt-BR"/>
              </w:rPr>
              <w:t>***</w:t>
            </w:r>
          </w:p>
        </w:tc>
        <w:tc>
          <w:tcPr>
            <w:tcW w:w="1380" w:type="dxa"/>
            <w:shd w:val="clear" w:color="auto" w:fill="auto"/>
            <w:noWrap/>
            <w:vAlign w:val="bottom"/>
            <w:hideMark/>
          </w:tcPr>
          <w:p w14:paraId="0EEECFB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0,0311</w:t>
            </w:r>
          </w:p>
        </w:tc>
        <w:tc>
          <w:tcPr>
            <w:tcW w:w="2080" w:type="dxa"/>
            <w:shd w:val="clear" w:color="auto" w:fill="auto"/>
            <w:noWrap/>
            <w:vAlign w:val="bottom"/>
            <w:hideMark/>
          </w:tcPr>
          <w:p w14:paraId="7AA45DD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1,23</w:t>
            </w:r>
            <w:r w:rsidRPr="005150E1">
              <w:rPr>
                <w:rFonts w:ascii="Times New Roman" w:eastAsia="Times New Roman" w:hAnsi="Times New Roman" w:cs="Times New Roman"/>
                <w:sz w:val="20"/>
                <w:szCs w:val="20"/>
                <w:vertAlign w:val="superscript"/>
                <w:lang w:eastAsia="pt-BR"/>
              </w:rPr>
              <w:t>***</w:t>
            </w:r>
          </w:p>
        </w:tc>
        <w:tc>
          <w:tcPr>
            <w:tcW w:w="1680" w:type="dxa"/>
            <w:shd w:val="clear" w:color="auto" w:fill="auto"/>
            <w:noWrap/>
            <w:vAlign w:val="bottom"/>
            <w:hideMark/>
          </w:tcPr>
          <w:p w14:paraId="0EB1460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0,0383</w:t>
            </w:r>
          </w:p>
        </w:tc>
      </w:tr>
      <w:tr w:rsidR="00077BDD" w:rsidRPr="005150E1" w14:paraId="5D3AE095" w14:textId="77777777" w:rsidTr="002C7A0E">
        <w:trPr>
          <w:trHeight w:val="255"/>
          <w:jc w:val="center"/>
        </w:trPr>
        <w:tc>
          <w:tcPr>
            <w:tcW w:w="2920" w:type="dxa"/>
            <w:tcBorders>
              <w:bottom w:val="nil"/>
            </w:tcBorders>
            <w:shd w:val="clear" w:color="auto" w:fill="auto"/>
            <w:noWrap/>
            <w:vAlign w:val="bottom"/>
            <w:hideMark/>
          </w:tcPr>
          <w:p w14:paraId="13F034A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centrooeste</w:t>
            </w:r>
          </w:p>
        </w:tc>
        <w:tc>
          <w:tcPr>
            <w:tcW w:w="1360" w:type="dxa"/>
            <w:tcBorders>
              <w:bottom w:val="nil"/>
            </w:tcBorders>
            <w:shd w:val="clear" w:color="auto" w:fill="auto"/>
            <w:noWrap/>
            <w:vAlign w:val="bottom"/>
            <w:hideMark/>
          </w:tcPr>
          <w:p w14:paraId="0120441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-0,10</w:t>
            </w:r>
            <w:r w:rsidRPr="005150E1">
              <w:rPr>
                <w:rFonts w:ascii="Times New Roman" w:eastAsia="Times New Roman" w:hAnsi="Times New Roman" w:cs="Times New Roman"/>
                <w:sz w:val="20"/>
                <w:szCs w:val="20"/>
                <w:vertAlign w:val="superscript"/>
                <w:lang w:eastAsia="pt-BR"/>
              </w:rPr>
              <w:t>***</w:t>
            </w:r>
          </w:p>
        </w:tc>
        <w:tc>
          <w:tcPr>
            <w:tcW w:w="1380" w:type="dxa"/>
            <w:tcBorders>
              <w:bottom w:val="nil"/>
            </w:tcBorders>
            <w:shd w:val="clear" w:color="auto" w:fill="auto"/>
            <w:noWrap/>
            <w:vAlign w:val="bottom"/>
            <w:hideMark/>
          </w:tcPr>
          <w:p w14:paraId="4DE09E9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0,0330</w:t>
            </w:r>
          </w:p>
        </w:tc>
        <w:tc>
          <w:tcPr>
            <w:tcW w:w="2080" w:type="dxa"/>
            <w:tcBorders>
              <w:bottom w:val="nil"/>
            </w:tcBorders>
            <w:shd w:val="clear" w:color="auto" w:fill="auto"/>
            <w:noWrap/>
            <w:vAlign w:val="bottom"/>
            <w:hideMark/>
          </w:tcPr>
          <w:p w14:paraId="3D2FD85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0,90</w:t>
            </w:r>
            <w:r w:rsidRPr="005150E1">
              <w:rPr>
                <w:rFonts w:ascii="Times New Roman" w:eastAsia="Times New Roman" w:hAnsi="Times New Roman" w:cs="Times New Roman"/>
                <w:sz w:val="20"/>
                <w:szCs w:val="20"/>
                <w:vertAlign w:val="superscript"/>
                <w:lang w:eastAsia="pt-BR"/>
              </w:rPr>
              <w:t>***</w:t>
            </w:r>
          </w:p>
        </w:tc>
        <w:tc>
          <w:tcPr>
            <w:tcW w:w="1680" w:type="dxa"/>
            <w:tcBorders>
              <w:bottom w:val="nil"/>
            </w:tcBorders>
            <w:shd w:val="clear" w:color="auto" w:fill="auto"/>
            <w:noWrap/>
            <w:vAlign w:val="bottom"/>
            <w:hideMark/>
          </w:tcPr>
          <w:p w14:paraId="6F8BB20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0,0297</w:t>
            </w:r>
          </w:p>
        </w:tc>
      </w:tr>
      <w:tr w:rsidR="00077BDD" w:rsidRPr="005150E1" w14:paraId="6E72A691" w14:textId="77777777" w:rsidTr="002C7A0E">
        <w:trPr>
          <w:trHeight w:val="255"/>
          <w:jc w:val="center"/>
        </w:trPr>
        <w:tc>
          <w:tcPr>
            <w:tcW w:w="2920" w:type="dxa"/>
            <w:tcBorders>
              <w:top w:val="nil"/>
              <w:bottom w:val="single" w:sz="4" w:space="0" w:color="auto"/>
            </w:tcBorders>
            <w:shd w:val="clear" w:color="auto" w:fill="auto"/>
            <w:noWrap/>
            <w:vAlign w:val="bottom"/>
            <w:hideMark/>
          </w:tcPr>
          <w:p w14:paraId="36C6AD2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cons</w:t>
            </w:r>
          </w:p>
        </w:tc>
        <w:tc>
          <w:tcPr>
            <w:tcW w:w="1360" w:type="dxa"/>
            <w:tcBorders>
              <w:top w:val="nil"/>
              <w:bottom w:val="single" w:sz="4" w:space="0" w:color="auto"/>
            </w:tcBorders>
            <w:shd w:val="clear" w:color="auto" w:fill="auto"/>
            <w:noWrap/>
            <w:vAlign w:val="bottom"/>
            <w:hideMark/>
          </w:tcPr>
          <w:p w14:paraId="7EECFEF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-2,15</w:t>
            </w:r>
            <w:r w:rsidRPr="005150E1">
              <w:rPr>
                <w:rFonts w:ascii="Times New Roman" w:eastAsia="Times New Roman" w:hAnsi="Times New Roman" w:cs="Times New Roman"/>
                <w:sz w:val="20"/>
                <w:szCs w:val="20"/>
                <w:vertAlign w:val="superscript"/>
                <w:lang w:eastAsia="pt-BR"/>
              </w:rPr>
              <w:t>***</w:t>
            </w:r>
          </w:p>
        </w:tc>
        <w:tc>
          <w:tcPr>
            <w:tcW w:w="1380" w:type="dxa"/>
            <w:tcBorders>
              <w:top w:val="nil"/>
              <w:bottom w:val="single" w:sz="4" w:space="0" w:color="auto"/>
            </w:tcBorders>
            <w:shd w:val="clear" w:color="auto" w:fill="auto"/>
            <w:noWrap/>
            <w:vAlign w:val="bottom"/>
            <w:hideMark/>
          </w:tcPr>
          <w:p w14:paraId="64FE2F1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0,1583</w:t>
            </w:r>
          </w:p>
        </w:tc>
        <w:tc>
          <w:tcPr>
            <w:tcW w:w="2080" w:type="dxa"/>
            <w:tcBorders>
              <w:top w:val="nil"/>
              <w:bottom w:val="single" w:sz="4" w:space="0" w:color="auto"/>
            </w:tcBorders>
            <w:shd w:val="clear" w:color="auto" w:fill="auto"/>
            <w:noWrap/>
            <w:vAlign w:val="bottom"/>
            <w:hideMark/>
          </w:tcPr>
          <w:p w14:paraId="066215E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0,12</w:t>
            </w:r>
            <w:r w:rsidRPr="005150E1">
              <w:rPr>
                <w:rFonts w:ascii="Times New Roman" w:eastAsia="Times New Roman" w:hAnsi="Times New Roman" w:cs="Times New Roman"/>
                <w:sz w:val="20"/>
                <w:szCs w:val="20"/>
                <w:vertAlign w:val="superscript"/>
                <w:lang w:eastAsia="pt-BR"/>
              </w:rPr>
              <w:t>***</w:t>
            </w:r>
          </w:p>
        </w:tc>
        <w:tc>
          <w:tcPr>
            <w:tcW w:w="1680" w:type="dxa"/>
            <w:tcBorders>
              <w:top w:val="nil"/>
              <w:bottom w:val="single" w:sz="4" w:space="0" w:color="auto"/>
            </w:tcBorders>
            <w:shd w:val="clear" w:color="auto" w:fill="auto"/>
            <w:noWrap/>
            <w:vAlign w:val="bottom"/>
            <w:hideMark/>
          </w:tcPr>
          <w:p w14:paraId="7BEDD78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0,0185</w:t>
            </w:r>
          </w:p>
        </w:tc>
      </w:tr>
      <w:tr w:rsidR="00077BDD" w:rsidRPr="005150E1" w14:paraId="13B76441" w14:textId="77777777" w:rsidTr="002C7A0E">
        <w:trPr>
          <w:trHeight w:val="255"/>
          <w:jc w:val="center"/>
        </w:trPr>
        <w:tc>
          <w:tcPr>
            <w:tcW w:w="2920" w:type="dxa"/>
            <w:tcBorders>
              <w:top w:val="single" w:sz="4" w:space="0" w:color="auto"/>
            </w:tcBorders>
            <w:shd w:val="clear" w:color="auto" w:fill="auto"/>
            <w:noWrap/>
            <w:vAlign w:val="bottom"/>
            <w:hideMark/>
          </w:tcPr>
          <w:p w14:paraId="3F6CF5FF" w14:textId="6D36FD5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Nº = 60.52</w:t>
            </w:r>
            <w:r w:rsidR="00435564">
              <w:rPr>
                <w:rFonts w:ascii="Times New Roman" w:eastAsia="Times New Roman" w:hAnsi="Times New Roman" w:cs="Times New Roman"/>
                <w:sz w:val="20"/>
                <w:szCs w:val="20"/>
                <w:lang w:eastAsia="pt-BR"/>
              </w:rPr>
              <w:t>7</w:t>
            </w:r>
          </w:p>
        </w:tc>
        <w:tc>
          <w:tcPr>
            <w:tcW w:w="1360" w:type="dxa"/>
            <w:tcBorders>
              <w:top w:val="single" w:sz="4" w:space="0" w:color="auto"/>
            </w:tcBorders>
            <w:shd w:val="clear" w:color="auto" w:fill="auto"/>
            <w:noWrap/>
            <w:vAlign w:val="bottom"/>
            <w:hideMark/>
          </w:tcPr>
          <w:p w14:paraId="5226121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80" w:type="dxa"/>
            <w:tcBorders>
              <w:top w:val="single" w:sz="4" w:space="0" w:color="auto"/>
            </w:tcBorders>
            <w:shd w:val="clear" w:color="auto" w:fill="auto"/>
            <w:noWrap/>
            <w:vAlign w:val="bottom"/>
            <w:hideMark/>
          </w:tcPr>
          <w:p w14:paraId="199045F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2080" w:type="dxa"/>
            <w:tcBorders>
              <w:top w:val="single" w:sz="4" w:space="0" w:color="auto"/>
            </w:tcBorders>
            <w:shd w:val="clear" w:color="auto" w:fill="auto"/>
            <w:noWrap/>
            <w:vAlign w:val="bottom"/>
            <w:hideMark/>
          </w:tcPr>
          <w:p w14:paraId="4ED8A6C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680" w:type="dxa"/>
            <w:tcBorders>
              <w:top w:val="single" w:sz="4" w:space="0" w:color="auto"/>
            </w:tcBorders>
            <w:shd w:val="clear" w:color="auto" w:fill="auto"/>
            <w:noWrap/>
            <w:vAlign w:val="bottom"/>
            <w:hideMark/>
          </w:tcPr>
          <w:p w14:paraId="6883649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r w:rsidR="00077BDD" w:rsidRPr="005150E1" w14:paraId="042E5C22" w14:textId="77777777" w:rsidTr="002C7A0E">
        <w:trPr>
          <w:trHeight w:val="255"/>
          <w:jc w:val="center"/>
        </w:trPr>
        <w:tc>
          <w:tcPr>
            <w:tcW w:w="2920" w:type="dxa"/>
            <w:shd w:val="clear" w:color="auto" w:fill="auto"/>
            <w:noWrap/>
            <w:vAlign w:val="bottom"/>
            <w:hideMark/>
          </w:tcPr>
          <w:p w14:paraId="7D8DD23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Prob&gt;chi2 =0,0000</w:t>
            </w:r>
          </w:p>
        </w:tc>
        <w:tc>
          <w:tcPr>
            <w:tcW w:w="1360" w:type="dxa"/>
            <w:shd w:val="clear" w:color="auto" w:fill="auto"/>
            <w:noWrap/>
            <w:vAlign w:val="bottom"/>
            <w:hideMark/>
          </w:tcPr>
          <w:p w14:paraId="44C5DE6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80" w:type="dxa"/>
            <w:shd w:val="clear" w:color="auto" w:fill="auto"/>
            <w:noWrap/>
            <w:vAlign w:val="bottom"/>
            <w:hideMark/>
          </w:tcPr>
          <w:p w14:paraId="75F1A9D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2080" w:type="dxa"/>
            <w:shd w:val="clear" w:color="auto" w:fill="auto"/>
            <w:noWrap/>
            <w:vAlign w:val="bottom"/>
            <w:hideMark/>
          </w:tcPr>
          <w:p w14:paraId="530EC06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680" w:type="dxa"/>
            <w:shd w:val="clear" w:color="auto" w:fill="auto"/>
            <w:noWrap/>
            <w:vAlign w:val="bottom"/>
            <w:hideMark/>
          </w:tcPr>
          <w:p w14:paraId="77F81AF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r w:rsidR="00077BDD" w:rsidRPr="005150E1" w14:paraId="1A7986C2" w14:textId="77777777" w:rsidTr="002C7A0E">
        <w:trPr>
          <w:trHeight w:val="255"/>
          <w:jc w:val="center"/>
        </w:trPr>
        <w:tc>
          <w:tcPr>
            <w:tcW w:w="2920" w:type="dxa"/>
            <w:shd w:val="clear" w:color="auto" w:fill="auto"/>
            <w:noWrap/>
            <w:vAlign w:val="bottom"/>
            <w:hideMark/>
          </w:tcPr>
          <w:p w14:paraId="01912A0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Pseudo – R</w:t>
            </w:r>
            <w:r w:rsidRPr="005150E1">
              <w:rPr>
                <w:rFonts w:ascii="Times New Roman" w:eastAsia="Times New Roman" w:hAnsi="Times New Roman" w:cs="Times New Roman"/>
                <w:sz w:val="20"/>
                <w:szCs w:val="20"/>
                <w:vertAlign w:val="superscript"/>
                <w:lang w:eastAsia="pt-BR"/>
              </w:rPr>
              <w:t>2</w:t>
            </w:r>
            <w:r w:rsidRPr="005150E1">
              <w:rPr>
                <w:rFonts w:ascii="Times New Roman" w:eastAsia="Times New Roman" w:hAnsi="Times New Roman" w:cs="Times New Roman"/>
                <w:sz w:val="20"/>
                <w:szCs w:val="20"/>
                <w:lang w:eastAsia="pt-BR"/>
              </w:rPr>
              <w:t xml:space="preserve"> = 0,074</w:t>
            </w:r>
          </w:p>
        </w:tc>
        <w:tc>
          <w:tcPr>
            <w:tcW w:w="1360" w:type="dxa"/>
            <w:shd w:val="clear" w:color="auto" w:fill="auto"/>
            <w:noWrap/>
            <w:vAlign w:val="bottom"/>
            <w:hideMark/>
          </w:tcPr>
          <w:p w14:paraId="3906A97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80" w:type="dxa"/>
            <w:shd w:val="clear" w:color="auto" w:fill="auto"/>
            <w:noWrap/>
            <w:vAlign w:val="bottom"/>
            <w:hideMark/>
          </w:tcPr>
          <w:p w14:paraId="4FA0CA7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2080" w:type="dxa"/>
            <w:shd w:val="clear" w:color="auto" w:fill="auto"/>
            <w:noWrap/>
            <w:vAlign w:val="bottom"/>
            <w:hideMark/>
          </w:tcPr>
          <w:p w14:paraId="668358E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680" w:type="dxa"/>
            <w:shd w:val="clear" w:color="auto" w:fill="auto"/>
            <w:noWrap/>
            <w:vAlign w:val="bottom"/>
            <w:hideMark/>
          </w:tcPr>
          <w:p w14:paraId="57F62F1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r w:rsidR="00077BDD" w:rsidRPr="005150E1" w14:paraId="06CC45D6" w14:textId="77777777" w:rsidTr="002C7A0E">
        <w:trPr>
          <w:trHeight w:val="255"/>
          <w:jc w:val="center"/>
        </w:trPr>
        <w:tc>
          <w:tcPr>
            <w:tcW w:w="2920" w:type="dxa"/>
            <w:shd w:val="clear" w:color="auto" w:fill="auto"/>
            <w:noWrap/>
            <w:vAlign w:val="bottom"/>
            <w:hideMark/>
          </w:tcPr>
          <w:p w14:paraId="43338E8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Log likelihood = -34508,045</w:t>
            </w:r>
          </w:p>
        </w:tc>
        <w:tc>
          <w:tcPr>
            <w:tcW w:w="1360" w:type="dxa"/>
            <w:shd w:val="clear" w:color="auto" w:fill="auto"/>
            <w:noWrap/>
            <w:vAlign w:val="bottom"/>
            <w:hideMark/>
          </w:tcPr>
          <w:p w14:paraId="2BF09B6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80" w:type="dxa"/>
            <w:shd w:val="clear" w:color="auto" w:fill="auto"/>
            <w:noWrap/>
            <w:vAlign w:val="bottom"/>
            <w:hideMark/>
          </w:tcPr>
          <w:p w14:paraId="488692A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2080" w:type="dxa"/>
            <w:shd w:val="clear" w:color="auto" w:fill="auto"/>
            <w:noWrap/>
            <w:vAlign w:val="bottom"/>
            <w:hideMark/>
          </w:tcPr>
          <w:p w14:paraId="6DB4575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680" w:type="dxa"/>
            <w:shd w:val="clear" w:color="auto" w:fill="auto"/>
            <w:noWrap/>
            <w:vAlign w:val="bottom"/>
            <w:hideMark/>
          </w:tcPr>
          <w:p w14:paraId="3A87CCE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r w:rsidR="00077BDD" w:rsidRPr="005150E1" w14:paraId="6558758E" w14:textId="77777777" w:rsidTr="002C7A0E">
        <w:trPr>
          <w:trHeight w:val="255"/>
          <w:jc w:val="center"/>
        </w:trPr>
        <w:tc>
          <w:tcPr>
            <w:tcW w:w="2920" w:type="dxa"/>
            <w:shd w:val="clear" w:color="auto" w:fill="auto"/>
            <w:noWrap/>
            <w:vAlign w:val="bottom"/>
            <w:hideMark/>
          </w:tcPr>
          <w:p w14:paraId="659FD1A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Correctly classified = 70,35%</w:t>
            </w:r>
          </w:p>
        </w:tc>
        <w:tc>
          <w:tcPr>
            <w:tcW w:w="1360" w:type="dxa"/>
            <w:shd w:val="clear" w:color="auto" w:fill="auto"/>
            <w:noWrap/>
            <w:vAlign w:val="bottom"/>
            <w:hideMark/>
          </w:tcPr>
          <w:p w14:paraId="3F3A9BE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80" w:type="dxa"/>
            <w:shd w:val="clear" w:color="auto" w:fill="auto"/>
            <w:noWrap/>
            <w:vAlign w:val="bottom"/>
            <w:hideMark/>
          </w:tcPr>
          <w:p w14:paraId="467BDB8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2080" w:type="dxa"/>
            <w:shd w:val="clear" w:color="auto" w:fill="auto"/>
            <w:noWrap/>
            <w:vAlign w:val="bottom"/>
            <w:hideMark/>
          </w:tcPr>
          <w:p w14:paraId="18A10E5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680" w:type="dxa"/>
            <w:shd w:val="clear" w:color="auto" w:fill="auto"/>
            <w:noWrap/>
            <w:vAlign w:val="bottom"/>
            <w:hideMark/>
          </w:tcPr>
          <w:p w14:paraId="75AF68E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bl>
    <w:p w14:paraId="346EB390" w14:textId="5655071F" w:rsidR="00077BDD" w:rsidRPr="005150E1" w:rsidRDefault="00077BDD" w:rsidP="00D2794C">
      <w:pPr>
        <w:spacing w:after="0" w:line="240" w:lineRule="auto"/>
        <w:rPr>
          <w:rFonts w:ascii="Times New Roman" w:hAnsi="Times New Roman" w:cs="Times New Roman"/>
          <w:sz w:val="20"/>
          <w:szCs w:val="20"/>
        </w:rPr>
      </w:pPr>
      <w:r w:rsidRPr="005150E1">
        <w:rPr>
          <w:rFonts w:ascii="Times New Roman" w:hAnsi="Times New Roman" w:cs="Times New Roman"/>
          <w:sz w:val="20"/>
          <w:szCs w:val="20"/>
        </w:rPr>
        <w:t>Nota: * p&lt;0,1; ** p&lt;0,05; *** p&lt;0,001</w:t>
      </w:r>
    </w:p>
    <w:p w14:paraId="15EB65DE" w14:textId="22FF9E72"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A Tabela </w:t>
      </w:r>
      <w:r w:rsidR="009A24E7">
        <w:rPr>
          <w:rFonts w:ascii="Times New Roman" w:hAnsi="Times New Roman" w:cs="Times New Roman"/>
          <w:sz w:val="24"/>
          <w:szCs w:val="24"/>
        </w:rPr>
        <w:t>2</w:t>
      </w:r>
      <w:r w:rsidRPr="005150E1">
        <w:rPr>
          <w:rFonts w:ascii="Times New Roman" w:hAnsi="Times New Roman" w:cs="Times New Roman"/>
          <w:sz w:val="24"/>
          <w:szCs w:val="24"/>
        </w:rPr>
        <w:t xml:space="preserve"> reúne os resultados da primeira etapa da análise empírica e os achados sustentam a hipótese de </w:t>
      </w:r>
      <w:bookmarkStart w:id="3" w:name="_Hlk110235451"/>
      <w:r w:rsidRPr="005150E1">
        <w:rPr>
          <w:rFonts w:ascii="Times New Roman" w:hAnsi="Times New Roman" w:cs="Times New Roman"/>
          <w:sz w:val="24"/>
          <w:szCs w:val="24"/>
        </w:rPr>
        <w:t>que o âmbito familiar afeta a participação das mulheres no mercado de trabalho</w:t>
      </w:r>
      <w:bookmarkEnd w:id="3"/>
      <w:r w:rsidRPr="005150E1">
        <w:rPr>
          <w:rFonts w:ascii="Times New Roman" w:hAnsi="Times New Roman" w:cs="Times New Roman"/>
          <w:sz w:val="24"/>
          <w:szCs w:val="24"/>
        </w:rPr>
        <w:t>, autores como England (2010), Folbre (2012) e Welters (2021) corroboram com essa assertiva. Dessa forma, t</w:t>
      </w:r>
      <w:r>
        <w:rPr>
          <w:rFonts w:ascii="Times New Roman" w:hAnsi="Times New Roman" w:cs="Times New Roman"/>
          <w:sz w:val="24"/>
          <w:szCs w:val="24"/>
        </w:rPr>
        <w:t>e</w:t>
      </w:r>
      <w:r w:rsidRPr="005150E1">
        <w:rPr>
          <w:rFonts w:ascii="Times New Roman" w:hAnsi="Times New Roman" w:cs="Times New Roman"/>
          <w:sz w:val="24"/>
          <w:szCs w:val="24"/>
        </w:rPr>
        <w:t>m-s</w:t>
      </w:r>
      <w:r>
        <w:rPr>
          <w:rFonts w:ascii="Times New Roman" w:hAnsi="Times New Roman" w:cs="Times New Roman"/>
          <w:sz w:val="24"/>
          <w:szCs w:val="24"/>
        </w:rPr>
        <w:t xml:space="preserve">e </w:t>
      </w:r>
      <w:r w:rsidRPr="005150E1">
        <w:rPr>
          <w:rFonts w:ascii="Times New Roman" w:hAnsi="Times New Roman" w:cs="Times New Roman"/>
          <w:sz w:val="24"/>
          <w:szCs w:val="24"/>
        </w:rPr>
        <w:t xml:space="preserve">que ter filho reduz a chance da participação feminina no mercado de trabalho em 39%, mantendo constantes os demais fatores. Assim como o fato de ter um companheiro também reduz, em 57%, sua probabilidade de ofertar sua mão de obra no mercado </w:t>
      </w:r>
      <w:r w:rsidRPr="005150E1">
        <w:rPr>
          <w:rFonts w:ascii="Times New Roman" w:hAnsi="Times New Roman" w:cs="Times New Roman"/>
          <w:sz w:val="24"/>
          <w:szCs w:val="24"/>
        </w:rPr>
        <w:lastRenderedPageBreak/>
        <w:t>de trabalho. Tais resultados reforç</w:t>
      </w:r>
      <w:r>
        <w:rPr>
          <w:rFonts w:ascii="Times New Roman" w:hAnsi="Times New Roman" w:cs="Times New Roman"/>
          <w:sz w:val="24"/>
          <w:szCs w:val="24"/>
        </w:rPr>
        <w:t xml:space="preserve">am </w:t>
      </w:r>
      <w:r w:rsidRPr="005150E1">
        <w:rPr>
          <w:rFonts w:ascii="Times New Roman" w:hAnsi="Times New Roman" w:cs="Times New Roman"/>
          <w:sz w:val="24"/>
          <w:szCs w:val="24"/>
        </w:rPr>
        <w:t>os apresentados por Guiginski e Wajnman (2019), onde afirmam que a presença de cônjuge afeta de forma diferente às chances de homens e mulheres se inserirem no mercado de trabalho, onde reduz as possibilidades de a mulher ofertar sua mão de obra e aumenta as possibilidades masculina.</w:t>
      </w:r>
    </w:p>
    <w:p w14:paraId="02AFC53A"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No que concerne </w:t>
      </w:r>
      <w:r>
        <w:rPr>
          <w:rFonts w:ascii="Times New Roman" w:hAnsi="Times New Roman" w:cs="Times New Roman"/>
          <w:sz w:val="24"/>
          <w:szCs w:val="24"/>
        </w:rPr>
        <w:t xml:space="preserve">às </w:t>
      </w:r>
      <w:r w:rsidRPr="005150E1">
        <w:rPr>
          <w:rFonts w:ascii="Times New Roman" w:hAnsi="Times New Roman" w:cs="Times New Roman"/>
          <w:sz w:val="24"/>
          <w:szCs w:val="24"/>
        </w:rPr>
        <w:t xml:space="preserve">razões de chances da participação feminina no mercado de trabalho por raça/cor, mantendo constantes os demais fatores, têm-se que: a chance de participação no mercado de trabalho é 25% maior para a mulher preta em comparação a mulher branca; a mulher parda, comparativamente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mulher branca, apresenta uma </w:t>
      </w:r>
      <w:r>
        <w:rPr>
          <w:rFonts w:ascii="Times New Roman" w:hAnsi="Times New Roman" w:cs="Times New Roman"/>
          <w:sz w:val="24"/>
          <w:szCs w:val="24"/>
        </w:rPr>
        <w:t xml:space="preserve">chance </w:t>
      </w:r>
      <w:r w:rsidRPr="005150E1">
        <w:rPr>
          <w:rFonts w:ascii="Times New Roman" w:hAnsi="Times New Roman" w:cs="Times New Roman"/>
          <w:sz w:val="24"/>
          <w:szCs w:val="24"/>
        </w:rPr>
        <w:t xml:space="preserve">8% maior de se inserir no mercado de trabalho e a mulher indígena apresenta uma chance de participação no mercado de trabalho 35% maior que a mulher branca. Já em relação </w:t>
      </w:r>
      <w:r>
        <w:rPr>
          <w:rFonts w:ascii="Times New Roman" w:hAnsi="Times New Roman" w:cs="Times New Roman"/>
          <w:sz w:val="24"/>
          <w:szCs w:val="24"/>
        </w:rPr>
        <w:t xml:space="preserve">às </w:t>
      </w:r>
      <w:r w:rsidRPr="005150E1">
        <w:rPr>
          <w:rFonts w:ascii="Times New Roman" w:hAnsi="Times New Roman" w:cs="Times New Roman"/>
          <w:sz w:val="24"/>
          <w:szCs w:val="24"/>
        </w:rPr>
        <w:t>mulheres com raça/cor amarela, comparativamente a mulher branca, exprimem uma chance de 20% a menos de participação no mercado de trabalho.</w:t>
      </w:r>
    </w:p>
    <w:p w14:paraId="2C2DF1CD"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Conforme afirma Chadarevian (2011), a </w:t>
      </w:r>
      <w:bookmarkStart w:id="4" w:name="_Hlk110235674"/>
      <w:r w:rsidRPr="005150E1">
        <w:rPr>
          <w:rFonts w:ascii="Times New Roman" w:hAnsi="Times New Roman" w:cs="Times New Roman"/>
          <w:sz w:val="24"/>
          <w:szCs w:val="24"/>
        </w:rPr>
        <w:t xml:space="preserve">desigualdade racial no mercado de trabalho </w:t>
      </w:r>
      <w:bookmarkEnd w:id="4"/>
      <w:r w:rsidRPr="005150E1">
        <w:rPr>
          <w:rFonts w:ascii="Times New Roman" w:hAnsi="Times New Roman" w:cs="Times New Roman"/>
          <w:sz w:val="24"/>
          <w:szCs w:val="24"/>
        </w:rPr>
        <w:t xml:space="preserve">existe e é uma assertiva unânime entre os estudiosos. </w:t>
      </w:r>
      <w:bookmarkStart w:id="5" w:name="_Hlk110235516"/>
      <w:r w:rsidRPr="005150E1">
        <w:rPr>
          <w:rFonts w:ascii="Times New Roman" w:hAnsi="Times New Roman" w:cs="Times New Roman"/>
          <w:sz w:val="24"/>
          <w:szCs w:val="24"/>
        </w:rPr>
        <w:t>Pretos, pardos e indígenas são os que mais sentem o impacto da discriminação racial, assim como acentua os resultados desta pesquisa</w:t>
      </w:r>
      <w:bookmarkEnd w:id="5"/>
      <w:r w:rsidRPr="005150E1">
        <w:rPr>
          <w:rFonts w:ascii="Times New Roman" w:hAnsi="Times New Roman" w:cs="Times New Roman"/>
          <w:sz w:val="24"/>
          <w:szCs w:val="24"/>
        </w:rPr>
        <w:t>. Santos (2009) indaga que além de a toda discriminação racial existente, as mulheres negras apontam desvantagem nos indicadores sociais e de mercado de trabalho.</w:t>
      </w:r>
    </w:p>
    <w:p w14:paraId="79A213FF"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Como frisado anteriormente, com o intuito de incluir mulheres no período de maior inserção no mercado de trabalho, foi realizado um recorte amostral segundo a faixa etária de 16 a 49 anos, mesmo recorte utilizado por Lima (2022) que busca englobar as mulheres em idade fértil ativa. Os resultados para este indicador mostram que 1 ano a mais de idade, </w:t>
      </w:r>
      <w:r w:rsidRPr="005150E1">
        <w:rPr>
          <w:rFonts w:ascii="Times New Roman" w:hAnsi="Times New Roman" w:cs="Times New Roman"/>
          <w:i/>
          <w:iCs/>
          <w:sz w:val="24"/>
          <w:szCs w:val="24"/>
        </w:rPr>
        <w:t>ceteris paribus</w:t>
      </w:r>
      <w:r w:rsidRPr="005150E1">
        <w:rPr>
          <w:rFonts w:ascii="Times New Roman" w:hAnsi="Times New Roman" w:cs="Times New Roman"/>
          <w:sz w:val="24"/>
          <w:szCs w:val="24"/>
        </w:rPr>
        <w:t xml:space="preserve">, aumenta em 23% a </w:t>
      </w:r>
      <w:r>
        <w:rPr>
          <w:rFonts w:ascii="Times New Roman" w:hAnsi="Times New Roman" w:cs="Times New Roman"/>
          <w:sz w:val="24"/>
          <w:szCs w:val="24"/>
        </w:rPr>
        <w:t xml:space="preserve">chance </w:t>
      </w:r>
      <w:r w:rsidRPr="005150E1">
        <w:rPr>
          <w:rFonts w:ascii="Times New Roman" w:hAnsi="Times New Roman" w:cs="Times New Roman"/>
          <w:sz w:val="24"/>
          <w:szCs w:val="24"/>
        </w:rPr>
        <w:t>relativa da mulher participar do mercado de trabalho. Corroborando com os resultados desta pesquisa, Carrera-Fernandez e Menezes (2003) ressaltam que as mulheres ocupadas são, em média, mais velhas que os homens.</w:t>
      </w:r>
    </w:p>
    <w:p w14:paraId="59E61C44"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Tendo em vista que as desigualdades de gênero estão relacionadas diretamente com as demais desigualdades socioeconômicas, buscou-se avaliar o efeito da escolaridade em relação a inserção da mulher no mercado de trabalho. Em relação ao nível de instrução, conclui-se que a chance de participação no mercado de trabalho é 32% maior para a mulher com fundamental completo comparativamente a mulher sem instrução ou fundamental incompleto, mantendo </w:t>
      </w:r>
      <w:r w:rsidRPr="005150E1">
        <w:rPr>
          <w:rFonts w:ascii="Times New Roman" w:hAnsi="Times New Roman" w:cs="Times New Roman"/>
          <w:sz w:val="24"/>
          <w:szCs w:val="24"/>
        </w:rPr>
        <w:lastRenderedPageBreak/>
        <w:t xml:space="preserve">constantes os demais fatores. No que diz respeito a mulher com médio completo, comparativamente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mulher sem instrução ou fundamental incompleto e mantendo constantes os demais fatores, têm-se que sua chance de participação no mercado de trabalho é 86,37% maior. Por fim, a chance de participação no mercado de trabalho da mulher com superior completo, </w:t>
      </w:r>
      <w:r w:rsidRPr="005150E1">
        <w:rPr>
          <w:rFonts w:ascii="Times New Roman" w:hAnsi="Times New Roman" w:cs="Times New Roman"/>
          <w:i/>
          <w:iCs/>
          <w:sz w:val="24"/>
          <w:szCs w:val="24"/>
        </w:rPr>
        <w:t>ceteris paribus</w:t>
      </w:r>
      <w:r w:rsidRPr="005150E1">
        <w:rPr>
          <w:rFonts w:ascii="Times New Roman" w:hAnsi="Times New Roman" w:cs="Times New Roman"/>
          <w:sz w:val="24"/>
          <w:szCs w:val="24"/>
        </w:rPr>
        <w:t>, é 397% maior que a mulher sem instrução ou fundamental incompleto. Dessa forma, pode-se inferir que quanto maior o nível de instrução da mulher, maior sua chance de inserção no mercado de trabalho.</w:t>
      </w:r>
    </w:p>
    <w:p w14:paraId="6BD735A4"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Em consoante com os achados da pesquisa, Lima (2022) enfatiza que é natural que os trabalhadores com maior nível de qualificação sejam mais participativos do mercado de trabalho e aufiram remunerações melhores. Na visão de Ulyssea (2006), mulheres com menos escolaridade podem ter menos chances de escolhas do que aquelas com alta escolaridade, por exemplo. E a presença de filhos, em qualquer nível de escolaridade, tende a afetar as ocupações das mulheres, induzindo as para ocupações autônomas.</w:t>
      </w:r>
    </w:p>
    <w:p w14:paraId="3A31C5B8"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Levando em consideração a região de residência, convém ressaltar que é no Sudeste que se concentra o maior número de municípios do Brasil, bem como surgem as melhores oportunidades e, por conseguinte, se destaca dentre as demais regiões brasileiras. O Brasil é um país com grandes problemáticas de desigualdades regionais, no que concerne </w:t>
      </w:r>
      <w:r>
        <w:rPr>
          <w:rFonts w:ascii="Times New Roman" w:hAnsi="Times New Roman" w:cs="Times New Roman"/>
          <w:sz w:val="24"/>
          <w:szCs w:val="24"/>
        </w:rPr>
        <w:t xml:space="preserve">à </w:t>
      </w:r>
      <w:r w:rsidRPr="005150E1">
        <w:rPr>
          <w:rFonts w:ascii="Times New Roman" w:hAnsi="Times New Roman" w:cs="Times New Roman"/>
          <w:sz w:val="24"/>
          <w:szCs w:val="24"/>
        </w:rPr>
        <w:t>participação feminina no mercado de trabalho não é diferente.</w:t>
      </w:r>
    </w:p>
    <w:p w14:paraId="227B0879" w14:textId="4A22FA36" w:rsidR="00077BDD" w:rsidRPr="005150E1" w:rsidRDefault="00077BDD" w:rsidP="00077BDD">
      <w:pPr>
        <w:spacing w:after="0" w:line="360" w:lineRule="auto"/>
        <w:ind w:firstLine="708"/>
        <w:jc w:val="both"/>
        <w:rPr>
          <w:rFonts w:ascii="Times New Roman" w:eastAsia="Times New Roman" w:hAnsi="Times New Roman" w:cs="Times New Roman"/>
          <w:sz w:val="24"/>
          <w:szCs w:val="24"/>
          <w:lang w:eastAsia="pt-BR"/>
        </w:rPr>
      </w:pPr>
      <w:r w:rsidRPr="005150E1">
        <w:rPr>
          <w:rFonts w:ascii="Times New Roman" w:hAnsi="Times New Roman" w:cs="Times New Roman"/>
          <w:sz w:val="24"/>
          <w:szCs w:val="24"/>
        </w:rPr>
        <w:t xml:space="preserve">Dessa forma, na tabela </w:t>
      </w:r>
      <w:r w:rsidR="00700A51">
        <w:rPr>
          <w:rFonts w:ascii="Times New Roman" w:hAnsi="Times New Roman" w:cs="Times New Roman"/>
          <w:sz w:val="24"/>
          <w:szCs w:val="24"/>
        </w:rPr>
        <w:t>2</w:t>
      </w:r>
      <w:r w:rsidRPr="005150E1">
        <w:rPr>
          <w:rFonts w:ascii="Times New Roman" w:hAnsi="Times New Roman" w:cs="Times New Roman"/>
          <w:sz w:val="24"/>
          <w:szCs w:val="24"/>
        </w:rPr>
        <w:t>, observa-se que a</w:t>
      </w:r>
      <w:r w:rsidRPr="005150E1">
        <w:rPr>
          <w:rFonts w:ascii="Times New Roman" w:eastAsia="Times New Roman" w:hAnsi="Times New Roman" w:cs="Times New Roman"/>
          <w:sz w:val="24"/>
          <w:szCs w:val="24"/>
          <w:lang w:eastAsia="pt-BR"/>
        </w:rPr>
        <w:t xml:space="preserve"> chance de participação no mercado de trabalho é 29% menor para a mulher que reside na região Norte comparativamente </w:t>
      </w:r>
      <w:r>
        <w:rPr>
          <w:rFonts w:ascii="Times New Roman" w:eastAsia="Times New Roman" w:hAnsi="Times New Roman" w:cs="Times New Roman"/>
          <w:sz w:val="24"/>
          <w:szCs w:val="24"/>
          <w:lang w:eastAsia="pt-BR"/>
        </w:rPr>
        <w:t xml:space="preserve">à </w:t>
      </w:r>
      <w:r w:rsidRPr="005150E1">
        <w:rPr>
          <w:rFonts w:ascii="Times New Roman" w:eastAsia="Times New Roman" w:hAnsi="Times New Roman" w:cs="Times New Roman"/>
          <w:sz w:val="24"/>
          <w:szCs w:val="24"/>
          <w:lang w:eastAsia="pt-BR"/>
        </w:rPr>
        <w:t>mulher residente no Sudeste</w:t>
      </w:r>
      <w:r>
        <w:rPr>
          <w:rFonts w:ascii="Times New Roman" w:eastAsia="Times New Roman" w:hAnsi="Times New Roman" w:cs="Times New Roman"/>
          <w:sz w:val="24"/>
          <w:szCs w:val="24"/>
          <w:lang w:eastAsia="pt-BR"/>
        </w:rPr>
        <w:t xml:space="preserve">. </w:t>
      </w:r>
      <w:r w:rsidRPr="005150E1">
        <w:rPr>
          <w:rFonts w:ascii="Times New Roman" w:eastAsia="Times New Roman" w:hAnsi="Times New Roman" w:cs="Times New Roman"/>
          <w:sz w:val="24"/>
          <w:szCs w:val="24"/>
          <w:lang w:eastAsia="pt-BR"/>
        </w:rPr>
        <w:t>A região Nordeste apresenta uma chance de participação feminina no mercado de trabalho 22% menor comparativamente com a região Sudeste</w:t>
      </w:r>
      <w:r>
        <w:rPr>
          <w:rFonts w:ascii="Times New Roman" w:eastAsia="Times New Roman" w:hAnsi="Times New Roman" w:cs="Times New Roman"/>
          <w:sz w:val="24"/>
          <w:szCs w:val="24"/>
          <w:lang w:eastAsia="pt-BR"/>
        </w:rPr>
        <w:t xml:space="preserve">. </w:t>
      </w:r>
      <w:r w:rsidRPr="005150E1">
        <w:rPr>
          <w:rFonts w:ascii="Times New Roman" w:eastAsia="Times New Roman" w:hAnsi="Times New Roman" w:cs="Times New Roman"/>
          <w:sz w:val="24"/>
          <w:szCs w:val="24"/>
          <w:lang w:eastAsia="pt-BR"/>
        </w:rPr>
        <w:t>Em relação ao Sul, t</w:t>
      </w:r>
      <w:r>
        <w:rPr>
          <w:rFonts w:ascii="Times New Roman" w:eastAsia="Times New Roman" w:hAnsi="Times New Roman" w:cs="Times New Roman"/>
          <w:sz w:val="24"/>
          <w:szCs w:val="24"/>
          <w:lang w:eastAsia="pt-BR"/>
        </w:rPr>
        <w:t>em-s</w:t>
      </w:r>
      <w:r w:rsidRPr="005150E1">
        <w:rPr>
          <w:rFonts w:ascii="Times New Roman" w:eastAsia="Times New Roman" w:hAnsi="Times New Roman" w:cs="Times New Roman"/>
          <w:sz w:val="24"/>
          <w:szCs w:val="24"/>
          <w:lang w:eastAsia="pt-BR"/>
        </w:rPr>
        <w:t>e que a chance de participação no mercado de trabalho é 23% maior para a mulher residente nesta região comparativamente a mulher residente na região Sudeste</w:t>
      </w:r>
      <w:r>
        <w:rPr>
          <w:rFonts w:ascii="Times New Roman" w:eastAsia="Times New Roman" w:hAnsi="Times New Roman" w:cs="Times New Roman"/>
          <w:sz w:val="24"/>
          <w:szCs w:val="24"/>
          <w:lang w:eastAsia="pt-BR"/>
        </w:rPr>
        <w:t xml:space="preserve">. </w:t>
      </w:r>
      <w:r w:rsidRPr="005150E1">
        <w:rPr>
          <w:rFonts w:ascii="Times New Roman" w:eastAsia="Times New Roman" w:hAnsi="Times New Roman" w:cs="Times New Roman"/>
          <w:sz w:val="24"/>
          <w:szCs w:val="24"/>
          <w:lang w:eastAsia="pt-BR"/>
        </w:rPr>
        <w:t>Já a chance de participação no mercado de trabalho é 10% menor para a mulher da região Centro - Oeste comparativamente a mulher da região Sudeste</w:t>
      </w:r>
      <w:r>
        <w:rPr>
          <w:rFonts w:ascii="Times New Roman" w:eastAsia="Times New Roman" w:hAnsi="Times New Roman" w:cs="Times New Roman"/>
          <w:sz w:val="24"/>
          <w:szCs w:val="24"/>
          <w:lang w:eastAsia="pt-BR"/>
        </w:rPr>
        <w:t>.</w:t>
      </w:r>
    </w:p>
    <w:p w14:paraId="6500E19F" w14:textId="7637D68F" w:rsidR="00077BDD" w:rsidRPr="005150E1" w:rsidRDefault="00077BDD" w:rsidP="00077BDD">
      <w:pPr>
        <w:spacing w:after="0" w:line="360" w:lineRule="auto"/>
        <w:ind w:firstLine="708"/>
        <w:jc w:val="both"/>
        <w:rPr>
          <w:rFonts w:ascii="Times New Roman" w:eastAsia="Times New Roman" w:hAnsi="Times New Roman" w:cs="Times New Roman"/>
          <w:sz w:val="24"/>
          <w:szCs w:val="24"/>
          <w:lang w:eastAsia="pt-BR"/>
        </w:rPr>
      </w:pPr>
      <w:bookmarkStart w:id="6" w:name="_Hlk110236467"/>
      <w:r w:rsidRPr="005150E1">
        <w:rPr>
          <w:rFonts w:ascii="Times New Roman" w:eastAsia="Times New Roman" w:hAnsi="Times New Roman" w:cs="Times New Roman"/>
          <w:sz w:val="24"/>
          <w:szCs w:val="24"/>
          <w:lang w:eastAsia="pt-BR"/>
        </w:rPr>
        <w:t xml:space="preserve">Lima (2022) ressalta que, via de regra, a inserção feminina no mercado de trabalho da região Nordeste é inferior </w:t>
      </w:r>
      <w:r>
        <w:rPr>
          <w:rFonts w:ascii="Times New Roman" w:eastAsia="Times New Roman" w:hAnsi="Times New Roman" w:cs="Times New Roman"/>
          <w:sz w:val="24"/>
          <w:szCs w:val="24"/>
          <w:lang w:eastAsia="pt-BR"/>
        </w:rPr>
        <w:t>à o</w:t>
      </w:r>
      <w:r w:rsidRPr="005150E1">
        <w:rPr>
          <w:rFonts w:ascii="Times New Roman" w:eastAsia="Times New Roman" w:hAnsi="Times New Roman" w:cs="Times New Roman"/>
          <w:sz w:val="24"/>
          <w:szCs w:val="24"/>
          <w:lang w:eastAsia="pt-BR"/>
        </w:rPr>
        <w:t xml:space="preserve">bservada nas demais regiões brasileiras.  Essa assertiva </w:t>
      </w:r>
      <w:r w:rsidRPr="005150E1">
        <w:rPr>
          <w:rFonts w:ascii="Times New Roman" w:hAnsi="Times New Roman" w:cs="Times New Roman"/>
          <w:sz w:val="24"/>
          <w:szCs w:val="24"/>
        </w:rPr>
        <w:t xml:space="preserve">entra em discordância com </w:t>
      </w:r>
      <w:r w:rsidRPr="005150E1">
        <w:rPr>
          <w:rFonts w:ascii="Times New Roman" w:eastAsia="Times New Roman" w:hAnsi="Times New Roman" w:cs="Times New Roman"/>
          <w:sz w:val="24"/>
          <w:szCs w:val="24"/>
          <w:lang w:eastAsia="pt-BR"/>
        </w:rPr>
        <w:t>os resultados encontrados neste trabalho</w:t>
      </w:r>
      <w:r w:rsidRPr="00B062D9">
        <w:rPr>
          <w:rFonts w:ascii="Times New Roman" w:eastAsia="Times New Roman" w:hAnsi="Times New Roman" w:cs="Times New Roman"/>
          <w:sz w:val="24"/>
          <w:szCs w:val="24"/>
          <w:lang w:eastAsia="pt-BR"/>
        </w:rPr>
        <w:t>,</w:t>
      </w:r>
      <w:r w:rsidRPr="00B062D9">
        <w:rPr>
          <w:rFonts w:ascii="Times New Roman" w:hAnsi="Times New Roman" w:cs="Times New Roman"/>
          <w:sz w:val="24"/>
          <w:szCs w:val="24"/>
        </w:rPr>
        <w:t xml:space="preserve"> onde o Norte aparece como a região </w:t>
      </w:r>
      <w:r w:rsidRPr="00B062D9">
        <w:rPr>
          <w:rFonts w:ascii="Times New Roman" w:hAnsi="Times New Roman" w:cs="Times New Roman"/>
          <w:sz w:val="24"/>
          <w:szCs w:val="24"/>
        </w:rPr>
        <w:lastRenderedPageBreak/>
        <w:t>de residência com a menor chance de parti</w:t>
      </w:r>
      <w:r w:rsidRPr="005150E1">
        <w:rPr>
          <w:rFonts w:ascii="Times New Roman" w:hAnsi="Times New Roman" w:cs="Times New Roman"/>
          <w:sz w:val="24"/>
          <w:szCs w:val="24"/>
        </w:rPr>
        <w:t>cipação da mulher do mercado de trabalh</w:t>
      </w:r>
      <w:r w:rsidR="00B062D9">
        <w:rPr>
          <w:rFonts w:ascii="Times New Roman" w:hAnsi="Times New Roman" w:cs="Times New Roman"/>
          <w:sz w:val="24"/>
          <w:szCs w:val="24"/>
        </w:rPr>
        <w:t xml:space="preserve">o. </w:t>
      </w:r>
      <w:r w:rsidRPr="005150E1">
        <w:rPr>
          <w:rFonts w:ascii="Times New Roman" w:hAnsi="Times New Roman" w:cs="Times New Roman"/>
          <w:sz w:val="24"/>
          <w:szCs w:val="24"/>
        </w:rPr>
        <w:t>Este fato pode estar relacionado a questão de que na região Norte o extrativismo vegetal e mineral exerce uma posição de destaque entre as atividades econômicas exercidas na região, função ainda desempenhada majoritariamente por homens.</w:t>
      </w:r>
    </w:p>
    <w:bookmarkEnd w:id="6"/>
    <w:p w14:paraId="72A7F8B4" w14:textId="151ADE68" w:rsidR="00077BDD" w:rsidRPr="005150E1" w:rsidRDefault="009A2E52" w:rsidP="00435564">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Portanto,</w:t>
      </w:r>
      <w:r w:rsidR="00077BDD" w:rsidRPr="005150E1">
        <w:rPr>
          <w:rFonts w:ascii="Times New Roman" w:eastAsia="Times New Roman" w:hAnsi="Times New Roman" w:cs="Times New Roman"/>
          <w:sz w:val="24"/>
          <w:szCs w:val="24"/>
          <w:lang w:eastAsia="pt-BR"/>
        </w:rPr>
        <w:t xml:space="preserve"> o fato de a mulher ter filho e companheiro, são fatores </w:t>
      </w:r>
      <w:r w:rsidR="00077BDD">
        <w:rPr>
          <w:rFonts w:ascii="Times New Roman" w:eastAsia="Times New Roman" w:hAnsi="Times New Roman" w:cs="Times New Roman"/>
          <w:sz w:val="24"/>
          <w:szCs w:val="24"/>
          <w:lang w:eastAsia="pt-BR"/>
        </w:rPr>
        <w:t>que</w:t>
      </w:r>
      <w:r w:rsidR="00077BDD" w:rsidRPr="005150E1">
        <w:rPr>
          <w:rFonts w:ascii="Times New Roman" w:eastAsia="Times New Roman" w:hAnsi="Times New Roman" w:cs="Times New Roman"/>
          <w:sz w:val="24"/>
          <w:szCs w:val="24"/>
          <w:lang w:eastAsia="pt-BR"/>
        </w:rPr>
        <w:t xml:space="preserve"> impactam de maneira significativa e negativa na chance inserção da mulher no mercado de trabalho. Com relação </w:t>
      </w:r>
      <w:r w:rsidR="00077BDD">
        <w:rPr>
          <w:rFonts w:ascii="Times New Roman" w:eastAsia="Times New Roman" w:hAnsi="Times New Roman" w:cs="Times New Roman"/>
          <w:sz w:val="24"/>
          <w:szCs w:val="24"/>
          <w:lang w:eastAsia="pt-BR"/>
        </w:rPr>
        <w:t xml:space="preserve">à </w:t>
      </w:r>
      <w:r w:rsidR="00077BDD" w:rsidRPr="005150E1">
        <w:rPr>
          <w:rFonts w:ascii="Times New Roman" w:eastAsia="Times New Roman" w:hAnsi="Times New Roman" w:cs="Times New Roman"/>
          <w:sz w:val="24"/>
          <w:szCs w:val="24"/>
          <w:lang w:eastAsia="pt-BR"/>
        </w:rPr>
        <w:t xml:space="preserve">raça/cor, as mulheres indígenas e pretas apresentaram as maiores chances de participação no mercado de trabalho em relação </w:t>
      </w:r>
      <w:r w:rsidR="00077BDD">
        <w:rPr>
          <w:rFonts w:ascii="Times New Roman" w:eastAsia="Times New Roman" w:hAnsi="Times New Roman" w:cs="Times New Roman"/>
          <w:sz w:val="24"/>
          <w:szCs w:val="24"/>
          <w:lang w:eastAsia="pt-BR"/>
        </w:rPr>
        <w:t xml:space="preserve">às </w:t>
      </w:r>
      <w:r w:rsidR="00077BDD" w:rsidRPr="005150E1">
        <w:rPr>
          <w:rFonts w:ascii="Times New Roman" w:eastAsia="Times New Roman" w:hAnsi="Times New Roman" w:cs="Times New Roman"/>
          <w:sz w:val="24"/>
          <w:szCs w:val="24"/>
          <w:lang w:eastAsia="pt-BR"/>
        </w:rPr>
        <w:t xml:space="preserve">mulheres brancas. </w:t>
      </w:r>
      <w:r>
        <w:rPr>
          <w:rFonts w:ascii="Times New Roman" w:eastAsia="Times New Roman" w:hAnsi="Times New Roman" w:cs="Times New Roman"/>
          <w:sz w:val="24"/>
          <w:szCs w:val="24"/>
          <w:lang w:eastAsia="pt-BR"/>
        </w:rPr>
        <w:t>A</w:t>
      </w:r>
      <w:r w:rsidR="00077BDD">
        <w:rPr>
          <w:rFonts w:ascii="Times New Roman" w:eastAsia="Times New Roman" w:hAnsi="Times New Roman" w:cs="Times New Roman"/>
          <w:sz w:val="24"/>
          <w:szCs w:val="24"/>
          <w:lang w:eastAsia="pt-BR"/>
        </w:rPr>
        <w:t xml:space="preserve"> </w:t>
      </w:r>
      <w:r w:rsidR="00077BDD" w:rsidRPr="005150E1">
        <w:rPr>
          <w:rFonts w:ascii="Times New Roman" w:eastAsia="Times New Roman" w:hAnsi="Times New Roman" w:cs="Times New Roman"/>
          <w:sz w:val="24"/>
          <w:szCs w:val="24"/>
          <w:lang w:eastAsia="pt-BR"/>
        </w:rPr>
        <w:t>idade</w:t>
      </w:r>
      <w:r>
        <w:rPr>
          <w:rFonts w:ascii="Times New Roman" w:eastAsia="Times New Roman" w:hAnsi="Times New Roman" w:cs="Times New Roman"/>
          <w:sz w:val="24"/>
          <w:szCs w:val="24"/>
          <w:lang w:eastAsia="pt-BR"/>
        </w:rPr>
        <w:t xml:space="preserve"> também</w:t>
      </w:r>
      <w:r w:rsidR="00077BDD" w:rsidRPr="005150E1">
        <w:rPr>
          <w:rFonts w:ascii="Times New Roman" w:eastAsia="Times New Roman" w:hAnsi="Times New Roman" w:cs="Times New Roman"/>
          <w:sz w:val="24"/>
          <w:szCs w:val="24"/>
          <w:lang w:eastAsia="pt-BR"/>
        </w:rPr>
        <w:t xml:space="preserve"> é um fator decisivo de participação no mercado de trabalho, pois à medida que esta aumenta, aumentam também as chances de participação no mercado de trabalho. </w:t>
      </w:r>
      <w:r w:rsidR="00076D2E">
        <w:rPr>
          <w:rFonts w:ascii="Times New Roman" w:eastAsia="Times New Roman" w:hAnsi="Times New Roman" w:cs="Times New Roman"/>
          <w:sz w:val="24"/>
          <w:szCs w:val="24"/>
          <w:lang w:eastAsia="pt-BR"/>
        </w:rPr>
        <w:t>N</w:t>
      </w:r>
      <w:r w:rsidR="00077BDD" w:rsidRPr="005150E1">
        <w:rPr>
          <w:rFonts w:ascii="Times New Roman" w:eastAsia="Times New Roman" w:hAnsi="Times New Roman" w:cs="Times New Roman"/>
          <w:sz w:val="24"/>
          <w:szCs w:val="24"/>
          <w:lang w:eastAsia="pt-BR"/>
        </w:rPr>
        <w:t xml:space="preserve">ota-se que quem tem superior completo possui as maiores chances de inserção no mercado de trabalho, do que quem não tem. </w:t>
      </w:r>
      <w:r w:rsidR="00076D2E">
        <w:rPr>
          <w:rFonts w:ascii="Times New Roman" w:eastAsia="Times New Roman" w:hAnsi="Times New Roman" w:cs="Times New Roman"/>
          <w:sz w:val="24"/>
          <w:szCs w:val="24"/>
          <w:lang w:eastAsia="pt-BR"/>
        </w:rPr>
        <w:t>Em relação</w:t>
      </w:r>
      <w:r w:rsidR="00077BDD" w:rsidRPr="005150E1">
        <w:rPr>
          <w:rFonts w:ascii="Times New Roman" w:eastAsia="Times New Roman" w:hAnsi="Times New Roman" w:cs="Times New Roman"/>
          <w:sz w:val="24"/>
          <w:szCs w:val="24"/>
          <w:lang w:eastAsia="pt-BR"/>
        </w:rPr>
        <w:t xml:space="preserve"> ao local de residência, as mulheres localizadas </w:t>
      </w:r>
      <w:r w:rsidR="00076D2E">
        <w:rPr>
          <w:rFonts w:ascii="Times New Roman" w:eastAsia="Times New Roman" w:hAnsi="Times New Roman" w:cs="Times New Roman"/>
          <w:sz w:val="24"/>
          <w:szCs w:val="24"/>
          <w:lang w:eastAsia="pt-BR"/>
        </w:rPr>
        <w:t>no</w:t>
      </w:r>
      <w:r w:rsidR="00077BDD">
        <w:rPr>
          <w:rFonts w:ascii="Times New Roman" w:eastAsia="Times New Roman" w:hAnsi="Times New Roman" w:cs="Times New Roman"/>
          <w:sz w:val="24"/>
          <w:szCs w:val="24"/>
          <w:lang w:eastAsia="pt-BR"/>
        </w:rPr>
        <w:t xml:space="preserve"> Sul</w:t>
      </w:r>
      <w:r w:rsidR="00077BDD" w:rsidRPr="005150E1">
        <w:rPr>
          <w:rFonts w:ascii="Times New Roman" w:eastAsia="Times New Roman" w:hAnsi="Times New Roman" w:cs="Times New Roman"/>
          <w:sz w:val="24"/>
          <w:szCs w:val="24"/>
          <w:lang w:eastAsia="pt-BR"/>
        </w:rPr>
        <w:t xml:space="preserve"> apresentaram as maiores chances de participação no mercado de trabalho, quando comparado a região Sudest</w:t>
      </w:r>
      <w:r w:rsidR="00077BDD">
        <w:rPr>
          <w:rFonts w:ascii="Times New Roman" w:eastAsia="Times New Roman" w:hAnsi="Times New Roman" w:cs="Times New Roman"/>
          <w:sz w:val="24"/>
          <w:szCs w:val="24"/>
          <w:lang w:eastAsia="pt-BR"/>
        </w:rPr>
        <w:t xml:space="preserve">e. </w:t>
      </w:r>
      <w:r w:rsidR="00077BDD" w:rsidRPr="00FC1EF4">
        <w:rPr>
          <w:rFonts w:ascii="Times New Roman" w:eastAsia="Times New Roman" w:hAnsi="Times New Roman" w:cs="Times New Roman"/>
          <w:sz w:val="24"/>
          <w:szCs w:val="24"/>
          <w:lang w:eastAsia="pt-BR"/>
        </w:rPr>
        <w:t>Contudo, essa análise explora uma parte da problemática, pois o foco foi na chance de obtenção de vaga no mercado de trabalho não levando em conta possíveis diferenciais de salários.</w:t>
      </w:r>
    </w:p>
    <w:p w14:paraId="30FCF68C" w14:textId="77777777" w:rsidR="00077BDD" w:rsidRPr="005150E1" w:rsidRDefault="00077BDD" w:rsidP="00077BDD">
      <w:pPr>
        <w:spacing w:after="0" w:line="360" w:lineRule="auto"/>
        <w:ind w:left="360"/>
        <w:jc w:val="both"/>
        <w:rPr>
          <w:rFonts w:ascii="Times New Roman" w:hAnsi="Times New Roman" w:cs="Times New Roman"/>
          <w:b/>
          <w:bCs/>
          <w:sz w:val="24"/>
          <w:szCs w:val="24"/>
        </w:rPr>
      </w:pPr>
      <w:r w:rsidRPr="005150E1">
        <w:rPr>
          <w:rFonts w:ascii="Times New Roman" w:hAnsi="Times New Roman" w:cs="Times New Roman"/>
          <w:b/>
          <w:bCs/>
          <w:sz w:val="24"/>
          <w:szCs w:val="24"/>
        </w:rPr>
        <w:t>4.3 Determinantes salarial da mulher</w:t>
      </w:r>
    </w:p>
    <w:p w14:paraId="39A7026E" w14:textId="2961C8EE" w:rsidR="00077BDD" w:rsidRPr="00435564" w:rsidRDefault="00077BDD" w:rsidP="00435564">
      <w:pPr>
        <w:spacing w:after="0" w:line="360" w:lineRule="auto"/>
        <w:ind w:firstLine="709"/>
        <w:jc w:val="both"/>
        <w:rPr>
          <w:rFonts w:ascii="Times New Roman" w:eastAsiaTheme="minorEastAsia" w:hAnsi="Times New Roman" w:cs="Times New Roman"/>
          <w:sz w:val="24"/>
          <w:szCs w:val="24"/>
        </w:rPr>
      </w:pPr>
      <w:r w:rsidRPr="005150E1">
        <w:rPr>
          <w:rFonts w:ascii="Times New Roman" w:hAnsi="Times New Roman" w:cs="Times New Roman"/>
          <w:sz w:val="24"/>
          <w:szCs w:val="24"/>
        </w:rPr>
        <w:t>Esta seção apresenta os efeitos das principais variáveis determinantes do salário da mulher no Brasil, para o ano de 2015. Para tanto,</w:t>
      </w:r>
      <w:r>
        <w:rPr>
          <w:rFonts w:ascii="Times New Roman" w:hAnsi="Times New Roman" w:cs="Times New Roman"/>
          <w:sz w:val="24"/>
          <w:szCs w:val="24"/>
        </w:rPr>
        <w:t xml:space="preserve"> estimou-se a equação (</w:t>
      </w:r>
      <w:r w:rsidR="00F716E9">
        <w:rPr>
          <w:rFonts w:ascii="Times New Roman" w:hAnsi="Times New Roman" w:cs="Times New Roman"/>
          <w:sz w:val="24"/>
          <w:szCs w:val="24"/>
        </w:rPr>
        <w:t>0</w:t>
      </w:r>
      <w:r w:rsidR="00700A51">
        <w:rPr>
          <w:rFonts w:ascii="Times New Roman" w:hAnsi="Times New Roman" w:cs="Times New Roman"/>
          <w:sz w:val="24"/>
          <w:szCs w:val="24"/>
        </w:rPr>
        <w:t>5</w:t>
      </w:r>
      <w:r>
        <w:rPr>
          <w:rFonts w:ascii="Times New Roman" w:hAnsi="Times New Roman" w:cs="Times New Roman"/>
          <w:sz w:val="24"/>
          <w:szCs w:val="24"/>
        </w:rPr>
        <w:t>) apresentada na seção (</w:t>
      </w:r>
      <w:r w:rsidR="00F716E9">
        <w:rPr>
          <w:rFonts w:ascii="Times New Roman" w:hAnsi="Times New Roman" w:cs="Times New Roman"/>
          <w:sz w:val="24"/>
          <w:szCs w:val="24"/>
        </w:rPr>
        <w:t>2</w:t>
      </w:r>
      <w:r>
        <w:rPr>
          <w:rFonts w:ascii="Times New Roman" w:hAnsi="Times New Roman" w:cs="Times New Roman"/>
          <w:sz w:val="24"/>
          <w:szCs w:val="24"/>
        </w:rPr>
        <w:t xml:space="preserve">), </w:t>
      </w:r>
      <w:r w:rsidRPr="005150E1">
        <w:rPr>
          <w:rFonts w:ascii="Times New Roman" w:eastAsiaTheme="minorEastAsia" w:hAnsi="Times New Roman" w:cs="Times New Roman"/>
          <w:sz w:val="24"/>
          <w:szCs w:val="24"/>
        </w:rPr>
        <w:t xml:space="preserve">onde os resultados desta regressão estão expressos na Tabela </w:t>
      </w:r>
      <w:r w:rsidR="00700A51">
        <w:rPr>
          <w:rFonts w:ascii="Times New Roman" w:eastAsiaTheme="minorEastAsia" w:hAnsi="Times New Roman" w:cs="Times New Roman"/>
          <w:sz w:val="24"/>
          <w:szCs w:val="24"/>
        </w:rPr>
        <w:t>3</w:t>
      </w:r>
      <w:r w:rsidRPr="005150E1">
        <w:rPr>
          <w:rFonts w:ascii="Times New Roman" w:eastAsiaTheme="minorEastAsia" w:hAnsi="Times New Roman" w:cs="Times New Roman"/>
          <w:sz w:val="24"/>
          <w:szCs w:val="24"/>
        </w:rPr>
        <w:t>. No que concerne aos resultados da regressão, observa-se pelo Teste F, que o modelo é significativo, haja vista que apresentou significância global de 1%,</w:t>
      </w:r>
      <w:r>
        <w:rPr>
          <w:rFonts w:ascii="Times New Roman" w:eastAsiaTheme="minorEastAsia" w:hAnsi="Times New Roman" w:cs="Times New Roman"/>
          <w:sz w:val="24"/>
          <w:szCs w:val="24"/>
        </w:rPr>
        <w:t xml:space="preserve"> apontando a importância simultânea das variáveis explicativas para explicar a variável dependente.</w:t>
      </w:r>
    </w:p>
    <w:p w14:paraId="57150E4D" w14:textId="13F82C15" w:rsidR="00077BDD" w:rsidRPr="005150E1" w:rsidRDefault="00077BDD" w:rsidP="00077BDD">
      <w:pPr>
        <w:spacing w:after="0" w:line="240" w:lineRule="auto"/>
        <w:jc w:val="center"/>
        <w:rPr>
          <w:rFonts w:ascii="Times New Roman" w:hAnsi="Times New Roman" w:cs="Times New Roman"/>
          <w:b/>
          <w:bCs/>
          <w:sz w:val="24"/>
          <w:szCs w:val="24"/>
        </w:rPr>
      </w:pPr>
      <w:r w:rsidRPr="005150E1">
        <w:rPr>
          <w:rFonts w:ascii="Times New Roman" w:hAnsi="Times New Roman" w:cs="Times New Roman"/>
          <w:b/>
          <w:bCs/>
          <w:sz w:val="24"/>
          <w:szCs w:val="24"/>
        </w:rPr>
        <w:t xml:space="preserve">Tabela </w:t>
      </w:r>
      <w:r w:rsidR="00700A51">
        <w:rPr>
          <w:rFonts w:ascii="Times New Roman" w:hAnsi="Times New Roman" w:cs="Times New Roman"/>
          <w:b/>
          <w:bCs/>
          <w:sz w:val="24"/>
          <w:szCs w:val="24"/>
        </w:rPr>
        <w:t>3</w:t>
      </w:r>
      <w:r w:rsidRPr="005150E1">
        <w:rPr>
          <w:rFonts w:ascii="Times New Roman" w:hAnsi="Times New Roman" w:cs="Times New Roman"/>
          <w:b/>
          <w:bCs/>
          <w:sz w:val="24"/>
          <w:szCs w:val="24"/>
        </w:rPr>
        <w:t xml:space="preserve"> – Equação de Determinação do Salário</w:t>
      </w:r>
      <w:r>
        <w:rPr>
          <w:rFonts w:ascii="Times New Roman" w:hAnsi="Times New Roman" w:cs="Times New Roman"/>
          <w:b/>
          <w:bCs/>
          <w:sz w:val="24"/>
          <w:szCs w:val="24"/>
        </w:rPr>
        <w:t>/</w:t>
      </w:r>
      <w:r w:rsidRPr="005150E1">
        <w:rPr>
          <w:rFonts w:ascii="Times New Roman" w:hAnsi="Times New Roman" w:cs="Times New Roman"/>
          <w:b/>
          <w:bCs/>
          <w:sz w:val="24"/>
          <w:szCs w:val="24"/>
        </w:rPr>
        <w:t>Hora</w:t>
      </w:r>
      <w:r w:rsidRPr="005150E1">
        <w:rPr>
          <w:rFonts w:ascii="Times New Roman" w:hAnsi="Times New Roman" w:cs="Times New Roman"/>
          <w:b/>
          <w:bCs/>
          <w:sz w:val="24"/>
          <w:szCs w:val="24"/>
          <w:vertAlign w:val="superscript"/>
        </w:rPr>
        <w:t>*</w:t>
      </w:r>
      <w:r w:rsidRPr="005150E1">
        <w:rPr>
          <w:rFonts w:ascii="Times New Roman" w:hAnsi="Times New Roman" w:cs="Times New Roman"/>
          <w:b/>
          <w:bCs/>
          <w:sz w:val="24"/>
          <w:szCs w:val="24"/>
        </w:rPr>
        <w:t xml:space="preserve"> Feminino</w:t>
      </w:r>
      <w:r>
        <w:rPr>
          <w:rFonts w:ascii="Times New Roman" w:hAnsi="Times New Roman" w:cs="Times New Roman"/>
          <w:b/>
          <w:bCs/>
          <w:sz w:val="24"/>
          <w:szCs w:val="24"/>
        </w:rPr>
        <w:t xml:space="preserve"> no </w:t>
      </w:r>
      <w:r w:rsidRPr="005150E1">
        <w:rPr>
          <w:rFonts w:ascii="Times New Roman" w:hAnsi="Times New Roman" w:cs="Times New Roman"/>
          <w:b/>
          <w:bCs/>
          <w:sz w:val="24"/>
          <w:szCs w:val="24"/>
        </w:rPr>
        <w:t xml:space="preserve">Brasil </w:t>
      </w:r>
      <w:r>
        <w:rPr>
          <w:rFonts w:ascii="Times New Roman" w:hAnsi="Times New Roman" w:cs="Times New Roman"/>
          <w:b/>
          <w:bCs/>
          <w:sz w:val="24"/>
          <w:szCs w:val="24"/>
        </w:rPr>
        <w:t>em</w:t>
      </w:r>
      <w:r w:rsidRPr="005150E1">
        <w:rPr>
          <w:rFonts w:ascii="Times New Roman" w:hAnsi="Times New Roman" w:cs="Times New Roman"/>
          <w:b/>
          <w:bCs/>
          <w:sz w:val="24"/>
          <w:szCs w:val="24"/>
        </w:rPr>
        <w:t xml:space="preserve"> 201</w:t>
      </w:r>
      <w:r w:rsidR="00F716E9">
        <w:rPr>
          <w:rFonts w:ascii="Times New Roman" w:hAnsi="Times New Roman" w:cs="Times New Roman"/>
          <w:b/>
          <w:bCs/>
          <w:sz w:val="24"/>
          <w:szCs w:val="24"/>
        </w:rPr>
        <w:t>5</w:t>
      </w:r>
    </w:p>
    <w:tbl>
      <w:tblPr>
        <w:tblW w:w="8523"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039"/>
        <w:gridCol w:w="1572"/>
        <w:gridCol w:w="1340"/>
        <w:gridCol w:w="1286"/>
        <w:gridCol w:w="1286"/>
      </w:tblGrid>
      <w:tr w:rsidR="00077BDD" w:rsidRPr="005150E1" w14:paraId="3D9A202D" w14:textId="77777777" w:rsidTr="002C7A0E">
        <w:trPr>
          <w:trHeight w:val="241"/>
          <w:jc w:val="center"/>
        </w:trPr>
        <w:tc>
          <w:tcPr>
            <w:tcW w:w="3039" w:type="dxa"/>
            <w:tcBorders>
              <w:top w:val="single" w:sz="4" w:space="0" w:color="auto"/>
              <w:bottom w:val="single" w:sz="4" w:space="0" w:color="auto"/>
            </w:tcBorders>
            <w:shd w:val="clear" w:color="auto" w:fill="D0CECE" w:themeFill="background2" w:themeFillShade="E6"/>
            <w:noWrap/>
            <w:vAlign w:val="bottom"/>
            <w:hideMark/>
          </w:tcPr>
          <w:p w14:paraId="5DD27FBB"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Variáveis</w:t>
            </w:r>
          </w:p>
        </w:tc>
        <w:tc>
          <w:tcPr>
            <w:tcW w:w="1572" w:type="dxa"/>
            <w:tcBorders>
              <w:top w:val="single" w:sz="4" w:space="0" w:color="auto"/>
              <w:bottom w:val="single" w:sz="4" w:space="0" w:color="auto"/>
            </w:tcBorders>
            <w:shd w:val="clear" w:color="auto" w:fill="D0CECE" w:themeFill="background2" w:themeFillShade="E6"/>
            <w:noWrap/>
            <w:vAlign w:val="bottom"/>
            <w:hideMark/>
          </w:tcPr>
          <w:p w14:paraId="6F7B0804"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Coeficientes</w:t>
            </w:r>
          </w:p>
        </w:tc>
        <w:tc>
          <w:tcPr>
            <w:tcW w:w="1340" w:type="dxa"/>
            <w:tcBorders>
              <w:top w:val="single" w:sz="4" w:space="0" w:color="auto"/>
              <w:bottom w:val="single" w:sz="4" w:space="0" w:color="auto"/>
            </w:tcBorders>
            <w:shd w:val="clear" w:color="auto" w:fill="D0CECE" w:themeFill="background2" w:themeFillShade="E6"/>
            <w:noWrap/>
            <w:vAlign w:val="bottom"/>
            <w:hideMark/>
          </w:tcPr>
          <w:p w14:paraId="5DEF6E8C"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Erro – Padrão</w:t>
            </w:r>
          </w:p>
        </w:tc>
        <w:tc>
          <w:tcPr>
            <w:tcW w:w="1286" w:type="dxa"/>
            <w:tcBorders>
              <w:top w:val="single" w:sz="4" w:space="0" w:color="auto"/>
              <w:bottom w:val="single" w:sz="4" w:space="0" w:color="auto"/>
            </w:tcBorders>
            <w:shd w:val="clear" w:color="auto" w:fill="D0CECE" w:themeFill="background2" w:themeFillShade="E6"/>
            <w:noWrap/>
            <w:vAlign w:val="bottom"/>
            <w:hideMark/>
          </w:tcPr>
          <w:p w14:paraId="4570DCAE"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T</w:t>
            </w:r>
          </w:p>
        </w:tc>
        <w:tc>
          <w:tcPr>
            <w:tcW w:w="1286" w:type="dxa"/>
            <w:tcBorders>
              <w:top w:val="single" w:sz="4" w:space="0" w:color="auto"/>
              <w:bottom w:val="single" w:sz="4" w:space="0" w:color="auto"/>
            </w:tcBorders>
            <w:shd w:val="clear" w:color="auto" w:fill="D0CECE" w:themeFill="background2" w:themeFillShade="E6"/>
            <w:noWrap/>
            <w:vAlign w:val="bottom"/>
            <w:hideMark/>
          </w:tcPr>
          <w:p w14:paraId="15CEE7AA" w14:textId="77777777" w:rsidR="00077BDD" w:rsidRPr="005150E1" w:rsidRDefault="00077BDD" w:rsidP="002C7A0E">
            <w:pPr>
              <w:spacing w:after="0" w:line="240" w:lineRule="auto"/>
              <w:jc w:val="center"/>
              <w:rPr>
                <w:rFonts w:ascii="Times New Roman" w:eastAsia="Times New Roman" w:hAnsi="Times New Roman" w:cs="Times New Roman"/>
                <w:b/>
                <w:bCs/>
                <w:sz w:val="20"/>
                <w:szCs w:val="20"/>
                <w:lang w:eastAsia="pt-BR"/>
              </w:rPr>
            </w:pPr>
            <w:r w:rsidRPr="005150E1">
              <w:rPr>
                <w:rFonts w:ascii="Times New Roman" w:eastAsia="Times New Roman" w:hAnsi="Times New Roman" w:cs="Times New Roman"/>
                <w:b/>
                <w:bCs/>
                <w:sz w:val="20"/>
                <w:szCs w:val="20"/>
                <w:lang w:eastAsia="pt-BR"/>
              </w:rPr>
              <w:t>P&gt;|t|</w:t>
            </w:r>
          </w:p>
        </w:tc>
      </w:tr>
      <w:tr w:rsidR="00077BDD" w:rsidRPr="005150E1" w14:paraId="4153B67A" w14:textId="77777777" w:rsidTr="00F716E9">
        <w:trPr>
          <w:trHeight w:val="241"/>
          <w:jc w:val="center"/>
        </w:trPr>
        <w:tc>
          <w:tcPr>
            <w:tcW w:w="3039" w:type="dxa"/>
            <w:tcBorders>
              <w:top w:val="single" w:sz="4" w:space="0" w:color="auto"/>
            </w:tcBorders>
            <w:shd w:val="clear" w:color="auto" w:fill="auto"/>
            <w:noWrap/>
            <w:vAlign w:val="bottom"/>
            <w:hideMark/>
          </w:tcPr>
          <w:p w14:paraId="5CD139C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c_filho</w:t>
            </w:r>
          </w:p>
        </w:tc>
        <w:tc>
          <w:tcPr>
            <w:tcW w:w="1572" w:type="dxa"/>
            <w:tcBorders>
              <w:top w:val="single" w:sz="4" w:space="0" w:color="auto"/>
            </w:tcBorders>
            <w:shd w:val="clear" w:color="auto" w:fill="auto"/>
            <w:noWrap/>
            <w:vAlign w:val="bottom"/>
            <w:hideMark/>
          </w:tcPr>
          <w:p w14:paraId="61A1B86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-0,10</w:t>
            </w:r>
          </w:p>
        </w:tc>
        <w:tc>
          <w:tcPr>
            <w:tcW w:w="1340" w:type="dxa"/>
            <w:tcBorders>
              <w:top w:val="single" w:sz="4" w:space="0" w:color="auto"/>
            </w:tcBorders>
            <w:shd w:val="clear" w:color="auto" w:fill="auto"/>
            <w:noWrap/>
            <w:vAlign w:val="bottom"/>
            <w:hideMark/>
          </w:tcPr>
          <w:p w14:paraId="142BCA4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0,0093</w:t>
            </w:r>
          </w:p>
        </w:tc>
        <w:tc>
          <w:tcPr>
            <w:tcW w:w="1286" w:type="dxa"/>
            <w:tcBorders>
              <w:top w:val="single" w:sz="4" w:space="0" w:color="auto"/>
            </w:tcBorders>
            <w:shd w:val="clear" w:color="auto" w:fill="auto"/>
            <w:noWrap/>
            <w:vAlign w:val="bottom"/>
          </w:tcPr>
          <w:p w14:paraId="6EFB68CB" w14:textId="7D0EEC50" w:rsidR="00077BDD" w:rsidRPr="005150E1" w:rsidRDefault="00F716E9" w:rsidP="002C7A0E">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-11,00</w:t>
            </w:r>
          </w:p>
        </w:tc>
        <w:tc>
          <w:tcPr>
            <w:tcW w:w="1286" w:type="dxa"/>
            <w:tcBorders>
              <w:top w:val="single" w:sz="4" w:space="0" w:color="auto"/>
            </w:tcBorders>
            <w:shd w:val="clear" w:color="auto" w:fill="auto"/>
            <w:noWrap/>
            <w:vAlign w:val="bottom"/>
            <w:hideMark/>
          </w:tcPr>
          <w:p w14:paraId="3DF028A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2CED6DF4" w14:textId="77777777" w:rsidTr="002C7A0E">
        <w:trPr>
          <w:trHeight w:val="241"/>
          <w:jc w:val="center"/>
        </w:trPr>
        <w:tc>
          <w:tcPr>
            <w:tcW w:w="3039" w:type="dxa"/>
            <w:shd w:val="clear" w:color="auto" w:fill="auto"/>
            <w:noWrap/>
            <w:vAlign w:val="bottom"/>
            <w:hideMark/>
          </w:tcPr>
          <w:p w14:paraId="438C482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Preta</w:t>
            </w:r>
          </w:p>
        </w:tc>
        <w:tc>
          <w:tcPr>
            <w:tcW w:w="1572" w:type="dxa"/>
            <w:shd w:val="clear" w:color="auto" w:fill="auto"/>
            <w:noWrap/>
            <w:vAlign w:val="bottom"/>
            <w:hideMark/>
          </w:tcPr>
          <w:p w14:paraId="77B9C8B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-0,12</w:t>
            </w:r>
          </w:p>
        </w:tc>
        <w:tc>
          <w:tcPr>
            <w:tcW w:w="1340" w:type="dxa"/>
            <w:shd w:val="clear" w:color="auto" w:fill="auto"/>
            <w:noWrap/>
            <w:vAlign w:val="bottom"/>
            <w:hideMark/>
          </w:tcPr>
          <w:p w14:paraId="2D56745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0,0116</w:t>
            </w:r>
          </w:p>
        </w:tc>
        <w:tc>
          <w:tcPr>
            <w:tcW w:w="1286" w:type="dxa"/>
            <w:shd w:val="clear" w:color="auto" w:fill="auto"/>
            <w:noWrap/>
            <w:vAlign w:val="bottom"/>
            <w:hideMark/>
          </w:tcPr>
          <w:p w14:paraId="68BB0A1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-10,7</w:t>
            </w:r>
          </w:p>
        </w:tc>
        <w:tc>
          <w:tcPr>
            <w:tcW w:w="1286" w:type="dxa"/>
            <w:shd w:val="clear" w:color="auto" w:fill="auto"/>
            <w:noWrap/>
            <w:vAlign w:val="bottom"/>
            <w:hideMark/>
          </w:tcPr>
          <w:p w14:paraId="6A7F33A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2A9E513A" w14:textId="77777777" w:rsidTr="002C7A0E">
        <w:trPr>
          <w:trHeight w:val="241"/>
          <w:jc w:val="center"/>
        </w:trPr>
        <w:tc>
          <w:tcPr>
            <w:tcW w:w="3039" w:type="dxa"/>
            <w:shd w:val="clear" w:color="auto" w:fill="auto"/>
            <w:noWrap/>
            <w:vAlign w:val="bottom"/>
            <w:hideMark/>
          </w:tcPr>
          <w:p w14:paraId="2B9FECC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Parda</w:t>
            </w:r>
          </w:p>
        </w:tc>
        <w:tc>
          <w:tcPr>
            <w:tcW w:w="1572" w:type="dxa"/>
            <w:shd w:val="clear" w:color="auto" w:fill="auto"/>
            <w:noWrap/>
            <w:vAlign w:val="bottom"/>
            <w:hideMark/>
          </w:tcPr>
          <w:p w14:paraId="314B5E8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-0,12</w:t>
            </w:r>
          </w:p>
        </w:tc>
        <w:tc>
          <w:tcPr>
            <w:tcW w:w="1340" w:type="dxa"/>
            <w:shd w:val="clear" w:color="auto" w:fill="auto"/>
            <w:noWrap/>
            <w:vAlign w:val="bottom"/>
            <w:hideMark/>
          </w:tcPr>
          <w:p w14:paraId="3376C29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0,0079</w:t>
            </w:r>
          </w:p>
        </w:tc>
        <w:tc>
          <w:tcPr>
            <w:tcW w:w="1286" w:type="dxa"/>
            <w:shd w:val="clear" w:color="auto" w:fill="auto"/>
            <w:noWrap/>
            <w:vAlign w:val="bottom"/>
            <w:hideMark/>
          </w:tcPr>
          <w:p w14:paraId="6E13779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-15,2</w:t>
            </w:r>
          </w:p>
        </w:tc>
        <w:tc>
          <w:tcPr>
            <w:tcW w:w="1286" w:type="dxa"/>
            <w:shd w:val="clear" w:color="auto" w:fill="auto"/>
            <w:noWrap/>
            <w:vAlign w:val="bottom"/>
            <w:hideMark/>
          </w:tcPr>
          <w:p w14:paraId="7BDEBA4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795308E6" w14:textId="77777777" w:rsidTr="002C7A0E">
        <w:trPr>
          <w:trHeight w:val="241"/>
          <w:jc w:val="center"/>
        </w:trPr>
        <w:tc>
          <w:tcPr>
            <w:tcW w:w="3039" w:type="dxa"/>
            <w:shd w:val="clear" w:color="auto" w:fill="auto"/>
            <w:noWrap/>
            <w:vAlign w:val="bottom"/>
            <w:hideMark/>
          </w:tcPr>
          <w:p w14:paraId="169EE08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Indígena</w:t>
            </w:r>
          </w:p>
        </w:tc>
        <w:tc>
          <w:tcPr>
            <w:tcW w:w="1572" w:type="dxa"/>
            <w:shd w:val="clear" w:color="auto" w:fill="auto"/>
            <w:noWrap/>
            <w:vAlign w:val="bottom"/>
            <w:hideMark/>
          </w:tcPr>
          <w:p w14:paraId="68189FA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-0,06</w:t>
            </w:r>
          </w:p>
        </w:tc>
        <w:tc>
          <w:tcPr>
            <w:tcW w:w="1340" w:type="dxa"/>
            <w:shd w:val="clear" w:color="auto" w:fill="auto"/>
            <w:noWrap/>
            <w:vAlign w:val="bottom"/>
            <w:hideMark/>
          </w:tcPr>
          <w:p w14:paraId="13B229E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0,0677</w:t>
            </w:r>
          </w:p>
        </w:tc>
        <w:tc>
          <w:tcPr>
            <w:tcW w:w="1286" w:type="dxa"/>
            <w:shd w:val="clear" w:color="auto" w:fill="auto"/>
            <w:noWrap/>
            <w:vAlign w:val="bottom"/>
            <w:hideMark/>
          </w:tcPr>
          <w:p w14:paraId="34FF5BE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-0,94</w:t>
            </w:r>
          </w:p>
        </w:tc>
        <w:tc>
          <w:tcPr>
            <w:tcW w:w="1286" w:type="dxa"/>
            <w:shd w:val="clear" w:color="auto" w:fill="auto"/>
            <w:noWrap/>
            <w:vAlign w:val="bottom"/>
            <w:hideMark/>
          </w:tcPr>
          <w:p w14:paraId="4374F7CB" w14:textId="77777777" w:rsidR="00077BDD" w:rsidRPr="005150E1" w:rsidRDefault="00077BDD" w:rsidP="002C7A0E">
            <w:pPr>
              <w:spacing w:after="0" w:line="240" w:lineRule="auto"/>
              <w:jc w:val="center"/>
              <w:rPr>
                <w:rFonts w:ascii="Times New Roman" w:eastAsia="Times New Roman" w:hAnsi="Times New Roman" w:cs="Times New Roman"/>
                <w:sz w:val="20"/>
                <w:szCs w:val="20"/>
                <w:vertAlign w:val="superscript"/>
                <w:lang w:eastAsia="pt-BR"/>
              </w:rPr>
            </w:pPr>
            <w:r w:rsidRPr="005150E1">
              <w:rPr>
                <w:rFonts w:ascii="Times New Roman" w:eastAsia="Times New Roman" w:hAnsi="Times New Roman" w:cs="Times New Roman"/>
                <w:sz w:val="20"/>
                <w:szCs w:val="20"/>
                <w:lang w:eastAsia="pt-BR"/>
              </w:rPr>
              <w:t>0,346</w:t>
            </w:r>
            <w:r w:rsidRPr="005150E1">
              <w:rPr>
                <w:rFonts w:ascii="Times New Roman" w:eastAsia="Times New Roman" w:hAnsi="Times New Roman" w:cs="Times New Roman"/>
                <w:sz w:val="20"/>
                <w:szCs w:val="20"/>
                <w:vertAlign w:val="superscript"/>
                <w:lang w:eastAsia="pt-BR"/>
              </w:rPr>
              <w:t>NS</w:t>
            </w:r>
          </w:p>
        </w:tc>
      </w:tr>
      <w:tr w:rsidR="00077BDD" w:rsidRPr="005150E1" w14:paraId="4F32ED6E" w14:textId="77777777" w:rsidTr="002C7A0E">
        <w:trPr>
          <w:trHeight w:val="241"/>
          <w:jc w:val="center"/>
        </w:trPr>
        <w:tc>
          <w:tcPr>
            <w:tcW w:w="3039" w:type="dxa"/>
            <w:shd w:val="clear" w:color="auto" w:fill="auto"/>
            <w:noWrap/>
            <w:vAlign w:val="bottom"/>
            <w:hideMark/>
          </w:tcPr>
          <w:p w14:paraId="01895DD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Amarela</w:t>
            </w:r>
          </w:p>
        </w:tc>
        <w:tc>
          <w:tcPr>
            <w:tcW w:w="1572" w:type="dxa"/>
            <w:shd w:val="clear" w:color="auto" w:fill="auto"/>
            <w:noWrap/>
            <w:vAlign w:val="bottom"/>
            <w:hideMark/>
          </w:tcPr>
          <w:p w14:paraId="0DE0AA9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0,07</w:t>
            </w:r>
          </w:p>
        </w:tc>
        <w:tc>
          <w:tcPr>
            <w:tcW w:w="1340" w:type="dxa"/>
            <w:shd w:val="clear" w:color="auto" w:fill="auto"/>
            <w:noWrap/>
            <w:vAlign w:val="bottom"/>
            <w:hideMark/>
          </w:tcPr>
          <w:p w14:paraId="7EFD14E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0,0643</w:t>
            </w:r>
          </w:p>
        </w:tc>
        <w:tc>
          <w:tcPr>
            <w:tcW w:w="1286" w:type="dxa"/>
            <w:shd w:val="clear" w:color="auto" w:fill="auto"/>
            <w:noWrap/>
            <w:vAlign w:val="bottom"/>
            <w:hideMark/>
          </w:tcPr>
          <w:p w14:paraId="4E17FA8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1,07</w:t>
            </w:r>
          </w:p>
        </w:tc>
        <w:tc>
          <w:tcPr>
            <w:tcW w:w="1286" w:type="dxa"/>
            <w:shd w:val="clear" w:color="auto" w:fill="auto"/>
            <w:noWrap/>
            <w:vAlign w:val="bottom"/>
            <w:hideMark/>
          </w:tcPr>
          <w:p w14:paraId="08F236F4" w14:textId="77777777" w:rsidR="00077BDD" w:rsidRPr="005150E1" w:rsidRDefault="00077BDD" w:rsidP="002C7A0E">
            <w:pPr>
              <w:spacing w:after="0" w:line="240" w:lineRule="auto"/>
              <w:jc w:val="center"/>
              <w:rPr>
                <w:rFonts w:ascii="Times New Roman" w:eastAsia="Times New Roman" w:hAnsi="Times New Roman" w:cs="Times New Roman"/>
                <w:sz w:val="20"/>
                <w:szCs w:val="20"/>
                <w:vertAlign w:val="superscript"/>
                <w:lang w:eastAsia="pt-BR"/>
              </w:rPr>
            </w:pPr>
            <w:r w:rsidRPr="005150E1">
              <w:rPr>
                <w:rFonts w:ascii="Times New Roman" w:eastAsia="Times New Roman" w:hAnsi="Times New Roman" w:cs="Times New Roman"/>
                <w:sz w:val="20"/>
                <w:szCs w:val="20"/>
                <w:lang w:eastAsia="pt-BR"/>
              </w:rPr>
              <w:t>0,283</w:t>
            </w:r>
            <w:r w:rsidRPr="005150E1">
              <w:rPr>
                <w:rFonts w:ascii="Times New Roman" w:eastAsia="Times New Roman" w:hAnsi="Times New Roman" w:cs="Times New Roman"/>
                <w:sz w:val="20"/>
                <w:szCs w:val="20"/>
                <w:vertAlign w:val="superscript"/>
                <w:lang w:eastAsia="pt-BR"/>
              </w:rPr>
              <w:t>NS</w:t>
            </w:r>
          </w:p>
        </w:tc>
      </w:tr>
      <w:tr w:rsidR="00077BDD" w:rsidRPr="005150E1" w14:paraId="289D3E64" w14:textId="77777777" w:rsidTr="002C7A0E">
        <w:trPr>
          <w:trHeight w:val="241"/>
          <w:jc w:val="center"/>
        </w:trPr>
        <w:tc>
          <w:tcPr>
            <w:tcW w:w="3039" w:type="dxa"/>
            <w:shd w:val="clear" w:color="auto" w:fill="auto"/>
            <w:noWrap/>
            <w:vAlign w:val="bottom"/>
            <w:hideMark/>
          </w:tcPr>
          <w:p w14:paraId="6FCB770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Idade</w:t>
            </w:r>
          </w:p>
        </w:tc>
        <w:tc>
          <w:tcPr>
            <w:tcW w:w="1572" w:type="dxa"/>
            <w:shd w:val="clear" w:color="auto" w:fill="auto"/>
            <w:noWrap/>
            <w:vAlign w:val="bottom"/>
            <w:hideMark/>
          </w:tcPr>
          <w:p w14:paraId="6BA2B1E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0,05</w:t>
            </w:r>
          </w:p>
        </w:tc>
        <w:tc>
          <w:tcPr>
            <w:tcW w:w="1340" w:type="dxa"/>
            <w:shd w:val="clear" w:color="auto" w:fill="auto"/>
            <w:noWrap/>
            <w:vAlign w:val="bottom"/>
            <w:hideMark/>
          </w:tcPr>
          <w:p w14:paraId="5B9064C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0,0038</w:t>
            </w:r>
          </w:p>
        </w:tc>
        <w:tc>
          <w:tcPr>
            <w:tcW w:w="1286" w:type="dxa"/>
            <w:shd w:val="clear" w:color="auto" w:fill="auto"/>
            <w:noWrap/>
            <w:vAlign w:val="bottom"/>
            <w:hideMark/>
          </w:tcPr>
          <w:p w14:paraId="4D7803F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13,5</w:t>
            </w:r>
          </w:p>
        </w:tc>
        <w:tc>
          <w:tcPr>
            <w:tcW w:w="1286" w:type="dxa"/>
            <w:shd w:val="clear" w:color="auto" w:fill="auto"/>
            <w:noWrap/>
            <w:vAlign w:val="bottom"/>
            <w:hideMark/>
          </w:tcPr>
          <w:p w14:paraId="103DA98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424C749F" w14:textId="77777777" w:rsidTr="002C7A0E">
        <w:trPr>
          <w:trHeight w:val="241"/>
          <w:jc w:val="center"/>
        </w:trPr>
        <w:tc>
          <w:tcPr>
            <w:tcW w:w="3039" w:type="dxa"/>
            <w:shd w:val="clear" w:color="auto" w:fill="auto"/>
            <w:noWrap/>
            <w:vAlign w:val="bottom"/>
            <w:hideMark/>
          </w:tcPr>
          <w:p w14:paraId="336F4B7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idade2</w:t>
            </w:r>
          </w:p>
        </w:tc>
        <w:tc>
          <w:tcPr>
            <w:tcW w:w="1572" w:type="dxa"/>
            <w:shd w:val="clear" w:color="auto" w:fill="auto"/>
            <w:noWrap/>
            <w:vAlign w:val="bottom"/>
            <w:hideMark/>
          </w:tcPr>
          <w:p w14:paraId="4FAEAC2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-0,0005</w:t>
            </w:r>
          </w:p>
        </w:tc>
        <w:tc>
          <w:tcPr>
            <w:tcW w:w="1340" w:type="dxa"/>
            <w:shd w:val="clear" w:color="auto" w:fill="auto"/>
            <w:noWrap/>
            <w:vAlign w:val="bottom"/>
            <w:hideMark/>
          </w:tcPr>
          <w:p w14:paraId="7B0E6C0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0,0001</w:t>
            </w:r>
          </w:p>
        </w:tc>
        <w:tc>
          <w:tcPr>
            <w:tcW w:w="1286" w:type="dxa"/>
            <w:shd w:val="clear" w:color="auto" w:fill="auto"/>
            <w:noWrap/>
            <w:vAlign w:val="bottom"/>
            <w:hideMark/>
          </w:tcPr>
          <w:p w14:paraId="7352C33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-10,42</w:t>
            </w:r>
          </w:p>
        </w:tc>
        <w:tc>
          <w:tcPr>
            <w:tcW w:w="1286" w:type="dxa"/>
            <w:shd w:val="clear" w:color="auto" w:fill="auto"/>
            <w:noWrap/>
            <w:vAlign w:val="bottom"/>
            <w:hideMark/>
          </w:tcPr>
          <w:p w14:paraId="49183F9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323D51AD" w14:textId="77777777" w:rsidTr="002C7A0E">
        <w:trPr>
          <w:trHeight w:val="241"/>
          <w:jc w:val="center"/>
        </w:trPr>
        <w:tc>
          <w:tcPr>
            <w:tcW w:w="3039" w:type="dxa"/>
            <w:shd w:val="clear" w:color="auto" w:fill="auto"/>
            <w:noWrap/>
            <w:vAlign w:val="bottom"/>
            <w:hideMark/>
          </w:tcPr>
          <w:p w14:paraId="0A22DFC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c_comp</w:t>
            </w:r>
          </w:p>
        </w:tc>
        <w:tc>
          <w:tcPr>
            <w:tcW w:w="1572" w:type="dxa"/>
            <w:shd w:val="clear" w:color="auto" w:fill="auto"/>
            <w:noWrap/>
            <w:vAlign w:val="bottom"/>
            <w:hideMark/>
          </w:tcPr>
          <w:p w14:paraId="76EF1A2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0,02</w:t>
            </w:r>
          </w:p>
        </w:tc>
        <w:tc>
          <w:tcPr>
            <w:tcW w:w="1340" w:type="dxa"/>
            <w:shd w:val="clear" w:color="auto" w:fill="auto"/>
            <w:noWrap/>
            <w:vAlign w:val="bottom"/>
            <w:hideMark/>
          </w:tcPr>
          <w:p w14:paraId="4DCBFE1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0,0080</w:t>
            </w:r>
          </w:p>
        </w:tc>
        <w:tc>
          <w:tcPr>
            <w:tcW w:w="1286" w:type="dxa"/>
            <w:shd w:val="clear" w:color="auto" w:fill="auto"/>
            <w:noWrap/>
            <w:vAlign w:val="bottom"/>
            <w:hideMark/>
          </w:tcPr>
          <w:p w14:paraId="25E0DA1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2,00</w:t>
            </w:r>
          </w:p>
        </w:tc>
        <w:tc>
          <w:tcPr>
            <w:tcW w:w="1286" w:type="dxa"/>
            <w:shd w:val="clear" w:color="auto" w:fill="auto"/>
            <w:noWrap/>
            <w:vAlign w:val="bottom"/>
            <w:hideMark/>
          </w:tcPr>
          <w:p w14:paraId="3E1B23E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0,045**</w:t>
            </w:r>
          </w:p>
        </w:tc>
      </w:tr>
      <w:tr w:rsidR="00077BDD" w:rsidRPr="005150E1" w14:paraId="3BA6515F" w14:textId="77777777" w:rsidTr="002C7A0E">
        <w:trPr>
          <w:trHeight w:val="241"/>
          <w:jc w:val="center"/>
        </w:trPr>
        <w:tc>
          <w:tcPr>
            <w:tcW w:w="3039" w:type="dxa"/>
            <w:shd w:val="clear" w:color="auto" w:fill="auto"/>
            <w:noWrap/>
            <w:vAlign w:val="bottom"/>
            <w:hideMark/>
          </w:tcPr>
          <w:p w14:paraId="75731DE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Fundcom_medin</w:t>
            </w:r>
          </w:p>
        </w:tc>
        <w:tc>
          <w:tcPr>
            <w:tcW w:w="1572" w:type="dxa"/>
            <w:shd w:val="clear" w:color="auto" w:fill="auto"/>
            <w:noWrap/>
            <w:vAlign w:val="bottom"/>
            <w:hideMark/>
          </w:tcPr>
          <w:p w14:paraId="5C4E3E3E"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0,18</w:t>
            </w:r>
          </w:p>
        </w:tc>
        <w:tc>
          <w:tcPr>
            <w:tcW w:w="1340" w:type="dxa"/>
            <w:shd w:val="clear" w:color="auto" w:fill="auto"/>
            <w:noWrap/>
            <w:vAlign w:val="bottom"/>
            <w:hideMark/>
          </w:tcPr>
          <w:p w14:paraId="40B6B3F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0,0110</w:t>
            </w:r>
          </w:p>
        </w:tc>
        <w:tc>
          <w:tcPr>
            <w:tcW w:w="1286" w:type="dxa"/>
            <w:shd w:val="clear" w:color="auto" w:fill="auto"/>
            <w:noWrap/>
            <w:vAlign w:val="bottom"/>
            <w:hideMark/>
          </w:tcPr>
          <w:p w14:paraId="3C2272E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16,14</w:t>
            </w:r>
          </w:p>
        </w:tc>
        <w:tc>
          <w:tcPr>
            <w:tcW w:w="1286" w:type="dxa"/>
            <w:shd w:val="clear" w:color="auto" w:fill="auto"/>
            <w:noWrap/>
            <w:vAlign w:val="bottom"/>
            <w:hideMark/>
          </w:tcPr>
          <w:p w14:paraId="109EEAE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7DB49957" w14:textId="77777777" w:rsidTr="002C7A0E">
        <w:trPr>
          <w:trHeight w:val="241"/>
          <w:jc w:val="center"/>
        </w:trPr>
        <w:tc>
          <w:tcPr>
            <w:tcW w:w="3039" w:type="dxa"/>
            <w:shd w:val="clear" w:color="auto" w:fill="auto"/>
            <w:noWrap/>
            <w:vAlign w:val="bottom"/>
            <w:hideMark/>
          </w:tcPr>
          <w:p w14:paraId="768C7EDA"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bookmarkStart w:id="7" w:name="_Hlk110161495"/>
            <w:r w:rsidRPr="005150E1">
              <w:rPr>
                <w:rFonts w:ascii="Times New Roman" w:eastAsia="Times New Roman" w:hAnsi="Times New Roman" w:cs="Times New Roman"/>
                <w:sz w:val="20"/>
                <w:szCs w:val="20"/>
                <w:lang w:eastAsia="pt-BR"/>
              </w:rPr>
              <w:lastRenderedPageBreak/>
              <w:t>medcom _supin</w:t>
            </w:r>
            <w:bookmarkEnd w:id="7"/>
          </w:p>
        </w:tc>
        <w:tc>
          <w:tcPr>
            <w:tcW w:w="1572" w:type="dxa"/>
            <w:shd w:val="clear" w:color="auto" w:fill="auto"/>
            <w:noWrap/>
            <w:vAlign w:val="bottom"/>
            <w:hideMark/>
          </w:tcPr>
          <w:p w14:paraId="06EB6D2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0,42</w:t>
            </w:r>
          </w:p>
        </w:tc>
        <w:tc>
          <w:tcPr>
            <w:tcW w:w="1340" w:type="dxa"/>
            <w:shd w:val="clear" w:color="auto" w:fill="auto"/>
            <w:noWrap/>
            <w:vAlign w:val="bottom"/>
            <w:hideMark/>
          </w:tcPr>
          <w:p w14:paraId="10C64F40"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0,0094</w:t>
            </w:r>
          </w:p>
        </w:tc>
        <w:tc>
          <w:tcPr>
            <w:tcW w:w="1286" w:type="dxa"/>
            <w:shd w:val="clear" w:color="auto" w:fill="auto"/>
            <w:noWrap/>
            <w:vAlign w:val="bottom"/>
            <w:hideMark/>
          </w:tcPr>
          <w:p w14:paraId="22DB0FE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44,56</w:t>
            </w:r>
          </w:p>
        </w:tc>
        <w:tc>
          <w:tcPr>
            <w:tcW w:w="1286" w:type="dxa"/>
            <w:shd w:val="clear" w:color="auto" w:fill="auto"/>
            <w:noWrap/>
            <w:vAlign w:val="bottom"/>
            <w:hideMark/>
          </w:tcPr>
          <w:p w14:paraId="48FF1AD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047A25D1" w14:textId="77777777" w:rsidTr="002C7A0E">
        <w:trPr>
          <w:trHeight w:val="241"/>
          <w:jc w:val="center"/>
        </w:trPr>
        <w:tc>
          <w:tcPr>
            <w:tcW w:w="3039" w:type="dxa"/>
            <w:shd w:val="clear" w:color="auto" w:fill="auto"/>
            <w:noWrap/>
            <w:vAlign w:val="bottom"/>
            <w:hideMark/>
          </w:tcPr>
          <w:p w14:paraId="146BA18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bookmarkStart w:id="8" w:name="_Hlk110161524"/>
            <w:r w:rsidRPr="005150E1">
              <w:rPr>
                <w:rFonts w:ascii="Times New Roman" w:eastAsia="Times New Roman" w:hAnsi="Times New Roman" w:cs="Times New Roman"/>
                <w:sz w:val="20"/>
                <w:szCs w:val="20"/>
                <w:lang w:eastAsia="pt-BR"/>
              </w:rPr>
              <w:t>Supcom</w:t>
            </w:r>
            <w:bookmarkEnd w:id="8"/>
          </w:p>
        </w:tc>
        <w:tc>
          <w:tcPr>
            <w:tcW w:w="1572" w:type="dxa"/>
            <w:shd w:val="clear" w:color="auto" w:fill="auto"/>
            <w:noWrap/>
            <w:vAlign w:val="bottom"/>
            <w:hideMark/>
          </w:tcPr>
          <w:p w14:paraId="001FB84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1,25</w:t>
            </w:r>
          </w:p>
        </w:tc>
        <w:tc>
          <w:tcPr>
            <w:tcW w:w="1340" w:type="dxa"/>
            <w:shd w:val="clear" w:color="auto" w:fill="auto"/>
            <w:noWrap/>
            <w:vAlign w:val="bottom"/>
            <w:hideMark/>
          </w:tcPr>
          <w:p w14:paraId="5BEDD45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0,0122</w:t>
            </w:r>
          </w:p>
        </w:tc>
        <w:tc>
          <w:tcPr>
            <w:tcW w:w="1286" w:type="dxa"/>
            <w:shd w:val="clear" w:color="auto" w:fill="auto"/>
            <w:noWrap/>
            <w:vAlign w:val="bottom"/>
            <w:hideMark/>
          </w:tcPr>
          <w:p w14:paraId="4DF7BED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102,06</w:t>
            </w:r>
          </w:p>
        </w:tc>
        <w:tc>
          <w:tcPr>
            <w:tcW w:w="1286" w:type="dxa"/>
            <w:shd w:val="clear" w:color="auto" w:fill="auto"/>
            <w:noWrap/>
            <w:vAlign w:val="bottom"/>
            <w:hideMark/>
          </w:tcPr>
          <w:p w14:paraId="3460E691"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1DF0ADF0" w14:textId="77777777" w:rsidTr="002C7A0E">
        <w:trPr>
          <w:trHeight w:val="241"/>
          <w:jc w:val="center"/>
        </w:trPr>
        <w:tc>
          <w:tcPr>
            <w:tcW w:w="3039" w:type="dxa"/>
            <w:shd w:val="clear" w:color="auto" w:fill="auto"/>
            <w:noWrap/>
            <w:vAlign w:val="bottom"/>
            <w:hideMark/>
          </w:tcPr>
          <w:p w14:paraId="5D096DE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Norte</w:t>
            </w:r>
          </w:p>
        </w:tc>
        <w:tc>
          <w:tcPr>
            <w:tcW w:w="1572" w:type="dxa"/>
            <w:shd w:val="clear" w:color="auto" w:fill="auto"/>
            <w:noWrap/>
            <w:vAlign w:val="bottom"/>
            <w:hideMark/>
          </w:tcPr>
          <w:p w14:paraId="4DCB4DB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-0,15</w:t>
            </w:r>
          </w:p>
        </w:tc>
        <w:tc>
          <w:tcPr>
            <w:tcW w:w="1340" w:type="dxa"/>
            <w:shd w:val="clear" w:color="auto" w:fill="auto"/>
            <w:noWrap/>
            <w:vAlign w:val="bottom"/>
            <w:hideMark/>
          </w:tcPr>
          <w:p w14:paraId="0B70D11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0,0112</w:t>
            </w:r>
          </w:p>
        </w:tc>
        <w:tc>
          <w:tcPr>
            <w:tcW w:w="1286" w:type="dxa"/>
            <w:shd w:val="clear" w:color="auto" w:fill="auto"/>
            <w:noWrap/>
            <w:vAlign w:val="bottom"/>
            <w:hideMark/>
          </w:tcPr>
          <w:p w14:paraId="02129CB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-13,59</w:t>
            </w:r>
          </w:p>
        </w:tc>
        <w:tc>
          <w:tcPr>
            <w:tcW w:w="1286" w:type="dxa"/>
            <w:shd w:val="clear" w:color="auto" w:fill="auto"/>
            <w:noWrap/>
            <w:vAlign w:val="bottom"/>
            <w:hideMark/>
          </w:tcPr>
          <w:p w14:paraId="1F12591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2EF5A68E" w14:textId="77777777" w:rsidTr="002C7A0E">
        <w:trPr>
          <w:trHeight w:val="241"/>
          <w:jc w:val="center"/>
        </w:trPr>
        <w:tc>
          <w:tcPr>
            <w:tcW w:w="3039" w:type="dxa"/>
            <w:shd w:val="clear" w:color="auto" w:fill="auto"/>
            <w:noWrap/>
            <w:vAlign w:val="bottom"/>
            <w:hideMark/>
          </w:tcPr>
          <w:p w14:paraId="354D8DD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Nordeste</w:t>
            </w:r>
          </w:p>
        </w:tc>
        <w:tc>
          <w:tcPr>
            <w:tcW w:w="1572" w:type="dxa"/>
            <w:shd w:val="clear" w:color="auto" w:fill="auto"/>
            <w:noWrap/>
            <w:vAlign w:val="bottom"/>
            <w:hideMark/>
          </w:tcPr>
          <w:p w14:paraId="7B47D0D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-0,30</w:t>
            </w:r>
          </w:p>
        </w:tc>
        <w:tc>
          <w:tcPr>
            <w:tcW w:w="1340" w:type="dxa"/>
            <w:shd w:val="clear" w:color="auto" w:fill="auto"/>
            <w:noWrap/>
            <w:vAlign w:val="bottom"/>
            <w:hideMark/>
          </w:tcPr>
          <w:p w14:paraId="0D23B07C"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0,0098</w:t>
            </w:r>
          </w:p>
        </w:tc>
        <w:tc>
          <w:tcPr>
            <w:tcW w:w="1286" w:type="dxa"/>
            <w:shd w:val="clear" w:color="auto" w:fill="auto"/>
            <w:noWrap/>
            <w:vAlign w:val="bottom"/>
            <w:hideMark/>
          </w:tcPr>
          <w:p w14:paraId="2D36399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-30,92</w:t>
            </w:r>
          </w:p>
        </w:tc>
        <w:tc>
          <w:tcPr>
            <w:tcW w:w="1286" w:type="dxa"/>
            <w:shd w:val="clear" w:color="auto" w:fill="auto"/>
            <w:noWrap/>
            <w:vAlign w:val="bottom"/>
            <w:hideMark/>
          </w:tcPr>
          <w:p w14:paraId="144B7C8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5282D1BD" w14:textId="77777777" w:rsidTr="002C7A0E">
        <w:trPr>
          <w:trHeight w:val="241"/>
          <w:jc w:val="center"/>
        </w:trPr>
        <w:tc>
          <w:tcPr>
            <w:tcW w:w="3039" w:type="dxa"/>
            <w:shd w:val="clear" w:color="auto" w:fill="auto"/>
            <w:noWrap/>
            <w:vAlign w:val="bottom"/>
            <w:hideMark/>
          </w:tcPr>
          <w:p w14:paraId="2103690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Centrooeste</w:t>
            </w:r>
          </w:p>
        </w:tc>
        <w:tc>
          <w:tcPr>
            <w:tcW w:w="1572" w:type="dxa"/>
            <w:shd w:val="clear" w:color="auto" w:fill="auto"/>
            <w:noWrap/>
            <w:vAlign w:val="bottom"/>
            <w:hideMark/>
          </w:tcPr>
          <w:p w14:paraId="1AE2254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0,05</w:t>
            </w:r>
          </w:p>
        </w:tc>
        <w:tc>
          <w:tcPr>
            <w:tcW w:w="1340" w:type="dxa"/>
            <w:shd w:val="clear" w:color="auto" w:fill="auto"/>
            <w:noWrap/>
            <w:vAlign w:val="bottom"/>
            <w:hideMark/>
          </w:tcPr>
          <w:p w14:paraId="70BC59B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0,0111</w:t>
            </w:r>
          </w:p>
        </w:tc>
        <w:tc>
          <w:tcPr>
            <w:tcW w:w="1286" w:type="dxa"/>
            <w:shd w:val="clear" w:color="auto" w:fill="auto"/>
            <w:noWrap/>
            <w:vAlign w:val="bottom"/>
            <w:hideMark/>
          </w:tcPr>
          <w:p w14:paraId="04CBEF7F"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4,23</w:t>
            </w:r>
          </w:p>
        </w:tc>
        <w:tc>
          <w:tcPr>
            <w:tcW w:w="1286" w:type="dxa"/>
            <w:shd w:val="clear" w:color="auto" w:fill="auto"/>
            <w:noWrap/>
            <w:vAlign w:val="bottom"/>
            <w:hideMark/>
          </w:tcPr>
          <w:p w14:paraId="1EAF9F6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2C9661CE" w14:textId="77777777" w:rsidTr="002C7A0E">
        <w:trPr>
          <w:trHeight w:val="241"/>
          <w:jc w:val="center"/>
        </w:trPr>
        <w:tc>
          <w:tcPr>
            <w:tcW w:w="3039" w:type="dxa"/>
            <w:tcBorders>
              <w:bottom w:val="nil"/>
            </w:tcBorders>
            <w:shd w:val="clear" w:color="auto" w:fill="auto"/>
            <w:noWrap/>
            <w:vAlign w:val="bottom"/>
            <w:hideMark/>
          </w:tcPr>
          <w:p w14:paraId="7FB516A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Sul</w:t>
            </w:r>
          </w:p>
        </w:tc>
        <w:tc>
          <w:tcPr>
            <w:tcW w:w="1572" w:type="dxa"/>
            <w:tcBorders>
              <w:bottom w:val="nil"/>
            </w:tcBorders>
            <w:shd w:val="clear" w:color="auto" w:fill="auto"/>
            <w:noWrap/>
            <w:vAlign w:val="bottom"/>
            <w:hideMark/>
          </w:tcPr>
          <w:p w14:paraId="6132DA16"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0,03</w:t>
            </w:r>
          </w:p>
        </w:tc>
        <w:tc>
          <w:tcPr>
            <w:tcW w:w="1340" w:type="dxa"/>
            <w:tcBorders>
              <w:bottom w:val="nil"/>
            </w:tcBorders>
            <w:shd w:val="clear" w:color="auto" w:fill="auto"/>
            <w:noWrap/>
            <w:vAlign w:val="bottom"/>
            <w:hideMark/>
          </w:tcPr>
          <w:p w14:paraId="76E55A87"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0,0093</w:t>
            </w:r>
          </w:p>
        </w:tc>
        <w:tc>
          <w:tcPr>
            <w:tcW w:w="1286" w:type="dxa"/>
            <w:tcBorders>
              <w:bottom w:val="nil"/>
            </w:tcBorders>
            <w:shd w:val="clear" w:color="auto" w:fill="auto"/>
            <w:noWrap/>
            <w:vAlign w:val="bottom"/>
            <w:hideMark/>
          </w:tcPr>
          <w:p w14:paraId="57CED365"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3,36</w:t>
            </w:r>
          </w:p>
        </w:tc>
        <w:tc>
          <w:tcPr>
            <w:tcW w:w="1286" w:type="dxa"/>
            <w:tcBorders>
              <w:bottom w:val="nil"/>
            </w:tcBorders>
            <w:shd w:val="clear" w:color="auto" w:fill="auto"/>
            <w:noWrap/>
            <w:vAlign w:val="bottom"/>
            <w:hideMark/>
          </w:tcPr>
          <w:p w14:paraId="3490A85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0,001***</w:t>
            </w:r>
          </w:p>
        </w:tc>
      </w:tr>
      <w:tr w:rsidR="00077BDD" w:rsidRPr="005150E1" w14:paraId="1C2FCAA5" w14:textId="77777777" w:rsidTr="002C7A0E">
        <w:trPr>
          <w:trHeight w:val="241"/>
          <w:jc w:val="center"/>
        </w:trPr>
        <w:tc>
          <w:tcPr>
            <w:tcW w:w="3039" w:type="dxa"/>
            <w:tcBorders>
              <w:top w:val="nil"/>
              <w:bottom w:val="single" w:sz="4" w:space="0" w:color="auto"/>
            </w:tcBorders>
            <w:shd w:val="clear" w:color="auto" w:fill="auto"/>
            <w:noWrap/>
            <w:vAlign w:val="bottom"/>
            <w:hideMark/>
          </w:tcPr>
          <w:p w14:paraId="2032D3A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Cons</w:t>
            </w:r>
          </w:p>
        </w:tc>
        <w:tc>
          <w:tcPr>
            <w:tcW w:w="1572" w:type="dxa"/>
            <w:tcBorders>
              <w:top w:val="nil"/>
              <w:bottom w:val="single" w:sz="4" w:space="0" w:color="auto"/>
            </w:tcBorders>
            <w:shd w:val="clear" w:color="auto" w:fill="auto"/>
            <w:noWrap/>
            <w:vAlign w:val="bottom"/>
            <w:hideMark/>
          </w:tcPr>
          <w:p w14:paraId="58EEBA3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0,58</w:t>
            </w:r>
          </w:p>
        </w:tc>
        <w:tc>
          <w:tcPr>
            <w:tcW w:w="1340" w:type="dxa"/>
            <w:tcBorders>
              <w:top w:val="nil"/>
              <w:bottom w:val="single" w:sz="4" w:space="0" w:color="auto"/>
            </w:tcBorders>
            <w:shd w:val="clear" w:color="auto" w:fill="auto"/>
            <w:noWrap/>
            <w:vAlign w:val="bottom"/>
            <w:hideMark/>
          </w:tcPr>
          <w:p w14:paraId="596B605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0,0646</w:t>
            </w:r>
          </w:p>
        </w:tc>
        <w:tc>
          <w:tcPr>
            <w:tcW w:w="1286" w:type="dxa"/>
            <w:tcBorders>
              <w:top w:val="nil"/>
              <w:bottom w:val="single" w:sz="4" w:space="0" w:color="auto"/>
            </w:tcBorders>
            <w:shd w:val="clear" w:color="auto" w:fill="auto"/>
            <w:noWrap/>
            <w:vAlign w:val="bottom"/>
            <w:hideMark/>
          </w:tcPr>
          <w:p w14:paraId="075BF3E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8,91</w:t>
            </w:r>
          </w:p>
        </w:tc>
        <w:tc>
          <w:tcPr>
            <w:tcW w:w="1286" w:type="dxa"/>
            <w:tcBorders>
              <w:top w:val="nil"/>
              <w:bottom w:val="single" w:sz="4" w:space="0" w:color="auto"/>
            </w:tcBorders>
            <w:shd w:val="clear" w:color="auto" w:fill="auto"/>
            <w:noWrap/>
            <w:vAlign w:val="bottom"/>
            <w:hideMark/>
          </w:tcPr>
          <w:p w14:paraId="6DA98A6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0,000***</w:t>
            </w:r>
          </w:p>
        </w:tc>
      </w:tr>
      <w:tr w:rsidR="00077BDD" w:rsidRPr="005150E1" w14:paraId="7AFC825D" w14:textId="77777777" w:rsidTr="002C7A0E">
        <w:trPr>
          <w:trHeight w:val="241"/>
          <w:jc w:val="center"/>
        </w:trPr>
        <w:tc>
          <w:tcPr>
            <w:tcW w:w="3039" w:type="dxa"/>
            <w:tcBorders>
              <w:top w:val="single" w:sz="4" w:space="0" w:color="auto"/>
            </w:tcBorders>
            <w:shd w:val="clear" w:color="auto" w:fill="auto"/>
            <w:noWrap/>
            <w:vAlign w:val="bottom"/>
          </w:tcPr>
          <w:p w14:paraId="707DD004"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N  = 29.266</w:t>
            </w:r>
          </w:p>
          <w:p w14:paraId="25A20C83"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F(15, 29250)   = 1478,18</w:t>
            </w:r>
          </w:p>
          <w:p w14:paraId="54C6B62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Prob &gt; F  = 0.0000***</w:t>
            </w:r>
          </w:p>
          <w:p w14:paraId="6647220D"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R</w:t>
            </w:r>
            <w:r w:rsidRPr="005150E1">
              <w:rPr>
                <w:rFonts w:ascii="Times New Roman" w:eastAsia="Times New Roman" w:hAnsi="Times New Roman" w:cs="Times New Roman"/>
                <w:sz w:val="20"/>
                <w:szCs w:val="20"/>
                <w:vertAlign w:val="superscript"/>
                <w:lang w:eastAsia="pt-BR"/>
              </w:rPr>
              <w:t>2</w:t>
            </w:r>
            <w:r w:rsidRPr="005150E1">
              <w:rPr>
                <w:rFonts w:ascii="Times New Roman" w:eastAsia="Times New Roman" w:hAnsi="Times New Roman" w:cs="Times New Roman"/>
                <w:sz w:val="20"/>
                <w:szCs w:val="20"/>
                <w:lang w:eastAsia="pt-BR"/>
              </w:rPr>
              <w:t xml:space="preserve">       =    0,4312</w:t>
            </w:r>
          </w:p>
          <w:p w14:paraId="51F240C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R</w:t>
            </w:r>
            <w:r w:rsidRPr="005150E1">
              <w:rPr>
                <w:rFonts w:ascii="Times New Roman" w:eastAsia="Times New Roman" w:hAnsi="Times New Roman" w:cs="Times New Roman"/>
                <w:sz w:val="20"/>
                <w:szCs w:val="20"/>
                <w:vertAlign w:val="superscript"/>
                <w:lang w:eastAsia="pt-BR"/>
              </w:rPr>
              <w:t>2</w:t>
            </w:r>
            <w:r w:rsidRPr="005150E1">
              <w:rPr>
                <w:rFonts w:ascii="Times New Roman" w:eastAsia="Times New Roman" w:hAnsi="Times New Roman" w:cs="Times New Roman"/>
                <w:sz w:val="20"/>
                <w:szCs w:val="20"/>
                <w:lang w:eastAsia="pt-BR"/>
              </w:rPr>
              <w:t xml:space="preserve"> adj  =    0,4309</w:t>
            </w:r>
          </w:p>
          <w:p w14:paraId="55AC46B8"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r w:rsidRPr="005150E1">
              <w:rPr>
                <w:rFonts w:ascii="Times New Roman" w:eastAsia="Times New Roman" w:hAnsi="Times New Roman" w:cs="Times New Roman"/>
                <w:sz w:val="20"/>
                <w:szCs w:val="20"/>
                <w:lang w:eastAsia="pt-BR"/>
              </w:rPr>
              <w:t>Root MSE  =  0,57909</w:t>
            </w:r>
          </w:p>
        </w:tc>
        <w:tc>
          <w:tcPr>
            <w:tcW w:w="1572" w:type="dxa"/>
            <w:tcBorders>
              <w:top w:val="single" w:sz="4" w:space="0" w:color="auto"/>
            </w:tcBorders>
            <w:shd w:val="clear" w:color="auto" w:fill="auto"/>
            <w:noWrap/>
            <w:vAlign w:val="bottom"/>
          </w:tcPr>
          <w:p w14:paraId="4D21E9AB"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340" w:type="dxa"/>
            <w:tcBorders>
              <w:top w:val="single" w:sz="4" w:space="0" w:color="auto"/>
            </w:tcBorders>
            <w:shd w:val="clear" w:color="auto" w:fill="auto"/>
            <w:noWrap/>
            <w:vAlign w:val="bottom"/>
          </w:tcPr>
          <w:p w14:paraId="290E236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286" w:type="dxa"/>
            <w:tcBorders>
              <w:top w:val="single" w:sz="4" w:space="0" w:color="auto"/>
            </w:tcBorders>
            <w:shd w:val="clear" w:color="auto" w:fill="auto"/>
            <w:noWrap/>
            <w:vAlign w:val="bottom"/>
          </w:tcPr>
          <w:p w14:paraId="1E702D69"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c>
          <w:tcPr>
            <w:tcW w:w="1286" w:type="dxa"/>
            <w:tcBorders>
              <w:top w:val="single" w:sz="4" w:space="0" w:color="auto"/>
            </w:tcBorders>
            <w:shd w:val="clear" w:color="auto" w:fill="auto"/>
            <w:noWrap/>
            <w:vAlign w:val="bottom"/>
          </w:tcPr>
          <w:p w14:paraId="508AE192" w14:textId="77777777" w:rsidR="00077BDD" w:rsidRPr="005150E1" w:rsidRDefault="00077BDD" w:rsidP="002C7A0E">
            <w:pPr>
              <w:spacing w:after="0" w:line="240" w:lineRule="auto"/>
              <w:jc w:val="center"/>
              <w:rPr>
                <w:rFonts w:ascii="Times New Roman" w:eastAsia="Times New Roman" w:hAnsi="Times New Roman" w:cs="Times New Roman"/>
                <w:sz w:val="20"/>
                <w:szCs w:val="20"/>
                <w:lang w:eastAsia="pt-BR"/>
              </w:rPr>
            </w:pPr>
          </w:p>
        </w:tc>
      </w:tr>
    </w:tbl>
    <w:p w14:paraId="4422324E" w14:textId="77777777" w:rsidR="00077BDD" w:rsidRPr="005150E1" w:rsidRDefault="00077BDD" w:rsidP="00077BDD">
      <w:pPr>
        <w:spacing w:after="0" w:line="240" w:lineRule="auto"/>
        <w:jc w:val="both"/>
        <w:rPr>
          <w:rFonts w:ascii="Times New Roman" w:hAnsi="Times New Roman" w:cs="Times New Roman"/>
          <w:sz w:val="20"/>
          <w:szCs w:val="20"/>
        </w:rPr>
      </w:pPr>
      <w:r w:rsidRPr="005150E1">
        <w:rPr>
          <w:rFonts w:ascii="Times New Roman" w:hAnsi="Times New Roman" w:cs="Times New Roman"/>
          <w:sz w:val="20"/>
          <w:szCs w:val="20"/>
        </w:rPr>
        <w:t>Fonte: Elaboração própria com base em dados da pesquisa</w:t>
      </w:r>
    </w:p>
    <w:p w14:paraId="6EF0B260" w14:textId="77777777" w:rsidR="00077BDD" w:rsidRPr="005150E1" w:rsidRDefault="00077BDD" w:rsidP="00077BDD">
      <w:pPr>
        <w:spacing w:after="0" w:line="240" w:lineRule="auto"/>
        <w:jc w:val="both"/>
        <w:rPr>
          <w:rFonts w:ascii="Times New Roman" w:hAnsi="Times New Roman" w:cs="Times New Roman"/>
          <w:sz w:val="20"/>
          <w:szCs w:val="20"/>
        </w:rPr>
      </w:pPr>
      <w:r w:rsidRPr="005150E1">
        <w:rPr>
          <w:rFonts w:ascii="Times New Roman" w:hAnsi="Times New Roman" w:cs="Times New Roman"/>
          <w:sz w:val="20"/>
          <w:szCs w:val="20"/>
        </w:rPr>
        <w:t>Nota:* Esta variável é expressa em logaritmo natural</w:t>
      </w:r>
    </w:p>
    <w:p w14:paraId="1DD04FFB" w14:textId="415EF9A2" w:rsidR="00077BDD" w:rsidRPr="000B6431" w:rsidRDefault="00077BDD" w:rsidP="000B6431">
      <w:pPr>
        <w:spacing w:after="0" w:line="240" w:lineRule="auto"/>
        <w:jc w:val="both"/>
        <w:rPr>
          <w:rFonts w:ascii="Times New Roman" w:hAnsi="Times New Roman" w:cs="Times New Roman"/>
          <w:sz w:val="20"/>
          <w:szCs w:val="20"/>
        </w:rPr>
      </w:pPr>
      <w:r w:rsidRPr="005150E1">
        <w:rPr>
          <w:rFonts w:ascii="Times New Roman" w:hAnsi="Times New Roman" w:cs="Times New Roman"/>
          <w:sz w:val="20"/>
          <w:szCs w:val="20"/>
        </w:rPr>
        <w:t>*p&lt;0,10; **p&lt;0,05; ***p&lt;0,01; ns não significativo</w:t>
      </w:r>
    </w:p>
    <w:p w14:paraId="5B99235A" w14:textId="0425C112" w:rsidR="00077BDD" w:rsidRDefault="00077BDD" w:rsidP="00077BDD">
      <w:pPr>
        <w:spacing w:after="0" w:line="360" w:lineRule="auto"/>
        <w:jc w:val="both"/>
        <w:rPr>
          <w:rFonts w:ascii="Times New Roman" w:hAnsi="Times New Roman" w:cs="Times New Roman"/>
          <w:sz w:val="24"/>
          <w:szCs w:val="24"/>
        </w:rPr>
      </w:pPr>
      <w:r w:rsidRPr="005150E1">
        <w:rPr>
          <w:rFonts w:ascii="Times New Roman" w:hAnsi="Times New Roman" w:cs="Times New Roman"/>
          <w:sz w:val="24"/>
          <w:szCs w:val="24"/>
        </w:rPr>
        <w:tab/>
        <w:t xml:space="preserve">Com relação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significância </w:t>
      </w:r>
      <w:r>
        <w:rPr>
          <w:rFonts w:ascii="Times New Roman" w:hAnsi="Times New Roman" w:cs="Times New Roman"/>
          <w:sz w:val="24"/>
          <w:szCs w:val="24"/>
        </w:rPr>
        <w:t>dos parâmetros estimados,</w:t>
      </w:r>
      <w:r w:rsidRPr="005150E1">
        <w:rPr>
          <w:rFonts w:ascii="Times New Roman" w:hAnsi="Times New Roman" w:cs="Times New Roman"/>
          <w:sz w:val="24"/>
          <w:szCs w:val="24"/>
        </w:rPr>
        <w:t xml:space="preserve"> observa-se na Tabela </w:t>
      </w:r>
      <w:r w:rsidR="00700A51">
        <w:rPr>
          <w:rFonts w:ascii="Times New Roman" w:hAnsi="Times New Roman" w:cs="Times New Roman"/>
          <w:sz w:val="24"/>
          <w:szCs w:val="24"/>
        </w:rPr>
        <w:t>3</w:t>
      </w:r>
      <w:r w:rsidRPr="005150E1">
        <w:rPr>
          <w:rFonts w:ascii="Times New Roman" w:hAnsi="Times New Roman" w:cs="Times New Roman"/>
          <w:sz w:val="24"/>
          <w:szCs w:val="24"/>
        </w:rPr>
        <w:t>, que dua</w:t>
      </w:r>
      <w:r>
        <w:rPr>
          <w:rFonts w:ascii="Times New Roman" w:hAnsi="Times New Roman" w:cs="Times New Roman"/>
          <w:sz w:val="24"/>
          <w:szCs w:val="24"/>
        </w:rPr>
        <w:t xml:space="preserve">s </w:t>
      </w:r>
      <w:r w:rsidRPr="00D5494B">
        <w:rPr>
          <w:rFonts w:ascii="Times New Roman" w:hAnsi="Times New Roman" w:cs="Times New Roman"/>
          <w:sz w:val="24"/>
          <w:szCs w:val="24"/>
        </w:rPr>
        <w:t xml:space="preserve">das quinze variáveis seus coeficientes não são significantes, ainda assim são coeficientes de dummies que mesmo não sendo significantes revelam informações importantes, pois indica não haver diferença significante no efeito </w:t>
      </w:r>
      <w:r w:rsidR="00435564" w:rsidRPr="00D5494B">
        <w:rPr>
          <w:rFonts w:ascii="Times New Roman" w:hAnsi="Times New Roman" w:cs="Times New Roman"/>
          <w:sz w:val="24"/>
          <w:szCs w:val="24"/>
        </w:rPr>
        <w:t>dessas</w:t>
      </w:r>
      <w:r w:rsidR="00435564">
        <w:rPr>
          <w:rFonts w:ascii="Times New Roman" w:hAnsi="Times New Roman" w:cs="Times New Roman"/>
          <w:sz w:val="24"/>
          <w:szCs w:val="24"/>
        </w:rPr>
        <w:t xml:space="preserve"> </w:t>
      </w:r>
      <w:r w:rsidR="00435564" w:rsidRPr="00D5494B">
        <w:rPr>
          <w:rFonts w:ascii="Times New Roman" w:hAnsi="Times New Roman" w:cs="Times New Roman"/>
          <w:sz w:val="24"/>
          <w:szCs w:val="24"/>
        </w:rPr>
        <w:t>categorias</w:t>
      </w:r>
      <w:r w:rsidRPr="00D5494B">
        <w:rPr>
          <w:rFonts w:ascii="Times New Roman" w:hAnsi="Times New Roman" w:cs="Times New Roman"/>
          <w:sz w:val="24"/>
          <w:szCs w:val="24"/>
        </w:rPr>
        <w:t xml:space="preserve"> na variável dependente comparativamente à categoria de referência. Ou seja, não há diferença significante no salário/hora ente mulheres indígenas e amarelas em relação às mulheres brancas.</w:t>
      </w:r>
    </w:p>
    <w:p w14:paraId="1CEE255D" w14:textId="3B942ECB" w:rsidR="00077BDD" w:rsidRPr="005150E1" w:rsidRDefault="00077BDD" w:rsidP="00077BDD">
      <w:pPr>
        <w:spacing w:after="0" w:line="360" w:lineRule="auto"/>
        <w:ind w:firstLine="709"/>
        <w:jc w:val="both"/>
        <w:rPr>
          <w:rFonts w:ascii="Times New Roman" w:hAnsi="Times New Roman" w:cs="Times New Roman"/>
          <w:sz w:val="24"/>
          <w:szCs w:val="24"/>
        </w:rPr>
      </w:pPr>
      <w:r w:rsidRPr="005150E1">
        <w:rPr>
          <w:rFonts w:ascii="Times New Roman" w:eastAsia="Times New Roman" w:hAnsi="Times New Roman" w:cs="Times New Roman"/>
          <w:sz w:val="24"/>
          <w:szCs w:val="24"/>
          <w:lang w:eastAsia="pt-BR"/>
        </w:rPr>
        <w:t>No que diz respeito ao coeficiente da variável que capta o efeito da maternidade no salário, representado pela variável c_filho, indica que mulheres com filho, recebem em média 1</w:t>
      </w:r>
      <w:r w:rsidR="00675A86">
        <w:rPr>
          <w:rFonts w:ascii="Times New Roman" w:eastAsia="Times New Roman" w:hAnsi="Times New Roman" w:cs="Times New Roman"/>
          <w:sz w:val="24"/>
          <w:szCs w:val="24"/>
          <w:lang w:eastAsia="pt-BR"/>
        </w:rPr>
        <w:t>0%</w:t>
      </w:r>
      <w:r w:rsidRPr="005150E1">
        <w:rPr>
          <w:rFonts w:ascii="Times New Roman" w:eastAsia="Times New Roman" w:hAnsi="Times New Roman" w:cs="Times New Roman"/>
          <w:sz w:val="24"/>
          <w:szCs w:val="24"/>
          <w:lang w:eastAsia="pt-BR"/>
        </w:rPr>
        <w:t xml:space="preserve"> a menos, em comparação as mulheres que não possuem filho.</w:t>
      </w:r>
      <w:r w:rsidRPr="005150E1">
        <w:rPr>
          <w:rFonts w:ascii="Times New Roman" w:hAnsi="Times New Roman" w:cs="Times New Roman"/>
          <w:sz w:val="24"/>
          <w:szCs w:val="24"/>
        </w:rPr>
        <w:t xml:space="preserve"> Estes resultados corroboram com muitos estudiosos, os quais ressaltam que ao comparar mulheres com e sem filhos, aquelas que são mães, geralmente, obtém salários menores aos das mulheres sem filhos (WALDFOGEL, 1998; KUHHIRT; LUDWIG, 2012; GOUGH; NOONAN, 2013).</w:t>
      </w:r>
    </w:p>
    <w:p w14:paraId="771C2950" w14:textId="56575093"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Com relação </w:t>
      </w:r>
      <w:r>
        <w:rPr>
          <w:rFonts w:ascii="Times New Roman" w:hAnsi="Times New Roman" w:cs="Times New Roman"/>
          <w:sz w:val="24"/>
          <w:szCs w:val="24"/>
        </w:rPr>
        <w:t xml:space="preserve">às </w:t>
      </w:r>
      <w:r w:rsidRPr="005150E1">
        <w:rPr>
          <w:rFonts w:ascii="Times New Roman" w:hAnsi="Times New Roman" w:cs="Times New Roman"/>
          <w:sz w:val="24"/>
          <w:szCs w:val="24"/>
        </w:rPr>
        <w:t>variáveis que captam o diferencial de salário das mulheres, os resultados indicam que mulheres pretas e pardas, recebem rendimentos salariais inferiores, em média, 12</w:t>
      </w:r>
      <w:r w:rsidR="00435564">
        <w:rPr>
          <w:rFonts w:ascii="Times New Roman" w:hAnsi="Times New Roman" w:cs="Times New Roman"/>
          <w:sz w:val="24"/>
          <w:szCs w:val="24"/>
        </w:rPr>
        <w:t>% q</w:t>
      </w:r>
      <w:r w:rsidRPr="005150E1">
        <w:rPr>
          <w:rFonts w:ascii="Times New Roman" w:hAnsi="Times New Roman" w:cs="Times New Roman"/>
          <w:sz w:val="24"/>
          <w:szCs w:val="24"/>
        </w:rPr>
        <w:t>uando comparados aos salários das mulheres brancas. Consoante a isso, pode-se citar Carrera-Fernandez e Menezes (2003) cujo estudo salienta que as negras se encontram mais comumente nos estratos inferiores dos rendimentos e as mulheres brancas aparecem mais nos estratos superiores. Caracterizando assim um diferencial de rendimentos favorável as mulheres branca</w:t>
      </w:r>
      <w:r w:rsidR="00675A86">
        <w:rPr>
          <w:rFonts w:ascii="Times New Roman" w:hAnsi="Times New Roman" w:cs="Times New Roman"/>
          <w:sz w:val="24"/>
          <w:szCs w:val="24"/>
        </w:rPr>
        <w:t>s.</w:t>
      </w:r>
    </w:p>
    <w:p w14:paraId="0E1D27D5" w14:textId="77D8ECDD" w:rsidR="00077BDD" w:rsidRPr="005150E1" w:rsidRDefault="00077BDD" w:rsidP="00B062D9">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No tocante </w:t>
      </w:r>
      <w:r>
        <w:rPr>
          <w:rFonts w:ascii="Times New Roman" w:hAnsi="Times New Roman" w:cs="Times New Roman"/>
          <w:sz w:val="24"/>
          <w:szCs w:val="24"/>
        </w:rPr>
        <w:t xml:space="preserve">à </w:t>
      </w:r>
      <w:r w:rsidRPr="005150E1">
        <w:rPr>
          <w:rFonts w:ascii="Times New Roman" w:hAnsi="Times New Roman" w:cs="Times New Roman"/>
          <w:sz w:val="24"/>
          <w:szCs w:val="24"/>
        </w:rPr>
        <w:t>variável que apre</w:t>
      </w:r>
      <w:r>
        <w:rPr>
          <w:rFonts w:ascii="Times New Roman" w:hAnsi="Times New Roman" w:cs="Times New Roman"/>
          <w:sz w:val="24"/>
          <w:szCs w:val="24"/>
        </w:rPr>
        <w:t>ende</w:t>
      </w:r>
      <w:r w:rsidRPr="005150E1">
        <w:rPr>
          <w:rFonts w:ascii="Times New Roman" w:hAnsi="Times New Roman" w:cs="Times New Roman"/>
          <w:sz w:val="24"/>
          <w:szCs w:val="24"/>
        </w:rPr>
        <w:t xml:space="preserve"> influência da idade da mulher no salário, sugeriu que um ano a mais na idade da mulher eleva o salário em</w:t>
      </w:r>
      <w:r w:rsidR="00435564">
        <w:rPr>
          <w:rFonts w:ascii="Times New Roman" w:hAnsi="Times New Roman" w:cs="Times New Roman"/>
          <w:sz w:val="24"/>
          <w:szCs w:val="24"/>
        </w:rPr>
        <w:t xml:space="preserve"> </w:t>
      </w:r>
      <w:r>
        <w:rPr>
          <w:rFonts w:ascii="Times New Roman" w:hAnsi="Times New Roman" w:cs="Times New Roman"/>
          <w:sz w:val="24"/>
          <w:szCs w:val="24"/>
        </w:rPr>
        <w:t>5%</w:t>
      </w:r>
      <w:r w:rsidRPr="005150E1">
        <w:rPr>
          <w:rFonts w:ascii="Times New Roman" w:hAnsi="Times New Roman" w:cs="Times New Roman"/>
          <w:sz w:val="24"/>
          <w:szCs w:val="24"/>
        </w:rPr>
        <w:t xml:space="preserve">. Em referência </w:t>
      </w:r>
      <w:r>
        <w:rPr>
          <w:rFonts w:ascii="Times New Roman" w:hAnsi="Times New Roman" w:cs="Times New Roman"/>
          <w:sz w:val="24"/>
          <w:szCs w:val="24"/>
        </w:rPr>
        <w:t xml:space="preserve">à </w:t>
      </w:r>
      <w:r w:rsidRPr="005150E1">
        <w:rPr>
          <w:rFonts w:ascii="Times New Roman" w:hAnsi="Times New Roman" w:cs="Times New Roman"/>
          <w:sz w:val="24"/>
          <w:szCs w:val="24"/>
        </w:rPr>
        <w:t xml:space="preserve">variável idade2, </w:t>
      </w:r>
      <w:r w:rsidRPr="005150E1">
        <w:rPr>
          <w:rFonts w:ascii="Times New Roman" w:hAnsi="Times New Roman" w:cs="Times New Roman"/>
          <w:sz w:val="24"/>
          <w:szCs w:val="24"/>
        </w:rPr>
        <w:lastRenderedPageBreak/>
        <w:t>indica que existe um efeito marginal decrescente.</w:t>
      </w:r>
      <w:r w:rsidR="00B062D9">
        <w:rPr>
          <w:rFonts w:ascii="Times New Roman" w:hAnsi="Times New Roman" w:cs="Times New Roman"/>
          <w:sz w:val="24"/>
          <w:szCs w:val="24"/>
        </w:rPr>
        <w:t xml:space="preserve"> </w:t>
      </w:r>
      <w:r w:rsidRPr="005150E1">
        <w:rPr>
          <w:rFonts w:ascii="Times New Roman" w:hAnsi="Times New Roman" w:cs="Times New Roman"/>
          <w:sz w:val="24"/>
          <w:szCs w:val="24"/>
        </w:rPr>
        <w:t xml:space="preserve">Em referência </w:t>
      </w:r>
      <w:r>
        <w:rPr>
          <w:rFonts w:ascii="Times New Roman" w:hAnsi="Times New Roman" w:cs="Times New Roman"/>
          <w:sz w:val="24"/>
          <w:szCs w:val="24"/>
        </w:rPr>
        <w:t xml:space="preserve">às </w:t>
      </w:r>
      <w:r w:rsidRPr="005150E1">
        <w:rPr>
          <w:rFonts w:ascii="Times New Roman" w:hAnsi="Times New Roman" w:cs="Times New Roman"/>
          <w:sz w:val="24"/>
          <w:szCs w:val="24"/>
        </w:rPr>
        <w:t xml:space="preserve">mulheres com companheiros, o resultado do coeficiente sugere que estas recebem em média aproximadamente 2% a mais que as mulheres sem companheiros. </w:t>
      </w:r>
    </w:p>
    <w:p w14:paraId="0F8DE1C3"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Diferentemente dos resultados encontrados comparando mulheres com e sem filhos, Wajnman (2016) constata-se que em relação </w:t>
      </w:r>
      <w:r>
        <w:rPr>
          <w:rFonts w:ascii="Times New Roman" w:hAnsi="Times New Roman" w:cs="Times New Roman"/>
          <w:sz w:val="24"/>
          <w:szCs w:val="24"/>
        </w:rPr>
        <w:t xml:space="preserve">ao </w:t>
      </w:r>
      <w:r w:rsidRPr="005150E1">
        <w:rPr>
          <w:rFonts w:ascii="Times New Roman" w:hAnsi="Times New Roman" w:cs="Times New Roman"/>
          <w:sz w:val="24"/>
          <w:szCs w:val="24"/>
        </w:rPr>
        <w:t>gênero,</w:t>
      </w:r>
      <w:r w:rsidRPr="005150E1">
        <w:t xml:space="preserve"> </w:t>
      </w:r>
      <w:r w:rsidRPr="005150E1">
        <w:rPr>
          <w:rFonts w:ascii="Times New Roman" w:hAnsi="Times New Roman" w:cs="Times New Roman"/>
          <w:sz w:val="24"/>
          <w:szCs w:val="24"/>
        </w:rPr>
        <w:t>ter cônjuge reduz 32% no salário-hora feminino, enquanto eleva em 21% o salário-hora masculino. Salienta ainda que situações de comprometimento familiar reduzem as probabilidades de as mulheres serem economicamente ativas.</w:t>
      </w:r>
    </w:p>
    <w:p w14:paraId="511A9EFA" w14:textId="0CB0B767" w:rsidR="00077BDD" w:rsidRPr="005150E1" w:rsidRDefault="00077BDD" w:rsidP="00077BD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 que diz respeito a</w:t>
      </w:r>
      <w:r w:rsidRPr="005150E1">
        <w:rPr>
          <w:rFonts w:ascii="Times New Roman" w:hAnsi="Times New Roman" w:cs="Times New Roman"/>
          <w:sz w:val="24"/>
          <w:szCs w:val="24"/>
        </w:rPr>
        <w:t>s variáveis que mostram a influência da escolaridade nos rendimentos salariais, tem-se que mulheres com fundamental completo e médio incompleto, auferem rendimentos superiores em 1</w:t>
      </w:r>
      <w:r>
        <w:rPr>
          <w:rFonts w:ascii="Times New Roman" w:hAnsi="Times New Roman" w:cs="Times New Roman"/>
          <w:sz w:val="24"/>
          <w:szCs w:val="24"/>
        </w:rPr>
        <w:t>8%</w:t>
      </w:r>
      <w:r w:rsidRPr="005150E1">
        <w:rPr>
          <w:rFonts w:ascii="Times New Roman" w:hAnsi="Times New Roman" w:cs="Times New Roman"/>
          <w:sz w:val="24"/>
          <w:szCs w:val="24"/>
        </w:rPr>
        <w:t xml:space="preserve"> em relação </w:t>
      </w:r>
      <w:r>
        <w:rPr>
          <w:rFonts w:ascii="Times New Roman" w:hAnsi="Times New Roman" w:cs="Times New Roman"/>
          <w:sz w:val="24"/>
          <w:szCs w:val="24"/>
        </w:rPr>
        <w:t xml:space="preserve">às </w:t>
      </w:r>
      <w:r w:rsidRPr="005150E1">
        <w:rPr>
          <w:rFonts w:ascii="Times New Roman" w:hAnsi="Times New Roman" w:cs="Times New Roman"/>
          <w:sz w:val="24"/>
          <w:szCs w:val="24"/>
        </w:rPr>
        <w:t>mulheres que não tem instrução ou fundamental incompleto; mulheres com ensino médio completo e superior incompleto, recebem em média aproximadamente 4</w:t>
      </w:r>
      <w:r>
        <w:rPr>
          <w:rFonts w:ascii="Times New Roman" w:hAnsi="Times New Roman" w:cs="Times New Roman"/>
          <w:sz w:val="24"/>
          <w:szCs w:val="24"/>
        </w:rPr>
        <w:t>2%</w:t>
      </w:r>
      <w:r w:rsidRPr="005150E1">
        <w:rPr>
          <w:rFonts w:ascii="Times New Roman" w:hAnsi="Times New Roman" w:cs="Times New Roman"/>
          <w:sz w:val="24"/>
          <w:szCs w:val="24"/>
        </w:rPr>
        <w:t xml:space="preserve"> a mais que mulheres que não tem instrução ou fundamental incompleto. Concernente as mulheres que possuem ensino superior completo, o resultado indica que o fato de possuir essa classificação eleva o salário em 12</w:t>
      </w:r>
      <w:r>
        <w:rPr>
          <w:rFonts w:ascii="Times New Roman" w:hAnsi="Times New Roman" w:cs="Times New Roman"/>
          <w:sz w:val="24"/>
          <w:szCs w:val="24"/>
        </w:rPr>
        <w:t>5%</w:t>
      </w:r>
      <w:r w:rsidRPr="005150E1">
        <w:rPr>
          <w:rFonts w:ascii="Times New Roman" w:hAnsi="Times New Roman" w:cs="Times New Roman"/>
          <w:sz w:val="24"/>
          <w:szCs w:val="24"/>
        </w:rPr>
        <w:t xml:space="preserve"> em comparação com as mulheres que não tem instrução ou fundamental incompleto.</w:t>
      </w:r>
    </w:p>
    <w:p w14:paraId="0551ABF3" w14:textId="77777777"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Nesse contexto, Budig e Hodges (2010) corroboram com os resultados encontrados e afirmam que o fato de mulheres com alta qualificação ter a possibilidade que transfiram os cuidados dos filhos para creches de alta qualidade pode resultar em uma penalidade salarial menor para as mulheres com alta qualificação e altos salários comparadas </w:t>
      </w:r>
      <w:r>
        <w:rPr>
          <w:rFonts w:ascii="Times New Roman" w:hAnsi="Times New Roman" w:cs="Times New Roman"/>
          <w:sz w:val="24"/>
          <w:szCs w:val="24"/>
        </w:rPr>
        <w:t xml:space="preserve">às </w:t>
      </w:r>
      <w:r w:rsidRPr="005150E1">
        <w:rPr>
          <w:rFonts w:ascii="Times New Roman" w:hAnsi="Times New Roman" w:cs="Times New Roman"/>
          <w:sz w:val="24"/>
          <w:szCs w:val="24"/>
        </w:rPr>
        <w:t>mulheres com salários inferiores.</w:t>
      </w:r>
    </w:p>
    <w:p w14:paraId="293E3590" w14:textId="32484691" w:rsidR="00077BDD" w:rsidRPr="005150E1" w:rsidRDefault="00077BDD" w:rsidP="00077BDD">
      <w:pPr>
        <w:spacing w:after="0" w:line="360" w:lineRule="auto"/>
        <w:ind w:firstLine="708"/>
        <w:jc w:val="both"/>
        <w:rPr>
          <w:rFonts w:ascii="Times New Roman" w:hAnsi="Times New Roman" w:cs="Times New Roman"/>
          <w:sz w:val="24"/>
          <w:szCs w:val="24"/>
        </w:rPr>
      </w:pPr>
      <w:r w:rsidRPr="005150E1">
        <w:rPr>
          <w:rFonts w:ascii="Times New Roman" w:hAnsi="Times New Roman" w:cs="Times New Roman"/>
          <w:sz w:val="24"/>
          <w:szCs w:val="24"/>
        </w:rPr>
        <w:t xml:space="preserve">Com relação </w:t>
      </w:r>
      <w:r>
        <w:rPr>
          <w:rFonts w:ascii="Times New Roman" w:hAnsi="Times New Roman" w:cs="Times New Roman"/>
          <w:sz w:val="24"/>
          <w:szCs w:val="24"/>
        </w:rPr>
        <w:t xml:space="preserve">às </w:t>
      </w:r>
      <w:r w:rsidRPr="005150E1">
        <w:rPr>
          <w:rFonts w:ascii="Times New Roman" w:hAnsi="Times New Roman" w:cs="Times New Roman"/>
          <w:sz w:val="24"/>
          <w:szCs w:val="24"/>
        </w:rPr>
        <w:t>variáveis que captam as diferenças salariais em relação ao local de moradia, tem-se que: mulheres que moram na região Norte e Nordeste recebem salários em média, respectivamente, 15% e 30%</w:t>
      </w:r>
      <w:r>
        <w:rPr>
          <w:rStyle w:val="Refdecomentrio"/>
        </w:rPr>
        <w:t xml:space="preserve"> m</w:t>
      </w:r>
      <w:r w:rsidRPr="005150E1">
        <w:rPr>
          <w:rFonts w:ascii="Times New Roman" w:hAnsi="Times New Roman" w:cs="Times New Roman"/>
          <w:sz w:val="24"/>
          <w:szCs w:val="24"/>
        </w:rPr>
        <w:t xml:space="preserve">enores que mulheres que residem na região Sudeste. Concernente </w:t>
      </w:r>
      <w:r>
        <w:rPr>
          <w:rFonts w:ascii="Times New Roman" w:hAnsi="Times New Roman" w:cs="Times New Roman"/>
          <w:sz w:val="24"/>
          <w:szCs w:val="24"/>
        </w:rPr>
        <w:t xml:space="preserve">às </w:t>
      </w:r>
      <w:r w:rsidRPr="005150E1">
        <w:rPr>
          <w:rFonts w:ascii="Times New Roman" w:hAnsi="Times New Roman" w:cs="Times New Roman"/>
          <w:sz w:val="24"/>
          <w:szCs w:val="24"/>
        </w:rPr>
        <w:t xml:space="preserve">mulheres que residem nas regiões Centro-oeste e Sul, observa-se superioridade nos rendimentos em relação </w:t>
      </w:r>
      <w:r>
        <w:rPr>
          <w:rFonts w:ascii="Times New Roman" w:hAnsi="Times New Roman" w:cs="Times New Roman"/>
          <w:sz w:val="24"/>
          <w:szCs w:val="24"/>
        </w:rPr>
        <w:t>à r</w:t>
      </w:r>
      <w:r w:rsidRPr="005150E1">
        <w:rPr>
          <w:rFonts w:ascii="Times New Roman" w:hAnsi="Times New Roman" w:cs="Times New Roman"/>
          <w:sz w:val="24"/>
          <w:szCs w:val="24"/>
        </w:rPr>
        <w:t>egião Sudeste, haja vista que estas mulheres receberam aproximadamente 5% e 3%</w:t>
      </w:r>
      <w:r>
        <w:rPr>
          <w:rStyle w:val="Refdecomentrio"/>
        </w:rPr>
        <w:t xml:space="preserve"> </w:t>
      </w:r>
      <w:r w:rsidRPr="005150E1">
        <w:rPr>
          <w:rFonts w:ascii="Times New Roman" w:hAnsi="Times New Roman" w:cs="Times New Roman"/>
          <w:sz w:val="24"/>
          <w:szCs w:val="24"/>
        </w:rPr>
        <w:t>mais, respectivamente.</w:t>
      </w:r>
    </w:p>
    <w:p w14:paraId="52999633" w14:textId="77777777" w:rsidR="00077BDD" w:rsidRPr="00000E25" w:rsidRDefault="00077BDD" w:rsidP="00077BDD">
      <w:pPr>
        <w:spacing w:after="0" w:line="360" w:lineRule="auto"/>
        <w:jc w:val="both"/>
        <w:rPr>
          <w:rFonts w:ascii="Times New Roman" w:hAnsi="Times New Roman" w:cs="Times New Roman"/>
          <w:sz w:val="24"/>
          <w:szCs w:val="24"/>
        </w:rPr>
      </w:pPr>
      <w:r w:rsidRPr="005150E1">
        <w:rPr>
          <w:rFonts w:ascii="Times New Roman" w:hAnsi="Times New Roman" w:cs="Times New Roman"/>
          <w:sz w:val="24"/>
          <w:szCs w:val="24"/>
        </w:rPr>
        <w:t xml:space="preserve"> </w:t>
      </w:r>
      <w:r w:rsidRPr="005150E1">
        <w:rPr>
          <w:rFonts w:ascii="Times New Roman" w:hAnsi="Times New Roman" w:cs="Times New Roman"/>
          <w:sz w:val="24"/>
          <w:szCs w:val="24"/>
        </w:rPr>
        <w:tab/>
        <w:t xml:space="preserve">Quando se analisa o grau de ajustamento do modelo ou o poder de explicação do conjunto das variáveis explicativas,  </w:t>
      </w:r>
      <w:r w:rsidRPr="00000E25">
        <w:rPr>
          <w:rFonts w:ascii="Times New Roman" w:hAnsi="Times New Roman" w:cs="Times New Roman"/>
          <w:sz w:val="24"/>
          <w:szCs w:val="24"/>
        </w:rPr>
        <w:t xml:space="preserve">tem-se que em conjunto as variáveis explicativas explicam </w:t>
      </w:r>
      <w:r w:rsidRPr="00000E25">
        <w:rPr>
          <w:rFonts w:ascii="Times New Roman" w:hAnsi="Times New Roman" w:cs="Times New Roman"/>
          <w:sz w:val="24"/>
          <w:szCs w:val="24"/>
        </w:rPr>
        <w:lastRenderedPageBreak/>
        <w:t>43,2% da variação do salário/hora o que é um resultado aceito para esse tipo de modelo, como pode ser visto nas estimações de Castro e Stam (2016) que analisaram as diferenças no salário levando em consideração raça e gênero no Brasil e Mattei (2018), que estudou os efeitos do estoque de capital humano na produtividade individual nas capitais brasileiras, no ano de 2015.</w:t>
      </w:r>
    </w:p>
    <w:p w14:paraId="0C9D87C9" w14:textId="602D9A51" w:rsidR="0078081E" w:rsidRDefault="00077BDD" w:rsidP="00CF3B24">
      <w:pPr>
        <w:spacing w:after="0" w:line="360" w:lineRule="auto"/>
        <w:ind w:firstLine="709"/>
        <w:jc w:val="both"/>
        <w:rPr>
          <w:rFonts w:ascii="Times New Roman" w:eastAsia="Times New Roman" w:hAnsi="Times New Roman" w:cs="Times New Roman"/>
          <w:sz w:val="24"/>
          <w:szCs w:val="24"/>
          <w:lang w:eastAsia="pt-BR"/>
        </w:rPr>
      </w:pPr>
      <w:r w:rsidRPr="005150E1">
        <w:rPr>
          <w:rFonts w:ascii="Times New Roman" w:eastAsia="Times New Roman" w:hAnsi="Times New Roman" w:cs="Times New Roman"/>
          <w:sz w:val="24"/>
          <w:szCs w:val="24"/>
          <w:lang w:eastAsia="pt-BR"/>
        </w:rPr>
        <w:t xml:space="preserve">Desta maneira conclui-se que o fato de a mulher ter filho, ser preta ou parda são fatores que influenciam negativamente o salário, haja vista que as mulheres classificadas nestas categorias apresentaram os menores salários em comparação com mulheres sem filhos e brancas. No tocante </w:t>
      </w:r>
      <w:r>
        <w:rPr>
          <w:rFonts w:ascii="Times New Roman" w:eastAsia="Times New Roman" w:hAnsi="Times New Roman" w:cs="Times New Roman"/>
          <w:sz w:val="24"/>
          <w:szCs w:val="24"/>
          <w:lang w:eastAsia="pt-BR"/>
        </w:rPr>
        <w:t xml:space="preserve">às </w:t>
      </w:r>
      <w:r w:rsidRPr="005150E1">
        <w:rPr>
          <w:rFonts w:ascii="Times New Roman" w:eastAsia="Times New Roman" w:hAnsi="Times New Roman" w:cs="Times New Roman"/>
          <w:sz w:val="24"/>
          <w:szCs w:val="24"/>
          <w:lang w:eastAsia="pt-BR"/>
        </w:rPr>
        <w:t xml:space="preserve">diferenças salariais por grau de instrução, os resultados indicaram que à medida que o grau de instrução se eleva, as diferenças salariais se tornam maiores em comparação com as categorias bases. Concernente ao local de residência, os resultados indicaram que quando comparado </w:t>
      </w:r>
      <w:r>
        <w:rPr>
          <w:rFonts w:ascii="Times New Roman" w:eastAsia="Times New Roman" w:hAnsi="Times New Roman" w:cs="Times New Roman"/>
          <w:sz w:val="24"/>
          <w:szCs w:val="24"/>
          <w:lang w:eastAsia="pt-BR"/>
        </w:rPr>
        <w:t xml:space="preserve">à </w:t>
      </w:r>
      <w:r w:rsidRPr="005150E1">
        <w:rPr>
          <w:rFonts w:ascii="Times New Roman" w:eastAsia="Times New Roman" w:hAnsi="Times New Roman" w:cs="Times New Roman"/>
          <w:sz w:val="24"/>
          <w:szCs w:val="24"/>
          <w:lang w:eastAsia="pt-BR"/>
        </w:rPr>
        <w:t xml:space="preserve">região </w:t>
      </w:r>
      <w:r>
        <w:rPr>
          <w:rFonts w:ascii="Times New Roman" w:eastAsia="Times New Roman" w:hAnsi="Times New Roman" w:cs="Times New Roman"/>
          <w:sz w:val="24"/>
          <w:szCs w:val="24"/>
          <w:lang w:eastAsia="pt-BR"/>
        </w:rPr>
        <w:t>S</w:t>
      </w:r>
      <w:r w:rsidRPr="005150E1">
        <w:rPr>
          <w:rFonts w:ascii="Times New Roman" w:eastAsia="Times New Roman" w:hAnsi="Times New Roman" w:cs="Times New Roman"/>
          <w:sz w:val="24"/>
          <w:szCs w:val="24"/>
          <w:lang w:eastAsia="pt-BR"/>
        </w:rPr>
        <w:t>udest</w:t>
      </w:r>
      <w:r>
        <w:rPr>
          <w:rFonts w:ascii="Times New Roman" w:eastAsia="Times New Roman" w:hAnsi="Times New Roman" w:cs="Times New Roman"/>
          <w:sz w:val="24"/>
          <w:szCs w:val="24"/>
          <w:lang w:eastAsia="pt-BR"/>
        </w:rPr>
        <w:t xml:space="preserve">e, </w:t>
      </w:r>
      <w:r w:rsidRPr="005150E1">
        <w:rPr>
          <w:rFonts w:ascii="Times New Roman" w:eastAsia="Times New Roman" w:hAnsi="Times New Roman" w:cs="Times New Roman"/>
          <w:sz w:val="24"/>
          <w:szCs w:val="24"/>
          <w:lang w:eastAsia="pt-BR"/>
        </w:rPr>
        <w:t xml:space="preserve">as mulheres residentes nas regiões Norte e Nordeste apresentaram os menores salários e as que moaram nas regiões, nesta ordem, Centro- Oeste e Sul, os maiores salários. Com relação </w:t>
      </w:r>
      <w:r>
        <w:rPr>
          <w:rFonts w:ascii="Times New Roman" w:eastAsia="Times New Roman" w:hAnsi="Times New Roman" w:cs="Times New Roman"/>
          <w:sz w:val="24"/>
          <w:szCs w:val="24"/>
          <w:lang w:eastAsia="pt-BR"/>
        </w:rPr>
        <w:t xml:space="preserve">a </w:t>
      </w:r>
      <w:r w:rsidRPr="005150E1">
        <w:rPr>
          <w:rFonts w:ascii="Times New Roman" w:eastAsia="Times New Roman" w:hAnsi="Times New Roman" w:cs="Times New Roman"/>
          <w:sz w:val="24"/>
          <w:szCs w:val="24"/>
          <w:lang w:eastAsia="pt-BR"/>
        </w:rPr>
        <w:t>idade, os resultados indicaram que o aumento desta impacta de maneira positiva no salário da mulhe</w:t>
      </w:r>
      <w:r>
        <w:rPr>
          <w:rFonts w:ascii="Times New Roman" w:eastAsia="Times New Roman" w:hAnsi="Times New Roman" w:cs="Times New Roman"/>
          <w:sz w:val="24"/>
          <w:szCs w:val="24"/>
          <w:lang w:eastAsia="pt-BR"/>
        </w:rPr>
        <w:t>r, mas há um limite.</w:t>
      </w:r>
    </w:p>
    <w:p w14:paraId="3EA8C4D2" w14:textId="0C5367E3" w:rsidR="00CF3B24" w:rsidRPr="00CC7545" w:rsidRDefault="00CF3B24" w:rsidP="00CF3B2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Com</w:t>
      </w:r>
      <w:r w:rsidRPr="00CC7545">
        <w:rPr>
          <w:rFonts w:ascii="Times New Roman" w:hAnsi="Times New Roman" w:cs="Times New Roman"/>
          <w:sz w:val="24"/>
          <w:szCs w:val="24"/>
        </w:rPr>
        <w:t xml:space="preserve"> este trabalho foi possível observar que, apesar da crescente </w:t>
      </w:r>
      <w:r w:rsidR="002B2E19">
        <w:rPr>
          <w:rFonts w:ascii="Times New Roman" w:hAnsi="Times New Roman" w:cs="Times New Roman"/>
          <w:sz w:val="24"/>
          <w:szCs w:val="24"/>
        </w:rPr>
        <w:t>inser</w:t>
      </w:r>
      <w:r w:rsidRPr="00CC7545">
        <w:rPr>
          <w:rFonts w:ascii="Times New Roman" w:hAnsi="Times New Roman" w:cs="Times New Roman"/>
          <w:sz w:val="24"/>
          <w:szCs w:val="24"/>
        </w:rPr>
        <w:t>ção feminina no mercado de trabalho, ainda é notório que as mulheres são as mais afetadas por circunstâncias familiares. A partir dos resultados encontrados e da revisão bibliográfica, nota-se que a maternidade é um fator que penaliza diretamente as mulheres, principalmente no que concerne a remuneração. Ao comparar mulheres com e sem filhos, aquelas que são mães, geralmente, obtém salários menores.</w:t>
      </w:r>
      <w:r>
        <w:rPr>
          <w:rFonts w:ascii="Times New Roman" w:hAnsi="Times New Roman" w:cs="Times New Roman"/>
          <w:sz w:val="24"/>
          <w:szCs w:val="24"/>
        </w:rPr>
        <w:t xml:space="preserve"> </w:t>
      </w:r>
      <w:r w:rsidRPr="00CC7545">
        <w:rPr>
          <w:rFonts w:ascii="Times New Roman" w:hAnsi="Times New Roman" w:cs="Times New Roman"/>
          <w:sz w:val="24"/>
          <w:szCs w:val="24"/>
        </w:rPr>
        <w:t>Assim, pode-se concluir que é necessário redefinir os papéis de gênero</w:t>
      </w:r>
      <w:r>
        <w:rPr>
          <w:rFonts w:ascii="Times New Roman" w:hAnsi="Times New Roman" w:cs="Times New Roman"/>
          <w:sz w:val="24"/>
          <w:szCs w:val="24"/>
        </w:rPr>
        <w:t xml:space="preserve"> </w:t>
      </w:r>
      <w:r w:rsidRPr="00CC7545">
        <w:rPr>
          <w:rFonts w:ascii="Times New Roman" w:hAnsi="Times New Roman" w:cs="Times New Roman"/>
          <w:sz w:val="24"/>
          <w:szCs w:val="24"/>
        </w:rPr>
        <w:t>para que</w:t>
      </w:r>
      <w:r>
        <w:rPr>
          <w:rFonts w:ascii="Times New Roman" w:hAnsi="Times New Roman" w:cs="Times New Roman"/>
          <w:sz w:val="24"/>
          <w:szCs w:val="24"/>
        </w:rPr>
        <w:t xml:space="preserve"> não existam mais</w:t>
      </w:r>
      <w:r w:rsidRPr="00CC7545">
        <w:rPr>
          <w:rFonts w:ascii="Times New Roman" w:hAnsi="Times New Roman" w:cs="Times New Roman"/>
          <w:sz w:val="24"/>
          <w:szCs w:val="24"/>
        </w:rPr>
        <w:t xml:space="preserve"> as duras penalidades </w:t>
      </w:r>
      <w:r>
        <w:rPr>
          <w:rFonts w:ascii="Times New Roman" w:hAnsi="Times New Roman" w:cs="Times New Roman"/>
          <w:sz w:val="24"/>
          <w:szCs w:val="24"/>
        </w:rPr>
        <w:t>que as mulheres são</w:t>
      </w:r>
      <w:r w:rsidRPr="00CC7545">
        <w:rPr>
          <w:rFonts w:ascii="Times New Roman" w:hAnsi="Times New Roman" w:cs="Times New Roman"/>
          <w:sz w:val="24"/>
          <w:szCs w:val="24"/>
        </w:rPr>
        <w:t xml:space="preserve"> submetidas quando </w:t>
      </w:r>
      <w:r>
        <w:rPr>
          <w:rFonts w:ascii="Times New Roman" w:hAnsi="Times New Roman" w:cs="Times New Roman"/>
          <w:sz w:val="24"/>
          <w:szCs w:val="24"/>
        </w:rPr>
        <w:t xml:space="preserve">visam </w:t>
      </w:r>
      <w:r w:rsidRPr="00CC7545">
        <w:rPr>
          <w:rFonts w:ascii="Times New Roman" w:hAnsi="Times New Roman" w:cs="Times New Roman"/>
          <w:sz w:val="24"/>
          <w:szCs w:val="24"/>
        </w:rPr>
        <w:t xml:space="preserve">conciliar </w:t>
      </w:r>
      <w:r>
        <w:rPr>
          <w:rFonts w:ascii="Times New Roman" w:hAnsi="Times New Roman" w:cs="Times New Roman"/>
          <w:sz w:val="24"/>
          <w:szCs w:val="24"/>
        </w:rPr>
        <w:t xml:space="preserve">família e </w:t>
      </w:r>
      <w:r w:rsidRPr="00CC7545">
        <w:rPr>
          <w:rFonts w:ascii="Times New Roman" w:hAnsi="Times New Roman" w:cs="Times New Roman"/>
          <w:sz w:val="24"/>
          <w:szCs w:val="24"/>
        </w:rPr>
        <w:t>trabalh</w:t>
      </w:r>
      <w:r>
        <w:rPr>
          <w:rFonts w:ascii="Times New Roman" w:hAnsi="Times New Roman" w:cs="Times New Roman"/>
          <w:sz w:val="24"/>
          <w:szCs w:val="24"/>
        </w:rPr>
        <w:t>o</w:t>
      </w:r>
      <w:r w:rsidRPr="00CC7545">
        <w:rPr>
          <w:rFonts w:ascii="Times New Roman" w:hAnsi="Times New Roman" w:cs="Times New Roman"/>
          <w:sz w:val="24"/>
          <w:szCs w:val="24"/>
        </w:rPr>
        <w:t>.</w:t>
      </w:r>
    </w:p>
    <w:p w14:paraId="5085F8DB" w14:textId="77777777" w:rsidR="00CF3B24" w:rsidRPr="00CF3B24" w:rsidRDefault="00CF3B24" w:rsidP="00CF3B24">
      <w:pPr>
        <w:spacing w:after="0" w:line="360" w:lineRule="auto"/>
        <w:ind w:firstLine="709"/>
        <w:jc w:val="both"/>
        <w:rPr>
          <w:rFonts w:ascii="Times New Roman" w:eastAsia="Times New Roman" w:hAnsi="Times New Roman" w:cs="Times New Roman"/>
          <w:sz w:val="24"/>
          <w:szCs w:val="24"/>
          <w:lang w:eastAsia="pt-BR"/>
        </w:rPr>
      </w:pPr>
    </w:p>
    <w:p w14:paraId="126ED0FC" w14:textId="77777777" w:rsidR="0078081E"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40541868" w14:textId="77777777" w:rsidR="0078081E" w:rsidRDefault="0078081E">
      <w:pPr>
        <w:spacing w:after="0" w:line="240" w:lineRule="auto"/>
        <w:jc w:val="both"/>
        <w:rPr>
          <w:rFonts w:ascii="Times New Roman" w:hAnsi="Times New Roman" w:cs="Times New Roman"/>
          <w:sz w:val="24"/>
          <w:szCs w:val="24"/>
        </w:rPr>
      </w:pPr>
    </w:p>
    <w:p w14:paraId="602B5CCC" w14:textId="66AE619F"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ABRAMO, L. </w:t>
      </w:r>
      <w:r w:rsidRPr="006F0EFD">
        <w:rPr>
          <w:rFonts w:ascii="Times New Roman" w:hAnsi="Times New Roman" w:cs="Times New Roman"/>
          <w:sz w:val="24"/>
          <w:szCs w:val="24"/>
        </w:rPr>
        <w:t>Desigualdades de gênero e raça no mercado de trabalho brasileiro.</w:t>
      </w:r>
      <w:r w:rsidRPr="005150E1">
        <w:rPr>
          <w:rFonts w:ascii="Times New Roman" w:hAnsi="Times New Roman" w:cs="Times New Roman"/>
          <w:sz w:val="24"/>
          <w:szCs w:val="24"/>
        </w:rPr>
        <w:t xml:space="preserve"> </w:t>
      </w:r>
      <w:r w:rsidRPr="00D106E4">
        <w:rPr>
          <w:rFonts w:ascii="Times New Roman" w:hAnsi="Times New Roman" w:cs="Times New Roman"/>
          <w:b/>
          <w:bCs/>
          <w:sz w:val="24"/>
          <w:szCs w:val="24"/>
        </w:rPr>
        <w:t>Ciência e Cultura</w:t>
      </w:r>
      <w:r w:rsidRPr="005150E1">
        <w:rPr>
          <w:rFonts w:ascii="Times New Roman" w:hAnsi="Times New Roman" w:cs="Times New Roman"/>
          <w:sz w:val="24"/>
          <w:szCs w:val="24"/>
        </w:rPr>
        <w:t>, São Paulo, v. 58, n. 4, p. 40-41, out./dez. 2006.</w:t>
      </w:r>
    </w:p>
    <w:p w14:paraId="19E39C7F" w14:textId="1FC86A9A"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ALVES, J. E. D. Desafios da equidade de gênero no século XXI. </w:t>
      </w:r>
      <w:r w:rsidRPr="005150E1">
        <w:rPr>
          <w:rFonts w:ascii="Times New Roman" w:hAnsi="Times New Roman" w:cs="Times New Roman"/>
          <w:b/>
          <w:bCs/>
          <w:sz w:val="24"/>
          <w:szCs w:val="24"/>
        </w:rPr>
        <w:t>Revista Estudos Feministas</w:t>
      </w:r>
      <w:r w:rsidRPr="005150E1">
        <w:rPr>
          <w:rFonts w:ascii="Times New Roman" w:hAnsi="Times New Roman" w:cs="Times New Roman"/>
          <w:sz w:val="24"/>
          <w:szCs w:val="24"/>
        </w:rPr>
        <w:t>, v. 24, n. 2, p. 629-638, 2016.</w:t>
      </w:r>
    </w:p>
    <w:p w14:paraId="6FD2A6BC" w14:textId="6AC196F0" w:rsidR="00347BA0" w:rsidRPr="005150E1" w:rsidRDefault="00347BA0" w:rsidP="00C42AB8">
      <w:pPr>
        <w:spacing w:line="240" w:lineRule="auto"/>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lastRenderedPageBreak/>
        <w:t>BACCHI et al. Diferenças salariais e discriminação por gênero e cor na região sudeste do brasil.</w:t>
      </w:r>
      <w:r w:rsidRPr="005150E1">
        <w:rPr>
          <w:rFonts w:ascii="Times New Roman" w:hAnsi="Times New Roman" w:cs="Times New Roman"/>
          <w:sz w:val="24"/>
          <w:szCs w:val="24"/>
        </w:rPr>
        <w:t xml:space="preserve"> </w:t>
      </w:r>
      <w:r w:rsidRPr="005150E1">
        <w:rPr>
          <w:rFonts w:ascii="Times New Roman" w:eastAsiaTheme="minorEastAsia" w:hAnsi="Times New Roman" w:cs="Times New Roman"/>
          <w:b/>
          <w:bCs/>
          <w:sz w:val="24"/>
          <w:szCs w:val="24"/>
        </w:rPr>
        <w:t>Revista de Desenvolvimento Econômico – RDE</w:t>
      </w:r>
      <w:r w:rsidRPr="005150E1">
        <w:rPr>
          <w:rFonts w:ascii="Times New Roman" w:eastAsiaTheme="minorEastAsia" w:hAnsi="Times New Roman" w:cs="Times New Roman"/>
          <w:sz w:val="24"/>
          <w:szCs w:val="24"/>
        </w:rPr>
        <w:t xml:space="preserve"> - Ano XIX – V. 2 - N. 37 - Agosto de 2017 - Salvador, BA – p. 276 – 305.</w:t>
      </w:r>
    </w:p>
    <w:p w14:paraId="40221729" w14:textId="7F2C8A46"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s-ES"/>
        </w:rPr>
        <w:t xml:space="preserve">BARROS, R. P. et al. </w:t>
      </w:r>
      <w:r w:rsidRPr="005150E1">
        <w:rPr>
          <w:rFonts w:ascii="Times New Roman" w:hAnsi="Times New Roman" w:cs="Times New Roman"/>
          <w:b/>
          <w:bCs/>
          <w:sz w:val="24"/>
          <w:szCs w:val="24"/>
        </w:rPr>
        <w:t>Discriminação e segmentação no mercado de trabalho e desigualdade de renda no Brasil.</w:t>
      </w:r>
      <w:r w:rsidRPr="005150E1">
        <w:rPr>
          <w:rFonts w:ascii="Times New Roman" w:hAnsi="Times New Roman" w:cs="Times New Roman"/>
          <w:sz w:val="24"/>
          <w:szCs w:val="24"/>
        </w:rPr>
        <w:t xml:space="preserve"> </w:t>
      </w:r>
      <w:r w:rsidRPr="005150E1">
        <w:rPr>
          <w:rFonts w:ascii="Times New Roman" w:hAnsi="Times New Roman" w:cs="Times New Roman"/>
          <w:sz w:val="24"/>
          <w:szCs w:val="24"/>
          <w:lang w:val="en-US"/>
        </w:rPr>
        <w:t>Rio de Janeiro: IPEA, 30 p. jul. 2007.</w:t>
      </w:r>
    </w:p>
    <w:p w14:paraId="72F80227" w14:textId="00EF2D93"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BECKER, G. S. Human capital, effort, and the sexual division of labor. </w:t>
      </w:r>
      <w:r w:rsidRPr="005150E1">
        <w:rPr>
          <w:rFonts w:ascii="Times New Roman" w:hAnsi="Times New Roman" w:cs="Times New Roman"/>
          <w:b/>
          <w:bCs/>
          <w:sz w:val="24"/>
          <w:szCs w:val="24"/>
          <w:lang w:val="en-US"/>
        </w:rPr>
        <w:t>Journal of Labor Economics</w:t>
      </w:r>
      <w:r w:rsidRPr="005150E1">
        <w:rPr>
          <w:rFonts w:ascii="Times New Roman" w:hAnsi="Times New Roman" w:cs="Times New Roman"/>
          <w:sz w:val="24"/>
          <w:szCs w:val="24"/>
          <w:lang w:val="en-US"/>
        </w:rPr>
        <w:t xml:space="preserve">, v. 3, n. 1, p. S33–S58, 1985. ISSN 0734306X, 15375307. </w:t>
      </w:r>
      <w:r w:rsidRPr="005150E1">
        <w:rPr>
          <w:rFonts w:ascii="Times New Roman" w:hAnsi="Times New Roman" w:cs="Times New Roman"/>
          <w:sz w:val="24"/>
          <w:szCs w:val="24"/>
        </w:rPr>
        <w:t xml:space="preserve">Disponível em: &lt;https://inequality.stanford.edu/sites/default/files/media/_media/pdf/Classic_Media/Becker_1985_Gender.pdf&gt;. </w:t>
      </w:r>
      <w:r w:rsidRPr="005150E1">
        <w:rPr>
          <w:rFonts w:ascii="Times New Roman" w:hAnsi="Times New Roman" w:cs="Times New Roman"/>
          <w:sz w:val="24"/>
          <w:szCs w:val="24"/>
          <w:lang w:val="en-US"/>
        </w:rPr>
        <w:t>Acesso em: 5 de junho de 2022.</w:t>
      </w:r>
    </w:p>
    <w:p w14:paraId="195996B6" w14:textId="279F9FB1"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BERNIELL, I. et al. </w:t>
      </w:r>
      <w:r w:rsidRPr="005150E1">
        <w:rPr>
          <w:rFonts w:ascii="Times New Roman" w:hAnsi="Times New Roman" w:cs="Times New Roman"/>
          <w:b/>
          <w:bCs/>
          <w:sz w:val="24"/>
          <w:szCs w:val="24"/>
          <w:lang w:val="en-US"/>
        </w:rPr>
        <w:t>Gender Gaps in Labor Informality: The Motherhood Effect.</w:t>
      </w:r>
      <w:r w:rsidRPr="005150E1">
        <w:rPr>
          <w:rFonts w:ascii="Times New Roman" w:hAnsi="Times New Roman" w:cs="Times New Roman"/>
          <w:sz w:val="24"/>
          <w:szCs w:val="24"/>
          <w:lang w:val="en-US"/>
        </w:rPr>
        <w:t xml:space="preserve"> n. 0247, jun. 2019. </w:t>
      </w:r>
      <w:r w:rsidRPr="005150E1">
        <w:rPr>
          <w:rFonts w:ascii="Times New Roman" w:hAnsi="Times New Roman" w:cs="Times New Roman"/>
          <w:sz w:val="24"/>
          <w:szCs w:val="24"/>
        </w:rPr>
        <w:t>Disponível em: &lt;</w:t>
      </w:r>
      <w:r w:rsidRPr="005150E1">
        <w:t xml:space="preserve"> </w:t>
      </w:r>
      <w:r w:rsidRPr="005150E1">
        <w:rPr>
          <w:rFonts w:ascii="Times New Roman" w:hAnsi="Times New Roman" w:cs="Times New Roman"/>
          <w:sz w:val="24"/>
          <w:szCs w:val="24"/>
        </w:rPr>
        <w:t>https://www.cedlas.econo.unlp.edu.ar/wp/wp-content/uploads/doc_cedlas247.pdf&gt;. 5 de junho de 2022.</w:t>
      </w:r>
    </w:p>
    <w:p w14:paraId="5C047BC7" w14:textId="4B9ED6B4"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BRUSCHINI, M. C. A. Trabalho e gênero no Brasil nos últimos dez anos. </w:t>
      </w:r>
      <w:r w:rsidRPr="005150E1">
        <w:rPr>
          <w:rFonts w:ascii="Times New Roman" w:hAnsi="Times New Roman" w:cs="Times New Roman"/>
          <w:b/>
          <w:bCs/>
          <w:sz w:val="24"/>
          <w:szCs w:val="24"/>
        </w:rPr>
        <w:t>Cadernos de Pesquisa</w:t>
      </w:r>
      <w:r w:rsidRPr="005150E1">
        <w:rPr>
          <w:rFonts w:ascii="Times New Roman" w:hAnsi="Times New Roman" w:cs="Times New Roman"/>
          <w:sz w:val="24"/>
          <w:szCs w:val="24"/>
        </w:rPr>
        <w:t>, v. 37, n. 132, p. 537-572, set./dez. 2007.</w:t>
      </w:r>
    </w:p>
    <w:p w14:paraId="0B3B5B6F" w14:textId="63B9026C"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CARRERA-FERNANDEZ, José; MENEZES, Wilson F. O trabalho feminino: uma análise a partir da região metropolitana de Salvador. </w:t>
      </w:r>
      <w:r w:rsidRPr="005150E1">
        <w:rPr>
          <w:rFonts w:ascii="Times New Roman" w:hAnsi="Times New Roman" w:cs="Times New Roman"/>
          <w:b/>
          <w:bCs/>
          <w:sz w:val="24"/>
          <w:szCs w:val="24"/>
        </w:rPr>
        <w:t>Pesquisa &amp; Debate. Revista do Programa de Estudos Pós-Graduados em Economia Política</w:t>
      </w:r>
      <w:r w:rsidRPr="005150E1">
        <w:rPr>
          <w:rFonts w:ascii="Times New Roman" w:hAnsi="Times New Roman" w:cs="Times New Roman"/>
          <w:sz w:val="24"/>
          <w:szCs w:val="24"/>
        </w:rPr>
        <w:t>, v. 14, n. 2 (24), 2003.</w:t>
      </w:r>
    </w:p>
    <w:p w14:paraId="5968B090" w14:textId="1B88A1EF"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CEPAL/PNUD/OIT. </w:t>
      </w:r>
      <w:r w:rsidRPr="005150E1">
        <w:rPr>
          <w:rFonts w:ascii="Times New Roman" w:hAnsi="Times New Roman" w:cs="Times New Roman"/>
          <w:b/>
          <w:bCs/>
          <w:sz w:val="24"/>
          <w:szCs w:val="24"/>
        </w:rPr>
        <w:t>Emprego, desenvolvimento humano e trabalho decente:</w:t>
      </w:r>
      <w:r w:rsidRPr="005150E1">
        <w:rPr>
          <w:rFonts w:ascii="Times New Roman" w:hAnsi="Times New Roman" w:cs="Times New Roman"/>
          <w:sz w:val="24"/>
          <w:szCs w:val="24"/>
        </w:rPr>
        <w:t xml:space="preserve"> a experiência brasileira recente. Brasília: Cepal/PNUD/OIT, 2008.</w:t>
      </w:r>
    </w:p>
    <w:p w14:paraId="642120C3" w14:textId="2BBA0CC5"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rPr>
        <w:t xml:space="preserve">CHADAREVIAN, P. C. Para medir as desigualdades raciais no mercado de trabalho. </w:t>
      </w:r>
      <w:r w:rsidRPr="005150E1">
        <w:rPr>
          <w:rFonts w:ascii="Times New Roman" w:hAnsi="Times New Roman" w:cs="Times New Roman"/>
          <w:b/>
          <w:bCs/>
          <w:sz w:val="24"/>
          <w:szCs w:val="24"/>
          <w:lang w:val="en-US"/>
        </w:rPr>
        <w:t>Revista de Economia Política</w:t>
      </w:r>
      <w:r w:rsidRPr="005150E1">
        <w:rPr>
          <w:rFonts w:ascii="Times New Roman" w:hAnsi="Times New Roman" w:cs="Times New Roman"/>
          <w:sz w:val="24"/>
          <w:szCs w:val="24"/>
          <w:lang w:val="en-US"/>
        </w:rPr>
        <w:t>, v. 31, n. 2, p. 283-304, abr.-jun. 2011.</w:t>
      </w:r>
    </w:p>
    <w:p w14:paraId="2FD6942C" w14:textId="482BB9B6"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CRUCES, G.; GALIANI, S. </w:t>
      </w:r>
      <w:r w:rsidRPr="005150E1">
        <w:rPr>
          <w:rFonts w:ascii="Times New Roman" w:hAnsi="Times New Roman" w:cs="Times New Roman"/>
          <w:b/>
          <w:bCs/>
          <w:sz w:val="24"/>
          <w:szCs w:val="24"/>
          <w:lang w:val="en-US"/>
        </w:rPr>
        <w:t>Generalizating the causal effect of fertility on female labor supply.</w:t>
      </w:r>
      <w:r w:rsidRPr="005150E1">
        <w:rPr>
          <w:rFonts w:ascii="Times New Roman" w:hAnsi="Times New Roman" w:cs="Times New Roman"/>
          <w:sz w:val="24"/>
          <w:szCs w:val="24"/>
          <w:lang w:val="en-US"/>
        </w:rPr>
        <w:t xml:space="preserve"> </w:t>
      </w:r>
      <w:r w:rsidRPr="005150E1">
        <w:rPr>
          <w:rFonts w:ascii="Times New Roman" w:hAnsi="Times New Roman" w:cs="Times New Roman"/>
          <w:sz w:val="24"/>
          <w:szCs w:val="24"/>
        </w:rPr>
        <w:t xml:space="preserve">2003. Disponível em: &lt;https://deepblue.lib.umich.edu/bitstream/handle/2027.42/40011/wp625.pdf?sequence=2&amp;isAllowed=y&gt;. </w:t>
      </w:r>
      <w:r w:rsidRPr="005150E1">
        <w:rPr>
          <w:rFonts w:ascii="Times New Roman" w:hAnsi="Times New Roman" w:cs="Times New Roman"/>
          <w:sz w:val="24"/>
          <w:szCs w:val="24"/>
          <w:lang w:val="en-US"/>
        </w:rPr>
        <w:t>Acesso em: 6 de junho de 2022.</w:t>
      </w:r>
    </w:p>
    <w:p w14:paraId="3642E50E" w14:textId="0BB154CC"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CUKROWSKA-TORZEWSKA, E.; MATYSIAK, A. </w:t>
      </w:r>
      <w:r w:rsidRPr="005150E1">
        <w:rPr>
          <w:rFonts w:ascii="Times New Roman" w:hAnsi="Times New Roman" w:cs="Times New Roman"/>
          <w:b/>
          <w:bCs/>
          <w:sz w:val="24"/>
          <w:szCs w:val="24"/>
          <w:lang w:val="en-US"/>
        </w:rPr>
        <w:t>The motherhood wage penalty:</w:t>
      </w:r>
      <w:r w:rsidRPr="005150E1">
        <w:rPr>
          <w:rFonts w:ascii="Times New Roman" w:hAnsi="Times New Roman" w:cs="Times New Roman"/>
          <w:sz w:val="24"/>
          <w:szCs w:val="24"/>
          <w:lang w:val="en-US"/>
        </w:rPr>
        <w:t xml:space="preserve"> a meta-analysis. Social Science Research, New York, NY, v. 88-89, p. 102416, 2020.</w:t>
      </w:r>
    </w:p>
    <w:p w14:paraId="7FE1CF9C" w14:textId="7945F412"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DUVIVIER, C.; NARCY, M. </w:t>
      </w:r>
      <w:r w:rsidRPr="005150E1">
        <w:rPr>
          <w:rFonts w:ascii="Times New Roman" w:hAnsi="Times New Roman" w:cs="Times New Roman"/>
          <w:b/>
          <w:bCs/>
          <w:sz w:val="24"/>
          <w:szCs w:val="24"/>
          <w:lang w:val="en-US"/>
        </w:rPr>
        <w:t>The motherhood wage penalty and its determinants: A public-private comparison.</w:t>
      </w:r>
      <w:r w:rsidRPr="005150E1">
        <w:rPr>
          <w:rFonts w:ascii="Times New Roman" w:hAnsi="Times New Roman" w:cs="Times New Roman"/>
          <w:sz w:val="24"/>
          <w:szCs w:val="24"/>
          <w:lang w:val="en-US"/>
        </w:rPr>
        <w:t xml:space="preserve"> LABOUR, v. 29, n. 4, p. 415–443, jul. 2015.</w:t>
      </w:r>
    </w:p>
    <w:p w14:paraId="6EC932D7" w14:textId="61A104E7"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ENGLAND, P. </w:t>
      </w:r>
      <w:r w:rsidRPr="005150E1">
        <w:rPr>
          <w:rFonts w:ascii="Times New Roman" w:hAnsi="Times New Roman" w:cs="Times New Roman"/>
          <w:b/>
          <w:bCs/>
          <w:sz w:val="24"/>
          <w:szCs w:val="24"/>
          <w:lang w:val="en-US"/>
        </w:rPr>
        <w:t>The gender revolution: uneven and stalled. Gender &amp; Society,</w:t>
      </w:r>
      <w:r w:rsidRPr="005150E1">
        <w:rPr>
          <w:rFonts w:ascii="Times New Roman" w:hAnsi="Times New Roman" w:cs="Times New Roman"/>
          <w:sz w:val="24"/>
          <w:szCs w:val="24"/>
          <w:lang w:val="en-US"/>
        </w:rPr>
        <w:t xml:space="preserve"> v. 24, n. 2, p. 149- 166, 2010.</w:t>
      </w:r>
    </w:p>
    <w:p w14:paraId="03C3ED85" w14:textId="361513B0"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FOLBRE, N. Should women care less? Intrinsic motivation and gender inequality. </w:t>
      </w:r>
      <w:r w:rsidRPr="005150E1">
        <w:rPr>
          <w:rFonts w:ascii="Times New Roman" w:hAnsi="Times New Roman" w:cs="Times New Roman"/>
          <w:b/>
          <w:bCs/>
          <w:sz w:val="24"/>
          <w:szCs w:val="24"/>
          <w:lang w:val="en-US"/>
        </w:rPr>
        <w:t>British Journal of Industrial Relations</w:t>
      </w:r>
      <w:r w:rsidRPr="005150E1">
        <w:rPr>
          <w:rFonts w:ascii="Times New Roman" w:hAnsi="Times New Roman" w:cs="Times New Roman"/>
          <w:sz w:val="24"/>
          <w:szCs w:val="24"/>
          <w:lang w:val="en-US"/>
        </w:rPr>
        <w:t>, v. 50, n. 4, p. 597-619, 2012.</w:t>
      </w:r>
    </w:p>
    <w:p w14:paraId="38C011B1" w14:textId="0B722C2B"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GOLDIN, C. Career and family: college women look to the past. </w:t>
      </w:r>
      <w:r w:rsidRPr="005150E1">
        <w:rPr>
          <w:rFonts w:ascii="Times New Roman" w:hAnsi="Times New Roman" w:cs="Times New Roman"/>
          <w:b/>
          <w:bCs/>
          <w:sz w:val="24"/>
          <w:szCs w:val="24"/>
          <w:lang w:val="en-US"/>
        </w:rPr>
        <w:t>In: BLAU, F. D.; EHRENBERG, R. G. (Eds.). Gender and family issues in the workplace.</w:t>
      </w:r>
      <w:r w:rsidRPr="005150E1">
        <w:rPr>
          <w:rFonts w:ascii="Times New Roman" w:hAnsi="Times New Roman" w:cs="Times New Roman"/>
          <w:sz w:val="24"/>
          <w:szCs w:val="24"/>
          <w:lang w:val="en-US"/>
        </w:rPr>
        <w:t xml:space="preserve"> New York: Russell Sage Foundation, 1997.</w:t>
      </w:r>
    </w:p>
    <w:p w14:paraId="40D85AEE" w14:textId="2F848F17" w:rsid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lastRenderedPageBreak/>
        <w:t xml:space="preserve">GOUGH, M.; NOONAN, M. A review of the motherhood wage penalty in the United States. </w:t>
      </w:r>
      <w:r w:rsidRPr="005150E1">
        <w:rPr>
          <w:rFonts w:ascii="Times New Roman" w:hAnsi="Times New Roman" w:cs="Times New Roman"/>
          <w:b/>
          <w:bCs/>
          <w:sz w:val="24"/>
          <w:szCs w:val="24"/>
        </w:rPr>
        <w:t>Sociology Compass,</w:t>
      </w:r>
      <w:r w:rsidRPr="005150E1">
        <w:rPr>
          <w:rFonts w:ascii="Times New Roman" w:hAnsi="Times New Roman" w:cs="Times New Roman"/>
          <w:sz w:val="24"/>
          <w:szCs w:val="24"/>
        </w:rPr>
        <w:t xml:space="preserve"> v. 7, n. 4, p. 328-342, 2013.</w:t>
      </w:r>
    </w:p>
    <w:p w14:paraId="57D873D5" w14:textId="1E0AC8D2" w:rsidR="00347BA0" w:rsidRPr="00C42AB8" w:rsidRDefault="00C42AB8" w:rsidP="00C42AB8">
      <w:pPr>
        <w:spacing w:line="240" w:lineRule="auto"/>
        <w:jc w:val="both"/>
        <w:rPr>
          <w:rFonts w:ascii="TimesNewRomanPSMT" w:hAnsi="TimesNewRomanPSMT"/>
          <w:color w:val="000000"/>
          <w:sz w:val="24"/>
          <w:szCs w:val="24"/>
        </w:rPr>
      </w:pPr>
      <w:r w:rsidRPr="00CD4169">
        <w:rPr>
          <w:rFonts w:ascii="TimesNewRomanPSMT" w:hAnsi="TimesNewRomanPSMT"/>
          <w:color w:val="000000"/>
          <w:sz w:val="24"/>
          <w:szCs w:val="24"/>
        </w:rPr>
        <w:t xml:space="preserve">GUJARATI, D. N.; PORTER, D. C. </w:t>
      </w:r>
      <w:r w:rsidRPr="00D75312">
        <w:rPr>
          <w:rFonts w:ascii="TimesNewRomanPSMT" w:hAnsi="TimesNewRomanPSMT"/>
          <w:b/>
          <w:bCs/>
          <w:color w:val="000000"/>
          <w:sz w:val="24"/>
          <w:szCs w:val="24"/>
        </w:rPr>
        <w:t>Econometria básica</w:t>
      </w:r>
      <w:r w:rsidR="00D75312">
        <w:rPr>
          <w:rFonts w:ascii="TimesNewRomanPSMT" w:hAnsi="TimesNewRomanPSMT"/>
          <w:color w:val="000000"/>
          <w:sz w:val="24"/>
          <w:szCs w:val="24"/>
        </w:rPr>
        <w:t xml:space="preserve"> </w:t>
      </w:r>
      <w:r w:rsidRPr="00CD4169">
        <w:rPr>
          <w:rFonts w:ascii="TimesNewRomanPSMT" w:hAnsi="TimesNewRomanPSMT"/>
          <w:color w:val="000000"/>
          <w:sz w:val="24"/>
          <w:szCs w:val="24"/>
        </w:rPr>
        <w:t>-</w:t>
      </w:r>
      <w:r w:rsidR="00D75312">
        <w:rPr>
          <w:rFonts w:ascii="TimesNewRomanPSMT" w:hAnsi="TimesNewRomanPSMT"/>
          <w:color w:val="000000"/>
          <w:sz w:val="24"/>
          <w:szCs w:val="24"/>
        </w:rPr>
        <w:t xml:space="preserve"> </w:t>
      </w:r>
      <w:r w:rsidRPr="00CD4169">
        <w:rPr>
          <w:rFonts w:ascii="TimesNewRomanPSMT" w:hAnsi="TimesNewRomanPSMT"/>
          <w:color w:val="000000"/>
          <w:sz w:val="24"/>
          <w:szCs w:val="24"/>
        </w:rPr>
        <w:t>5.</w:t>
      </w:r>
      <w:r>
        <w:rPr>
          <w:rFonts w:ascii="TimesNewRomanPSMT" w:hAnsi="TimesNewRomanPSMT"/>
          <w:color w:val="000000"/>
          <w:sz w:val="24"/>
          <w:szCs w:val="24"/>
        </w:rPr>
        <w:t xml:space="preserve"> </w:t>
      </w:r>
      <w:r w:rsidRPr="00CD4169">
        <w:rPr>
          <w:rFonts w:ascii="TimesNewRomanPSMT" w:hAnsi="TimesNewRomanPSMT"/>
          <w:color w:val="000000"/>
          <w:sz w:val="24"/>
          <w:szCs w:val="24"/>
        </w:rPr>
        <w:t>Amgh Editora, 2011</w:t>
      </w:r>
      <w:r w:rsidR="00410FD9">
        <w:rPr>
          <w:rFonts w:ascii="TimesNewRomanPSMT" w:hAnsi="TimesNewRomanPSMT"/>
          <w:color w:val="000000"/>
          <w:sz w:val="24"/>
          <w:szCs w:val="24"/>
        </w:rPr>
        <w:t>.</w:t>
      </w:r>
    </w:p>
    <w:p w14:paraId="6E01246F" w14:textId="32520B46"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Guiginski, J. e Wajnman, S. A penalidade pela maternidade: participação e qualidade da inserção no mercado de trabalho das mulheres com filhos. </w:t>
      </w:r>
      <w:r w:rsidRPr="005150E1">
        <w:rPr>
          <w:rFonts w:ascii="Times New Roman" w:hAnsi="Times New Roman" w:cs="Times New Roman"/>
          <w:b/>
          <w:bCs/>
          <w:sz w:val="24"/>
          <w:szCs w:val="24"/>
        </w:rPr>
        <w:t>Revista Brasileira de Estudos de População</w:t>
      </w:r>
      <w:r w:rsidRPr="005150E1">
        <w:rPr>
          <w:rFonts w:ascii="Times New Roman" w:hAnsi="Times New Roman" w:cs="Times New Roman"/>
          <w:sz w:val="24"/>
          <w:szCs w:val="24"/>
        </w:rPr>
        <w:t>, v. 36, p. 1-26, 2019.</w:t>
      </w:r>
    </w:p>
    <w:p w14:paraId="08E49A8D" w14:textId="4AE3FC22" w:rsidR="00347BA0" w:rsidRP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GUIMARÃES, N.; VIEIRA, P. O cuidado e as “Ajudas”. </w:t>
      </w:r>
      <w:r w:rsidRPr="005150E1">
        <w:rPr>
          <w:rFonts w:ascii="Times New Roman" w:hAnsi="Times New Roman" w:cs="Times New Roman"/>
          <w:b/>
          <w:bCs/>
          <w:sz w:val="24"/>
          <w:szCs w:val="24"/>
        </w:rPr>
        <w:t>In: GUIMARÃES, N.; HIRATA, H. O gênero do cuidado:</w:t>
      </w:r>
      <w:r w:rsidRPr="005150E1">
        <w:rPr>
          <w:rFonts w:ascii="Times New Roman" w:hAnsi="Times New Roman" w:cs="Times New Roman"/>
          <w:sz w:val="24"/>
          <w:szCs w:val="24"/>
        </w:rPr>
        <w:t xml:space="preserve"> desigualdades, significações e identidades. São Paulo, SP: Ateliê Editorial, 2020. p. 161-187</w:t>
      </w:r>
    </w:p>
    <w:p w14:paraId="2DA21140" w14:textId="6B0823CB" w:rsidR="00C42AB8" w:rsidRDefault="00347BA0" w:rsidP="00C42AB8">
      <w:pPr>
        <w:spacing w:line="240" w:lineRule="auto"/>
        <w:rPr>
          <w:rFonts w:ascii="Times New Roman" w:hAnsi="Times New Roman" w:cs="Times New Roman"/>
          <w:sz w:val="24"/>
          <w:szCs w:val="24"/>
          <w:shd w:val="clear" w:color="auto" w:fill="FFFFFF"/>
        </w:rPr>
      </w:pPr>
      <w:r w:rsidRPr="005150E1">
        <w:rPr>
          <w:rFonts w:ascii="Times New Roman" w:hAnsi="Times New Roman" w:cs="Times New Roman"/>
          <w:sz w:val="24"/>
          <w:szCs w:val="24"/>
          <w:shd w:val="clear" w:color="auto" w:fill="FFFFFF"/>
        </w:rPr>
        <w:t>HIRATA, Helena; KERGOAT, Danièle. Novas configurações da divisão sexual do trabalho. </w:t>
      </w:r>
      <w:r w:rsidRPr="005150E1">
        <w:rPr>
          <w:rFonts w:ascii="Times New Roman" w:hAnsi="Times New Roman" w:cs="Times New Roman"/>
          <w:b/>
          <w:bCs/>
          <w:sz w:val="24"/>
          <w:szCs w:val="24"/>
          <w:shd w:val="clear" w:color="auto" w:fill="FFFFFF"/>
        </w:rPr>
        <w:t>Cadernos de pesquisa</w:t>
      </w:r>
      <w:r w:rsidRPr="005150E1">
        <w:rPr>
          <w:rFonts w:ascii="Times New Roman" w:hAnsi="Times New Roman" w:cs="Times New Roman"/>
          <w:sz w:val="24"/>
          <w:szCs w:val="24"/>
          <w:shd w:val="clear" w:color="auto" w:fill="FFFFFF"/>
        </w:rPr>
        <w:t>, v. 37, p. 595-609, 2007.</w:t>
      </w:r>
    </w:p>
    <w:p w14:paraId="2132C88F" w14:textId="3D7CA2E3" w:rsidR="00347BA0" w:rsidRPr="00C42AB8" w:rsidRDefault="00C42AB8" w:rsidP="00C42AB8">
      <w:pPr>
        <w:spacing w:line="240" w:lineRule="auto"/>
        <w:jc w:val="both"/>
        <w:rPr>
          <w:rFonts w:ascii="Times New Roman" w:hAnsi="Times New Roman" w:cs="Times New Roman"/>
          <w:sz w:val="24"/>
          <w:szCs w:val="24"/>
        </w:rPr>
      </w:pPr>
      <w:r w:rsidRPr="00BB1A1F">
        <w:rPr>
          <w:rFonts w:ascii="TimesNewRomanPSMT" w:hAnsi="TimesNewRomanPSMT"/>
          <w:color w:val="000000"/>
          <w:sz w:val="24"/>
          <w:szCs w:val="24"/>
        </w:rPr>
        <w:t xml:space="preserve">HOFFMANN, R; VIEIRA, S. </w:t>
      </w:r>
      <w:r w:rsidRPr="00194C5A">
        <w:rPr>
          <w:rFonts w:ascii="TimesNewRomanPSMT" w:hAnsi="TimesNewRomanPSMT"/>
          <w:b/>
          <w:bCs/>
          <w:color w:val="000000"/>
          <w:sz w:val="24"/>
          <w:szCs w:val="24"/>
        </w:rPr>
        <w:t>Análise de regressão:</w:t>
      </w:r>
      <w:r w:rsidRPr="00BB1A1F">
        <w:rPr>
          <w:rFonts w:ascii="TimesNewRomanPSMT" w:hAnsi="TimesNewRomanPSMT"/>
          <w:color w:val="000000"/>
          <w:sz w:val="24"/>
          <w:szCs w:val="24"/>
        </w:rPr>
        <w:t xml:space="preserve"> uma introdução à econometria. São</w:t>
      </w:r>
      <w:r w:rsidRPr="00BB1A1F">
        <w:rPr>
          <w:rFonts w:ascii="TimesNewRomanPSMT" w:hAnsi="TimesNewRomanPSMT"/>
          <w:color w:val="000000"/>
        </w:rPr>
        <w:br/>
      </w:r>
      <w:r w:rsidRPr="00BB1A1F">
        <w:rPr>
          <w:rFonts w:ascii="TimesNewRomanPSMT" w:hAnsi="TimesNewRomanPSMT"/>
          <w:color w:val="000000"/>
          <w:sz w:val="24"/>
          <w:szCs w:val="24"/>
        </w:rPr>
        <w:t>Paulo, 1998</w:t>
      </w:r>
    </w:p>
    <w:p w14:paraId="4EC202D4" w14:textId="14EA1E08" w:rsidR="00347BA0" w:rsidRPr="005150E1" w:rsidRDefault="00347BA0" w:rsidP="00C42AB8">
      <w:pPr>
        <w:spacing w:line="240" w:lineRule="auto"/>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IBGE - INSTITUTO BRASILEIRO DE GEOGRAFIA E ESTATÍSTICA. 2017: o ano da agricultura.  </w:t>
      </w:r>
      <w:r w:rsidRPr="005150E1">
        <w:rPr>
          <w:rFonts w:ascii="Times New Roman" w:eastAsiaTheme="minorEastAsia" w:hAnsi="Times New Roman" w:cs="Times New Roman"/>
          <w:b/>
          <w:bCs/>
          <w:sz w:val="24"/>
          <w:szCs w:val="24"/>
        </w:rPr>
        <w:t>Retratos a revista do IBGE</w:t>
      </w:r>
      <w:r w:rsidRPr="005150E1">
        <w:rPr>
          <w:rFonts w:ascii="Times New Roman" w:eastAsiaTheme="minorEastAsia" w:hAnsi="Times New Roman" w:cs="Times New Roman"/>
          <w:sz w:val="24"/>
          <w:szCs w:val="24"/>
        </w:rPr>
        <w:t xml:space="preserve">, Rio de Janeiro – RJ, n.6, dez 2017.28p. Disponível em: </w:t>
      </w:r>
      <w:r w:rsidR="0074503D">
        <w:rPr>
          <w:rFonts w:ascii="Times New Roman" w:eastAsiaTheme="minorEastAsia" w:hAnsi="Times New Roman" w:cs="Times New Roman"/>
          <w:sz w:val="24"/>
          <w:szCs w:val="24"/>
        </w:rPr>
        <w:t>&lt;</w:t>
      </w:r>
      <w:r w:rsidRPr="005150E1">
        <w:rPr>
          <w:rFonts w:ascii="Times New Roman" w:eastAsiaTheme="minorEastAsia" w:hAnsi="Times New Roman" w:cs="Times New Roman"/>
          <w:sz w:val="24"/>
          <w:szCs w:val="24"/>
        </w:rPr>
        <w:t>https://agenciadenoticias.ibge.gov.br/media/com_mediaibge/arquivos/3ee63778c4cfdcbbe4684937273d15e2.pdf</w:t>
      </w:r>
      <w:r w:rsidR="0074503D">
        <w:rPr>
          <w:rFonts w:ascii="Times New Roman" w:eastAsiaTheme="minorEastAsia" w:hAnsi="Times New Roman" w:cs="Times New Roman"/>
          <w:sz w:val="24"/>
          <w:szCs w:val="24"/>
        </w:rPr>
        <w:t>&gt;</w:t>
      </w:r>
      <w:r w:rsidRPr="005150E1">
        <w:rPr>
          <w:rFonts w:ascii="Times New Roman" w:eastAsiaTheme="minorEastAsia" w:hAnsi="Times New Roman" w:cs="Times New Roman"/>
          <w:sz w:val="24"/>
          <w:szCs w:val="24"/>
        </w:rPr>
        <w:t>. Acesso em: 16 de maio de 2022.</w:t>
      </w:r>
    </w:p>
    <w:p w14:paraId="2A7C3188" w14:textId="5A93FF99" w:rsidR="00347BA0" w:rsidRPr="005150E1" w:rsidRDefault="00347BA0" w:rsidP="00C42AB8">
      <w:pPr>
        <w:spacing w:line="240" w:lineRule="auto"/>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______. </w:t>
      </w:r>
      <w:r w:rsidRPr="005150E1">
        <w:rPr>
          <w:rFonts w:ascii="Times New Roman" w:eastAsiaTheme="minorEastAsia" w:hAnsi="Times New Roman" w:cs="Times New Roman"/>
          <w:b/>
          <w:bCs/>
          <w:sz w:val="24"/>
          <w:szCs w:val="24"/>
        </w:rPr>
        <w:t xml:space="preserve">Áreas Territoriais. </w:t>
      </w:r>
      <w:r w:rsidRPr="005150E1">
        <w:rPr>
          <w:rFonts w:ascii="Times New Roman" w:eastAsiaTheme="minorEastAsia" w:hAnsi="Times New Roman" w:cs="Times New Roman"/>
          <w:sz w:val="24"/>
          <w:szCs w:val="24"/>
        </w:rPr>
        <w:t>Disponível em: &lt;https://www.ibge.gov.br/geociencias/organizacao-do-territorio/estrutura-territorial/15761-areas-dos-municipios.html?=&amp;t=acesso-ao-produto&gt;. Acesso em: 16 de maio de 2022.</w:t>
      </w:r>
    </w:p>
    <w:p w14:paraId="7F358F15" w14:textId="0351220D" w:rsidR="00347BA0" w:rsidRPr="005150E1" w:rsidRDefault="00347BA0" w:rsidP="00C42AB8">
      <w:pPr>
        <w:spacing w:line="240" w:lineRule="auto"/>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______. </w:t>
      </w:r>
      <w:r w:rsidRPr="005150E1">
        <w:rPr>
          <w:rFonts w:ascii="Times New Roman" w:eastAsiaTheme="minorEastAsia" w:hAnsi="Times New Roman" w:cs="Times New Roman"/>
          <w:b/>
          <w:bCs/>
          <w:sz w:val="24"/>
          <w:szCs w:val="24"/>
        </w:rPr>
        <w:t>Estimativa da população.</w:t>
      </w:r>
      <w:r w:rsidRPr="005150E1">
        <w:rPr>
          <w:rFonts w:ascii="Times New Roman" w:eastAsiaTheme="minorEastAsia" w:hAnsi="Times New Roman" w:cs="Times New Roman"/>
          <w:sz w:val="24"/>
          <w:szCs w:val="24"/>
        </w:rPr>
        <w:t xml:space="preserve"> Disponível em: &lt;https://sidra.ibge.gov.br/pesquisa/estimapop/tabelas&gt;. Acesso em: 16 de maio de 2022.</w:t>
      </w:r>
    </w:p>
    <w:p w14:paraId="70B885AD" w14:textId="40CFEA02"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shd w:val="clear" w:color="auto" w:fill="FFFFFF"/>
        </w:rPr>
        <w:t>______.</w:t>
      </w:r>
      <w:r w:rsidRPr="005150E1">
        <w:rPr>
          <w:rFonts w:ascii="Times New Roman" w:hAnsi="Times New Roman" w:cs="Times New Roman"/>
          <w:sz w:val="24"/>
          <w:szCs w:val="24"/>
        </w:rPr>
        <w:t xml:space="preserve"> </w:t>
      </w:r>
      <w:r w:rsidRPr="005150E1">
        <w:rPr>
          <w:rFonts w:ascii="Times New Roman" w:hAnsi="Times New Roman" w:cs="Times New Roman"/>
          <w:b/>
          <w:bCs/>
          <w:sz w:val="24"/>
          <w:szCs w:val="24"/>
        </w:rPr>
        <w:t xml:space="preserve">Pesquisa Nacional por Amostra de Domicílios (PNAD). </w:t>
      </w:r>
      <w:r w:rsidRPr="005150E1">
        <w:rPr>
          <w:rFonts w:ascii="Times New Roman" w:hAnsi="Times New Roman" w:cs="Times New Roman"/>
          <w:sz w:val="24"/>
          <w:szCs w:val="24"/>
        </w:rPr>
        <w:t xml:space="preserve">Disponível em: &lt;https://www.ibge.gov.br/estatisticas/sociais/populacao/9127-pesquisa-nacional-por-amostra-de-domicilios.html?=&amp;t=microdados&gt;. </w:t>
      </w:r>
      <w:r w:rsidRPr="005150E1">
        <w:rPr>
          <w:rFonts w:ascii="Times New Roman" w:hAnsi="Times New Roman" w:cs="Times New Roman"/>
          <w:sz w:val="24"/>
          <w:szCs w:val="24"/>
          <w:lang w:val="en-US"/>
        </w:rPr>
        <w:t>Acesso em: 21 de abril de 2022.</w:t>
      </w:r>
    </w:p>
    <w:p w14:paraId="34FC6FD9" w14:textId="35094CB1"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KLEVEN, H. et al. Child penalties across countries: Evidence and explanations. </w:t>
      </w:r>
      <w:r w:rsidRPr="005150E1">
        <w:rPr>
          <w:rFonts w:ascii="Times New Roman" w:hAnsi="Times New Roman" w:cs="Times New Roman"/>
          <w:b/>
          <w:bCs/>
          <w:sz w:val="24"/>
          <w:szCs w:val="24"/>
          <w:lang w:val="en-US"/>
        </w:rPr>
        <w:t>AEA Papers and Proceedings</w:t>
      </w:r>
      <w:r w:rsidRPr="005150E1">
        <w:rPr>
          <w:rFonts w:ascii="Times New Roman" w:hAnsi="Times New Roman" w:cs="Times New Roman"/>
          <w:sz w:val="24"/>
          <w:szCs w:val="24"/>
          <w:lang w:val="en-US"/>
        </w:rPr>
        <w:t>, v. 109, 02 2019.</w:t>
      </w:r>
    </w:p>
    <w:p w14:paraId="7E577530" w14:textId="288FF07A"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KLEVEN, H.; LANDAIS, C.; SøGAARD, J. Children and gender inequality: Evidence from Denmark. </w:t>
      </w:r>
      <w:r w:rsidRPr="005150E1">
        <w:rPr>
          <w:rFonts w:ascii="Times New Roman" w:hAnsi="Times New Roman" w:cs="Times New Roman"/>
          <w:b/>
          <w:bCs/>
          <w:sz w:val="24"/>
          <w:szCs w:val="24"/>
          <w:lang w:val="en-US"/>
        </w:rPr>
        <w:t>SSRN Electronic Journal</w:t>
      </w:r>
      <w:r w:rsidRPr="005150E1">
        <w:rPr>
          <w:rFonts w:ascii="Times New Roman" w:hAnsi="Times New Roman" w:cs="Times New Roman"/>
          <w:sz w:val="24"/>
          <w:szCs w:val="24"/>
          <w:lang w:val="en-US"/>
        </w:rPr>
        <w:t>, 01 2018.</w:t>
      </w:r>
    </w:p>
    <w:p w14:paraId="01933AE5" w14:textId="4928429A"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KUHHIRT, M.; LUDWIG, V. Domestic work and the wage penalty for motherhood in West Germany. </w:t>
      </w:r>
      <w:r w:rsidRPr="005150E1">
        <w:rPr>
          <w:rFonts w:ascii="Times New Roman" w:hAnsi="Times New Roman" w:cs="Times New Roman"/>
          <w:b/>
          <w:bCs/>
          <w:sz w:val="24"/>
          <w:szCs w:val="24"/>
        </w:rPr>
        <w:t>Journal of Marriage and Family</w:t>
      </w:r>
      <w:r w:rsidRPr="005150E1">
        <w:rPr>
          <w:rFonts w:ascii="Times New Roman" w:hAnsi="Times New Roman" w:cs="Times New Roman"/>
          <w:sz w:val="24"/>
          <w:szCs w:val="24"/>
        </w:rPr>
        <w:t>, v. 74, n. 1, p. 186-200, 2012.</w:t>
      </w:r>
    </w:p>
    <w:p w14:paraId="2B62A29B" w14:textId="7DEB5BA8" w:rsidR="00347BA0" w:rsidRP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LEME, M. C. S.; WAJNMAN, S. Tendências de coorte nos diferencias de rendimento por sexo. </w:t>
      </w:r>
      <w:r w:rsidRPr="005150E1">
        <w:rPr>
          <w:rFonts w:ascii="Times New Roman" w:hAnsi="Times New Roman" w:cs="Times New Roman"/>
          <w:b/>
          <w:bCs/>
          <w:sz w:val="24"/>
          <w:szCs w:val="24"/>
        </w:rPr>
        <w:t>In: Ricardo Henriques. (Org.). Desigualdade e pobreza no Brasil.</w:t>
      </w:r>
      <w:r w:rsidRPr="005150E1">
        <w:rPr>
          <w:rFonts w:ascii="Times New Roman" w:hAnsi="Times New Roman" w:cs="Times New Roman"/>
          <w:sz w:val="24"/>
          <w:szCs w:val="24"/>
        </w:rPr>
        <w:t xml:space="preserve"> Rio de Janeiro, Editora: IPEA, p. 251-270, 2000.</w:t>
      </w:r>
    </w:p>
    <w:p w14:paraId="0E5875C6" w14:textId="0A5F1D15" w:rsidR="00347BA0" w:rsidRPr="00C42AB8" w:rsidRDefault="00347BA0" w:rsidP="00C42AB8">
      <w:pPr>
        <w:spacing w:line="240" w:lineRule="auto"/>
        <w:rPr>
          <w:rFonts w:ascii="Times New Roman" w:hAnsi="Times New Roman" w:cs="Times New Roman"/>
          <w:sz w:val="24"/>
          <w:szCs w:val="24"/>
          <w:shd w:val="clear" w:color="auto" w:fill="FFFFFF"/>
        </w:rPr>
      </w:pPr>
      <w:r w:rsidRPr="005150E1">
        <w:rPr>
          <w:rFonts w:ascii="Times New Roman" w:hAnsi="Times New Roman" w:cs="Times New Roman"/>
          <w:sz w:val="24"/>
          <w:szCs w:val="24"/>
          <w:shd w:val="clear" w:color="auto" w:fill="FFFFFF"/>
        </w:rPr>
        <w:lastRenderedPageBreak/>
        <w:t xml:space="preserve">LIMA, Isabela Fernandes Matos. </w:t>
      </w:r>
      <w:r w:rsidRPr="005150E1">
        <w:rPr>
          <w:rFonts w:ascii="Times New Roman" w:hAnsi="Times New Roman" w:cs="Times New Roman"/>
          <w:b/>
          <w:bCs/>
          <w:sz w:val="24"/>
          <w:szCs w:val="24"/>
          <w:shd w:val="clear" w:color="auto" w:fill="FFFFFF"/>
        </w:rPr>
        <w:t>Penalidade pela maternidade no mercado de trabalho brasileiro.</w:t>
      </w:r>
      <w:r w:rsidRPr="005150E1">
        <w:rPr>
          <w:rFonts w:ascii="Times New Roman" w:hAnsi="Times New Roman" w:cs="Times New Roman"/>
          <w:sz w:val="24"/>
          <w:szCs w:val="24"/>
          <w:shd w:val="clear" w:color="auto" w:fill="FFFFFF"/>
        </w:rPr>
        <w:t xml:space="preserve"> (Dissertação de mestrado em economia e desenvolvimento) – Universidade Federal de São Paulo, 2022. </w:t>
      </w:r>
    </w:p>
    <w:p w14:paraId="220C5BE6" w14:textId="274C895B"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 xml:space="preserve">LIVERMORE, T.; RODGERS, J.; SIMINSKI, P. The effect of motherhood on wages and wage growth: evidence for Australia. </w:t>
      </w:r>
      <w:r w:rsidRPr="005150E1">
        <w:rPr>
          <w:rFonts w:ascii="Times New Roman" w:hAnsi="Times New Roman" w:cs="Times New Roman"/>
          <w:b/>
          <w:bCs/>
          <w:sz w:val="24"/>
          <w:szCs w:val="24"/>
          <w:lang w:val="en-US"/>
        </w:rPr>
        <w:t>Economic Record</w:t>
      </w:r>
      <w:r w:rsidRPr="005150E1">
        <w:rPr>
          <w:rFonts w:ascii="Times New Roman" w:hAnsi="Times New Roman" w:cs="Times New Roman"/>
          <w:sz w:val="24"/>
          <w:szCs w:val="24"/>
          <w:lang w:val="en-US"/>
        </w:rPr>
        <w:t>, Australia, v. 87, n. Suppl. 1, p. S80- S91, 2011.</w:t>
      </w:r>
    </w:p>
    <w:p w14:paraId="40491EF8" w14:textId="1627A7DA"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lang w:val="en-US"/>
        </w:rPr>
        <w:t>MARON, L.; MEULDERS, D</w:t>
      </w:r>
      <w:r w:rsidRPr="005150E1">
        <w:rPr>
          <w:rFonts w:ascii="Times New Roman" w:hAnsi="Times New Roman" w:cs="Times New Roman"/>
          <w:b/>
          <w:bCs/>
          <w:sz w:val="24"/>
          <w:szCs w:val="24"/>
          <w:lang w:val="en-US"/>
        </w:rPr>
        <w:t>. Having a child: a penalty or bonus for mother’s and father’s employment in Europe?</w:t>
      </w:r>
      <w:r w:rsidRPr="005150E1">
        <w:rPr>
          <w:rFonts w:ascii="Times New Roman" w:hAnsi="Times New Roman" w:cs="Times New Roman"/>
          <w:sz w:val="24"/>
          <w:szCs w:val="24"/>
          <w:lang w:val="en-US"/>
        </w:rPr>
        <w:t xml:space="preserve"> Bruxelas: Universit’e Libre de Bruxelles (DULBEA), Fev. 2008 (Working paper series, 08-05.RS).</w:t>
      </w:r>
    </w:p>
    <w:p w14:paraId="3E3154F2" w14:textId="368B3972"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MATTAR, F. G. </w:t>
      </w:r>
      <w:r w:rsidRPr="005150E1">
        <w:rPr>
          <w:rFonts w:ascii="Times New Roman" w:hAnsi="Times New Roman" w:cs="Times New Roman"/>
          <w:b/>
          <w:bCs/>
          <w:sz w:val="24"/>
          <w:szCs w:val="24"/>
          <w:lang w:val="en-US"/>
        </w:rPr>
        <w:t xml:space="preserve">Essays on female labor supply. </w:t>
      </w:r>
      <w:r w:rsidRPr="005150E1">
        <w:rPr>
          <w:rFonts w:ascii="Times New Roman" w:hAnsi="Times New Roman" w:cs="Times New Roman"/>
          <w:sz w:val="24"/>
          <w:szCs w:val="24"/>
        </w:rPr>
        <w:t>[S.l.]: Tese (doutorado) - Pontifícia Universidade Catolica do Rio de Janeiro, Departamento de Economia, 2018.</w:t>
      </w:r>
    </w:p>
    <w:p w14:paraId="32F9F02E" w14:textId="7B1A2F08" w:rsidR="00347BA0" w:rsidRPr="005150E1" w:rsidRDefault="00347BA0" w:rsidP="00C42AB8">
      <w:pPr>
        <w:spacing w:line="240" w:lineRule="auto"/>
        <w:jc w:val="both"/>
        <w:rPr>
          <w:rFonts w:ascii="Times New Roman" w:hAnsi="Times New Roman" w:cs="Times New Roman"/>
          <w:sz w:val="24"/>
          <w:szCs w:val="24"/>
        </w:rPr>
      </w:pPr>
      <w:r w:rsidRPr="005150E1">
        <w:rPr>
          <w:rFonts w:ascii="Times New Roman" w:hAnsi="Times New Roman" w:cs="Times New Roman"/>
          <w:sz w:val="24"/>
          <w:szCs w:val="24"/>
        </w:rPr>
        <w:t xml:space="preserve">MATTEI, T. S. </w:t>
      </w:r>
      <w:r w:rsidRPr="005150E1">
        <w:rPr>
          <w:rFonts w:ascii="Times New Roman" w:hAnsi="Times New Roman" w:cs="Times New Roman"/>
          <w:b/>
          <w:bCs/>
          <w:sz w:val="24"/>
          <w:szCs w:val="24"/>
        </w:rPr>
        <w:t xml:space="preserve">A influência do estoque de capital humano sobre a produtividade individual: </w:t>
      </w:r>
      <w:r w:rsidRPr="005150E1">
        <w:rPr>
          <w:rFonts w:ascii="Times New Roman" w:hAnsi="Times New Roman" w:cs="Times New Roman"/>
          <w:sz w:val="24"/>
          <w:szCs w:val="24"/>
        </w:rPr>
        <w:t>uma análise para as capitais brasileiras. Dissertação (Mestrado em Gestão e Desenvolvimento Regional) - Universidade Estadual Do Oeste Do Paraná, Francisco Beltrão, 2018.</w:t>
      </w:r>
    </w:p>
    <w:p w14:paraId="7CF7DCFE" w14:textId="486C3AD7"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MEIRELES, D. C.; SILVA, J. L. M. </w:t>
      </w:r>
      <w:r w:rsidRPr="005150E1">
        <w:rPr>
          <w:rFonts w:ascii="Times New Roman" w:hAnsi="Times New Roman" w:cs="Times New Roman"/>
          <w:b/>
          <w:bCs/>
          <w:sz w:val="24"/>
          <w:szCs w:val="24"/>
        </w:rPr>
        <w:t>Diferenciais de rendimentos por raça no mercado de trabalho brasileiro</w:t>
      </w:r>
      <w:r w:rsidRPr="005150E1">
        <w:rPr>
          <w:rFonts w:ascii="Times New Roman" w:hAnsi="Times New Roman" w:cs="Times New Roman"/>
          <w:sz w:val="24"/>
          <w:szCs w:val="24"/>
        </w:rPr>
        <w:t>, 2012.</w:t>
      </w:r>
    </w:p>
    <w:p w14:paraId="51AEDF15" w14:textId="511FB4E9" w:rsidR="00347BA0" w:rsidRP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MINCATO, R. et al. Desigualdades de gênero: disparidade salarial e segregação ocupacional. </w:t>
      </w:r>
      <w:r w:rsidRPr="005150E1">
        <w:rPr>
          <w:rFonts w:ascii="Times New Roman" w:hAnsi="Times New Roman" w:cs="Times New Roman"/>
          <w:b/>
          <w:bCs/>
          <w:sz w:val="24"/>
          <w:szCs w:val="24"/>
        </w:rPr>
        <w:t>In: XII Encontro sobre os aspectos econômicos e sociais da região nordeste do RS</w:t>
      </w:r>
      <w:r w:rsidRPr="005150E1">
        <w:rPr>
          <w:rFonts w:ascii="Times New Roman" w:hAnsi="Times New Roman" w:cs="Times New Roman"/>
          <w:sz w:val="24"/>
          <w:szCs w:val="24"/>
        </w:rPr>
        <w:t>, Caxias do Sul, 2013.</w:t>
      </w:r>
    </w:p>
    <w:p w14:paraId="6FD7CED2" w14:textId="07FB5CB1" w:rsidR="00347BA0" w:rsidRPr="00C42AB8" w:rsidRDefault="00347BA0" w:rsidP="00C42AB8">
      <w:pPr>
        <w:spacing w:line="240" w:lineRule="auto"/>
        <w:rPr>
          <w:rFonts w:ascii="Times New Roman" w:eastAsiaTheme="minorEastAsia" w:hAnsi="Times New Roman" w:cs="Times New Roman"/>
          <w:sz w:val="24"/>
          <w:szCs w:val="24"/>
          <w:lang w:val="en-US"/>
        </w:rPr>
      </w:pPr>
      <w:r w:rsidRPr="005150E1">
        <w:rPr>
          <w:rFonts w:ascii="Times New Roman" w:eastAsiaTheme="minorEastAsia" w:hAnsi="Times New Roman" w:cs="Times New Roman"/>
          <w:sz w:val="24"/>
          <w:szCs w:val="24"/>
          <w:lang w:val="en-US"/>
        </w:rPr>
        <w:t xml:space="preserve">MINCER, J. </w:t>
      </w:r>
      <w:r w:rsidRPr="005150E1">
        <w:rPr>
          <w:rFonts w:ascii="Times New Roman" w:eastAsiaTheme="minorEastAsia" w:hAnsi="Times New Roman" w:cs="Times New Roman"/>
          <w:b/>
          <w:bCs/>
          <w:sz w:val="24"/>
          <w:szCs w:val="24"/>
          <w:lang w:val="en-US"/>
        </w:rPr>
        <w:t>Schooling, experience and earnings.</w:t>
      </w:r>
      <w:r w:rsidRPr="005150E1">
        <w:rPr>
          <w:rFonts w:ascii="Times New Roman" w:eastAsiaTheme="minorEastAsia" w:hAnsi="Times New Roman" w:cs="Times New Roman"/>
          <w:sz w:val="24"/>
          <w:szCs w:val="24"/>
          <w:lang w:val="en-US"/>
        </w:rPr>
        <w:t xml:space="preserve"> New York: National Bureau of Economic Research, 1974.</w:t>
      </w:r>
    </w:p>
    <w:p w14:paraId="67CF3E6A" w14:textId="3AE540FF"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rPr>
        <w:t xml:space="preserve">OIT – Organização Internacional do Trabalho. </w:t>
      </w:r>
      <w:r w:rsidRPr="005150E1">
        <w:rPr>
          <w:rFonts w:ascii="Times New Roman" w:hAnsi="Times New Roman" w:cs="Times New Roman"/>
          <w:b/>
          <w:bCs/>
          <w:sz w:val="24"/>
          <w:szCs w:val="24"/>
        </w:rPr>
        <w:t>Perfil do trabalho decente no Brasil.</w:t>
      </w:r>
      <w:r w:rsidRPr="005150E1">
        <w:rPr>
          <w:rFonts w:ascii="Times New Roman" w:hAnsi="Times New Roman" w:cs="Times New Roman"/>
          <w:sz w:val="24"/>
          <w:szCs w:val="24"/>
        </w:rPr>
        <w:t xml:space="preserve"> </w:t>
      </w:r>
      <w:r w:rsidRPr="005150E1">
        <w:rPr>
          <w:rFonts w:ascii="Times New Roman" w:hAnsi="Times New Roman" w:cs="Times New Roman"/>
          <w:sz w:val="24"/>
          <w:szCs w:val="24"/>
          <w:lang w:val="en-US"/>
        </w:rPr>
        <w:t>Brasília e Genebra: OIT, 2009.</w:t>
      </w:r>
    </w:p>
    <w:p w14:paraId="72ED6407" w14:textId="49E03F32" w:rsidR="00C02196" w:rsidRPr="009A2E52"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PARROTT, H. M. Housework, children, and women’s wages across racial–ethnic groups. </w:t>
      </w:r>
      <w:r w:rsidRPr="009A2E52">
        <w:rPr>
          <w:rFonts w:ascii="Times New Roman" w:hAnsi="Times New Roman" w:cs="Times New Roman"/>
          <w:b/>
          <w:bCs/>
          <w:sz w:val="24"/>
          <w:szCs w:val="24"/>
        </w:rPr>
        <w:t>Social Science Research</w:t>
      </w:r>
      <w:r w:rsidRPr="009A2E52">
        <w:rPr>
          <w:rFonts w:ascii="Times New Roman" w:hAnsi="Times New Roman" w:cs="Times New Roman"/>
          <w:sz w:val="24"/>
          <w:szCs w:val="24"/>
        </w:rPr>
        <w:t>, New York, NY, v. 46, p. 72-84, 2014.</w:t>
      </w:r>
    </w:p>
    <w:p w14:paraId="00A79734" w14:textId="182367A4" w:rsidR="00347BA0" w:rsidRPr="00C02196" w:rsidRDefault="00C02196" w:rsidP="00C42AB8">
      <w:pPr>
        <w:spacing w:line="240" w:lineRule="auto"/>
        <w:rPr>
          <w:rFonts w:ascii="Times New Roman" w:hAnsi="Times New Roman" w:cs="Times New Roman"/>
          <w:sz w:val="24"/>
          <w:szCs w:val="24"/>
        </w:rPr>
      </w:pPr>
      <w:r w:rsidRPr="00BB1A1F">
        <w:rPr>
          <w:rFonts w:ascii="TimesNewRomanPSMT" w:hAnsi="TimesNewRomanPSMT"/>
          <w:color w:val="000000"/>
          <w:sz w:val="24"/>
          <w:szCs w:val="24"/>
        </w:rPr>
        <w:t xml:space="preserve">PINO, F. A. Modelos de decisão binários: uma revisão. </w:t>
      </w:r>
      <w:r w:rsidRPr="000E685B">
        <w:rPr>
          <w:rFonts w:ascii="TimesNewRomanPSMT" w:hAnsi="TimesNewRomanPSMT"/>
          <w:b/>
          <w:bCs/>
          <w:color w:val="000000"/>
          <w:sz w:val="24"/>
          <w:szCs w:val="24"/>
        </w:rPr>
        <w:t>Rev. de Economia Agrícola</w:t>
      </w:r>
      <w:r w:rsidRPr="00BB1A1F">
        <w:rPr>
          <w:rFonts w:ascii="TimesNewRomanPSMT" w:hAnsi="TimesNewRomanPSMT"/>
          <w:color w:val="000000"/>
          <w:sz w:val="24"/>
          <w:szCs w:val="24"/>
        </w:rPr>
        <w:t>, São</w:t>
      </w:r>
      <w:r>
        <w:rPr>
          <w:rFonts w:ascii="TimesNewRomanPSMT" w:hAnsi="TimesNewRomanPSMT"/>
          <w:color w:val="000000"/>
        </w:rPr>
        <w:t xml:space="preserve"> </w:t>
      </w:r>
      <w:r w:rsidRPr="00BB1A1F">
        <w:rPr>
          <w:rFonts w:ascii="TimesNewRomanPSMT" w:hAnsi="TimesNewRomanPSMT"/>
          <w:color w:val="000000"/>
          <w:sz w:val="24"/>
          <w:szCs w:val="24"/>
        </w:rPr>
        <w:t>Paulo, v. 54, n. 1, p. 43-57, 2007.</w:t>
      </w:r>
    </w:p>
    <w:p w14:paraId="600CC274" w14:textId="5AC16F86"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PIRAS, C.; RIPANI, L. </w:t>
      </w:r>
      <w:r w:rsidRPr="005150E1">
        <w:rPr>
          <w:rFonts w:ascii="Times New Roman" w:hAnsi="Times New Roman" w:cs="Times New Roman"/>
          <w:b/>
          <w:bCs/>
          <w:sz w:val="24"/>
          <w:szCs w:val="24"/>
          <w:lang w:val="en-US"/>
        </w:rPr>
        <w:t>The effects of motherhood on wages and labor force participation:</w:t>
      </w:r>
      <w:r w:rsidRPr="005150E1">
        <w:rPr>
          <w:rFonts w:ascii="Times New Roman" w:hAnsi="Times New Roman" w:cs="Times New Roman"/>
          <w:sz w:val="24"/>
          <w:szCs w:val="24"/>
          <w:lang w:val="en-US"/>
        </w:rPr>
        <w:t xml:space="preserve"> evidence from Bolivia, Brazil, Ecuador and Peru. </w:t>
      </w:r>
      <w:r w:rsidRPr="005150E1">
        <w:rPr>
          <w:rFonts w:ascii="Times New Roman" w:hAnsi="Times New Roman" w:cs="Times New Roman"/>
          <w:sz w:val="24"/>
          <w:szCs w:val="24"/>
        </w:rPr>
        <w:t>Washington, DC: InterAmerican Development Bank, 2005.</w:t>
      </w:r>
    </w:p>
    <w:p w14:paraId="08530BA6" w14:textId="5B90BD77"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QUEIROZ, V. S.; MOREIRA, I. T. Uma análise dos diferenciais de renda e discriminação no mercado de trabalho brasileiro. </w:t>
      </w:r>
      <w:r w:rsidRPr="005150E1">
        <w:rPr>
          <w:rFonts w:ascii="Times New Roman" w:hAnsi="Times New Roman" w:cs="Times New Roman"/>
          <w:b/>
          <w:bCs/>
          <w:sz w:val="24"/>
          <w:szCs w:val="24"/>
        </w:rPr>
        <w:t>In: VII Encontro Nacional da Associação Brasileira de Estudos Regionais e Urbanos - ENABER</w:t>
      </w:r>
      <w:r w:rsidRPr="005150E1">
        <w:rPr>
          <w:rFonts w:ascii="Times New Roman" w:hAnsi="Times New Roman" w:cs="Times New Roman"/>
          <w:sz w:val="24"/>
          <w:szCs w:val="24"/>
        </w:rPr>
        <w:t>, 2009, São Paulo, 2009.</w:t>
      </w:r>
    </w:p>
    <w:p w14:paraId="18719A48" w14:textId="3E3E3C34"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RIOS-NETO, E. L. G. O impacto das crianças sobre a participação feminina na PEA: o caso das mulheres casadas urbanas. </w:t>
      </w:r>
      <w:r w:rsidRPr="005150E1">
        <w:rPr>
          <w:rFonts w:ascii="Times New Roman" w:hAnsi="Times New Roman" w:cs="Times New Roman"/>
          <w:b/>
          <w:bCs/>
          <w:sz w:val="24"/>
          <w:szCs w:val="24"/>
        </w:rPr>
        <w:t xml:space="preserve">In: ENCONTRO DA ASSOCIAÇÃO BRASILEIRA DE </w:t>
      </w:r>
      <w:r w:rsidRPr="005150E1">
        <w:rPr>
          <w:rFonts w:ascii="Times New Roman" w:hAnsi="Times New Roman" w:cs="Times New Roman"/>
          <w:b/>
          <w:bCs/>
          <w:sz w:val="24"/>
          <w:szCs w:val="24"/>
        </w:rPr>
        <w:lastRenderedPageBreak/>
        <w:t>ESTUDOS POPULACIONAIS</w:t>
      </w:r>
      <w:r w:rsidRPr="005150E1">
        <w:rPr>
          <w:rFonts w:ascii="Times New Roman" w:hAnsi="Times New Roman" w:cs="Times New Roman"/>
          <w:sz w:val="24"/>
          <w:szCs w:val="24"/>
        </w:rPr>
        <w:t>, 10, 1996, Belo Horizonte. Anais... Belo Horizonte: Abep, 1996, v. 1, p. 517-534.</w:t>
      </w:r>
    </w:p>
    <w:p w14:paraId="4F48B277" w14:textId="0A548FA3"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SANTOS, W. C. S. A mulher negra brasileira. </w:t>
      </w:r>
      <w:r w:rsidRPr="005150E1">
        <w:rPr>
          <w:rFonts w:ascii="Times New Roman" w:hAnsi="Times New Roman" w:cs="Times New Roman"/>
          <w:b/>
          <w:bCs/>
          <w:sz w:val="24"/>
          <w:szCs w:val="24"/>
        </w:rPr>
        <w:t>Revista África e Africanidades</w:t>
      </w:r>
      <w:r w:rsidRPr="005150E1">
        <w:rPr>
          <w:rFonts w:ascii="Times New Roman" w:hAnsi="Times New Roman" w:cs="Times New Roman"/>
          <w:sz w:val="24"/>
          <w:szCs w:val="24"/>
        </w:rPr>
        <w:t xml:space="preserve">, Ano 2 - n. 5, </w:t>
      </w:r>
      <w:r w:rsidR="001A213F">
        <w:rPr>
          <w:rFonts w:ascii="Times New Roman" w:hAnsi="Times New Roman" w:cs="Times New Roman"/>
          <w:sz w:val="24"/>
          <w:szCs w:val="24"/>
        </w:rPr>
        <w:t>m</w:t>
      </w:r>
      <w:r w:rsidRPr="005150E1">
        <w:rPr>
          <w:rFonts w:ascii="Times New Roman" w:hAnsi="Times New Roman" w:cs="Times New Roman"/>
          <w:sz w:val="24"/>
          <w:szCs w:val="24"/>
        </w:rPr>
        <w:t>aio, 2009.</w:t>
      </w:r>
    </w:p>
    <w:p w14:paraId="3C50DD5A" w14:textId="75E8D696"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SINGER, Paul. </w:t>
      </w:r>
      <w:r w:rsidRPr="005150E1">
        <w:rPr>
          <w:rFonts w:ascii="Times New Roman" w:hAnsi="Times New Roman" w:cs="Times New Roman"/>
          <w:b/>
          <w:bCs/>
          <w:sz w:val="24"/>
          <w:szCs w:val="24"/>
        </w:rPr>
        <w:t>Globalização e desemprego:</w:t>
      </w:r>
      <w:r w:rsidRPr="005150E1">
        <w:rPr>
          <w:rFonts w:ascii="Times New Roman" w:hAnsi="Times New Roman" w:cs="Times New Roman"/>
          <w:sz w:val="24"/>
          <w:szCs w:val="24"/>
        </w:rPr>
        <w:t xml:space="preserve"> diagnósticos e alternativas. São Paulo: Contexto, 1998.</w:t>
      </w:r>
    </w:p>
    <w:p w14:paraId="4AD00276" w14:textId="3FDBFF95"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SOARES, S. S. D. </w:t>
      </w:r>
      <w:r w:rsidRPr="005150E1">
        <w:rPr>
          <w:rFonts w:ascii="Times New Roman" w:hAnsi="Times New Roman" w:cs="Times New Roman"/>
          <w:b/>
          <w:bCs/>
          <w:sz w:val="24"/>
          <w:szCs w:val="24"/>
        </w:rPr>
        <w:t>O perfil da discriminação no mercado de trabalho:</w:t>
      </w:r>
      <w:r w:rsidRPr="005150E1">
        <w:rPr>
          <w:rFonts w:ascii="Times New Roman" w:hAnsi="Times New Roman" w:cs="Times New Roman"/>
          <w:sz w:val="24"/>
          <w:szCs w:val="24"/>
        </w:rPr>
        <w:t xml:space="preserve"> homens negros, mulheres brancas e mulheres negras, Brasília: IPEA, p. 1-26, nov. 2000.</w:t>
      </w:r>
    </w:p>
    <w:p w14:paraId="4D8245A9" w14:textId="07060EDE" w:rsidR="00347BA0" w:rsidRP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SORJ, B. Arenas de cuidado nas interseções entre gênero e classe social no Brasil. </w:t>
      </w:r>
      <w:r w:rsidRPr="005150E1">
        <w:rPr>
          <w:rFonts w:ascii="Times New Roman" w:hAnsi="Times New Roman" w:cs="Times New Roman"/>
          <w:b/>
          <w:bCs/>
          <w:sz w:val="24"/>
          <w:szCs w:val="24"/>
        </w:rPr>
        <w:t>Cadernos de Pesquisa</w:t>
      </w:r>
      <w:r w:rsidRPr="005150E1">
        <w:rPr>
          <w:rFonts w:ascii="Times New Roman" w:hAnsi="Times New Roman" w:cs="Times New Roman"/>
          <w:sz w:val="24"/>
          <w:szCs w:val="24"/>
        </w:rPr>
        <w:t xml:space="preserve">, São Paulo, SP, v. 43, n. 149, p. 478-491, 2013. Disponível em: </w:t>
      </w:r>
      <w:r w:rsidR="000C02E0">
        <w:rPr>
          <w:rFonts w:ascii="Times New Roman" w:hAnsi="Times New Roman" w:cs="Times New Roman"/>
          <w:sz w:val="24"/>
          <w:szCs w:val="24"/>
        </w:rPr>
        <w:t>&lt;</w:t>
      </w:r>
      <w:r w:rsidRPr="005150E1">
        <w:rPr>
          <w:rFonts w:ascii="Times New Roman" w:hAnsi="Times New Roman" w:cs="Times New Roman"/>
          <w:sz w:val="24"/>
          <w:szCs w:val="24"/>
        </w:rPr>
        <w:t>https://www.scielo.br/j/cp/a/N4CfkgXHT8Gtgsr4RvDNhtP/?format=pdf&amp;lang=pt</w:t>
      </w:r>
      <w:r w:rsidR="000C02E0">
        <w:rPr>
          <w:rFonts w:ascii="Times New Roman" w:hAnsi="Times New Roman" w:cs="Times New Roman"/>
          <w:sz w:val="24"/>
          <w:szCs w:val="24"/>
        </w:rPr>
        <w:t>&gt;</w:t>
      </w:r>
      <w:r w:rsidRPr="005150E1">
        <w:rPr>
          <w:rFonts w:ascii="Times New Roman" w:hAnsi="Times New Roman" w:cs="Times New Roman"/>
          <w:sz w:val="24"/>
          <w:szCs w:val="24"/>
        </w:rPr>
        <w:t>. Acesso em: 20 de maio de 2022.</w:t>
      </w:r>
    </w:p>
    <w:p w14:paraId="296D6C58" w14:textId="3E172BC7" w:rsidR="00347BA0" w:rsidRPr="00C42AB8" w:rsidRDefault="00347BA0" w:rsidP="00C42AB8">
      <w:pPr>
        <w:spacing w:line="240" w:lineRule="auto"/>
        <w:rPr>
          <w:rFonts w:ascii="Times New Roman" w:hAnsi="Times New Roman" w:cs="Times New Roman"/>
          <w:sz w:val="24"/>
          <w:szCs w:val="24"/>
          <w:shd w:val="clear" w:color="auto" w:fill="FFFFFF"/>
        </w:rPr>
      </w:pPr>
      <w:r w:rsidRPr="005150E1">
        <w:rPr>
          <w:rFonts w:ascii="Times New Roman" w:hAnsi="Times New Roman" w:cs="Times New Roman"/>
          <w:sz w:val="24"/>
          <w:szCs w:val="24"/>
          <w:shd w:val="clear" w:color="auto" w:fill="FFFFFF"/>
        </w:rPr>
        <w:t>SOUZA, Laetícia Rodrigues de; RIOS-NETO, Eduardo Luiz Gonçalves; QUEIROZ, Bernardo Lanza. A relação entre parturição e trabalho feminino no Brasil. </w:t>
      </w:r>
      <w:r w:rsidRPr="005150E1">
        <w:rPr>
          <w:rFonts w:ascii="Times New Roman" w:hAnsi="Times New Roman" w:cs="Times New Roman"/>
          <w:b/>
          <w:bCs/>
          <w:sz w:val="24"/>
          <w:szCs w:val="24"/>
          <w:shd w:val="clear" w:color="auto" w:fill="FFFFFF"/>
        </w:rPr>
        <w:t>Revista Brasileira de Estudos de População</w:t>
      </w:r>
      <w:r w:rsidRPr="005150E1">
        <w:rPr>
          <w:rFonts w:ascii="Times New Roman" w:hAnsi="Times New Roman" w:cs="Times New Roman"/>
          <w:sz w:val="24"/>
          <w:szCs w:val="24"/>
          <w:shd w:val="clear" w:color="auto" w:fill="FFFFFF"/>
        </w:rPr>
        <w:t>, v. 28, p. 57-79, 2011.</w:t>
      </w:r>
    </w:p>
    <w:p w14:paraId="339FF341" w14:textId="2BE08295" w:rsidR="00347BA0" w:rsidRPr="00C42AB8" w:rsidRDefault="00347BA0" w:rsidP="00C42AB8">
      <w:pPr>
        <w:shd w:val="clear" w:color="auto" w:fill="FFFFFF"/>
        <w:spacing w:line="240" w:lineRule="auto"/>
        <w:rPr>
          <w:rFonts w:ascii="Times New Roman" w:eastAsia="Times New Roman" w:hAnsi="Times New Roman" w:cs="Times New Roman"/>
          <w:sz w:val="24"/>
          <w:szCs w:val="24"/>
          <w:lang w:eastAsia="pt-BR"/>
        </w:rPr>
      </w:pPr>
      <w:r w:rsidRPr="0016099A">
        <w:rPr>
          <w:rFonts w:ascii="Times New Roman" w:eastAsia="Times New Roman" w:hAnsi="Times New Roman" w:cs="Times New Roman"/>
          <w:sz w:val="24"/>
          <w:szCs w:val="24"/>
          <w:lang w:eastAsia="pt-BR"/>
        </w:rPr>
        <w:t xml:space="preserve">STAMM, </w:t>
      </w:r>
      <w:r w:rsidRPr="00864B68">
        <w:rPr>
          <w:rFonts w:ascii="Times New Roman" w:eastAsia="Times New Roman" w:hAnsi="Times New Roman" w:cs="Times New Roman"/>
          <w:sz w:val="24"/>
          <w:szCs w:val="24"/>
          <w:lang w:eastAsia="pt-BR"/>
        </w:rPr>
        <w:t>C</w:t>
      </w:r>
      <w:r w:rsidRPr="0016099A">
        <w:rPr>
          <w:rFonts w:ascii="Times New Roman" w:eastAsia="Times New Roman" w:hAnsi="Times New Roman" w:cs="Times New Roman"/>
          <w:sz w:val="24"/>
          <w:szCs w:val="24"/>
          <w:lang w:eastAsia="pt-BR"/>
        </w:rPr>
        <w:t>; CASTRO,</w:t>
      </w:r>
      <w:r w:rsidRPr="00864B68">
        <w:rPr>
          <w:rFonts w:ascii="Times New Roman" w:eastAsia="Times New Roman" w:hAnsi="Times New Roman" w:cs="Times New Roman"/>
          <w:sz w:val="24"/>
          <w:szCs w:val="24"/>
          <w:lang w:eastAsia="pt-BR"/>
        </w:rPr>
        <w:t xml:space="preserve"> B</w:t>
      </w:r>
      <w:r>
        <w:rPr>
          <w:rFonts w:ascii="Times New Roman" w:eastAsia="Times New Roman" w:hAnsi="Times New Roman" w:cs="Times New Roman"/>
          <w:sz w:val="24"/>
          <w:szCs w:val="24"/>
          <w:lang w:eastAsia="pt-BR"/>
        </w:rPr>
        <w:t>.</w:t>
      </w:r>
      <w:r w:rsidRPr="00864B68">
        <w:rPr>
          <w:rFonts w:ascii="Times New Roman" w:eastAsia="Times New Roman" w:hAnsi="Times New Roman" w:cs="Times New Roman"/>
          <w:sz w:val="24"/>
          <w:szCs w:val="24"/>
          <w:lang w:eastAsia="pt-BR"/>
        </w:rPr>
        <w:t xml:space="preserve"> N</w:t>
      </w:r>
      <w:r>
        <w:rPr>
          <w:rFonts w:ascii="Times New Roman" w:eastAsia="Times New Roman" w:hAnsi="Times New Roman" w:cs="Times New Roman"/>
          <w:sz w:val="24"/>
          <w:szCs w:val="24"/>
          <w:lang w:eastAsia="pt-BR"/>
        </w:rPr>
        <w:t>.</w:t>
      </w:r>
      <w:r w:rsidRPr="00864B68">
        <w:rPr>
          <w:rFonts w:ascii="Times New Roman" w:eastAsia="Times New Roman" w:hAnsi="Times New Roman" w:cs="Times New Roman"/>
          <w:sz w:val="24"/>
          <w:szCs w:val="24"/>
          <w:lang w:eastAsia="pt-BR"/>
        </w:rPr>
        <w:t xml:space="preserve"> de</w:t>
      </w:r>
      <w:r w:rsidRPr="0016099A">
        <w:rPr>
          <w:rFonts w:ascii="Times New Roman" w:eastAsia="Times New Roman" w:hAnsi="Times New Roman" w:cs="Times New Roman"/>
          <w:sz w:val="24"/>
          <w:szCs w:val="24"/>
          <w:lang w:eastAsia="pt-BR"/>
        </w:rPr>
        <w:t xml:space="preserve">. Diferenças salariais de gênero e raça no mercado de trabalho brasileiro: uma análise estatística e econométrica. </w:t>
      </w:r>
      <w:r w:rsidRPr="0016099A">
        <w:rPr>
          <w:rFonts w:ascii="Times New Roman" w:hAnsi="Times New Roman" w:cs="Times New Roman"/>
          <w:b/>
          <w:bCs/>
          <w:sz w:val="24"/>
          <w:szCs w:val="24"/>
        </w:rPr>
        <w:t>In: ENCONTRO NACIONAL SOBRE POPULAÇÃO, TRABALHO, GÊNERO E POLÍTICAS PÚBLICAS</w:t>
      </w:r>
      <w:r w:rsidRPr="0016099A">
        <w:rPr>
          <w:rFonts w:ascii="Times New Roman" w:hAnsi="Times New Roman" w:cs="Times New Roman"/>
          <w:sz w:val="24"/>
          <w:szCs w:val="24"/>
        </w:rPr>
        <w:t>. Anais... Foz do Iguaçu, PR: ABEP, 2016.</w:t>
      </w:r>
    </w:p>
    <w:p w14:paraId="3583BECD" w14:textId="204C5834" w:rsidR="00347BA0" w:rsidRPr="00C42AB8"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ULYSSEA, G. Informalidade no mercado de trabalho brasileiro: uma resenha da literatura. </w:t>
      </w:r>
      <w:r w:rsidRPr="005150E1">
        <w:rPr>
          <w:rFonts w:ascii="Times New Roman" w:hAnsi="Times New Roman" w:cs="Times New Roman"/>
          <w:b/>
          <w:bCs/>
          <w:sz w:val="24"/>
          <w:szCs w:val="24"/>
        </w:rPr>
        <w:t>Revista de Economia Política</w:t>
      </w:r>
      <w:r w:rsidRPr="005150E1">
        <w:rPr>
          <w:rFonts w:ascii="Times New Roman" w:hAnsi="Times New Roman" w:cs="Times New Roman"/>
          <w:sz w:val="24"/>
          <w:szCs w:val="24"/>
        </w:rPr>
        <w:t>, v. 26, n. 4, p. 596-618, 2006.</w:t>
      </w:r>
    </w:p>
    <w:p w14:paraId="79A599DF" w14:textId="6123DE6E" w:rsidR="00347BA0" w:rsidRPr="00C42AB8" w:rsidRDefault="00347BA0" w:rsidP="00C42AB8">
      <w:pPr>
        <w:spacing w:line="240" w:lineRule="auto"/>
        <w:rPr>
          <w:rFonts w:ascii="Times New Roman" w:eastAsiaTheme="minorEastAsia" w:hAnsi="Times New Roman" w:cs="Times New Roman"/>
          <w:sz w:val="24"/>
          <w:szCs w:val="24"/>
        </w:rPr>
      </w:pPr>
      <w:r w:rsidRPr="005150E1">
        <w:rPr>
          <w:rFonts w:ascii="Times New Roman" w:eastAsiaTheme="minorEastAsia" w:hAnsi="Times New Roman" w:cs="Times New Roman"/>
          <w:sz w:val="24"/>
          <w:szCs w:val="24"/>
        </w:rPr>
        <w:t xml:space="preserve">VAZ, F.E.C.R. </w:t>
      </w:r>
      <w:r w:rsidRPr="005150E1">
        <w:rPr>
          <w:rFonts w:ascii="Times New Roman" w:eastAsiaTheme="minorEastAsia" w:hAnsi="Times New Roman" w:cs="Times New Roman"/>
          <w:b/>
          <w:bCs/>
          <w:sz w:val="24"/>
          <w:szCs w:val="24"/>
        </w:rPr>
        <w:t>Modelação Linear e Extensões:</w:t>
      </w:r>
      <w:r w:rsidRPr="005150E1">
        <w:rPr>
          <w:rFonts w:ascii="Times New Roman" w:eastAsiaTheme="minorEastAsia" w:hAnsi="Times New Roman" w:cs="Times New Roman"/>
          <w:sz w:val="24"/>
          <w:szCs w:val="24"/>
        </w:rPr>
        <w:t xml:space="preserve"> Aplicação da Regressão Logística no Estudo de Câncer da Mama, 2020, 127p. Dissertação (Mestrado em Estatística, Matemática e Computação) -</w:t>
      </w:r>
      <w:r w:rsidRPr="005150E1">
        <w:rPr>
          <w:rFonts w:ascii="Times New Roman" w:hAnsi="Times New Roman" w:cs="Times New Roman"/>
          <w:sz w:val="24"/>
          <w:szCs w:val="24"/>
        </w:rPr>
        <w:t xml:space="preserve"> </w:t>
      </w:r>
      <w:r w:rsidRPr="005150E1">
        <w:rPr>
          <w:rFonts w:ascii="Times New Roman" w:eastAsiaTheme="minorEastAsia" w:hAnsi="Times New Roman" w:cs="Times New Roman"/>
          <w:sz w:val="24"/>
          <w:szCs w:val="24"/>
        </w:rPr>
        <w:t>UNIVERSIDADE ABERTA. Disponível em: &lt;https://repositorioaberto.uab.pt/bitstream/10400.2/10470/1/TMEMC_FernandoVaz.pdf. Acesso em: 15 maio de 2022.</w:t>
      </w:r>
    </w:p>
    <w:p w14:paraId="4A27573A" w14:textId="1927571B"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VILLANUEVA, A.; LIN, K. H. Motherhood wage penalties in Latin America: the significance of labor informality. </w:t>
      </w:r>
      <w:r w:rsidRPr="005150E1">
        <w:rPr>
          <w:rFonts w:ascii="Times New Roman" w:hAnsi="Times New Roman" w:cs="Times New Roman"/>
          <w:b/>
          <w:bCs/>
          <w:sz w:val="24"/>
          <w:szCs w:val="24"/>
        </w:rPr>
        <w:t>Social Forces</w:t>
      </w:r>
      <w:r w:rsidRPr="005150E1">
        <w:rPr>
          <w:rFonts w:ascii="Times New Roman" w:hAnsi="Times New Roman" w:cs="Times New Roman"/>
          <w:sz w:val="24"/>
          <w:szCs w:val="24"/>
        </w:rPr>
        <w:t>, US, v. 99, n. 1, p. 59-85, 2020.</w:t>
      </w:r>
    </w:p>
    <w:p w14:paraId="53EA72CE" w14:textId="152720F0" w:rsidR="00347BA0" w:rsidRPr="005150E1" w:rsidRDefault="00347BA0" w:rsidP="00C42AB8">
      <w:pPr>
        <w:spacing w:line="240" w:lineRule="auto"/>
        <w:rPr>
          <w:rFonts w:ascii="Times New Roman" w:hAnsi="Times New Roman" w:cs="Times New Roman"/>
          <w:sz w:val="24"/>
          <w:szCs w:val="24"/>
          <w:lang w:val="en-US"/>
        </w:rPr>
      </w:pPr>
      <w:r w:rsidRPr="005150E1">
        <w:rPr>
          <w:rFonts w:ascii="Times New Roman" w:hAnsi="Times New Roman" w:cs="Times New Roman"/>
          <w:sz w:val="24"/>
          <w:szCs w:val="24"/>
        </w:rPr>
        <w:t xml:space="preserve">WAJNMAN, S. “Quantidade” e “qualidade” da participação das mulheres na força de trabalho brasileira. </w:t>
      </w:r>
      <w:r w:rsidRPr="005150E1">
        <w:rPr>
          <w:rFonts w:ascii="Times New Roman" w:hAnsi="Times New Roman" w:cs="Times New Roman"/>
          <w:b/>
          <w:bCs/>
          <w:sz w:val="24"/>
          <w:szCs w:val="24"/>
        </w:rPr>
        <w:t>In: ITABORAI, N. R.; RICOLDI, A. M. Até onde caminhou a revolução de gênero no Brasil?</w:t>
      </w:r>
      <w:r w:rsidRPr="005150E1">
        <w:rPr>
          <w:rFonts w:ascii="Times New Roman" w:hAnsi="Times New Roman" w:cs="Times New Roman"/>
          <w:sz w:val="24"/>
          <w:szCs w:val="24"/>
        </w:rPr>
        <w:t xml:space="preserve"> </w:t>
      </w:r>
      <w:r w:rsidRPr="005150E1">
        <w:rPr>
          <w:rFonts w:ascii="Times New Roman" w:hAnsi="Times New Roman" w:cs="Times New Roman"/>
          <w:sz w:val="24"/>
          <w:szCs w:val="24"/>
          <w:lang w:val="en-US"/>
        </w:rPr>
        <w:t>Belo Horizonte: Abep, 2016. p. 45-58.</w:t>
      </w:r>
    </w:p>
    <w:p w14:paraId="7E653AB7" w14:textId="7181A1BF" w:rsidR="00347BA0" w:rsidRPr="005150E1" w:rsidRDefault="00347BA0" w:rsidP="00C42AB8">
      <w:pPr>
        <w:spacing w:line="240" w:lineRule="auto"/>
        <w:rPr>
          <w:rFonts w:ascii="Times New Roman" w:hAnsi="Times New Roman" w:cs="Times New Roman"/>
          <w:sz w:val="24"/>
          <w:szCs w:val="24"/>
        </w:rPr>
      </w:pPr>
      <w:r w:rsidRPr="005150E1">
        <w:rPr>
          <w:rFonts w:ascii="Times New Roman" w:hAnsi="Times New Roman" w:cs="Times New Roman"/>
          <w:sz w:val="24"/>
          <w:szCs w:val="24"/>
          <w:lang w:val="en-US"/>
        </w:rPr>
        <w:t xml:space="preserve">WALDFOGEL, J. Understanding the “family gap” in pay for women with children. </w:t>
      </w:r>
      <w:r w:rsidRPr="005150E1">
        <w:rPr>
          <w:rFonts w:ascii="Times New Roman" w:hAnsi="Times New Roman" w:cs="Times New Roman"/>
          <w:b/>
          <w:bCs/>
          <w:sz w:val="24"/>
          <w:szCs w:val="24"/>
        </w:rPr>
        <w:t>Journal of Economic Perspectives</w:t>
      </w:r>
      <w:r w:rsidRPr="005150E1">
        <w:rPr>
          <w:rFonts w:ascii="Times New Roman" w:hAnsi="Times New Roman" w:cs="Times New Roman"/>
          <w:sz w:val="24"/>
          <w:szCs w:val="24"/>
        </w:rPr>
        <w:t>, v. 12, n. 1, p. 137-156, 1998.</w:t>
      </w:r>
    </w:p>
    <w:p w14:paraId="7C152447" w14:textId="32044637" w:rsidR="0078081E" w:rsidRDefault="00347BA0" w:rsidP="004E62E8">
      <w:pPr>
        <w:spacing w:line="240" w:lineRule="auto"/>
        <w:rPr>
          <w:rFonts w:ascii="Times New Roman" w:hAnsi="Times New Roman" w:cs="Times New Roman"/>
          <w:sz w:val="24"/>
          <w:szCs w:val="24"/>
        </w:rPr>
      </w:pPr>
      <w:r w:rsidRPr="005150E1">
        <w:rPr>
          <w:rFonts w:ascii="Times New Roman" w:hAnsi="Times New Roman" w:cs="Times New Roman"/>
          <w:sz w:val="24"/>
          <w:szCs w:val="24"/>
        </w:rPr>
        <w:t xml:space="preserve">WELTERS, A. Desigualdades de gênero e inatividade: um estudo sobre as jovens mulheres brasileiras. </w:t>
      </w:r>
      <w:r w:rsidRPr="005150E1">
        <w:rPr>
          <w:rFonts w:ascii="Times New Roman" w:hAnsi="Times New Roman" w:cs="Times New Roman"/>
          <w:b/>
          <w:bCs/>
          <w:sz w:val="24"/>
          <w:szCs w:val="24"/>
        </w:rPr>
        <w:t>In: ENCONTRO NACIONAL SOBRE POPULAÇÃO, TRABALHO, GÊNERO E POLÍTICAS PÚBLICAS</w:t>
      </w:r>
      <w:r w:rsidRPr="005150E1">
        <w:rPr>
          <w:rFonts w:ascii="Times New Roman" w:hAnsi="Times New Roman" w:cs="Times New Roman"/>
          <w:sz w:val="24"/>
          <w:szCs w:val="24"/>
        </w:rPr>
        <w:t>, 2019, Campinas, SP. Anais... Belo Horizonte, MG: ABEP, 2019.</w:t>
      </w:r>
    </w:p>
    <w:sectPr w:rsidR="0078081E">
      <w:headerReference w:type="default" r:id="rId9"/>
      <w:footerReference w:type="default" r:id="rId1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17601" w14:textId="77777777" w:rsidR="0047479D" w:rsidRDefault="0047479D">
      <w:pPr>
        <w:spacing w:line="240" w:lineRule="auto"/>
      </w:pPr>
      <w:r>
        <w:separator/>
      </w:r>
    </w:p>
  </w:endnote>
  <w:endnote w:type="continuationSeparator" w:id="0">
    <w:p w14:paraId="70F944AF" w14:textId="77777777" w:rsidR="0047479D" w:rsidRDefault="004747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C469" w14:textId="77777777" w:rsidR="0078081E"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27EB11D" wp14:editId="015DA046">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2B6DEE07" w14:textId="77777777" w:rsidR="0078081E" w:rsidRDefault="0078081E">
    <w:pPr>
      <w:pStyle w:val="Rodap"/>
      <w:jc w:val="both"/>
      <w:rPr>
        <w:rFonts w:ascii="Times New Roman" w:hAnsi="Times New Roman" w:cs="Times New Roman"/>
        <w:sz w:val="20"/>
        <w:szCs w:val="20"/>
      </w:rPr>
    </w:pPr>
  </w:p>
  <w:p w14:paraId="33513C04" w14:textId="77777777" w:rsidR="0078081E" w:rsidRDefault="00000000">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4E782524" w14:textId="77777777" w:rsidR="0078081E" w:rsidRDefault="0078081E">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F378D" w14:textId="77777777" w:rsidR="0047479D" w:rsidRDefault="0047479D">
      <w:pPr>
        <w:spacing w:after="0"/>
      </w:pPr>
      <w:r>
        <w:separator/>
      </w:r>
    </w:p>
  </w:footnote>
  <w:footnote w:type="continuationSeparator" w:id="0">
    <w:p w14:paraId="7EBFF7F0" w14:textId="77777777" w:rsidR="0047479D" w:rsidRDefault="004747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7D83" w14:textId="77777777" w:rsidR="0078081E"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7FC0B94C" wp14:editId="1F918C27">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DBA6B3E" wp14:editId="63B0F067">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1603992E" wp14:editId="2318338F">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D4FF969" w14:textId="77777777" w:rsidR="0078081E" w:rsidRDefault="0078081E">
    <w:pPr>
      <w:pStyle w:val="Cabealho"/>
      <w:jc w:val="center"/>
    </w:pPr>
  </w:p>
  <w:p w14:paraId="401FFD7F" w14:textId="77777777" w:rsidR="0078081E" w:rsidRDefault="0078081E">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1BB2"/>
    <w:multiLevelType w:val="multilevel"/>
    <w:tmpl w:val="379CB18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E083D46"/>
    <w:multiLevelType w:val="multilevel"/>
    <w:tmpl w:val="D0109B5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25464745">
    <w:abstractNumId w:val="1"/>
  </w:num>
  <w:num w:numId="2" w16cid:durableId="1471943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6400E"/>
    <w:rsid w:val="00076D2E"/>
    <w:rsid w:val="00077BDD"/>
    <w:rsid w:val="00087B55"/>
    <w:rsid w:val="000B05FC"/>
    <w:rsid w:val="000B6431"/>
    <w:rsid w:val="000C02E0"/>
    <w:rsid w:val="000E685B"/>
    <w:rsid w:val="000F2C33"/>
    <w:rsid w:val="0017619A"/>
    <w:rsid w:val="00194637"/>
    <w:rsid w:val="00194C5A"/>
    <w:rsid w:val="001A213F"/>
    <w:rsid w:val="002042AD"/>
    <w:rsid w:val="00206A92"/>
    <w:rsid w:val="00241841"/>
    <w:rsid w:val="00254186"/>
    <w:rsid w:val="00255C43"/>
    <w:rsid w:val="0028054E"/>
    <w:rsid w:val="002B08C0"/>
    <w:rsid w:val="002B2E19"/>
    <w:rsid w:val="002B430A"/>
    <w:rsid w:val="00347BA0"/>
    <w:rsid w:val="00410FD9"/>
    <w:rsid w:val="00415CBC"/>
    <w:rsid w:val="00435564"/>
    <w:rsid w:val="0047479D"/>
    <w:rsid w:val="004D0E34"/>
    <w:rsid w:val="004D292A"/>
    <w:rsid w:val="004E3132"/>
    <w:rsid w:val="004E62E8"/>
    <w:rsid w:val="005077D8"/>
    <w:rsid w:val="00507F7E"/>
    <w:rsid w:val="00510F45"/>
    <w:rsid w:val="00515F0A"/>
    <w:rsid w:val="006349B2"/>
    <w:rsid w:val="00665468"/>
    <w:rsid w:val="00675A86"/>
    <w:rsid w:val="006F0EFD"/>
    <w:rsid w:val="00700A51"/>
    <w:rsid w:val="0074503D"/>
    <w:rsid w:val="00761DC8"/>
    <w:rsid w:val="0078081E"/>
    <w:rsid w:val="007A3A8D"/>
    <w:rsid w:val="007C3EAC"/>
    <w:rsid w:val="008147B9"/>
    <w:rsid w:val="0085799B"/>
    <w:rsid w:val="008A64C8"/>
    <w:rsid w:val="008E1847"/>
    <w:rsid w:val="009A24E7"/>
    <w:rsid w:val="009A2E52"/>
    <w:rsid w:val="009F167A"/>
    <w:rsid w:val="00A12BDF"/>
    <w:rsid w:val="00AE0453"/>
    <w:rsid w:val="00B062D9"/>
    <w:rsid w:val="00B12B32"/>
    <w:rsid w:val="00BC6D50"/>
    <w:rsid w:val="00C02196"/>
    <w:rsid w:val="00C42AB8"/>
    <w:rsid w:val="00C87F92"/>
    <w:rsid w:val="00CB082C"/>
    <w:rsid w:val="00CF3B24"/>
    <w:rsid w:val="00D106E4"/>
    <w:rsid w:val="00D2794C"/>
    <w:rsid w:val="00D75312"/>
    <w:rsid w:val="00D8716C"/>
    <w:rsid w:val="00E37F5B"/>
    <w:rsid w:val="00E50039"/>
    <w:rsid w:val="00EC28A8"/>
    <w:rsid w:val="00F716E9"/>
    <w:rsid w:val="00F97436"/>
    <w:rsid w:val="00FC4F7E"/>
    <w:rsid w:val="00FC6F42"/>
    <w:rsid w:val="00FE3920"/>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C4FD"/>
  <w15:docId w15:val="{2AE6FAB6-3F68-4BEF-9232-2CBAB015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Refdecomentrio">
    <w:name w:val="annotation reference"/>
    <w:basedOn w:val="Fontepargpadro"/>
    <w:uiPriority w:val="99"/>
    <w:semiHidden/>
    <w:unhideWhenUsed/>
    <w:rsid w:val="008E1847"/>
    <w:rPr>
      <w:sz w:val="16"/>
      <w:szCs w:val="16"/>
    </w:rPr>
  </w:style>
  <w:style w:type="table" w:styleId="Tabelacomgrade">
    <w:name w:val="Table Grid"/>
    <w:basedOn w:val="Tabelanormal"/>
    <w:uiPriority w:val="39"/>
    <w:rsid w:val="002B08C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2B08C0"/>
    <w:pPr>
      <w:ind w:left="720"/>
      <w:contextualSpacing/>
    </w:pPr>
  </w:style>
  <w:style w:type="paragraph" w:styleId="Textodecomentrio">
    <w:name w:val="annotation text"/>
    <w:basedOn w:val="Normal"/>
    <w:link w:val="TextodecomentrioChar"/>
    <w:uiPriority w:val="99"/>
    <w:semiHidden/>
    <w:unhideWhenUsed/>
    <w:rsid w:val="00FE392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E392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25</Pages>
  <Words>8649</Words>
  <Characters>46709</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aline alves</cp:lastModifiedBy>
  <cp:revision>2</cp:revision>
  <dcterms:created xsi:type="dcterms:W3CDTF">2022-05-20T13:04:00Z</dcterms:created>
  <dcterms:modified xsi:type="dcterms:W3CDTF">2022-08-15T17:29:00Z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