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C9074" w14:textId="079C4FE8" w:rsidR="00786F11" w:rsidRPr="00AD1CD4" w:rsidRDefault="00AD1CD4" w:rsidP="0036611B">
      <w:pPr>
        <w:spacing w:after="0" w:line="360" w:lineRule="auto"/>
        <w:jc w:val="center"/>
        <w:rPr>
          <w:rFonts w:ascii="Times New Roman" w:eastAsia="Times New Roman" w:hAnsi="Times New Roman" w:cs="Times New Roman"/>
          <w:b/>
          <w:sz w:val="28"/>
          <w:szCs w:val="28"/>
          <w:lang w:eastAsia="pt-BR"/>
        </w:rPr>
      </w:pPr>
      <w:r w:rsidRPr="00AD1CD4">
        <w:rPr>
          <w:rFonts w:ascii="Times New Roman" w:eastAsia="Times New Roman" w:hAnsi="Times New Roman" w:cs="Times New Roman"/>
          <w:b/>
          <w:sz w:val="28"/>
          <w:szCs w:val="28"/>
          <w:lang w:eastAsia="pt-BR"/>
        </w:rPr>
        <w:t>UMA DISCUSSÃO SOBRE NÚCLEOS URBANOS INFORMAIS DE INTERESSE ESPECÍFICO NA ZONA RURAL:</w:t>
      </w:r>
      <w:r>
        <w:rPr>
          <w:rFonts w:ascii="Times New Roman" w:eastAsia="Times New Roman" w:hAnsi="Times New Roman" w:cs="Times New Roman"/>
          <w:b/>
          <w:sz w:val="28"/>
          <w:szCs w:val="28"/>
          <w:lang w:eastAsia="pt-BR"/>
        </w:rPr>
        <w:t xml:space="preserve"> </w:t>
      </w:r>
      <w:r w:rsidRPr="00AD1CD4">
        <w:rPr>
          <w:rFonts w:ascii="Times New Roman" w:eastAsia="Times New Roman" w:hAnsi="Times New Roman" w:cs="Times New Roman"/>
          <w:b/>
          <w:sz w:val="28"/>
          <w:szCs w:val="28"/>
          <w:lang w:eastAsia="pt-BR"/>
        </w:rPr>
        <w:t>PROBLEMÁTICAS EM RELAÇÃO À LOCALIZAÇÃO E ASPECTOS DA REGULARIZAÇÃO FUNDIÁRIA</w:t>
      </w:r>
    </w:p>
    <w:p w14:paraId="329E79D9" w14:textId="77777777" w:rsidR="00786F11" w:rsidRPr="00AD1CD4" w:rsidRDefault="005E28F7" w:rsidP="0036611B">
      <w:pPr>
        <w:pStyle w:val="Ttulo"/>
        <w:spacing w:line="360" w:lineRule="auto"/>
        <w:jc w:val="both"/>
        <w:rPr>
          <w:rFonts w:ascii="Times New Roman" w:hAnsi="Times New Roman"/>
          <w:sz w:val="24"/>
          <w:lang w:val="pt-BR"/>
        </w:rPr>
      </w:pPr>
      <w:r w:rsidRPr="00AD1CD4">
        <w:rPr>
          <w:rFonts w:ascii="Times New Roman" w:hAnsi="Times New Roman"/>
          <w:sz w:val="24"/>
          <w:lang w:val="pt-BR"/>
        </w:rPr>
        <w:t>RESUMO</w:t>
      </w:r>
    </w:p>
    <w:p w14:paraId="355CB3D4" w14:textId="33389E69" w:rsidR="00FF34A2" w:rsidRDefault="00EA799E" w:rsidP="00D64482">
      <w:pPr>
        <w:spacing w:after="0" w:line="240" w:lineRule="auto"/>
        <w:jc w:val="both"/>
        <w:rPr>
          <w:rFonts w:ascii="Times New Roman" w:hAnsi="Times New Roman" w:cs="Times New Roman"/>
          <w:sz w:val="24"/>
        </w:rPr>
      </w:pPr>
      <w:r>
        <w:rPr>
          <w:rFonts w:ascii="Times New Roman" w:hAnsi="Times New Roman" w:cs="Times New Roman"/>
          <w:sz w:val="24"/>
        </w:rPr>
        <w:t>A u</w:t>
      </w:r>
      <w:r w:rsidR="00150854">
        <w:rPr>
          <w:rFonts w:ascii="Times New Roman" w:hAnsi="Times New Roman" w:cs="Times New Roman"/>
          <w:sz w:val="24"/>
        </w:rPr>
        <w:t>rbanização</w:t>
      </w:r>
      <w:r w:rsidR="002D40DA">
        <w:rPr>
          <w:rFonts w:ascii="Times New Roman" w:hAnsi="Times New Roman" w:cs="Times New Roman"/>
          <w:sz w:val="24"/>
        </w:rPr>
        <w:t xml:space="preserve"> </w:t>
      </w:r>
      <w:r w:rsidR="007C6F94">
        <w:rPr>
          <w:rFonts w:ascii="Times New Roman" w:hAnsi="Times New Roman" w:cs="Times New Roman"/>
          <w:sz w:val="24"/>
        </w:rPr>
        <w:t>da zona rural</w:t>
      </w:r>
      <w:r w:rsidR="00150854">
        <w:rPr>
          <w:rFonts w:ascii="Times New Roman" w:hAnsi="Times New Roman" w:cs="Times New Roman"/>
          <w:sz w:val="24"/>
        </w:rPr>
        <w:t xml:space="preserve"> nem sempre se dá de maneira adequada</w:t>
      </w:r>
      <w:r w:rsidR="00222E4A">
        <w:rPr>
          <w:rFonts w:ascii="Times New Roman" w:hAnsi="Times New Roman" w:cs="Times New Roman"/>
          <w:sz w:val="24"/>
        </w:rPr>
        <w:t>.</w:t>
      </w:r>
      <w:r w:rsidR="00150854">
        <w:rPr>
          <w:rFonts w:ascii="Times New Roman" w:hAnsi="Times New Roman" w:cs="Times New Roman"/>
          <w:sz w:val="24"/>
        </w:rPr>
        <w:t xml:space="preserve"> </w:t>
      </w:r>
      <w:r w:rsidR="00222E4A">
        <w:rPr>
          <w:rFonts w:ascii="Times New Roman" w:hAnsi="Times New Roman" w:cs="Times New Roman"/>
          <w:sz w:val="24"/>
        </w:rPr>
        <w:t>O p</w:t>
      </w:r>
      <w:r w:rsidR="00150854">
        <w:rPr>
          <w:rFonts w:ascii="Times New Roman" w:hAnsi="Times New Roman" w:cs="Times New Roman"/>
          <w:sz w:val="24"/>
        </w:rPr>
        <w:t>arcelamento irregular</w:t>
      </w:r>
      <w:r w:rsidR="00222E4A">
        <w:rPr>
          <w:rFonts w:ascii="Times New Roman" w:hAnsi="Times New Roman" w:cs="Times New Roman"/>
          <w:sz w:val="24"/>
        </w:rPr>
        <w:t xml:space="preserve"> dá origem a n</w:t>
      </w:r>
      <w:r w:rsidR="007C6F94">
        <w:rPr>
          <w:rFonts w:ascii="Times New Roman" w:hAnsi="Times New Roman" w:cs="Times New Roman"/>
          <w:sz w:val="24"/>
        </w:rPr>
        <w:t xml:space="preserve">úcleos urbanos informais </w:t>
      </w:r>
      <w:r w:rsidR="007B064F">
        <w:rPr>
          <w:rFonts w:ascii="Times New Roman" w:hAnsi="Times New Roman" w:cs="Times New Roman"/>
          <w:sz w:val="24"/>
        </w:rPr>
        <w:t>de interesse específico n</w:t>
      </w:r>
      <w:r w:rsidR="007C6F94">
        <w:rPr>
          <w:rFonts w:ascii="Times New Roman" w:hAnsi="Times New Roman" w:cs="Times New Roman"/>
          <w:sz w:val="24"/>
        </w:rPr>
        <w:t>a zona rural</w:t>
      </w:r>
      <w:r w:rsidR="00222E4A">
        <w:rPr>
          <w:rFonts w:ascii="Times New Roman" w:hAnsi="Times New Roman" w:cs="Times New Roman"/>
          <w:sz w:val="24"/>
        </w:rPr>
        <w:t>, os quais</w:t>
      </w:r>
      <w:r w:rsidR="00150854">
        <w:rPr>
          <w:rFonts w:ascii="Times New Roman" w:hAnsi="Times New Roman" w:cs="Times New Roman"/>
          <w:sz w:val="24"/>
        </w:rPr>
        <w:t xml:space="preserve"> possuem característica atípica: </w:t>
      </w:r>
      <w:r w:rsidR="007B064F">
        <w:rPr>
          <w:rFonts w:ascii="Times New Roman" w:hAnsi="Times New Roman" w:cs="Times New Roman"/>
          <w:sz w:val="24"/>
        </w:rPr>
        <w:t>o</w:t>
      </w:r>
      <w:r w:rsidR="00150854">
        <w:rPr>
          <w:rFonts w:ascii="Times New Roman" w:hAnsi="Times New Roman" w:cs="Times New Roman"/>
          <w:sz w:val="24"/>
        </w:rPr>
        <w:t xml:space="preserve">s ocupantes </w:t>
      </w:r>
      <w:r w:rsidR="007B064F">
        <w:rPr>
          <w:rFonts w:ascii="Times New Roman" w:hAnsi="Times New Roman" w:cs="Times New Roman"/>
          <w:sz w:val="24"/>
        </w:rPr>
        <w:t>têm</w:t>
      </w:r>
      <w:r w:rsidR="00150854">
        <w:rPr>
          <w:rFonts w:ascii="Times New Roman" w:hAnsi="Times New Roman" w:cs="Times New Roman"/>
          <w:sz w:val="24"/>
        </w:rPr>
        <w:t xml:space="preserve"> poder aquisitivo e não estão em vulnerabilidade social</w:t>
      </w:r>
      <w:r w:rsidR="00922586">
        <w:rPr>
          <w:rFonts w:ascii="Times New Roman" w:hAnsi="Times New Roman" w:cs="Times New Roman"/>
          <w:sz w:val="24"/>
        </w:rPr>
        <w:t xml:space="preserve">. </w:t>
      </w:r>
      <w:r w:rsidR="007B064F">
        <w:rPr>
          <w:rFonts w:ascii="Times New Roman" w:hAnsi="Times New Roman" w:cs="Times New Roman"/>
          <w:sz w:val="24"/>
        </w:rPr>
        <w:t>Sobre</w:t>
      </w:r>
      <w:r w:rsidR="007C6F94">
        <w:rPr>
          <w:rFonts w:ascii="Times New Roman" w:hAnsi="Times New Roman" w:cs="Times New Roman"/>
          <w:sz w:val="24"/>
        </w:rPr>
        <w:t xml:space="preserve"> este tipo de ocupação não há extensa literatura</w:t>
      </w:r>
      <w:r w:rsidR="00AB626B">
        <w:rPr>
          <w:rFonts w:ascii="Times New Roman" w:hAnsi="Times New Roman" w:cs="Times New Roman"/>
          <w:sz w:val="24"/>
        </w:rPr>
        <w:t xml:space="preserve">, embora </w:t>
      </w:r>
      <w:r w:rsidR="007B064F">
        <w:rPr>
          <w:rFonts w:ascii="Times New Roman" w:hAnsi="Times New Roman" w:cs="Times New Roman"/>
          <w:sz w:val="24"/>
        </w:rPr>
        <w:t xml:space="preserve">os casos </w:t>
      </w:r>
      <w:r w:rsidR="00922586">
        <w:rPr>
          <w:rFonts w:ascii="Times New Roman" w:hAnsi="Times New Roman" w:cs="Times New Roman"/>
          <w:sz w:val="24"/>
        </w:rPr>
        <w:t>se multipli</w:t>
      </w:r>
      <w:r w:rsidR="007B064F">
        <w:rPr>
          <w:rFonts w:ascii="Times New Roman" w:hAnsi="Times New Roman" w:cs="Times New Roman"/>
          <w:sz w:val="24"/>
        </w:rPr>
        <w:t>quem</w:t>
      </w:r>
      <w:r w:rsidR="00922586">
        <w:rPr>
          <w:rFonts w:ascii="Times New Roman" w:hAnsi="Times New Roman" w:cs="Times New Roman"/>
          <w:sz w:val="24"/>
        </w:rPr>
        <w:t xml:space="preserve"> pelo território</w:t>
      </w:r>
      <w:r w:rsidR="00801C68">
        <w:rPr>
          <w:rFonts w:ascii="Times New Roman" w:hAnsi="Times New Roman" w:cs="Times New Roman"/>
          <w:sz w:val="24"/>
        </w:rPr>
        <w:t xml:space="preserve"> rural</w:t>
      </w:r>
      <w:r w:rsidR="00AB626B">
        <w:rPr>
          <w:rFonts w:ascii="Times New Roman" w:hAnsi="Times New Roman" w:cs="Times New Roman"/>
          <w:sz w:val="24"/>
        </w:rPr>
        <w:t>.</w:t>
      </w:r>
      <w:r w:rsidR="00AA039F">
        <w:rPr>
          <w:rFonts w:ascii="Times New Roman" w:hAnsi="Times New Roman" w:cs="Times New Roman"/>
          <w:sz w:val="24"/>
        </w:rPr>
        <w:t xml:space="preserve"> </w:t>
      </w:r>
      <w:r w:rsidR="007B064F">
        <w:rPr>
          <w:rFonts w:ascii="Times New Roman" w:hAnsi="Times New Roman" w:cs="Times New Roman"/>
          <w:sz w:val="24"/>
        </w:rPr>
        <w:t>Após</w:t>
      </w:r>
      <w:r w:rsidR="00D64482">
        <w:rPr>
          <w:rFonts w:ascii="Times New Roman" w:hAnsi="Times New Roman" w:cs="Times New Roman"/>
          <w:sz w:val="24"/>
        </w:rPr>
        <w:t xml:space="preserve"> revisão bibliográfica</w:t>
      </w:r>
      <w:r w:rsidR="00AA039F">
        <w:rPr>
          <w:rFonts w:ascii="Times New Roman" w:hAnsi="Times New Roman" w:cs="Times New Roman"/>
          <w:sz w:val="24"/>
        </w:rPr>
        <w:t>,</w:t>
      </w:r>
      <w:r w:rsidR="00D64482">
        <w:rPr>
          <w:rFonts w:ascii="Times New Roman" w:hAnsi="Times New Roman" w:cs="Times New Roman"/>
          <w:sz w:val="24"/>
        </w:rPr>
        <w:t xml:space="preserve"> consulta à legislação, </w:t>
      </w:r>
      <w:r w:rsidR="00AA039F">
        <w:rPr>
          <w:rFonts w:ascii="Times New Roman" w:hAnsi="Times New Roman" w:cs="Times New Roman"/>
          <w:sz w:val="24"/>
        </w:rPr>
        <w:t xml:space="preserve">e observação participante, </w:t>
      </w:r>
      <w:r w:rsidR="007B064F">
        <w:rPr>
          <w:rFonts w:ascii="Times New Roman" w:hAnsi="Times New Roman" w:cs="Times New Roman"/>
          <w:sz w:val="24"/>
        </w:rPr>
        <w:t>elencam-se</w:t>
      </w:r>
      <w:r w:rsidR="00D64482">
        <w:rPr>
          <w:rFonts w:ascii="Times New Roman" w:hAnsi="Times New Roman" w:cs="Times New Roman"/>
          <w:sz w:val="24"/>
        </w:rPr>
        <w:t xml:space="preserve"> aspectos </w:t>
      </w:r>
      <w:r w:rsidR="00AA039F">
        <w:rPr>
          <w:rFonts w:ascii="Times New Roman" w:hAnsi="Times New Roman" w:cs="Times New Roman"/>
          <w:sz w:val="24"/>
        </w:rPr>
        <w:t xml:space="preserve">relevantes </w:t>
      </w:r>
      <w:r w:rsidR="00222E4A">
        <w:rPr>
          <w:rFonts w:ascii="Times New Roman" w:hAnsi="Times New Roman" w:cs="Times New Roman"/>
          <w:sz w:val="24"/>
        </w:rPr>
        <w:t>a fim de</w:t>
      </w:r>
      <w:r w:rsidR="00222E4A" w:rsidRPr="00222E4A">
        <w:rPr>
          <w:rFonts w:ascii="Times New Roman" w:hAnsi="Times New Roman" w:cs="Times New Roman"/>
          <w:sz w:val="24"/>
        </w:rPr>
        <w:t xml:space="preserve"> </w:t>
      </w:r>
      <w:r w:rsidR="00222E4A">
        <w:rPr>
          <w:rFonts w:ascii="Times New Roman" w:hAnsi="Times New Roman" w:cs="Times New Roman"/>
          <w:sz w:val="24"/>
        </w:rPr>
        <w:t>contribuir para a compreensão geral do tema</w:t>
      </w:r>
      <w:r w:rsidR="002D40DA">
        <w:rPr>
          <w:rFonts w:ascii="Times New Roman" w:hAnsi="Times New Roman" w:cs="Times New Roman"/>
          <w:sz w:val="24"/>
        </w:rPr>
        <w:t>. Discute-se qual é</w:t>
      </w:r>
      <w:r w:rsidR="00AA039F">
        <w:rPr>
          <w:rFonts w:ascii="Times New Roman" w:hAnsi="Times New Roman" w:cs="Times New Roman"/>
          <w:sz w:val="24"/>
        </w:rPr>
        <w:t xml:space="preserve"> </w:t>
      </w:r>
      <w:r w:rsidR="007B064F">
        <w:rPr>
          <w:rFonts w:ascii="Times New Roman" w:hAnsi="Times New Roman" w:cs="Times New Roman"/>
          <w:sz w:val="24"/>
        </w:rPr>
        <w:t>a</w:t>
      </w:r>
      <w:r w:rsidR="00AA039F">
        <w:rPr>
          <w:rFonts w:ascii="Times New Roman" w:hAnsi="Times New Roman" w:cs="Times New Roman"/>
          <w:sz w:val="24"/>
        </w:rPr>
        <w:t xml:space="preserve"> motivação para o surgimento d</w:t>
      </w:r>
      <w:r w:rsidR="007B064F">
        <w:rPr>
          <w:rFonts w:ascii="Times New Roman" w:hAnsi="Times New Roman" w:cs="Times New Roman"/>
          <w:sz w:val="24"/>
        </w:rPr>
        <w:t>este tipo de ocupação</w:t>
      </w:r>
      <w:r w:rsidR="00CA18C2">
        <w:rPr>
          <w:rFonts w:ascii="Times New Roman" w:hAnsi="Times New Roman" w:cs="Times New Roman"/>
          <w:sz w:val="24"/>
        </w:rPr>
        <w:t>,</w:t>
      </w:r>
      <w:r w:rsidR="002D40DA">
        <w:rPr>
          <w:rFonts w:ascii="Times New Roman" w:hAnsi="Times New Roman" w:cs="Times New Roman"/>
          <w:sz w:val="24"/>
        </w:rPr>
        <w:t xml:space="preserve"> </w:t>
      </w:r>
      <w:r w:rsidR="00222E4A">
        <w:rPr>
          <w:rFonts w:ascii="Times New Roman" w:hAnsi="Times New Roman" w:cs="Times New Roman"/>
          <w:sz w:val="24"/>
        </w:rPr>
        <w:t>apontando-se</w:t>
      </w:r>
      <w:r w:rsidR="002D40DA">
        <w:rPr>
          <w:rFonts w:ascii="Times New Roman" w:hAnsi="Times New Roman" w:cs="Times New Roman"/>
          <w:sz w:val="24"/>
        </w:rPr>
        <w:t xml:space="preserve"> </w:t>
      </w:r>
      <w:r w:rsidR="00222E4A">
        <w:rPr>
          <w:rFonts w:ascii="Times New Roman" w:hAnsi="Times New Roman" w:cs="Times New Roman"/>
          <w:sz w:val="24"/>
        </w:rPr>
        <w:t>su</w:t>
      </w:r>
      <w:r w:rsidR="002D40DA">
        <w:rPr>
          <w:rFonts w:ascii="Times New Roman" w:hAnsi="Times New Roman" w:cs="Times New Roman"/>
          <w:sz w:val="24"/>
        </w:rPr>
        <w:t>as</w:t>
      </w:r>
      <w:r w:rsidR="00AA039F">
        <w:rPr>
          <w:rFonts w:ascii="Times New Roman" w:hAnsi="Times New Roman" w:cs="Times New Roman"/>
          <w:sz w:val="24"/>
        </w:rPr>
        <w:t xml:space="preserve"> consequências</w:t>
      </w:r>
      <w:r w:rsidR="00222E4A">
        <w:rPr>
          <w:rFonts w:ascii="Times New Roman" w:hAnsi="Times New Roman" w:cs="Times New Roman"/>
          <w:sz w:val="24"/>
        </w:rPr>
        <w:t xml:space="preserve"> e as </w:t>
      </w:r>
      <w:r w:rsidR="002D40DA">
        <w:rPr>
          <w:rFonts w:ascii="Times New Roman" w:hAnsi="Times New Roman" w:cs="Times New Roman"/>
          <w:sz w:val="24"/>
        </w:rPr>
        <w:t xml:space="preserve">classificando quanto à esfera </w:t>
      </w:r>
      <w:r w:rsidR="00222E4A">
        <w:rPr>
          <w:rFonts w:ascii="Times New Roman" w:hAnsi="Times New Roman" w:cs="Times New Roman"/>
          <w:sz w:val="24"/>
        </w:rPr>
        <w:t>que atingem</w:t>
      </w:r>
      <w:r w:rsidR="00CA18C2">
        <w:rPr>
          <w:rFonts w:ascii="Times New Roman" w:hAnsi="Times New Roman" w:cs="Times New Roman"/>
          <w:sz w:val="24"/>
        </w:rPr>
        <w:t>.</w:t>
      </w:r>
      <w:r w:rsidR="00970654">
        <w:rPr>
          <w:rFonts w:ascii="Times New Roman" w:hAnsi="Times New Roman" w:cs="Times New Roman"/>
          <w:sz w:val="24"/>
        </w:rPr>
        <w:t xml:space="preserve"> </w:t>
      </w:r>
      <w:r w:rsidR="001C5F3E">
        <w:rPr>
          <w:rFonts w:ascii="Times New Roman" w:hAnsi="Times New Roman" w:cs="Times New Roman"/>
          <w:sz w:val="24"/>
        </w:rPr>
        <w:t>O</w:t>
      </w:r>
      <w:r w:rsidR="007B064F">
        <w:rPr>
          <w:rFonts w:ascii="Times New Roman" w:hAnsi="Times New Roman" w:cs="Times New Roman"/>
          <w:sz w:val="24"/>
        </w:rPr>
        <w:t xml:space="preserve"> tipo de</w:t>
      </w:r>
      <w:r w:rsidR="001C5F3E">
        <w:rPr>
          <w:rFonts w:ascii="Times New Roman" w:hAnsi="Times New Roman" w:cs="Times New Roman"/>
          <w:sz w:val="24"/>
        </w:rPr>
        <w:t xml:space="preserve"> núcleo </w:t>
      </w:r>
      <w:r w:rsidR="007B064F">
        <w:rPr>
          <w:rFonts w:ascii="Times New Roman" w:hAnsi="Times New Roman" w:cs="Times New Roman"/>
          <w:sz w:val="24"/>
        </w:rPr>
        <w:t>retratado</w:t>
      </w:r>
      <w:r w:rsidR="001C5F3E">
        <w:rPr>
          <w:rFonts w:ascii="Times New Roman" w:hAnsi="Times New Roman" w:cs="Times New Roman"/>
          <w:sz w:val="24"/>
        </w:rPr>
        <w:t xml:space="preserve"> compromete o </w:t>
      </w:r>
      <w:r w:rsidR="00801C68">
        <w:rPr>
          <w:rFonts w:ascii="Times New Roman" w:hAnsi="Times New Roman" w:cs="Times New Roman"/>
          <w:sz w:val="24"/>
        </w:rPr>
        <w:t>ordenamento</w:t>
      </w:r>
      <w:r w:rsidR="001C5F3E">
        <w:rPr>
          <w:rFonts w:ascii="Times New Roman" w:hAnsi="Times New Roman" w:cs="Times New Roman"/>
          <w:sz w:val="24"/>
        </w:rPr>
        <w:t xml:space="preserve"> urbano e o desenvolvimento sustentável</w:t>
      </w:r>
      <w:r w:rsidR="00801C68">
        <w:rPr>
          <w:rFonts w:ascii="Times New Roman" w:hAnsi="Times New Roman" w:cs="Times New Roman"/>
          <w:sz w:val="24"/>
        </w:rPr>
        <w:t xml:space="preserve"> da cidade, devendo ser fiscalizado e coibido</w:t>
      </w:r>
      <w:r w:rsidR="001C5F3E">
        <w:rPr>
          <w:rFonts w:ascii="Times New Roman" w:hAnsi="Times New Roman" w:cs="Times New Roman"/>
          <w:sz w:val="24"/>
        </w:rPr>
        <w:t xml:space="preserve">. </w:t>
      </w:r>
      <w:r w:rsidR="00B614DE">
        <w:rPr>
          <w:rFonts w:ascii="Times New Roman" w:hAnsi="Times New Roman" w:cs="Times New Roman"/>
          <w:sz w:val="24"/>
        </w:rPr>
        <w:t>Conclui-se que, para o caso em tela, a</w:t>
      </w:r>
      <w:r w:rsidR="001C5F3E">
        <w:rPr>
          <w:rFonts w:ascii="Times New Roman" w:hAnsi="Times New Roman" w:cs="Times New Roman"/>
          <w:sz w:val="24"/>
        </w:rPr>
        <w:t xml:space="preserve"> regularização fundiária </w:t>
      </w:r>
      <w:r w:rsidR="00B614DE">
        <w:rPr>
          <w:rFonts w:ascii="Times New Roman" w:hAnsi="Times New Roman" w:cs="Times New Roman"/>
          <w:sz w:val="24"/>
        </w:rPr>
        <w:t>pode ser empregada como</w:t>
      </w:r>
      <w:r w:rsidR="001C5F3E">
        <w:rPr>
          <w:rFonts w:ascii="Times New Roman" w:hAnsi="Times New Roman" w:cs="Times New Roman"/>
          <w:sz w:val="24"/>
        </w:rPr>
        <w:t xml:space="preserve"> ferramenta de mitigação dos danos e garantia de direitos</w:t>
      </w:r>
      <w:r w:rsidR="00B614DE">
        <w:rPr>
          <w:rFonts w:ascii="Times New Roman" w:hAnsi="Times New Roman" w:cs="Times New Roman"/>
          <w:sz w:val="24"/>
        </w:rPr>
        <w:t>.</w:t>
      </w:r>
    </w:p>
    <w:p w14:paraId="67949295" w14:textId="77777777" w:rsidR="00D64482" w:rsidRDefault="00D64482" w:rsidP="00D64482">
      <w:pPr>
        <w:spacing w:after="0" w:line="240" w:lineRule="auto"/>
        <w:jc w:val="both"/>
        <w:rPr>
          <w:rFonts w:ascii="Times New Roman" w:hAnsi="Times New Roman" w:cs="Times New Roman"/>
          <w:sz w:val="24"/>
        </w:rPr>
      </w:pPr>
    </w:p>
    <w:p w14:paraId="3A5DAA69" w14:textId="70C26A36" w:rsidR="00786F11" w:rsidRDefault="005E28F7" w:rsidP="0036611B">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C00BFC">
        <w:rPr>
          <w:rFonts w:ascii="Times New Roman" w:hAnsi="Times New Roman" w:cs="Times New Roman"/>
          <w:sz w:val="24"/>
          <w:szCs w:val="24"/>
        </w:rPr>
        <w:t>U</w:t>
      </w:r>
      <w:r w:rsidR="00C00BFC" w:rsidRPr="00C00BFC">
        <w:rPr>
          <w:rFonts w:ascii="Times New Roman" w:hAnsi="Times New Roman" w:cs="Times New Roman"/>
          <w:sz w:val="24"/>
          <w:szCs w:val="24"/>
        </w:rPr>
        <w:t xml:space="preserve">rbanização; </w:t>
      </w:r>
      <w:r w:rsidR="00C00BFC">
        <w:rPr>
          <w:rFonts w:ascii="Times New Roman" w:hAnsi="Times New Roman" w:cs="Times New Roman"/>
          <w:sz w:val="24"/>
          <w:szCs w:val="24"/>
        </w:rPr>
        <w:t>N</w:t>
      </w:r>
      <w:r w:rsidR="00C00BFC" w:rsidRPr="00C00BFC">
        <w:rPr>
          <w:rFonts w:ascii="Times New Roman" w:hAnsi="Times New Roman" w:cs="Times New Roman"/>
          <w:sz w:val="24"/>
          <w:szCs w:val="24"/>
        </w:rPr>
        <w:t xml:space="preserve">úcleo </w:t>
      </w:r>
      <w:r w:rsidR="00C00BFC">
        <w:rPr>
          <w:rFonts w:ascii="Times New Roman" w:hAnsi="Times New Roman" w:cs="Times New Roman"/>
          <w:sz w:val="24"/>
          <w:szCs w:val="24"/>
        </w:rPr>
        <w:t>U</w:t>
      </w:r>
      <w:r w:rsidR="00C00BFC" w:rsidRPr="00C00BFC">
        <w:rPr>
          <w:rFonts w:ascii="Times New Roman" w:hAnsi="Times New Roman" w:cs="Times New Roman"/>
          <w:sz w:val="24"/>
          <w:szCs w:val="24"/>
        </w:rPr>
        <w:t xml:space="preserve">rbano </w:t>
      </w:r>
      <w:r w:rsidR="00C00BFC">
        <w:rPr>
          <w:rFonts w:ascii="Times New Roman" w:hAnsi="Times New Roman" w:cs="Times New Roman"/>
          <w:sz w:val="24"/>
          <w:szCs w:val="24"/>
        </w:rPr>
        <w:t>I</w:t>
      </w:r>
      <w:r w:rsidR="00C00BFC" w:rsidRPr="00C00BFC">
        <w:rPr>
          <w:rFonts w:ascii="Times New Roman" w:hAnsi="Times New Roman" w:cs="Times New Roman"/>
          <w:sz w:val="24"/>
          <w:szCs w:val="24"/>
        </w:rPr>
        <w:t xml:space="preserve">nformal; </w:t>
      </w:r>
      <w:r w:rsidR="00C00BFC">
        <w:rPr>
          <w:rFonts w:ascii="Times New Roman" w:hAnsi="Times New Roman" w:cs="Times New Roman"/>
          <w:sz w:val="24"/>
          <w:szCs w:val="24"/>
        </w:rPr>
        <w:t>I</w:t>
      </w:r>
      <w:r w:rsidR="00C00BFC" w:rsidRPr="00C00BFC">
        <w:rPr>
          <w:rFonts w:ascii="Times New Roman" w:hAnsi="Times New Roman" w:cs="Times New Roman"/>
          <w:sz w:val="24"/>
          <w:szCs w:val="24"/>
        </w:rPr>
        <w:t xml:space="preserve">nteresse </w:t>
      </w:r>
      <w:r w:rsidR="00C00BFC">
        <w:rPr>
          <w:rFonts w:ascii="Times New Roman" w:hAnsi="Times New Roman" w:cs="Times New Roman"/>
          <w:sz w:val="24"/>
          <w:szCs w:val="24"/>
        </w:rPr>
        <w:t>E</w:t>
      </w:r>
      <w:r w:rsidR="00C00BFC" w:rsidRPr="00C00BFC">
        <w:rPr>
          <w:rFonts w:ascii="Times New Roman" w:hAnsi="Times New Roman" w:cs="Times New Roman"/>
          <w:sz w:val="24"/>
          <w:szCs w:val="24"/>
        </w:rPr>
        <w:t xml:space="preserve">specífico; </w:t>
      </w:r>
      <w:r w:rsidR="00C00BFC">
        <w:rPr>
          <w:rFonts w:ascii="Times New Roman" w:hAnsi="Times New Roman" w:cs="Times New Roman"/>
          <w:sz w:val="24"/>
          <w:szCs w:val="24"/>
        </w:rPr>
        <w:t>Z</w:t>
      </w:r>
      <w:r w:rsidR="00C00BFC" w:rsidRPr="00C00BFC">
        <w:rPr>
          <w:rFonts w:ascii="Times New Roman" w:hAnsi="Times New Roman" w:cs="Times New Roman"/>
          <w:sz w:val="24"/>
          <w:szCs w:val="24"/>
        </w:rPr>
        <w:t xml:space="preserve">ona </w:t>
      </w:r>
      <w:r w:rsidR="00C00BFC">
        <w:rPr>
          <w:rFonts w:ascii="Times New Roman" w:hAnsi="Times New Roman" w:cs="Times New Roman"/>
          <w:sz w:val="24"/>
          <w:szCs w:val="24"/>
        </w:rPr>
        <w:t>R</w:t>
      </w:r>
      <w:r w:rsidR="00C00BFC" w:rsidRPr="00C00BFC">
        <w:rPr>
          <w:rFonts w:ascii="Times New Roman" w:hAnsi="Times New Roman" w:cs="Times New Roman"/>
          <w:sz w:val="24"/>
          <w:szCs w:val="24"/>
        </w:rPr>
        <w:t xml:space="preserve">ural; </w:t>
      </w:r>
      <w:r w:rsidR="00C00BFC">
        <w:rPr>
          <w:rFonts w:ascii="Times New Roman" w:hAnsi="Times New Roman" w:cs="Times New Roman"/>
          <w:sz w:val="24"/>
          <w:szCs w:val="24"/>
        </w:rPr>
        <w:t>R</w:t>
      </w:r>
      <w:r w:rsidR="00C00BFC" w:rsidRPr="00C00BFC">
        <w:rPr>
          <w:rFonts w:ascii="Times New Roman" w:hAnsi="Times New Roman" w:cs="Times New Roman"/>
          <w:sz w:val="24"/>
          <w:szCs w:val="24"/>
        </w:rPr>
        <w:t xml:space="preserve">egularização </w:t>
      </w:r>
      <w:r w:rsidR="00C00BFC">
        <w:rPr>
          <w:rFonts w:ascii="Times New Roman" w:hAnsi="Times New Roman" w:cs="Times New Roman"/>
          <w:sz w:val="24"/>
          <w:szCs w:val="24"/>
        </w:rPr>
        <w:t>F</w:t>
      </w:r>
      <w:r w:rsidR="00C00BFC" w:rsidRPr="00C00BFC">
        <w:rPr>
          <w:rFonts w:ascii="Times New Roman" w:hAnsi="Times New Roman" w:cs="Times New Roman"/>
          <w:sz w:val="24"/>
          <w:szCs w:val="24"/>
        </w:rPr>
        <w:t>undiária</w:t>
      </w:r>
      <w:r w:rsidR="00D64482">
        <w:rPr>
          <w:rFonts w:ascii="Times New Roman" w:hAnsi="Times New Roman" w:cs="Times New Roman"/>
          <w:sz w:val="24"/>
          <w:szCs w:val="24"/>
        </w:rPr>
        <w:t>.</w:t>
      </w:r>
    </w:p>
    <w:p w14:paraId="365F3E6F" w14:textId="77777777" w:rsidR="00786F11" w:rsidRDefault="00786F11" w:rsidP="0036611B">
      <w:pPr>
        <w:spacing w:after="0" w:line="360" w:lineRule="auto"/>
        <w:jc w:val="both"/>
        <w:rPr>
          <w:rFonts w:ascii="Times New Roman" w:hAnsi="Times New Roman" w:cs="Times New Roman"/>
          <w:sz w:val="24"/>
          <w:szCs w:val="24"/>
        </w:rPr>
      </w:pPr>
    </w:p>
    <w:p w14:paraId="7EEAFC51" w14:textId="75011BAA" w:rsidR="00786F11" w:rsidRDefault="005E28F7" w:rsidP="0036611B">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GT N</w:t>
      </w:r>
      <w:r w:rsidR="005B0CEB">
        <w:rPr>
          <w:rFonts w:ascii="Times New Roman" w:hAnsi="Times New Roman" w:cs="Times New Roman"/>
          <w:b/>
          <w:bCs/>
          <w:sz w:val="24"/>
          <w:szCs w:val="24"/>
        </w:rPr>
        <w:t>º</w:t>
      </w:r>
      <w:r>
        <w:rPr>
          <w:rFonts w:ascii="Times New Roman" w:hAnsi="Times New Roman" w:cs="Times New Roman"/>
          <w:b/>
          <w:bCs/>
          <w:sz w:val="24"/>
          <w:szCs w:val="24"/>
        </w:rPr>
        <w:t xml:space="preserve"> </w:t>
      </w:r>
      <w:r w:rsidR="005B0CEB">
        <w:rPr>
          <w:rFonts w:ascii="Times New Roman" w:hAnsi="Times New Roman" w:cs="Times New Roman"/>
          <w:b/>
          <w:bCs/>
          <w:sz w:val="24"/>
          <w:szCs w:val="24"/>
        </w:rPr>
        <w:t>3</w:t>
      </w:r>
      <w:r>
        <w:rPr>
          <w:rFonts w:ascii="Times New Roman" w:hAnsi="Times New Roman" w:cs="Times New Roman"/>
          <w:sz w:val="24"/>
          <w:szCs w:val="24"/>
        </w:rPr>
        <w:t xml:space="preserve">: </w:t>
      </w:r>
      <w:r w:rsidR="005B0CEB" w:rsidRPr="005B0CEB">
        <w:rPr>
          <w:rFonts w:ascii="Times New Roman" w:hAnsi="Times New Roman" w:cs="Times New Roman"/>
          <w:sz w:val="24"/>
          <w:szCs w:val="24"/>
        </w:rPr>
        <w:t>Dinâmicas socioeconômicas do Território</w:t>
      </w:r>
      <w:r w:rsidR="005B0CEB">
        <w:rPr>
          <w:rFonts w:ascii="Times New Roman" w:hAnsi="Times New Roman" w:cs="Times New Roman"/>
          <w:sz w:val="24"/>
          <w:szCs w:val="24"/>
        </w:rPr>
        <w:t>.</w:t>
      </w:r>
    </w:p>
    <w:p w14:paraId="17DEA105" w14:textId="77777777" w:rsidR="00786F11" w:rsidRDefault="00786F11" w:rsidP="0036611B">
      <w:pPr>
        <w:spacing w:after="0" w:line="360" w:lineRule="auto"/>
        <w:jc w:val="both"/>
        <w:rPr>
          <w:rFonts w:ascii="Times New Roman" w:hAnsi="Times New Roman" w:cs="Times New Roman"/>
          <w:sz w:val="24"/>
          <w:szCs w:val="24"/>
        </w:rPr>
      </w:pPr>
    </w:p>
    <w:p w14:paraId="52D3FE61" w14:textId="77777777" w:rsidR="00786F11" w:rsidRDefault="005E28F7" w:rsidP="0036611B">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5BFD0ECD" w14:textId="77777777" w:rsidR="0036611B" w:rsidRPr="0036611B" w:rsidRDefault="0036611B" w:rsidP="0036611B">
      <w:pPr>
        <w:spacing w:after="0" w:line="360" w:lineRule="auto"/>
        <w:ind w:firstLine="709"/>
        <w:jc w:val="both"/>
        <w:rPr>
          <w:rFonts w:ascii="Times New Roman" w:hAnsi="Times New Roman" w:cs="Times New Roman"/>
          <w:sz w:val="24"/>
          <w:szCs w:val="24"/>
        </w:rPr>
      </w:pPr>
      <w:r w:rsidRPr="0036611B">
        <w:rPr>
          <w:rFonts w:ascii="Times New Roman" w:hAnsi="Times New Roman" w:cs="Times New Roman"/>
          <w:sz w:val="24"/>
          <w:szCs w:val="24"/>
        </w:rPr>
        <w:t>Ao mencionar irregularidade fundiária, a primeira imagem que vem à mente é de assentamentos humanos densamente ocupados de modo desorganizado, geralmente inseridos dentro do perímetro urbano das cidades, por vezes em áreas impróprias. Isto porque, nas grandes cidades, a irregularidade fundiária está diretamente ligada à ocupação por população de baixa renda (BELETATO, 2018).</w:t>
      </w:r>
    </w:p>
    <w:p w14:paraId="162DAB50" w14:textId="77777777" w:rsidR="0036611B" w:rsidRPr="0036611B" w:rsidRDefault="0036611B" w:rsidP="0036611B">
      <w:pPr>
        <w:spacing w:after="0" w:line="360" w:lineRule="auto"/>
        <w:ind w:firstLine="709"/>
        <w:jc w:val="both"/>
        <w:rPr>
          <w:rFonts w:ascii="Times New Roman" w:hAnsi="Times New Roman" w:cs="Times New Roman"/>
          <w:sz w:val="24"/>
          <w:szCs w:val="24"/>
        </w:rPr>
      </w:pPr>
      <w:r w:rsidRPr="0036611B">
        <w:rPr>
          <w:rFonts w:ascii="Times New Roman" w:hAnsi="Times New Roman" w:cs="Times New Roman"/>
          <w:sz w:val="24"/>
          <w:szCs w:val="24"/>
        </w:rPr>
        <w:t>Em cidades não inseridas em grandes metrópoles, com menor porte, e em cidades com vocação turística em especial, é possível identificar que a irregularidade fundiária urbana se dá também na zona rural, afastada do centro urbano e esparsa (SANTORO, 2014). Assim, o retrato da irregularidade fundiária neste caso se conforma de maneira diversa da paisagem encontrada em grandes cidades.</w:t>
      </w:r>
    </w:p>
    <w:p w14:paraId="7111D18F" w14:textId="77777777" w:rsidR="0036611B" w:rsidRPr="0036611B" w:rsidRDefault="0036611B" w:rsidP="0036611B">
      <w:pPr>
        <w:spacing w:after="0" w:line="360" w:lineRule="auto"/>
        <w:ind w:firstLine="709"/>
        <w:jc w:val="both"/>
        <w:rPr>
          <w:rFonts w:ascii="Times New Roman" w:hAnsi="Times New Roman" w:cs="Times New Roman"/>
          <w:sz w:val="24"/>
          <w:szCs w:val="24"/>
        </w:rPr>
      </w:pPr>
      <w:r w:rsidRPr="0036611B">
        <w:rPr>
          <w:rFonts w:ascii="Times New Roman" w:hAnsi="Times New Roman" w:cs="Times New Roman"/>
          <w:sz w:val="24"/>
          <w:szCs w:val="24"/>
        </w:rPr>
        <w:lastRenderedPageBreak/>
        <w:t>Não é incomum observar a ocupação com finalidade urbana das áreas rurais localizadas nas franjas da cidade, na área de transição entre urbano e rural. Os termos comumente utilizados pela população para referir-se a este tipo de ocupação informal são “chácaras de lazer”, “sítios de recreio”, “condomínio rural”, “condomínio de chácaras”, “ranchos de recreio” e variações destes termos. Esse modelo de ocupação é, de modo recorrente, promovido pelos próprios titulares de domínio na forma de parcelamento irregular e clandestino.</w:t>
      </w:r>
    </w:p>
    <w:p w14:paraId="53A14F50" w14:textId="77777777" w:rsidR="0036611B" w:rsidRPr="0036611B" w:rsidRDefault="0036611B" w:rsidP="0036611B">
      <w:pPr>
        <w:spacing w:after="0" w:line="360" w:lineRule="auto"/>
        <w:ind w:firstLine="709"/>
        <w:jc w:val="both"/>
        <w:rPr>
          <w:rFonts w:ascii="Times New Roman" w:hAnsi="Times New Roman" w:cs="Times New Roman"/>
          <w:sz w:val="24"/>
          <w:szCs w:val="24"/>
        </w:rPr>
      </w:pPr>
      <w:r w:rsidRPr="0036611B">
        <w:rPr>
          <w:rFonts w:ascii="Times New Roman" w:hAnsi="Times New Roman" w:cs="Times New Roman"/>
          <w:sz w:val="24"/>
          <w:szCs w:val="24"/>
        </w:rPr>
        <w:t>Estes parcelamentos são implantados em zona incompatível (rural), sem planejamento adequado, e comprometem o desenvolvimento sustentável da cidade, pois não dispõem de infraestrutura básica, não passam pelo procedimento de aprovação e licenciamento e não observam os padrões de desenvolvimento urbano determinados pelo Plano Diretor da cidade.</w:t>
      </w:r>
    </w:p>
    <w:p w14:paraId="05E76B30" w14:textId="4B4E8A87" w:rsidR="00786F11" w:rsidRDefault="0036611B" w:rsidP="0036611B">
      <w:pPr>
        <w:spacing w:after="0" w:line="360" w:lineRule="auto"/>
        <w:ind w:firstLine="709"/>
        <w:jc w:val="both"/>
        <w:rPr>
          <w:rFonts w:ascii="Times New Roman" w:hAnsi="Times New Roman" w:cs="Times New Roman"/>
          <w:sz w:val="24"/>
          <w:szCs w:val="24"/>
        </w:rPr>
      </w:pPr>
      <w:r w:rsidRPr="0036611B">
        <w:rPr>
          <w:rFonts w:ascii="Times New Roman" w:hAnsi="Times New Roman" w:cs="Times New Roman"/>
          <w:sz w:val="24"/>
          <w:szCs w:val="24"/>
        </w:rPr>
        <w:t>A literatura acerca da informalidade fundiária urbana relacionada à população de baixa renda é ampla e extensa. Em contraponto, há poucas pesquisas focadas em núcleos urbanos informais sem interesse social localizados na zona rural, nas bordas da mancha urbana dos municípios. Todavia, considerando que a existência de núcleos urbanos na zona rural se trata de uma anomalia urbanística, é importante questionar sua natureza, analisando quais são suas consequências.</w:t>
      </w:r>
    </w:p>
    <w:p w14:paraId="05B5C448" w14:textId="77777777" w:rsidR="00395D29" w:rsidRPr="00395D29" w:rsidRDefault="00395D29" w:rsidP="00395D29">
      <w:pPr>
        <w:spacing w:after="0" w:line="360" w:lineRule="auto"/>
        <w:ind w:firstLine="709"/>
        <w:jc w:val="both"/>
        <w:rPr>
          <w:rFonts w:ascii="Times New Roman" w:hAnsi="Times New Roman" w:cs="Times New Roman"/>
          <w:sz w:val="24"/>
          <w:szCs w:val="24"/>
        </w:rPr>
      </w:pPr>
      <w:r w:rsidRPr="00395D29">
        <w:rPr>
          <w:rFonts w:ascii="Times New Roman" w:hAnsi="Times New Roman" w:cs="Times New Roman"/>
          <w:sz w:val="24"/>
          <w:szCs w:val="24"/>
        </w:rPr>
        <w:t>A fim de ampliar a compreensão sobre o tema, este trabalho elenca alguns aspectos relevantes da irregularidade fundiária na zona rural, com foco em núcleos urbanos informais consolidados sem interesse social, isto é, ocupados por população que possui algum aporte aquisitivo e que não se encontra em situação de vulnerabilidade social.</w:t>
      </w:r>
    </w:p>
    <w:p w14:paraId="2937A5DF" w14:textId="77777777" w:rsidR="00395D29" w:rsidRPr="00395D29" w:rsidRDefault="00395D29" w:rsidP="00395D29">
      <w:pPr>
        <w:spacing w:after="0" w:line="360" w:lineRule="auto"/>
        <w:ind w:firstLine="709"/>
        <w:jc w:val="both"/>
        <w:rPr>
          <w:rFonts w:ascii="Times New Roman" w:hAnsi="Times New Roman" w:cs="Times New Roman"/>
          <w:sz w:val="24"/>
          <w:szCs w:val="24"/>
        </w:rPr>
      </w:pPr>
      <w:r w:rsidRPr="00395D29">
        <w:rPr>
          <w:rFonts w:ascii="Times New Roman" w:hAnsi="Times New Roman" w:cs="Times New Roman"/>
          <w:sz w:val="24"/>
          <w:szCs w:val="24"/>
        </w:rPr>
        <w:t>Faz-se também uma reflexão sobre a legislação aplicável ao assunto, sobre as razões para o surgimento deste tipo de núcleo urbano e suas consequências, apresentando alguns aspectos da regularização fundiária voltada para núcleos de interesse específico na zona rural.</w:t>
      </w:r>
    </w:p>
    <w:p w14:paraId="1F25444C" w14:textId="56E319D4" w:rsidR="00395D29" w:rsidRDefault="00395D29" w:rsidP="00395D29">
      <w:pPr>
        <w:spacing w:after="0" w:line="360" w:lineRule="auto"/>
        <w:ind w:firstLine="709"/>
        <w:jc w:val="both"/>
        <w:rPr>
          <w:rFonts w:ascii="Times New Roman" w:hAnsi="Times New Roman" w:cs="Times New Roman"/>
          <w:sz w:val="24"/>
          <w:szCs w:val="24"/>
        </w:rPr>
      </w:pPr>
      <w:r w:rsidRPr="00395D29">
        <w:rPr>
          <w:rFonts w:ascii="Times New Roman" w:hAnsi="Times New Roman" w:cs="Times New Roman"/>
          <w:sz w:val="24"/>
          <w:szCs w:val="24"/>
        </w:rPr>
        <w:t>Essa discussão visa esclarecer que a regularização fundiária não serve apenas à população de baixa renda, mas também a outras camadas sociais, sendo um mecanismo que pode ser adotado para garantia de direitos fundamentais e do desenvolvimento sustentável da cidade.</w:t>
      </w:r>
    </w:p>
    <w:p w14:paraId="1A07D24D" w14:textId="77777777" w:rsidR="00786F11" w:rsidRDefault="00786F11" w:rsidP="0036611B">
      <w:pPr>
        <w:spacing w:after="0" w:line="360" w:lineRule="auto"/>
        <w:jc w:val="both"/>
        <w:rPr>
          <w:rFonts w:ascii="Times New Roman" w:hAnsi="Times New Roman" w:cs="Times New Roman"/>
          <w:sz w:val="24"/>
          <w:szCs w:val="24"/>
        </w:rPr>
      </w:pPr>
    </w:p>
    <w:p w14:paraId="391BA0DA" w14:textId="77777777" w:rsidR="00786F11" w:rsidRDefault="005E28F7" w:rsidP="0036611B">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547D061A" w14:textId="4AC5613A" w:rsidR="00786F11" w:rsidRDefault="00395D29" w:rsidP="0036611B">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lastRenderedPageBreak/>
        <w:t>Este artigo foi elaborado a partir de revisão bibliográfica, considerando para tanto a legislação aplicável ao tema, artigos e peças jurídicas, além de observação participante no exercício de função pública na esfera executiva, com foco no processamento de regularização fundiária, análise de projetos urbanísticos com esta finalidade e atendimento aos envolvidos no processo (técnicos, loteadores, proprietários e detentores de posse). A observação foi realizada por uma das autoras no município de Tupã, interior do Estado de São Paulo, ao longo de três anos (entre 2018 e 2022).</w:t>
      </w:r>
    </w:p>
    <w:p w14:paraId="0A2A5AAD" w14:textId="77777777" w:rsidR="00786F11" w:rsidRDefault="00786F11" w:rsidP="0036611B">
      <w:pPr>
        <w:spacing w:after="0" w:line="360" w:lineRule="auto"/>
        <w:jc w:val="both"/>
        <w:rPr>
          <w:rFonts w:ascii="Times New Roman" w:hAnsi="Times New Roman" w:cs="Times New Roman"/>
          <w:sz w:val="24"/>
          <w:szCs w:val="24"/>
        </w:rPr>
      </w:pPr>
    </w:p>
    <w:p w14:paraId="15E567C1" w14:textId="77777777" w:rsidR="00786F11" w:rsidRDefault="005E28F7" w:rsidP="0036611B">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14:paraId="1A4C7FCB" w14:textId="77777777" w:rsidR="00395D29" w:rsidRPr="00395D29"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t>A organização do território brasileiro é definida pela Constituição Federal (1988), a qual incumbiu os municípios do ordenamento territorial urbano, a nível municipal, podendo este ser promovido por meio do planejamento e da adoção de leis de controle do uso e ocupação do solo, bem como de regras para o parcelamento.</w:t>
      </w:r>
    </w:p>
    <w:p w14:paraId="03CF3D5B" w14:textId="77777777" w:rsidR="00395D29" w:rsidRPr="00395D29"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t xml:space="preserve">A Constituição também estabelece, no artigo 182, o Plano Diretor Municipal como instrumento básico para planejamento da política de desenvolvimento e controle da expansão urbana. A regulamentação deste artigo ficou conhecida como Estatuto da Cidade (Lei 10.257/2001), a qual traça as diretrizes gerais da política urbana, nas quais os municípios devem pautar a elaboração do Plano Diretor Municipal. </w:t>
      </w:r>
    </w:p>
    <w:p w14:paraId="40717EC9" w14:textId="77777777" w:rsidR="00395D29" w:rsidRPr="00395D29"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t>No capítulo que rege sobre o plano diretor, o Estatuto da cidade limita o direito de propriedade, previsto na Constituição vigente, reforçando que este está condicionado ao cumprimento de sua função social ao trazer expresso que a propriedade deve atender “</w:t>
      </w:r>
      <w:r w:rsidRPr="00395D29">
        <w:rPr>
          <w:rFonts w:ascii="Times New Roman" w:hAnsi="Times New Roman" w:cs="Times New Roman"/>
          <w:i/>
          <w:iCs/>
          <w:sz w:val="24"/>
          <w:szCs w:val="24"/>
        </w:rPr>
        <w:t>às exigências fundamentais de ordenação da cidade expressas no plano diretor, assegurando o atendimento das necessidades dos cidadãos quanto à qualidade de vida, à justiça social e ao desenvolvimento das atividades econômicas</w:t>
      </w:r>
      <w:r w:rsidRPr="00395D29">
        <w:rPr>
          <w:rFonts w:ascii="Times New Roman" w:hAnsi="Times New Roman" w:cs="Times New Roman"/>
          <w:sz w:val="24"/>
          <w:szCs w:val="24"/>
        </w:rPr>
        <w:t>” (BRASIL, 2001).</w:t>
      </w:r>
    </w:p>
    <w:p w14:paraId="5D19BDBC" w14:textId="77777777" w:rsidR="00395D29" w:rsidRPr="00395D29"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t xml:space="preserve">O Estatuto da Cidade também aborda acerca da expansão do perímetro urbano. O perímetro urbano é a linha imaginária definida por lei própria que delimita o solo urbano, isto é, a área onde é permitido o desempenho de atividades urbanas. Por exclusão, o território municipal que não se encontra inserido dentro do perímetro urbano da sede e de seus distritos é, portanto, considerado rural. Este modelo binário adotado pelo Brasil para a divisão territorial </w:t>
      </w:r>
      <w:r w:rsidRPr="00395D29">
        <w:rPr>
          <w:rFonts w:ascii="Times New Roman" w:hAnsi="Times New Roman" w:cs="Times New Roman"/>
          <w:sz w:val="24"/>
          <w:szCs w:val="24"/>
        </w:rPr>
        <w:lastRenderedPageBreak/>
        <w:t>foi estabelecido pelo Decreto-Lei nº 311 de 1938 e se mantém até hoje (ZAMPIERI E BALESTRO, 2020).</w:t>
      </w:r>
    </w:p>
    <w:p w14:paraId="3F90B189" w14:textId="77777777" w:rsidR="00395D29" w:rsidRPr="00395D29"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t>A Zona rural possui regramento próprio na esfera federal, que visa a proteção das áreas produtivas, citando-se em especial o Estatuto da Terra (lei 4.504/1964), Decreto 55.891/1965, Lei 8.629/1993 e Lei 5.868/1972. Visando garantir dimensões adequadas para as atividades agrícolas, o Instituto Nacional de Colonização e Reforma Agrária (INCRA) definiu áreas mínimas para as propriedades rurais conforme características e vocação locais. Estas áreas são chamadas fração mínima de parcelamento rural, e variam conforme a localidade. A menor delas é equivalente à dois hectares, isto é, vinte mil metros quadrados.</w:t>
      </w:r>
    </w:p>
    <w:p w14:paraId="2CF79F40" w14:textId="77777777" w:rsidR="00395D29" w:rsidRPr="00395D29"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t>Nenhum parcelamento de solo com fins urbanos, isto é, a criação de terrenos urbanizados (dotados de infraestrutura) com área inferior ao módulo mínimo rural, pode ser realizado na Zona Rural do município. Este impedimento está expresso na Lei Lehmann (Lei Federal 6.766/1979): “</w:t>
      </w:r>
      <w:r w:rsidRPr="00395D29">
        <w:rPr>
          <w:rFonts w:ascii="Times New Roman" w:hAnsi="Times New Roman" w:cs="Times New Roman"/>
          <w:i/>
          <w:iCs/>
          <w:sz w:val="24"/>
          <w:szCs w:val="24"/>
        </w:rPr>
        <w:t>Art. 3º Somente será admitido o parcelamento do solo para fins urbanos em zonas urbanas, de expansão urbana ou de urbanização específica, assim definidas pelo plano diretor ou aprovadas por lei municipal</w:t>
      </w:r>
      <w:r w:rsidRPr="00395D29">
        <w:rPr>
          <w:rFonts w:ascii="Times New Roman" w:hAnsi="Times New Roman" w:cs="Times New Roman"/>
          <w:sz w:val="24"/>
          <w:szCs w:val="24"/>
        </w:rPr>
        <w:t>” (BRASIL, 1979).</w:t>
      </w:r>
    </w:p>
    <w:p w14:paraId="32A522DB" w14:textId="77777777" w:rsidR="00395D29" w:rsidRPr="00395D29"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t xml:space="preserve">Qualquer forma de ocupação realizada em desacordo com o que preceituam as leis mencionadas caracteriza irregularidade fundiária, devendo ser veementemente combatida pelos governantes a partir da adoção de ações de fiscalização, regularização e responsabilização dos envolvidos no feito, visto que a irregularidade fundiária compromete o desenvolvimento urbano sustentável e ordenado das cidades. </w:t>
      </w:r>
    </w:p>
    <w:p w14:paraId="043705C7" w14:textId="77777777" w:rsidR="00395D29" w:rsidRPr="00395D29"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t>Embora a legislação urbanística possua papel relevante no ordenamento territorial, observa-se que as leis por si só são insuficientes para conter o avanço da ocupação com fins urbanos nas zonas rurais (Balestro e Zampieri, 2020). A localização dos núcleos informais exemplifica bem esta situação: estes podem ser encontrados em qualquer lugar dentro do território municipal, inclusive na zona rural. A despeito de haver ou não uma legislação municipal que determine as áreas onde admite-se o parcelamento do solo, a zona rural de diversos município tem se descaracterizado devido ao parcelamento irregular, sendo este realizado muitas vezes voluntariamente pelos proprietários de imóveis rurais.</w:t>
      </w:r>
    </w:p>
    <w:p w14:paraId="4DE54B14" w14:textId="77777777" w:rsidR="00395D29" w:rsidRPr="00395D29"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lastRenderedPageBreak/>
        <w:t>Não é incomum encontrar loteamentos irregulares ou clandestinos na zona rural, isto é, subdivisões de terra em dimensões incompatíveis com a fração mínima de parcelamento rural, porém superiores a maioria dos lotes urbanos residenciais, idealizadas pelos próprios titulares de propriedade, sem passar pelos trâmites de licenciamento e registro. Em geral estas anomalias se encontram em glebas rurais de fácil acesso, próximas a estradas rurais bem estruturadas ou rodovias vicinais, nas áreas periurbanas, destacando-se áreas com potencial turístico e dotadas de mananciais (SANTORO, 2014).</w:t>
      </w:r>
    </w:p>
    <w:p w14:paraId="707E2969" w14:textId="77777777" w:rsidR="00395D29" w:rsidRPr="00395D29"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t>Coloquialmente, empregam-se termos como “chácaras de lazer”, “sítios de recreio”, “condomínio de chácaras”, “ranchos de recreio” e variações desses termos para se referir ao modelo de ocupação abordado neste artigo. Todavia, estes termos são inadequados e podem gerar grande confusão.</w:t>
      </w:r>
    </w:p>
    <w:p w14:paraId="3307979B" w14:textId="77777777" w:rsidR="00395D29" w:rsidRPr="00395D29"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t>A lei 13.465/2017 traz a seguinte definição para núcleo urbano informal: “</w:t>
      </w:r>
      <w:r w:rsidRPr="00395D29">
        <w:rPr>
          <w:rFonts w:ascii="Times New Roman" w:hAnsi="Times New Roman" w:cs="Times New Roman"/>
          <w:i/>
          <w:iCs/>
          <w:sz w:val="24"/>
          <w:szCs w:val="24"/>
        </w:rPr>
        <w:t>aquele clandestino, irregular ou no qual não foi possível realizar, por qualquer modo, a titulação de seus ocupantes [...]</w:t>
      </w:r>
      <w:r w:rsidRPr="00395D29">
        <w:rPr>
          <w:rFonts w:ascii="Times New Roman" w:hAnsi="Times New Roman" w:cs="Times New Roman"/>
          <w:sz w:val="24"/>
          <w:szCs w:val="24"/>
        </w:rPr>
        <w:t>” (BRASIL, 2017). Da mesma lei, obtém-se a definição de núcleo urbano informal de interesse específico: aquele que não possui interesse social, isto é, cujas famílias que o ocupam não sejam predominantemente de baixa renda.</w:t>
      </w:r>
    </w:p>
    <w:p w14:paraId="454FF5E4" w14:textId="77777777" w:rsidR="00395D29" w:rsidRPr="00395D29"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t>Assim, neste trabalho optou-se pela adoção do termo “núcleo urbano informal de interesse específico localizado em zona rural” para se referir ao objeto em discussão, fazendo menção à definição legal e à localização do objeto de estudo.</w:t>
      </w:r>
    </w:p>
    <w:p w14:paraId="27990AD7" w14:textId="5238FEF7" w:rsidR="00395D29" w:rsidRPr="00395D29"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t xml:space="preserve">Algumas situações de irregularidade que merecem destaque são aquelas em que os causadores da irregularidade lançam mão de um instituto jurídico lícito para burlar a legislação de parcelamento do solo. É o caso do condomínio </w:t>
      </w:r>
      <w:r w:rsidRPr="00395D29">
        <w:rPr>
          <w:rFonts w:ascii="Times New Roman" w:hAnsi="Times New Roman" w:cs="Times New Roman"/>
          <w:i/>
          <w:iCs/>
          <w:sz w:val="24"/>
          <w:szCs w:val="24"/>
        </w:rPr>
        <w:t>pro indiviso</w:t>
      </w:r>
      <w:r w:rsidRPr="00395D29">
        <w:rPr>
          <w:rFonts w:ascii="Times New Roman" w:hAnsi="Times New Roman" w:cs="Times New Roman"/>
          <w:sz w:val="24"/>
          <w:szCs w:val="24"/>
        </w:rPr>
        <w:t>, ou condomínio voluntário, no qual são instituídas frações ideais para os diversos proprietários de um mesmo imóvel rural. Estas frações ideais não são especificadas, isto é, não há designação de área e localização exata de cada fração, visto que o imóvel rural não pode ser dividido em dimensões inferiores à fração mínima de parcelamento. A despeito deste entendimento, este instituto é comumente utilizado com vistas a mascarar o parcelamento irregular, visto que os proprietários das frações ideais demarcam áreas equivalentes à sua fração da terra, dando causa à irregularidade (TJSP, 2009</w:t>
      </w:r>
      <w:r w:rsidR="00923239">
        <w:rPr>
          <w:rFonts w:ascii="Times New Roman" w:hAnsi="Times New Roman" w:cs="Times New Roman"/>
          <w:sz w:val="24"/>
          <w:szCs w:val="24"/>
        </w:rPr>
        <w:t>, 2013</w:t>
      </w:r>
      <w:r w:rsidRPr="00395D29">
        <w:rPr>
          <w:rFonts w:ascii="Times New Roman" w:hAnsi="Times New Roman" w:cs="Times New Roman"/>
          <w:sz w:val="24"/>
          <w:szCs w:val="24"/>
        </w:rPr>
        <w:t xml:space="preserve"> e 201</w:t>
      </w:r>
      <w:r w:rsidR="00923239">
        <w:rPr>
          <w:rFonts w:ascii="Times New Roman" w:hAnsi="Times New Roman" w:cs="Times New Roman"/>
          <w:sz w:val="24"/>
          <w:szCs w:val="24"/>
        </w:rPr>
        <w:t>6</w:t>
      </w:r>
      <w:r w:rsidRPr="00395D29">
        <w:rPr>
          <w:rFonts w:ascii="Times New Roman" w:hAnsi="Times New Roman" w:cs="Times New Roman"/>
          <w:sz w:val="24"/>
          <w:szCs w:val="24"/>
        </w:rPr>
        <w:t xml:space="preserve">). A utilização de frações ideais para mascarar o parcelamento clandestino de áreas </w:t>
      </w:r>
      <w:r w:rsidRPr="00395D29">
        <w:rPr>
          <w:rFonts w:ascii="Times New Roman" w:hAnsi="Times New Roman" w:cs="Times New Roman"/>
          <w:sz w:val="24"/>
          <w:szCs w:val="24"/>
        </w:rPr>
        <w:lastRenderedPageBreak/>
        <w:t>rurais é tão comum que foi incluído dispositivo que trata exclusivamente sobre esta situação no Tomo II das Normas de Serviço da Corregedoria Geral da Justiça – Serviços Extrajudiciais de Notas e de Registro do Estado de São Paulo (2019, p.469-470):</w:t>
      </w:r>
    </w:p>
    <w:p w14:paraId="354199DF" w14:textId="145135F3" w:rsidR="00395D29" w:rsidRPr="00395D29" w:rsidRDefault="00123C84" w:rsidP="00930B3E">
      <w:pPr>
        <w:spacing w:after="0" w:line="360" w:lineRule="auto"/>
        <w:ind w:left="2268"/>
        <w:jc w:val="both"/>
        <w:rPr>
          <w:rFonts w:ascii="Times New Roman" w:hAnsi="Times New Roman" w:cs="Times New Roman"/>
          <w:sz w:val="24"/>
          <w:szCs w:val="24"/>
        </w:rPr>
      </w:pPr>
      <w:r>
        <w:rPr>
          <w:rFonts w:ascii="Times New Roman" w:hAnsi="Times New Roman" w:cs="Times New Roman"/>
          <w:i/>
          <w:iCs/>
          <w:sz w:val="24"/>
          <w:szCs w:val="24"/>
        </w:rPr>
        <w:t xml:space="preserve">Tomo II, Capítulo XX, Art 166. </w:t>
      </w:r>
      <w:r w:rsidR="00395D29" w:rsidRPr="00395D29">
        <w:rPr>
          <w:rFonts w:ascii="Times New Roman" w:hAnsi="Times New Roman" w:cs="Times New Roman"/>
          <w:i/>
          <w:iCs/>
          <w:sz w:val="24"/>
          <w:szCs w:val="24"/>
        </w:rPr>
        <w:t>É vedado o registro de alienação voluntária de frações ideais com localização, numeração e metragem certas, ou a formação de condomínio voluntário, que implique fraude ou qualquer outra hipótese de descumprimento da legislação de parcelamento do solo urbano, de condomínios edilícios e do Estatuto da Terra</w:t>
      </w:r>
      <w:r w:rsidR="00395D29" w:rsidRPr="00395D29">
        <w:rPr>
          <w:rFonts w:ascii="Times New Roman" w:hAnsi="Times New Roman" w:cs="Times New Roman"/>
          <w:sz w:val="24"/>
          <w:szCs w:val="24"/>
        </w:rPr>
        <w:t>.</w:t>
      </w:r>
    </w:p>
    <w:p w14:paraId="30B8C998" w14:textId="77777777" w:rsidR="00395D29" w:rsidRPr="00395D29"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t>Nos núcleos informais urbanos ocupados por população de baixa renda, aponta-se como principal motivador ao assentamento irregular a falta de opção financeira. Já nos núcleos urbanos informais de interesse específico localizados na zona rural, as razões que levam as pessoas a optarem por se instalar em uma área parcelada irregularmente e distante da zona urbana, embora possuam condições financeiras de residir em um imóvel urbano formalizado, são diversas, demonstrando a complexidade desse fenômeno (ZAMPIERI E BALESTRO, 2020).</w:t>
      </w:r>
    </w:p>
    <w:p w14:paraId="3C1A8DEE" w14:textId="77777777" w:rsidR="00395D29" w:rsidRPr="00395D29"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t xml:space="preserve">Durán (2003) enumera algumas destas razões: busca por qualidade de vida, em local menos agitado, menos poluído e em contato com a natureza; aumento do preço dos terrenos no centro urbano; acesso a moradia mais barata; intensificação do uso de automóvel; disponibilidade de comodidades normalmente urbanas também na zona rural, tais como redes de comunicação, água encanada e eletricidade. Outros fatores identificados que também justificam a preferência pela zona rural para moradia são: incidência de menos impostos e taxas sobre o imóvel rural, sonho pessoal e inexigência de atendimento às regras urbanísticas para construção. </w:t>
      </w:r>
    </w:p>
    <w:p w14:paraId="1240C3C6" w14:textId="4CC98A52" w:rsidR="00786F11" w:rsidRDefault="00395D29" w:rsidP="00395D29">
      <w:pPr>
        <w:spacing w:after="0" w:line="360" w:lineRule="auto"/>
        <w:ind w:firstLine="708"/>
        <w:jc w:val="both"/>
        <w:rPr>
          <w:rFonts w:ascii="Times New Roman" w:hAnsi="Times New Roman" w:cs="Times New Roman"/>
          <w:sz w:val="24"/>
          <w:szCs w:val="24"/>
        </w:rPr>
      </w:pPr>
      <w:r w:rsidRPr="00395D29">
        <w:rPr>
          <w:rFonts w:ascii="Times New Roman" w:hAnsi="Times New Roman" w:cs="Times New Roman"/>
          <w:sz w:val="24"/>
          <w:szCs w:val="24"/>
        </w:rPr>
        <w:t>O modelo de ocupação que ocorre dessa maneira, de forma esparsa, com baixa densidade e distante do centro urbano, chama-se urbanização difusa. A urbanização difusa vai de encontro ao modelo das cidades compactas, que busca tornar eficiente a utilização da infraestrutura ao passo que limita os impactos ambientais ao frear o avanço da urbanização sobre as áreas rurais.</w:t>
      </w:r>
    </w:p>
    <w:p w14:paraId="6ACC3990" w14:textId="37C937FB" w:rsidR="00973323" w:rsidRDefault="00973323" w:rsidP="00395D29">
      <w:pPr>
        <w:spacing w:after="0" w:line="360" w:lineRule="auto"/>
        <w:ind w:firstLine="708"/>
        <w:jc w:val="both"/>
        <w:rPr>
          <w:rFonts w:ascii="Times New Roman" w:hAnsi="Times New Roman" w:cs="Times New Roman"/>
          <w:sz w:val="24"/>
          <w:szCs w:val="24"/>
        </w:rPr>
      </w:pPr>
    </w:p>
    <w:p w14:paraId="5F47CEF8" w14:textId="0373BD6C" w:rsidR="00973323" w:rsidRDefault="00973323" w:rsidP="0097332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3.1 </w:t>
      </w:r>
      <w:r w:rsidRPr="00973323">
        <w:rPr>
          <w:rFonts w:ascii="Times New Roman" w:hAnsi="Times New Roman" w:cs="Times New Roman"/>
          <w:b/>
          <w:bCs/>
          <w:sz w:val="24"/>
          <w:szCs w:val="24"/>
        </w:rPr>
        <w:t>PROBLEMAS RELACIONADOS AOS NÚCLEOS URBANOS INFORMAIS NA ZONA RURAL</w:t>
      </w:r>
    </w:p>
    <w:p w14:paraId="56E1BFEE" w14:textId="77777777" w:rsidR="00973323" w:rsidRPr="00973323" w:rsidRDefault="00973323" w:rsidP="00973323">
      <w:pPr>
        <w:spacing w:after="0" w:line="360" w:lineRule="auto"/>
        <w:ind w:firstLine="708"/>
        <w:jc w:val="both"/>
        <w:rPr>
          <w:rFonts w:ascii="Times New Roman" w:hAnsi="Times New Roman" w:cs="Times New Roman"/>
          <w:sz w:val="24"/>
          <w:szCs w:val="24"/>
        </w:rPr>
      </w:pPr>
      <w:r w:rsidRPr="00973323">
        <w:rPr>
          <w:rFonts w:ascii="Times New Roman" w:hAnsi="Times New Roman" w:cs="Times New Roman"/>
          <w:sz w:val="24"/>
          <w:szCs w:val="24"/>
        </w:rPr>
        <w:t>Nos núcleos urbanos informais de interesse específico na zona rural, embora possa ser encontrada certa lógica nas subdivisões, constata-se a ausência de observância às exigências do plano diretor, prejudicando o atendimento às funções sociais da propriedade e comprometendo a preservação do meio ambiente, visto que a ocupação se dá sem o devido planejamento e licenciamento. Por outro lado, o imóvel rural deixa de cumprir sua função social também, pois não há aproveitamento racional e adequado e o meio ambiente é alvo de impactos decorrente da ação humana associada à urbanização (BRASIL, 1988).</w:t>
      </w:r>
    </w:p>
    <w:p w14:paraId="2D8CEB0C" w14:textId="77777777" w:rsidR="00973323" w:rsidRPr="00973323" w:rsidRDefault="00973323" w:rsidP="00973323">
      <w:pPr>
        <w:spacing w:after="0" w:line="360" w:lineRule="auto"/>
        <w:ind w:firstLine="708"/>
        <w:jc w:val="both"/>
        <w:rPr>
          <w:rFonts w:ascii="Times New Roman" w:hAnsi="Times New Roman" w:cs="Times New Roman"/>
          <w:sz w:val="24"/>
          <w:szCs w:val="24"/>
        </w:rPr>
      </w:pPr>
      <w:r w:rsidRPr="00973323">
        <w:rPr>
          <w:rFonts w:ascii="Times New Roman" w:hAnsi="Times New Roman" w:cs="Times New Roman"/>
          <w:sz w:val="24"/>
          <w:szCs w:val="24"/>
        </w:rPr>
        <w:t>Embora a opção pela moradia na zona rural seja motivada por uma situação considerada vantajosa por quem a escolhe, a consolidação de núcleos urbanos de interesse específico na zona rural acarreta consequências problemáticas. Paradoxalmente, um dos atrativos mencionados por Durán (2003), que é a busca por qualidade de vida em local mais tranquilo, sem poluição e em contato com a natureza, é também uma das características que se perdem com a ocupação irregular da área.</w:t>
      </w:r>
    </w:p>
    <w:p w14:paraId="1222002E" w14:textId="77777777" w:rsidR="00973323" w:rsidRPr="00973323" w:rsidRDefault="00973323" w:rsidP="00973323">
      <w:pPr>
        <w:spacing w:after="0" w:line="360" w:lineRule="auto"/>
        <w:ind w:firstLine="708"/>
        <w:jc w:val="both"/>
        <w:rPr>
          <w:rFonts w:ascii="Times New Roman" w:hAnsi="Times New Roman" w:cs="Times New Roman"/>
          <w:sz w:val="24"/>
          <w:szCs w:val="24"/>
        </w:rPr>
      </w:pPr>
      <w:r w:rsidRPr="00973323">
        <w:rPr>
          <w:rFonts w:ascii="Times New Roman" w:hAnsi="Times New Roman" w:cs="Times New Roman"/>
          <w:sz w:val="24"/>
          <w:szCs w:val="24"/>
        </w:rPr>
        <w:t>A irregularidade fundiária causada pela urbanização não planejada e difusa acarreta diversos problemas de ordem legal, urbanística, administrativa, ambiental e socioeconômica. Uma das autoras observou, durante atendimentos e na análise de processos de regularização no Município de Tupã (SP), uma série de problemas e conflitos, os quais foram listados a seguir, não se tratando de uma lista exaustiva. A ocorrência destes problemas foi também identificada em outras localidades por meio de artigos científicos.</w:t>
      </w:r>
    </w:p>
    <w:p w14:paraId="0B3E04FB" w14:textId="77777777" w:rsidR="00973323" w:rsidRPr="00973323" w:rsidRDefault="00973323" w:rsidP="00973323">
      <w:pPr>
        <w:pStyle w:val="PargrafodaLista"/>
        <w:numPr>
          <w:ilvl w:val="0"/>
          <w:numId w:val="1"/>
        </w:numPr>
        <w:spacing w:after="0" w:line="360" w:lineRule="auto"/>
        <w:contextualSpacing w:val="0"/>
        <w:jc w:val="both"/>
        <w:rPr>
          <w:rFonts w:ascii="Times New Roman" w:hAnsi="Times New Roman" w:cs="Times New Roman"/>
          <w:vanish/>
          <w:sz w:val="24"/>
          <w:szCs w:val="24"/>
        </w:rPr>
      </w:pPr>
    </w:p>
    <w:p w14:paraId="0BE70519" w14:textId="77777777" w:rsidR="00973323" w:rsidRPr="00973323" w:rsidRDefault="00973323" w:rsidP="00973323">
      <w:pPr>
        <w:pStyle w:val="PargrafodaLista"/>
        <w:numPr>
          <w:ilvl w:val="0"/>
          <w:numId w:val="1"/>
        </w:numPr>
        <w:spacing w:after="0" w:line="360" w:lineRule="auto"/>
        <w:contextualSpacing w:val="0"/>
        <w:jc w:val="both"/>
        <w:rPr>
          <w:rFonts w:ascii="Times New Roman" w:hAnsi="Times New Roman" w:cs="Times New Roman"/>
          <w:vanish/>
          <w:sz w:val="24"/>
          <w:szCs w:val="24"/>
        </w:rPr>
      </w:pPr>
    </w:p>
    <w:p w14:paraId="02FBF80C" w14:textId="77777777" w:rsidR="00973323" w:rsidRPr="00973323" w:rsidRDefault="00973323" w:rsidP="00973323">
      <w:pPr>
        <w:pStyle w:val="PargrafodaLista"/>
        <w:numPr>
          <w:ilvl w:val="0"/>
          <w:numId w:val="1"/>
        </w:numPr>
        <w:spacing w:after="0" w:line="360" w:lineRule="auto"/>
        <w:contextualSpacing w:val="0"/>
        <w:jc w:val="both"/>
        <w:rPr>
          <w:rFonts w:ascii="Times New Roman" w:hAnsi="Times New Roman" w:cs="Times New Roman"/>
          <w:vanish/>
          <w:sz w:val="24"/>
          <w:szCs w:val="24"/>
        </w:rPr>
      </w:pPr>
    </w:p>
    <w:p w14:paraId="7D32D329" w14:textId="77777777" w:rsidR="00973323" w:rsidRPr="00973323" w:rsidRDefault="00973323" w:rsidP="00973323">
      <w:pPr>
        <w:pStyle w:val="PargrafodaLista"/>
        <w:numPr>
          <w:ilvl w:val="1"/>
          <w:numId w:val="1"/>
        </w:numPr>
        <w:spacing w:after="0" w:line="360" w:lineRule="auto"/>
        <w:contextualSpacing w:val="0"/>
        <w:jc w:val="both"/>
        <w:rPr>
          <w:rFonts w:ascii="Times New Roman" w:hAnsi="Times New Roman" w:cs="Times New Roman"/>
          <w:vanish/>
          <w:sz w:val="24"/>
          <w:szCs w:val="24"/>
        </w:rPr>
      </w:pPr>
    </w:p>
    <w:p w14:paraId="3400923E" w14:textId="17679E5B" w:rsidR="00973323" w:rsidRPr="00973323" w:rsidRDefault="00973323" w:rsidP="00973323">
      <w:pPr>
        <w:numPr>
          <w:ilvl w:val="2"/>
          <w:numId w:val="1"/>
        </w:numPr>
        <w:spacing w:after="0" w:line="360" w:lineRule="auto"/>
        <w:jc w:val="both"/>
        <w:rPr>
          <w:rFonts w:ascii="Times New Roman" w:hAnsi="Times New Roman" w:cs="Times New Roman"/>
          <w:sz w:val="24"/>
          <w:szCs w:val="24"/>
        </w:rPr>
      </w:pPr>
      <w:r w:rsidRPr="00973323">
        <w:rPr>
          <w:rFonts w:ascii="Times New Roman" w:hAnsi="Times New Roman" w:cs="Times New Roman"/>
          <w:sz w:val="24"/>
          <w:szCs w:val="24"/>
        </w:rPr>
        <w:t>Incompatibilidade entre usos urbano e rural;</w:t>
      </w:r>
    </w:p>
    <w:p w14:paraId="14F73004" w14:textId="77777777" w:rsidR="00973323" w:rsidRPr="00973323" w:rsidRDefault="00973323" w:rsidP="00973323">
      <w:pPr>
        <w:spacing w:after="0" w:line="360" w:lineRule="auto"/>
        <w:ind w:firstLine="708"/>
        <w:jc w:val="both"/>
        <w:rPr>
          <w:rFonts w:ascii="Times New Roman" w:hAnsi="Times New Roman" w:cs="Times New Roman"/>
          <w:sz w:val="24"/>
          <w:szCs w:val="24"/>
        </w:rPr>
      </w:pPr>
      <w:r w:rsidRPr="00973323">
        <w:rPr>
          <w:rFonts w:ascii="Times New Roman" w:hAnsi="Times New Roman" w:cs="Times New Roman"/>
          <w:sz w:val="24"/>
          <w:szCs w:val="24"/>
        </w:rPr>
        <w:t xml:space="preserve">O controle de uso do solo se destina a evitar conflitos urbanos típicos de atividades incompatíveis entre si. Um exemplo simples para ilustrar esse objetivo é que a maioria das cidades proíbe a implantação de indústrias de grande porte, em especial aquelas que emitem ruídos, partículas e odores, próximas das áreas residenciais. Nos núcleos informais urbanos localizados na zona rural não há este controle na implantação de atividades. É possível encontrar áreas com atividade predominantemente residencial próximos a estação de tratamento </w:t>
      </w:r>
      <w:r w:rsidRPr="00973323">
        <w:rPr>
          <w:rFonts w:ascii="Times New Roman" w:hAnsi="Times New Roman" w:cs="Times New Roman"/>
          <w:sz w:val="24"/>
          <w:szCs w:val="24"/>
        </w:rPr>
        <w:lastRenderedPageBreak/>
        <w:t>de esgotos e frigoríficos, por exemplo. Em um mesmo núcleo, há também usos incompatíveis: é possível encontrar residências vizinhas a salão de festas, comércio de sucata e ferro-velho, oficina mecânica, fábrica de móveis, canil de procriação e afins. Por outro lado, ao considerar a atividade rural nas áreas vizinhas aos núcleos informais, observa-se que há a dispersão de defensivos agrícolas nocivos à saúde humana, expondo a população residente destes núcleos aos químicos sem qualquer proteção. Outra ocorrência comum são acidentes envolvendo animais de grande porte que escapam (bovinos e equinos) e costumam adentrar as residências nos núcleos informais. Há relatos de vacas que caíram em piscinas, animais que consumiram plantas tóxicas comumente utilizadas em paisagismo, e ainda que se lesionaram ao cair em caixas-secas de drenagem das vias de acesso improvisadas para as unidades do núcleo informal.</w:t>
      </w:r>
    </w:p>
    <w:p w14:paraId="69F9B49C" w14:textId="77777777" w:rsidR="00973323" w:rsidRPr="00973323" w:rsidRDefault="00973323" w:rsidP="00973323">
      <w:pPr>
        <w:spacing w:after="0" w:line="360" w:lineRule="auto"/>
        <w:ind w:firstLine="708"/>
        <w:jc w:val="both"/>
        <w:rPr>
          <w:rFonts w:ascii="Times New Roman" w:hAnsi="Times New Roman" w:cs="Times New Roman"/>
          <w:sz w:val="24"/>
          <w:szCs w:val="24"/>
        </w:rPr>
      </w:pPr>
    </w:p>
    <w:p w14:paraId="2B92B67D" w14:textId="77777777" w:rsidR="00973323" w:rsidRPr="00973323" w:rsidRDefault="00973323" w:rsidP="00973323">
      <w:pPr>
        <w:numPr>
          <w:ilvl w:val="2"/>
          <w:numId w:val="1"/>
        </w:numPr>
        <w:spacing w:after="0" w:line="360" w:lineRule="auto"/>
        <w:jc w:val="both"/>
        <w:rPr>
          <w:rFonts w:ascii="Times New Roman" w:hAnsi="Times New Roman" w:cs="Times New Roman"/>
          <w:sz w:val="24"/>
          <w:szCs w:val="24"/>
        </w:rPr>
      </w:pPr>
      <w:r w:rsidRPr="00973323">
        <w:rPr>
          <w:rFonts w:ascii="Times New Roman" w:hAnsi="Times New Roman" w:cs="Times New Roman"/>
          <w:sz w:val="24"/>
          <w:szCs w:val="24"/>
        </w:rPr>
        <w:t>Proliferação de vetores</w:t>
      </w:r>
    </w:p>
    <w:p w14:paraId="366FAFE1" w14:textId="77777777" w:rsidR="00973323" w:rsidRPr="00973323" w:rsidRDefault="00973323" w:rsidP="00973323">
      <w:pPr>
        <w:spacing w:after="0" w:line="360" w:lineRule="auto"/>
        <w:ind w:firstLine="708"/>
        <w:jc w:val="both"/>
        <w:rPr>
          <w:rFonts w:ascii="Times New Roman" w:hAnsi="Times New Roman" w:cs="Times New Roman"/>
          <w:sz w:val="24"/>
          <w:szCs w:val="24"/>
        </w:rPr>
      </w:pPr>
      <w:r w:rsidRPr="00973323">
        <w:rPr>
          <w:rFonts w:ascii="Times New Roman" w:hAnsi="Times New Roman" w:cs="Times New Roman"/>
          <w:sz w:val="24"/>
          <w:szCs w:val="24"/>
        </w:rPr>
        <w:t>Observou-se nos núcleos vizinhos de propriedades rurais com produção de animais a presença de enxames de insetos, inclusive vetores, atraídos por material orgânico provenientes dos processos de manejo dos animais. Foi verificado em estudo específico que a urbanização de doenças transmitidas por vetores está relacionada à ação antrópica associada à infraestrutura precária em aglomerados humanos, como é o caso dos núcleos informais (INÁCIO, 2019). A exemplo disso, a Revista Saúde Pública publicou artigo onde é demonstrado que há maior incidência de flebotomíneos (subfamília do mosquito-palha e outros vetores de doenças) em ambientes com presença de galinhas (animal comumente criado na zona rural e em unidades dos núcleos objeto de estudo) em conjunto com a presença de luz elétrica (recurso associado à urbanização), atraindo vetores ao ambiente em torno dos domicílios (TEODORO et al., 2007).</w:t>
      </w:r>
    </w:p>
    <w:p w14:paraId="75BB15BD" w14:textId="77777777" w:rsidR="00973323" w:rsidRPr="00973323" w:rsidRDefault="00973323" w:rsidP="00973323">
      <w:pPr>
        <w:spacing w:after="0" w:line="360" w:lineRule="auto"/>
        <w:ind w:firstLine="708"/>
        <w:jc w:val="both"/>
        <w:rPr>
          <w:rFonts w:ascii="Times New Roman" w:hAnsi="Times New Roman" w:cs="Times New Roman"/>
          <w:sz w:val="24"/>
          <w:szCs w:val="24"/>
        </w:rPr>
      </w:pPr>
    </w:p>
    <w:p w14:paraId="253DED0C" w14:textId="77777777" w:rsidR="00973323" w:rsidRPr="00973323" w:rsidRDefault="00973323" w:rsidP="00973323">
      <w:pPr>
        <w:numPr>
          <w:ilvl w:val="2"/>
          <w:numId w:val="1"/>
        </w:numPr>
        <w:spacing w:after="0" w:line="360" w:lineRule="auto"/>
        <w:jc w:val="both"/>
        <w:rPr>
          <w:rFonts w:ascii="Times New Roman" w:hAnsi="Times New Roman" w:cs="Times New Roman"/>
          <w:sz w:val="24"/>
          <w:szCs w:val="24"/>
        </w:rPr>
      </w:pPr>
      <w:r w:rsidRPr="00973323">
        <w:rPr>
          <w:rFonts w:ascii="Times New Roman" w:hAnsi="Times New Roman" w:cs="Times New Roman"/>
          <w:sz w:val="24"/>
          <w:szCs w:val="24"/>
        </w:rPr>
        <w:t>Intensa transformação da paisagem;</w:t>
      </w:r>
    </w:p>
    <w:p w14:paraId="53BBA2BA" w14:textId="77777777" w:rsidR="00973323" w:rsidRPr="00973323" w:rsidRDefault="00973323" w:rsidP="00973323">
      <w:pPr>
        <w:spacing w:after="0" w:line="360" w:lineRule="auto"/>
        <w:ind w:firstLine="708"/>
        <w:jc w:val="both"/>
        <w:rPr>
          <w:rFonts w:ascii="Times New Roman" w:hAnsi="Times New Roman" w:cs="Times New Roman"/>
          <w:sz w:val="24"/>
          <w:szCs w:val="24"/>
        </w:rPr>
      </w:pPr>
      <w:r w:rsidRPr="00973323">
        <w:rPr>
          <w:rFonts w:ascii="Times New Roman" w:hAnsi="Times New Roman" w:cs="Times New Roman"/>
          <w:sz w:val="24"/>
          <w:szCs w:val="24"/>
        </w:rPr>
        <w:t xml:space="preserve">O meio rural demanda de intervenções para que possa comportar atividades tipicamente urbanas. Estas intervenções podem ser classificadas como ações antrópicas, e promovem alteração da paisagem.  Nos núcleos urbanos informais de interesse específico localizados no meio rural, a paisagem é um dos atrativos à formação do núcleo. Todavia, para a formação do núcleo, a paisagem rural, marcada por grandes extensões de terra ocupadas por culturas e pastos </w:t>
      </w:r>
      <w:r w:rsidRPr="00973323">
        <w:rPr>
          <w:rFonts w:ascii="Times New Roman" w:hAnsi="Times New Roman" w:cs="Times New Roman"/>
          <w:sz w:val="24"/>
          <w:szCs w:val="24"/>
        </w:rPr>
        <w:lastRenderedPageBreak/>
        <w:t>ligados por caminhos estreitos e rústicos, dá lugar a edificações acessadas por vias abertas para passagem de veículos. Nos terrenos, é realizada movimentação de terra por meio de cortes e aterros, criando planos e taludes. A vegetação é removida nesse processo e dá lugar à jardins planejados e áreas abertas. A urbanização transforma o espaço e as áreas rurais acabam sendo substituídas por áreas de maior densidade populacional (PADILHA, 2017). Além da intervenção humana direta, há também transformações que são desencadeadas pela ação antrópica: torna-se menos comum a presença de animais silvestres, nascentes d’água morrem, corpos d’água secam, rios são assoreados.</w:t>
      </w:r>
    </w:p>
    <w:p w14:paraId="605E8A57" w14:textId="77777777" w:rsidR="00973323" w:rsidRPr="00973323" w:rsidRDefault="00973323" w:rsidP="00973323">
      <w:pPr>
        <w:spacing w:after="0" w:line="360" w:lineRule="auto"/>
        <w:ind w:firstLine="708"/>
        <w:jc w:val="both"/>
        <w:rPr>
          <w:rFonts w:ascii="Times New Roman" w:hAnsi="Times New Roman" w:cs="Times New Roman"/>
          <w:sz w:val="24"/>
          <w:szCs w:val="24"/>
        </w:rPr>
      </w:pPr>
    </w:p>
    <w:p w14:paraId="25EE2477" w14:textId="77777777" w:rsidR="00973323" w:rsidRPr="00973323" w:rsidRDefault="00973323" w:rsidP="00973323">
      <w:pPr>
        <w:numPr>
          <w:ilvl w:val="2"/>
          <w:numId w:val="1"/>
        </w:numPr>
        <w:spacing w:after="0" w:line="360" w:lineRule="auto"/>
        <w:jc w:val="both"/>
        <w:rPr>
          <w:rFonts w:ascii="Times New Roman" w:hAnsi="Times New Roman" w:cs="Times New Roman"/>
          <w:sz w:val="24"/>
          <w:szCs w:val="24"/>
        </w:rPr>
      </w:pPr>
      <w:r w:rsidRPr="00973323">
        <w:rPr>
          <w:rFonts w:ascii="Times New Roman" w:hAnsi="Times New Roman" w:cs="Times New Roman"/>
          <w:sz w:val="24"/>
          <w:szCs w:val="24"/>
        </w:rPr>
        <w:t>Supressão da cobertura vegetal e danos ao solo;</w:t>
      </w:r>
    </w:p>
    <w:p w14:paraId="3BF9C28C" w14:textId="77777777" w:rsidR="00973323" w:rsidRPr="00973323" w:rsidRDefault="00973323" w:rsidP="00973323">
      <w:pPr>
        <w:spacing w:after="0" w:line="360" w:lineRule="auto"/>
        <w:ind w:firstLine="708"/>
        <w:jc w:val="both"/>
        <w:rPr>
          <w:rFonts w:ascii="Times New Roman" w:hAnsi="Times New Roman" w:cs="Times New Roman"/>
          <w:sz w:val="24"/>
          <w:szCs w:val="24"/>
        </w:rPr>
      </w:pPr>
      <w:r w:rsidRPr="00973323">
        <w:rPr>
          <w:rFonts w:ascii="Times New Roman" w:hAnsi="Times New Roman" w:cs="Times New Roman"/>
          <w:sz w:val="24"/>
          <w:szCs w:val="24"/>
        </w:rPr>
        <w:t>Obras de terraplenagem são inerentes à transformação do meio rural em urbano. Todavia, enquanto na urbanização planejada são implementadas soluções de engenharia para garantir a durabilidade das obras de infraestrutura, nos núcleos informais urbanos da zona rural é comum o surgimento de processos erosivos devido ao manejo inadequado do solo. As obras de terraplenagem mal planejadas desfazem curvas de nível – solução adotada em propriedades rurais para contenção de águas pluviais. Já a terraplanagem dos terrenos, além de desfazer as curvas de nível, direciona o caimento do terreno para as vias de acesso, ampliando a bacia de contribuição da via. Por sua vez, a abertura de estradas de acesso aos núcleos sem a implantação de sistema adequado de drenagem pluvial agrava o problema, pois se torna o único caminho de escoamento das águas. Uma vez que as estradas deste tipo de núcleo em geral são mantidas propositalmente sem pavimentação – seja pelo desejo de manter o aspecto rústico da paisagem ou pela falta de recurso financeiro, as águas pluviais escoam diretamente sobre o solo desprotegido, culminando em processo erosivo caracterizado pela presença de sulcos, voçorocas e crateras. É comum que o solo carreado seja depositado em corpos d’água, provocando assoreamento destes, ou se acumulem em pontos baixos de rodovias pavimentadas, podendo causar acidentes de trânsito. Outro problema resultante da supressão de vegetação aliada ao aumento da área impermeável é a remoção da camada fértil do solo, empobrecendo-o e removendo sua capacidade produtiva.</w:t>
      </w:r>
    </w:p>
    <w:p w14:paraId="77A93C1D" w14:textId="77777777" w:rsidR="00973323" w:rsidRPr="00973323" w:rsidRDefault="00973323" w:rsidP="00973323">
      <w:pPr>
        <w:spacing w:after="0" w:line="360" w:lineRule="auto"/>
        <w:ind w:firstLine="708"/>
        <w:jc w:val="both"/>
        <w:rPr>
          <w:rFonts w:ascii="Times New Roman" w:hAnsi="Times New Roman" w:cs="Times New Roman"/>
          <w:sz w:val="24"/>
          <w:szCs w:val="24"/>
        </w:rPr>
      </w:pPr>
    </w:p>
    <w:p w14:paraId="32741AC6" w14:textId="77777777" w:rsidR="00973323" w:rsidRPr="00973323" w:rsidRDefault="00973323" w:rsidP="00973323">
      <w:pPr>
        <w:numPr>
          <w:ilvl w:val="2"/>
          <w:numId w:val="1"/>
        </w:numPr>
        <w:spacing w:after="0" w:line="360" w:lineRule="auto"/>
        <w:jc w:val="both"/>
        <w:rPr>
          <w:rFonts w:ascii="Times New Roman" w:hAnsi="Times New Roman" w:cs="Times New Roman"/>
          <w:sz w:val="24"/>
          <w:szCs w:val="24"/>
        </w:rPr>
      </w:pPr>
      <w:r w:rsidRPr="00973323">
        <w:rPr>
          <w:rFonts w:ascii="Times New Roman" w:hAnsi="Times New Roman" w:cs="Times New Roman"/>
          <w:sz w:val="24"/>
          <w:szCs w:val="24"/>
        </w:rPr>
        <w:lastRenderedPageBreak/>
        <w:t>Aumento da contaminação do solo, ar e água;</w:t>
      </w:r>
    </w:p>
    <w:p w14:paraId="2B33E9AF" w14:textId="77777777" w:rsidR="00973323" w:rsidRPr="00973323" w:rsidRDefault="00973323" w:rsidP="00973323">
      <w:pPr>
        <w:spacing w:after="0" w:line="360" w:lineRule="auto"/>
        <w:ind w:firstLine="708"/>
        <w:jc w:val="both"/>
        <w:rPr>
          <w:rFonts w:ascii="Times New Roman" w:hAnsi="Times New Roman" w:cs="Times New Roman"/>
          <w:sz w:val="24"/>
          <w:szCs w:val="24"/>
        </w:rPr>
      </w:pPr>
      <w:r w:rsidRPr="00973323">
        <w:rPr>
          <w:rFonts w:ascii="Times New Roman" w:hAnsi="Times New Roman" w:cs="Times New Roman"/>
          <w:sz w:val="24"/>
          <w:szCs w:val="24"/>
        </w:rPr>
        <w:t>Na formação de núcleos informais urbanos da zona rural, não existe o cuidado, por parte de quem promove o parcelamento irregular, em planejar a ocupação e a infraestrutura necessária para servir os lotes. Desse modo, as soluções adotadas são precárias e inadequadas. Em relação à captação de esgoto, é muito comum a presença de fossas negras nos núcleos da zona rural, quando o esgoto não é despejado diretamente sobre as vias de acesso ou corpos d’água. Com o adensamento provocado pela urbanização mal planejada, reduz-se o distanciamento entre as unidades, aumentando-se consideravelmente a quantidade de fossas por metro quadrado percolando esgoto sem tratamento para o lençol freático. Ressalta-se que é comum a abertura de poços nessas áreas para abastecimento de água das unidades, os quais muitas vezes provém de uma fonte que foi contaminada pelos próprios ocupantes. Outro problema inerente de núcleos informais na zona rural é a ausência do serviço de coleta de lixo. Sem o serviço disponível, surgem pontos de descarte irregular, onde acumulam-se resíduos de todo tipo sem qualquer tratamento ou separação, atraindo vetores de doenças. O descarte incorreto de resíduos não afeta apenas os ocupantes do núcleo, mas também seus arredores: há relatos de propriedades com criação de gado nas quais os animais estavam alimentando-se de sacos plásticos e outros detritos devido ao descarte de lixo inadequado proveniente do núcleo urbano informal. O despejo inadequado de esgoto, o depósito irregular de lixo e a falta de controle das atividades aumentam a contaminação do local, acarretando riscos à saúde pública além dos danos ambientais.</w:t>
      </w:r>
    </w:p>
    <w:p w14:paraId="0198AA8E" w14:textId="77777777" w:rsidR="00973323" w:rsidRPr="00973323" w:rsidRDefault="00973323" w:rsidP="00973323">
      <w:pPr>
        <w:spacing w:after="0" w:line="360" w:lineRule="auto"/>
        <w:ind w:firstLine="708"/>
        <w:jc w:val="both"/>
        <w:rPr>
          <w:rFonts w:ascii="Times New Roman" w:hAnsi="Times New Roman" w:cs="Times New Roman"/>
          <w:sz w:val="24"/>
          <w:szCs w:val="24"/>
        </w:rPr>
      </w:pPr>
    </w:p>
    <w:p w14:paraId="58D3C41B" w14:textId="77777777" w:rsidR="00973323" w:rsidRPr="00973323" w:rsidRDefault="00973323" w:rsidP="00973323">
      <w:pPr>
        <w:numPr>
          <w:ilvl w:val="2"/>
          <w:numId w:val="1"/>
        </w:numPr>
        <w:spacing w:after="0" w:line="360" w:lineRule="auto"/>
        <w:jc w:val="both"/>
        <w:rPr>
          <w:rFonts w:ascii="Times New Roman" w:hAnsi="Times New Roman" w:cs="Times New Roman"/>
          <w:sz w:val="24"/>
          <w:szCs w:val="24"/>
        </w:rPr>
      </w:pPr>
      <w:r w:rsidRPr="00973323">
        <w:rPr>
          <w:rFonts w:ascii="Times New Roman" w:hAnsi="Times New Roman" w:cs="Times New Roman"/>
          <w:sz w:val="24"/>
          <w:szCs w:val="24"/>
        </w:rPr>
        <w:t xml:space="preserve"> Utilização predatória de recursos hídricos</w:t>
      </w:r>
    </w:p>
    <w:p w14:paraId="4F171454" w14:textId="77777777" w:rsidR="00973323" w:rsidRPr="00973323" w:rsidRDefault="00973323" w:rsidP="00973323">
      <w:pPr>
        <w:spacing w:after="0" w:line="360" w:lineRule="auto"/>
        <w:ind w:firstLine="708"/>
        <w:jc w:val="both"/>
        <w:rPr>
          <w:rFonts w:ascii="Times New Roman" w:hAnsi="Times New Roman" w:cs="Times New Roman"/>
          <w:sz w:val="24"/>
          <w:szCs w:val="24"/>
        </w:rPr>
      </w:pPr>
      <w:r w:rsidRPr="00973323">
        <w:rPr>
          <w:rFonts w:ascii="Times New Roman" w:hAnsi="Times New Roman" w:cs="Times New Roman"/>
          <w:sz w:val="24"/>
          <w:szCs w:val="24"/>
        </w:rPr>
        <w:t>A localização afastada dos núcleos informais urbanos na zona rural inviabiliza o abastecimento de água potável tratada por meio de redes públicas. Como solução para obtenção de água para consumo humano, é comum a abertura indiscriminada de poços por cada uma das unidades do núcleo urbano informal, na maioria das vezes sem a outorga necessária e análise química da água. A implantação do núcleo informal urbano constitui infração à Política Nacional de Recursos Hídricos, pois este caracteriza-se como “</w:t>
      </w:r>
      <w:r w:rsidRPr="00973323">
        <w:rPr>
          <w:rFonts w:ascii="Times New Roman" w:hAnsi="Times New Roman" w:cs="Times New Roman"/>
          <w:i/>
          <w:iCs/>
          <w:sz w:val="24"/>
          <w:szCs w:val="24"/>
        </w:rPr>
        <w:t xml:space="preserve">empreendimento relacionado com a derivação ou a utilização de recursos hídricos, superficiais ou subterrâneos”, </w:t>
      </w:r>
      <w:r w:rsidRPr="00973323">
        <w:rPr>
          <w:rFonts w:ascii="Times New Roman" w:hAnsi="Times New Roman" w:cs="Times New Roman"/>
          <w:sz w:val="24"/>
          <w:szCs w:val="24"/>
        </w:rPr>
        <w:t xml:space="preserve">e implica </w:t>
      </w:r>
      <w:r w:rsidRPr="00973323">
        <w:rPr>
          <w:rFonts w:ascii="Times New Roman" w:hAnsi="Times New Roman" w:cs="Times New Roman"/>
          <w:sz w:val="24"/>
          <w:szCs w:val="24"/>
        </w:rPr>
        <w:lastRenderedPageBreak/>
        <w:t>em alterações no regime, quantidade e qualidade dos recursos hídricos explorados sem autorização (BRASIL, 1997). Além disso, a Política Nacional de Recursos Hídricos também caracteriza como infrações a perfuração de poços sem autorização, a utilização da água sem a devida outorga do direito de uso bem como a utilização desta em condição diversa da outorga obtida – todas situações comuns em núcleos informais. Ao longo do tempo, a prática de explotação de água subterrânea pode comprometer o abastecimento hídrico municipal (CAMISASCA, FERREIRA E SILVA, 2017), afetando tanto a zona urbana quanto a zona rural, uma vez que não há mecanismo de controle, cobrança e mensuração do volume de água extraída pelo núcleo urbano informal, mesmo que prevista a possibilidade pela legislação. Essa superexploração aliada ao adensamento humano e à mudança de uso da terra também ameaça a capacidade de recarga do aquífero, pois o serviço ambiental de recarga da água é interrompido (BALBINO, 2020). Como consequência, pode ocorrer o fenômeno da subsidência, que é o rebaixamento do nível da superfície do solo, neste caso devido à perda de tensão no subsolo pela explotação exacerbada de água sem a devida reposição concomitante ao aumento de carga sobre o solo devido ao adensamento populacional. Este fenômeno resulta em dano à infraestrutura, rompimento de tubulações enterradas e rachaduras no solo, pavimentação e edificações, podendo inclusive condená-los (VILARIM et al., 2020). Além disso, o comprometimento do aquífero culmina em crise hídrica, prejudicando a irrigação de plantações, o que pode fazer com que a produção de alimentos entre em colapso, levando a um quadro de insegurança alimentar.</w:t>
      </w:r>
    </w:p>
    <w:p w14:paraId="4373BB9F" w14:textId="77777777" w:rsidR="00973323" w:rsidRPr="00973323" w:rsidRDefault="00973323" w:rsidP="00973323">
      <w:pPr>
        <w:spacing w:after="0" w:line="360" w:lineRule="auto"/>
        <w:ind w:firstLine="708"/>
        <w:jc w:val="both"/>
        <w:rPr>
          <w:rFonts w:ascii="Times New Roman" w:hAnsi="Times New Roman" w:cs="Times New Roman"/>
          <w:sz w:val="24"/>
          <w:szCs w:val="24"/>
        </w:rPr>
      </w:pPr>
    </w:p>
    <w:p w14:paraId="49F1AC2F" w14:textId="77777777" w:rsidR="00973323" w:rsidRPr="00973323" w:rsidRDefault="00973323" w:rsidP="00973323">
      <w:pPr>
        <w:numPr>
          <w:ilvl w:val="2"/>
          <w:numId w:val="1"/>
        </w:numPr>
        <w:spacing w:after="0" w:line="360" w:lineRule="auto"/>
        <w:jc w:val="both"/>
        <w:rPr>
          <w:rFonts w:ascii="Times New Roman" w:hAnsi="Times New Roman" w:cs="Times New Roman"/>
          <w:sz w:val="24"/>
          <w:szCs w:val="24"/>
        </w:rPr>
      </w:pPr>
      <w:r w:rsidRPr="00973323">
        <w:rPr>
          <w:rFonts w:ascii="Times New Roman" w:hAnsi="Times New Roman" w:cs="Times New Roman"/>
          <w:sz w:val="24"/>
          <w:szCs w:val="24"/>
        </w:rPr>
        <w:t>Dificuldades administrativas na gestão territorial;</w:t>
      </w:r>
    </w:p>
    <w:p w14:paraId="576776B7" w14:textId="77777777" w:rsidR="00973323" w:rsidRPr="00973323" w:rsidRDefault="00973323" w:rsidP="00973323">
      <w:pPr>
        <w:spacing w:after="0" w:line="360" w:lineRule="auto"/>
        <w:ind w:firstLine="708"/>
        <w:jc w:val="both"/>
        <w:rPr>
          <w:rFonts w:ascii="Times New Roman" w:hAnsi="Times New Roman" w:cs="Times New Roman"/>
          <w:sz w:val="24"/>
          <w:szCs w:val="24"/>
        </w:rPr>
      </w:pPr>
      <w:r w:rsidRPr="00973323">
        <w:rPr>
          <w:rFonts w:ascii="Times New Roman" w:hAnsi="Times New Roman" w:cs="Times New Roman"/>
          <w:sz w:val="24"/>
          <w:szCs w:val="24"/>
        </w:rPr>
        <w:t xml:space="preserve">Os núcleos urbanos informais da zona rural fazem parte da “cidade informal”, isto é, são áreas cujo registro da propriedade não corresponde à realidade. A dificuldade do Poder Público em gerir estas áreas inicia-se pela falta de informação sobre o local, seu detentor, edificações, benfeitorias e infraestrutura servida. Sem estas informações, o imóvel não é incluído no cadastro multifinalitário municipal, que é uma espécie de sistema de banco de dados de bens imobiliários mapeados com informações associadas. Este cadastro é utilizado para a obtenção de dados sobre o território, fornecendo o embasamento necessário para as decisões </w:t>
      </w:r>
      <w:r w:rsidRPr="00973323">
        <w:rPr>
          <w:rFonts w:ascii="Times New Roman" w:hAnsi="Times New Roman" w:cs="Times New Roman"/>
          <w:sz w:val="24"/>
          <w:szCs w:val="24"/>
        </w:rPr>
        <w:lastRenderedPageBreak/>
        <w:t>administrativas relativas ao planejamento urbano e à implementação de políticas públicas (PESSOA et al., 2019). A análise de dados incompletos, isto é, que não contém informações sobre os núcleos informais urbanos da zona rural, possui caráter enviesado e não reflete a realidade. A adoção desses dados incompletos para a tomada de decisão pode, por exemplo, levar o Poder Público a implantar unidades de saúde e de ensino subdimensionadas e em localização não tão democrática. Por outro lado, o Município também deixa de arrecadar, pois sem estas informações não consegue cobrar o imposto devido dos ocupantes do núcleo informal urbano. Num cenário em que o núcleo informal urbano é regularizado, devido à sua localização afastada do centro urbano e o aumento da malha viária não planejada, a prestação de serviço público, a manutenção das áreas públicas e a melhoria da infraestrutura tornam-se extremamente onerosas. Ainda, com o adensamento do núcleo informal urbano na zona rural, poderá ser necessário a implantação de espaços e serviços públicos. Todavia, sem áreas institucionais e verdes reservadas, o Poder Público enfrentará dificuldades para obter uma área com localização adequada.</w:t>
      </w:r>
    </w:p>
    <w:p w14:paraId="37423D0C" w14:textId="77777777" w:rsidR="00973323" w:rsidRPr="00973323" w:rsidRDefault="00973323" w:rsidP="00973323">
      <w:pPr>
        <w:spacing w:after="0" w:line="360" w:lineRule="auto"/>
        <w:ind w:firstLine="708"/>
        <w:jc w:val="both"/>
        <w:rPr>
          <w:rFonts w:ascii="Times New Roman" w:hAnsi="Times New Roman" w:cs="Times New Roman"/>
          <w:sz w:val="24"/>
          <w:szCs w:val="24"/>
        </w:rPr>
      </w:pPr>
    </w:p>
    <w:p w14:paraId="032CC4CA" w14:textId="77777777" w:rsidR="00973323" w:rsidRPr="00973323" w:rsidRDefault="00973323" w:rsidP="00973323">
      <w:pPr>
        <w:numPr>
          <w:ilvl w:val="2"/>
          <w:numId w:val="1"/>
        </w:numPr>
        <w:spacing w:after="0" w:line="360" w:lineRule="auto"/>
        <w:jc w:val="both"/>
        <w:rPr>
          <w:rFonts w:ascii="Times New Roman" w:hAnsi="Times New Roman" w:cs="Times New Roman"/>
          <w:sz w:val="24"/>
          <w:szCs w:val="24"/>
        </w:rPr>
      </w:pPr>
      <w:r w:rsidRPr="00973323">
        <w:rPr>
          <w:rFonts w:ascii="Times New Roman" w:hAnsi="Times New Roman" w:cs="Times New Roman"/>
          <w:sz w:val="24"/>
          <w:szCs w:val="24"/>
        </w:rPr>
        <w:t>Problemas de mobilidade e acessibilidade;</w:t>
      </w:r>
    </w:p>
    <w:p w14:paraId="67861B2C" w14:textId="77777777" w:rsidR="00973323" w:rsidRPr="00973323" w:rsidRDefault="00973323" w:rsidP="00973323">
      <w:pPr>
        <w:spacing w:after="0" w:line="360" w:lineRule="auto"/>
        <w:ind w:firstLine="708"/>
        <w:jc w:val="both"/>
        <w:rPr>
          <w:rFonts w:ascii="Times New Roman" w:hAnsi="Times New Roman" w:cs="Times New Roman"/>
          <w:sz w:val="24"/>
          <w:szCs w:val="24"/>
        </w:rPr>
      </w:pPr>
      <w:r w:rsidRPr="00973323">
        <w:rPr>
          <w:rFonts w:ascii="Times New Roman" w:hAnsi="Times New Roman" w:cs="Times New Roman"/>
          <w:sz w:val="24"/>
          <w:szCs w:val="24"/>
        </w:rPr>
        <w:t xml:space="preserve">Os núcleos informais urbanos na zona rural são em geral dotados de vias de acesso estreitas e modestas, abertas sem considerar o incremento de tráfego do futuro, sem observação das normas técnicas para execução da base de pavimentos, normalmente sem meios de drenagem pluvial, sem planejar futuras conexões viárias e prolongamento de vias, sem dispor de espaço para alargamentos e implantação de dispositivos de segurança, sem calçadas ou ciclovias, sem sinalização. As vias nestes locais assemelham-se muito mais a servidões de passagem do que a vias urbanas de fato. Sem o devido planejamento, com a consolidação do núcleo informal começam a surgir problemas de tráfego. As vias não comportam o tráfego simultâneo de veículos em fluxos de sentido oposto, sendo necessário, em algumas situações, a utilização de marcha-à-ré. Não há espaço para manobra de carros maiores, dificultando o acesso de veículos de serviço, tais como caminhões de mudança e betoneiras, caminhão de coleta de lixo, ambulâncias, defesa civil, corpo de bombeiros. Quando a configuração do núcleo se dá com unidades em ambos os lados da via, o problema se agrava, pois, com a consolidação </w:t>
      </w:r>
      <w:r w:rsidRPr="00973323">
        <w:rPr>
          <w:rFonts w:ascii="Times New Roman" w:hAnsi="Times New Roman" w:cs="Times New Roman"/>
          <w:sz w:val="24"/>
          <w:szCs w:val="24"/>
        </w:rPr>
        <w:lastRenderedPageBreak/>
        <w:t>das edificações, poderá ser necessária a adoção de demolição para alargamento da via num cenário de regularização. Destaca-se que nas vias do tipo de núcleo em estudo não é feita a demarcação de áreas protegidas para o trânsito de pedestres, bicicletas e tampouco de faixa livre acessível. Por outro lado, observa-se a necessidade de vias estruturadas devido ao aumento da dependência de automóveis por parte dos ocupantes dos núcleos informais consolidados na zona rural, visto que o núcleo se localiza distante da zona urbana. Isto também é um indicativo de que os ocupantes deste tipo de núcleo possuem situação financeira que lhes permite arcar com os custos de manutenção veicular e combustível, indicando que as moradias localizadas neste tipo de núcleo dificilmente pertencerão à população pobre e vulnerável (DURÁN, 2003).</w:t>
      </w:r>
    </w:p>
    <w:p w14:paraId="1ECD641F" w14:textId="77777777" w:rsidR="00973323" w:rsidRPr="00973323" w:rsidRDefault="00973323" w:rsidP="00973323">
      <w:pPr>
        <w:spacing w:after="0" w:line="360" w:lineRule="auto"/>
        <w:ind w:firstLine="708"/>
        <w:jc w:val="both"/>
        <w:rPr>
          <w:rFonts w:ascii="Times New Roman" w:hAnsi="Times New Roman" w:cs="Times New Roman"/>
          <w:sz w:val="24"/>
          <w:szCs w:val="24"/>
        </w:rPr>
      </w:pPr>
    </w:p>
    <w:p w14:paraId="4886AA6A" w14:textId="77777777" w:rsidR="00973323" w:rsidRPr="00973323" w:rsidRDefault="00973323" w:rsidP="00973323">
      <w:pPr>
        <w:numPr>
          <w:ilvl w:val="2"/>
          <w:numId w:val="1"/>
        </w:numPr>
        <w:spacing w:after="0" w:line="360" w:lineRule="auto"/>
        <w:jc w:val="both"/>
        <w:rPr>
          <w:rFonts w:ascii="Times New Roman" w:hAnsi="Times New Roman" w:cs="Times New Roman"/>
          <w:sz w:val="24"/>
          <w:szCs w:val="24"/>
        </w:rPr>
      </w:pPr>
      <w:r w:rsidRPr="00973323">
        <w:rPr>
          <w:rFonts w:ascii="Times New Roman" w:hAnsi="Times New Roman" w:cs="Times New Roman"/>
          <w:sz w:val="24"/>
          <w:szCs w:val="24"/>
        </w:rPr>
        <w:t>Problemas relacionados a registro, direito de propriedade, sucessão e partilha de bens;</w:t>
      </w:r>
    </w:p>
    <w:p w14:paraId="71448457" w14:textId="77777777" w:rsidR="00973323" w:rsidRPr="00973323" w:rsidRDefault="00973323" w:rsidP="00973323">
      <w:pPr>
        <w:spacing w:after="0" w:line="360" w:lineRule="auto"/>
        <w:ind w:firstLine="708"/>
        <w:jc w:val="both"/>
        <w:rPr>
          <w:rFonts w:ascii="Times New Roman" w:hAnsi="Times New Roman" w:cs="Times New Roman"/>
          <w:sz w:val="24"/>
          <w:szCs w:val="24"/>
        </w:rPr>
      </w:pPr>
      <w:r w:rsidRPr="00973323">
        <w:rPr>
          <w:rFonts w:ascii="Times New Roman" w:hAnsi="Times New Roman" w:cs="Times New Roman"/>
          <w:sz w:val="24"/>
          <w:szCs w:val="24"/>
        </w:rPr>
        <w:t xml:space="preserve">O Código Civil especifica que só se adquire direitos reais sobre um imóvel através de registro em cartório. Assim, uma vez que os terrenos dos núcleos informais urbanos não possuem registro devido aos vícios decorrentes da forma que surgiram, seus detentores não possuem direitos reais, valendo-se da posse. Diante deste quadro, é bastante comum haver problemas relacionados a processos de partilha de bens e sucessão, pois em geral o documento registrado da área não corresponde à realidade. Há notícia de casal em litígio que disputam terreno sem registro no processo de divórcio, criando um impasse na separação dos bens. Também foi identificado caso em que o proprietário original e responsável pela promoção do parcelamento irregular que deu origem a um núcleo informal urbano na zona rural faleceu, deixando em seu espólio o imóvel ocupado por terceiros, de modo que seus herdeiros recebem o título, mas não a posse da área, e precisam brigar na justiça para obtê-la. Há também diversos casos em que o detentor da posse de um terreno irregular falece, e seus herdeiros buscam de alguma forma incluir o imóvel irregular, de modo frustrado, no inventário. Além disso, como não se observam as exigências tabulares para registro de imóveis, é corriqueiro em núcleos informais urbanos na zona rural a imprecisão de divisas devido à descrição pobre do terreno, especialmente por não haver referências para amarração. Como as vendas dos terrenos </w:t>
      </w:r>
      <w:r w:rsidRPr="00973323">
        <w:rPr>
          <w:rFonts w:ascii="Times New Roman" w:hAnsi="Times New Roman" w:cs="Times New Roman"/>
          <w:sz w:val="24"/>
          <w:szCs w:val="24"/>
        </w:rPr>
        <w:lastRenderedPageBreak/>
        <w:t xml:space="preserve">normalmente são feitas sem o auxílio de profissionais de agrimensura, é comum ocorrer invasão de áreas adjacentes, gerando conflitos com os imóveis confrontantes. </w:t>
      </w:r>
    </w:p>
    <w:p w14:paraId="4D4B8D28" w14:textId="06A25CFE" w:rsidR="00973323" w:rsidRDefault="00973323" w:rsidP="00973323">
      <w:pPr>
        <w:spacing w:after="0" w:line="360" w:lineRule="auto"/>
        <w:ind w:firstLine="708"/>
        <w:jc w:val="both"/>
        <w:rPr>
          <w:rFonts w:ascii="Times New Roman" w:hAnsi="Times New Roman" w:cs="Times New Roman"/>
          <w:sz w:val="24"/>
          <w:szCs w:val="24"/>
        </w:rPr>
      </w:pPr>
      <w:r w:rsidRPr="00973323">
        <w:rPr>
          <w:rFonts w:ascii="Times New Roman" w:hAnsi="Times New Roman" w:cs="Times New Roman"/>
          <w:sz w:val="24"/>
          <w:szCs w:val="24"/>
        </w:rPr>
        <w:t>Os problemas listados nos itens 2.1.1 a 2.1.9 estão, de certo modo, interligados, desencadeando consequências que afetam áreas distintas. Ao buscar classificar os problemas listados a partir de suas consequências, obteve-se o Quadro 1, onde observou-se que todos os itens identificados possuem reflexos danosos à sociedade.</w:t>
      </w:r>
    </w:p>
    <w:p w14:paraId="1DD6208B" w14:textId="77777777" w:rsidR="003D5C52" w:rsidRPr="00973323" w:rsidRDefault="003D5C52" w:rsidP="00973323">
      <w:pPr>
        <w:spacing w:after="0" w:line="360" w:lineRule="auto"/>
        <w:ind w:firstLine="708"/>
        <w:jc w:val="both"/>
        <w:rPr>
          <w:rFonts w:ascii="Times New Roman" w:hAnsi="Times New Roman" w:cs="Times New Roman"/>
          <w:sz w:val="24"/>
          <w:szCs w:val="24"/>
        </w:rPr>
      </w:pPr>
    </w:p>
    <w:p w14:paraId="66730B60" w14:textId="77777777" w:rsidR="00973323" w:rsidRPr="00973323" w:rsidRDefault="00973323" w:rsidP="00153547">
      <w:pPr>
        <w:spacing w:after="0" w:line="240" w:lineRule="auto"/>
        <w:jc w:val="both"/>
        <w:rPr>
          <w:rFonts w:ascii="Times New Roman" w:hAnsi="Times New Roman" w:cs="Times New Roman"/>
          <w:sz w:val="24"/>
          <w:szCs w:val="24"/>
        </w:rPr>
      </w:pPr>
      <w:r w:rsidRPr="00973323">
        <w:rPr>
          <w:rFonts w:ascii="Times New Roman" w:hAnsi="Times New Roman" w:cs="Times New Roman"/>
          <w:sz w:val="24"/>
          <w:szCs w:val="24"/>
        </w:rPr>
        <w:t>Quadro 1 – Quadro-resumo relacionando problemas identificados em núcleos informais urbanos da zona rural com a esfera em que suas consequências se enquadram.</w:t>
      </w:r>
    </w:p>
    <w:tbl>
      <w:tblPr>
        <w:tblStyle w:val="Tabelacomgrade"/>
        <w:tblW w:w="8636" w:type="dxa"/>
        <w:tblLook w:val="04A0" w:firstRow="1" w:lastRow="0" w:firstColumn="1" w:lastColumn="0" w:noHBand="0" w:noVBand="1"/>
      </w:tblPr>
      <w:tblGrid>
        <w:gridCol w:w="5896"/>
        <w:gridCol w:w="548"/>
        <w:gridCol w:w="548"/>
        <w:gridCol w:w="548"/>
        <w:gridCol w:w="548"/>
        <w:gridCol w:w="548"/>
      </w:tblGrid>
      <w:tr w:rsidR="00973323" w:rsidRPr="00973323" w14:paraId="239D4B3E" w14:textId="77777777" w:rsidTr="00CA7E9C">
        <w:trPr>
          <w:cantSplit/>
          <w:trHeight w:val="1705"/>
        </w:trPr>
        <w:tc>
          <w:tcPr>
            <w:tcW w:w="6185" w:type="dxa"/>
          </w:tcPr>
          <w:p w14:paraId="66884587" w14:textId="77777777" w:rsidR="00973323" w:rsidRPr="00973323" w:rsidRDefault="00973323" w:rsidP="00F2336F">
            <w:pPr>
              <w:spacing w:after="0" w:line="276" w:lineRule="auto"/>
              <w:jc w:val="both"/>
              <w:rPr>
                <w:rFonts w:ascii="Times New Roman" w:hAnsi="Times New Roman" w:cs="Times New Roman"/>
                <w:sz w:val="24"/>
                <w:szCs w:val="24"/>
              </w:rPr>
            </w:pPr>
          </w:p>
        </w:tc>
        <w:tc>
          <w:tcPr>
            <w:tcW w:w="487" w:type="dxa"/>
            <w:textDirection w:val="btLr"/>
          </w:tcPr>
          <w:p w14:paraId="14E03C37" w14:textId="77777777" w:rsidR="00973323" w:rsidRPr="00973323" w:rsidRDefault="00973323" w:rsidP="00F2336F">
            <w:pPr>
              <w:spacing w:after="0" w:line="276" w:lineRule="auto"/>
              <w:jc w:val="both"/>
              <w:rPr>
                <w:rFonts w:ascii="Times New Roman" w:hAnsi="Times New Roman" w:cs="Times New Roman"/>
                <w:sz w:val="24"/>
                <w:szCs w:val="24"/>
              </w:rPr>
            </w:pPr>
            <w:r w:rsidRPr="00973323">
              <w:rPr>
                <w:rFonts w:ascii="Times New Roman" w:hAnsi="Times New Roman" w:cs="Times New Roman"/>
                <w:sz w:val="24"/>
                <w:szCs w:val="24"/>
              </w:rPr>
              <w:t>Legal</w:t>
            </w:r>
          </w:p>
        </w:tc>
        <w:tc>
          <w:tcPr>
            <w:tcW w:w="482" w:type="dxa"/>
            <w:textDirection w:val="btLr"/>
          </w:tcPr>
          <w:p w14:paraId="7972BA3B" w14:textId="77777777" w:rsidR="00973323" w:rsidRPr="00973323" w:rsidRDefault="00973323" w:rsidP="00F2336F">
            <w:pPr>
              <w:spacing w:after="0" w:line="276" w:lineRule="auto"/>
              <w:jc w:val="both"/>
              <w:rPr>
                <w:rFonts w:ascii="Times New Roman" w:hAnsi="Times New Roman" w:cs="Times New Roman"/>
                <w:sz w:val="24"/>
                <w:szCs w:val="24"/>
              </w:rPr>
            </w:pPr>
            <w:r w:rsidRPr="00973323">
              <w:rPr>
                <w:rFonts w:ascii="Times New Roman" w:hAnsi="Times New Roman" w:cs="Times New Roman"/>
                <w:sz w:val="24"/>
                <w:szCs w:val="24"/>
              </w:rPr>
              <w:t>Urbanística</w:t>
            </w:r>
          </w:p>
        </w:tc>
        <w:tc>
          <w:tcPr>
            <w:tcW w:w="509" w:type="dxa"/>
            <w:textDirection w:val="btLr"/>
          </w:tcPr>
          <w:p w14:paraId="415F68BD" w14:textId="77777777" w:rsidR="00973323" w:rsidRPr="00973323" w:rsidRDefault="00973323" w:rsidP="00F2336F">
            <w:pPr>
              <w:spacing w:after="0" w:line="276" w:lineRule="auto"/>
              <w:jc w:val="both"/>
              <w:rPr>
                <w:rFonts w:ascii="Times New Roman" w:hAnsi="Times New Roman" w:cs="Times New Roman"/>
                <w:sz w:val="24"/>
                <w:szCs w:val="24"/>
              </w:rPr>
            </w:pPr>
            <w:r w:rsidRPr="00973323">
              <w:rPr>
                <w:rFonts w:ascii="Times New Roman" w:hAnsi="Times New Roman" w:cs="Times New Roman"/>
                <w:sz w:val="24"/>
                <w:szCs w:val="24"/>
              </w:rPr>
              <w:t>Administrativa</w:t>
            </w:r>
          </w:p>
        </w:tc>
        <w:tc>
          <w:tcPr>
            <w:tcW w:w="482" w:type="dxa"/>
            <w:textDirection w:val="btLr"/>
          </w:tcPr>
          <w:p w14:paraId="0441E584" w14:textId="77777777" w:rsidR="00973323" w:rsidRPr="00973323" w:rsidRDefault="00973323" w:rsidP="00F2336F">
            <w:pPr>
              <w:spacing w:after="0" w:line="276" w:lineRule="auto"/>
              <w:jc w:val="both"/>
              <w:rPr>
                <w:rFonts w:ascii="Times New Roman" w:hAnsi="Times New Roman" w:cs="Times New Roman"/>
                <w:sz w:val="24"/>
                <w:szCs w:val="24"/>
              </w:rPr>
            </w:pPr>
            <w:r w:rsidRPr="00973323">
              <w:rPr>
                <w:rFonts w:ascii="Times New Roman" w:hAnsi="Times New Roman" w:cs="Times New Roman"/>
                <w:sz w:val="24"/>
                <w:szCs w:val="24"/>
              </w:rPr>
              <w:t>Ambiental</w:t>
            </w:r>
          </w:p>
        </w:tc>
        <w:tc>
          <w:tcPr>
            <w:tcW w:w="491" w:type="dxa"/>
            <w:textDirection w:val="btLr"/>
          </w:tcPr>
          <w:p w14:paraId="6F0EBE09" w14:textId="1ED34F09" w:rsidR="00973323" w:rsidRPr="00973323" w:rsidRDefault="00973323" w:rsidP="00F2336F">
            <w:pPr>
              <w:spacing w:after="0" w:line="276" w:lineRule="auto"/>
              <w:jc w:val="both"/>
              <w:rPr>
                <w:rFonts w:ascii="Times New Roman" w:hAnsi="Times New Roman" w:cs="Times New Roman"/>
                <w:sz w:val="24"/>
                <w:szCs w:val="24"/>
              </w:rPr>
            </w:pPr>
            <w:r w:rsidRPr="00973323">
              <w:rPr>
                <w:rFonts w:ascii="Times New Roman" w:hAnsi="Times New Roman" w:cs="Times New Roman"/>
                <w:sz w:val="24"/>
                <w:szCs w:val="24"/>
              </w:rPr>
              <w:t>Socioeconômica</w:t>
            </w:r>
          </w:p>
        </w:tc>
      </w:tr>
      <w:tr w:rsidR="00973323" w:rsidRPr="00973323" w14:paraId="445BB840" w14:textId="77777777" w:rsidTr="008E2D64">
        <w:tc>
          <w:tcPr>
            <w:tcW w:w="6185" w:type="dxa"/>
          </w:tcPr>
          <w:p w14:paraId="645C599F" w14:textId="7AA232D2" w:rsidR="00973323" w:rsidRPr="00973323" w:rsidRDefault="00973323" w:rsidP="00F2336F">
            <w:pPr>
              <w:spacing w:after="0" w:line="276" w:lineRule="auto"/>
              <w:jc w:val="both"/>
              <w:rPr>
                <w:rFonts w:ascii="Times New Roman" w:hAnsi="Times New Roman" w:cs="Times New Roman"/>
                <w:sz w:val="24"/>
                <w:szCs w:val="24"/>
              </w:rPr>
            </w:pPr>
            <w:r w:rsidRPr="00973323">
              <w:rPr>
                <w:rFonts w:ascii="Times New Roman" w:hAnsi="Times New Roman" w:cs="Times New Roman"/>
                <w:sz w:val="24"/>
                <w:szCs w:val="24"/>
              </w:rPr>
              <w:t>Incompatibilidade entre usos urbano e rural</w:t>
            </w:r>
          </w:p>
        </w:tc>
        <w:tc>
          <w:tcPr>
            <w:tcW w:w="487" w:type="dxa"/>
            <w:vAlign w:val="center"/>
          </w:tcPr>
          <w:p w14:paraId="45E70945"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482" w:type="dxa"/>
            <w:vAlign w:val="center"/>
          </w:tcPr>
          <w:p w14:paraId="4B5B741B"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509" w:type="dxa"/>
            <w:vAlign w:val="center"/>
          </w:tcPr>
          <w:p w14:paraId="0E821A0F"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482" w:type="dxa"/>
            <w:vAlign w:val="center"/>
          </w:tcPr>
          <w:p w14:paraId="302E7AA8"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491" w:type="dxa"/>
            <w:vAlign w:val="center"/>
          </w:tcPr>
          <w:p w14:paraId="02244445"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r>
      <w:tr w:rsidR="00973323" w:rsidRPr="00973323" w14:paraId="028D82C0" w14:textId="77777777" w:rsidTr="008E2D64">
        <w:tc>
          <w:tcPr>
            <w:tcW w:w="6185" w:type="dxa"/>
          </w:tcPr>
          <w:p w14:paraId="0DB83709" w14:textId="77777777" w:rsidR="00973323" w:rsidRPr="00973323" w:rsidRDefault="00973323" w:rsidP="00F2336F">
            <w:pPr>
              <w:spacing w:after="0" w:line="276" w:lineRule="auto"/>
              <w:jc w:val="both"/>
              <w:rPr>
                <w:rFonts w:ascii="Times New Roman" w:hAnsi="Times New Roman" w:cs="Times New Roman"/>
                <w:sz w:val="24"/>
                <w:szCs w:val="24"/>
              </w:rPr>
            </w:pPr>
            <w:r w:rsidRPr="00973323">
              <w:rPr>
                <w:rFonts w:ascii="Times New Roman" w:hAnsi="Times New Roman" w:cs="Times New Roman"/>
                <w:sz w:val="24"/>
                <w:szCs w:val="24"/>
              </w:rPr>
              <w:t>Proliferação de Vetores</w:t>
            </w:r>
          </w:p>
        </w:tc>
        <w:tc>
          <w:tcPr>
            <w:tcW w:w="487" w:type="dxa"/>
            <w:vAlign w:val="center"/>
          </w:tcPr>
          <w:p w14:paraId="6F241F32" w14:textId="77777777" w:rsidR="00973323" w:rsidRPr="00973323" w:rsidRDefault="00973323" w:rsidP="00F2336F">
            <w:pPr>
              <w:spacing w:after="0" w:line="276" w:lineRule="auto"/>
              <w:jc w:val="center"/>
              <w:rPr>
                <w:rFonts w:ascii="Times New Roman" w:hAnsi="Times New Roman" w:cs="Times New Roman"/>
                <w:sz w:val="24"/>
                <w:szCs w:val="24"/>
              </w:rPr>
            </w:pPr>
          </w:p>
        </w:tc>
        <w:tc>
          <w:tcPr>
            <w:tcW w:w="482" w:type="dxa"/>
            <w:vAlign w:val="center"/>
          </w:tcPr>
          <w:p w14:paraId="57CDB394" w14:textId="77777777" w:rsidR="00973323" w:rsidRPr="00973323" w:rsidRDefault="00973323" w:rsidP="00F2336F">
            <w:pPr>
              <w:spacing w:after="0" w:line="276" w:lineRule="auto"/>
              <w:jc w:val="center"/>
              <w:rPr>
                <w:rFonts w:ascii="Times New Roman" w:hAnsi="Times New Roman" w:cs="Times New Roman"/>
                <w:sz w:val="24"/>
                <w:szCs w:val="24"/>
              </w:rPr>
            </w:pPr>
          </w:p>
        </w:tc>
        <w:tc>
          <w:tcPr>
            <w:tcW w:w="509" w:type="dxa"/>
            <w:vAlign w:val="center"/>
          </w:tcPr>
          <w:p w14:paraId="096F1CB2" w14:textId="77777777" w:rsidR="00973323" w:rsidRPr="00973323" w:rsidRDefault="00973323" w:rsidP="00F2336F">
            <w:pPr>
              <w:spacing w:after="0" w:line="276" w:lineRule="auto"/>
              <w:jc w:val="center"/>
              <w:rPr>
                <w:rFonts w:ascii="Times New Roman" w:hAnsi="Times New Roman" w:cs="Times New Roman"/>
                <w:sz w:val="24"/>
                <w:szCs w:val="24"/>
              </w:rPr>
            </w:pPr>
          </w:p>
        </w:tc>
        <w:tc>
          <w:tcPr>
            <w:tcW w:w="482" w:type="dxa"/>
            <w:vAlign w:val="center"/>
          </w:tcPr>
          <w:p w14:paraId="06AC89AC"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491" w:type="dxa"/>
            <w:vAlign w:val="center"/>
          </w:tcPr>
          <w:p w14:paraId="242A3705"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r>
      <w:tr w:rsidR="00973323" w:rsidRPr="00973323" w14:paraId="141F4715" w14:textId="77777777" w:rsidTr="008E2D64">
        <w:tc>
          <w:tcPr>
            <w:tcW w:w="6185" w:type="dxa"/>
          </w:tcPr>
          <w:p w14:paraId="09DDC19E" w14:textId="77777777" w:rsidR="00973323" w:rsidRPr="00973323" w:rsidRDefault="00973323" w:rsidP="00F2336F">
            <w:pPr>
              <w:spacing w:after="0" w:line="276" w:lineRule="auto"/>
              <w:jc w:val="both"/>
              <w:rPr>
                <w:rFonts w:ascii="Times New Roman" w:hAnsi="Times New Roman" w:cs="Times New Roman"/>
                <w:sz w:val="24"/>
                <w:szCs w:val="24"/>
              </w:rPr>
            </w:pPr>
            <w:r w:rsidRPr="00973323">
              <w:rPr>
                <w:rFonts w:ascii="Times New Roman" w:hAnsi="Times New Roman" w:cs="Times New Roman"/>
                <w:sz w:val="24"/>
                <w:szCs w:val="24"/>
              </w:rPr>
              <w:t>Intensa transformação da Paisagem</w:t>
            </w:r>
          </w:p>
        </w:tc>
        <w:tc>
          <w:tcPr>
            <w:tcW w:w="487" w:type="dxa"/>
            <w:vAlign w:val="center"/>
          </w:tcPr>
          <w:p w14:paraId="1B5970EB" w14:textId="77777777" w:rsidR="00973323" w:rsidRPr="00973323" w:rsidRDefault="00973323" w:rsidP="00F2336F">
            <w:pPr>
              <w:spacing w:after="0" w:line="276" w:lineRule="auto"/>
              <w:jc w:val="center"/>
              <w:rPr>
                <w:rFonts w:ascii="Times New Roman" w:hAnsi="Times New Roman" w:cs="Times New Roman"/>
                <w:sz w:val="24"/>
                <w:szCs w:val="24"/>
              </w:rPr>
            </w:pPr>
          </w:p>
        </w:tc>
        <w:tc>
          <w:tcPr>
            <w:tcW w:w="482" w:type="dxa"/>
            <w:vAlign w:val="center"/>
          </w:tcPr>
          <w:p w14:paraId="514D996A"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509" w:type="dxa"/>
            <w:vAlign w:val="center"/>
          </w:tcPr>
          <w:p w14:paraId="29034EFD" w14:textId="77777777" w:rsidR="00973323" w:rsidRPr="00973323" w:rsidRDefault="00973323" w:rsidP="00F2336F">
            <w:pPr>
              <w:spacing w:after="0" w:line="276" w:lineRule="auto"/>
              <w:jc w:val="center"/>
              <w:rPr>
                <w:rFonts w:ascii="Times New Roman" w:hAnsi="Times New Roman" w:cs="Times New Roman"/>
                <w:sz w:val="24"/>
                <w:szCs w:val="24"/>
              </w:rPr>
            </w:pPr>
          </w:p>
        </w:tc>
        <w:tc>
          <w:tcPr>
            <w:tcW w:w="482" w:type="dxa"/>
            <w:vAlign w:val="center"/>
          </w:tcPr>
          <w:p w14:paraId="7EFA0909"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491" w:type="dxa"/>
            <w:vAlign w:val="center"/>
          </w:tcPr>
          <w:p w14:paraId="5939A943"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r>
      <w:tr w:rsidR="00973323" w:rsidRPr="00973323" w14:paraId="67653626" w14:textId="77777777" w:rsidTr="008E2D64">
        <w:tc>
          <w:tcPr>
            <w:tcW w:w="6185" w:type="dxa"/>
          </w:tcPr>
          <w:p w14:paraId="0EF6BF02" w14:textId="77777777" w:rsidR="00973323" w:rsidRPr="00973323" w:rsidRDefault="00973323" w:rsidP="00F2336F">
            <w:pPr>
              <w:spacing w:after="0" w:line="276" w:lineRule="auto"/>
              <w:jc w:val="both"/>
              <w:rPr>
                <w:rFonts w:ascii="Times New Roman" w:hAnsi="Times New Roman" w:cs="Times New Roman"/>
                <w:sz w:val="24"/>
                <w:szCs w:val="24"/>
              </w:rPr>
            </w:pPr>
            <w:r w:rsidRPr="00973323">
              <w:rPr>
                <w:rFonts w:ascii="Times New Roman" w:hAnsi="Times New Roman" w:cs="Times New Roman"/>
                <w:sz w:val="24"/>
                <w:szCs w:val="24"/>
              </w:rPr>
              <w:t>Supressão da cobertura vegetal e danos ao solo</w:t>
            </w:r>
          </w:p>
        </w:tc>
        <w:tc>
          <w:tcPr>
            <w:tcW w:w="487" w:type="dxa"/>
            <w:vAlign w:val="center"/>
          </w:tcPr>
          <w:p w14:paraId="2B0A630E"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482" w:type="dxa"/>
            <w:vAlign w:val="center"/>
          </w:tcPr>
          <w:p w14:paraId="4886D3D2"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509" w:type="dxa"/>
            <w:vAlign w:val="center"/>
          </w:tcPr>
          <w:p w14:paraId="777900EB" w14:textId="77777777" w:rsidR="00973323" w:rsidRPr="00973323" w:rsidRDefault="00973323" w:rsidP="00F2336F">
            <w:pPr>
              <w:spacing w:after="0" w:line="276" w:lineRule="auto"/>
              <w:jc w:val="center"/>
              <w:rPr>
                <w:rFonts w:ascii="Times New Roman" w:hAnsi="Times New Roman" w:cs="Times New Roman"/>
                <w:sz w:val="24"/>
                <w:szCs w:val="24"/>
              </w:rPr>
            </w:pPr>
          </w:p>
        </w:tc>
        <w:tc>
          <w:tcPr>
            <w:tcW w:w="482" w:type="dxa"/>
            <w:vAlign w:val="center"/>
          </w:tcPr>
          <w:p w14:paraId="78252B35"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491" w:type="dxa"/>
            <w:vAlign w:val="center"/>
          </w:tcPr>
          <w:p w14:paraId="44F78990"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r>
      <w:tr w:rsidR="00973323" w:rsidRPr="00973323" w14:paraId="0B42B74B" w14:textId="77777777" w:rsidTr="008E2D64">
        <w:tc>
          <w:tcPr>
            <w:tcW w:w="6185" w:type="dxa"/>
          </w:tcPr>
          <w:p w14:paraId="30DB2BAB" w14:textId="77777777" w:rsidR="00973323" w:rsidRPr="00973323" w:rsidRDefault="00973323" w:rsidP="00F2336F">
            <w:pPr>
              <w:spacing w:after="0" w:line="276" w:lineRule="auto"/>
              <w:jc w:val="both"/>
              <w:rPr>
                <w:rFonts w:ascii="Times New Roman" w:hAnsi="Times New Roman" w:cs="Times New Roman"/>
                <w:sz w:val="24"/>
                <w:szCs w:val="24"/>
              </w:rPr>
            </w:pPr>
            <w:r w:rsidRPr="00973323">
              <w:rPr>
                <w:rFonts w:ascii="Times New Roman" w:hAnsi="Times New Roman" w:cs="Times New Roman"/>
                <w:sz w:val="24"/>
                <w:szCs w:val="24"/>
              </w:rPr>
              <w:t>Aumento da contaminação do solo, ar e água</w:t>
            </w:r>
          </w:p>
        </w:tc>
        <w:tc>
          <w:tcPr>
            <w:tcW w:w="487" w:type="dxa"/>
            <w:vAlign w:val="center"/>
          </w:tcPr>
          <w:p w14:paraId="63270D1F"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482" w:type="dxa"/>
            <w:vAlign w:val="center"/>
          </w:tcPr>
          <w:p w14:paraId="6C2F3B78" w14:textId="77777777" w:rsidR="00973323" w:rsidRPr="00973323" w:rsidRDefault="00973323" w:rsidP="00F2336F">
            <w:pPr>
              <w:spacing w:after="0" w:line="276" w:lineRule="auto"/>
              <w:jc w:val="center"/>
              <w:rPr>
                <w:rFonts w:ascii="Times New Roman" w:hAnsi="Times New Roman" w:cs="Times New Roman"/>
                <w:sz w:val="24"/>
                <w:szCs w:val="24"/>
              </w:rPr>
            </w:pPr>
          </w:p>
        </w:tc>
        <w:tc>
          <w:tcPr>
            <w:tcW w:w="509" w:type="dxa"/>
            <w:vAlign w:val="center"/>
          </w:tcPr>
          <w:p w14:paraId="6B09694C" w14:textId="77777777" w:rsidR="00973323" w:rsidRPr="00973323" w:rsidRDefault="00973323" w:rsidP="00F2336F">
            <w:pPr>
              <w:spacing w:after="0" w:line="276" w:lineRule="auto"/>
              <w:jc w:val="center"/>
              <w:rPr>
                <w:rFonts w:ascii="Times New Roman" w:hAnsi="Times New Roman" w:cs="Times New Roman"/>
                <w:sz w:val="24"/>
                <w:szCs w:val="24"/>
              </w:rPr>
            </w:pPr>
          </w:p>
        </w:tc>
        <w:tc>
          <w:tcPr>
            <w:tcW w:w="482" w:type="dxa"/>
            <w:vAlign w:val="center"/>
          </w:tcPr>
          <w:p w14:paraId="63196871"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491" w:type="dxa"/>
            <w:vAlign w:val="center"/>
          </w:tcPr>
          <w:p w14:paraId="60C89D2D"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r>
      <w:tr w:rsidR="00973323" w:rsidRPr="00973323" w14:paraId="1D3591AA" w14:textId="77777777" w:rsidTr="008E2D64">
        <w:tc>
          <w:tcPr>
            <w:tcW w:w="6185" w:type="dxa"/>
          </w:tcPr>
          <w:p w14:paraId="197E79F6" w14:textId="22F25B46" w:rsidR="00973323" w:rsidRPr="00973323" w:rsidRDefault="00973323" w:rsidP="00F2336F">
            <w:pPr>
              <w:spacing w:after="0" w:line="276" w:lineRule="auto"/>
              <w:jc w:val="both"/>
              <w:rPr>
                <w:rFonts w:ascii="Times New Roman" w:hAnsi="Times New Roman" w:cs="Times New Roman"/>
                <w:sz w:val="24"/>
                <w:szCs w:val="24"/>
              </w:rPr>
            </w:pPr>
            <w:r w:rsidRPr="00973323">
              <w:rPr>
                <w:rFonts w:ascii="Times New Roman" w:hAnsi="Times New Roman" w:cs="Times New Roman"/>
                <w:sz w:val="24"/>
                <w:szCs w:val="24"/>
              </w:rPr>
              <w:t>Utilização predatória de recursos hídricos</w:t>
            </w:r>
          </w:p>
        </w:tc>
        <w:tc>
          <w:tcPr>
            <w:tcW w:w="487" w:type="dxa"/>
            <w:vAlign w:val="center"/>
          </w:tcPr>
          <w:p w14:paraId="2419914F"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482" w:type="dxa"/>
            <w:vAlign w:val="center"/>
          </w:tcPr>
          <w:p w14:paraId="03E84D5C" w14:textId="77777777" w:rsidR="00973323" w:rsidRPr="00973323" w:rsidRDefault="00973323" w:rsidP="00F2336F">
            <w:pPr>
              <w:spacing w:after="0" w:line="276" w:lineRule="auto"/>
              <w:jc w:val="center"/>
              <w:rPr>
                <w:rFonts w:ascii="Times New Roman" w:hAnsi="Times New Roman" w:cs="Times New Roman"/>
                <w:sz w:val="24"/>
                <w:szCs w:val="24"/>
              </w:rPr>
            </w:pPr>
          </w:p>
        </w:tc>
        <w:tc>
          <w:tcPr>
            <w:tcW w:w="509" w:type="dxa"/>
            <w:vAlign w:val="center"/>
          </w:tcPr>
          <w:p w14:paraId="01EC64BE" w14:textId="77777777" w:rsidR="00973323" w:rsidRPr="00973323" w:rsidRDefault="00973323" w:rsidP="00F2336F">
            <w:pPr>
              <w:spacing w:after="0" w:line="276" w:lineRule="auto"/>
              <w:jc w:val="center"/>
              <w:rPr>
                <w:rFonts w:ascii="Times New Roman" w:hAnsi="Times New Roman" w:cs="Times New Roman"/>
                <w:sz w:val="24"/>
                <w:szCs w:val="24"/>
              </w:rPr>
            </w:pPr>
          </w:p>
        </w:tc>
        <w:tc>
          <w:tcPr>
            <w:tcW w:w="482" w:type="dxa"/>
            <w:vAlign w:val="center"/>
          </w:tcPr>
          <w:p w14:paraId="64E187D7"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491" w:type="dxa"/>
            <w:vAlign w:val="center"/>
          </w:tcPr>
          <w:p w14:paraId="3B253380"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r>
      <w:tr w:rsidR="00973323" w:rsidRPr="00973323" w14:paraId="77F6B928" w14:textId="77777777" w:rsidTr="008E2D64">
        <w:tc>
          <w:tcPr>
            <w:tcW w:w="6185" w:type="dxa"/>
          </w:tcPr>
          <w:p w14:paraId="2B21EA45" w14:textId="46A45808" w:rsidR="00973323" w:rsidRPr="00973323" w:rsidRDefault="00973323" w:rsidP="00F2336F">
            <w:pPr>
              <w:spacing w:after="0" w:line="276" w:lineRule="auto"/>
              <w:jc w:val="both"/>
              <w:rPr>
                <w:rFonts w:ascii="Times New Roman" w:hAnsi="Times New Roman" w:cs="Times New Roman"/>
                <w:sz w:val="24"/>
                <w:szCs w:val="24"/>
              </w:rPr>
            </w:pPr>
            <w:r w:rsidRPr="00973323">
              <w:rPr>
                <w:rFonts w:ascii="Times New Roman" w:hAnsi="Times New Roman" w:cs="Times New Roman"/>
                <w:sz w:val="24"/>
                <w:szCs w:val="24"/>
              </w:rPr>
              <w:t>Dificuldades administrativas na gestão territorial</w:t>
            </w:r>
          </w:p>
        </w:tc>
        <w:tc>
          <w:tcPr>
            <w:tcW w:w="487" w:type="dxa"/>
            <w:vAlign w:val="center"/>
          </w:tcPr>
          <w:p w14:paraId="4F2525CB" w14:textId="77777777" w:rsidR="00973323" w:rsidRPr="00973323" w:rsidRDefault="00973323" w:rsidP="00F2336F">
            <w:pPr>
              <w:spacing w:after="0" w:line="276" w:lineRule="auto"/>
              <w:jc w:val="center"/>
              <w:rPr>
                <w:rFonts w:ascii="Times New Roman" w:hAnsi="Times New Roman" w:cs="Times New Roman"/>
                <w:sz w:val="24"/>
                <w:szCs w:val="24"/>
              </w:rPr>
            </w:pPr>
          </w:p>
        </w:tc>
        <w:tc>
          <w:tcPr>
            <w:tcW w:w="482" w:type="dxa"/>
            <w:vAlign w:val="center"/>
          </w:tcPr>
          <w:p w14:paraId="5F27B695"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509" w:type="dxa"/>
            <w:vAlign w:val="center"/>
          </w:tcPr>
          <w:p w14:paraId="11946A2B"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482" w:type="dxa"/>
            <w:vAlign w:val="center"/>
          </w:tcPr>
          <w:p w14:paraId="05B9A6A7" w14:textId="77777777" w:rsidR="00973323" w:rsidRPr="00973323" w:rsidRDefault="00973323" w:rsidP="00F2336F">
            <w:pPr>
              <w:spacing w:after="0" w:line="276" w:lineRule="auto"/>
              <w:jc w:val="center"/>
              <w:rPr>
                <w:rFonts w:ascii="Times New Roman" w:hAnsi="Times New Roman" w:cs="Times New Roman"/>
                <w:sz w:val="24"/>
                <w:szCs w:val="24"/>
              </w:rPr>
            </w:pPr>
          </w:p>
        </w:tc>
        <w:tc>
          <w:tcPr>
            <w:tcW w:w="491" w:type="dxa"/>
            <w:vAlign w:val="center"/>
          </w:tcPr>
          <w:p w14:paraId="3E3AFC88"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r>
      <w:tr w:rsidR="00973323" w:rsidRPr="00973323" w14:paraId="00747EEC" w14:textId="77777777" w:rsidTr="008E2D64">
        <w:tc>
          <w:tcPr>
            <w:tcW w:w="6185" w:type="dxa"/>
          </w:tcPr>
          <w:p w14:paraId="4F2A25DF" w14:textId="29D20F50" w:rsidR="00973323" w:rsidRPr="00973323" w:rsidRDefault="00973323" w:rsidP="00F2336F">
            <w:pPr>
              <w:spacing w:after="0" w:line="276" w:lineRule="auto"/>
              <w:jc w:val="both"/>
              <w:rPr>
                <w:rFonts w:ascii="Times New Roman" w:hAnsi="Times New Roman" w:cs="Times New Roman"/>
                <w:sz w:val="24"/>
                <w:szCs w:val="24"/>
              </w:rPr>
            </w:pPr>
            <w:r w:rsidRPr="00973323">
              <w:rPr>
                <w:rFonts w:ascii="Times New Roman" w:hAnsi="Times New Roman" w:cs="Times New Roman"/>
                <w:sz w:val="24"/>
                <w:szCs w:val="24"/>
              </w:rPr>
              <w:t>Problemas de mobilidade e acessibilidade</w:t>
            </w:r>
          </w:p>
        </w:tc>
        <w:tc>
          <w:tcPr>
            <w:tcW w:w="487" w:type="dxa"/>
            <w:vAlign w:val="center"/>
          </w:tcPr>
          <w:p w14:paraId="1EFBBD0C" w14:textId="77777777" w:rsidR="00973323" w:rsidRPr="00973323" w:rsidRDefault="00973323" w:rsidP="00F2336F">
            <w:pPr>
              <w:spacing w:after="0" w:line="276" w:lineRule="auto"/>
              <w:jc w:val="center"/>
              <w:rPr>
                <w:rFonts w:ascii="Times New Roman" w:hAnsi="Times New Roman" w:cs="Times New Roman"/>
                <w:sz w:val="24"/>
                <w:szCs w:val="24"/>
              </w:rPr>
            </w:pPr>
          </w:p>
        </w:tc>
        <w:tc>
          <w:tcPr>
            <w:tcW w:w="482" w:type="dxa"/>
            <w:vAlign w:val="center"/>
          </w:tcPr>
          <w:p w14:paraId="3A903174"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509" w:type="dxa"/>
            <w:vAlign w:val="center"/>
          </w:tcPr>
          <w:p w14:paraId="48C5FC8B" w14:textId="77777777" w:rsidR="00973323" w:rsidRPr="00973323" w:rsidRDefault="00973323" w:rsidP="00F2336F">
            <w:pPr>
              <w:spacing w:after="0" w:line="276" w:lineRule="auto"/>
              <w:jc w:val="center"/>
              <w:rPr>
                <w:rFonts w:ascii="Times New Roman" w:hAnsi="Times New Roman" w:cs="Times New Roman"/>
                <w:sz w:val="24"/>
                <w:szCs w:val="24"/>
              </w:rPr>
            </w:pPr>
          </w:p>
        </w:tc>
        <w:tc>
          <w:tcPr>
            <w:tcW w:w="482" w:type="dxa"/>
            <w:vAlign w:val="center"/>
          </w:tcPr>
          <w:p w14:paraId="6E762C52" w14:textId="77777777" w:rsidR="00973323" w:rsidRPr="00973323" w:rsidRDefault="00973323" w:rsidP="00F2336F">
            <w:pPr>
              <w:spacing w:after="0" w:line="276" w:lineRule="auto"/>
              <w:jc w:val="center"/>
              <w:rPr>
                <w:rFonts w:ascii="Times New Roman" w:hAnsi="Times New Roman" w:cs="Times New Roman"/>
                <w:sz w:val="24"/>
                <w:szCs w:val="24"/>
              </w:rPr>
            </w:pPr>
          </w:p>
        </w:tc>
        <w:tc>
          <w:tcPr>
            <w:tcW w:w="491" w:type="dxa"/>
            <w:vAlign w:val="center"/>
          </w:tcPr>
          <w:p w14:paraId="468F3F19" w14:textId="77777777" w:rsidR="00973323" w:rsidRPr="00973323" w:rsidRDefault="00973323" w:rsidP="00F2336F">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r>
      <w:tr w:rsidR="00973323" w:rsidRPr="00973323" w14:paraId="0D4C3BAD" w14:textId="77777777" w:rsidTr="008E2D64">
        <w:tc>
          <w:tcPr>
            <w:tcW w:w="6185" w:type="dxa"/>
          </w:tcPr>
          <w:p w14:paraId="1035D93D" w14:textId="77777777" w:rsidR="00973323" w:rsidRPr="00973323" w:rsidRDefault="00973323" w:rsidP="00CA7E9C">
            <w:pPr>
              <w:spacing w:after="0" w:line="276" w:lineRule="auto"/>
              <w:rPr>
                <w:rFonts w:ascii="Times New Roman" w:hAnsi="Times New Roman" w:cs="Times New Roman"/>
                <w:sz w:val="24"/>
                <w:szCs w:val="24"/>
              </w:rPr>
            </w:pPr>
            <w:r w:rsidRPr="00973323">
              <w:rPr>
                <w:rFonts w:ascii="Times New Roman" w:hAnsi="Times New Roman" w:cs="Times New Roman"/>
                <w:sz w:val="24"/>
                <w:szCs w:val="24"/>
              </w:rPr>
              <w:t>Problemas relacionados a Registro, Direito de Propriedade, Sucessão e Partilha</w:t>
            </w:r>
          </w:p>
        </w:tc>
        <w:tc>
          <w:tcPr>
            <w:tcW w:w="487" w:type="dxa"/>
            <w:vAlign w:val="center"/>
          </w:tcPr>
          <w:p w14:paraId="7CDBA0CC" w14:textId="77777777" w:rsidR="00973323" w:rsidRPr="00973323" w:rsidRDefault="00973323" w:rsidP="00CA7E9C">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482" w:type="dxa"/>
            <w:vAlign w:val="center"/>
          </w:tcPr>
          <w:p w14:paraId="10B49AD3" w14:textId="77777777" w:rsidR="00973323" w:rsidRPr="00973323" w:rsidRDefault="00973323" w:rsidP="00CA7E9C">
            <w:pPr>
              <w:spacing w:after="0" w:line="276" w:lineRule="auto"/>
              <w:jc w:val="center"/>
              <w:rPr>
                <w:rFonts w:ascii="Times New Roman" w:hAnsi="Times New Roman" w:cs="Times New Roman"/>
                <w:sz w:val="24"/>
                <w:szCs w:val="24"/>
              </w:rPr>
            </w:pPr>
          </w:p>
        </w:tc>
        <w:tc>
          <w:tcPr>
            <w:tcW w:w="509" w:type="dxa"/>
            <w:vAlign w:val="center"/>
          </w:tcPr>
          <w:p w14:paraId="7BA45150" w14:textId="77777777" w:rsidR="00973323" w:rsidRPr="00973323" w:rsidRDefault="00973323" w:rsidP="00CA7E9C">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c>
          <w:tcPr>
            <w:tcW w:w="482" w:type="dxa"/>
            <w:vAlign w:val="center"/>
          </w:tcPr>
          <w:p w14:paraId="69D060E6" w14:textId="77777777" w:rsidR="00973323" w:rsidRPr="00973323" w:rsidRDefault="00973323" w:rsidP="00CA7E9C">
            <w:pPr>
              <w:spacing w:after="0" w:line="276" w:lineRule="auto"/>
              <w:jc w:val="center"/>
              <w:rPr>
                <w:rFonts w:ascii="Times New Roman" w:hAnsi="Times New Roman" w:cs="Times New Roman"/>
                <w:sz w:val="24"/>
                <w:szCs w:val="24"/>
              </w:rPr>
            </w:pPr>
          </w:p>
        </w:tc>
        <w:tc>
          <w:tcPr>
            <w:tcW w:w="491" w:type="dxa"/>
            <w:vAlign w:val="center"/>
          </w:tcPr>
          <w:p w14:paraId="7A2234B0" w14:textId="77777777" w:rsidR="00973323" w:rsidRPr="00973323" w:rsidRDefault="00973323" w:rsidP="00CA7E9C">
            <w:pPr>
              <w:spacing w:after="0" w:line="276" w:lineRule="auto"/>
              <w:jc w:val="center"/>
              <w:rPr>
                <w:rFonts w:ascii="Times New Roman" w:hAnsi="Times New Roman" w:cs="Times New Roman"/>
                <w:sz w:val="24"/>
                <w:szCs w:val="24"/>
              </w:rPr>
            </w:pPr>
            <w:r w:rsidRPr="00973323">
              <w:rPr>
                <w:rFonts w:ascii="Times New Roman" w:hAnsi="Times New Roman" w:cs="Times New Roman"/>
                <w:sz w:val="24"/>
                <w:szCs w:val="24"/>
              </w:rPr>
              <w:t>o</w:t>
            </w:r>
          </w:p>
        </w:tc>
      </w:tr>
    </w:tbl>
    <w:p w14:paraId="409A1984" w14:textId="77777777" w:rsidR="00973323" w:rsidRPr="00973323" w:rsidRDefault="00973323" w:rsidP="00153547">
      <w:pPr>
        <w:spacing w:after="0" w:line="360" w:lineRule="auto"/>
        <w:jc w:val="both"/>
        <w:rPr>
          <w:rFonts w:ascii="Times New Roman" w:hAnsi="Times New Roman" w:cs="Times New Roman"/>
          <w:sz w:val="24"/>
          <w:szCs w:val="24"/>
        </w:rPr>
      </w:pPr>
      <w:r w:rsidRPr="00973323">
        <w:rPr>
          <w:rFonts w:ascii="Times New Roman" w:hAnsi="Times New Roman" w:cs="Times New Roman"/>
          <w:sz w:val="24"/>
          <w:szCs w:val="24"/>
        </w:rPr>
        <w:t>Fonte: autores.</w:t>
      </w:r>
    </w:p>
    <w:p w14:paraId="72D1A33C" w14:textId="77777777" w:rsidR="00973323" w:rsidRPr="00973323" w:rsidRDefault="00973323" w:rsidP="00973323">
      <w:pPr>
        <w:spacing w:after="0" w:line="360" w:lineRule="auto"/>
        <w:ind w:firstLine="708"/>
        <w:jc w:val="both"/>
        <w:rPr>
          <w:rFonts w:ascii="Times New Roman" w:hAnsi="Times New Roman" w:cs="Times New Roman"/>
          <w:i/>
          <w:iCs/>
          <w:sz w:val="24"/>
          <w:szCs w:val="24"/>
        </w:rPr>
      </w:pPr>
    </w:p>
    <w:p w14:paraId="6F701D2B" w14:textId="77777777" w:rsidR="00973323" w:rsidRPr="00973323" w:rsidRDefault="00973323" w:rsidP="00973323">
      <w:pPr>
        <w:spacing w:after="0" w:line="360" w:lineRule="auto"/>
        <w:ind w:firstLine="708"/>
        <w:jc w:val="both"/>
        <w:rPr>
          <w:rFonts w:ascii="Times New Roman" w:hAnsi="Times New Roman" w:cs="Times New Roman"/>
          <w:sz w:val="24"/>
          <w:szCs w:val="24"/>
        </w:rPr>
      </w:pPr>
      <w:r w:rsidRPr="00973323">
        <w:rPr>
          <w:rFonts w:ascii="Times New Roman" w:hAnsi="Times New Roman" w:cs="Times New Roman"/>
          <w:sz w:val="24"/>
          <w:szCs w:val="24"/>
        </w:rPr>
        <w:t xml:space="preserve">Ressalva-se que a existência de núcleos urbanos informais na zona rural não possui apenas aspectos negativos. Além de suprir parte da demanda habitacional, ainda que em pequena quantidade, este tipo de núcleo é comumente utilizado para a finalidade de lazer, recreação e realização de eventos particulares, fomentando a indústria de festas e ventos locais, gerando empregos e movimentando a economia. Encontram-se também neste tipo de núcleo empresas de pequeno porte que não encontram lotes com dimensões e em zona adequada para suas atividades. Em Município de vocação turística, as unidades são também empregadas em </w:t>
      </w:r>
      <w:r w:rsidRPr="00973323">
        <w:rPr>
          <w:rFonts w:ascii="Times New Roman" w:hAnsi="Times New Roman" w:cs="Times New Roman"/>
          <w:sz w:val="24"/>
          <w:szCs w:val="24"/>
        </w:rPr>
        <w:lastRenderedPageBreak/>
        <w:t>atividade hoteleira e de turismo rural e ecológico (ROCHA, HESPANHOL E VINHAES, 2018).</w:t>
      </w:r>
    </w:p>
    <w:p w14:paraId="3D757CF6" w14:textId="77777777" w:rsidR="00973323" w:rsidRDefault="00973323" w:rsidP="00395D29">
      <w:pPr>
        <w:spacing w:after="0" w:line="360" w:lineRule="auto"/>
        <w:ind w:firstLine="708"/>
        <w:jc w:val="both"/>
        <w:rPr>
          <w:rFonts w:ascii="Times New Roman" w:hAnsi="Times New Roman" w:cs="Times New Roman"/>
          <w:sz w:val="24"/>
          <w:szCs w:val="24"/>
        </w:rPr>
      </w:pPr>
    </w:p>
    <w:p w14:paraId="165102E4" w14:textId="482E25C8" w:rsidR="00993747" w:rsidRDefault="00993747" w:rsidP="00993747">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3.2 </w:t>
      </w:r>
      <w:r w:rsidRPr="00993747">
        <w:rPr>
          <w:rFonts w:ascii="Times New Roman" w:hAnsi="Times New Roman" w:cs="Times New Roman"/>
          <w:b/>
          <w:bCs/>
          <w:sz w:val="24"/>
          <w:szCs w:val="24"/>
        </w:rPr>
        <w:t>ASPECTOS DA REGULARIZAÇÃO FUNDIÁRIA COM FOCO NO OBJETO DE ESTUDO</w:t>
      </w:r>
    </w:p>
    <w:p w14:paraId="6143AFAD" w14:textId="6735CEF2" w:rsidR="00993747" w:rsidRPr="00993747" w:rsidRDefault="00993747" w:rsidP="00993747">
      <w:pPr>
        <w:spacing w:after="0" w:line="360" w:lineRule="auto"/>
        <w:jc w:val="both"/>
        <w:rPr>
          <w:rFonts w:ascii="Times New Roman" w:hAnsi="Times New Roman" w:cs="Times New Roman"/>
          <w:sz w:val="24"/>
          <w:szCs w:val="24"/>
        </w:rPr>
      </w:pPr>
      <w:r w:rsidRPr="00993747">
        <w:rPr>
          <w:rFonts w:ascii="Times New Roman" w:hAnsi="Times New Roman" w:cs="Times New Roman"/>
          <w:sz w:val="24"/>
          <w:szCs w:val="24"/>
        </w:rPr>
        <w:t>Visando solucionar o problema gerado pela formação de núcleos urbanos informais e garantir direitos previsto na Constituição Federal (tais como o direito à propriedade, moradia digna e a um meio ambiente equilibrado), foram editadas leis que tratam acerca da regularização fundiária.</w:t>
      </w:r>
    </w:p>
    <w:p w14:paraId="7CB76B84" w14:textId="77777777" w:rsidR="00993747" w:rsidRPr="00993747" w:rsidRDefault="00993747" w:rsidP="00993747">
      <w:pPr>
        <w:spacing w:after="0" w:line="360" w:lineRule="auto"/>
        <w:jc w:val="both"/>
        <w:rPr>
          <w:rFonts w:ascii="Times New Roman" w:hAnsi="Times New Roman" w:cs="Times New Roman"/>
          <w:sz w:val="24"/>
          <w:szCs w:val="24"/>
        </w:rPr>
      </w:pPr>
      <w:r w:rsidRPr="00993747">
        <w:rPr>
          <w:rFonts w:ascii="Times New Roman" w:hAnsi="Times New Roman" w:cs="Times New Roman"/>
          <w:sz w:val="24"/>
          <w:szCs w:val="24"/>
        </w:rPr>
        <w:t>O Estatuto das Cidades elenca a regularização fundiária como uma das diretrizes nas quais os Municípios devem pautar a sua política urbana. Todavia, neste dispositivo, faz-se menção apenas à regularização de áreas ocupadas por população de baixa renda, de modo que, numa leitura literal, o tipo de núcleo informal em discussão não é englobado.</w:t>
      </w:r>
    </w:p>
    <w:p w14:paraId="23A4A7D5" w14:textId="7DC99B51" w:rsidR="00993747" w:rsidRPr="00993747" w:rsidRDefault="00993747" w:rsidP="00993747">
      <w:pPr>
        <w:spacing w:after="0" w:line="360" w:lineRule="auto"/>
        <w:jc w:val="both"/>
        <w:rPr>
          <w:rFonts w:ascii="Times New Roman" w:hAnsi="Times New Roman" w:cs="Times New Roman"/>
          <w:sz w:val="24"/>
          <w:szCs w:val="24"/>
        </w:rPr>
      </w:pPr>
      <w:r w:rsidRPr="00993747">
        <w:rPr>
          <w:rFonts w:ascii="Times New Roman" w:hAnsi="Times New Roman" w:cs="Times New Roman"/>
          <w:sz w:val="24"/>
          <w:szCs w:val="24"/>
        </w:rPr>
        <w:t>Em 2009 foi editada a lei 11.977/2009, a qual ficou conhecida como lei do programa minha casa minha vida. Esta “</w:t>
      </w:r>
      <w:r w:rsidRPr="00993747">
        <w:rPr>
          <w:rFonts w:ascii="Times New Roman" w:hAnsi="Times New Roman" w:cs="Times New Roman"/>
          <w:i/>
          <w:iCs/>
          <w:sz w:val="24"/>
          <w:szCs w:val="24"/>
        </w:rPr>
        <w:t>foi a primeira legislação no âmbito federal a tratar da temática regularização fundiária urbana</w:t>
      </w:r>
      <w:r w:rsidRPr="00993747">
        <w:rPr>
          <w:rFonts w:ascii="Times New Roman" w:hAnsi="Times New Roman" w:cs="Times New Roman"/>
          <w:sz w:val="24"/>
          <w:szCs w:val="24"/>
        </w:rPr>
        <w:t xml:space="preserve">” (JUNIOR E LIMA, 2020). Nela, estava prevista a definição de parâmetros urbanístico-ambientais específicos para núcleos de interesse social, de modo que as demais situações de irregularidade deveriam atender </w:t>
      </w:r>
      <w:r w:rsidR="006354BA">
        <w:rPr>
          <w:rFonts w:ascii="Times New Roman" w:hAnsi="Times New Roman" w:cs="Times New Roman"/>
          <w:sz w:val="24"/>
          <w:szCs w:val="24"/>
        </w:rPr>
        <w:t>integralmente</w:t>
      </w:r>
      <w:r w:rsidRPr="00993747">
        <w:rPr>
          <w:rFonts w:ascii="Times New Roman" w:hAnsi="Times New Roman" w:cs="Times New Roman"/>
          <w:sz w:val="24"/>
          <w:szCs w:val="24"/>
        </w:rPr>
        <w:t xml:space="preserve"> as normas urbanísticas municipais, inviabilizando a regularização de núcleos de interesse específico na zona rural, por exemplo.</w:t>
      </w:r>
    </w:p>
    <w:p w14:paraId="7EC75A09" w14:textId="77777777" w:rsidR="00993747" w:rsidRPr="00993747" w:rsidRDefault="00993747" w:rsidP="00993747">
      <w:pPr>
        <w:spacing w:after="0" w:line="360" w:lineRule="auto"/>
        <w:jc w:val="both"/>
        <w:rPr>
          <w:rFonts w:ascii="Times New Roman" w:hAnsi="Times New Roman" w:cs="Times New Roman"/>
          <w:sz w:val="24"/>
          <w:szCs w:val="24"/>
        </w:rPr>
      </w:pPr>
      <w:r w:rsidRPr="00993747">
        <w:rPr>
          <w:rFonts w:ascii="Times New Roman" w:hAnsi="Times New Roman" w:cs="Times New Roman"/>
          <w:sz w:val="24"/>
          <w:szCs w:val="24"/>
        </w:rPr>
        <w:t>A lei atualmente em vigor, considerada como o novo marco da regularização fundiária, é a Lei Federal 13.465/2017, regulamentada pelo Decreto 9.310/2018. Esta lei ficou conhecida como “Lei da Reurb”, e tem sido alvo de ação direta de inconstitucionalidade devido a aspectos polêmicos e considerados inconstitucionais.</w:t>
      </w:r>
    </w:p>
    <w:p w14:paraId="40D60C4C" w14:textId="77777777" w:rsidR="00993747" w:rsidRPr="00993747" w:rsidRDefault="00993747" w:rsidP="00993747">
      <w:pPr>
        <w:spacing w:after="0" w:line="360" w:lineRule="auto"/>
        <w:jc w:val="both"/>
        <w:rPr>
          <w:rFonts w:ascii="Times New Roman" w:hAnsi="Times New Roman" w:cs="Times New Roman"/>
          <w:sz w:val="24"/>
          <w:szCs w:val="24"/>
        </w:rPr>
      </w:pPr>
      <w:r w:rsidRPr="00993747">
        <w:rPr>
          <w:rFonts w:ascii="Times New Roman" w:hAnsi="Times New Roman" w:cs="Times New Roman"/>
          <w:sz w:val="24"/>
          <w:szCs w:val="24"/>
        </w:rPr>
        <w:t>Esta estabelece que a regularização fundiária urbana consiste em “</w:t>
      </w:r>
      <w:r w:rsidRPr="00993747">
        <w:rPr>
          <w:rFonts w:ascii="Times New Roman" w:hAnsi="Times New Roman" w:cs="Times New Roman"/>
          <w:i/>
          <w:iCs/>
          <w:sz w:val="24"/>
          <w:szCs w:val="24"/>
        </w:rPr>
        <w:t>medidas jurídicas, urbanísticas, ambientais e sociais destinadas à incorporação dos núcleos urbanos informais ao ordenamento territorial urbano e à titulação de seus ocupantes</w:t>
      </w:r>
      <w:r w:rsidRPr="00993747">
        <w:rPr>
          <w:rFonts w:ascii="Times New Roman" w:hAnsi="Times New Roman" w:cs="Times New Roman"/>
          <w:sz w:val="24"/>
          <w:szCs w:val="24"/>
        </w:rPr>
        <w:t xml:space="preserve">” (BRASIL, 2017). Estas medidas compreendem a flexibilização de normas urbanísticas e edilícias, redução de custos, e </w:t>
      </w:r>
      <w:r w:rsidRPr="00993747">
        <w:rPr>
          <w:rFonts w:ascii="Times New Roman" w:hAnsi="Times New Roman" w:cs="Times New Roman"/>
          <w:sz w:val="24"/>
          <w:szCs w:val="24"/>
        </w:rPr>
        <w:lastRenderedPageBreak/>
        <w:t>a instituição de procedimentos administrativos diferenciados visando facilitar o processo de incorporação das áreas irregulares à formalidade.</w:t>
      </w:r>
    </w:p>
    <w:p w14:paraId="6EA2915B" w14:textId="77777777" w:rsidR="00993747" w:rsidRPr="00993747" w:rsidRDefault="00993747" w:rsidP="00993747">
      <w:pPr>
        <w:spacing w:after="0" w:line="360" w:lineRule="auto"/>
        <w:jc w:val="both"/>
        <w:rPr>
          <w:rFonts w:ascii="Times New Roman" w:hAnsi="Times New Roman" w:cs="Times New Roman"/>
          <w:sz w:val="24"/>
          <w:szCs w:val="24"/>
        </w:rPr>
      </w:pPr>
      <w:r w:rsidRPr="00993747">
        <w:rPr>
          <w:rFonts w:ascii="Times New Roman" w:hAnsi="Times New Roman" w:cs="Times New Roman"/>
          <w:sz w:val="24"/>
          <w:szCs w:val="24"/>
        </w:rPr>
        <w:t>A previsão da flexibilização dos parâmetros urbanísticos a critério do executivo municipal para viabilizar a regularização de núcleos informais de qualquer tipo permite a regularização de núcleos como os tratados neste trabalho. Todavia, esta flexibilização não pode se dar de qualquer maneira, devendo ser adotada com cautela e amparada por estudos técnicos, a fim de não comprometer a função social da cidade, o ordenamento territorial adequado e o desenvolvimento sustentável (JUNIOR E LIMA, 2020).</w:t>
      </w:r>
    </w:p>
    <w:p w14:paraId="6DAF306A" w14:textId="77777777" w:rsidR="00993747" w:rsidRPr="00993747" w:rsidRDefault="00993747" w:rsidP="00993747">
      <w:pPr>
        <w:spacing w:after="0" w:line="360" w:lineRule="auto"/>
        <w:jc w:val="both"/>
        <w:rPr>
          <w:rFonts w:ascii="Times New Roman" w:hAnsi="Times New Roman" w:cs="Times New Roman"/>
          <w:sz w:val="24"/>
          <w:szCs w:val="24"/>
        </w:rPr>
      </w:pPr>
      <w:r w:rsidRPr="00993747">
        <w:rPr>
          <w:rFonts w:ascii="Times New Roman" w:hAnsi="Times New Roman" w:cs="Times New Roman"/>
          <w:sz w:val="24"/>
          <w:szCs w:val="24"/>
        </w:rPr>
        <w:t>Não há o que se falar em reforma agrária ou regularização fundiária rural, previstas na constituição brasileira e regulamentos, para o tipo de irregularidade abordada neste artigo, visto que para a regularização de assentamentos rurais deve ser observada a fração mínima de parcelamento rural definida em lei, não enquadrando os núcleos em discussão pois estes possuem terrenos diminutos, inferiores a esta fração mínima, além de muitas vezes não serem empregados em atividades agrícolas.</w:t>
      </w:r>
    </w:p>
    <w:p w14:paraId="74E1431F" w14:textId="77777777" w:rsidR="00993747" w:rsidRPr="00993747" w:rsidRDefault="00993747" w:rsidP="00993747">
      <w:pPr>
        <w:spacing w:after="0" w:line="36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Para fins de regularização fundiária urbana, a lei 13.465/2017 abandona a divisão administrativa entre urbano e rural e leva em consideração apenas a destinação e uso efetivamente urbanos atribuídos à área ocupada (ALVES e FISHCER, 2017). Assim, os procedimentos de Regularização Fundiária Urbana não se restringem apenas às zonas urbanas, podendo ser aplicados também aos núcleos urbanos informais localizados fora do perímetro urbano, nas zonas rurais. </w:t>
      </w:r>
    </w:p>
    <w:p w14:paraId="00D8FCC5" w14:textId="77777777" w:rsidR="00993747" w:rsidRPr="00993747" w:rsidRDefault="00993747" w:rsidP="00993747">
      <w:pPr>
        <w:spacing w:after="0" w:line="360" w:lineRule="auto"/>
        <w:jc w:val="both"/>
        <w:rPr>
          <w:rFonts w:ascii="Times New Roman" w:hAnsi="Times New Roman" w:cs="Times New Roman"/>
          <w:sz w:val="24"/>
          <w:szCs w:val="24"/>
        </w:rPr>
      </w:pPr>
      <w:r w:rsidRPr="00993747">
        <w:rPr>
          <w:rFonts w:ascii="Times New Roman" w:hAnsi="Times New Roman" w:cs="Times New Roman"/>
          <w:sz w:val="24"/>
          <w:szCs w:val="24"/>
        </w:rPr>
        <w:t>Até então, era necessário que o perímetro urbano fosse ampliado para englobar o núcleo urbano informal e viabilizar a regularização. Em um estudo conduzido por Zampieri e Balestro (2020) é demonstrado que, em geral, o perímetro da zona urbana é ampliado acima do necessário e sem motivação real e urgente sob o pretexto de promover a regularização. Esse aumento de área urbana sobressalente resulta em uma distorção no mercado imobiliário devido à especulação (ALVES e FISHCER, 2017).</w:t>
      </w:r>
    </w:p>
    <w:p w14:paraId="1F65B276" w14:textId="77777777" w:rsidR="00993747" w:rsidRPr="00993747" w:rsidRDefault="00993747" w:rsidP="00993747">
      <w:pPr>
        <w:spacing w:after="0" w:line="360" w:lineRule="auto"/>
        <w:jc w:val="both"/>
        <w:rPr>
          <w:rFonts w:ascii="Times New Roman" w:hAnsi="Times New Roman" w:cs="Times New Roman"/>
          <w:sz w:val="24"/>
          <w:szCs w:val="24"/>
        </w:rPr>
      </w:pPr>
      <w:r w:rsidRPr="00993747">
        <w:rPr>
          <w:rFonts w:ascii="Times New Roman" w:hAnsi="Times New Roman" w:cs="Times New Roman"/>
          <w:sz w:val="24"/>
          <w:szCs w:val="24"/>
        </w:rPr>
        <w:t>Uma inovação trazida pela Lei da Reurb que merece destaque é o mecanismo da legitimação fundiária, que garante a “</w:t>
      </w:r>
      <w:r w:rsidRPr="00993747">
        <w:rPr>
          <w:rFonts w:ascii="Times New Roman" w:hAnsi="Times New Roman" w:cs="Times New Roman"/>
          <w:i/>
          <w:iCs/>
          <w:sz w:val="24"/>
          <w:szCs w:val="24"/>
        </w:rPr>
        <w:t>aquisição originária do direito real de propriedade sobre unidade imobiliária</w:t>
      </w:r>
      <w:r w:rsidRPr="00993747">
        <w:rPr>
          <w:rFonts w:ascii="Times New Roman" w:hAnsi="Times New Roman" w:cs="Times New Roman"/>
          <w:sz w:val="24"/>
          <w:szCs w:val="24"/>
        </w:rPr>
        <w:t xml:space="preserve">” resultante do processo de regularização de núcleos informais comprovadamente </w:t>
      </w:r>
      <w:r w:rsidRPr="00993747">
        <w:rPr>
          <w:rFonts w:ascii="Times New Roman" w:hAnsi="Times New Roman" w:cs="Times New Roman"/>
          <w:sz w:val="24"/>
          <w:szCs w:val="24"/>
        </w:rPr>
        <w:lastRenderedPageBreak/>
        <w:t>consolidados até 22 de dezembro de 2016, abrangendo não apenas moradias, mas também unidades com finalidades diversas, ou seja, comércio, serviço e indústria (BRASIL, 2017). A classificação da modalidade da regularização em interesse social ou específico, o processamento da regularização e a expedição de certificado e lista para titulação mediante legitimação fundiária são atos realizados pelo Poder Executivo Municipal, colocando as Prefeituras como atores indispensáveis no procedimento de regularização.</w:t>
      </w:r>
    </w:p>
    <w:p w14:paraId="1B7C28BF" w14:textId="77777777" w:rsidR="00993747" w:rsidRPr="00993747" w:rsidRDefault="00993747" w:rsidP="00993747">
      <w:pPr>
        <w:spacing w:after="0" w:line="360" w:lineRule="auto"/>
        <w:jc w:val="both"/>
        <w:rPr>
          <w:rFonts w:ascii="Times New Roman" w:hAnsi="Times New Roman" w:cs="Times New Roman"/>
          <w:sz w:val="24"/>
          <w:szCs w:val="24"/>
        </w:rPr>
      </w:pPr>
      <w:r w:rsidRPr="00993747">
        <w:rPr>
          <w:rFonts w:ascii="Times New Roman" w:hAnsi="Times New Roman" w:cs="Times New Roman"/>
          <w:sz w:val="24"/>
          <w:szCs w:val="24"/>
        </w:rPr>
        <w:t>Antes da instituição deste mecanismo, na legitimação de posse era necessário aguardar o prazo de 5 anos para converter o título de posse em propriedade. Ressalva-se que o procedimento de regularização mediante legitimação fundiária favorece a especulação imobiliária, uma vez que as unidades se tornam comercializáveis mais rapidamente (SALEME, 2019).</w:t>
      </w:r>
    </w:p>
    <w:p w14:paraId="0533D822" w14:textId="77777777" w:rsidR="00993747" w:rsidRPr="00993747" w:rsidRDefault="00993747" w:rsidP="00993747">
      <w:pPr>
        <w:spacing w:after="0" w:line="360" w:lineRule="auto"/>
        <w:jc w:val="both"/>
        <w:rPr>
          <w:rFonts w:ascii="Times New Roman" w:hAnsi="Times New Roman" w:cs="Times New Roman"/>
          <w:sz w:val="24"/>
          <w:szCs w:val="24"/>
        </w:rPr>
      </w:pPr>
      <w:r w:rsidRPr="00993747">
        <w:rPr>
          <w:rFonts w:ascii="Times New Roman" w:hAnsi="Times New Roman" w:cs="Times New Roman"/>
          <w:sz w:val="24"/>
          <w:szCs w:val="24"/>
        </w:rPr>
        <w:t>Para que o processo de regularização fundiária tenha êxito e atinja o objetivo do desenvolvimento sustentável, é indispensável que no processo estejam integradas medidas de recuperação e preservação do meio ambiente, bem como a implantação de uma infraestrutura efetiva (SCHÄFER E ALBUQUERQUE, 2021). Do contrário, o procedimento servirá apenas ao registro de títulos.</w:t>
      </w:r>
    </w:p>
    <w:p w14:paraId="30F736AE" w14:textId="77777777" w:rsidR="00993747" w:rsidRPr="00993747" w:rsidRDefault="00993747" w:rsidP="00993747">
      <w:pPr>
        <w:spacing w:after="0" w:line="360" w:lineRule="auto"/>
        <w:jc w:val="both"/>
        <w:rPr>
          <w:rFonts w:ascii="Times New Roman" w:hAnsi="Times New Roman" w:cs="Times New Roman"/>
          <w:sz w:val="24"/>
          <w:szCs w:val="24"/>
        </w:rPr>
      </w:pPr>
      <w:r w:rsidRPr="00993747">
        <w:rPr>
          <w:rFonts w:ascii="Times New Roman" w:hAnsi="Times New Roman" w:cs="Times New Roman"/>
          <w:sz w:val="24"/>
          <w:szCs w:val="24"/>
        </w:rPr>
        <w:t>Apesar da facilidade que o novo regramento jurídico oferece na obtenção do título de propriedade, o procedimento de regularização é extremamente complexo. Envolve adequações urbanístico-ambientais de alto custo, geralmente ligadas à implantação de infraestrutura e prestação de serviços públicos, as quais, muitas vezes, perpassam por conflitos com os detentores da posse das unidades que compõem o núcleo informal, embora sejam medidas positivas à coletividade (SANTIN E COMIRAN, 2018). Tais conflitos evidenciam a fragilidade da exigência da participação social na tomada de decisões relacionadas à regularização do núcleo, conforme apontam Junior e Lima (2020).</w:t>
      </w:r>
    </w:p>
    <w:p w14:paraId="16F97463" w14:textId="77777777" w:rsidR="00993747" w:rsidRPr="00993747" w:rsidRDefault="00993747" w:rsidP="00993747">
      <w:pPr>
        <w:spacing w:after="0" w:line="36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Em relação aos custos da regularização, para os casos dos núcleos urbanos informais de interesse específico, tais como os abordados neste artigo, a lei 13.465/2017 e o decreto 9.310/2018 preveem que estes devem ser arcados pelos potenciais beneficiários ou requerentes privados, sendo que o Poder Público pode arcar com os custos apenas nos casos de regularização em áreas públicas onde houver interesse público na regularização. Nos casos de </w:t>
      </w:r>
      <w:r w:rsidRPr="00993747">
        <w:rPr>
          <w:rFonts w:ascii="Times New Roman" w:hAnsi="Times New Roman" w:cs="Times New Roman"/>
          <w:sz w:val="24"/>
          <w:szCs w:val="24"/>
        </w:rPr>
        <w:lastRenderedPageBreak/>
        <w:t>núcleos formados a partir de parcelamento irregular, é garantido o direito de regresso contra os responsáveis pelo empreendimento irregular a quem suportar os custos da regularização.</w:t>
      </w:r>
    </w:p>
    <w:p w14:paraId="7AF2BA83" w14:textId="1CA8E16D" w:rsidR="00993747" w:rsidRPr="00993747" w:rsidRDefault="00993747" w:rsidP="00993747">
      <w:pPr>
        <w:spacing w:after="0" w:line="36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As transformações geradas pela regularização deste tipo de informalidade devem ser consideradas, ponderando se os benefícios a serem obtidos sobrepujam o desfazimento do núcleo irregular, vez que este pode vir acompanhado da geração de resíduos sólidos e da interrupção de atividades econômicas se efetivado. Santin e Comirán (2018) ponderam que deve se optar pela regularização fundiária sempre que não houver risco ao meio ambiente ou à vida das pessoas que ali residem como forma de garantia de direitos básicos constitucionais. Por outro lado, Alves e Fischer (2017) apontam que a regularização de núcleos urbanos localizados em zonas rurais “não </w:t>
      </w:r>
      <w:r w:rsidRPr="00993747">
        <w:rPr>
          <w:rFonts w:ascii="Times New Roman" w:hAnsi="Times New Roman" w:cs="Times New Roman"/>
          <w:i/>
          <w:iCs/>
          <w:sz w:val="24"/>
          <w:szCs w:val="24"/>
        </w:rPr>
        <w:t>contribui para o pleno desenvolvimento das funções sociais da cidade</w:t>
      </w:r>
      <w:r w:rsidRPr="00993747">
        <w:rPr>
          <w:rFonts w:ascii="Times New Roman" w:hAnsi="Times New Roman" w:cs="Times New Roman"/>
          <w:sz w:val="24"/>
          <w:szCs w:val="24"/>
        </w:rPr>
        <w:t>” uma vez que o Município apenas convalida a ocupação consolidada dada a impossibilidade de planejar a utilização do solo. Já Junior</w:t>
      </w:r>
      <w:r w:rsidR="006354BA">
        <w:rPr>
          <w:rFonts w:ascii="Times New Roman" w:hAnsi="Times New Roman" w:cs="Times New Roman"/>
          <w:sz w:val="24"/>
          <w:szCs w:val="24"/>
        </w:rPr>
        <w:t xml:space="preserve"> e Lima</w:t>
      </w:r>
      <w:r w:rsidRPr="00993747">
        <w:rPr>
          <w:rFonts w:ascii="Times New Roman" w:hAnsi="Times New Roman" w:cs="Times New Roman"/>
          <w:sz w:val="24"/>
          <w:szCs w:val="24"/>
        </w:rPr>
        <w:t xml:space="preserve"> (2020) defendem que, uma vez que o direito à cidade abrange a coletividade, é indispensável “</w:t>
      </w:r>
      <w:r w:rsidRPr="00993747">
        <w:rPr>
          <w:rFonts w:ascii="Times New Roman" w:hAnsi="Times New Roman" w:cs="Times New Roman"/>
          <w:i/>
          <w:iCs/>
          <w:sz w:val="24"/>
          <w:szCs w:val="24"/>
        </w:rPr>
        <w:t>analisar as particularidades de cada localidade para que se identifique as reais necessidades, as características socioeconômicas dos ocupantes e o que pode beneficiar ou prejudicar o aspecto coletivo</w:t>
      </w:r>
      <w:r w:rsidRPr="00993747">
        <w:rPr>
          <w:rFonts w:ascii="Times New Roman" w:hAnsi="Times New Roman" w:cs="Times New Roman"/>
          <w:sz w:val="24"/>
          <w:szCs w:val="24"/>
        </w:rPr>
        <w:t>” em um processo de regularização fundiária.</w:t>
      </w:r>
    </w:p>
    <w:p w14:paraId="5B351545" w14:textId="77777777" w:rsidR="00993747" w:rsidRDefault="00993747" w:rsidP="0036611B">
      <w:pPr>
        <w:spacing w:after="0" w:line="360" w:lineRule="auto"/>
        <w:jc w:val="both"/>
        <w:rPr>
          <w:rFonts w:ascii="Times New Roman" w:hAnsi="Times New Roman" w:cs="Times New Roman"/>
          <w:sz w:val="24"/>
          <w:szCs w:val="24"/>
        </w:rPr>
      </w:pPr>
    </w:p>
    <w:p w14:paraId="683C84FD" w14:textId="77777777" w:rsidR="00786F11" w:rsidRDefault="005E28F7" w:rsidP="0036611B">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14:paraId="7262E941" w14:textId="2A24C794" w:rsidR="00993747" w:rsidRPr="00993747" w:rsidRDefault="00993747" w:rsidP="00993747">
      <w:pPr>
        <w:spacing w:after="0" w:line="360" w:lineRule="auto"/>
        <w:ind w:firstLine="708"/>
        <w:jc w:val="both"/>
        <w:rPr>
          <w:rFonts w:ascii="Times New Roman" w:hAnsi="Times New Roman" w:cs="Times New Roman"/>
          <w:sz w:val="24"/>
          <w:szCs w:val="24"/>
        </w:rPr>
      </w:pPr>
      <w:r w:rsidRPr="00993747">
        <w:rPr>
          <w:rFonts w:ascii="Times New Roman" w:hAnsi="Times New Roman" w:cs="Times New Roman"/>
          <w:sz w:val="24"/>
          <w:szCs w:val="24"/>
        </w:rPr>
        <w:t>Apesar de insuficiente para contenção das ocupações em zonas rurais, o conhecimento da legislação sobre parcelamento do solo e regularização fundiária é fundamental para ampliar a compreensão acerca dos núcleos informais urbanos localizados na zona rural, visto que a irregularidade fundiária é um problema socioeconômico que permeia diversas áreas</w:t>
      </w:r>
      <w:r w:rsidR="00CA7E9C">
        <w:rPr>
          <w:rFonts w:ascii="Times New Roman" w:hAnsi="Times New Roman" w:cs="Times New Roman"/>
          <w:sz w:val="24"/>
          <w:szCs w:val="24"/>
        </w:rPr>
        <w:t>. Pontua-se que, uma fez afetados aspectos ligados à sociedade, à economia e ao meio ambiente, que são considerados os pilares da sustentabilidade, evidencia-se que a irregularidade fundiária é o oposto do que se almeja</w:t>
      </w:r>
      <w:r w:rsidR="00F92697">
        <w:rPr>
          <w:rFonts w:ascii="Times New Roman" w:hAnsi="Times New Roman" w:cs="Times New Roman"/>
          <w:sz w:val="24"/>
          <w:szCs w:val="24"/>
        </w:rPr>
        <w:t xml:space="preserve"> para o desenvolvimento das cidades</w:t>
      </w:r>
      <w:r w:rsidR="00CA7E9C">
        <w:rPr>
          <w:rFonts w:ascii="Times New Roman" w:hAnsi="Times New Roman" w:cs="Times New Roman"/>
          <w:sz w:val="24"/>
          <w:szCs w:val="24"/>
        </w:rPr>
        <w:t>, sendo uma situação de completa insustentabilidade.</w:t>
      </w:r>
    </w:p>
    <w:p w14:paraId="579B50FB" w14:textId="77777777" w:rsidR="00993747" w:rsidRPr="00993747" w:rsidRDefault="00993747" w:rsidP="00993747">
      <w:pPr>
        <w:spacing w:after="0" w:line="360" w:lineRule="auto"/>
        <w:ind w:firstLine="708"/>
        <w:jc w:val="both"/>
        <w:rPr>
          <w:rFonts w:ascii="Times New Roman" w:hAnsi="Times New Roman" w:cs="Times New Roman"/>
          <w:sz w:val="24"/>
          <w:szCs w:val="24"/>
        </w:rPr>
      </w:pPr>
      <w:r w:rsidRPr="00993747">
        <w:rPr>
          <w:rFonts w:ascii="Times New Roman" w:hAnsi="Times New Roman" w:cs="Times New Roman"/>
          <w:sz w:val="24"/>
          <w:szCs w:val="24"/>
        </w:rPr>
        <w:t xml:space="preserve">Conforme defendido por Durán (2003, p.80), é inadequado que continue sendo utilizada a dicotomia urbano-rural dentro do planejamento urbano para análise e classificação do território, dado que a dinâmica socioeconômica e o desenvolvimento da tecnologia fomentam </w:t>
      </w:r>
      <w:r w:rsidRPr="00993747">
        <w:rPr>
          <w:rFonts w:ascii="Times New Roman" w:hAnsi="Times New Roman" w:cs="Times New Roman"/>
          <w:sz w:val="24"/>
          <w:szCs w:val="24"/>
        </w:rPr>
        <w:lastRenderedPageBreak/>
        <w:t>a ocupação periurbana. Isto é reforçado tanto pela adoção da destinação efetiva pelo marco legal da regularização fundiária (Lei 13.465/2017) quanto pelo Estatuto da Cidade, que determina que o Plano Diretor englobe a totalidade do território municipal, e não apenas sua área urbana, visando a integração entre as atividades urbanas e rurais.</w:t>
      </w:r>
    </w:p>
    <w:p w14:paraId="7C7E9C73" w14:textId="77777777" w:rsidR="00993747" w:rsidRPr="00993747" w:rsidRDefault="00993747" w:rsidP="00993747">
      <w:pPr>
        <w:spacing w:after="0" w:line="360" w:lineRule="auto"/>
        <w:ind w:firstLine="708"/>
        <w:jc w:val="both"/>
        <w:rPr>
          <w:rFonts w:ascii="Times New Roman" w:hAnsi="Times New Roman" w:cs="Times New Roman"/>
          <w:sz w:val="24"/>
          <w:szCs w:val="24"/>
        </w:rPr>
      </w:pPr>
      <w:r w:rsidRPr="00993747">
        <w:rPr>
          <w:rFonts w:ascii="Times New Roman" w:hAnsi="Times New Roman" w:cs="Times New Roman"/>
          <w:sz w:val="24"/>
          <w:szCs w:val="24"/>
        </w:rPr>
        <w:t>Na ausência de uma legislação que verse especificamente sobre a área periurbana, que mistura atividades e características rurais e urbanas, observa-se a formação de núcleos irregulares. Assim, vislumbra-se a necessidade de se estudar se uma nova abordagem legal específica para áreas periurbanas, visando amenizar os impactos causados pela ocupação irregular dessas áreas.</w:t>
      </w:r>
    </w:p>
    <w:p w14:paraId="2044DDDE" w14:textId="77777777" w:rsidR="00993747" w:rsidRPr="00993747" w:rsidRDefault="00993747" w:rsidP="00993747">
      <w:pPr>
        <w:spacing w:after="0" w:line="360" w:lineRule="auto"/>
        <w:ind w:firstLine="708"/>
        <w:jc w:val="both"/>
        <w:rPr>
          <w:rFonts w:ascii="Times New Roman" w:hAnsi="Times New Roman" w:cs="Times New Roman"/>
          <w:sz w:val="24"/>
          <w:szCs w:val="24"/>
        </w:rPr>
      </w:pPr>
      <w:r w:rsidRPr="00993747">
        <w:rPr>
          <w:rFonts w:ascii="Times New Roman" w:hAnsi="Times New Roman" w:cs="Times New Roman"/>
          <w:sz w:val="24"/>
          <w:szCs w:val="24"/>
        </w:rPr>
        <w:t>Os núcleos urbanos informais localizados nas zonas rurais representam risco à ordem urbanística das cidades pois não obedecem ao regramento para parcelamento do solo e sua implantação ignora as diretrizes urbanísticas determinadas pelo Poder Executivo. Todavia, a manutenção dos núcleos informais urbanos consolidados na zona rural das cidades em situação irregular deve ser sopesada em relação aos ônus de não corrigir a situação de irregularidade urbanístico-ambiental instalada.</w:t>
      </w:r>
    </w:p>
    <w:p w14:paraId="0D004B51" w14:textId="77777777" w:rsidR="00993747" w:rsidRPr="00993747" w:rsidRDefault="00993747" w:rsidP="00993747">
      <w:pPr>
        <w:spacing w:after="0" w:line="360" w:lineRule="auto"/>
        <w:ind w:firstLine="708"/>
        <w:jc w:val="both"/>
        <w:rPr>
          <w:rFonts w:ascii="Times New Roman" w:hAnsi="Times New Roman" w:cs="Times New Roman"/>
          <w:sz w:val="24"/>
          <w:szCs w:val="24"/>
        </w:rPr>
      </w:pPr>
      <w:r w:rsidRPr="00993747">
        <w:rPr>
          <w:rFonts w:ascii="Times New Roman" w:hAnsi="Times New Roman" w:cs="Times New Roman"/>
          <w:sz w:val="24"/>
          <w:szCs w:val="24"/>
        </w:rPr>
        <w:t>O plano de regularização dos núcleos urbanos informais localizados na zona rural deve garantir a melhoria urbanística-ambiental para não resultar apenas em mero registro de título. O Município deve contar com equipe multidisciplinar composta por profissionais de engenharia, arquitetura, urbanismo, assistência social, geografia e outros, que poderão analisar a situação caso a caso e orientar o chefe do poder executivo quanto às intervenções necessárias para correção da irregularidade, a fim de aprovar um plano de regularização completo, que beneficie toda coletividade, e não apenas os ocupantes do local.</w:t>
      </w:r>
    </w:p>
    <w:p w14:paraId="5F5628B5" w14:textId="77777777" w:rsidR="00993747" w:rsidRPr="00993747" w:rsidRDefault="00993747" w:rsidP="00993747">
      <w:pPr>
        <w:spacing w:after="0" w:line="360" w:lineRule="auto"/>
        <w:ind w:firstLine="708"/>
        <w:jc w:val="both"/>
        <w:rPr>
          <w:rFonts w:ascii="Times New Roman" w:hAnsi="Times New Roman" w:cs="Times New Roman"/>
          <w:sz w:val="24"/>
          <w:szCs w:val="24"/>
        </w:rPr>
      </w:pPr>
      <w:r w:rsidRPr="00993747">
        <w:rPr>
          <w:rFonts w:ascii="Times New Roman" w:hAnsi="Times New Roman" w:cs="Times New Roman"/>
          <w:sz w:val="24"/>
          <w:szCs w:val="24"/>
        </w:rPr>
        <w:t>Como medida para melhoria da participação social no processo de regularização, é recomendável que sejam constituída uma associação de moradores do núcleo a ser regularizado, a fim de facilitar a comunicação com o poder público e dirimir conflitos relacionados às obrigações oriundas do processo de regularização.</w:t>
      </w:r>
    </w:p>
    <w:p w14:paraId="07649022" w14:textId="27020352" w:rsidR="00993747" w:rsidRPr="00993747" w:rsidRDefault="00993747" w:rsidP="00993747">
      <w:pPr>
        <w:spacing w:after="0" w:line="360" w:lineRule="auto"/>
        <w:ind w:firstLine="708"/>
        <w:jc w:val="both"/>
        <w:rPr>
          <w:rFonts w:ascii="Times New Roman" w:hAnsi="Times New Roman" w:cs="Times New Roman"/>
          <w:sz w:val="24"/>
          <w:szCs w:val="24"/>
        </w:rPr>
      </w:pPr>
      <w:r w:rsidRPr="00993747">
        <w:rPr>
          <w:rFonts w:ascii="Times New Roman" w:hAnsi="Times New Roman" w:cs="Times New Roman"/>
          <w:sz w:val="24"/>
          <w:szCs w:val="24"/>
        </w:rPr>
        <w:t xml:space="preserve">A adequação da infraestrutura é indispensável, uma vez que após a regularização registral da área abre-se margem para o desdobramento de novos lotes e consequente adensamento </w:t>
      </w:r>
      <w:r w:rsidR="001C5F3E">
        <w:rPr>
          <w:rFonts w:ascii="Times New Roman" w:hAnsi="Times New Roman" w:cs="Times New Roman"/>
          <w:sz w:val="24"/>
          <w:szCs w:val="24"/>
        </w:rPr>
        <w:t>do núcleo regularizado</w:t>
      </w:r>
      <w:r w:rsidRPr="00993747">
        <w:rPr>
          <w:rFonts w:ascii="Times New Roman" w:hAnsi="Times New Roman" w:cs="Times New Roman"/>
          <w:sz w:val="24"/>
          <w:szCs w:val="24"/>
        </w:rPr>
        <w:t xml:space="preserve">. Esse adensamento pode ser observado ainda na fase de </w:t>
      </w:r>
      <w:r w:rsidRPr="00993747">
        <w:rPr>
          <w:rFonts w:ascii="Times New Roman" w:hAnsi="Times New Roman" w:cs="Times New Roman"/>
          <w:sz w:val="24"/>
          <w:szCs w:val="24"/>
        </w:rPr>
        <w:lastRenderedPageBreak/>
        <w:t>regularização, pois a mera notícia da possibilidade de obtenção de título de propriedade fomenta a especulação imobiliária. Portanto, deve ser considerada a capacidade de adensamento do local ainda na fase de definição de diretrizes para regularização.</w:t>
      </w:r>
    </w:p>
    <w:p w14:paraId="37FA1CCD" w14:textId="2F8BCB07" w:rsidR="00993747" w:rsidRPr="00993747" w:rsidRDefault="00993747" w:rsidP="00993747">
      <w:pPr>
        <w:spacing w:after="0" w:line="360" w:lineRule="auto"/>
        <w:ind w:firstLine="708"/>
        <w:jc w:val="both"/>
        <w:rPr>
          <w:rFonts w:ascii="Times New Roman" w:hAnsi="Times New Roman" w:cs="Times New Roman"/>
          <w:sz w:val="24"/>
          <w:szCs w:val="24"/>
        </w:rPr>
      </w:pPr>
      <w:r w:rsidRPr="00993747">
        <w:rPr>
          <w:rFonts w:ascii="Times New Roman" w:hAnsi="Times New Roman" w:cs="Times New Roman"/>
          <w:sz w:val="24"/>
          <w:szCs w:val="24"/>
        </w:rPr>
        <w:t>É evidente que nem sempre os custos das melhorias serão suportados pelos ocupantes, sendo as obras postergadas e culminando em ações judiciais. A legislação que trata especificamente da Reurb não menciona como devem ser tratados os casos em que há omissão dos responsáveis e dos beneficiários</w:t>
      </w:r>
      <w:r w:rsidR="00CA18C2">
        <w:rPr>
          <w:rFonts w:ascii="Times New Roman" w:hAnsi="Times New Roman" w:cs="Times New Roman"/>
          <w:sz w:val="24"/>
          <w:szCs w:val="24"/>
        </w:rPr>
        <w:t xml:space="preserve"> do ponto de vista financeiro</w:t>
      </w:r>
      <w:r w:rsidRPr="00993747">
        <w:rPr>
          <w:rFonts w:ascii="Times New Roman" w:hAnsi="Times New Roman" w:cs="Times New Roman"/>
          <w:sz w:val="24"/>
          <w:szCs w:val="24"/>
        </w:rPr>
        <w:t>. A fim de limitar a extensão das consequências da irregularidade, considerando o interesse público em sanar definitivamente a situação, o Poder Público poderia intervir, lançando mão de instrumentos como a contribuição de melhoria a fim de garantir o ressarcimento dos investimentos na infraestrutura do núcleo em regularização, garantindo que as obras não onerem os cofres públicos sob justificativa de mitigar dano ambiental promovido e intensificado pelo mesmo grupo beneficiado.</w:t>
      </w:r>
    </w:p>
    <w:p w14:paraId="112FC402" w14:textId="4FBE42AE" w:rsidR="00993747" w:rsidRPr="00993747" w:rsidRDefault="00CA18C2" w:rsidP="0099374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Em conjunto com a</w:t>
      </w:r>
      <w:r w:rsidR="00993747" w:rsidRPr="00993747">
        <w:rPr>
          <w:rFonts w:ascii="Times New Roman" w:hAnsi="Times New Roman" w:cs="Times New Roman"/>
          <w:sz w:val="24"/>
          <w:szCs w:val="24"/>
        </w:rPr>
        <w:t xml:space="preserve"> regularização registral, é necessário atualizar legislação municipal: o perímetro urbano deve ser alterado para incluir o núcleo informal regularizado, e, em atendimento ao </w:t>
      </w:r>
      <w:r>
        <w:rPr>
          <w:rFonts w:ascii="Times New Roman" w:hAnsi="Times New Roman" w:cs="Times New Roman"/>
          <w:sz w:val="24"/>
          <w:szCs w:val="24"/>
        </w:rPr>
        <w:t>E</w:t>
      </w:r>
      <w:r w:rsidR="00993747" w:rsidRPr="00993747">
        <w:rPr>
          <w:rFonts w:ascii="Times New Roman" w:hAnsi="Times New Roman" w:cs="Times New Roman"/>
          <w:sz w:val="24"/>
          <w:szCs w:val="24"/>
        </w:rPr>
        <w:t xml:space="preserve">statuto da </w:t>
      </w:r>
      <w:r>
        <w:rPr>
          <w:rFonts w:ascii="Times New Roman" w:hAnsi="Times New Roman" w:cs="Times New Roman"/>
          <w:sz w:val="24"/>
          <w:szCs w:val="24"/>
        </w:rPr>
        <w:t>C</w:t>
      </w:r>
      <w:r w:rsidR="00993747" w:rsidRPr="00993747">
        <w:rPr>
          <w:rFonts w:ascii="Times New Roman" w:hAnsi="Times New Roman" w:cs="Times New Roman"/>
          <w:sz w:val="24"/>
          <w:szCs w:val="24"/>
        </w:rPr>
        <w:t>idade, deve ser definindo o zoneamento e o regramento de uso e ocupação do solo do núcleo regularizado, visando direcionar o desenvolvimento do local a fim de garantir o direito à cidade.</w:t>
      </w:r>
    </w:p>
    <w:p w14:paraId="707F4AE7" w14:textId="77777777" w:rsidR="00993747" w:rsidRPr="00993747" w:rsidRDefault="00993747" w:rsidP="00993747">
      <w:pPr>
        <w:spacing w:after="0" w:line="360" w:lineRule="auto"/>
        <w:ind w:firstLine="708"/>
        <w:jc w:val="both"/>
        <w:rPr>
          <w:rFonts w:ascii="Times New Roman" w:hAnsi="Times New Roman" w:cs="Times New Roman"/>
          <w:sz w:val="24"/>
          <w:szCs w:val="24"/>
        </w:rPr>
      </w:pPr>
      <w:r w:rsidRPr="00993747">
        <w:rPr>
          <w:rFonts w:ascii="Times New Roman" w:hAnsi="Times New Roman" w:cs="Times New Roman"/>
          <w:sz w:val="24"/>
          <w:szCs w:val="24"/>
        </w:rPr>
        <w:t>Existe uma grande preocupação em relação à proliferação de novos núcleos urbanos informais, cuja regularização foi facilitada pelo novo marco legal da regularização fundiária. A fim de coibir a formação de novos núcleos informais na zona rural, a fiscalização deve ser intensificada, adotando para tanto as tecnologias disponíveis de monitoramento do território, citando-se o sensoriamento remoto, imagens de satélite e sobrevoos com drone. Embora o investimento nestas ferramentas aparente ser alto, evitar a formação de um novo núcleo informal representa preservação de recursos naturais e otimização do serviço público, resultando em ganhos para o planejamento urbano e favorecendo um desenvolvimento sustentável em benefício da coletividade.</w:t>
      </w:r>
    </w:p>
    <w:p w14:paraId="471D4A0D" w14:textId="77777777" w:rsidR="00993747" w:rsidRDefault="00993747" w:rsidP="00993747">
      <w:pPr>
        <w:spacing w:after="0" w:line="360" w:lineRule="auto"/>
        <w:ind w:firstLine="708"/>
        <w:jc w:val="both"/>
        <w:rPr>
          <w:rFonts w:ascii="Times New Roman" w:hAnsi="Times New Roman" w:cs="Times New Roman"/>
          <w:sz w:val="24"/>
          <w:szCs w:val="24"/>
        </w:rPr>
      </w:pPr>
      <w:r w:rsidRPr="00993747">
        <w:rPr>
          <w:rFonts w:ascii="Times New Roman" w:hAnsi="Times New Roman" w:cs="Times New Roman"/>
          <w:sz w:val="24"/>
          <w:szCs w:val="24"/>
        </w:rPr>
        <w:t xml:space="preserve">Ressalta-se que a fiscalização não deve partir apenas do Poder Executivo Municipal. Esta deve ser um esforço colaborativo de diversos atores: entidades como a Polícia Ambiental, o Procon e as Imobiliárias devem manter diálogo e associar-se no combate à irregularidade </w:t>
      </w:r>
      <w:r w:rsidRPr="00993747">
        <w:rPr>
          <w:rFonts w:ascii="Times New Roman" w:hAnsi="Times New Roman" w:cs="Times New Roman"/>
          <w:sz w:val="24"/>
          <w:szCs w:val="24"/>
        </w:rPr>
        <w:lastRenderedPageBreak/>
        <w:t>fundiária na zona rural. Além de ampliar a fiscalização, deve ser adotada uma postura rígida em relação aos indivíduos que promovem parcelamentos irregulares na zona rural, aplicando-se tanto sansões administrativas quanto as penalidades previstas na lei.</w:t>
      </w:r>
    </w:p>
    <w:p w14:paraId="3A2ABB4C" w14:textId="77777777" w:rsidR="00786F11" w:rsidRDefault="00786F11" w:rsidP="0036611B">
      <w:pPr>
        <w:spacing w:after="0" w:line="360" w:lineRule="auto"/>
        <w:jc w:val="both"/>
        <w:rPr>
          <w:rFonts w:ascii="Times New Roman" w:hAnsi="Times New Roman" w:cs="Times New Roman"/>
          <w:b/>
          <w:bCs/>
          <w:sz w:val="24"/>
          <w:szCs w:val="24"/>
        </w:rPr>
      </w:pPr>
    </w:p>
    <w:p w14:paraId="14602CAD" w14:textId="77777777" w:rsidR="00786F11" w:rsidRDefault="005E28F7" w:rsidP="0036611B">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4E0434BE" w14:textId="50F352DE"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ALVES, Luana Nunes Bandeira; FISCHER, Luly Rodrigues da Cunha. </w:t>
      </w:r>
      <w:r w:rsidRPr="00993747">
        <w:rPr>
          <w:rFonts w:ascii="Times New Roman" w:hAnsi="Times New Roman" w:cs="Times New Roman"/>
          <w:b/>
          <w:bCs/>
          <w:sz w:val="24"/>
          <w:szCs w:val="24"/>
        </w:rPr>
        <w:t>Perspectivas sobre a relação urbano-rural: repercussões jurídicas no imóvel agrário após a edição da lei n. 13.465/2017</w:t>
      </w:r>
      <w:r w:rsidRPr="00993747">
        <w:rPr>
          <w:rFonts w:ascii="Times New Roman" w:hAnsi="Times New Roman" w:cs="Times New Roman"/>
          <w:sz w:val="24"/>
          <w:szCs w:val="24"/>
        </w:rPr>
        <w:t>. Rev. Bras. Polít. Públicas (Online), Brasília, v. 7, nº 2, 2017 p. 54-79.</w:t>
      </w:r>
    </w:p>
    <w:p w14:paraId="21BEEF15" w14:textId="77777777" w:rsidR="00993747" w:rsidRPr="00993747" w:rsidRDefault="00993747" w:rsidP="00993747">
      <w:pPr>
        <w:spacing w:after="0" w:line="240" w:lineRule="auto"/>
        <w:jc w:val="both"/>
        <w:rPr>
          <w:rFonts w:ascii="Times New Roman" w:hAnsi="Times New Roman" w:cs="Times New Roman"/>
          <w:sz w:val="24"/>
          <w:szCs w:val="24"/>
        </w:rPr>
      </w:pPr>
    </w:p>
    <w:p w14:paraId="12684D45" w14:textId="1F12BB0F"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BALBINO, Nataluzo da Silva. </w:t>
      </w:r>
      <w:r w:rsidRPr="00993747">
        <w:rPr>
          <w:rFonts w:ascii="Times New Roman" w:hAnsi="Times New Roman" w:cs="Times New Roman"/>
          <w:b/>
          <w:bCs/>
          <w:sz w:val="24"/>
          <w:szCs w:val="24"/>
        </w:rPr>
        <w:t>Conflito de uso entre abastecimento público e irrigação associado à crise hídrica na Bacia do Alto Descoberto, Distrito Federal</w:t>
      </w:r>
      <w:r w:rsidRPr="00993747">
        <w:rPr>
          <w:rFonts w:ascii="Times New Roman" w:hAnsi="Times New Roman" w:cs="Times New Roman"/>
          <w:sz w:val="24"/>
          <w:szCs w:val="24"/>
        </w:rPr>
        <w:t xml:space="preserve">. </w:t>
      </w:r>
      <w:r w:rsidR="003C36FA" w:rsidRPr="003C36FA">
        <w:rPr>
          <w:rFonts w:ascii="Times New Roman" w:hAnsi="Times New Roman" w:cs="Times New Roman"/>
          <w:sz w:val="24"/>
          <w:szCs w:val="24"/>
        </w:rPr>
        <w:t>Dissertação (Mestrado Profissional em Gestão e Regulação de Recursos Hídricos)</w:t>
      </w:r>
      <w:r w:rsidR="003C36FA">
        <w:rPr>
          <w:rFonts w:ascii="Times New Roman" w:hAnsi="Times New Roman" w:cs="Times New Roman"/>
          <w:sz w:val="24"/>
          <w:szCs w:val="24"/>
        </w:rPr>
        <w:t xml:space="preserve">, </w:t>
      </w:r>
      <w:r w:rsidR="003C36FA" w:rsidRPr="003C36FA">
        <w:rPr>
          <w:rFonts w:ascii="Times New Roman" w:hAnsi="Times New Roman" w:cs="Times New Roman"/>
          <w:sz w:val="24"/>
          <w:szCs w:val="24"/>
        </w:rPr>
        <w:t>Universidade de Brasília, Brasília, 2020.</w:t>
      </w:r>
    </w:p>
    <w:p w14:paraId="14D4C666" w14:textId="77777777" w:rsidR="00993747" w:rsidRPr="00993747" w:rsidRDefault="00993747" w:rsidP="00993747">
      <w:pPr>
        <w:spacing w:after="0" w:line="240" w:lineRule="auto"/>
        <w:jc w:val="both"/>
        <w:rPr>
          <w:rFonts w:ascii="Times New Roman" w:hAnsi="Times New Roman" w:cs="Times New Roman"/>
          <w:sz w:val="24"/>
          <w:szCs w:val="24"/>
        </w:rPr>
      </w:pPr>
    </w:p>
    <w:p w14:paraId="4669074A" w14:textId="226825B6"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BALESTRO, Fernanda; ZAMPIERI, Fábio Lúcio Lopes. </w:t>
      </w:r>
      <w:r w:rsidRPr="00993747">
        <w:rPr>
          <w:rFonts w:ascii="Times New Roman" w:hAnsi="Times New Roman" w:cs="Times New Roman"/>
          <w:b/>
          <w:bCs/>
          <w:sz w:val="24"/>
          <w:szCs w:val="24"/>
        </w:rPr>
        <w:t>Efetividade da legislação urbanística na regulação da ocupação urbana em zonas rurais: análise para o município de Estância Velha para o período de 1955-2018</w:t>
      </w:r>
      <w:r w:rsidRPr="00993747">
        <w:rPr>
          <w:rFonts w:ascii="Times New Roman" w:hAnsi="Times New Roman" w:cs="Times New Roman"/>
          <w:sz w:val="24"/>
          <w:szCs w:val="24"/>
        </w:rPr>
        <w:t>. Revista de Direito da Cidade, v. 12, n. 4, p. 118-151, 2020.</w:t>
      </w:r>
    </w:p>
    <w:p w14:paraId="107B87BE" w14:textId="77777777" w:rsidR="00D56A92" w:rsidRPr="00993747" w:rsidRDefault="00D56A92" w:rsidP="00993747">
      <w:pPr>
        <w:spacing w:after="0" w:line="240" w:lineRule="auto"/>
        <w:jc w:val="both"/>
        <w:rPr>
          <w:rFonts w:ascii="Times New Roman" w:hAnsi="Times New Roman" w:cs="Times New Roman"/>
          <w:sz w:val="24"/>
          <w:szCs w:val="24"/>
        </w:rPr>
      </w:pPr>
    </w:p>
    <w:p w14:paraId="464976B4" w14:textId="6753A700"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BELATO, Eduardo Roberto dos Santos. </w:t>
      </w:r>
      <w:r w:rsidRPr="00993747">
        <w:rPr>
          <w:rFonts w:ascii="Times New Roman" w:hAnsi="Times New Roman" w:cs="Times New Roman"/>
          <w:b/>
          <w:bCs/>
          <w:sz w:val="24"/>
          <w:szCs w:val="24"/>
        </w:rPr>
        <w:t>A regularização fundiária urbana como instrumento jurídico-urbanísticos de sustentabilidade.</w:t>
      </w:r>
      <w:r w:rsidRPr="00993747">
        <w:rPr>
          <w:rFonts w:ascii="Times New Roman" w:hAnsi="Times New Roman" w:cs="Times New Roman"/>
          <w:sz w:val="24"/>
          <w:szCs w:val="24"/>
        </w:rPr>
        <w:t xml:space="preserve"> ETIC</w:t>
      </w:r>
      <w:r w:rsidR="003C36FA">
        <w:rPr>
          <w:rFonts w:ascii="Times New Roman" w:hAnsi="Times New Roman" w:cs="Times New Roman"/>
          <w:sz w:val="24"/>
          <w:szCs w:val="24"/>
        </w:rPr>
        <w:t xml:space="preserve"> </w:t>
      </w:r>
      <w:r w:rsidRPr="00993747">
        <w:rPr>
          <w:rFonts w:ascii="Times New Roman" w:hAnsi="Times New Roman" w:cs="Times New Roman"/>
          <w:sz w:val="24"/>
          <w:szCs w:val="24"/>
        </w:rPr>
        <w:t>-</w:t>
      </w:r>
      <w:r w:rsidR="003C36FA">
        <w:rPr>
          <w:rFonts w:ascii="Times New Roman" w:hAnsi="Times New Roman" w:cs="Times New Roman"/>
          <w:sz w:val="24"/>
          <w:szCs w:val="24"/>
        </w:rPr>
        <w:t xml:space="preserve"> </w:t>
      </w:r>
      <w:r w:rsidRPr="00993747">
        <w:rPr>
          <w:rFonts w:ascii="Times New Roman" w:hAnsi="Times New Roman" w:cs="Times New Roman"/>
          <w:sz w:val="24"/>
          <w:szCs w:val="24"/>
        </w:rPr>
        <w:t>Encontro de Iniciação Científica-ISSN 21-76-8498, v. 14, n. 14, 2018.</w:t>
      </w:r>
    </w:p>
    <w:p w14:paraId="74D45DAF" w14:textId="77777777" w:rsidR="00D56A92" w:rsidRPr="00993747" w:rsidRDefault="00D56A92" w:rsidP="00993747">
      <w:pPr>
        <w:spacing w:after="0" w:line="240" w:lineRule="auto"/>
        <w:jc w:val="both"/>
        <w:rPr>
          <w:rFonts w:ascii="Times New Roman" w:hAnsi="Times New Roman" w:cs="Times New Roman"/>
          <w:sz w:val="24"/>
          <w:szCs w:val="24"/>
        </w:rPr>
      </w:pPr>
    </w:p>
    <w:p w14:paraId="0E48AD0E" w14:textId="77777777" w:rsidR="00B4217D" w:rsidRDefault="00B4217D" w:rsidP="00B4217D">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BRASIL. </w:t>
      </w:r>
      <w:r w:rsidRPr="001C6BB8">
        <w:rPr>
          <w:rFonts w:ascii="Times New Roman" w:hAnsi="Times New Roman" w:cs="Times New Roman"/>
          <w:b/>
          <w:bCs/>
          <w:sz w:val="24"/>
          <w:szCs w:val="24"/>
        </w:rPr>
        <w:t>Lei nº 9.433, de 8 de janeiro de 1997</w:t>
      </w:r>
      <w:r w:rsidRPr="00993747">
        <w:rPr>
          <w:rFonts w:ascii="Times New Roman" w:hAnsi="Times New Roman" w:cs="Times New Roman"/>
          <w:sz w:val="24"/>
          <w:szCs w:val="24"/>
        </w:rPr>
        <w:t xml:space="preserve">. </w:t>
      </w:r>
      <w:r w:rsidRPr="001C6BB8">
        <w:rPr>
          <w:rFonts w:ascii="Times New Roman" w:hAnsi="Times New Roman" w:cs="Times New Roman"/>
          <w:sz w:val="24"/>
          <w:szCs w:val="24"/>
        </w:rPr>
        <w:t>Institui a Política Nacional de Recursos Hídricos, cria o Sistema Nacional de Gerenciamento de Recursos Hídricos, regulamenta o inciso XIX do art. 21 da Constituição Federal, e altera o art. 1º da Lei nº 8.001, de 13 de março de 1990, que modificou a Lei nº 7.990, de 28 de dezembro de 1989</w:t>
      </w:r>
      <w:r w:rsidRPr="00993747">
        <w:rPr>
          <w:rFonts w:ascii="Times New Roman" w:hAnsi="Times New Roman" w:cs="Times New Roman"/>
          <w:sz w:val="24"/>
          <w:szCs w:val="24"/>
        </w:rPr>
        <w:t xml:space="preserve">. Diário Oficial da </w:t>
      </w:r>
      <w:r>
        <w:rPr>
          <w:rFonts w:ascii="Times New Roman" w:hAnsi="Times New Roman" w:cs="Times New Roman"/>
          <w:sz w:val="24"/>
          <w:szCs w:val="24"/>
        </w:rPr>
        <w:t>União</w:t>
      </w:r>
      <w:r w:rsidRPr="00993747">
        <w:rPr>
          <w:rFonts w:ascii="Times New Roman" w:hAnsi="Times New Roman" w:cs="Times New Roman"/>
          <w:sz w:val="24"/>
          <w:szCs w:val="24"/>
        </w:rPr>
        <w:t>.</w:t>
      </w:r>
      <w:r>
        <w:rPr>
          <w:rFonts w:ascii="Times New Roman" w:hAnsi="Times New Roman" w:cs="Times New Roman"/>
          <w:sz w:val="24"/>
          <w:szCs w:val="24"/>
        </w:rPr>
        <w:t xml:space="preserve"> </w:t>
      </w:r>
      <w:r w:rsidRPr="00993747">
        <w:rPr>
          <w:rFonts w:ascii="Times New Roman" w:hAnsi="Times New Roman" w:cs="Times New Roman"/>
          <w:sz w:val="24"/>
          <w:szCs w:val="24"/>
        </w:rPr>
        <w:t xml:space="preserve">Disponível em: </w:t>
      </w:r>
      <w:r w:rsidRPr="00B4217D">
        <w:rPr>
          <w:rFonts w:ascii="Times New Roman" w:hAnsi="Times New Roman" w:cs="Times New Roman"/>
          <w:sz w:val="24"/>
          <w:szCs w:val="24"/>
        </w:rPr>
        <w:t>http://www.planalto.gov.br/ccivil_03/leis/l9433.htm</w:t>
      </w:r>
      <w:r>
        <w:rPr>
          <w:rFonts w:ascii="Times New Roman" w:hAnsi="Times New Roman" w:cs="Times New Roman"/>
          <w:sz w:val="24"/>
          <w:szCs w:val="24"/>
        </w:rPr>
        <w:t xml:space="preserve">. </w:t>
      </w:r>
      <w:bookmarkStart w:id="0" w:name="_Hlk111388954"/>
      <w:r w:rsidRPr="00993747">
        <w:rPr>
          <w:rFonts w:ascii="Times New Roman" w:hAnsi="Times New Roman" w:cs="Times New Roman"/>
          <w:sz w:val="24"/>
          <w:szCs w:val="24"/>
        </w:rPr>
        <w:t>Acesso em: 29 de maio de 2022.</w:t>
      </w:r>
    </w:p>
    <w:bookmarkEnd w:id="0"/>
    <w:p w14:paraId="31CB5D04" w14:textId="77777777" w:rsidR="00B4217D" w:rsidRDefault="00B4217D" w:rsidP="00993747">
      <w:pPr>
        <w:spacing w:after="0" w:line="240" w:lineRule="auto"/>
        <w:jc w:val="both"/>
        <w:rPr>
          <w:rFonts w:ascii="Times New Roman" w:hAnsi="Times New Roman" w:cs="Times New Roman"/>
          <w:sz w:val="24"/>
          <w:szCs w:val="24"/>
        </w:rPr>
      </w:pPr>
    </w:p>
    <w:p w14:paraId="0B5BA28C" w14:textId="583CDBDC"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BRASIL. </w:t>
      </w:r>
      <w:r w:rsidRPr="00993747">
        <w:rPr>
          <w:rFonts w:ascii="Times New Roman" w:hAnsi="Times New Roman" w:cs="Times New Roman"/>
          <w:b/>
          <w:bCs/>
          <w:sz w:val="24"/>
          <w:szCs w:val="24"/>
        </w:rPr>
        <w:t xml:space="preserve">Lei nº 10.406, de 10 de janeiro de 2002. </w:t>
      </w:r>
      <w:r w:rsidRPr="00993747">
        <w:rPr>
          <w:rFonts w:ascii="Times New Roman" w:hAnsi="Times New Roman" w:cs="Times New Roman"/>
          <w:sz w:val="24"/>
          <w:szCs w:val="24"/>
        </w:rPr>
        <w:t>Institui o Código Civil. Diário Oficial da União: seção 1, Brasília, DF, ano 139, n. 8, p. 1-74, 11 jan. 2002.</w:t>
      </w:r>
    </w:p>
    <w:p w14:paraId="2E667F26" w14:textId="77777777" w:rsidR="00D56A92" w:rsidRPr="00993747" w:rsidRDefault="00D56A92" w:rsidP="00993747">
      <w:pPr>
        <w:spacing w:after="0" w:line="240" w:lineRule="auto"/>
        <w:jc w:val="both"/>
        <w:rPr>
          <w:rFonts w:ascii="Times New Roman" w:hAnsi="Times New Roman" w:cs="Times New Roman"/>
          <w:sz w:val="24"/>
          <w:szCs w:val="24"/>
        </w:rPr>
      </w:pPr>
    </w:p>
    <w:p w14:paraId="55778F74" w14:textId="12DF8BA2" w:rsidR="00993747" w:rsidRDefault="0069029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BRASIL</w:t>
      </w:r>
      <w:r w:rsidR="00993747" w:rsidRPr="00993747">
        <w:rPr>
          <w:rFonts w:ascii="Times New Roman" w:hAnsi="Times New Roman" w:cs="Times New Roman"/>
          <w:sz w:val="24"/>
          <w:szCs w:val="24"/>
        </w:rPr>
        <w:t xml:space="preserve">. </w:t>
      </w:r>
      <w:r w:rsidR="00993747" w:rsidRPr="00993747">
        <w:rPr>
          <w:rFonts w:ascii="Times New Roman" w:hAnsi="Times New Roman" w:cs="Times New Roman"/>
          <w:b/>
          <w:bCs/>
          <w:sz w:val="24"/>
          <w:szCs w:val="24"/>
        </w:rPr>
        <w:t>Lei 10.257, de 10 de julho de 2001</w:t>
      </w:r>
      <w:r w:rsidR="00993747" w:rsidRPr="00993747">
        <w:rPr>
          <w:rFonts w:ascii="Times New Roman" w:hAnsi="Times New Roman" w:cs="Times New Roman"/>
          <w:sz w:val="24"/>
          <w:szCs w:val="24"/>
        </w:rPr>
        <w:t>. Estatuto da Cidade. Regulamenta os arts. 182 e 183 da Constituição Federal, estabelece diretrizes gerais da política urbana e dá outras providências. Diário Oficial da República Federativa do Brasil.</w:t>
      </w:r>
    </w:p>
    <w:p w14:paraId="0ADAF779" w14:textId="77777777" w:rsidR="00D56A92" w:rsidRPr="00993747" w:rsidRDefault="00D56A92" w:rsidP="00993747">
      <w:pPr>
        <w:spacing w:after="0" w:line="240" w:lineRule="auto"/>
        <w:jc w:val="both"/>
        <w:rPr>
          <w:rFonts w:ascii="Times New Roman" w:hAnsi="Times New Roman" w:cs="Times New Roman"/>
          <w:sz w:val="24"/>
          <w:szCs w:val="24"/>
        </w:rPr>
      </w:pPr>
    </w:p>
    <w:p w14:paraId="66C730A0" w14:textId="28FB88F7"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BRASIL. </w:t>
      </w:r>
      <w:r w:rsidRPr="00993747">
        <w:rPr>
          <w:rFonts w:ascii="Times New Roman" w:hAnsi="Times New Roman" w:cs="Times New Roman"/>
          <w:b/>
          <w:bCs/>
          <w:sz w:val="24"/>
          <w:szCs w:val="24"/>
        </w:rPr>
        <w:t>Lei n. 13.465, de 11 de julho de 2017</w:t>
      </w:r>
      <w:r w:rsidRPr="00993747">
        <w:rPr>
          <w:rFonts w:ascii="Times New Roman" w:hAnsi="Times New Roman" w:cs="Times New Roman"/>
          <w:sz w:val="24"/>
          <w:szCs w:val="24"/>
        </w:rPr>
        <w:t xml:space="preserve">. Dispõe sobre a regularização fundiária rural e urbana, sobre a liquidação de créditos concedidos aos assentados da reforma agrária e sobre a regularização fundiária no âmbito da Amazônia Legal; institui mecanismos para aprimorar a eficiência dos procedimentos de alienação de imóveis da União; altera as Leis </w:t>
      </w:r>
      <w:r w:rsidR="008667D4">
        <w:rPr>
          <w:rFonts w:ascii="Times New Roman" w:hAnsi="Times New Roman" w:cs="Times New Roman"/>
          <w:sz w:val="24"/>
          <w:szCs w:val="24"/>
        </w:rPr>
        <w:t xml:space="preserve">[...] </w:t>
      </w:r>
      <w:r w:rsidRPr="00993747">
        <w:rPr>
          <w:rFonts w:ascii="Times New Roman" w:hAnsi="Times New Roman" w:cs="Times New Roman"/>
          <w:sz w:val="24"/>
          <w:szCs w:val="24"/>
        </w:rPr>
        <w:t xml:space="preserve">e dá outras </w:t>
      </w:r>
      <w:r w:rsidRPr="00993747">
        <w:rPr>
          <w:rFonts w:ascii="Times New Roman" w:hAnsi="Times New Roman" w:cs="Times New Roman"/>
          <w:sz w:val="24"/>
          <w:szCs w:val="24"/>
        </w:rPr>
        <w:lastRenderedPageBreak/>
        <w:t>providências. Disponível em: http://www.planalto.gov.br/ccivil_03/_ato2015-2018/2017/lei/L13465.htm. Acesso em: 29 de maio de 2022.</w:t>
      </w:r>
    </w:p>
    <w:p w14:paraId="01079A8F" w14:textId="77777777" w:rsidR="00D56A92" w:rsidRPr="00993747" w:rsidRDefault="00D56A92" w:rsidP="00993747">
      <w:pPr>
        <w:spacing w:after="0" w:line="240" w:lineRule="auto"/>
        <w:jc w:val="both"/>
        <w:rPr>
          <w:rFonts w:ascii="Times New Roman" w:hAnsi="Times New Roman" w:cs="Times New Roman"/>
          <w:sz w:val="24"/>
          <w:szCs w:val="24"/>
        </w:rPr>
      </w:pPr>
    </w:p>
    <w:p w14:paraId="02A16204" w14:textId="24937990"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DURÁN, F</w:t>
      </w:r>
      <w:r w:rsidR="00332EA6">
        <w:rPr>
          <w:rFonts w:ascii="Times New Roman" w:hAnsi="Times New Roman" w:cs="Times New Roman"/>
          <w:sz w:val="24"/>
          <w:szCs w:val="24"/>
        </w:rPr>
        <w:t>rancisco Entrena</w:t>
      </w:r>
      <w:r w:rsidRPr="00993747">
        <w:rPr>
          <w:rFonts w:ascii="Times New Roman" w:hAnsi="Times New Roman" w:cs="Times New Roman"/>
          <w:sz w:val="24"/>
          <w:szCs w:val="24"/>
        </w:rPr>
        <w:t xml:space="preserve">. </w:t>
      </w:r>
      <w:r w:rsidRPr="00993747">
        <w:rPr>
          <w:rFonts w:ascii="Times New Roman" w:hAnsi="Times New Roman" w:cs="Times New Roman"/>
          <w:b/>
          <w:bCs/>
          <w:sz w:val="24"/>
          <w:szCs w:val="24"/>
        </w:rPr>
        <w:t>Cidades sem limites</w:t>
      </w:r>
      <w:r w:rsidRPr="00993747">
        <w:rPr>
          <w:rFonts w:ascii="Times New Roman" w:hAnsi="Times New Roman" w:cs="Times New Roman"/>
          <w:sz w:val="24"/>
          <w:szCs w:val="24"/>
        </w:rPr>
        <w:t>. In: MACHADO, Jorge Alberto (Org.). Trabalho, Economia e Tecnologia. Novas perspectivas para a sociedade global. São Paulo: Tendenz, p. 55 – 90, 2003.</w:t>
      </w:r>
    </w:p>
    <w:p w14:paraId="500B800C" w14:textId="77777777" w:rsidR="00D56A92" w:rsidRPr="00993747" w:rsidRDefault="00D56A92" w:rsidP="00993747">
      <w:pPr>
        <w:spacing w:after="0" w:line="240" w:lineRule="auto"/>
        <w:jc w:val="both"/>
        <w:rPr>
          <w:rFonts w:ascii="Times New Roman" w:hAnsi="Times New Roman" w:cs="Times New Roman"/>
          <w:sz w:val="24"/>
          <w:szCs w:val="24"/>
        </w:rPr>
      </w:pPr>
    </w:p>
    <w:p w14:paraId="3A3522F7" w14:textId="6E035BAA"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INÁCIO, Graziella Borges Alves. </w:t>
      </w:r>
      <w:r w:rsidRPr="00993747">
        <w:rPr>
          <w:rFonts w:ascii="Times New Roman" w:hAnsi="Times New Roman" w:cs="Times New Roman"/>
          <w:b/>
          <w:bCs/>
          <w:sz w:val="24"/>
          <w:szCs w:val="24"/>
        </w:rPr>
        <w:t>Epidemiologia da Leishmaniose Visceral Canina e Distribuição do Vetor no Município de Araçatuba, São Paulo, Brasil.</w:t>
      </w:r>
      <w:r w:rsidRPr="00993747">
        <w:rPr>
          <w:rFonts w:ascii="Times New Roman" w:hAnsi="Times New Roman" w:cs="Times New Roman"/>
          <w:sz w:val="24"/>
          <w:szCs w:val="24"/>
        </w:rPr>
        <w:t xml:space="preserve"> 2019. Disponível em: https://repositorio.unesp.br/bitstream/handle/11449/183429/in%c3%a1cio_gba_dr_araca_int.pdf?sequence=3&amp;isAllowed=y. Acesso em: 12 de junho de 2022.</w:t>
      </w:r>
    </w:p>
    <w:p w14:paraId="10ED84A2" w14:textId="77777777" w:rsidR="00B4217D" w:rsidRPr="00993747" w:rsidRDefault="00B4217D" w:rsidP="00B4217D">
      <w:pPr>
        <w:spacing w:after="0" w:line="240" w:lineRule="auto"/>
        <w:jc w:val="both"/>
        <w:rPr>
          <w:rFonts w:ascii="Times New Roman" w:hAnsi="Times New Roman" w:cs="Times New Roman"/>
          <w:sz w:val="24"/>
          <w:szCs w:val="24"/>
        </w:rPr>
      </w:pPr>
    </w:p>
    <w:p w14:paraId="0305EA23" w14:textId="77777777" w:rsidR="00B4217D" w:rsidRDefault="00B4217D" w:rsidP="00B4217D">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JUNIOR, Almir</w:t>
      </w:r>
      <w:r>
        <w:rPr>
          <w:rFonts w:ascii="Times New Roman" w:hAnsi="Times New Roman" w:cs="Times New Roman"/>
          <w:sz w:val="24"/>
          <w:szCs w:val="24"/>
        </w:rPr>
        <w:t xml:space="preserve"> Mariano de</w:t>
      </w:r>
      <w:r w:rsidRPr="006354BA">
        <w:rPr>
          <w:rFonts w:ascii="Times New Roman" w:hAnsi="Times New Roman" w:cs="Times New Roman"/>
          <w:sz w:val="24"/>
          <w:szCs w:val="24"/>
        </w:rPr>
        <w:t xml:space="preserve"> </w:t>
      </w:r>
      <w:r w:rsidRPr="00993747">
        <w:rPr>
          <w:rFonts w:ascii="Times New Roman" w:hAnsi="Times New Roman" w:cs="Times New Roman"/>
          <w:sz w:val="24"/>
          <w:szCs w:val="24"/>
        </w:rPr>
        <w:t>Sousa; LIMA, Daniela</w:t>
      </w:r>
      <w:r w:rsidRPr="00332EA6">
        <w:rPr>
          <w:rFonts w:ascii="Times New Roman" w:hAnsi="Times New Roman" w:cs="Times New Roman"/>
          <w:sz w:val="24"/>
          <w:szCs w:val="24"/>
        </w:rPr>
        <w:t xml:space="preserve"> </w:t>
      </w:r>
      <w:r>
        <w:rPr>
          <w:rFonts w:ascii="Times New Roman" w:hAnsi="Times New Roman" w:cs="Times New Roman"/>
          <w:sz w:val="24"/>
          <w:szCs w:val="24"/>
        </w:rPr>
        <w:t>d</w:t>
      </w:r>
      <w:r w:rsidRPr="00993747">
        <w:rPr>
          <w:rFonts w:ascii="Times New Roman" w:hAnsi="Times New Roman" w:cs="Times New Roman"/>
          <w:sz w:val="24"/>
          <w:szCs w:val="24"/>
        </w:rPr>
        <w:t xml:space="preserve">e Freitas. </w:t>
      </w:r>
      <w:r w:rsidRPr="00993747">
        <w:rPr>
          <w:rFonts w:ascii="Times New Roman" w:hAnsi="Times New Roman" w:cs="Times New Roman"/>
          <w:b/>
          <w:bCs/>
          <w:sz w:val="24"/>
          <w:szCs w:val="24"/>
        </w:rPr>
        <w:t>Marcos regulatórios da regularização fundiária urbana: foco nas leis 11.977/2009 e 13.465/2017</w:t>
      </w:r>
      <w:r w:rsidRPr="00993747">
        <w:rPr>
          <w:rFonts w:ascii="Times New Roman" w:hAnsi="Times New Roman" w:cs="Times New Roman"/>
          <w:sz w:val="24"/>
          <w:szCs w:val="24"/>
        </w:rPr>
        <w:t>. Direito da Cidade, v. 12, n. 3, 2020.</w:t>
      </w:r>
    </w:p>
    <w:p w14:paraId="73897913" w14:textId="77777777" w:rsidR="00D56A92" w:rsidRPr="00993747" w:rsidRDefault="00D56A92" w:rsidP="00993747">
      <w:pPr>
        <w:spacing w:after="0" w:line="240" w:lineRule="auto"/>
        <w:jc w:val="both"/>
        <w:rPr>
          <w:rFonts w:ascii="Times New Roman" w:hAnsi="Times New Roman" w:cs="Times New Roman"/>
          <w:sz w:val="24"/>
          <w:szCs w:val="24"/>
        </w:rPr>
      </w:pPr>
    </w:p>
    <w:p w14:paraId="238B3FBB" w14:textId="7BF6C483"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PADILHA, Rafael Antunes. </w:t>
      </w:r>
      <w:r w:rsidRPr="00993747">
        <w:rPr>
          <w:rFonts w:ascii="Times New Roman" w:hAnsi="Times New Roman" w:cs="Times New Roman"/>
          <w:b/>
          <w:bCs/>
          <w:sz w:val="24"/>
          <w:szCs w:val="24"/>
        </w:rPr>
        <w:t>O Corrupira e seus vizinhos na Terra da Uva: a família rural jundiaiense e a urbanização</w:t>
      </w:r>
      <w:r w:rsidRPr="00993747">
        <w:rPr>
          <w:rFonts w:ascii="Times New Roman" w:hAnsi="Times New Roman" w:cs="Times New Roman"/>
          <w:sz w:val="24"/>
          <w:szCs w:val="24"/>
        </w:rPr>
        <w:t>. SocArXiv, São Carlos, 2017.</w:t>
      </w:r>
    </w:p>
    <w:p w14:paraId="44DDC41C" w14:textId="77777777" w:rsidR="00D56A92" w:rsidRPr="00993747" w:rsidRDefault="00D56A92" w:rsidP="00993747">
      <w:pPr>
        <w:spacing w:after="0" w:line="240" w:lineRule="auto"/>
        <w:jc w:val="both"/>
        <w:rPr>
          <w:rFonts w:ascii="Times New Roman" w:hAnsi="Times New Roman" w:cs="Times New Roman"/>
          <w:sz w:val="24"/>
          <w:szCs w:val="24"/>
        </w:rPr>
      </w:pPr>
    </w:p>
    <w:p w14:paraId="3018A39B" w14:textId="5DECDFB4"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PESSOA, Lorayne Costa, FILHO, Antônio Aderson</w:t>
      </w:r>
      <w:r w:rsidR="00C551A5" w:rsidRPr="00C551A5">
        <w:rPr>
          <w:rFonts w:ascii="Times New Roman" w:hAnsi="Times New Roman" w:cs="Times New Roman"/>
          <w:sz w:val="24"/>
          <w:szCs w:val="24"/>
        </w:rPr>
        <w:t xml:space="preserve"> </w:t>
      </w:r>
      <w:r w:rsidR="00C551A5" w:rsidRPr="00993747">
        <w:rPr>
          <w:rFonts w:ascii="Times New Roman" w:hAnsi="Times New Roman" w:cs="Times New Roman"/>
          <w:sz w:val="24"/>
          <w:szCs w:val="24"/>
        </w:rPr>
        <w:t>Reis</w:t>
      </w:r>
      <w:r w:rsidRPr="00993747">
        <w:rPr>
          <w:rFonts w:ascii="Times New Roman" w:hAnsi="Times New Roman" w:cs="Times New Roman"/>
          <w:sz w:val="24"/>
          <w:szCs w:val="24"/>
        </w:rPr>
        <w:t xml:space="preserve">, ROCHA, João Victor Vieira. </w:t>
      </w:r>
      <w:r w:rsidRPr="00993747">
        <w:rPr>
          <w:rFonts w:ascii="Times New Roman" w:hAnsi="Times New Roman" w:cs="Times New Roman"/>
          <w:b/>
          <w:bCs/>
          <w:sz w:val="24"/>
          <w:szCs w:val="24"/>
        </w:rPr>
        <w:t>O Cadastro Multifinalitário como ferramenta no Planejamento Urbano.</w:t>
      </w:r>
      <w:r w:rsidRPr="00993747">
        <w:rPr>
          <w:rFonts w:ascii="Times New Roman" w:hAnsi="Times New Roman" w:cs="Times New Roman"/>
          <w:sz w:val="24"/>
          <w:szCs w:val="24"/>
        </w:rPr>
        <w:t xml:space="preserve"> Brazilian Journal of Development, Curitiba, v. 5, n. 1, p. 915-926, 2019.</w:t>
      </w:r>
    </w:p>
    <w:p w14:paraId="7F6689EE" w14:textId="77777777" w:rsidR="00D56A92" w:rsidRPr="00993747" w:rsidRDefault="00D56A92" w:rsidP="00993747">
      <w:pPr>
        <w:spacing w:after="0" w:line="240" w:lineRule="auto"/>
        <w:jc w:val="both"/>
        <w:rPr>
          <w:rFonts w:ascii="Times New Roman" w:hAnsi="Times New Roman" w:cs="Times New Roman"/>
          <w:sz w:val="24"/>
          <w:szCs w:val="24"/>
        </w:rPr>
      </w:pPr>
    </w:p>
    <w:p w14:paraId="3C492D67" w14:textId="21202543"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ROCHA, Tamires Regina; HESPANHOL, Rosangela Ap. de Medeiros; VINHAES, Alan da Silva. </w:t>
      </w:r>
      <w:r w:rsidRPr="00993747">
        <w:rPr>
          <w:rFonts w:ascii="Times New Roman" w:hAnsi="Times New Roman" w:cs="Times New Roman"/>
          <w:b/>
          <w:bCs/>
          <w:sz w:val="24"/>
          <w:szCs w:val="24"/>
        </w:rPr>
        <w:t xml:space="preserve">A Expansão Periurbana </w:t>
      </w:r>
      <w:r w:rsidR="008B558F">
        <w:rPr>
          <w:rFonts w:ascii="Times New Roman" w:hAnsi="Times New Roman" w:cs="Times New Roman"/>
          <w:b/>
          <w:bCs/>
          <w:sz w:val="24"/>
          <w:szCs w:val="24"/>
        </w:rPr>
        <w:t>n</w:t>
      </w:r>
      <w:r w:rsidRPr="00993747">
        <w:rPr>
          <w:rFonts w:ascii="Times New Roman" w:hAnsi="Times New Roman" w:cs="Times New Roman"/>
          <w:b/>
          <w:bCs/>
          <w:sz w:val="24"/>
          <w:szCs w:val="24"/>
        </w:rPr>
        <w:t xml:space="preserve">o Município </w:t>
      </w:r>
      <w:r w:rsidR="008B558F">
        <w:rPr>
          <w:rFonts w:ascii="Times New Roman" w:hAnsi="Times New Roman" w:cs="Times New Roman"/>
          <w:b/>
          <w:bCs/>
          <w:sz w:val="24"/>
          <w:szCs w:val="24"/>
        </w:rPr>
        <w:t>d</w:t>
      </w:r>
      <w:r w:rsidRPr="00993747">
        <w:rPr>
          <w:rFonts w:ascii="Times New Roman" w:hAnsi="Times New Roman" w:cs="Times New Roman"/>
          <w:b/>
          <w:bCs/>
          <w:sz w:val="24"/>
          <w:szCs w:val="24"/>
        </w:rPr>
        <w:t xml:space="preserve">e Jundiaí e </w:t>
      </w:r>
      <w:r w:rsidR="008B558F">
        <w:rPr>
          <w:rFonts w:ascii="Times New Roman" w:hAnsi="Times New Roman" w:cs="Times New Roman"/>
          <w:b/>
          <w:bCs/>
          <w:sz w:val="24"/>
          <w:szCs w:val="24"/>
        </w:rPr>
        <w:t>O</w:t>
      </w:r>
      <w:r w:rsidRPr="00993747">
        <w:rPr>
          <w:rFonts w:ascii="Times New Roman" w:hAnsi="Times New Roman" w:cs="Times New Roman"/>
          <w:b/>
          <w:bCs/>
          <w:sz w:val="24"/>
          <w:szCs w:val="24"/>
        </w:rPr>
        <w:t xml:space="preserve"> Caso </w:t>
      </w:r>
      <w:r w:rsidR="008B558F">
        <w:rPr>
          <w:rFonts w:ascii="Times New Roman" w:hAnsi="Times New Roman" w:cs="Times New Roman"/>
          <w:b/>
          <w:bCs/>
          <w:sz w:val="24"/>
          <w:szCs w:val="24"/>
        </w:rPr>
        <w:t>d</w:t>
      </w:r>
      <w:r w:rsidRPr="00993747">
        <w:rPr>
          <w:rFonts w:ascii="Times New Roman" w:hAnsi="Times New Roman" w:cs="Times New Roman"/>
          <w:b/>
          <w:bCs/>
          <w:sz w:val="24"/>
          <w:szCs w:val="24"/>
        </w:rPr>
        <w:t xml:space="preserve">as Chácaras </w:t>
      </w:r>
      <w:r w:rsidR="008B558F">
        <w:rPr>
          <w:rFonts w:ascii="Times New Roman" w:hAnsi="Times New Roman" w:cs="Times New Roman"/>
          <w:b/>
          <w:bCs/>
          <w:sz w:val="24"/>
          <w:szCs w:val="24"/>
        </w:rPr>
        <w:t>d</w:t>
      </w:r>
      <w:r w:rsidRPr="00993747">
        <w:rPr>
          <w:rFonts w:ascii="Times New Roman" w:hAnsi="Times New Roman" w:cs="Times New Roman"/>
          <w:b/>
          <w:bCs/>
          <w:sz w:val="24"/>
          <w:szCs w:val="24"/>
        </w:rPr>
        <w:t xml:space="preserve">e Recreio </w:t>
      </w:r>
      <w:r w:rsidR="008B558F">
        <w:rPr>
          <w:rFonts w:ascii="Times New Roman" w:hAnsi="Times New Roman" w:cs="Times New Roman"/>
          <w:b/>
          <w:bCs/>
          <w:sz w:val="24"/>
          <w:szCs w:val="24"/>
        </w:rPr>
        <w:t>n</w:t>
      </w:r>
      <w:r w:rsidRPr="00993747">
        <w:rPr>
          <w:rFonts w:ascii="Times New Roman" w:hAnsi="Times New Roman" w:cs="Times New Roman"/>
          <w:b/>
          <w:bCs/>
          <w:sz w:val="24"/>
          <w:szCs w:val="24"/>
        </w:rPr>
        <w:t xml:space="preserve">os Bairros Rurais </w:t>
      </w:r>
      <w:r w:rsidR="003C36FA">
        <w:rPr>
          <w:rFonts w:ascii="Times New Roman" w:hAnsi="Times New Roman" w:cs="Times New Roman"/>
          <w:b/>
          <w:bCs/>
          <w:sz w:val="24"/>
          <w:szCs w:val="24"/>
        </w:rPr>
        <w:t>d</w:t>
      </w:r>
      <w:r w:rsidRPr="00993747">
        <w:rPr>
          <w:rFonts w:ascii="Times New Roman" w:hAnsi="Times New Roman" w:cs="Times New Roman"/>
          <w:b/>
          <w:bCs/>
          <w:sz w:val="24"/>
          <w:szCs w:val="24"/>
        </w:rPr>
        <w:t>o Poste</w:t>
      </w:r>
      <w:r w:rsidR="003C36FA">
        <w:rPr>
          <w:rFonts w:ascii="Times New Roman" w:hAnsi="Times New Roman" w:cs="Times New Roman"/>
          <w:b/>
          <w:bCs/>
          <w:sz w:val="24"/>
          <w:szCs w:val="24"/>
        </w:rPr>
        <w:t xml:space="preserve"> e</w:t>
      </w:r>
      <w:r w:rsidRPr="00993747">
        <w:rPr>
          <w:rFonts w:ascii="Times New Roman" w:hAnsi="Times New Roman" w:cs="Times New Roman"/>
          <w:b/>
          <w:bCs/>
          <w:sz w:val="24"/>
          <w:szCs w:val="24"/>
        </w:rPr>
        <w:t xml:space="preserve"> Caxambu</w:t>
      </w:r>
      <w:r w:rsidRPr="00993747">
        <w:rPr>
          <w:rFonts w:ascii="Times New Roman" w:hAnsi="Times New Roman" w:cs="Times New Roman"/>
          <w:sz w:val="24"/>
          <w:szCs w:val="24"/>
        </w:rPr>
        <w:t>. Simpósio Nacional de Geografia e Gestão Territorial e Semana Acadêmica de Geografia da Universidade Estadual de Londrina, v. 1, p. 1690-1706, 2018.</w:t>
      </w:r>
    </w:p>
    <w:p w14:paraId="285A4BA0" w14:textId="77777777" w:rsidR="00D56A92" w:rsidRPr="00993747" w:rsidRDefault="00D56A92" w:rsidP="00993747">
      <w:pPr>
        <w:spacing w:after="0" w:line="240" w:lineRule="auto"/>
        <w:jc w:val="both"/>
        <w:rPr>
          <w:rFonts w:ascii="Times New Roman" w:hAnsi="Times New Roman" w:cs="Times New Roman"/>
          <w:sz w:val="24"/>
          <w:szCs w:val="24"/>
        </w:rPr>
      </w:pPr>
    </w:p>
    <w:p w14:paraId="5E5F95D1" w14:textId="2B13FF42"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SALEME, Edson Ricardo. </w:t>
      </w:r>
      <w:r w:rsidRPr="00993747">
        <w:rPr>
          <w:rFonts w:ascii="Times New Roman" w:hAnsi="Times New Roman" w:cs="Times New Roman"/>
          <w:b/>
          <w:bCs/>
          <w:sz w:val="24"/>
          <w:szCs w:val="24"/>
        </w:rPr>
        <w:t>Regularização fundiária e a Lei nº 13.465 de 2017.</w:t>
      </w:r>
      <w:r w:rsidRPr="00993747">
        <w:rPr>
          <w:rFonts w:ascii="Times New Roman" w:hAnsi="Times New Roman" w:cs="Times New Roman"/>
          <w:sz w:val="24"/>
          <w:szCs w:val="24"/>
        </w:rPr>
        <w:t xml:space="preserve"> Cadernos Jurídicos, São Paulo, v. 1, n. 51, p. 187-198, 2019.</w:t>
      </w:r>
    </w:p>
    <w:p w14:paraId="3934616A" w14:textId="77777777" w:rsidR="00D56A92" w:rsidRPr="00993747" w:rsidRDefault="00D56A92" w:rsidP="00993747">
      <w:pPr>
        <w:spacing w:after="0" w:line="240" w:lineRule="auto"/>
        <w:jc w:val="both"/>
        <w:rPr>
          <w:rFonts w:ascii="Times New Roman" w:hAnsi="Times New Roman" w:cs="Times New Roman"/>
          <w:sz w:val="24"/>
          <w:szCs w:val="24"/>
        </w:rPr>
      </w:pPr>
    </w:p>
    <w:p w14:paraId="1403651F" w14:textId="298A0291"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SANTIN, Janaína Rigo; COMIRAN, Rafaela. </w:t>
      </w:r>
      <w:r w:rsidRPr="00993747">
        <w:rPr>
          <w:rFonts w:ascii="Times New Roman" w:hAnsi="Times New Roman" w:cs="Times New Roman"/>
          <w:b/>
          <w:bCs/>
          <w:sz w:val="24"/>
          <w:szCs w:val="24"/>
        </w:rPr>
        <w:t>Direito urbanístico e regularização fundiária.</w:t>
      </w:r>
      <w:r w:rsidRPr="00993747">
        <w:rPr>
          <w:rFonts w:ascii="Times New Roman" w:hAnsi="Times New Roman" w:cs="Times New Roman"/>
          <w:sz w:val="24"/>
          <w:szCs w:val="24"/>
        </w:rPr>
        <w:t xml:space="preserve"> Revista de Direito da Cidade, v. 10, n. 3, p. 1595-1621, 2018.</w:t>
      </w:r>
    </w:p>
    <w:p w14:paraId="2E912D19" w14:textId="77777777" w:rsidR="00D56A92" w:rsidRPr="00993747" w:rsidRDefault="00D56A92" w:rsidP="00993747">
      <w:pPr>
        <w:spacing w:after="0" w:line="240" w:lineRule="auto"/>
        <w:jc w:val="both"/>
        <w:rPr>
          <w:rFonts w:ascii="Times New Roman" w:hAnsi="Times New Roman" w:cs="Times New Roman"/>
          <w:sz w:val="24"/>
          <w:szCs w:val="24"/>
        </w:rPr>
      </w:pPr>
    </w:p>
    <w:p w14:paraId="614B02D8" w14:textId="127BE94F"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SANTORO, Paula Freire. </w:t>
      </w:r>
      <w:r w:rsidRPr="00993747">
        <w:rPr>
          <w:rFonts w:ascii="Times New Roman" w:hAnsi="Times New Roman" w:cs="Times New Roman"/>
          <w:b/>
          <w:bCs/>
          <w:sz w:val="24"/>
          <w:szCs w:val="24"/>
        </w:rPr>
        <w:t>Entre o rural e o urbano: zonas de chácaras, sítios de recreio ou ranchos e a preservação do meio ambiente.</w:t>
      </w:r>
      <w:r w:rsidRPr="00993747">
        <w:rPr>
          <w:rFonts w:ascii="Times New Roman" w:hAnsi="Times New Roman" w:cs="Times New Roman"/>
          <w:sz w:val="24"/>
          <w:szCs w:val="24"/>
        </w:rPr>
        <w:t xml:space="preserve"> Trabalho apresentado no APPURBANA, p. 11, 2014.</w:t>
      </w:r>
    </w:p>
    <w:p w14:paraId="36B22B48" w14:textId="77777777" w:rsidR="00D56A92" w:rsidRPr="00993747" w:rsidRDefault="00D56A92" w:rsidP="00993747">
      <w:pPr>
        <w:spacing w:after="0" w:line="240" w:lineRule="auto"/>
        <w:jc w:val="both"/>
        <w:rPr>
          <w:rFonts w:ascii="Times New Roman" w:hAnsi="Times New Roman" w:cs="Times New Roman"/>
          <w:sz w:val="24"/>
          <w:szCs w:val="24"/>
        </w:rPr>
      </w:pPr>
    </w:p>
    <w:p w14:paraId="70EEC5C8" w14:textId="21785316" w:rsidR="00980F66" w:rsidRDefault="00980F66" w:rsidP="00980F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SÃO PAULO. Tribunal de Justiça de São Paulo (Paraibuna). </w:t>
      </w:r>
      <w:r w:rsidRPr="00DD680D">
        <w:rPr>
          <w:rFonts w:ascii="Times New Roman" w:hAnsi="Times New Roman" w:cs="Times New Roman"/>
          <w:b/>
          <w:bCs/>
          <w:sz w:val="24"/>
          <w:szCs w:val="24"/>
        </w:rPr>
        <w:t>A</w:t>
      </w:r>
      <w:r w:rsidR="004B252C" w:rsidRPr="00DD680D">
        <w:rPr>
          <w:rFonts w:ascii="Times New Roman" w:hAnsi="Times New Roman" w:cs="Times New Roman"/>
          <w:b/>
          <w:bCs/>
          <w:sz w:val="24"/>
          <w:szCs w:val="24"/>
        </w:rPr>
        <w:t>córdão</w:t>
      </w:r>
      <w:r w:rsidRPr="00DD680D">
        <w:rPr>
          <w:rFonts w:ascii="Times New Roman" w:hAnsi="Times New Roman" w:cs="Times New Roman"/>
          <w:b/>
          <w:bCs/>
          <w:sz w:val="24"/>
          <w:szCs w:val="24"/>
        </w:rPr>
        <w:t xml:space="preserve"> </w:t>
      </w:r>
      <w:r>
        <w:rPr>
          <w:rFonts w:ascii="Times New Roman" w:hAnsi="Times New Roman" w:cs="Times New Roman"/>
          <w:b/>
          <w:bCs/>
          <w:sz w:val="24"/>
          <w:szCs w:val="24"/>
        </w:rPr>
        <w:t>-</w:t>
      </w:r>
      <w:r w:rsidRPr="00DD680D">
        <w:rPr>
          <w:rFonts w:ascii="Times New Roman" w:hAnsi="Times New Roman" w:cs="Times New Roman"/>
          <w:b/>
          <w:bCs/>
          <w:sz w:val="24"/>
          <w:szCs w:val="24"/>
        </w:rPr>
        <w:t xml:space="preserve"> DJ 156-6/3</w:t>
      </w:r>
      <w:r>
        <w:rPr>
          <w:rFonts w:ascii="Times New Roman" w:hAnsi="Times New Roman" w:cs="Times New Roman"/>
          <w:sz w:val="24"/>
          <w:szCs w:val="24"/>
        </w:rPr>
        <w:t xml:space="preserve">. </w:t>
      </w:r>
      <w:r w:rsidRPr="00B46A95">
        <w:rPr>
          <w:rFonts w:ascii="Times New Roman" w:hAnsi="Times New Roman" w:cs="Times New Roman"/>
          <w:sz w:val="24"/>
          <w:szCs w:val="24"/>
        </w:rPr>
        <w:t xml:space="preserve">  Registro de Imóveis. Dúvida. Registro de escritura de compra e venda de partes ideais. Área inferior ao módulo rural da região</w:t>
      </w:r>
      <w:r>
        <w:rPr>
          <w:rFonts w:ascii="Times New Roman" w:hAnsi="Times New Roman" w:cs="Times New Roman"/>
          <w:sz w:val="24"/>
          <w:szCs w:val="24"/>
        </w:rPr>
        <w:t xml:space="preserve"> [...]. </w:t>
      </w:r>
      <w:r w:rsidRPr="00DD680D">
        <w:rPr>
          <w:rFonts w:ascii="Times New Roman" w:hAnsi="Times New Roman" w:cs="Times New Roman"/>
          <w:sz w:val="24"/>
          <w:szCs w:val="24"/>
        </w:rPr>
        <w:t>Coordenadoria de Correições, Organização e Controle das Unidades Extrajudiciais</w:t>
      </w:r>
      <w:r>
        <w:rPr>
          <w:rFonts w:ascii="Times New Roman" w:hAnsi="Times New Roman" w:cs="Times New Roman"/>
          <w:sz w:val="24"/>
          <w:szCs w:val="24"/>
        </w:rPr>
        <w:t xml:space="preserve">. Relator: </w:t>
      </w:r>
      <w:r w:rsidRPr="00B46A95">
        <w:rPr>
          <w:rFonts w:ascii="Times New Roman" w:hAnsi="Times New Roman" w:cs="Times New Roman"/>
          <w:sz w:val="24"/>
          <w:szCs w:val="24"/>
        </w:rPr>
        <w:t>José Mário Antonio Cardinale</w:t>
      </w:r>
      <w:r>
        <w:rPr>
          <w:rFonts w:ascii="Times New Roman" w:hAnsi="Times New Roman" w:cs="Times New Roman"/>
          <w:sz w:val="24"/>
          <w:szCs w:val="24"/>
        </w:rPr>
        <w:t xml:space="preserve">, </w:t>
      </w:r>
      <w:r w:rsidRPr="004123B4">
        <w:rPr>
          <w:rFonts w:ascii="Times New Roman" w:hAnsi="Times New Roman" w:cs="Times New Roman"/>
          <w:sz w:val="24"/>
          <w:szCs w:val="24"/>
        </w:rPr>
        <w:t>2</w:t>
      </w:r>
      <w:r>
        <w:rPr>
          <w:rFonts w:ascii="Times New Roman" w:hAnsi="Times New Roman" w:cs="Times New Roman"/>
          <w:sz w:val="24"/>
          <w:szCs w:val="24"/>
        </w:rPr>
        <w:t>0</w:t>
      </w:r>
      <w:r w:rsidRPr="004123B4">
        <w:rPr>
          <w:rFonts w:ascii="Times New Roman" w:hAnsi="Times New Roman" w:cs="Times New Roman"/>
          <w:sz w:val="24"/>
          <w:szCs w:val="24"/>
        </w:rPr>
        <w:t xml:space="preserve"> de </w:t>
      </w:r>
      <w:r>
        <w:rPr>
          <w:rFonts w:ascii="Times New Roman" w:hAnsi="Times New Roman" w:cs="Times New Roman"/>
          <w:sz w:val="24"/>
          <w:szCs w:val="24"/>
        </w:rPr>
        <w:t>mai</w:t>
      </w:r>
      <w:r w:rsidRPr="004123B4">
        <w:rPr>
          <w:rFonts w:ascii="Times New Roman" w:hAnsi="Times New Roman" w:cs="Times New Roman"/>
          <w:sz w:val="24"/>
          <w:szCs w:val="24"/>
        </w:rPr>
        <w:t>o de 20</w:t>
      </w:r>
      <w:r>
        <w:rPr>
          <w:rFonts w:ascii="Times New Roman" w:hAnsi="Times New Roman" w:cs="Times New Roman"/>
          <w:sz w:val="24"/>
          <w:szCs w:val="24"/>
        </w:rPr>
        <w:t xml:space="preserve">04. </w:t>
      </w:r>
      <w:r>
        <w:rPr>
          <w:rFonts w:ascii="Times New Roman" w:hAnsi="Times New Roman" w:cs="Times New Roman"/>
          <w:sz w:val="24"/>
          <w:szCs w:val="24"/>
        </w:rPr>
        <w:lastRenderedPageBreak/>
        <w:t>Disponível em:</w:t>
      </w:r>
      <w:r w:rsidRPr="00DD680D">
        <w:t xml:space="preserve"> </w:t>
      </w:r>
      <w:r w:rsidRPr="00B46A95">
        <w:rPr>
          <w:rFonts w:ascii="Times New Roman" w:hAnsi="Times New Roman" w:cs="Times New Roman"/>
          <w:sz w:val="24"/>
          <w:szCs w:val="24"/>
        </w:rPr>
        <w:t>https://extrajudicial.tjsp.jus.br/pexPtl/visualizarDetalhesPublicacao.do</w:t>
      </w:r>
      <w:r>
        <w:rPr>
          <w:rFonts w:ascii="Times New Roman" w:hAnsi="Times New Roman" w:cs="Times New Roman"/>
          <w:sz w:val="24"/>
          <w:szCs w:val="24"/>
        </w:rPr>
        <w:t xml:space="preserve"> </w:t>
      </w:r>
      <w:r w:rsidRPr="00B46A95">
        <w:rPr>
          <w:rFonts w:ascii="Times New Roman" w:hAnsi="Times New Roman" w:cs="Times New Roman"/>
          <w:sz w:val="24"/>
          <w:szCs w:val="24"/>
        </w:rPr>
        <w:t>?cdTipopublicacao=5&amp;nuSeqpublicacao=1332</w:t>
      </w:r>
      <w:r>
        <w:rPr>
          <w:rFonts w:ascii="Times New Roman" w:hAnsi="Times New Roman" w:cs="Times New Roman"/>
          <w:sz w:val="24"/>
          <w:szCs w:val="24"/>
        </w:rPr>
        <w:t>. Acesso em: 13 de julho de 2022.</w:t>
      </w:r>
    </w:p>
    <w:p w14:paraId="708D3B9B" w14:textId="77777777" w:rsidR="00980F66" w:rsidRDefault="00980F66" w:rsidP="004123B4">
      <w:pPr>
        <w:spacing w:after="0" w:line="240" w:lineRule="auto"/>
        <w:jc w:val="both"/>
        <w:rPr>
          <w:rFonts w:ascii="Times New Roman" w:hAnsi="Times New Roman" w:cs="Times New Roman"/>
          <w:sz w:val="24"/>
          <w:szCs w:val="24"/>
        </w:rPr>
      </w:pPr>
    </w:p>
    <w:p w14:paraId="2D53DA78" w14:textId="4B49FD74" w:rsidR="004123B4" w:rsidRDefault="004123B4" w:rsidP="004123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SÃO PAULO. Tribunal de Justiça de São Paulo (Ourinhos). </w:t>
      </w:r>
      <w:r w:rsidRPr="004123B4">
        <w:rPr>
          <w:rFonts w:ascii="Times New Roman" w:hAnsi="Times New Roman" w:cs="Times New Roman"/>
          <w:b/>
          <w:bCs/>
          <w:sz w:val="24"/>
          <w:szCs w:val="24"/>
        </w:rPr>
        <w:t>Acórdão - DJ nº 0000182-09.2012.8.26.0408</w:t>
      </w:r>
      <w:r>
        <w:rPr>
          <w:rFonts w:ascii="Times New Roman" w:hAnsi="Times New Roman" w:cs="Times New Roman"/>
          <w:sz w:val="24"/>
          <w:szCs w:val="24"/>
        </w:rPr>
        <w:t xml:space="preserve">. </w:t>
      </w:r>
      <w:r w:rsidRPr="00923239">
        <w:rPr>
          <w:rFonts w:ascii="Times New Roman" w:hAnsi="Times New Roman" w:cs="Times New Roman"/>
          <w:sz w:val="24"/>
          <w:szCs w:val="24"/>
        </w:rPr>
        <w:t xml:space="preserve">REGISTRO DE IMÓVEIS – Vendas sucessivas de frações ideais de imóvel - Coproprietários sem vínculo - Burla ao parcelamento do solo </w:t>
      </w:r>
      <w:r>
        <w:rPr>
          <w:rFonts w:ascii="Times New Roman" w:hAnsi="Times New Roman" w:cs="Times New Roman"/>
          <w:sz w:val="24"/>
          <w:szCs w:val="24"/>
        </w:rPr>
        <w:t xml:space="preserve">[...]. </w:t>
      </w:r>
      <w:r w:rsidRPr="00751C1C">
        <w:rPr>
          <w:rFonts w:ascii="Times New Roman" w:hAnsi="Times New Roman" w:cs="Times New Roman"/>
          <w:sz w:val="24"/>
          <w:szCs w:val="24"/>
        </w:rPr>
        <w:t>Diretoria da Corregedoria Geral da Justiça</w:t>
      </w:r>
      <w:r>
        <w:rPr>
          <w:rFonts w:ascii="Times New Roman" w:hAnsi="Times New Roman" w:cs="Times New Roman"/>
          <w:sz w:val="24"/>
          <w:szCs w:val="24"/>
        </w:rPr>
        <w:t xml:space="preserve">. Relator: </w:t>
      </w:r>
      <w:r w:rsidR="00DD680D">
        <w:rPr>
          <w:rFonts w:ascii="Times New Roman" w:hAnsi="Times New Roman" w:cs="Times New Roman"/>
          <w:sz w:val="24"/>
          <w:szCs w:val="24"/>
        </w:rPr>
        <w:t xml:space="preserve">José </w:t>
      </w:r>
      <w:r>
        <w:rPr>
          <w:rFonts w:ascii="Times New Roman" w:hAnsi="Times New Roman" w:cs="Times New Roman"/>
          <w:sz w:val="24"/>
          <w:szCs w:val="24"/>
        </w:rPr>
        <w:t xml:space="preserve">Renato Nalini, 23 de agosto de 2013. Disponível em: </w:t>
      </w:r>
      <w:r w:rsidRPr="00751C1C">
        <w:rPr>
          <w:rFonts w:ascii="Times New Roman" w:hAnsi="Times New Roman" w:cs="Times New Roman"/>
          <w:sz w:val="24"/>
          <w:szCs w:val="24"/>
        </w:rPr>
        <w:t>https://extrajudicial.tjsp.jus.br/pexPtl/visualizarDetalhesPublicacao.do?cdTipopublicacao=5&amp;nuSeqpublicacao=4444</w:t>
      </w:r>
      <w:r>
        <w:rPr>
          <w:rFonts w:ascii="Times New Roman" w:hAnsi="Times New Roman" w:cs="Times New Roman"/>
          <w:sz w:val="24"/>
          <w:szCs w:val="24"/>
        </w:rPr>
        <w:t>. Acesso em: 13 de julho de 2022.</w:t>
      </w:r>
    </w:p>
    <w:p w14:paraId="5BAC2CF9" w14:textId="7746288A" w:rsidR="00DD680D" w:rsidRDefault="00DD680D" w:rsidP="004123B4">
      <w:pPr>
        <w:spacing w:after="0" w:line="240" w:lineRule="auto"/>
        <w:jc w:val="both"/>
        <w:rPr>
          <w:rFonts w:ascii="Times New Roman" w:hAnsi="Times New Roman" w:cs="Times New Roman"/>
          <w:sz w:val="24"/>
          <w:szCs w:val="24"/>
        </w:rPr>
      </w:pPr>
    </w:p>
    <w:p w14:paraId="41232344" w14:textId="4BDAE55E" w:rsidR="00DD680D" w:rsidRDefault="00DD680D" w:rsidP="00DD6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SÃO PAULO. Tribunal de Justiça de São Paulo (Ourinhos). </w:t>
      </w:r>
      <w:r w:rsidRPr="004123B4">
        <w:rPr>
          <w:rFonts w:ascii="Times New Roman" w:hAnsi="Times New Roman" w:cs="Times New Roman"/>
          <w:b/>
          <w:bCs/>
          <w:sz w:val="24"/>
          <w:szCs w:val="24"/>
        </w:rPr>
        <w:t>Acórdão - DJ nº 0000682-07.2014.8.26.0408</w:t>
      </w:r>
      <w:r>
        <w:rPr>
          <w:rFonts w:ascii="Times New Roman" w:hAnsi="Times New Roman" w:cs="Times New Roman"/>
          <w:sz w:val="24"/>
          <w:szCs w:val="24"/>
        </w:rPr>
        <w:t xml:space="preserve">. </w:t>
      </w:r>
      <w:r w:rsidRPr="00DD680D">
        <w:rPr>
          <w:rFonts w:ascii="Times New Roman" w:hAnsi="Times New Roman" w:cs="Times New Roman"/>
          <w:sz w:val="24"/>
          <w:szCs w:val="24"/>
        </w:rPr>
        <w:t>REGISTRO DE IMÓVEIS – Escritura pública de venda e compra de fração ideal – Elementos indicativos de parcelamento ilegal do solo – Vendas sucessivas de frações ideais do mesmo bem imóvel – Ausência de vínculo entre os coproprietários – Desqualificação registral confirmada – Registro obstado – Recurso não provido.</w:t>
      </w:r>
      <w:r w:rsidRPr="00923239">
        <w:rPr>
          <w:rFonts w:ascii="Times New Roman" w:hAnsi="Times New Roman" w:cs="Times New Roman"/>
          <w:sz w:val="24"/>
          <w:szCs w:val="24"/>
        </w:rPr>
        <w:t xml:space="preserve"> </w:t>
      </w:r>
      <w:r w:rsidRPr="00751C1C">
        <w:rPr>
          <w:rFonts w:ascii="Times New Roman" w:hAnsi="Times New Roman" w:cs="Times New Roman"/>
          <w:sz w:val="24"/>
          <w:szCs w:val="24"/>
        </w:rPr>
        <w:t>Diretoria da Corregedoria Geral da Justiça</w:t>
      </w:r>
      <w:r>
        <w:rPr>
          <w:rFonts w:ascii="Times New Roman" w:hAnsi="Times New Roman" w:cs="Times New Roman"/>
          <w:sz w:val="24"/>
          <w:szCs w:val="24"/>
        </w:rPr>
        <w:t xml:space="preserve">. Relator: </w:t>
      </w:r>
      <w:r w:rsidRPr="00DD680D">
        <w:rPr>
          <w:rFonts w:ascii="Times New Roman" w:hAnsi="Times New Roman" w:cs="Times New Roman"/>
          <w:sz w:val="24"/>
          <w:szCs w:val="24"/>
        </w:rPr>
        <w:t xml:space="preserve">Manoel </w:t>
      </w:r>
      <w:r>
        <w:rPr>
          <w:rFonts w:ascii="Times New Roman" w:hAnsi="Times New Roman" w:cs="Times New Roman"/>
          <w:sz w:val="24"/>
          <w:szCs w:val="24"/>
        </w:rPr>
        <w:t>d</w:t>
      </w:r>
      <w:r w:rsidRPr="00DD680D">
        <w:rPr>
          <w:rFonts w:ascii="Times New Roman" w:hAnsi="Times New Roman" w:cs="Times New Roman"/>
          <w:sz w:val="24"/>
          <w:szCs w:val="24"/>
        </w:rPr>
        <w:t>e Queiroz</w:t>
      </w:r>
      <w:r>
        <w:rPr>
          <w:rFonts w:ascii="Times New Roman" w:hAnsi="Times New Roman" w:cs="Times New Roman"/>
          <w:sz w:val="24"/>
          <w:szCs w:val="24"/>
        </w:rPr>
        <w:t xml:space="preserve"> Pereira Calças, </w:t>
      </w:r>
      <w:r w:rsidRPr="004123B4">
        <w:rPr>
          <w:rFonts w:ascii="Times New Roman" w:hAnsi="Times New Roman" w:cs="Times New Roman"/>
          <w:sz w:val="24"/>
          <w:szCs w:val="24"/>
        </w:rPr>
        <w:t>25 de fevereiro de 2016</w:t>
      </w:r>
      <w:r>
        <w:rPr>
          <w:rFonts w:ascii="Times New Roman" w:hAnsi="Times New Roman" w:cs="Times New Roman"/>
          <w:sz w:val="24"/>
          <w:szCs w:val="24"/>
        </w:rPr>
        <w:t>. Disponível em:</w:t>
      </w:r>
      <w:r w:rsidRPr="00DD680D">
        <w:t xml:space="preserve"> </w:t>
      </w:r>
      <w:r w:rsidRPr="00DD680D">
        <w:rPr>
          <w:rFonts w:ascii="Times New Roman" w:hAnsi="Times New Roman" w:cs="Times New Roman"/>
          <w:sz w:val="24"/>
          <w:szCs w:val="24"/>
        </w:rPr>
        <w:t>https://extrajudicial.tjsp.jus.br/pexPtl/visualizarDetalhesPublicacao.do?cd</w:t>
      </w:r>
      <w:r>
        <w:rPr>
          <w:rFonts w:ascii="Times New Roman" w:hAnsi="Times New Roman" w:cs="Times New Roman"/>
          <w:sz w:val="24"/>
          <w:szCs w:val="24"/>
        </w:rPr>
        <w:t xml:space="preserve"> </w:t>
      </w:r>
      <w:r w:rsidRPr="00DD680D">
        <w:rPr>
          <w:rFonts w:ascii="Times New Roman" w:hAnsi="Times New Roman" w:cs="Times New Roman"/>
          <w:sz w:val="24"/>
          <w:szCs w:val="24"/>
        </w:rPr>
        <w:t>Tipopublicacao=5&amp;nuSeqpublicacao=5546</w:t>
      </w:r>
      <w:r>
        <w:rPr>
          <w:rFonts w:ascii="Times New Roman" w:hAnsi="Times New Roman" w:cs="Times New Roman"/>
          <w:sz w:val="24"/>
          <w:szCs w:val="24"/>
        </w:rPr>
        <w:t>. Acesso em: 13 de julho de 2022.</w:t>
      </w:r>
    </w:p>
    <w:p w14:paraId="279E2D81" w14:textId="7A4465FB" w:rsidR="00642C14" w:rsidRDefault="00642C14" w:rsidP="00DD680D">
      <w:pPr>
        <w:spacing w:after="0" w:line="240" w:lineRule="auto"/>
        <w:jc w:val="both"/>
        <w:rPr>
          <w:rFonts w:ascii="Times New Roman" w:hAnsi="Times New Roman" w:cs="Times New Roman"/>
          <w:sz w:val="24"/>
          <w:szCs w:val="24"/>
        </w:rPr>
      </w:pPr>
    </w:p>
    <w:p w14:paraId="5958DA67" w14:textId="77777777" w:rsidR="00642C14" w:rsidRDefault="00642C14" w:rsidP="00642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SÃO PAULO (Estado). Corregedoria Geral da Justiça. </w:t>
      </w:r>
      <w:r w:rsidRPr="000007CE">
        <w:rPr>
          <w:rFonts w:ascii="Times New Roman" w:hAnsi="Times New Roman" w:cs="Times New Roman"/>
          <w:b/>
          <w:bCs/>
          <w:sz w:val="24"/>
          <w:szCs w:val="24"/>
        </w:rPr>
        <w:t>Provimento nº 56/2019, de 11 de dezembro de 2019</w:t>
      </w:r>
      <w:r>
        <w:rPr>
          <w:rFonts w:ascii="Times New Roman" w:hAnsi="Times New Roman" w:cs="Times New Roman"/>
          <w:sz w:val="24"/>
          <w:szCs w:val="24"/>
        </w:rPr>
        <w:t xml:space="preserve">. </w:t>
      </w:r>
      <w:r w:rsidRPr="008B6783">
        <w:rPr>
          <w:rFonts w:ascii="Times New Roman" w:hAnsi="Times New Roman" w:cs="Times New Roman"/>
          <w:sz w:val="24"/>
          <w:szCs w:val="24"/>
        </w:rPr>
        <w:t>Atualiza o Tomo II das Normas de Serviço da</w:t>
      </w:r>
      <w:r>
        <w:rPr>
          <w:rFonts w:ascii="Times New Roman" w:hAnsi="Times New Roman" w:cs="Times New Roman"/>
          <w:sz w:val="24"/>
          <w:szCs w:val="24"/>
        </w:rPr>
        <w:t xml:space="preserve"> </w:t>
      </w:r>
      <w:r w:rsidRPr="008B6783">
        <w:rPr>
          <w:rFonts w:ascii="Times New Roman" w:hAnsi="Times New Roman" w:cs="Times New Roman"/>
          <w:sz w:val="24"/>
          <w:szCs w:val="24"/>
        </w:rPr>
        <w:t>Corregedoria Geral da Justiça – Serviços</w:t>
      </w:r>
      <w:r>
        <w:rPr>
          <w:rFonts w:ascii="Times New Roman" w:hAnsi="Times New Roman" w:cs="Times New Roman"/>
          <w:sz w:val="24"/>
          <w:szCs w:val="24"/>
        </w:rPr>
        <w:t xml:space="preserve"> </w:t>
      </w:r>
      <w:r w:rsidRPr="008B6783">
        <w:rPr>
          <w:rFonts w:ascii="Times New Roman" w:hAnsi="Times New Roman" w:cs="Times New Roman"/>
          <w:sz w:val="24"/>
          <w:szCs w:val="24"/>
        </w:rPr>
        <w:t>Extrajudiciais de Notas e de Registro do Estado de</w:t>
      </w:r>
      <w:r>
        <w:rPr>
          <w:rFonts w:ascii="Times New Roman" w:hAnsi="Times New Roman" w:cs="Times New Roman"/>
          <w:sz w:val="24"/>
          <w:szCs w:val="24"/>
        </w:rPr>
        <w:t xml:space="preserve"> </w:t>
      </w:r>
      <w:r w:rsidRPr="008B6783">
        <w:rPr>
          <w:rFonts w:ascii="Times New Roman" w:hAnsi="Times New Roman" w:cs="Times New Roman"/>
          <w:sz w:val="24"/>
          <w:szCs w:val="24"/>
        </w:rPr>
        <w:t>São Paulo.</w:t>
      </w:r>
      <w:r>
        <w:rPr>
          <w:rFonts w:ascii="Times New Roman" w:hAnsi="Times New Roman" w:cs="Times New Roman"/>
          <w:sz w:val="24"/>
          <w:szCs w:val="24"/>
        </w:rPr>
        <w:t xml:space="preserve"> Disponível em: </w:t>
      </w:r>
      <w:r w:rsidRPr="00642C14">
        <w:rPr>
          <w:rFonts w:ascii="Times New Roman" w:hAnsi="Times New Roman" w:cs="Times New Roman"/>
          <w:sz w:val="24"/>
          <w:szCs w:val="24"/>
        </w:rPr>
        <w:t>https://api.tjsp.jus.br/Handlers/Handler/FileFetch.ashx?codigo=138285</w:t>
      </w:r>
      <w:r>
        <w:rPr>
          <w:rFonts w:ascii="Times New Roman" w:hAnsi="Times New Roman" w:cs="Times New Roman"/>
          <w:sz w:val="24"/>
          <w:szCs w:val="24"/>
        </w:rPr>
        <w:t xml:space="preserve">. Acesso em: </w:t>
      </w:r>
      <w:r w:rsidRPr="00642C14">
        <w:rPr>
          <w:rFonts w:ascii="Times New Roman" w:hAnsi="Times New Roman" w:cs="Times New Roman"/>
          <w:sz w:val="24"/>
          <w:szCs w:val="24"/>
        </w:rPr>
        <w:t>Acesso em: 29 de maio de 2022.</w:t>
      </w:r>
    </w:p>
    <w:p w14:paraId="58A42CB4" w14:textId="77777777" w:rsidR="004123B4" w:rsidRDefault="004123B4" w:rsidP="00993747">
      <w:pPr>
        <w:spacing w:after="0" w:line="240" w:lineRule="auto"/>
        <w:jc w:val="both"/>
        <w:rPr>
          <w:rFonts w:ascii="Times New Roman" w:hAnsi="Times New Roman" w:cs="Times New Roman"/>
          <w:sz w:val="24"/>
          <w:szCs w:val="24"/>
        </w:rPr>
      </w:pPr>
    </w:p>
    <w:p w14:paraId="15B8F53C" w14:textId="2306D849"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SCHAFER, </w:t>
      </w:r>
      <w:r w:rsidR="00332EA6" w:rsidRPr="00993747">
        <w:rPr>
          <w:rFonts w:ascii="Times New Roman" w:hAnsi="Times New Roman" w:cs="Times New Roman"/>
          <w:sz w:val="24"/>
          <w:szCs w:val="24"/>
        </w:rPr>
        <w:t>Andressa</w:t>
      </w:r>
      <w:r w:rsidRPr="00993747">
        <w:rPr>
          <w:rFonts w:ascii="Times New Roman" w:hAnsi="Times New Roman" w:cs="Times New Roman"/>
          <w:sz w:val="24"/>
          <w:szCs w:val="24"/>
        </w:rPr>
        <w:t>; ALBUQUERQUE, Simone Gasperin</w:t>
      </w:r>
      <w:r w:rsidR="00332EA6">
        <w:rPr>
          <w:rFonts w:ascii="Times New Roman" w:hAnsi="Times New Roman" w:cs="Times New Roman"/>
          <w:sz w:val="24"/>
          <w:szCs w:val="24"/>
        </w:rPr>
        <w:t xml:space="preserve"> de</w:t>
      </w:r>
      <w:r w:rsidRPr="00993747">
        <w:rPr>
          <w:rFonts w:ascii="Times New Roman" w:hAnsi="Times New Roman" w:cs="Times New Roman"/>
          <w:sz w:val="24"/>
          <w:szCs w:val="24"/>
        </w:rPr>
        <w:t xml:space="preserve">. </w:t>
      </w:r>
      <w:r w:rsidRPr="00993747">
        <w:rPr>
          <w:rFonts w:ascii="Times New Roman" w:hAnsi="Times New Roman" w:cs="Times New Roman"/>
          <w:b/>
          <w:bCs/>
          <w:sz w:val="24"/>
          <w:szCs w:val="24"/>
        </w:rPr>
        <w:t>A sustentabilidade urbana e a legislação para regularização fundiária no Brasil.</w:t>
      </w:r>
      <w:r w:rsidRPr="00993747">
        <w:rPr>
          <w:rFonts w:ascii="Times New Roman" w:hAnsi="Times New Roman" w:cs="Times New Roman"/>
          <w:sz w:val="24"/>
          <w:szCs w:val="24"/>
        </w:rPr>
        <w:t xml:space="preserve"> Revista Perspectiva, v. 45, n. 170, p. 17-28, 2021.</w:t>
      </w:r>
    </w:p>
    <w:p w14:paraId="01D54DE5" w14:textId="77777777" w:rsidR="00D56A92" w:rsidRPr="00993747" w:rsidRDefault="00D56A92" w:rsidP="00993747">
      <w:pPr>
        <w:spacing w:after="0" w:line="240" w:lineRule="auto"/>
        <w:jc w:val="both"/>
        <w:rPr>
          <w:rFonts w:ascii="Times New Roman" w:hAnsi="Times New Roman" w:cs="Times New Roman"/>
          <w:sz w:val="24"/>
          <w:szCs w:val="24"/>
        </w:rPr>
      </w:pPr>
    </w:p>
    <w:p w14:paraId="73A4AD53" w14:textId="17B6C946" w:rsidR="00993747" w:rsidRDefault="00993747" w:rsidP="00993747">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TEODORO, Ueslei et al. </w:t>
      </w:r>
      <w:r w:rsidRPr="00993747">
        <w:rPr>
          <w:rFonts w:ascii="Times New Roman" w:hAnsi="Times New Roman" w:cs="Times New Roman"/>
          <w:b/>
          <w:bCs/>
          <w:sz w:val="24"/>
          <w:szCs w:val="24"/>
        </w:rPr>
        <w:t>Luz e galinhas como fatores de atração de Nyssomyia whitmani em ambiente rural, Paraná, Brasil</w:t>
      </w:r>
      <w:r w:rsidRPr="00993747">
        <w:rPr>
          <w:rFonts w:ascii="Times New Roman" w:hAnsi="Times New Roman" w:cs="Times New Roman"/>
          <w:sz w:val="24"/>
          <w:szCs w:val="24"/>
        </w:rPr>
        <w:t>. Revista de Saúde Pública, v. 41, p. 383-388, 2007. Disponível em: https://www.scielo.br/j/rsp/a/BfNMXcpbY5xYwns46Bbqgmy/?lang</w:t>
      </w:r>
      <w:r w:rsidR="008B558F">
        <w:rPr>
          <w:rFonts w:ascii="Times New Roman" w:hAnsi="Times New Roman" w:cs="Times New Roman"/>
          <w:sz w:val="24"/>
          <w:szCs w:val="24"/>
        </w:rPr>
        <w:t xml:space="preserve"> </w:t>
      </w:r>
      <w:r w:rsidRPr="00993747">
        <w:rPr>
          <w:rFonts w:ascii="Times New Roman" w:hAnsi="Times New Roman" w:cs="Times New Roman"/>
          <w:sz w:val="24"/>
          <w:szCs w:val="24"/>
        </w:rPr>
        <w:t>=pt&amp;format=pdf. Acesso em: 12 de junho de 2022.</w:t>
      </w:r>
    </w:p>
    <w:p w14:paraId="543F0E1F" w14:textId="77777777" w:rsidR="00D56A92" w:rsidRPr="00993747" w:rsidRDefault="00D56A92" w:rsidP="00993747">
      <w:pPr>
        <w:spacing w:after="0" w:line="240" w:lineRule="auto"/>
        <w:jc w:val="both"/>
        <w:rPr>
          <w:rFonts w:ascii="Times New Roman" w:hAnsi="Times New Roman" w:cs="Times New Roman"/>
          <w:sz w:val="24"/>
          <w:szCs w:val="24"/>
        </w:rPr>
      </w:pPr>
    </w:p>
    <w:p w14:paraId="47F971A0" w14:textId="7016E1B5" w:rsidR="00786F11" w:rsidRDefault="00993747" w:rsidP="009125BD">
      <w:pPr>
        <w:spacing w:after="0" w:line="240" w:lineRule="auto"/>
        <w:jc w:val="both"/>
        <w:rPr>
          <w:rFonts w:ascii="Times New Roman" w:hAnsi="Times New Roman" w:cs="Times New Roman"/>
          <w:sz w:val="24"/>
          <w:szCs w:val="24"/>
        </w:rPr>
      </w:pPr>
      <w:r w:rsidRPr="00993747">
        <w:rPr>
          <w:rFonts w:ascii="Times New Roman" w:hAnsi="Times New Roman" w:cs="Times New Roman"/>
          <w:sz w:val="24"/>
          <w:szCs w:val="24"/>
        </w:rPr>
        <w:t xml:space="preserve">VILARIM, Maiana Borba et al. </w:t>
      </w:r>
      <w:r w:rsidRPr="00993747">
        <w:rPr>
          <w:rFonts w:ascii="Times New Roman" w:hAnsi="Times New Roman" w:cs="Times New Roman"/>
          <w:b/>
          <w:bCs/>
          <w:sz w:val="24"/>
          <w:szCs w:val="24"/>
        </w:rPr>
        <w:t>Casos de subsidência devido à explotação de água subterrânea.</w:t>
      </w:r>
      <w:r w:rsidRPr="00993747">
        <w:rPr>
          <w:rFonts w:ascii="Times New Roman" w:hAnsi="Times New Roman" w:cs="Times New Roman"/>
          <w:sz w:val="24"/>
          <w:szCs w:val="24"/>
        </w:rPr>
        <w:t xml:space="preserve"> XIX SILUBESA, 2021.</w:t>
      </w:r>
    </w:p>
    <w:sectPr w:rsidR="00786F11">
      <w:headerReference w:type="default" r:id="rId9"/>
      <w:footerReference w:type="default" r:id="rId10"/>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423C4" w14:textId="77777777" w:rsidR="00786F11" w:rsidRDefault="005E28F7">
      <w:pPr>
        <w:spacing w:line="240" w:lineRule="auto"/>
      </w:pPr>
      <w:r>
        <w:separator/>
      </w:r>
    </w:p>
  </w:endnote>
  <w:endnote w:type="continuationSeparator" w:id="0">
    <w:p w14:paraId="4D931267" w14:textId="77777777" w:rsidR="00786F11" w:rsidRDefault="005E28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E32B0" w14:textId="77777777" w:rsidR="00786F11" w:rsidRDefault="005E28F7">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5996BC83" wp14:editId="06CACF60">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250B8220" w14:textId="77777777" w:rsidR="00786F11" w:rsidRDefault="00786F11">
    <w:pPr>
      <w:pStyle w:val="Rodap"/>
      <w:jc w:val="both"/>
      <w:rPr>
        <w:rFonts w:ascii="Times New Roman" w:hAnsi="Times New Roman" w:cs="Times New Roman"/>
        <w:sz w:val="20"/>
        <w:szCs w:val="20"/>
      </w:rPr>
    </w:pPr>
  </w:p>
  <w:p w14:paraId="458BC696" w14:textId="77777777" w:rsidR="00786F11" w:rsidRDefault="005E28F7">
    <w:pPr>
      <w:pStyle w:val="Rodap"/>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Ce, 06 a 08 de dezembro de 2022. ISSN 2358-4408.</w:t>
    </w:r>
  </w:p>
  <w:p w14:paraId="1E4E54D7" w14:textId="77777777" w:rsidR="00786F11" w:rsidRDefault="00786F11">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8D26E" w14:textId="77777777" w:rsidR="00786F11" w:rsidRDefault="005E28F7">
      <w:pPr>
        <w:spacing w:after="0"/>
      </w:pPr>
      <w:r>
        <w:separator/>
      </w:r>
    </w:p>
  </w:footnote>
  <w:footnote w:type="continuationSeparator" w:id="0">
    <w:p w14:paraId="28504B05" w14:textId="77777777" w:rsidR="00786F11" w:rsidRDefault="005E28F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982FD" w14:textId="77777777" w:rsidR="00786F11" w:rsidRDefault="005E28F7">
    <w:pPr>
      <w:pStyle w:val="Cabealho"/>
      <w:jc w:val="center"/>
    </w:pPr>
    <w:r>
      <w:rPr>
        <w:noProof/>
      </w:rPr>
      <mc:AlternateContent>
        <mc:Choice Requires="wps">
          <w:drawing>
            <wp:anchor distT="0" distB="0" distL="114300" distR="114300" simplePos="0" relativeHeight="251660288" behindDoc="1" locked="0" layoutInCell="1" allowOverlap="1" wp14:anchorId="68375157" wp14:editId="2D387550">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69F93775" wp14:editId="18D16297">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33C00197" wp14:editId="6809C350">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17D2E10E" w14:textId="77777777" w:rsidR="00786F11" w:rsidRDefault="00786F11">
    <w:pPr>
      <w:pStyle w:val="Cabealho"/>
      <w:jc w:val="center"/>
    </w:pPr>
  </w:p>
  <w:p w14:paraId="101091F5" w14:textId="77777777" w:rsidR="00786F11" w:rsidRDefault="00786F11">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736FB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91640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007CE"/>
    <w:rsid w:val="00030E70"/>
    <w:rsid w:val="00036C01"/>
    <w:rsid w:val="00045F77"/>
    <w:rsid w:val="000B7713"/>
    <w:rsid w:val="000F2C33"/>
    <w:rsid w:val="00123C84"/>
    <w:rsid w:val="00150854"/>
    <w:rsid w:val="00153547"/>
    <w:rsid w:val="0017619A"/>
    <w:rsid w:val="001C5F3E"/>
    <w:rsid w:val="001C6BB8"/>
    <w:rsid w:val="00206A92"/>
    <w:rsid w:val="00222E4A"/>
    <w:rsid w:val="00241841"/>
    <w:rsid w:val="00255C43"/>
    <w:rsid w:val="002662D2"/>
    <w:rsid w:val="002D40DA"/>
    <w:rsid w:val="002F08C9"/>
    <w:rsid w:val="00332EA6"/>
    <w:rsid w:val="0036611B"/>
    <w:rsid w:val="00395D29"/>
    <w:rsid w:val="003C36FA"/>
    <w:rsid w:val="003D556A"/>
    <w:rsid w:val="003D5C52"/>
    <w:rsid w:val="004123B4"/>
    <w:rsid w:val="004B252C"/>
    <w:rsid w:val="004D292A"/>
    <w:rsid w:val="004F6320"/>
    <w:rsid w:val="00507F7E"/>
    <w:rsid w:val="00510F45"/>
    <w:rsid w:val="005B0CEB"/>
    <w:rsid w:val="005E28F7"/>
    <w:rsid w:val="006354BA"/>
    <w:rsid w:val="00642C14"/>
    <w:rsid w:val="00690297"/>
    <w:rsid w:val="006F539A"/>
    <w:rsid w:val="00751C1C"/>
    <w:rsid w:val="00786F11"/>
    <w:rsid w:val="007A1E98"/>
    <w:rsid w:val="007A3A8D"/>
    <w:rsid w:val="007B064F"/>
    <w:rsid w:val="007C3EAC"/>
    <w:rsid w:val="007C6F94"/>
    <w:rsid w:val="007D7685"/>
    <w:rsid w:val="00801C68"/>
    <w:rsid w:val="0085799B"/>
    <w:rsid w:val="008667D4"/>
    <w:rsid w:val="008B558F"/>
    <w:rsid w:val="008B6783"/>
    <w:rsid w:val="009125BD"/>
    <w:rsid w:val="00922586"/>
    <w:rsid w:val="00923239"/>
    <w:rsid w:val="00930B3E"/>
    <w:rsid w:val="0096603B"/>
    <w:rsid w:val="00970654"/>
    <w:rsid w:val="00973323"/>
    <w:rsid w:val="00976574"/>
    <w:rsid w:val="00980F66"/>
    <w:rsid w:val="00993747"/>
    <w:rsid w:val="009D3E8B"/>
    <w:rsid w:val="009F167A"/>
    <w:rsid w:val="00A12BDF"/>
    <w:rsid w:val="00A25465"/>
    <w:rsid w:val="00A66AD6"/>
    <w:rsid w:val="00AA039F"/>
    <w:rsid w:val="00AB626B"/>
    <w:rsid w:val="00AD1CD4"/>
    <w:rsid w:val="00B4217D"/>
    <w:rsid w:val="00B46A95"/>
    <w:rsid w:val="00B51806"/>
    <w:rsid w:val="00B614DE"/>
    <w:rsid w:val="00BC6D50"/>
    <w:rsid w:val="00C00BFC"/>
    <w:rsid w:val="00C551A5"/>
    <w:rsid w:val="00C87F92"/>
    <w:rsid w:val="00CA18C2"/>
    <w:rsid w:val="00CA7E9C"/>
    <w:rsid w:val="00D56A92"/>
    <w:rsid w:val="00D64482"/>
    <w:rsid w:val="00DD680D"/>
    <w:rsid w:val="00E01658"/>
    <w:rsid w:val="00E50039"/>
    <w:rsid w:val="00EA799E"/>
    <w:rsid w:val="00F2336F"/>
    <w:rsid w:val="00F92697"/>
    <w:rsid w:val="00FC4F7E"/>
    <w:rsid w:val="00FF2309"/>
    <w:rsid w:val="00FF34A2"/>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130A6"/>
  <w15:docId w15:val="{77301D5F-ED53-4770-A455-BE9C62B94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17D"/>
    <w:pPr>
      <w:spacing w:after="160" w:line="259" w:lineRule="auto"/>
    </w:pPr>
    <w:rPr>
      <w:sz w:val="22"/>
      <w:szCs w:val="22"/>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styleId="Refdecomentrio">
    <w:name w:val="annotation reference"/>
    <w:basedOn w:val="Fontepargpadro"/>
    <w:uiPriority w:val="99"/>
    <w:semiHidden/>
    <w:unhideWhenUsed/>
    <w:rsid w:val="00395D29"/>
    <w:rPr>
      <w:sz w:val="16"/>
      <w:szCs w:val="16"/>
    </w:rPr>
  </w:style>
  <w:style w:type="paragraph" w:styleId="Textodecomentrio">
    <w:name w:val="annotation text"/>
    <w:basedOn w:val="Normal"/>
    <w:link w:val="TextodecomentrioChar"/>
    <w:uiPriority w:val="99"/>
    <w:semiHidden/>
    <w:unhideWhenUsed/>
    <w:rsid w:val="00395D29"/>
    <w:pPr>
      <w:tabs>
        <w:tab w:val="right" w:pos="2265"/>
      </w:tabs>
      <w:spacing w:after="0" w:line="240" w:lineRule="auto"/>
      <w:ind w:right="-20" w:firstLine="709"/>
      <w:jc w:val="both"/>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395D29"/>
    <w:rPr>
      <w:rFonts w:ascii="Times New Roman" w:eastAsia="Times New Roman" w:hAnsi="Times New Roman" w:cs="Times New Roman"/>
      <w:lang w:val="pt-BR" w:eastAsia="pt-BR"/>
    </w:rPr>
  </w:style>
  <w:style w:type="table" w:styleId="Tabelacomgrade">
    <w:name w:val="Table Grid"/>
    <w:basedOn w:val="Tabelanormal"/>
    <w:uiPriority w:val="39"/>
    <w:rsid w:val="009733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99"/>
    <w:rsid w:val="00973323"/>
    <w:pPr>
      <w:ind w:left="720"/>
      <w:contextualSpacing/>
    </w:pPr>
  </w:style>
  <w:style w:type="character" w:styleId="Hyperlink">
    <w:name w:val="Hyperlink"/>
    <w:basedOn w:val="Fontepargpadro"/>
    <w:uiPriority w:val="99"/>
    <w:unhideWhenUsed/>
    <w:rsid w:val="00993747"/>
    <w:rPr>
      <w:color w:val="0563C1" w:themeColor="hyperlink"/>
      <w:u w:val="single"/>
    </w:rPr>
  </w:style>
  <w:style w:type="character" w:styleId="MenoPendente">
    <w:name w:val="Unresolved Mention"/>
    <w:basedOn w:val="Fontepargpadro"/>
    <w:uiPriority w:val="99"/>
    <w:semiHidden/>
    <w:unhideWhenUsed/>
    <w:rsid w:val="00993747"/>
    <w:rPr>
      <w:color w:val="605E5C"/>
      <w:shd w:val="clear" w:color="auto" w:fill="E1DFDD"/>
    </w:rPr>
  </w:style>
  <w:style w:type="character" w:styleId="HiperlinkVisitado">
    <w:name w:val="FollowedHyperlink"/>
    <w:basedOn w:val="Fontepargpadro"/>
    <w:uiPriority w:val="99"/>
    <w:semiHidden/>
    <w:unhideWhenUsed/>
    <w:rsid w:val="001535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66934">
      <w:bodyDiv w:val="1"/>
      <w:marLeft w:val="0"/>
      <w:marRight w:val="0"/>
      <w:marTop w:val="0"/>
      <w:marBottom w:val="0"/>
      <w:divBdr>
        <w:top w:val="none" w:sz="0" w:space="0" w:color="auto"/>
        <w:left w:val="none" w:sz="0" w:space="0" w:color="auto"/>
        <w:bottom w:val="none" w:sz="0" w:space="0" w:color="auto"/>
        <w:right w:val="none" w:sz="0" w:space="0" w:color="auto"/>
      </w:divBdr>
    </w:div>
    <w:div w:id="466433754">
      <w:bodyDiv w:val="1"/>
      <w:marLeft w:val="0"/>
      <w:marRight w:val="0"/>
      <w:marTop w:val="0"/>
      <w:marBottom w:val="0"/>
      <w:divBdr>
        <w:top w:val="none" w:sz="0" w:space="0" w:color="auto"/>
        <w:left w:val="none" w:sz="0" w:space="0" w:color="auto"/>
        <w:bottom w:val="none" w:sz="0" w:space="0" w:color="auto"/>
        <w:right w:val="none" w:sz="0" w:space="0" w:color="auto"/>
      </w:divBdr>
    </w:div>
    <w:div w:id="647974224">
      <w:bodyDiv w:val="1"/>
      <w:marLeft w:val="0"/>
      <w:marRight w:val="0"/>
      <w:marTop w:val="0"/>
      <w:marBottom w:val="0"/>
      <w:divBdr>
        <w:top w:val="none" w:sz="0" w:space="0" w:color="auto"/>
        <w:left w:val="none" w:sz="0" w:space="0" w:color="auto"/>
        <w:bottom w:val="none" w:sz="0" w:space="0" w:color="auto"/>
        <w:right w:val="none" w:sz="0" w:space="0" w:color="auto"/>
      </w:divBdr>
    </w:div>
    <w:div w:id="858394534">
      <w:bodyDiv w:val="1"/>
      <w:marLeft w:val="0"/>
      <w:marRight w:val="0"/>
      <w:marTop w:val="0"/>
      <w:marBottom w:val="0"/>
      <w:divBdr>
        <w:top w:val="none" w:sz="0" w:space="0" w:color="auto"/>
        <w:left w:val="none" w:sz="0" w:space="0" w:color="auto"/>
        <w:bottom w:val="none" w:sz="0" w:space="0" w:color="auto"/>
        <w:right w:val="none" w:sz="0" w:space="0" w:color="auto"/>
      </w:divBdr>
    </w:div>
    <w:div w:id="1160537665">
      <w:bodyDiv w:val="1"/>
      <w:marLeft w:val="0"/>
      <w:marRight w:val="0"/>
      <w:marTop w:val="0"/>
      <w:marBottom w:val="0"/>
      <w:divBdr>
        <w:top w:val="none" w:sz="0" w:space="0" w:color="auto"/>
        <w:left w:val="none" w:sz="0" w:space="0" w:color="auto"/>
        <w:bottom w:val="none" w:sz="0" w:space="0" w:color="auto"/>
        <w:right w:val="none" w:sz="0" w:space="0" w:color="auto"/>
      </w:divBdr>
    </w:div>
    <w:div w:id="1258951603">
      <w:bodyDiv w:val="1"/>
      <w:marLeft w:val="0"/>
      <w:marRight w:val="0"/>
      <w:marTop w:val="0"/>
      <w:marBottom w:val="0"/>
      <w:divBdr>
        <w:top w:val="none" w:sz="0" w:space="0" w:color="auto"/>
        <w:left w:val="none" w:sz="0" w:space="0" w:color="auto"/>
        <w:bottom w:val="none" w:sz="0" w:space="0" w:color="auto"/>
        <w:right w:val="none" w:sz="0" w:space="0" w:color="auto"/>
      </w:divBdr>
      <w:divsChild>
        <w:div w:id="1793859679">
          <w:marLeft w:val="0"/>
          <w:marRight w:val="0"/>
          <w:marTop w:val="0"/>
          <w:marBottom w:val="0"/>
          <w:divBdr>
            <w:top w:val="none" w:sz="0" w:space="0" w:color="auto"/>
            <w:left w:val="none" w:sz="0" w:space="0" w:color="auto"/>
            <w:bottom w:val="none" w:sz="0" w:space="0" w:color="auto"/>
            <w:right w:val="none" w:sz="0" w:space="0" w:color="auto"/>
          </w:divBdr>
        </w:div>
        <w:div w:id="1984196004">
          <w:marLeft w:val="0"/>
          <w:marRight w:val="0"/>
          <w:marTop w:val="0"/>
          <w:marBottom w:val="0"/>
          <w:divBdr>
            <w:top w:val="none" w:sz="0" w:space="0" w:color="auto"/>
            <w:left w:val="none" w:sz="0" w:space="0" w:color="auto"/>
            <w:bottom w:val="none" w:sz="0" w:space="0" w:color="auto"/>
            <w:right w:val="none" w:sz="0" w:space="0" w:color="auto"/>
          </w:divBdr>
        </w:div>
      </w:divsChild>
    </w:div>
    <w:div w:id="18213419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7819</Words>
  <Characters>44983</Characters>
  <DocSecurity>0</DocSecurity>
  <Lines>374</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2022-08-14T20:04:00Z</dcterms:created>
  <dcterms:modified xsi:type="dcterms:W3CDTF">2022-08-14T20:12:00Z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