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rPr>
          <w:szCs w:val="28"/>
        </w:rPr>
      </w:pPr>
      <w:bookmarkStart w:id="0" w:name="_GoBack"/>
      <w:bookmarkEnd w:id="0"/>
      <w:r>
        <w:rPr>
          <w:szCs w:val="28"/>
        </w:rPr>
        <w:t>RELEVÂNCIA DO ESTUDO DO COLAPSO DAS SOCIEDADES COMPLEXAS PARA A COMPREENSÃO DA PANDEMIA DE CORONAVÍRUS</w:t>
      </w:r>
    </w:p>
    <w:p>
      <w:pPr>
        <w:spacing w:after="0" w:line="360" w:lineRule="auto"/>
        <w:jc w:val="center"/>
        <w:rPr>
          <w:rFonts w:ascii="Times New Roman" w:hAnsi="Times New Roman" w:cs="Times New Roman"/>
          <w:sz w:val="28"/>
          <w:szCs w:val="28"/>
        </w:rPr>
      </w:pPr>
    </w:p>
    <w:p>
      <w:pPr>
        <w:pStyle w:val="6"/>
        <w:jc w:val="both"/>
        <w:rPr>
          <w:rFonts w:ascii="Times New Roman" w:hAnsi="Times New Roman"/>
          <w:sz w:val="24"/>
        </w:rPr>
      </w:pPr>
      <w:r>
        <w:rPr>
          <w:rFonts w:ascii="Times New Roman" w:hAnsi="Times New Roman"/>
          <w:sz w:val="24"/>
          <w:lang w:val="pt-BR"/>
        </w:rPr>
        <w:t>RESUMO</w:t>
      </w:r>
    </w:p>
    <w:p>
      <w:pPr>
        <w:pStyle w:val="6"/>
        <w:jc w:val="both"/>
        <w:rPr>
          <w:rFonts w:ascii="Times New Roman" w:hAnsi="Times New Roman"/>
          <w:sz w:val="24"/>
        </w:rPr>
      </w:pPr>
    </w:p>
    <w:p>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Este artigo tem por objetivo determinar a relevância do estudo do colapso de sociedades complexas para a compreensão da pandemia de coronavírus e suas implicações. Faz-se uso de uma pesquisa bibliográfica para explicitar os nexos entre a pandemia, o sistema capitalista (especialmente sua versão neoliberal) e o mundo natural. O artigo apresenta a tendência de sociedades humanas buscarem crescimento infinito, e qual é o impacto deste paradigma no meio ambiente. Em seguida, traça uma linha do tempo, desde os primórdios da humanidade até os dias presentes, mostrando as estratégias humanas para permanecer crescendo em números e em complexidade sociopolítica. Por fim, o artigo apresenta uma bibliografia que propõe uma teoria unificada e abrangente do colapso de sociedades complexas. Conclui-se que a pandemia de coronavírus foi uma instância das crises multifacetadas e cíclicas criadas pela manutenção inerentemente insustentável da busca por crescimento em sociedades capitalistas.</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Palavras-chave</w:t>
      </w:r>
      <w:r>
        <w:rPr>
          <w:rFonts w:ascii="Times New Roman" w:hAnsi="Times New Roman" w:cs="Times New Roman"/>
          <w:sz w:val="24"/>
          <w:szCs w:val="24"/>
        </w:rPr>
        <w:t>: desenvolvimento regional; pandemia; colapso de sociedades complexas; meio ambiente; crescimento infinito.</w:t>
      </w:r>
    </w:p>
    <w:p>
      <w:pPr>
        <w:spacing w:after="0" w:line="360" w:lineRule="auto"/>
        <w:jc w:val="both"/>
        <w:rPr>
          <w:rFonts w:ascii="Times New Roman" w:hAnsi="Times New Roman" w:cs="Times New Roman"/>
          <w:sz w:val="24"/>
          <w:szCs w:val="24"/>
        </w:rPr>
      </w:pPr>
    </w:p>
    <w:p>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GT Nº 5</w:t>
      </w:r>
      <w:r>
        <w:rPr>
          <w:rFonts w:ascii="Times New Roman" w:hAnsi="Times New Roman" w:cs="Times New Roman"/>
          <w:sz w:val="24"/>
          <w:szCs w:val="24"/>
        </w:rPr>
        <w:t xml:space="preserve">: </w:t>
      </w:r>
      <w:r>
        <w:t>Ambiente, Populações e Desenvolvimento</w:t>
      </w:r>
      <w:r>
        <w:rPr>
          <w:rFonts w:ascii="Times New Roman" w:hAnsi="Times New Roman" w:cs="Times New Roman"/>
          <w:sz w:val="24"/>
          <w:szCs w:val="24"/>
        </w:rPr>
        <w:t xml:space="preserve"> </w:t>
      </w:r>
    </w:p>
    <w:p>
      <w:pPr>
        <w:spacing w:after="0" w:line="36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pPr>
        <w:spacing w:after="0" w:line="240" w:lineRule="auto"/>
        <w:ind w:firstLine="708"/>
        <w:jc w:val="both"/>
        <w:rPr>
          <w:rFonts w:ascii="Times New Roman" w:hAnsi="Times New Roman" w:cs="Times New Roman"/>
          <w:sz w:val="24"/>
          <w:szCs w:val="24"/>
        </w:rPr>
      </w:pPr>
    </w:p>
    <w:p>
      <w:pPr>
        <w:spacing w:after="0" w:line="360" w:lineRule="auto"/>
        <w:ind w:firstLine="708"/>
        <w:jc w:val="both"/>
      </w:pPr>
      <w:r>
        <w:rPr>
          <w:rFonts w:ascii="Times New Roman" w:hAnsi="Times New Roman" w:cs="Times New Roman"/>
          <w:sz w:val="24"/>
          <w:szCs w:val="24"/>
        </w:rPr>
        <w:t>A pandemia de coronavírus levou a óbito mais de seis milhões de pessoas ao redor do mundo. Surgido na China, o vírus espalhou-se para todos os continentes em poucos meses. Aponta-se, como causa mais provável para o início da pandemia, a transmissão de uma zoonose de animais selvagens para humanos. Este contato teria acontecido em feiras de rua, onde eram vendidos animais selvagens para consumo humano, alguns deles ainda vivos.</w:t>
      </w:r>
    </w:p>
    <w:p>
      <w:pPr>
        <w:spacing w:after="0" w:line="360" w:lineRule="auto"/>
        <w:ind w:firstLine="708"/>
        <w:jc w:val="both"/>
      </w:pPr>
      <w:r>
        <w:rPr>
          <w:rFonts w:ascii="Times New Roman" w:hAnsi="Times New Roman" w:cs="Times New Roman"/>
          <w:sz w:val="24"/>
          <w:szCs w:val="24"/>
        </w:rPr>
        <w:t xml:space="preserve">Até a redação deste artigo, 677 mil pessoas morreram de Covid-19 no Brasil. </w:t>
      </w:r>
      <w:r>
        <w:rPr>
          <w:rFonts w:ascii="Times New Roman" w:hAnsi="Times New Roman" w:cs="Times New Roman"/>
          <w:bCs/>
          <w:sz w:val="24"/>
          <w:szCs w:val="24"/>
        </w:rPr>
        <w:t>A primeira morte causada pelo novo coronavírus em território nacional aconteceu em 12 de março de 2020. Desde então, o discurso do governo federal – e não coincidentemente, do grande empresariado – pode resumir-se na frase “o Brasil não pode parar”. Na contramão do que outros países vinham fazendo, o governo federal promoveu a volta ao trabalho de todos os trabalhadores possíveis, hostilizando todas as propostas de isolamento social. O risco de contaminação e morte foi assumido primariamente pelo cidadão comum, para que o processo de acumulação de capital não fosse interrompido.</w:t>
      </w:r>
    </w:p>
    <w:p>
      <w:pPr>
        <w:spacing w:after="0" w:line="360" w:lineRule="auto"/>
        <w:ind w:firstLine="708"/>
        <w:jc w:val="both"/>
      </w:pPr>
      <w:r>
        <w:rPr>
          <w:rFonts w:ascii="Times New Roman" w:hAnsi="Times New Roman" w:cs="Times New Roman"/>
          <w:bCs/>
          <w:sz w:val="24"/>
          <w:szCs w:val="24"/>
        </w:rPr>
        <w:t>Na falta de uma direção clara de ação vinda do governo federal, prefeitos e governadores tomaram decisões independentemente. Não raro, houve discrepâncias entre as diretrizes de enfrentamento à pandemia nos três níveis de governo. Pressões políticas, negacionismo científico e a sobrecarga do SUS entrelaçaram-se para criar uma crise multifacetada, que não previsão de terminar. Neste ínterim, a crise econômica advinda da pandemia compeliu a população a trabalhar, mesmo correndo riscos. Entre fechamentos e aberturas de comércios, trocas de equipe em cargos públicos e incertezas quanto a uma possível vacinação, ainda assim, de alguma forma, a sociedade mantinha-se operante.</w:t>
      </w:r>
    </w:p>
    <w:p>
      <w:pPr>
        <w:spacing w:after="0" w:line="360" w:lineRule="auto"/>
        <w:ind w:firstLine="708"/>
        <w:jc w:val="both"/>
      </w:pPr>
      <w:r>
        <w:rPr>
          <w:rFonts w:ascii="Times New Roman" w:hAnsi="Times New Roman" w:cs="Times New Roman"/>
          <w:bCs/>
          <w:sz w:val="24"/>
          <w:szCs w:val="24"/>
        </w:rPr>
        <w:t>Em 22 de abril de 2022, o Ministério da Saúde anuncia o fim do estado de emergência em saúde pública. Com isso, uma série de decretos de enfrentamento à pandemia foram revogados. Muito embora a doença continue a hospitalizar e matar cidadãos brasileiros, existe agora um delimitador oficial de fim da pandemia. Desde então, os comércios reabriram, o uso de máscaras já não é obrigatório, e não há restrições formais a aglomerações de pessoas.</w:t>
      </w:r>
    </w:p>
    <w:p>
      <w:pPr>
        <w:spacing w:after="0" w:line="360" w:lineRule="auto"/>
        <w:ind w:firstLine="708"/>
        <w:jc w:val="both"/>
      </w:pPr>
      <w:r>
        <w:rPr>
          <w:rFonts w:ascii="Times New Roman" w:hAnsi="Times New Roman" w:cs="Times New Roman"/>
          <w:bCs/>
          <w:sz w:val="24"/>
          <w:szCs w:val="24"/>
        </w:rPr>
        <w:t>Numa conjuntura que se chama de “novo normal” em alguns círculos, a academia tem a árdua missão de analisar e compreender a crise pandêmica e seus desdobramentos. Há que se considerar as ações e inações de diversos atores na sociedade, as relações entre os entes federativos, o fenômeno da sobrecarga do SUS que levou a saúde ao colapso em alguns lugares, dentre diversas outras variáveis. O fato de a crise ser ainda recente – e, pode-se argumentar, ainda presente – dificulta a sua compreensão.</w:t>
      </w:r>
    </w:p>
    <w:p>
      <w:pPr>
        <w:spacing w:after="0" w:line="360" w:lineRule="auto"/>
        <w:ind w:firstLine="708"/>
        <w:jc w:val="both"/>
      </w:pPr>
      <w:r>
        <w:rPr>
          <w:rFonts w:ascii="Times New Roman" w:hAnsi="Times New Roman" w:cs="Times New Roman"/>
          <w:bCs/>
          <w:sz w:val="24"/>
          <w:szCs w:val="24"/>
        </w:rPr>
        <w:t>Cabe refletir sobre o que significa o termo “pandemia”. Uma pandemia é um surto de doença que atinge grandes regiões, ou mesmo continentes, ao mesmo tempo. Pode ser descrita como uma epidemia de abrangência mais totalizante. O que caracteriza uma pandemia, portanto, é a sua escala. Num mundo globalizado, onde povos distantes estão interconectados a despeito da barreira geográfica, existe mais oportunidade para que uma pandemia se espalhe.</w:t>
      </w:r>
    </w:p>
    <w:p>
      <w:pPr>
        <w:spacing w:after="0" w:line="360" w:lineRule="auto"/>
        <w:ind w:firstLine="708"/>
        <w:jc w:val="both"/>
      </w:pPr>
      <w:r>
        <w:rPr>
          <w:rFonts w:ascii="Times New Roman" w:hAnsi="Times New Roman" w:cs="Times New Roman"/>
          <w:bCs/>
          <w:sz w:val="24"/>
          <w:szCs w:val="24"/>
        </w:rPr>
        <w:t>No entanto, as populações humanas não foram sempre tão interconectadas. Harari (2014) expõe que a humanidade costumava ser separada em pequenos grupos de caçadores-coletores. Por meio do desenvolvimento da tecnologia e do que o autor chama de “processos unificadores”, a humanidade foi sendo paulatinamente aglutinada em um todo mais coeso. Em resumo, a humanidade foi unificada pelo crescimento e disseminação dos impérios, das religiões e do uso do dinheiro. Isto implica que as sociedades humanas têm um ímpeto expansionista. Mais relevante para o estudo da crise de coronavírus, foi justamente este ímpeto que tornou possível o surgimento de pandemias.</w:t>
      </w:r>
    </w:p>
    <w:p>
      <w:pPr>
        <w:spacing w:after="0" w:line="360" w:lineRule="auto"/>
        <w:ind w:firstLine="708"/>
        <w:jc w:val="both"/>
      </w:pPr>
      <w:r>
        <w:rPr>
          <w:rFonts w:ascii="Times New Roman" w:hAnsi="Times New Roman" w:cs="Times New Roman"/>
          <w:bCs/>
          <w:sz w:val="24"/>
          <w:szCs w:val="24"/>
        </w:rPr>
        <w:t xml:space="preserve">Um surto de doença de grande escala só é possível em sociedades humanas de grande escala. Para compreender o fenômeno da pandemia, é útil elucidar o processo que leva a humanidade a se organizar em sociedades cada vez mais complexas e interconectadas. É útil também explorar os fatores que propiciaram o surgimento da doença, do coronavírus em si, e como uma zoonose presente em animais silvestres pôde infectar humanos. Este artigo sugere que os dois fatores – expansionismo humano e surgimento de pandemias – estão intimamente ligados. Para realçar esta conexão, o artigo explora referencial teórico oriundo da antropologia, da sociologia, da economia e das ciências naturais. De forma multidisciplinar, tenta-se estudar o </w:t>
      </w:r>
      <w:r>
        <w:rPr>
          <w:rFonts w:ascii="Times New Roman" w:hAnsi="Times New Roman" w:cs="Times New Roman"/>
          <w:bCs/>
          <w:i/>
          <w:iCs/>
          <w:sz w:val="24"/>
          <w:szCs w:val="24"/>
        </w:rPr>
        <w:t>colapso das sociedades complexas</w:t>
      </w:r>
      <w:r>
        <w:rPr>
          <w:rFonts w:ascii="Times New Roman" w:hAnsi="Times New Roman" w:cs="Times New Roman"/>
          <w:bCs/>
          <w:sz w:val="24"/>
          <w:szCs w:val="24"/>
        </w:rPr>
        <w:t>, e como esta temática pode ser relevante para interpretar a crise pandêmica.</w:t>
      </w:r>
    </w:p>
    <w:p>
      <w:pPr>
        <w:spacing w:after="0" w:line="36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 ASPECTOS METODOLÓGICOS</w:t>
      </w:r>
    </w:p>
    <w:p>
      <w:pPr>
        <w:spacing w:after="0" w:line="240" w:lineRule="auto"/>
        <w:ind w:firstLine="708"/>
        <w:jc w:val="both"/>
        <w:rPr>
          <w:rFonts w:ascii="Times New Roman" w:hAnsi="Times New Roman" w:cs="Times New Roman"/>
          <w:sz w:val="24"/>
          <w:szCs w:val="24"/>
        </w:rPr>
      </w:pPr>
    </w:p>
    <w:p>
      <w:pPr>
        <w:spacing w:after="0" w:line="360" w:lineRule="auto"/>
        <w:ind w:firstLine="708"/>
        <w:jc w:val="both"/>
      </w:pPr>
      <w:r>
        <w:rPr>
          <w:rFonts w:ascii="Times New Roman" w:hAnsi="Times New Roman" w:cs="Times New Roman"/>
          <w:bCs/>
          <w:sz w:val="24"/>
          <w:szCs w:val="24"/>
        </w:rPr>
        <w:t>As discussões contidas neste artigo são parte de uma pesquisa sendo conduzida num programa de mestrado. Partindo de uma base teórica que já vinha sendo trabalhada anteriormente, a teoria sobre colapso de sociedades complexas, tenta-se fazer uma conexão com a pandemia de coronavírus e seus desdobramentos. No âmbito da pesquisa, ao se explorar as dimensões políticas, econômicas e ecológicas da pandemia, o foco está em realçar as interconexões entre estas dimensões.</w:t>
      </w:r>
    </w:p>
    <w:p>
      <w:pPr>
        <w:spacing w:after="0" w:line="360" w:lineRule="auto"/>
        <w:ind w:firstLine="708"/>
        <w:jc w:val="both"/>
      </w:pPr>
      <w:r>
        <w:rPr>
          <w:rFonts w:ascii="Times New Roman" w:hAnsi="Times New Roman" w:cs="Times New Roman"/>
          <w:bCs/>
          <w:sz w:val="24"/>
          <w:szCs w:val="24"/>
        </w:rPr>
        <w:t>O tema do artigo foi trabalhado em debates com pares durante as aulas do mestrado. Na banca do projeto de pesquisa, os docentes convidados fizeram amadurecer a discussão com suas contribuições. O artigo valeu-se de um levantamento bibliográfico feito em função do projeto de pesquisa, que contempla as bases teóricas propostas. Foram buscados livros e artigos, que detalhem o estado da arte das ciências ecológicas e quais são as implicações deste cenário para as sociedades humanas.</w:t>
      </w:r>
    </w:p>
    <w:p>
      <w:pPr>
        <w:spacing w:after="0" w:line="360" w:lineRule="auto"/>
        <w:ind w:firstLine="708"/>
        <w:jc w:val="both"/>
      </w:pPr>
      <w:r>
        <w:rPr>
          <w:rFonts w:ascii="Times New Roman" w:hAnsi="Times New Roman" w:cs="Times New Roman"/>
          <w:bCs/>
          <w:sz w:val="24"/>
          <w:szCs w:val="24"/>
        </w:rPr>
        <w:t>Este artigo analisa a realidade a partir do materialismo histórico dialético, de raízes marxistas. Citando Gil (2008), o método consiste em três grandes princípios: a unidade dos opostos; qualidade e quantidade; negação da negação. Lakatos e Marconi (2003) adicionam que alguns autores consideram a existência de mais uma lei fundamental do método dialético: “interpenetração dos contrários, contradição ou luta dos contrários” (p. 100).</w:t>
      </w:r>
    </w:p>
    <w:p>
      <w:pPr>
        <w:spacing w:after="0" w:line="360" w:lineRule="auto"/>
        <w:ind w:firstLine="708"/>
        <w:jc w:val="both"/>
      </w:pPr>
      <w:r>
        <w:rPr>
          <w:rFonts w:ascii="Times New Roman" w:hAnsi="Times New Roman" w:cs="Times New Roman"/>
          <w:bCs/>
          <w:sz w:val="24"/>
          <w:szCs w:val="24"/>
        </w:rPr>
        <w:t>Pensa-se que, pela natureza de seus princípios, o método dialético serve os propósitos da investigação. O princípio de unidade dos opostos (ou ação recíproca) consegue abarcar a relação de interdependência existente entre ecologia, economia e sociedade. Não é possível fazer uma análise abrangente dos fenômenos sociais apenas estudando seus elementos de forma isolada. O princípio de passagem de mudança quantitativa à qualitativa é ilustrativo das dinâmicas ecológicas e sociais estudadas. Mudanças gradativas e por vezes imperceptíveis podem engendrar transformações fundamentais na essência dos objetos de estudo – sejam eles ecossistemas ou sociedades capitalistas neoliberais. O princípio de mudança dialética, ou negação da negação, é adequado para que se compreendam os objetos de estudo como processos em andamento, não coisas acabadas. Os processos de reprodução material e simbólica da sociedade – ou, do seu desenvolvimento – entrelaçam-se numa trama dinâmica, em movimento constante. O princípio de luta dos contrários esclarece que há contradições entre os opostos que compõem o todo. Sob uma ótica marxista, esta é uma noção fundamental para explicitar o aspecto de conflito de classe presente nas problemáticas estudadas.</w:t>
      </w:r>
    </w:p>
    <w:p>
      <w:pPr>
        <w:spacing w:after="0" w:line="240" w:lineRule="auto"/>
        <w:ind w:firstLine="708"/>
        <w:jc w:val="both"/>
        <w:rPr>
          <w:rFonts w:ascii="Times New Roman" w:hAnsi="Times New Roman" w:cs="Times New Roman"/>
          <w:sz w:val="24"/>
          <w:szCs w:val="24"/>
        </w:rPr>
      </w:pPr>
    </w:p>
    <w:p>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 REFERENCIAL TEÓRICO</w:t>
      </w:r>
    </w:p>
    <w:p>
      <w:pPr>
        <w:spacing w:after="0" w:line="240" w:lineRule="auto"/>
        <w:ind w:firstLine="708"/>
        <w:jc w:val="both"/>
        <w:rPr>
          <w:rFonts w:ascii="Times New Roman" w:hAnsi="Times New Roman" w:cs="Times New Roman"/>
          <w:sz w:val="24"/>
          <w:szCs w:val="24"/>
        </w:rPr>
      </w:pPr>
    </w:p>
    <w:p>
      <w:pPr>
        <w:spacing w:line="360" w:lineRule="auto"/>
        <w:ind w:firstLine="737"/>
        <w:jc w:val="both"/>
      </w:pPr>
      <w:r>
        <w:rPr>
          <w:rFonts w:ascii="Times New Roman" w:hAnsi="Times New Roman" w:cs="Times New Roman"/>
          <w:bCs/>
          <w:sz w:val="24"/>
          <w:szCs w:val="24"/>
        </w:rPr>
        <w:t xml:space="preserve">O “empreendimento humano”, em tradução livre das palavras de Rees (2020), é insustentável. A humanidade está em estado de </w:t>
      </w:r>
      <w:r>
        <w:rPr>
          <w:rFonts w:ascii="Times New Roman" w:hAnsi="Times New Roman" w:cs="Times New Roman"/>
          <w:bCs/>
          <w:i/>
          <w:sz w:val="24"/>
          <w:szCs w:val="24"/>
        </w:rPr>
        <w:t>overshoot</w:t>
      </w:r>
      <w:r>
        <w:rPr>
          <w:rFonts w:ascii="Times New Roman" w:hAnsi="Times New Roman" w:cs="Times New Roman"/>
          <w:bCs/>
          <w:sz w:val="24"/>
          <w:szCs w:val="24"/>
        </w:rPr>
        <w:t>, ou ultrapassagem da capacidade de suporte do planeta. Para Rees, é natural para toda e qualquer espécie de ser vivo o comportamento de expandir seu uso de recursos, em competição com outras espécies. No entanto, a capacidade do ser humano se apropriar de áreas geográficas e recursos naturais, aumentada pela tecnologia, supera em vários graus de magnitude a capacidade de qualquer outra espécie. Qualquer tentativa de contrariar ou neutralizar esta tendência, que ainda se baseie no paradigma de crescimento infinito da economia, para Rees, é no mínimo insuficiente. As economias humanas, apesar do que é propagado por escolas hegemônicas de economia, ainda se submetem às leis da física. A predisposição humana a utilizar todas as fontes de energias disponíveis, outrora benéfica de uma perspectiva evolucionária, hoje engendra inclusive um risco de colapso do empreendimento humano. Rees sugere que estas tendências e vieses cognitivos humanos sejam reconhecidos e atenuados satisfatoriamente, a fim de construir economias e sociedades menos tendentes ao colapso.</w:t>
      </w:r>
    </w:p>
    <w:p>
      <w:pPr>
        <w:spacing w:line="360" w:lineRule="auto"/>
        <w:jc w:val="both"/>
      </w:pPr>
      <w:r>
        <w:rPr>
          <w:rFonts w:ascii="Times New Roman" w:hAnsi="Times New Roman" w:cs="Times New Roman"/>
          <w:bCs/>
          <w:sz w:val="24"/>
          <w:szCs w:val="24"/>
        </w:rPr>
        <w:tab/>
      </w:r>
      <w:r>
        <w:rPr>
          <w:rFonts w:ascii="Times New Roman" w:hAnsi="Times New Roman" w:cs="Times New Roman"/>
          <w:bCs/>
          <w:sz w:val="24"/>
          <w:szCs w:val="24"/>
        </w:rPr>
        <w:t>De início, é necessário tomar como premissa que a mudança climática antropogênica é uma ameaça existencial para a espécie humana. Os acordos internacionais forjados no ímpeto de mitigar ou parar os efeitos desta mudança não têm surtido o efeito necessário. A poluição de águas, solos e do ar tem afetado sobremaneira tanto humanos quanto seres não humanos. Além da sobrecarga de dejetos lançados no meio ambiente, existe o problema do consumo exacerbado de matéria e de energia. Ao basear suas sociedades no consumo de combustíveis fósseis finitos, num comportamento que Catton Jr. (1985) chama de “detritívoro”, cria-se uma dinâmica inerentemente insustentável de reprodução material da vida humana.</w:t>
      </w:r>
    </w:p>
    <w:p>
      <w:pPr>
        <w:spacing w:line="360" w:lineRule="auto"/>
        <w:ind w:firstLine="708"/>
        <w:jc w:val="both"/>
      </w:pPr>
      <w:r>
        <w:rPr>
          <w:rFonts w:ascii="Times New Roman" w:hAnsi="Times New Roman" w:cs="Times New Roman"/>
          <w:bCs/>
          <w:sz w:val="24"/>
          <w:szCs w:val="24"/>
        </w:rPr>
        <w:t>O impacto social destas dinâmicas se traduz em guerras crescentemente frequentes por recursos naturais, tendo como um bom exemplo a atuação bélica dos EUA no Oriente Médio na busca por petróleo. No âmbito social, o fruto da exploração destes recursos não é distribuído igualmente, levando a fossos de desigualdade e demais expressões da questão social. Rees (2020) aponta a correlação negativa existente entre desigualdade social e uma série de indicadores, dentre eles os de saúde, que têm especial relevância neste artigo. Já começa aqui a esboçar-se uma conexão entre as dinâmicas de desenvolvimento macrossocietárias e a temática de saúde pública.</w:t>
      </w:r>
    </w:p>
    <w:p>
      <w:pPr>
        <w:spacing w:line="360" w:lineRule="auto"/>
        <w:ind w:firstLine="708"/>
        <w:jc w:val="both"/>
      </w:pPr>
      <w:r>
        <w:rPr>
          <w:rFonts w:ascii="Times New Roman" w:hAnsi="Times New Roman" w:cs="Times New Roman"/>
          <w:bCs/>
          <w:sz w:val="24"/>
          <w:szCs w:val="24"/>
        </w:rPr>
        <w:t>Um modelo de desenvolvimento tão claramente impossível em longo prazo só consegue concretizar-se com certo grau de distanciamento da realidade por parte dos participantes. Os paradigmas econômicos vigentes e hegemônicos em nossas sociedades, em especial o capitalista neoliberal, não correspondem necessariamente à realidade objetiva do mundo. “Uma história é uma alucinação coreografada que substitui temporariamente a realidade” (Jabr apud REES, 2020, p. 2), e a alucinação neoliberal promete mercados sem restrições para crescer. Esta narrativa tem respaldo acadêmico e predomina nas esferas de poder do Brasil, bem como de outros países ditos “em desenvolvimento”.</w:t>
      </w:r>
    </w:p>
    <w:p>
      <w:pPr>
        <w:spacing w:line="360" w:lineRule="auto"/>
        <w:ind w:firstLine="708"/>
        <w:jc w:val="both"/>
      </w:pPr>
      <w:r>
        <w:rPr>
          <w:rFonts w:ascii="Times New Roman" w:hAnsi="Times New Roman" w:cs="Times New Roman"/>
          <w:bCs/>
          <w:sz w:val="24"/>
          <w:szCs w:val="24"/>
        </w:rPr>
        <w:t xml:space="preserve">O capitalismo compreende a economia e a natureza como entidades distintas e separadas. Desta forma, é possível manter a meta de maximizar o ciclo de produção e consumo sem considerar restrições de ordem física. Os “fatores de produção” da vida material (matéria prima, trabalho humano, energia) são abstraídos, por vezes tidos como plenamente inter-substituíveis. O resultado é uma concepção abstrata de economia, que não conhece limitações em sua não concretude, que busca crescer infinitamente com recursos finitos. Tal noção é análoga à do moto-perpétuo na disciplina da física, embora conte com um grau considerável de credibilidade. O capitalismo neoliberal ignora as relações entre as facetas ecológica, econômica e social da sociedade – ignora seu caráter de </w:t>
      </w:r>
      <w:r>
        <w:rPr>
          <w:rFonts w:ascii="Times New Roman" w:hAnsi="Times New Roman" w:cs="Times New Roman"/>
          <w:bCs/>
          <w:i/>
          <w:sz w:val="24"/>
          <w:szCs w:val="24"/>
        </w:rPr>
        <w:t>sistema dinâmico complexo</w:t>
      </w:r>
      <w:r>
        <w:rPr>
          <w:rFonts w:ascii="Times New Roman" w:hAnsi="Times New Roman" w:cs="Times New Roman"/>
          <w:bCs/>
          <w:sz w:val="24"/>
          <w:szCs w:val="24"/>
        </w:rPr>
        <w:t xml:space="preserve"> – ao conceber da economia como um sistema fechado em si.</w:t>
      </w:r>
    </w:p>
    <w:p>
      <w:pPr>
        <w:spacing w:after="0" w:line="360" w:lineRule="auto"/>
        <w:ind w:firstLine="708"/>
        <w:jc w:val="both"/>
      </w:pPr>
      <w:r>
        <w:rPr>
          <w:rFonts w:ascii="Times New Roman" w:hAnsi="Times New Roman" w:cs="Times New Roman"/>
          <w:bCs/>
          <w:sz w:val="24"/>
          <w:szCs w:val="24"/>
        </w:rPr>
        <w:t>Observa-se que a noção de crescimento infinito permanece tendo apoio da academia, governos, empresas e organizações internacionais. Para William Rees, isso reforça a tese de que o ser humano não é predominantemente racional. Principalmente quando se percebe ameaçado, o ser humano tende a guiar-se, em maior escala, por suas emoções. Rees explica que pessoas têm o viés cognitivo de priorizar o tempo presente, a escala local e o seu círculo familiar e comunitário imediato. Para discussões que exigem a consideração de futuros em longo prazo, lugares longínquos e pessoas desconhecidas, isto representa um obstáculo. A mudança climática antropogênica, por exemplo, tende a acontecer em escalas que escapam da percepção imediata dos cidadãos comuns. Construções culturais podem exacerbar ainda mais estes vieses cognitivos, a saber:</w:t>
      </w:r>
    </w:p>
    <w:p>
      <w:pPr>
        <w:spacing w:after="0"/>
        <w:ind w:firstLine="708"/>
        <w:jc w:val="both"/>
        <w:rPr>
          <w:rFonts w:ascii="Times New Roman" w:hAnsi="Times New Roman" w:cs="Times New Roman"/>
          <w:bCs/>
        </w:rPr>
      </w:pPr>
    </w:p>
    <w:p>
      <w:pPr>
        <w:spacing w:after="0" w:line="240" w:lineRule="auto"/>
        <w:ind w:left="2268"/>
        <w:jc w:val="both"/>
      </w:pPr>
      <w:r>
        <w:rPr>
          <w:rFonts w:ascii="Times New Roman" w:hAnsi="Times New Roman" w:cs="Times New Roman"/>
          <w:bCs/>
          <w:sz w:val="20"/>
          <w:szCs w:val="20"/>
        </w:rPr>
        <w:t>A neurociência cognitiva nos diz que entradas sociais, culturais ou sensoriais repetidas podem adquirir uma presença física em nossos cérebros – isto é, experiências e normas culturais repetidas se tornam enraizadas como circuitos sinápticos semipermanentes. Uma vez impregnadas, estas estruturas filtram entradas subsequentes – as pessoas selecionam informações que sejam compatíveis, e procuram experiências/pessoas que reforçam, seus circuitos neurais pré-definidos. (REES, 2020, p. 6)</w:t>
      </w:r>
    </w:p>
    <w:p>
      <w:pPr>
        <w:ind w:firstLine="708"/>
        <w:jc w:val="both"/>
        <w:rPr>
          <w:rFonts w:ascii="Times New Roman" w:hAnsi="Times New Roman" w:cs="Times New Roman"/>
          <w:bCs/>
        </w:rPr>
      </w:pPr>
    </w:p>
    <w:p>
      <w:pPr>
        <w:spacing w:line="360" w:lineRule="auto"/>
        <w:ind w:firstLine="708"/>
        <w:jc w:val="both"/>
      </w:pPr>
      <w:r>
        <w:rPr>
          <w:rFonts w:ascii="Times New Roman" w:hAnsi="Times New Roman" w:cs="Times New Roman"/>
          <w:bCs/>
          <w:sz w:val="24"/>
          <w:szCs w:val="24"/>
        </w:rPr>
        <w:t xml:space="preserve">A abordagem de </w:t>
      </w:r>
      <w:r>
        <w:rPr>
          <w:rFonts w:ascii="Times New Roman" w:hAnsi="Times New Roman" w:cs="Times New Roman"/>
          <w:bCs/>
          <w:i/>
          <w:sz w:val="24"/>
          <w:szCs w:val="24"/>
        </w:rPr>
        <w:t>ecological economics</w:t>
      </w:r>
      <w:r>
        <w:rPr>
          <w:rFonts w:ascii="Times New Roman" w:hAnsi="Times New Roman" w:cs="Times New Roman"/>
          <w:bCs/>
          <w:sz w:val="24"/>
          <w:szCs w:val="24"/>
        </w:rPr>
        <w:t xml:space="preserve"> é apresentada por Rees como uma alternativa mais realista à abordagem neoliberal. Isto porque a abordagem </w:t>
      </w:r>
      <w:r>
        <w:rPr>
          <w:rFonts w:ascii="Times New Roman" w:hAnsi="Times New Roman" w:cs="Times New Roman"/>
          <w:bCs/>
          <w:i/>
          <w:sz w:val="24"/>
          <w:szCs w:val="24"/>
        </w:rPr>
        <w:t>ecol-econ</w:t>
      </w:r>
      <w:r>
        <w:rPr>
          <w:rFonts w:ascii="Times New Roman" w:hAnsi="Times New Roman" w:cs="Times New Roman"/>
          <w:bCs/>
          <w:sz w:val="24"/>
          <w:szCs w:val="24"/>
        </w:rPr>
        <w:t xml:space="preserve">, em linhas gerais, considera que “1) a economia é dinamicamente conectada ao resto da natureza por meio da extração/consumo de recursos e produção de dejetos e 2) todas as transformações economicamente relevantes de energia e materiais são sujeitas a leis biofísicas, particularmente às leis da termodinâmica” (REES, 2020, p.2). Desta forma, a economia ecológica põe ênfase na melhora </w:t>
      </w:r>
      <w:r>
        <w:rPr>
          <w:rFonts w:ascii="Times New Roman" w:hAnsi="Times New Roman" w:cs="Times New Roman"/>
          <w:bCs/>
          <w:i/>
          <w:sz w:val="24"/>
          <w:szCs w:val="24"/>
        </w:rPr>
        <w:t>qualitativa</w:t>
      </w:r>
      <w:r>
        <w:rPr>
          <w:rFonts w:ascii="Times New Roman" w:hAnsi="Times New Roman" w:cs="Times New Roman"/>
          <w:bCs/>
          <w:sz w:val="24"/>
          <w:szCs w:val="24"/>
        </w:rPr>
        <w:t xml:space="preserve"> da sociedade (a qualidade de vida dos cidadãos), mais do que em melhora </w:t>
      </w:r>
      <w:r>
        <w:rPr>
          <w:rFonts w:ascii="Times New Roman" w:hAnsi="Times New Roman" w:cs="Times New Roman"/>
          <w:bCs/>
          <w:i/>
          <w:sz w:val="24"/>
          <w:szCs w:val="24"/>
        </w:rPr>
        <w:t>quantitativa</w:t>
      </w:r>
      <w:r>
        <w:rPr>
          <w:rFonts w:ascii="Times New Roman" w:hAnsi="Times New Roman" w:cs="Times New Roman"/>
          <w:bCs/>
          <w:sz w:val="24"/>
          <w:szCs w:val="24"/>
        </w:rPr>
        <w:t xml:space="preserve"> (crescimento da economia). Para esta abordagem econômica, os fluxos irreversíveis de energia na sociedade importam mais do que os fluxos de recursos financeiros.</w:t>
      </w:r>
    </w:p>
    <w:p>
      <w:pPr>
        <w:spacing w:line="360" w:lineRule="auto"/>
        <w:ind w:firstLine="708"/>
        <w:jc w:val="both"/>
      </w:pPr>
      <w:r>
        <w:rPr>
          <w:rFonts w:ascii="Times New Roman" w:hAnsi="Times New Roman" w:cs="Times New Roman"/>
          <w:bCs/>
          <w:sz w:val="24"/>
          <w:szCs w:val="24"/>
        </w:rPr>
        <w:t>Ainda assim, a economia ecológica apresenta limitações para tratar da problemática ambiental exposta, o que é evidenciado pela hegemonia neoliberal que permanece. Apesar de a retórica ecológica ter maior circulação na sociedade nas últimas décadas, seus preceitos ainda encontram dificuldade em serem concretizados. Segundo William Rees, isto acontece, dentre outras razões, porque a economia ecológica não reflete aspectos chave da evolução humana em sua teoria.</w:t>
      </w:r>
    </w:p>
    <w:p>
      <w:pPr>
        <w:spacing w:line="360" w:lineRule="auto"/>
        <w:ind w:firstLine="708"/>
        <w:jc w:val="both"/>
      </w:pPr>
      <w:r>
        <w:rPr>
          <w:rFonts w:ascii="Times New Roman" w:hAnsi="Times New Roman" w:cs="Times New Roman"/>
          <w:bCs/>
          <w:sz w:val="24"/>
          <w:szCs w:val="24"/>
        </w:rPr>
        <w:t>O autor trabalha com a premissa de que “duas tendências natas que humanos partilham com outras espécies são as predisposições a expandir para ocupar todos os habitats acessíveis e a usar todos os recursos disponíveis” (REES, 2020, p. 2). Estes seriam temas constantes no desenvolvimento de todas as formas de vida, segundo o conhecimento adquirido em outras ciências, como a biologia. Humanos, como outras espécies, têm uma tendência natural a pressionar a capacidade de suporte dos ambientes que ocupa. O que a humanidade tem de extraordinário, quando comparada com outras espécies, é o desenvolvimento de tecnologias que ampliam a capacidade de modificar o mundo natural.</w:t>
      </w:r>
    </w:p>
    <w:p>
      <w:pPr>
        <w:spacing w:line="360" w:lineRule="auto"/>
        <w:ind w:firstLine="708"/>
        <w:jc w:val="both"/>
      </w:pPr>
      <w:r>
        <w:rPr>
          <w:rFonts w:ascii="Times New Roman" w:hAnsi="Times New Roman" w:cs="Times New Roman"/>
          <w:bCs/>
          <w:sz w:val="24"/>
          <w:szCs w:val="24"/>
        </w:rPr>
        <w:t xml:space="preserve">Com base em vários parâmetros mencionados por Rees, como tamanho da população, consumo de biomassa e alcance geográfico, pode-se dizer que os ecossistemas do planeta Terra estão sendo derrotados pelos humanos. Todos os recursos consumidos pela humanidade, logicamente, ficam indisponíveis para outras formas de vida. Com isso, o </w:t>
      </w:r>
      <w:r>
        <w:rPr>
          <w:rFonts w:ascii="Times New Roman" w:hAnsi="Times New Roman" w:cs="Times New Roman"/>
          <w:bCs/>
          <w:i/>
          <w:sz w:val="24"/>
          <w:szCs w:val="24"/>
        </w:rPr>
        <w:t>Homo sapiens</w:t>
      </w:r>
      <w:r>
        <w:rPr>
          <w:rFonts w:ascii="Times New Roman" w:hAnsi="Times New Roman" w:cs="Times New Roman"/>
          <w:bCs/>
          <w:sz w:val="24"/>
          <w:szCs w:val="24"/>
        </w:rPr>
        <w:t xml:space="preserve"> torna-se a principal causa da perda da biodiversidade em âmbito global, tendo em vista ritmos acelerados de extinções em curso.</w:t>
      </w:r>
    </w:p>
    <w:p>
      <w:pPr>
        <w:spacing w:line="360" w:lineRule="auto"/>
        <w:ind w:firstLine="708"/>
        <w:jc w:val="both"/>
      </w:pPr>
      <w:r>
        <w:rPr>
          <w:rFonts w:ascii="Times New Roman" w:hAnsi="Times New Roman" w:cs="Times New Roman"/>
          <w:bCs/>
          <w:sz w:val="24"/>
          <w:szCs w:val="24"/>
        </w:rPr>
        <w:t>Estas constatações põem em xeque projetos de “desenvolvimento sustentável” que ainda tenham o capitalismo como base econômica, expondo-os como fundamentalmente oximoros. Após uma determinada escala de crescimento – já ultrapassada pelo empreendimento humano – “há um conflito absoluto entre a economia e a integridade dos ecossistemas” (REES, 2020, p. 3). Identifica-se uma confluência entre fatores naturais e sociais da condição humana, a saber: tendências evolucionárias a maximizar o consumo de matéria e recursos, exacerbadas pela “alucinação coreografada” do crescimento infinito capitalista, que foi construída socialmente. Esta confluência de fatores, argumenta Rees, representa obstáculos a mudanças de padrões de produção e consumo da sociedade, e pode ser fatal para a espécie.</w:t>
      </w:r>
    </w:p>
    <w:p>
      <w:pPr>
        <w:spacing w:line="360" w:lineRule="auto"/>
        <w:ind w:firstLine="708"/>
        <w:jc w:val="both"/>
      </w:pPr>
      <w:r>
        <w:rPr>
          <w:rFonts w:ascii="Times New Roman" w:hAnsi="Times New Roman" w:cs="Times New Roman"/>
          <w:bCs/>
          <w:sz w:val="24"/>
          <w:szCs w:val="24"/>
        </w:rPr>
        <w:t>Além desta insuficiência, Rees aduz que a economia ecológica caiu na armadilha de utilizar abordagens do próprio neoliberalismo para tentar subvertê-lo. Isto toma forma na intenção de precificar os ecossistemas e seus componentes, na esperança de que o valor destes fosse mais facilmente compreendido se expresso por cifras monetárias. A expectativa era a de que empresas e governos fossem dissuadidos de destruir recursos naturais caso compreendessem-nos como “caros”, ou valiosos para a economia. Além do aspecto simbólico de ratificar a transformação dos ecossistemas em mercadoria com valor de troca, esta perspectiva também não logrou êxito na vida real. Atores econômicos ainda podem fazer contas e chegar à conclusão de que certa região pode ter mais valor caso “se desenvolva”, perdendo fauna e flora no processo. Assim sendo, Rees argumenta que não é possível utilizar artefatos da teoria econômica tradicional para evitar degradação ambiental.</w:t>
      </w:r>
    </w:p>
    <w:p>
      <w:pPr>
        <w:spacing w:line="360" w:lineRule="auto"/>
        <w:ind w:firstLine="708"/>
        <w:jc w:val="both"/>
      </w:pPr>
      <w:r>
        <w:rPr>
          <w:rFonts w:ascii="Times New Roman" w:hAnsi="Times New Roman" w:cs="Times New Roman"/>
          <w:bCs/>
          <w:sz w:val="24"/>
          <w:szCs w:val="24"/>
        </w:rPr>
        <w:t xml:space="preserve">Seguindo na temática ambiental, voltemo-nos à questão específica da utilização de energia. Argumenta-se que o </w:t>
      </w:r>
      <w:r>
        <w:rPr>
          <w:rFonts w:ascii="Times New Roman" w:hAnsi="Times New Roman" w:cs="Times New Roman"/>
          <w:bCs/>
          <w:i/>
          <w:sz w:val="24"/>
          <w:szCs w:val="24"/>
        </w:rPr>
        <w:t>Homo Sapiens</w:t>
      </w:r>
      <w:r>
        <w:rPr>
          <w:rFonts w:ascii="Times New Roman" w:hAnsi="Times New Roman" w:cs="Times New Roman"/>
          <w:bCs/>
          <w:sz w:val="24"/>
          <w:szCs w:val="24"/>
        </w:rPr>
        <w:t xml:space="preserve"> é um arquétipo de potência máxima e acelera a eco-destruição. O princípio de potência máxima, ou princípio de Lotka, postula que têm mais sucesso os organismos vivos que maximizam o uso da energia disponível no exercício de trabalho útil. Em outras palavras, organismos que têm maior sucesso em extrair energia do ambiente no entorno e armazená-la, para posteriormente utilizá-la em tarefas de manutenção da vida (comer, lutar, reproduzir, etc.), serão os vencedores da competição entre espécies. Os seres humanos alcançaram sua potência máxima ao trocar fontes de energia </w:t>
      </w:r>
      <w:r>
        <w:rPr>
          <w:rFonts w:ascii="Times New Roman" w:hAnsi="Times New Roman" w:cs="Times New Roman"/>
          <w:bCs/>
          <w:i/>
          <w:sz w:val="24"/>
          <w:szCs w:val="24"/>
        </w:rPr>
        <w:t>endossomática</w:t>
      </w:r>
      <w:r>
        <w:rPr>
          <w:rFonts w:ascii="Times New Roman" w:hAnsi="Times New Roman" w:cs="Times New Roman"/>
          <w:bCs/>
          <w:sz w:val="24"/>
          <w:szCs w:val="24"/>
        </w:rPr>
        <w:t xml:space="preserve"> (de dentro de plantas e animais) por energia </w:t>
      </w:r>
      <w:r>
        <w:rPr>
          <w:rFonts w:ascii="Times New Roman" w:hAnsi="Times New Roman" w:cs="Times New Roman"/>
          <w:bCs/>
          <w:i/>
          <w:sz w:val="24"/>
          <w:szCs w:val="24"/>
        </w:rPr>
        <w:t>exossomática</w:t>
      </w:r>
      <w:r>
        <w:rPr>
          <w:rFonts w:ascii="Times New Roman" w:hAnsi="Times New Roman" w:cs="Times New Roman"/>
          <w:bCs/>
          <w:sz w:val="24"/>
          <w:szCs w:val="24"/>
        </w:rPr>
        <w:t xml:space="preserve"> (principalmente combustíveis fósseis). Este processo foi intensificado nos últimos 200 anos, com o advento da Revolução Industrial.</w:t>
      </w:r>
    </w:p>
    <w:p>
      <w:pPr>
        <w:spacing w:line="360" w:lineRule="auto"/>
        <w:ind w:firstLine="708"/>
        <w:jc w:val="both"/>
      </w:pPr>
      <w:r>
        <w:rPr>
          <w:rFonts w:ascii="Times New Roman" w:hAnsi="Times New Roman" w:cs="Times New Roman"/>
          <w:bCs/>
          <w:sz w:val="24"/>
          <w:szCs w:val="24"/>
        </w:rPr>
        <w:t xml:space="preserve">A resultante abundância energética permitiu que a humanidade subvertesse artificialmente a capacidade de suporte de seus ambientes. Tendo aliviado suas restrições de ordem material, por conta do aumento da capacidade produtiva da espécie em ordens de magnitude, a população humana explodiu exponencialmente. Rees narra que “demorou 99.9% da história humana para que a população chegasse a um bilhão de pessoas no início do século XIX”. Apenas dois séculos depois, a população saltou para quase oito bilhões. Ainda, “metade de toda a energia fóssil já usada (e metade do CO2 fóssil já produzido) foi queimada (emitido) </w:t>
      </w:r>
      <w:r>
        <w:rPr>
          <w:rFonts w:ascii="Times New Roman" w:hAnsi="Times New Roman" w:cs="Times New Roman"/>
          <w:bCs/>
          <w:i/>
          <w:sz w:val="24"/>
          <w:szCs w:val="24"/>
        </w:rPr>
        <w:t>apenas nos últimos 35 anos!</w:t>
      </w:r>
      <w:r>
        <w:rPr>
          <w:rFonts w:ascii="Times New Roman" w:hAnsi="Times New Roman" w:cs="Times New Roman"/>
          <w:bCs/>
          <w:sz w:val="24"/>
          <w:szCs w:val="24"/>
        </w:rPr>
        <w:t>” (REES, 2002, p. 4, grifo no original). Próprio da dinâmica de crescimento exponencial, também descrita por Catton Jr. (1982), este crescimento repentino e anômalo na história humana só é possível com energia exossomática. Findadas as fontes desta energia, sempre é necessário lembrar, algum tipo de colapso a níveis prévios à sua utilização é inevitável. A extrema eficiência humana em seguir o princípio de potência máxima, que geralmente representa uma vantagem evolutiva, agora se torna um fator de risco para o colapso das sociedades.</w:t>
      </w:r>
    </w:p>
    <w:p>
      <w:pPr>
        <w:spacing w:line="360" w:lineRule="auto"/>
        <w:ind w:firstLine="708"/>
        <w:jc w:val="both"/>
      </w:pPr>
      <w:r>
        <w:rPr>
          <w:rFonts w:ascii="Times New Roman" w:hAnsi="Times New Roman" w:cs="Times New Roman"/>
          <w:bCs/>
          <w:sz w:val="24"/>
          <w:szCs w:val="24"/>
        </w:rPr>
        <w:t>Há outro princípio das ciências naturais que auxilia na compreensão dos modelos de desenvolvimento e suas implicações sociais. É citada a segunda lei da termodinâmica, também chamada de lei da entropia, sendo esta a medida de desordem ou aleatoriedade em um sistema. A lei afirma que todas as mudanças espontâneas num sistema fechado aumentam sua entropia – gradualmente, “concentrações dispersam, gradientes desaparecem e energia se dissipa” (REES, 2020, p. 4). Em termos mais simples, tudo decai e se deteriora até chegar ao seu nível máximo de entropia, o equilíbrio termodinâmico. O mundo natural é um sistema dinâmico complexo que está longe deste equilíbrio, e sua dinâmica própria leva-o a distanciar-se ainda mais.</w:t>
      </w:r>
    </w:p>
    <w:p>
      <w:pPr>
        <w:spacing w:line="360" w:lineRule="auto"/>
        <w:ind w:firstLine="708"/>
        <w:jc w:val="both"/>
      </w:pPr>
      <w:r>
        <w:rPr>
          <w:rFonts w:ascii="Times New Roman" w:hAnsi="Times New Roman" w:cs="Times New Roman"/>
          <w:bCs/>
          <w:sz w:val="24"/>
          <w:szCs w:val="24"/>
        </w:rPr>
        <w:t>Rees propõe que o conceito de “distância do equilíbrio termodinâmico” pode confundir-se com a definição de vida em si. Seres vivos são sistemas abertos, que extraem energia e matéria do ambiente (entropia negativa ou sintropia) e injetam matéria degradada e energia térmica no ambiente (entropia). Assim sendo, seres vivos são estruturas dissipadoras de matéria e energia. Para manterem-se distantes do equilíbrio termodinâmico, seres vivos diminuem sua entropia própria ao aumentar a entropia do meio onde se inserem. Se compreendermos um ser vivo como subsistema de um sistema complexo, podemos dizer que o ser vivo aumenta sua própria complexidade ao diminuir a complexidade do ambiente.</w:t>
      </w:r>
    </w:p>
    <w:p>
      <w:pPr>
        <w:spacing w:line="360" w:lineRule="auto"/>
        <w:ind w:firstLine="708"/>
        <w:jc w:val="both"/>
      </w:pPr>
      <w:r>
        <w:rPr>
          <w:rFonts w:ascii="Times New Roman" w:hAnsi="Times New Roman" w:cs="Times New Roman"/>
          <w:bCs/>
          <w:sz w:val="24"/>
          <w:szCs w:val="24"/>
        </w:rPr>
        <w:t>Seres humanos e suas sociedades não são diferentes, só podendo crescer dissipando entropia ao ambiente e diminuindo-lhe a complexidade. O ritmo acelerado de extinções de espécies e perda de biodiversidade são exemplos da simplificação dos ecossistemas, trazida pela ação humana. O avanço tecnológico permitiu que a humanidade se fizesse muito distante do equilíbrio termodinâmico, muito mais do que havia conseguido antes da Revolução Industrial. Novamente, uma inclinação natural e comum a todos os seres vivos torna-se deletéria inclusive à sobrevivência humana, em função do poder sem precedentes que a espécie controla.</w:t>
      </w:r>
    </w:p>
    <w:p>
      <w:pPr>
        <w:spacing w:line="360" w:lineRule="auto"/>
        <w:ind w:firstLine="708"/>
        <w:jc w:val="both"/>
      </w:pPr>
      <w:r>
        <w:rPr>
          <w:rFonts w:ascii="Times New Roman" w:hAnsi="Times New Roman" w:cs="Times New Roman"/>
          <w:bCs/>
          <w:sz w:val="24"/>
          <w:szCs w:val="24"/>
        </w:rPr>
        <w:t>Some-se a todo o exposto o fato de que os frutos da espoliação da natureza são distribuídos desigualmente. Portanto, existe abundância material em alguns lugares, para algumas pessoas, ao mesmo tempo em que permanecem situações de miséria e privação para o resto da sociedade. A “alucinação coreografada” capitalista nunca cogitaria a redistribuição destes recursos, insistindo, em vez disso, no crescimento econômico como enfrentamento à pobreza</w:t>
      </w:r>
      <w:r>
        <w:rPr>
          <w:rStyle w:val="18"/>
          <w:rFonts w:ascii="Times New Roman" w:hAnsi="Times New Roman" w:cs="Times New Roman"/>
          <w:bCs/>
          <w:sz w:val="24"/>
          <w:szCs w:val="24"/>
        </w:rPr>
        <w:footnoteReference w:id="0"/>
      </w:r>
      <w:r>
        <w:rPr>
          <w:rFonts w:ascii="Times New Roman" w:hAnsi="Times New Roman" w:cs="Times New Roman"/>
          <w:bCs/>
          <w:sz w:val="24"/>
          <w:szCs w:val="24"/>
        </w:rPr>
        <w:t>. Rees (2020) argumenta que as nações pobres do mundo, “em desenvolvimento”, são seduzidas pelo sonho impossível de elevarem seus padrões de consumo aos níveis dos países “desenvolvidos”.</w:t>
      </w:r>
    </w:p>
    <w:p>
      <w:pPr>
        <w:spacing w:line="360" w:lineRule="auto"/>
        <w:ind w:firstLine="708"/>
        <w:jc w:val="both"/>
      </w:pPr>
      <w:r>
        <w:rPr>
          <w:rFonts w:ascii="Times New Roman" w:hAnsi="Times New Roman" w:cs="Times New Roman"/>
          <w:bCs/>
          <w:sz w:val="24"/>
          <w:szCs w:val="24"/>
        </w:rPr>
        <w:t xml:space="preserve">Se o planeta Terra já não suporta indefinidamente populações e consumo em níveis atuais, certamente não suportaria a elevação do padrão de vida do Sul global aos níveis suntuosos da América do Norte e Europa ocidental. Fazer isto significaria aumentar a demanda de energia consumida pela humanidade, esgotando ainda mais rapidamente os recursos não-renováveis dos quais todos os povos presentemente necessitam. Considerando ainda que as metas do Painel Intergovernamental sobre Mudanças Climáticas (IPCC) preveem a </w:t>
      </w:r>
      <w:r>
        <w:rPr>
          <w:rFonts w:ascii="Times New Roman" w:hAnsi="Times New Roman" w:cs="Times New Roman"/>
          <w:bCs/>
          <w:i/>
          <w:sz w:val="24"/>
          <w:szCs w:val="24"/>
        </w:rPr>
        <w:t>redução</w:t>
      </w:r>
      <w:r>
        <w:rPr>
          <w:rFonts w:ascii="Times New Roman" w:hAnsi="Times New Roman" w:cs="Times New Roman"/>
          <w:bCs/>
          <w:sz w:val="24"/>
          <w:szCs w:val="24"/>
        </w:rPr>
        <w:t xml:space="preserve"> de emissões de CO2 até 2050, conforme Rees, isto seria um contrassenso ainda maior.</w:t>
      </w:r>
    </w:p>
    <w:p>
      <w:pPr>
        <w:spacing w:line="360" w:lineRule="auto"/>
        <w:ind w:firstLine="708"/>
        <w:jc w:val="both"/>
      </w:pPr>
      <w:r>
        <w:rPr>
          <w:rFonts w:ascii="Times New Roman" w:hAnsi="Times New Roman" w:cs="Times New Roman"/>
          <w:bCs/>
          <w:sz w:val="24"/>
          <w:szCs w:val="24"/>
        </w:rPr>
        <w:t>Rees também afirma que “não existem substitutos plenamente adequados aos combustíveis fósseis” (2020, p. 5). Hoje, a produção energética de fontes renováveis não consegue sequer acompanhar o ritmo de crescimento anual da demanda energética do globo. Há um motivo para que combustíveis fósseis sejam utilizados hoje em detrimento de fontes renováveis, mesmo que sejam mais trabalhosos para extrair, armazenar e processar. Os combustíveis não-renováveis têm uma densidade energética maior, que ainda não pôde ser replicada por fontes renováveis. Portanto, a transição para energia solar, eólica e semelhantes, mesmo se endossadas pela maior parte das sociedades humanas, ainda representaria um desafio. Mesmo que fontes renováveis fossem similarmente eficientes em termos de armazenamento de energia, permaneceria o problema das emissões de gás de efeito estufa. O planeta continuaria sua sequência histórica de aquecimento, ainda de forma agravada, com todas as suas consequências deletérias.</w:t>
      </w:r>
    </w:p>
    <w:p>
      <w:pPr>
        <w:spacing w:line="360" w:lineRule="auto"/>
        <w:ind w:firstLine="708"/>
        <w:jc w:val="both"/>
      </w:pPr>
      <w:r>
        <w:rPr>
          <w:rFonts w:ascii="Times New Roman" w:hAnsi="Times New Roman" w:cs="Times New Roman"/>
          <w:bCs/>
          <w:sz w:val="24"/>
          <w:szCs w:val="24"/>
        </w:rPr>
        <w:t>Soluções “verdes” capitalistas tendem a sustentar argumentos de fé mais do que de ciência, promovendo a esperança de que evoluções tecnológicas neutralizarão os efeitos das mudanças climáticas antropogênicas. Esta abordagem ignora o fato de que foi o avanço da tecnologia, justamente, o grande catalisador do aquecimento global. Assim, propõem que o problema será resolvido pelo seu próprio fator causador, o que é certamente um paradoxo. Além disso, não há nenhuma garantia de que estas tecno-promessas se concretizem, muito menos de que sejam usadas para o benefício da sociedade como um todo, caso sequer venham a existir. Ao situar as soluções sempre no futuro, a hegemonia neoliberal faz dissuadir a tomada de decisões imediatas.</w:t>
      </w:r>
    </w:p>
    <w:p>
      <w:pPr>
        <w:spacing w:line="360" w:lineRule="auto"/>
        <w:ind w:firstLine="708"/>
        <w:jc w:val="both"/>
      </w:pPr>
      <w:r>
        <w:rPr>
          <w:rFonts w:ascii="Times New Roman" w:hAnsi="Times New Roman" w:cs="Times New Roman"/>
          <w:bCs/>
          <w:sz w:val="24"/>
          <w:szCs w:val="24"/>
        </w:rPr>
        <w:t>Em resumo, a rota de desenvolvimento tomada pelos centros da economia global, os países “desenvolvidos”, já não é mais possível, pois aceleraria o colapso do empreendimento humano como um todo. Os países altamente industrializados se aproveitaram de uma janela de oportunidade que já se fechou. Isto com certeza suscita várias indagações de ordem ética, já que a riqueza de boa parte dos países “desenvolvidos” é e foi obtida pela exploração dos povos “em desenvolvimento” e de suas terras. Com a perspectiva de William Rees, concluiríamos que as nações do Sul global estariam fadadas a permanecerem eternamente pobres – ou melhor, num patamar de consumo material usualmente considerado “pobre” dentro de sistemas capitalistas. A única forma de viabilizar esta forma de desenvolvimento, para os países do Sul global, seria a diminuição drástica da pressão ecológica exercida pelos países altamente industrializados.</w:t>
      </w:r>
    </w:p>
    <w:p>
      <w:pPr>
        <w:spacing w:after="0" w:line="360" w:lineRule="auto"/>
        <w:ind w:firstLine="708"/>
        <w:jc w:val="both"/>
      </w:pPr>
      <w:r>
        <w:rPr>
          <w:rFonts w:ascii="Times New Roman" w:hAnsi="Times New Roman" w:cs="Times New Roman"/>
          <w:bCs/>
          <w:sz w:val="24"/>
          <w:szCs w:val="24"/>
        </w:rPr>
        <w:t>As sociedades humanas consomem mais sintropia do que o meio ambiente consegue produzir de forma sustentável. Como mencionado por Rees (2020), outras espécies partilham desta dinâmica de crescimento (de população, de organização, etc.) seguida de um colapso causado por uma conjunção de fatores (como falta de alimentos, doenças ou predadores). A industrialização das forças produtivas tem atrasado este colapso e proporcionado pujança material sem precedentes, porém a custo de um colapso proporcionalmente maior no futuro. Rees declara que “[…] o empreendimento humano quase certamente será forçado a se contrair, por escassez de energia/alimento/etc. ou pela decadência de sistemas de suporte à vida” (2020, p. 5).</w:t>
      </w:r>
    </w:p>
    <w:p>
      <w:pPr>
        <w:spacing w:after="0" w:line="360" w:lineRule="auto"/>
        <w:ind w:firstLine="708"/>
        <w:jc w:val="both"/>
      </w:pPr>
      <w:r>
        <w:rPr>
          <w:rFonts w:ascii="Times New Roman" w:hAnsi="Times New Roman" w:cs="Times New Roman"/>
          <w:sz w:val="24"/>
          <w:szCs w:val="24"/>
        </w:rPr>
        <w:t xml:space="preserve">Rees deixa claro o elo entre sistema capitalista e degradação ambiental, explicitando a magnitude da problemática ecológica que se apresentará para a humanidade num futuro próximo. Mais adiante, podemos utilizar a obra do sociólogo William Catton Jr (1982), para obtermos mais detalhes sobre as estratégias humanas para crescerem em números e complexidade sociopolítica. Iniciando dos primórdios da espécie </w:t>
      </w:r>
      <w:r>
        <w:rPr>
          <w:rFonts w:ascii="Times New Roman" w:hAnsi="Times New Roman" w:cs="Times New Roman"/>
          <w:i/>
          <w:iCs/>
          <w:sz w:val="24"/>
          <w:szCs w:val="24"/>
        </w:rPr>
        <w:t>Homo sapiens</w:t>
      </w:r>
      <w:r>
        <w:rPr>
          <w:rFonts w:ascii="Times New Roman" w:hAnsi="Times New Roman" w:cs="Times New Roman"/>
          <w:sz w:val="24"/>
          <w:szCs w:val="24"/>
        </w:rPr>
        <w:t>, Catton Jr traça uma linha do tempo que desemboca nos dias presentes.</w:t>
      </w:r>
    </w:p>
    <w:p>
      <w:pPr>
        <w:spacing w:after="0" w:line="360" w:lineRule="auto"/>
        <w:ind w:firstLine="708"/>
        <w:jc w:val="both"/>
      </w:pPr>
      <w:r>
        <w:rPr>
          <w:rFonts w:ascii="Times New Roman" w:hAnsi="Times New Roman" w:cs="Times New Roman"/>
          <w:sz w:val="24"/>
          <w:szCs w:val="24"/>
        </w:rPr>
        <w:t xml:space="preserve">As primeiras espécies </w:t>
      </w:r>
      <w:r>
        <w:rPr>
          <w:rFonts w:ascii="Times New Roman" w:hAnsi="Times New Roman" w:cs="Times New Roman"/>
          <w:i/>
          <w:sz w:val="24"/>
          <w:szCs w:val="24"/>
        </w:rPr>
        <w:t>Homo</w:t>
      </w:r>
      <w:r>
        <w:rPr>
          <w:rFonts w:ascii="Times New Roman" w:hAnsi="Times New Roman" w:cs="Times New Roman"/>
          <w:sz w:val="24"/>
          <w:szCs w:val="24"/>
        </w:rPr>
        <w:t xml:space="preserve"> aprenderam a utilizar fogo e outras ferramentas simples. Assim, conseguiram aproveitar com mais eficiência os recursos naturais que tinham à disposição, nos moldes da Lei de Lotka apresentada por Rees (2020). Ao ensinarem a seus descendentes as técnicas e tecnologias descobertas, os ancestrais da humanidade garantiram que este conhecimento não se perderia e que poderia ser acumulado ao longo de gerações. Mesmo assim, continuaram sendo caçadores-coletores, e sua população media-se, provavelmente, em poucos milhões.</w:t>
      </w:r>
    </w:p>
    <w:p>
      <w:pPr>
        <w:tabs>
          <w:tab w:val="center" w:pos="0"/>
        </w:tabs>
        <w:spacing w:line="360" w:lineRule="auto"/>
        <w:ind w:firstLine="737"/>
        <w:jc w:val="both"/>
      </w:pPr>
      <w:r>
        <w:rPr>
          <w:rFonts w:ascii="Times New Roman" w:hAnsi="Times New Roman" w:cs="Times New Roman"/>
          <w:sz w:val="24"/>
          <w:szCs w:val="24"/>
        </w:rPr>
        <w:t xml:space="preserve">Armas de caça, principalmente o arco e flecha, aumentaram a capacidade dos humanos abaterem animais para seu consumo. Esta tecnologia ocasionou um aumento populacional estimado em mais de 100%, de 3 para 8 milhões de </w:t>
      </w:r>
      <w:r>
        <w:rPr>
          <w:rFonts w:ascii="Times New Roman" w:hAnsi="Times New Roman" w:cs="Times New Roman"/>
          <w:i/>
          <w:sz w:val="24"/>
          <w:szCs w:val="24"/>
        </w:rPr>
        <w:t>Homo sapiens</w:t>
      </w:r>
      <w:r>
        <w:rPr>
          <w:rFonts w:ascii="Times New Roman" w:hAnsi="Times New Roman" w:cs="Times New Roman"/>
          <w:sz w:val="24"/>
          <w:szCs w:val="24"/>
        </w:rPr>
        <w:t>. No entanto, este crescimento demográfico foi lento – segundo Catton Jr, manifestando-se gradualmente ao longo de mil gerações de humanos.</w:t>
      </w:r>
    </w:p>
    <w:p>
      <w:pPr>
        <w:tabs>
          <w:tab w:val="center" w:pos="0"/>
        </w:tabs>
        <w:spacing w:line="360" w:lineRule="auto"/>
        <w:ind w:firstLine="737"/>
        <w:jc w:val="both"/>
      </w:pPr>
      <w:r>
        <w:rPr>
          <w:rFonts w:ascii="Times New Roman" w:hAnsi="Times New Roman" w:cs="Times New Roman"/>
          <w:sz w:val="24"/>
          <w:szCs w:val="24"/>
        </w:rPr>
        <w:t>A humanidade aprende a plantar alimentos. Após o que Catton chama de “revolução horticultural”, humanos passam a não ter mais uma relação meramente passiva com a natureza. A partir deste momento, os humanos tomaram para si parte do trabalho antes efetuado pelo mundo natural. Com o aumento das fontes calóricas disponíveis, começa a ser possível que uma parcela dos humanos tenha outras ocupações, não relacionadas à obtenção dos meios de vida. Isto permite o desenvolvimento cultural mais acelerado das populações humanas e o aumento da complexidade das sociedades. Novamente, este avanço tecnológico vem acompanhado de um crescimento populacional expressivo. A população humana aumenta em dez vezes, para mais de 80 milhões de pessoas, e de forma muito mais acelerada em comparação com a revolução anterior – em apenas 160 gerações.</w:t>
      </w:r>
    </w:p>
    <w:p>
      <w:pPr>
        <w:tabs>
          <w:tab w:val="center" w:pos="0"/>
        </w:tabs>
        <w:spacing w:line="360" w:lineRule="auto"/>
        <w:ind w:firstLine="737"/>
        <w:jc w:val="both"/>
      </w:pPr>
      <w:r>
        <w:rPr>
          <w:rFonts w:ascii="Times New Roman" w:hAnsi="Times New Roman" w:cs="Times New Roman"/>
          <w:sz w:val="24"/>
          <w:szCs w:val="24"/>
        </w:rPr>
        <w:t>O autor faz analogia ao conceito de “juros compostos” para analisar o crescimento exponencial da população humana. Para cada uma das gerações humanas experimentando crescimento populacional, isoladamente, o crescimento seria praticamente imperceptível. Ainda assim, um aumento inexpressivo da população em cada geração acumula-se ao aumento da geração anterior, gerando grandes saltos na medida em que mais gerações passam.</w:t>
      </w:r>
    </w:p>
    <w:p>
      <w:pPr>
        <w:tabs>
          <w:tab w:val="center" w:pos="0"/>
        </w:tabs>
        <w:spacing w:line="360" w:lineRule="auto"/>
        <w:ind w:firstLine="737"/>
        <w:jc w:val="both"/>
      </w:pPr>
      <w:r>
        <w:rPr>
          <w:rFonts w:ascii="Times New Roman" w:hAnsi="Times New Roman" w:cs="Times New Roman"/>
          <w:sz w:val="24"/>
          <w:szCs w:val="24"/>
        </w:rPr>
        <w:t>Com o advento da Era de Bronze, iniciando em 4000 a. C, a humanidade pôde refinar sua habilidade de fazer ferramentas. Isto, por sua vez, possibilitou o aumento do domínio do ser humano sobre o mundo natural. A tração animal começou a ser usada para o trabalho nas plantações. A partir de 1000 a. C, ferramentas de ferro puderam suplementar e substituir as de bronze, conferindo novas possibilidades tecnológicas para o homem. Este período de complexificação das sociedades exigiu mais estruturas sociais de organização, o que aprofundou a divisão social do trabalho. Cada vez mais recursos naturais, colhidos e utilizados por humanos, ficavam indisponíveis para outras espécies. Catton afirma que a humanidade se coloca, desde então, em confortável posição de vantagem na competição com outros animais. Do início da Era de Bronze até os tempos de Jesus Cristo, estima-se que a população humana tenha crescido de 86 para 300 milhões de pessoas.</w:t>
      </w:r>
    </w:p>
    <w:p>
      <w:pPr>
        <w:tabs>
          <w:tab w:val="center" w:pos="0"/>
        </w:tabs>
        <w:spacing w:line="360" w:lineRule="auto"/>
        <w:ind w:firstLine="737"/>
        <w:jc w:val="both"/>
      </w:pPr>
      <w:r>
        <w:rPr>
          <w:rFonts w:ascii="Times New Roman" w:hAnsi="Times New Roman" w:cs="Times New Roman"/>
          <w:sz w:val="24"/>
          <w:szCs w:val="24"/>
        </w:rPr>
        <w:t>No século XIV, armas de fogo foram inventadas. Três gerações depois, surgiram armas de fogo mais portáteis, que poderiam ser utilizadas fora do contexto de batalhas militares. Um grande crescimento populacional acompanhou este avanço tecnológico, o que Catton Jr atribui à capacidade dos europeus explorarem novas terras. As armas de fogo não teriam promovido o crescimento do mundo como um todo, mas sim o crescimento da sociedade europeia, às custas de povos de outros continentes. Os europeus, argumenta Catton Jr, utilizaram as armas de fogo para subjugar povos caçadores-coletores ou horticultores, que não tinham tecnologia bélica equivalente. Assim sendo, as armas de fogo tiveram papel indireto no crescimento populacional da humanidade, ao provocar mudanças políticas nas relações entre os povos.</w:t>
      </w:r>
    </w:p>
    <w:p>
      <w:pPr>
        <w:tabs>
          <w:tab w:val="center" w:pos="0"/>
        </w:tabs>
        <w:spacing w:line="360" w:lineRule="auto"/>
        <w:ind w:firstLine="737"/>
        <w:jc w:val="both"/>
      </w:pPr>
      <w:r>
        <w:rPr>
          <w:rFonts w:ascii="Times New Roman" w:hAnsi="Times New Roman" w:cs="Times New Roman"/>
          <w:sz w:val="24"/>
          <w:szCs w:val="24"/>
        </w:rPr>
        <w:t>A exploração de outros continentes pelos europeus dá início ao que Catton chama de “era de exuberância”. Por meio da extração de recursos das colônias ao redor do mundo, a Europa, como um todo, alcança patamares mais altos de bem-estar. Suas tecnologias avançam, as artes florescem, o conhecimento se dissemina e uma porção maior da população europeia é escolarizada. Os europeus (e mais tarde, seus colonizados) acostumam-se com a noção de um mundo sem limites, disponível para exploração cada vez mais intensa.</w:t>
      </w:r>
    </w:p>
    <w:p>
      <w:pPr>
        <w:tabs>
          <w:tab w:val="center" w:pos="0"/>
        </w:tabs>
        <w:spacing w:line="360" w:lineRule="auto"/>
        <w:ind w:firstLine="737"/>
        <w:jc w:val="both"/>
      </w:pPr>
      <w:r>
        <w:rPr>
          <w:rFonts w:ascii="Times New Roman" w:hAnsi="Times New Roman" w:cs="Times New Roman"/>
          <w:sz w:val="24"/>
          <w:szCs w:val="24"/>
        </w:rPr>
        <w:t>No entanto, na medida em que os outros continentes são explorados, também eles crescem demograficamente. A população humana aumenta em velocidade sem precedentes. Dentro de alguns séculos, quase todas as populações humanas alcançam a capacidade de carga de suas regiões. A partir deste ponto, porém, não restam mais continentes a serem explorados. Já não era mais possível manter o ritmo de expansão que as populações humanas vieram a considerar como “normal”.</w:t>
      </w:r>
    </w:p>
    <w:p>
      <w:pPr>
        <w:tabs>
          <w:tab w:val="center" w:pos="0"/>
        </w:tabs>
        <w:spacing w:line="360" w:lineRule="auto"/>
        <w:ind w:firstLine="737"/>
        <w:jc w:val="both"/>
      </w:pPr>
      <w:r>
        <w:rPr>
          <w:rFonts w:ascii="Times New Roman" w:hAnsi="Times New Roman" w:cs="Times New Roman"/>
          <w:sz w:val="24"/>
          <w:szCs w:val="24"/>
        </w:rPr>
        <w:t>Catton Jr explica que, apesar das Américas parecerem esparsamente populadas para os colonizadores europeus, o continente estava lotado na perspectiva dos povos nativos. Os indígenas, caçadores-coletores e horticultores, já ocupavam o máximo da capacidade de carga possível para seu nível tecnológico. Com a chegada dos colonizadores, os nativos sobreviventes foram confinados a territórios muito menores do que os que ocupavam antes, onde seu modo de vida tradicional não era necessariamente possível. Já na perspectiva europeia, que carecia da compreensão destas nuances ecológicas, as Américas eram um território “vazio” que precisava ser utilizado. Segundo Catton Jr (1982, p. 26, grifo no original):</w:t>
      </w:r>
    </w:p>
    <w:p>
      <w:pPr>
        <w:tabs>
          <w:tab w:val="center" w:pos="4252"/>
        </w:tabs>
        <w:spacing w:line="240" w:lineRule="auto"/>
        <w:ind w:left="2268"/>
        <w:jc w:val="both"/>
      </w:pPr>
      <w:r>
        <w:rPr>
          <w:rFonts w:ascii="Times New Roman" w:hAnsi="Times New Roman" w:cs="Times New Roman"/>
          <w:sz w:val="20"/>
          <w:szCs w:val="20"/>
        </w:rPr>
        <w:t xml:space="preserve">O etnocentrismo não permitiu que a maioria dos europeus se percebesse como os indígenas os percebiam – como competidores por recursos que os indígenas já estavam explorando da melhor forma que sabiam. Ecologicamente, estas vastas terras “novas” não tinham “espaço suficiente” para indígenas e europeus, como os europeus logo supuseram. Indígenas vivendo de caça-coleta e pela horticultura simples seriam </w:t>
      </w:r>
      <w:r>
        <w:rPr>
          <w:rFonts w:ascii="Times New Roman" w:hAnsi="Times New Roman" w:cs="Times New Roman"/>
          <w:i/>
          <w:sz w:val="20"/>
          <w:szCs w:val="20"/>
        </w:rPr>
        <w:t>deslocados</w:t>
      </w:r>
      <w:r>
        <w:rPr>
          <w:rFonts w:ascii="Times New Roman" w:hAnsi="Times New Roman" w:cs="Times New Roman"/>
          <w:sz w:val="20"/>
          <w:szCs w:val="20"/>
        </w:rPr>
        <w:t xml:space="preserve"> pelas hordas de europeus praticando uma vida agrária avançada.</w:t>
      </w:r>
    </w:p>
    <w:p>
      <w:pPr>
        <w:tabs>
          <w:tab w:val="center" w:pos="4252"/>
        </w:tabs>
        <w:spacing w:line="240" w:lineRule="auto"/>
        <w:ind w:left="2268"/>
        <w:jc w:val="both"/>
        <w:rPr>
          <w:rFonts w:ascii="Times New Roman" w:hAnsi="Times New Roman" w:cs="Times New Roman"/>
          <w:sz w:val="24"/>
          <w:szCs w:val="24"/>
        </w:rPr>
      </w:pPr>
    </w:p>
    <w:p>
      <w:pPr>
        <w:tabs>
          <w:tab w:val="center" w:pos="0"/>
        </w:tabs>
        <w:spacing w:line="360" w:lineRule="auto"/>
        <w:ind w:firstLine="737"/>
        <w:jc w:val="both"/>
      </w:pPr>
      <w:r>
        <w:rPr>
          <w:rFonts w:ascii="Times New Roman" w:hAnsi="Times New Roman" w:cs="Times New Roman"/>
          <w:sz w:val="24"/>
          <w:szCs w:val="24"/>
        </w:rPr>
        <w:t xml:space="preserve">Desta forma, segundo Catton Jr, procedeu também a colonização dos outros continentes. Deve-se notar, no entanto, que este comportamento usurpador exibido pelos colonizadores não é algo novo na história humana. Cada avanço tecnológico “[…] consistia essencialmente em </w:t>
      </w:r>
      <w:r>
        <w:rPr>
          <w:rFonts w:ascii="Times New Roman" w:hAnsi="Times New Roman" w:cs="Times New Roman"/>
          <w:i/>
          <w:sz w:val="24"/>
          <w:szCs w:val="24"/>
        </w:rPr>
        <w:t>redirecionar</w:t>
      </w:r>
      <w:r>
        <w:rPr>
          <w:rFonts w:ascii="Times New Roman" w:hAnsi="Times New Roman" w:cs="Times New Roman"/>
          <w:sz w:val="24"/>
          <w:szCs w:val="24"/>
        </w:rPr>
        <w:t xml:space="preserve"> alguma fração da capacidade de suporte à vida da Terra, de sustentar outras formas de vida para sustentar a nossa” (CATTON JR, 1982, p. 27, grifo no original). Toda a terra da qual o ser humano se apropria fica indisponível para outros animais e plantas selvagens. O autor parece implicar que a humanidade, em seu conjunto, vem colonizando todos os outros seres vivos.</w:t>
      </w:r>
    </w:p>
    <w:p>
      <w:pPr>
        <w:tabs>
          <w:tab w:val="center" w:pos="0"/>
        </w:tabs>
        <w:spacing w:line="360" w:lineRule="auto"/>
        <w:ind w:firstLine="737"/>
        <w:jc w:val="both"/>
      </w:pPr>
      <w:r>
        <w:rPr>
          <w:rFonts w:ascii="Times New Roman" w:hAnsi="Times New Roman" w:cs="Times New Roman"/>
          <w:sz w:val="24"/>
          <w:szCs w:val="24"/>
        </w:rPr>
        <w:t>A partir do século XIX, a humanidade conseguiu novamente contornar a capacidade de carga da Terra e manter-se crescendo, por meio de mais uma inovação tecnológica. O uso de combustíveis fósseis – primeiro carvão, depois petróleo – possibilitou um salto enorme de produtividade às sociedades humanas. Com a agricultura industrial moderna, foi possível aumentar a produção de alimentos; com o avanço dos transportes, foi possível distribui-los com mais celeridade. Tanto as possibilidades de aumento da população, quanto as de melhoria de qualidade de vida da população existente, foram ampliadas.</w:t>
      </w:r>
    </w:p>
    <w:p>
      <w:pPr>
        <w:tabs>
          <w:tab w:val="center" w:pos="0"/>
        </w:tabs>
        <w:spacing w:line="360" w:lineRule="auto"/>
        <w:ind w:firstLine="737"/>
        <w:jc w:val="both"/>
      </w:pPr>
      <w:r>
        <w:rPr>
          <w:rFonts w:ascii="Times New Roman" w:hAnsi="Times New Roman" w:cs="Times New Roman"/>
          <w:sz w:val="24"/>
          <w:szCs w:val="24"/>
        </w:rPr>
        <w:t>Esta revolução, no entanto, foi de uma natureza diferente das antecessoras. Todos os outros saltos demográficos basearam-se num alargamento mais ou menos permanente da capacidade de carga da Terra. Este último, por contraste, baseou-se na utilização de recursos não renováveis numa escala temporal humana. Portanto, qualquer crescimento populacional baseado na força dos combustíveis fósseis é, necessariamente, temporário. Assim que se findarem o carvão e o petróleo que movem as sociedades industriais, estas não mais perdurarão, perdendo a capacidade de sustentar os humanos que as habitam e seus modos de vida. Catton Jr argumenta que a maior parte da humanidade não está ciente deste fato, pois o mito da expansão sem limites enraizou-se em nossas culturas.</w:t>
      </w:r>
    </w:p>
    <w:p>
      <w:pPr>
        <w:tabs>
          <w:tab w:val="center" w:pos="0"/>
        </w:tabs>
        <w:spacing w:line="360" w:lineRule="auto"/>
        <w:ind w:firstLine="737"/>
        <w:jc w:val="both"/>
      </w:pPr>
      <w:r>
        <w:rPr>
          <w:rFonts w:ascii="Times New Roman" w:hAnsi="Times New Roman" w:cs="Times New Roman"/>
          <w:sz w:val="24"/>
          <w:szCs w:val="24"/>
        </w:rPr>
        <w:t xml:space="preserve">Catton Jr elenca o avanço da medicina como mais um fator de aumento populacional, pois o controle da morte deu ao ser humano uma vida mais longa. Tanto a utilização de combustíveis fósseis quanto o controle da morte fizeram com que a humanidade ultrapassasse a capacidade de carga que obteve sobre bases permanentes. Catton Jr faz uma distinção importante entre métodos para </w:t>
      </w:r>
      <w:r>
        <w:rPr>
          <w:rFonts w:ascii="Times New Roman" w:hAnsi="Times New Roman" w:cs="Times New Roman"/>
          <w:i/>
          <w:sz w:val="24"/>
          <w:szCs w:val="24"/>
        </w:rPr>
        <w:t>aumentar</w:t>
      </w:r>
      <w:r>
        <w:rPr>
          <w:rFonts w:ascii="Times New Roman" w:hAnsi="Times New Roman" w:cs="Times New Roman"/>
          <w:sz w:val="24"/>
          <w:szCs w:val="24"/>
        </w:rPr>
        <w:t xml:space="preserve"> a capacidade de carga do ambiente, e métodos para </w:t>
      </w:r>
      <w:r>
        <w:rPr>
          <w:rFonts w:ascii="Times New Roman" w:hAnsi="Times New Roman" w:cs="Times New Roman"/>
          <w:i/>
          <w:sz w:val="24"/>
          <w:szCs w:val="24"/>
        </w:rPr>
        <w:t>ultrapassar</w:t>
      </w:r>
      <w:r>
        <w:rPr>
          <w:rFonts w:ascii="Times New Roman" w:hAnsi="Times New Roman" w:cs="Times New Roman"/>
          <w:sz w:val="24"/>
          <w:szCs w:val="24"/>
        </w:rPr>
        <w:t xml:space="preserve"> temporariamente esta capacidade.</w:t>
      </w:r>
    </w:p>
    <w:p>
      <w:pPr>
        <w:tabs>
          <w:tab w:val="center" w:pos="0"/>
        </w:tabs>
        <w:spacing w:line="360" w:lineRule="auto"/>
        <w:ind w:firstLine="737"/>
        <w:jc w:val="both"/>
      </w:pPr>
      <w:r>
        <w:rPr>
          <w:rFonts w:ascii="Times New Roman" w:hAnsi="Times New Roman" w:cs="Times New Roman"/>
          <w:sz w:val="24"/>
          <w:szCs w:val="24"/>
        </w:rPr>
        <w:t xml:space="preserve">O avanço da tecnologia serviu, historicamente, para alargar os limites do planeta; numa sociedade industrial, o papel da tecnologia se reverte. Para Catton, é o desenvolvimento tecnológico que hoje nos coloca em estado de </w:t>
      </w:r>
      <w:r>
        <w:rPr>
          <w:rFonts w:ascii="Times New Roman" w:hAnsi="Times New Roman" w:cs="Times New Roman"/>
          <w:i/>
          <w:sz w:val="24"/>
          <w:szCs w:val="24"/>
        </w:rPr>
        <w:t>overshoot</w:t>
      </w:r>
      <w:r>
        <w:rPr>
          <w:rFonts w:ascii="Times New Roman" w:hAnsi="Times New Roman" w:cs="Times New Roman"/>
          <w:sz w:val="24"/>
          <w:szCs w:val="24"/>
        </w:rPr>
        <w:t xml:space="preserve">, ou ultrapassagem da capacidade de carga permanente da Terra. Apesar disso, é notável a fé que os discursos hegemônicos da sociedade depositam na tecnologia, apresentada como solução ao próprio estado de </w:t>
      </w:r>
      <w:r>
        <w:rPr>
          <w:rFonts w:ascii="Times New Roman" w:hAnsi="Times New Roman" w:cs="Times New Roman"/>
          <w:i/>
          <w:sz w:val="24"/>
          <w:szCs w:val="24"/>
        </w:rPr>
        <w:t>overshoot</w:t>
      </w:r>
      <w:r>
        <w:rPr>
          <w:rFonts w:ascii="Times New Roman" w:hAnsi="Times New Roman" w:cs="Times New Roman"/>
          <w:sz w:val="24"/>
          <w:szCs w:val="24"/>
        </w:rPr>
        <w:t>.</w:t>
      </w:r>
    </w:p>
    <w:p>
      <w:pPr>
        <w:spacing w:after="0" w:line="360" w:lineRule="auto"/>
        <w:ind w:firstLine="708"/>
        <w:jc w:val="both"/>
      </w:pPr>
      <w:r>
        <w:rPr>
          <w:rFonts w:ascii="Times New Roman" w:hAnsi="Times New Roman" w:cs="Times New Roman"/>
          <w:sz w:val="24"/>
          <w:szCs w:val="24"/>
        </w:rPr>
        <w:t xml:space="preserve">A sociedade industrial contemporânea depende da descoberta e extração constante dos insumos necessários para seu funcionamento – combustíveis, metais, minerais, etc. Catton Jr argumenta que, com isso, a humanidade retornou a uma fase caçadora-coletora desapercebidamente, novamente dependendo dos frutos de processos naturais sobre os quais não tem controle. Hoje, a sociedade industrial depende da constante </w:t>
      </w:r>
      <w:r>
        <w:rPr>
          <w:rFonts w:ascii="Times New Roman" w:hAnsi="Times New Roman" w:cs="Times New Roman"/>
          <w:i/>
          <w:sz w:val="24"/>
          <w:szCs w:val="24"/>
        </w:rPr>
        <w:t>descoberta</w:t>
      </w:r>
      <w:r>
        <w:rPr>
          <w:rFonts w:ascii="Times New Roman" w:hAnsi="Times New Roman" w:cs="Times New Roman"/>
          <w:sz w:val="24"/>
          <w:szCs w:val="24"/>
        </w:rPr>
        <w:t xml:space="preserve"> de novas fontes de insumos, refletindo o espírito expansionista das antigas missões colonizadoras. Para Catton Jr, a nova fase caçadora-coletora da humanidade tem tido “sucesso excessivo”, mascarando a insustentabilidade desta empreitada.</w:t>
      </w:r>
    </w:p>
    <w:p>
      <w:pPr>
        <w:spacing w:after="0" w:line="360" w:lineRule="auto"/>
        <w:ind w:firstLine="708"/>
        <w:jc w:val="both"/>
      </w:pPr>
      <w:r>
        <w:rPr>
          <w:rFonts w:ascii="Times New Roman" w:hAnsi="Times New Roman" w:cs="Times New Roman"/>
          <w:sz w:val="24"/>
          <w:szCs w:val="24"/>
        </w:rPr>
        <w:t>O autor tenta traçar uma trajetória histórica que explique como a humanidade veio a exceder a capacidade de carga da Terra. Ele afirma que, cada vez que a humanidade alcançou os limites físicos de seu meio, conseguiu desenvolver tecnologias que o permitissem ultrapassar estes limites. No entanto, a revolução tecnológica mais recente é diferente das demais, pois baseia-se no uso de recursos não-renováveis. Assim sendo, os resultados desta revolução não podem ser permanentes.</w:t>
      </w:r>
    </w:p>
    <w:p>
      <w:pPr>
        <w:spacing w:after="0" w:line="360" w:lineRule="auto"/>
        <w:ind w:firstLine="708"/>
        <w:jc w:val="both"/>
      </w:pPr>
      <w:r>
        <w:rPr>
          <w:rFonts w:ascii="Times New Roman" w:hAnsi="Times New Roman" w:cs="Times New Roman"/>
          <w:sz w:val="24"/>
          <w:szCs w:val="24"/>
        </w:rPr>
        <w:t>Após explorar a problemática ecológica em mais alto escopo, e delinear a trajetória humana de busca por crescimento, é pertinente adentrarmos propriamente na teoria do colapso de sociedades complexas. Em sua obra, o antropólogo Joseph Tainter resgata paradigmas anteriormente utilizados pela antropologia para compreender o colapso de sociedades. Fugindo de abordagens reducionistas e superadas na disciplina, Tainter busca traçar uma teoria unificada, mais totalizante, sobre o fenômeno.</w:t>
      </w:r>
    </w:p>
    <w:p>
      <w:pPr>
        <w:spacing w:line="360" w:lineRule="auto"/>
        <w:jc w:val="both"/>
      </w:pPr>
      <w:r>
        <w:rPr>
          <w:rFonts w:ascii="Times New Roman" w:hAnsi="Times New Roman" w:cs="Times New Roman"/>
          <w:sz w:val="24"/>
          <w:szCs w:val="24"/>
        </w:rPr>
        <w:tab/>
      </w:r>
      <w:r>
        <w:rPr>
          <w:rFonts w:ascii="Times New Roman" w:hAnsi="Times New Roman" w:cs="Times New Roman"/>
          <w:sz w:val="24"/>
          <w:szCs w:val="24"/>
        </w:rPr>
        <w:t>Para Tainter (1988), toda sociedade humana pode ser compreendida como um binômio entre fluxos de energia e estrutura sociopolítica. Toda a atividade humana precisa de fontes de energia que a abasteça. Os fluxos de energia – de onde ela vem e para que fim é utilizada – são determinados por instituições sociopolíticas. Por outro lado, estas mesmas instituições só conseguem se manter com bases energéticas suficientes. Quanto maiores forem os fluxos de energia, mais complexas precisarão ser as estruturas sociopolíticas que os controlam; quanto mais complexas forem estas estruturas, de mais energia elas necessitarão. Desta forma, um elemento não existe sem o outro dentro de uma sociedade complexa, e mudanças em um lado desta equação sempre impactam no outro.</w:t>
      </w:r>
    </w:p>
    <w:p>
      <w:pPr>
        <w:spacing w:line="360" w:lineRule="auto"/>
        <w:jc w:val="both"/>
      </w:pPr>
      <w:r>
        <w:rPr>
          <w:rFonts w:ascii="Times New Roman" w:hAnsi="Times New Roman" w:cs="Times New Roman"/>
          <w:sz w:val="24"/>
          <w:szCs w:val="24"/>
        </w:rPr>
        <w:tab/>
      </w:r>
      <w:r>
        <w:rPr>
          <w:rFonts w:ascii="Times New Roman" w:hAnsi="Times New Roman" w:cs="Times New Roman"/>
          <w:sz w:val="24"/>
          <w:szCs w:val="24"/>
        </w:rPr>
        <w:t>Por consequência, quanto maior a complexidade de uma sociedade como um todo, mais trabalho cada indivíduo terá para mantê-la. Tainter afirma que mudanças no nível de complexidade devem vir acompanhadas de uma análise de custo-benefício. Caso contrário, os cidadãos de uma sociedade podem se ver sustentando estruturas sociais onerosas, sem que haja retorno correspondente aos seus esforços. Tainter argumenta que “rendimentos decrescentes […] são um aspecto recorrente da evolução sociopolítica, e do investimento em complexidade” (1988, p. 92). Esta é a peça-chave para a teoria totalizante de Tainter que busca explicar o colapso de sociedades complexas.</w:t>
      </w:r>
    </w:p>
    <w:p>
      <w:pPr>
        <w:spacing w:line="360" w:lineRule="auto"/>
        <w:jc w:val="both"/>
      </w:pPr>
      <w:r>
        <w:rPr>
          <w:rFonts w:ascii="Times New Roman" w:hAnsi="Times New Roman" w:cs="Times New Roman"/>
          <w:sz w:val="24"/>
          <w:szCs w:val="24"/>
        </w:rPr>
        <w:tab/>
      </w:r>
      <w:r>
        <w:rPr>
          <w:rFonts w:ascii="Times New Roman" w:hAnsi="Times New Roman" w:cs="Times New Roman"/>
          <w:sz w:val="24"/>
          <w:szCs w:val="24"/>
        </w:rPr>
        <w:t>Em resumo, Tainter (1988, p. 93) elenca quatro premissas que se entrelaçam para explicar o colapso de sociedades complexas:</w:t>
      </w:r>
    </w:p>
    <w:p>
      <w:pPr>
        <w:spacing w:line="240" w:lineRule="auto"/>
        <w:ind w:left="2268"/>
        <w:jc w:val="both"/>
      </w:pPr>
      <w:r>
        <w:rPr>
          <w:rFonts w:ascii="Times New Roman" w:hAnsi="Times New Roman" w:cs="Times New Roman"/>
          <w:sz w:val="24"/>
          <w:szCs w:val="24"/>
        </w:rPr>
        <w:t>1. sociedades humanas são organizações solucionadoras de problemas;</w:t>
      </w:r>
    </w:p>
    <w:p>
      <w:pPr>
        <w:spacing w:line="240" w:lineRule="auto"/>
        <w:ind w:left="2268"/>
        <w:jc w:val="both"/>
      </w:pPr>
      <w:r>
        <w:rPr>
          <w:rFonts w:ascii="Times New Roman" w:hAnsi="Times New Roman" w:cs="Times New Roman"/>
          <w:sz w:val="24"/>
          <w:szCs w:val="24"/>
        </w:rPr>
        <w:t>2. sistemas sociopolíticos requerem energia para sua manutenção;</w:t>
      </w:r>
    </w:p>
    <w:p>
      <w:pPr>
        <w:spacing w:line="240" w:lineRule="auto"/>
        <w:ind w:left="2268"/>
        <w:jc w:val="both"/>
      </w:pPr>
      <w:r>
        <w:rPr>
          <w:rFonts w:ascii="Times New Roman" w:hAnsi="Times New Roman" w:cs="Times New Roman"/>
          <w:sz w:val="24"/>
          <w:szCs w:val="24"/>
        </w:rPr>
        <w:t>3. aumento de complexidade traz consigo um aumento de custos per capita; e</w:t>
      </w:r>
    </w:p>
    <w:p>
      <w:pPr>
        <w:spacing w:line="240" w:lineRule="auto"/>
        <w:ind w:left="2268"/>
        <w:jc w:val="both"/>
      </w:pPr>
      <w:r>
        <w:rPr>
          <w:rFonts w:ascii="Times New Roman" w:hAnsi="Times New Roman" w:cs="Times New Roman"/>
          <w:sz w:val="24"/>
          <w:szCs w:val="24"/>
        </w:rPr>
        <w:t>4. investimento em complexidade sociopolítica, como resposta visando a resolução de problemas, frequentemente chega a um ponto de retornos marginais decrescentes.</w:t>
      </w:r>
    </w:p>
    <w:p>
      <w:pPr>
        <w:spacing w:line="360" w:lineRule="auto"/>
        <w:jc w:val="both"/>
        <w:rPr>
          <w:rFonts w:ascii="Times New Roman" w:hAnsi="Times New Roman" w:cs="Times New Roman"/>
          <w:sz w:val="24"/>
          <w:szCs w:val="24"/>
        </w:rPr>
      </w:pPr>
    </w:p>
    <w:p>
      <w:pPr>
        <w:spacing w:line="360" w:lineRule="auto"/>
        <w:jc w:val="both"/>
      </w:pPr>
      <w:r>
        <w:rPr>
          <w:rFonts w:ascii="Times New Roman" w:hAnsi="Times New Roman" w:cs="Times New Roman"/>
          <w:sz w:val="24"/>
          <w:szCs w:val="24"/>
        </w:rPr>
        <w:tab/>
      </w:r>
      <w:r>
        <w:rPr>
          <w:rFonts w:ascii="Times New Roman" w:hAnsi="Times New Roman" w:cs="Times New Roman"/>
          <w:sz w:val="24"/>
          <w:szCs w:val="24"/>
        </w:rPr>
        <w:t>O autor examinará, separadamente, a evolução histórica de várias áreas distintas do que se chama, em sua obra, de “complexidade”. Para isso, traz dados estatísticos que dizem respeito a vários países. Como exemplo, serão citadas as áreas de agricultura e extração de recursos, processamento de informação, controle sociopolítico e especialização, e produtividade econômica.</w:t>
      </w:r>
    </w:p>
    <w:p>
      <w:pPr>
        <w:spacing w:line="360" w:lineRule="auto"/>
        <w:jc w:val="both"/>
      </w:pPr>
      <w:r>
        <w:rPr>
          <w:rFonts w:ascii="Times New Roman" w:hAnsi="Times New Roman" w:cs="Times New Roman"/>
          <w:sz w:val="24"/>
          <w:szCs w:val="24"/>
        </w:rPr>
        <w:tab/>
      </w:r>
      <w:r>
        <w:rPr>
          <w:rFonts w:ascii="Times New Roman" w:hAnsi="Times New Roman" w:cs="Times New Roman"/>
          <w:sz w:val="24"/>
          <w:szCs w:val="24"/>
        </w:rPr>
        <w:t>A tese do autor é de que, em economias de subsistência, o retorno marginal da agricultura diminui na medida em que aumenta a mão de obra empregada. A razão para isso seria a necessidade de preparação da terra, adubagem, irrigação, e outras tarefas que não fossem plantio e colheita. A extração de recursos naturais em geral teria seguido a mesma tendência. Como exemplo, Tainter cita a predominância do uso de carvão na Grã-Bretanha quando a madeira não era mais suficiente. Para o mesmo resultado energético, o carvão era mais difícil de extrair e distribuir. De maneira geral, populações humanas tendem a utilizar os recursos de mais fácil localização, extração e uso. Na medida em que estes acabam, é necessário despender mais tempo, trabalho e recursos para obter retornos similares.</w:t>
      </w:r>
    </w:p>
    <w:p>
      <w:pPr>
        <w:spacing w:line="360" w:lineRule="auto"/>
        <w:jc w:val="both"/>
      </w:pPr>
      <w:r>
        <w:rPr>
          <w:rFonts w:ascii="Times New Roman" w:hAnsi="Times New Roman" w:cs="Times New Roman"/>
          <w:sz w:val="24"/>
          <w:szCs w:val="24"/>
        </w:rPr>
        <w:tab/>
      </w:r>
      <w:r>
        <w:rPr>
          <w:rFonts w:ascii="Times New Roman" w:hAnsi="Times New Roman" w:cs="Times New Roman"/>
          <w:sz w:val="24"/>
          <w:szCs w:val="24"/>
        </w:rPr>
        <w:t>Quanto mais um grupo social cresce, mais aumenta a necessidade de processamento de informação. A qualidade de processamento inevitavelmente deteriora em grandes grupos. Para resolver este problema, fazem-se necessárias hierarquias de processamento de informações, o que encarece o processo para garantir o mesmo resultado. Tainter também traz dados relativos a registros de patentes e invenções por pesquisador, que vêm diminuindo desde o pós-guerra. Isto significa que há mais investimento em pesquisa e desenvolvimento, mais pesquisadores ativos, porém com menos resultados. Esta tendência se manifestaria em todo o mundo.</w:t>
      </w:r>
    </w:p>
    <w:p>
      <w:pPr>
        <w:spacing w:line="360" w:lineRule="auto"/>
        <w:jc w:val="both"/>
      </w:pPr>
      <w:r>
        <w:rPr>
          <w:rFonts w:ascii="Times New Roman" w:hAnsi="Times New Roman" w:cs="Times New Roman"/>
          <w:sz w:val="24"/>
          <w:szCs w:val="24"/>
        </w:rPr>
        <w:tab/>
      </w:r>
      <w:r>
        <w:rPr>
          <w:rFonts w:ascii="Times New Roman" w:hAnsi="Times New Roman" w:cs="Times New Roman"/>
          <w:sz w:val="24"/>
          <w:szCs w:val="24"/>
        </w:rPr>
        <w:t>Tainter argumenta que os trabalhos fundadores de cada disciplina científica têm um custo-benefício muito maior do que trabalhos modernos e derivativos. Por exemplo, a invenção da roda foi algo muito mais simples, barato e influente na história humana do que a viagem do homem à lua. Isto acontece porque, de maneira geral, a ciência começou com pesquisas simples, de baixo custo. Para cada pergunta de pesquisa respondida, apresentava-se outra, mais complexa.</w:t>
      </w:r>
    </w:p>
    <w:p>
      <w:pPr>
        <w:spacing w:line="360" w:lineRule="auto"/>
        <w:jc w:val="both"/>
      </w:pPr>
      <w:r>
        <w:rPr>
          <w:rFonts w:ascii="Times New Roman" w:hAnsi="Times New Roman" w:cs="Times New Roman"/>
          <w:sz w:val="24"/>
          <w:szCs w:val="24"/>
        </w:rPr>
        <w:tab/>
      </w:r>
      <w:r>
        <w:rPr>
          <w:rFonts w:ascii="Times New Roman" w:hAnsi="Times New Roman" w:cs="Times New Roman"/>
          <w:sz w:val="24"/>
          <w:szCs w:val="24"/>
        </w:rPr>
        <w:t xml:space="preserve">Na contemporaneidade, ainda que haja investimentos muito maiores na atividade científica, as perguntas de pesquisa são muito mais difíceis de responder do que costumavam ser. Como nota Tainter, “não é provável que a ciência ainda possa avançar ao se empinar uma pipa numa tempestade ou ao se olhar por um microscópio caseiro” (1988, p. 114). Portanto, “crescimento </w:t>
      </w:r>
      <w:r>
        <w:rPr>
          <w:rFonts w:ascii="Times New Roman" w:hAnsi="Times New Roman" w:cs="Times New Roman"/>
          <w:i/>
          <w:sz w:val="24"/>
          <w:szCs w:val="24"/>
        </w:rPr>
        <w:t>exponencial</w:t>
      </w:r>
      <w:r>
        <w:rPr>
          <w:rFonts w:ascii="Times New Roman" w:hAnsi="Times New Roman" w:cs="Times New Roman"/>
          <w:sz w:val="24"/>
          <w:szCs w:val="24"/>
        </w:rPr>
        <w:t xml:space="preserve"> da complexidade e custo da ciência, na verdade, é necessário simplesmente para manter um ritmo </w:t>
      </w:r>
      <w:r>
        <w:rPr>
          <w:rFonts w:ascii="Times New Roman" w:hAnsi="Times New Roman" w:cs="Times New Roman"/>
          <w:i/>
          <w:sz w:val="24"/>
          <w:szCs w:val="24"/>
        </w:rPr>
        <w:t>constante</w:t>
      </w:r>
      <w:r>
        <w:rPr>
          <w:rFonts w:ascii="Times New Roman" w:hAnsi="Times New Roman" w:cs="Times New Roman"/>
          <w:sz w:val="24"/>
          <w:szCs w:val="24"/>
        </w:rPr>
        <w:t xml:space="preserve"> de progresso” (1988, p. 114, grifo no original).</w:t>
      </w:r>
    </w:p>
    <w:p>
      <w:pPr>
        <w:spacing w:line="360" w:lineRule="auto"/>
        <w:jc w:val="both"/>
      </w:pPr>
      <w:r>
        <w:rPr>
          <w:rFonts w:ascii="Times New Roman" w:hAnsi="Times New Roman" w:cs="Times New Roman"/>
          <w:sz w:val="24"/>
          <w:szCs w:val="24"/>
        </w:rPr>
        <w:tab/>
      </w:r>
      <w:r>
        <w:rPr>
          <w:rFonts w:ascii="Times New Roman" w:hAnsi="Times New Roman" w:cs="Times New Roman"/>
          <w:sz w:val="24"/>
          <w:szCs w:val="24"/>
        </w:rPr>
        <w:t>Similarmente, Tainter argumenta que o retorno marginal dos investimentos em educação tem caído. Uma sociedade complexa necessita de cada vez mais trabalhadores escolarizados, e em níveis cada vez mais avançados. Cada nível de escolarização confere um aumento menor de produtividade ao trabalhador do que o nível anterior. No entanto, o custo da educação superior é maior do que o custo do ensino básico. Segundo Tainter, o “treinamento cada vez mais especializado serve segmentos cada vez mais limitados do sistema, a um custo cada vez maior à sociedade como um todo” (1988, p. 104).</w:t>
      </w:r>
    </w:p>
    <w:p>
      <w:pPr>
        <w:spacing w:line="360" w:lineRule="auto"/>
        <w:jc w:val="both"/>
      </w:pPr>
      <w:r>
        <w:rPr>
          <w:rFonts w:ascii="Times New Roman" w:hAnsi="Times New Roman" w:cs="Times New Roman"/>
          <w:sz w:val="24"/>
          <w:szCs w:val="24"/>
        </w:rPr>
        <w:tab/>
      </w:r>
      <w:r>
        <w:rPr>
          <w:rFonts w:ascii="Times New Roman" w:hAnsi="Times New Roman" w:cs="Times New Roman"/>
          <w:sz w:val="24"/>
          <w:szCs w:val="24"/>
        </w:rPr>
        <w:t>Estruturas políticas também estariam sujeitas a retornos marginais decrescentes com o aumento de investimentos. Tainter cita pesquisas que sugerem que, tanto no setor público da economia quanto no privado, existe tendência à consolidação de burocracias onerosas e pouco produtivas nas cadeias de comando. Com o aumento de complexidade, mais recursos são gastos para a simples manutenção do mesmo nível de controle. Tainter exemplifica com gastos militares que, quando servem apenas para acompanhar os avanços militares de outras nações, aumentam de preço sem um aumento proporcional de poder bélico. Segundo o autor, complexidade tende a ser cumulativa nas sociedades, raramente diminuindo por conta própria.</w:t>
      </w:r>
    </w:p>
    <w:p>
      <w:pPr>
        <w:spacing w:line="360" w:lineRule="auto"/>
        <w:jc w:val="both"/>
      </w:pPr>
      <w:r>
        <w:rPr>
          <w:rFonts w:ascii="Times New Roman" w:hAnsi="Times New Roman" w:cs="Times New Roman"/>
          <w:sz w:val="24"/>
          <w:szCs w:val="24"/>
        </w:rPr>
        <w:tab/>
      </w:r>
      <w:r>
        <w:rPr>
          <w:rFonts w:ascii="Times New Roman" w:hAnsi="Times New Roman" w:cs="Times New Roman"/>
          <w:sz w:val="24"/>
          <w:szCs w:val="24"/>
        </w:rPr>
        <w:t>Quanto maior é a economia de uma nação, menor tende a ser sua taxa de crescimento. O autor afirma que os maiores ritmos de crescimento econômico estão em países de PIB médio e/ou com o desenvolvimento tardio de suas forças produtivas. Economias grandes tendem a gerar sociedades de maior complexidade, que por sua vez precisam de mais recursos para sua manutenção. Por este motivo, sobrariam menos recursos para expansão da economia. Da mesma forma, os fatores causadores de crescimento econômico (como educação e tecnologia) estão também condicionados à lei de retornos decrescentes.</w:t>
      </w:r>
    </w:p>
    <w:p>
      <w:pPr>
        <w:spacing w:line="360" w:lineRule="auto"/>
        <w:jc w:val="both"/>
      </w:pPr>
      <w:r>
        <w:rPr>
          <w:rFonts w:ascii="Times New Roman" w:hAnsi="Times New Roman" w:cs="Times New Roman"/>
          <w:sz w:val="24"/>
          <w:szCs w:val="24"/>
        </w:rPr>
        <w:tab/>
      </w:r>
      <w:r>
        <w:rPr>
          <w:rFonts w:ascii="Times New Roman" w:hAnsi="Times New Roman" w:cs="Times New Roman"/>
          <w:sz w:val="24"/>
          <w:szCs w:val="24"/>
        </w:rPr>
        <w:t>Sociedades crescem enquanto sistemas – em outras palavras, quando uma parte do sistema cresce, ela faz outras partes crescerem. Isto significa que o aumento de complexidade se retroalimenta, conforme a visão de Tainter. Por este motivo, é possível entrar numa situação de retornos decrescentes, pois a complexidade da sociedade se mantém crescendo mesmo quando seus resultados não compensam. Para Tainter (1988, p. 120), “em algum ponto na evolução [sociocultural] de uma sociedade, o investimento continuado em complexidade como estratégia de resolução de problemas traz retornos marginais decrescentes”.</w:t>
      </w:r>
    </w:p>
    <w:p>
      <w:pPr>
        <w:spacing w:line="360" w:lineRule="auto"/>
        <w:jc w:val="both"/>
      </w:pPr>
      <w:r>
        <w:rPr>
          <w:rFonts w:ascii="Times New Roman" w:hAnsi="Times New Roman" w:cs="Times New Roman"/>
          <w:sz w:val="24"/>
          <w:szCs w:val="24"/>
        </w:rPr>
        <w:tab/>
      </w:r>
      <w:r>
        <w:rPr>
          <w:rFonts w:ascii="Times New Roman" w:hAnsi="Times New Roman" w:cs="Times New Roman"/>
          <w:sz w:val="24"/>
          <w:szCs w:val="24"/>
        </w:rPr>
        <w:t>Nestas circunstâncias, há dois cenários nos quais é possível que a sociedade colapse. Em ambos os casos, “a organização sociopolítica é reduzida a um nível que possa ser sustentado com recursos locais” (TAINTER, 1988, p. 122). Uma delas é a emergência de um fator estressor de grandes dimensões, como desastres socioambientais ou guerras. Tainter explica que sociedades, usualmente, utilizam reservas de recursos para lidarem com crises. No entanto, quanto mais complexa for uma sociedade, menos recursos são reservados para emergências, pois precisam ser todos usados imediatamente para a manutenção do sistema. Ainda que uma sociedade altamente complexa consiga lidar com o fator estressor sem reservas, ela o faz às custas da integridade do próprio sistema. Uma crise aguda, que atinja uma sociedade já enfraquecida por crises anteriores, pode levá-la ao colapso.</w:t>
      </w:r>
    </w:p>
    <w:p>
      <w:pPr>
        <w:spacing w:line="360" w:lineRule="auto"/>
        <w:jc w:val="both"/>
      </w:pPr>
      <w:r>
        <w:rPr>
          <w:rFonts w:ascii="Times New Roman" w:hAnsi="Times New Roman" w:cs="Times New Roman"/>
          <w:sz w:val="24"/>
          <w:szCs w:val="24"/>
        </w:rPr>
        <w:tab/>
      </w:r>
      <w:r>
        <w:rPr>
          <w:rFonts w:ascii="Times New Roman" w:hAnsi="Times New Roman" w:cs="Times New Roman"/>
          <w:sz w:val="24"/>
          <w:szCs w:val="24"/>
        </w:rPr>
        <w:t>Outro cenário de colapso, segundo Tainter, é a desintegração do sistema societário. Quando o aumento de complexidade passa a ser muito oneroso e trazer poucos benefícios, partes do sistema podem decidir que é mais vantajoso romper suas conexões e seguir um caminho independente. Com isso, a administração central da sociedade perde controle sobre seções cada vez maiores dela. As partes fraturadas constituem seus próprios sistemas, com complexidade menor do que o original.</w:t>
      </w:r>
    </w:p>
    <w:p>
      <w:pPr>
        <w:spacing w:after="0" w:line="360" w:lineRule="auto"/>
        <w:ind w:firstLine="708"/>
        <w:jc w:val="both"/>
      </w:pPr>
      <w:r>
        <w:rPr>
          <w:rFonts w:ascii="Times New Roman" w:hAnsi="Times New Roman" w:cs="Times New Roman"/>
          <w:sz w:val="24"/>
          <w:szCs w:val="24"/>
        </w:rPr>
        <w:t>Tainter mostra como sociedades antigas adiaram o seu colapso por meio da incorporação de novas fontes de recursos. Na prática, isso significou a existência de impérios que expandiam, conquistavam seus vizinhos e saqueavam seus recursos. Com os espólios das conquistas, os impérios conseguiam expandir e aumentar de complexidade. Logo, porém, precisavam de novas fontes de recursos para sustentar seu nível de complexidade, gerando assim um ciclo. Quando não existem possibilidades de expansão, argumenta Tainter, as sociedades tentam aumentar sua produtividade por meios tecnológicos. De qualquer forma, novas tecnologias também geram a necessidade de novas fontes energéticas.</w:t>
      </w:r>
    </w:p>
    <w:p>
      <w:pPr>
        <w:spacing w:line="360" w:lineRule="auto"/>
        <w:jc w:val="both"/>
      </w:pPr>
      <w:r>
        <w:rPr>
          <w:rFonts w:ascii="Times New Roman" w:hAnsi="Times New Roman"/>
          <w:sz w:val="24"/>
          <w:szCs w:val="24"/>
        </w:rPr>
        <w:tab/>
      </w:r>
      <w:r>
        <w:rPr>
          <w:rFonts w:ascii="Times New Roman" w:hAnsi="Times New Roman"/>
          <w:sz w:val="24"/>
          <w:szCs w:val="24"/>
        </w:rPr>
        <w:t>Em resumo, o autor argumenta que sociedades aumentam de complexidade para resolver problemas. No entanto, cada aumento de complexidade traz seus próprios problemas, o que exige um novo aumento de complexidade para saná-los, num ciclo que se retroalimenta. Quanto mais complexa é uma sociedade, mais trabalho e recursos seriam necessários para aumentar o nível de complexidade. Após determinado patamar, os benefícios obtidos com o aumento de complexidade são menores do que os recursos utilizados para alcançá-los. Tainter cita a lei dos rendimentos decrescentes, da disciplina da economia, para explicar como uma sociedade complexa precisa efetuar cada vez mais trabalho para obter o mesmo resultado do passado. Quando o aumento de complexidade começa a não compensar mais, segundo Tainter, a sociedade corre risco de entrar em colapso.</w:t>
      </w:r>
    </w:p>
    <w:p>
      <w:pPr>
        <w:spacing w:after="0" w:line="240" w:lineRule="auto"/>
        <w:jc w:val="both"/>
        <w:rPr>
          <w:rFonts w:ascii="Times New Roman" w:hAnsi="Times New Roman" w:cs="Times New Roman"/>
          <w:sz w:val="24"/>
          <w:szCs w:val="24"/>
        </w:rPr>
      </w:pPr>
    </w:p>
    <w:p>
      <w:pPr>
        <w:spacing w:after="0" w:line="240" w:lineRule="auto"/>
        <w:jc w:val="both"/>
      </w:pPr>
      <w:r>
        <w:rPr>
          <w:rFonts w:ascii="Times New Roman" w:hAnsi="Times New Roman" w:cs="Times New Roman"/>
          <w:b/>
          <w:bCs/>
          <w:sz w:val="24"/>
          <w:szCs w:val="24"/>
        </w:rPr>
        <w:t xml:space="preserve">4 RESULTADOS E DISCUSSÕES </w:t>
      </w:r>
    </w:p>
    <w:p>
      <w:pPr>
        <w:spacing w:after="0" w:line="240" w:lineRule="auto"/>
        <w:ind w:firstLine="708"/>
        <w:jc w:val="both"/>
        <w:rPr>
          <w:rFonts w:ascii="Times New Roman" w:hAnsi="Times New Roman" w:cs="Times New Roman"/>
          <w:sz w:val="24"/>
          <w:szCs w:val="24"/>
        </w:rPr>
      </w:pPr>
    </w:p>
    <w:p>
      <w:pPr>
        <w:spacing w:after="0" w:line="360" w:lineRule="auto"/>
        <w:ind w:firstLine="708"/>
        <w:jc w:val="both"/>
      </w:pPr>
      <w:r>
        <w:rPr>
          <w:rFonts w:ascii="Times New Roman" w:hAnsi="Times New Roman"/>
          <w:sz w:val="24"/>
          <w:szCs w:val="24"/>
        </w:rPr>
        <w:t xml:space="preserve">Com base em Catton Jr, vemos que a história da humanidade consiste em uma marcha inexorável ao crescimento – demográfico, geográfico, tecnológico, e de outros tipos. Este crescimento coloniza o resto do mundo natural, que passa a servir aos propósitos dos humanos. A ação humana testa os limites do mundo natural. Rees chega a sugerir que esta tendência é inerente ao ser humano; certamente uma afirmação controversa, como qualquer uma que pretenda tecer generalizações acerca da natureza humana. De qualquer forma, o autor confirma e elucida a tendência histórica que, de fato, se observou na espécie humana. Os processos de unificação da humanidade, descritos por Harari, também vão ao encontro do que é dito pelos autores supracitados. Resta inconteste que a humanidade sempre buscou </w:t>
      </w:r>
      <w:r>
        <w:rPr>
          <w:rFonts w:ascii="Times New Roman" w:hAnsi="Times New Roman"/>
          <w:i/>
          <w:iCs/>
          <w:sz w:val="24"/>
          <w:szCs w:val="24"/>
        </w:rPr>
        <w:t>crescer</w:t>
      </w:r>
      <w:r>
        <w:rPr>
          <w:rFonts w:ascii="Times New Roman" w:hAnsi="Times New Roman"/>
          <w:sz w:val="24"/>
          <w:szCs w:val="24"/>
        </w:rPr>
        <w:t>, em todos os sentidos.</w:t>
      </w:r>
    </w:p>
    <w:p>
      <w:pPr>
        <w:spacing w:after="0" w:line="360" w:lineRule="auto"/>
        <w:ind w:firstLine="708"/>
        <w:jc w:val="both"/>
      </w:pPr>
      <w:r>
        <w:rPr>
          <w:rFonts w:ascii="Times New Roman" w:hAnsi="Times New Roman"/>
          <w:sz w:val="24"/>
          <w:szCs w:val="24"/>
        </w:rPr>
        <w:t>Quanto maiores forem as sociedades humanas, e quanto mais elas adentrarem em territórios antes intocados, maiores são as chances de zoonoses ocasionarem pandemias. Por mera questão probabilística, considerando um número maior de interações entre seres humanos e animais silvestres, há mais chance da deflagração de pandemias como a de coronavírus. As sociedades humanas, agora em nova fase caçadora-coletora, tenderão a continuar crescendo em complexidade e buscando expansão. Portanto, supomos que crises como a do coronavírus acontecerão novamente, e com frequência progressivamente maior.</w:t>
      </w:r>
    </w:p>
    <w:p>
      <w:pPr>
        <w:spacing w:after="0" w:line="360" w:lineRule="auto"/>
        <w:ind w:firstLine="708"/>
        <w:jc w:val="both"/>
      </w:pPr>
      <w:r>
        <w:rPr>
          <w:rFonts w:ascii="Times New Roman" w:hAnsi="Times New Roman"/>
          <w:sz w:val="24"/>
          <w:szCs w:val="24"/>
        </w:rPr>
        <w:t>Fundando-se numa análise marxista da realidade, podemos traçar paralelos entre a previsão de crises pandêmicas recorrentes e do conceito de crises cíclicas do capital. Marx, de alguma forma, já previa que o sistema capitalista passaria por crises inerentes às contradições internas do próprio sistema. Com base no estudo do colapso das sociedades complexas, podemos concluir que estas crises não são apenas econômicas. Se a sociedade é um sistema dinâmico complexo, o colapso de um subsistema afetará outros, necessariamente. Por isso, é importante frisar que as crises futuras do sistema capitalista afetarão a população em várias frentes, simultaneamente. Rees afirma que a economia não pode ser desacoplada do mundo natural e dos fluxos de energia da sociedade. A conclusão lógica desta premissa é a de que nenhuma crise econômica é apenas econômica, e por outro lado, nenhuma crise ecológica é apenas ecológica.</w:t>
      </w:r>
    </w:p>
    <w:p>
      <w:pPr>
        <w:spacing w:after="0" w:line="360" w:lineRule="auto"/>
        <w:ind w:firstLine="708"/>
        <w:jc w:val="both"/>
      </w:pPr>
      <w:r>
        <w:rPr>
          <w:rFonts w:ascii="Times New Roman" w:hAnsi="Times New Roman"/>
          <w:sz w:val="24"/>
          <w:szCs w:val="24"/>
        </w:rPr>
        <w:t>Argumentamos, ainda, que a permanência do mito de crescimento infinito prejudica, primariamente, a classe trabalhadora. Ao maximizar as frentes de expansão da fronteira do capitalismo, além de continentes e poços de petróleo, são explorados também os trabalhadores. A naturalização do crescimento torna possível que cidadãos sejam expostos a riscos sanitários para sustentá-lo, como visto na pandemia. A intenção de crescer a qualquer custo, como disse Rees, é defendida por instituições de grande poder na sociedade. Isto pôde ser observado no próprio discurso institucional do governo federal, que muito fez para minimizar a importância da crise sanitária e voltar a atenção da população à economia. A “era da exuberância” da humanidade também é alimentada por vidas humanas.</w:t>
      </w:r>
    </w:p>
    <w:p>
      <w:pPr>
        <w:spacing w:after="0" w:line="360" w:lineRule="auto"/>
        <w:ind w:firstLine="708"/>
        <w:jc w:val="both"/>
      </w:pPr>
      <w:r>
        <w:rPr>
          <w:rFonts w:ascii="Times New Roman" w:hAnsi="Times New Roman" w:cs="Times New Roman"/>
          <w:sz w:val="24"/>
          <w:szCs w:val="24"/>
        </w:rPr>
        <w:t>A pandemia de coronavírus é o que Tainter (1988) chamaria de “fator estressor”. Nossas sociedades se viram diante do desafio de manter seus níveis de complexidade, enquanto lidavam com uma ameaça existencial considerável. Tainter menciona que uma sociedade deve lidar com tais fatores estressores com reservas de recursos e energia; caso não as tenha, o sistema lida com a ameaça às custas de sua própria integridade. Sugerimos que o Brasil se enquadra no segundo cenário.</w:t>
      </w:r>
    </w:p>
    <w:p>
      <w:pPr>
        <w:spacing w:after="0" w:line="360" w:lineRule="auto"/>
        <w:ind w:firstLine="708"/>
        <w:jc w:val="both"/>
      </w:pPr>
      <w:r>
        <w:rPr>
          <w:rFonts w:ascii="Times New Roman" w:hAnsi="Times New Roman" w:cs="Times New Roman"/>
          <w:sz w:val="24"/>
          <w:szCs w:val="24"/>
        </w:rPr>
        <w:t>Compreende-se, numa perspectiva marxista, que a complexidade de uma sociedade capitalista é construída no intuito de viabilizar o processo de acumulação de capital. Durante a pandemia, as elites políticas e econômicas buscaram preservar estas estruturas, continuando a acumulação de capital, mesmo em meio à crise sanitária. O governo federal buscou protelar ao máximo possível medidas de enfrentamento à pandemia. No discurso institucional, observou-se urgência na promoção da retomada das atividades econômicas, contida numa falsa dicotomia entre saúde e economia. O Auxílio Emergencial, em que pese sua necessidade e importância, teve percalços em sua execução que dificultaram que a população o acessasse.</w:t>
      </w:r>
    </w:p>
    <w:p>
      <w:pPr>
        <w:spacing w:after="0" w:line="360" w:lineRule="auto"/>
        <w:ind w:firstLine="708"/>
        <w:jc w:val="both"/>
      </w:pPr>
      <w:r>
        <w:rPr>
          <w:rFonts w:ascii="Times New Roman" w:hAnsi="Times New Roman" w:cs="Times New Roman"/>
          <w:sz w:val="24"/>
          <w:szCs w:val="24"/>
        </w:rPr>
        <w:t>O Brasil é um país imensamente desigual, onde 90% da população ganha menos de três salários-mínimos. O trabalhador comum, geralmente, não teve reservas financeiras para se manter sem trabalhar durante a pandemia. Logo, ou ficaram em acentuada situação de vulnerabilidade socioeconômica, ou tiveram de voltar ao trabalho e se expor aos riscos sanitários.</w:t>
      </w:r>
    </w:p>
    <w:p>
      <w:pPr>
        <w:spacing w:after="0" w:line="360" w:lineRule="auto"/>
        <w:ind w:firstLine="708"/>
        <w:jc w:val="both"/>
      </w:pPr>
      <w:r>
        <w:rPr>
          <w:rFonts w:ascii="Times New Roman" w:hAnsi="Times New Roman" w:cs="Times New Roman"/>
          <w:sz w:val="24"/>
          <w:szCs w:val="24"/>
        </w:rPr>
        <w:t>Em outras palavras, uma parte do sistema societário – os trabalhadores e suas necessidades – foi sacrificada, em prol da manutenção da estrutura de acumulação de capital. Assim, este processo pôde evitar a redução de sua complexidade, mesmo frente a uma crise pandêmica. Pode-se observar que, se for absolutamente necessário que haja redução de complexidade em uma sociedade, esta redução não ocorrerá de forma igualitária.</w:t>
      </w:r>
    </w:p>
    <w:p>
      <w:pPr>
        <w:spacing w:after="0" w:line="360" w:lineRule="auto"/>
        <w:ind w:firstLine="708"/>
        <w:jc w:val="both"/>
      </w:pPr>
      <w:r>
        <w:rPr>
          <w:rFonts w:ascii="Times New Roman" w:hAnsi="Times New Roman" w:cs="Times New Roman"/>
          <w:sz w:val="24"/>
          <w:szCs w:val="24"/>
        </w:rPr>
        <w:t>Ainda, o ônus dos retornos decrescentes foi empurrado aos trabalhadores. Estes tiveram que vivenciar mais vulnerabilidades – as que já existiam, somadas às criadas e exacerbadas pela pandemia – para conseguir o mesmo resultado, o sustento de suas famílias. O investimento na manutenção da estrutura capitalista pode agora ser contabilizado num número expressivo de mortes de trabalhadores. Argumentamos que este é um custo excessivo e desproporcional aos retornos do investimento, que afinal não são desfrutados pela própria classe trabalhadora.</w:t>
      </w:r>
    </w:p>
    <w:p>
      <w:pPr>
        <w:spacing w:after="0" w:line="360" w:lineRule="auto"/>
        <w:ind w:firstLine="708"/>
        <w:jc w:val="both"/>
        <w:rPr>
          <w:rFonts w:ascii="Times New Roman" w:hAnsi="Times New Roman"/>
        </w:rPr>
      </w:pPr>
      <w:r>
        <w:rPr>
          <w:rFonts w:ascii="Times New Roman" w:hAnsi="Times New Roman"/>
          <w:sz w:val="24"/>
          <w:szCs w:val="24"/>
        </w:rPr>
        <w:t xml:space="preserve">Por fim, é necessário apontar, afinal, qual é a relevância de se estudar os processos de colapso de sociedades complexas, para a compreensão da pandemia e para o desenvolvimento regional em geral. A pandemia de coronavírus foi apenas uma das consequências do processo de colapso, que já está em andamento e que não é recente. Defendemos que seja necessário estudar sobre colapso </w:t>
      </w:r>
      <w:r>
        <w:rPr>
          <w:rFonts w:ascii="Times New Roman" w:hAnsi="Times New Roman"/>
          <w:i/>
          <w:iCs/>
          <w:sz w:val="24"/>
          <w:szCs w:val="24"/>
        </w:rPr>
        <w:t>porque rumamos ao colapso</w:t>
      </w:r>
      <w:r>
        <w:rPr>
          <w:rFonts w:ascii="Times New Roman" w:hAnsi="Times New Roman"/>
          <w:sz w:val="24"/>
          <w:szCs w:val="24"/>
        </w:rPr>
        <w:t>. Conhecer este processo é estar melhor preparado para atenuá-lo, para evitar que números vultosos de pessoas tenham que passar por privações e ameaças existenciais. A crise pandêmica no Brasil é um presságio de crises vindouras.</w:t>
      </w:r>
    </w:p>
    <w:p>
      <w:pPr>
        <w:spacing w:after="0" w:line="240" w:lineRule="auto"/>
        <w:jc w:val="both"/>
        <w:rPr>
          <w:rFonts w:ascii="Times New Roman" w:hAnsi="Times New Roman" w:cs="Times New Roman"/>
          <w:b/>
          <w:bCs/>
          <w:sz w:val="24"/>
          <w:szCs w:val="24"/>
        </w:rPr>
      </w:pPr>
    </w:p>
    <w:p>
      <w:pPr>
        <w:spacing w:after="0" w:line="240" w:lineRule="auto"/>
        <w:jc w:val="both"/>
        <w:rPr>
          <w:rFonts w:ascii="Times New Roman" w:hAnsi="Times New Roman" w:cs="Times New Roman"/>
          <w:b/>
          <w:bCs/>
          <w:sz w:val="24"/>
          <w:szCs w:val="24"/>
        </w:rPr>
      </w:pPr>
    </w:p>
    <w:p>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pPr>
        <w:spacing w:after="0" w:line="240" w:lineRule="auto"/>
        <w:jc w:val="both"/>
        <w:rPr>
          <w:rFonts w:ascii="Times New Roman" w:hAnsi="Times New Roman" w:cs="Times New Roman"/>
          <w:sz w:val="24"/>
          <w:szCs w:val="24"/>
        </w:rPr>
      </w:pPr>
    </w:p>
    <w:p>
      <w:pPr>
        <w:spacing w:after="0" w:line="240" w:lineRule="auto"/>
        <w:jc w:val="both"/>
      </w:pPr>
      <w:r>
        <w:rPr>
          <w:rFonts w:ascii="Times New Roman" w:hAnsi="Times New Roman" w:cs="Times New Roman"/>
          <w:sz w:val="24"/>
          <w:szCs w:val="24"/>
        </w:rPr>
        <w:t xml:space="preserve">CATTON JR, William Robert. </w:t>
      </w:r>
      <w:r>
        <w:rPr>
          <w:rFonts w:ascii="Times New Roman" w:hAnsi="Times New Roman" w:cs="Times New Roman"/>
          <w:b/>
          <w:sz w:val="24"/>
          <w:szCs w:val="24"/>
        </w:rPr>
        <w:t>Overshoot:</w:t>
      </w:r>
      <w:r>
        <w:rPr>
          <w:rFonts w:ascii="Times New Roman" w:hAnsi="Times New Roman" w:cs="Times New Roman"/>
          <w:sz w:val="24"/>
          <w:szCs w:val="24"/>
        </w:rPr>
        <w:t xml:space="preserve"> the ecological basis of revolutionary change. Urbana: University of Illinois Press, 1982. 298 p.</w:t>
      </w:r>
    </w:p>
    <w:p>
      <w:pPr>
        <w:spacing w:after="0" w:line="240" w:lineRule="auto"/>
        <w:jc w:val="both"/>
        <w:rPr>
          <w:rFonts w:ascii="Times New Roman" w:hAnsi="Times New Roman" w:cs="Times New Roman"/>
          <w:sz w:val="24"/>
          <w:szCs w:val="24"/>
        </w:rPr>
      </w:pPr>
    </w:p>
    <w:p>
      <w:pPr>
        <w:spacing w:after="0"/>
        <w:jc w:val="both"/>
        <w:rPr>
          <w:sz w:val="24"/>
          <w:szCs w:val="24"/>
        </w:rPr>
      </w:pPr>
      <w:r>
        <w:rPr>
          <w:rFonts w:ascii="Times New Roman" w:hAnsi="Times New Roman" w:cs="Times New Roman"/>
          <w:bCs/>
          <w:sz w:val="24"/>
          <w:szCs w:val="24"/>
        </w:rPr>
        <w:t xml:space="preserve">GIL, Antonio Carlos. </w:t>
      </w:r>
      <w:r>
        <w:rPr>
          <w:rFonts w:ascii="Times New Roman" w:hAnsi="Times New Roman" w:cs="Times New Roman"/>
          <w:b/>
          <w:bCs/>
          <w:sz w:val="24"/>
          <w:szCs w:val="24"/>
        </w:rPr>
        <w:t>Métodos e técnicas de pesquisa social.</w:t>
      </w:r>
      <w:r>
        <w:rPr>
          <w:rFonts w:ascii="Times New Roman" w:hAnsi="Times New Roman" w:cs="Times New Roman"/>
          <w:bCs/>
          <w:sz w:val="24"/>
          <w:szCs w:val="24"/>
        </w:rPr>
        <w:t xml:space="preserve"> São Paulo: Atlas, 2008.</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rPr>
      </w:pPr>
      <w:r>
        <w:rPr>
          <w:rFonts w:ascii="Times New Roman" w:hAnsi="Times New Roman" w:cs="Times New Roman"/>
          <w:sz w:val="24"/>
          <w:szCs w:val="24"/>
        </w:rPr>
        <w:t xml:space="preserve">HARARI, Yuval. </w:t>
      </w:r>
      <w:r>
        <w:rPr>
          <w:rFonts w:ascii="Times New Roman" w:hAnsi="Times New Roman" w:cs="Times New Roman"/>
          <w:b/>
          <w:bCs/>
          <w:sz w:val="24"/>
          <w:szCs w:val="24"/>
        </w:rPr>
        <w:t xml:space="preserve">Sapiens: </w:t>
      </w:r>
      <w:r>
        <w:rPr>
          <w:rFonts w:ascii="Times New Roman" w:hAnsi="Times New Roman" w:cs="Times New Roman"/>
          <w:sz w:val="24"/>
          <w:szCs w:val="24"/>
        </w:rPr>
        <w:t>a brief history of humankind. Toronto: McClelland &amp; Stewart, 2014.</w:t>
      </w:r>
    </w:p>
    <w:p>
      <w:pPr>
        <w:spacing w:after="0" w:line="240" w:lineRule="auto"/>
        <w:jc w:val="both"/>
        <w:rPr>
          <w:rFonts w:ascii="Times New Roman" w:hAnsi="Times New Roman"/>
        </w:rPr>
      </w:pPr>
    </w:p>
    <w:p>
      <w:pPr>
        <w:spacing w:after="0" w:line="240" w:lineRule="auto"/>
        <w:jc w:val="both"/>
        <w:rPr>
          <w:rFonts w:ascii="Times New Roman" w:hAnsi="Times New Roman"/>
        </w:rPr>
      </w:pPr>
      <w:r>
        <w:rPr>
          <w:rFonts w:ascii="Times New Roman" w:hAnsi="Times New Roman" w:cs="Times New Roman"/>
          <w:bCs/>
          <w:sz w:val="24"/>
          <w:szCs w:val="24"/>
        </w:rPr>
        <w:t xml:space="preserve">LAKATOS, Eva Maria; MARCONI, Marina de Andrade. </w:t>
      </w:r>
      <w:r>
        <w:rPr>
          <w:rFonts w:ascii="Times New Roman" w:hAnsi="Times New Roman" w:cs="Times New Roman"/>
          <w:b/>
          <w:bCs/>
          <w:sz w:val="24"/>
          <w:szCs w:val="24"/>
        </w:rPr>
        <w:t>Fundamentos de metologia científica.</w:t>
      </w:r>
      <w:r>
        <w:rPr>
          <w:rFonts w:ascii="Times New Roman" w:hAnsi="Times New Roman" w:cs="Times New Roman"/>
          <w:bCs/>
          <w:sz w:val="24"/>
          <w:szCs w:val="24"/>
        </w:rPr>
        <w:t xml:space="preserve"> </w:t>
      </w:r>
      <w:r>
        <w:rPr>
          <w:rFonts w:ascii="Times New Roman" w:hAnsi="Times New Roman" w:cs="Times New Roman"/>
          <w:bCs/>
          <w:sz w:val="24"/>
          <w:szCs w:val="24"/>
          <w:lang w:val="en-US"/>
        </w:rPr>
        <w:t>5. ed. São Paulo: Atlas, 2003. 311 p.</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bCs/>
          <w:lang w:val="en-US"/>
        </w:rPr>
      </w:pPr>
      <w:r>
        <w:rPr>
          <w:rFonts w:ascii="Times New Roman" w:hAnsi="Times New Roman" w:cs="Times New Roman"/>
          <w:bCs/>
          <w:sz w:val="24"/>
          <w:szCs w:val="24"/>
          <w:lang w:val="en-US"/>
        </w:rPr>
        <w:t xml:space="preserve">REES, William E. </w:t>
      </w:r>
      <w:r>
        <w:rPr>
          <w:rFonts w:ascii="Times New Roman" w:hAnsi="Times New Roman" w:cs="Times New Roman"/>
          <w:b/>
          <w:bCs/>
          <w:sz w:val="24"/>
          <w:szCs w:val="24"/>
          <w:lang w:val="en-US"/>
        </w:rPr>
        <w:t>Ecological economics for humanity’s plague phase.</w:t>
      </w:r>
      <w:r>
        <w:rPr>
          <w:rFonts w:ascii="Times New Roman" w:hAnsi="Times New Roman" w:cs="Times New Roman"/>
          <w:bCs/>
          <w:sz w:val="24"/>
          <w:szCs w:val="24"/>
          <w:lang w:val="en-US"/>
        </w:rPr>
        <w:t xml:space="preserve"> Ecological Economics, [S. l.], v. 169, mar. 2020.</w:t>
      </w:r>
    </w:p>
    <w:p>
      <w:pPr>
        <w:spacing w:after="0" w:line="240" w:lineRule="auto"/>
        <w:jc w:val="both"/>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TAINTER, Joseph. </w:t>
      </w:r>
      <w:r>
        <w:rPr>
          <w:rFonts w:ascii="Times New Roman" w:hAnsi="Times New Roman" w:cs="Times New Roman"/>
          <w:b/>
          <w:sz w:val="24"/>
          <w:szCs w:val="24"/>
        </w:rPr>
        <w:t>The collapse of complex societies.</w:t>
      </w:r>
      <w:r>
        <w:rPr>
          <w:rFonts w:ascii="Times New Roman" w:hAnsi="Times New Roman" w:cs="Times New Roman"/>
          <w:sz w:val="24"/>
          <w:szCs w:val="24"/>
        </w:rPr>
        <w:t xml:space="preserve"> Cambridge: Cambridge University Press, 1988. 250 p.</w:t>
      </w:r>
    </w:p>
    <w:sectPr>
      <w:headerReference r:id="rId5" w:type="default"/>
      <w:footerReference r:id="rId6" w:type="default"/>
      <w:pgSz w:w="11906" w:h="16838"/>
      <w:pgMar w:top="1701" w:right="1134" w:bottom="1134" w:left="1701" w:header="851" w:footer="709" w:gutter="0"/>
      <w:cols w:space="720" w:num="1"/>
      <w:formProt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Calibri">
    <w:panose1 w:val="020F0502020204030204"/>
    <w:charset w:val="00"/>
    <w:family w:val="auto"/>
    <w:pitch w:val="default"/>
    <w:sig w:usb0="E4002EFF" w:usb1="C000247B" w:usb2="00000009" w:usb3="00000000" w:csb0="200001FF" w:csb1="00000000"/>
  </w:font>
  <w:font w:name="Arial-BoldMT">
    <w:altName w:val="Cordel Encarnado"/>
    <w:panose1 w:val="00000000000000000000"/>
    <w:charset w:val="00"/>
    <w:family w:val="roman"/>
    <w:pitch w:val="default"/>
    <w:sig w:usb0="00000000" w:usb1="00000000" w:usb2="00000000" w:usb3="00000000" w:csb0="00000000" w:csb1="00000000"/>
  </w:font>
  <w:font w:name="Cordel Encarnado">
    <w:panose1 w:val="02000500000000000000"/>
    <w:charset w:val="00"/>
    <w:family w:val="auto"/>
    <w:pitch w:val="default"/>
    <w:sig w:usb0="00000003" w:usb1="10000000" w:usb2="00000000" w:usb3="00000000" w:csb0="20000001" w:csb1="00000000"/>
  </w:font>
  <w:font w:name="Lucida Sans">
    <w:altName w:val="Lucida Sans Unicode"/>
    <w:panose1 w:val="00000000000000000000"/>
    <w:charset w:val="00"/>
    <w:family w:val="roman"/>
    <w:pitch w:val="default"/>
    <w:sig w:usb0="00000000" w:usb1="00000000" w:usb2="00000000" w:usb3="00000000" w:csb0="00000000"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both"/>
      <w:rPr>
        <w:rFonts w:ascii="Times New Roman" w:hAnsi="Times New Roman" w:cs="Times New Roman"/>
        <w:sz w:val="20"/>
        <w:szCs w:val="20"/>
      </w:rPr>
    </w:pPr>
    <w:r>
      <w:rPr>
        <w:rFonts w:ascii="Times New Roman" w:hAnsi="Times New Roman" w:cs="Times New Roman"/>
        <w:sz w:val="20"/>
        <w:szCs w:val="20"/>
      </w:rPr>
      <mc:AlternateContent>
        <mc:Choice Requires="wps">
          <w:drawing>
            <wp:anchor distT="3175" distB="0" distL="3175" distR="0" simplePos="0" relativeHeight="251659264" behindDoc="1" locked="0" layoutInCell="0" allowOverlap="1">
              <wp:simplePos x="0" y="0"/>
              <wp:positionH relativeFrom="margin">
                <wp:posOffset>-544830</wp:posOffset>
              </wp:positionH>
              <wp:positionV relativeFrom="paragraph">
                <wp:posOffset>156210</wp:posOffset>
              </wp:positionV>
              <wp:extent cx="6508750" cy="12700"/>
              <wp:effectExtent l="0" t="0" r="28575" b="28575"/>
              <wp:wrapNone/>
              <wp:docPr id="4" name="Conector Reto 3"/>
              <wp:cNvGraphicFramePr/>
              <a:graphic xmlns:a="http://schemas.openxmlformats.org/drawingml/2006/main">
                <a:graphicData uri="http://schemas.microsoft.com/office/word/2010/wordprocessingShape">
                  <wps:wsp>
                    <wps:cNvCnPr/>
                    <wps:spPr>
                      <a:xfrm>
                        <a:off x="0" y="0"/>
                        <a:ext cx="6508080" cy="9000"/>
                      </a:xfrm>
                      <a:prstGeom prst="line">
                        <a:avLst/>
                      </a:prstGeom>
                      <a:ln>
                        <a:solidFill>
                          <a:srgbClr val="00B05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Conector Reto 3" o:spid="_x0000_s1026" o:spt="20" style="position:absolute;left:0pt;margin-left:-42.9pt;margin-top:12.3pt;height:1pt;width:512.5pt;mso-position-horizontal-relative:margin;z-index:-251657216;mso-width-relative:page;mso-height-relative:page;" filled="f" stroked="t" coordsize="21600,21600" o:allowincell="f" o:gfxdata="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zzeNq2QAAAAkBAAAPAAAAAAAAAAEA&#10;IAAAACIAAABkcnMvZG93bnJldi54bWxQSwECFAAUAAAACACHTuJA2n1XP9UBAACyAwAADgAAAAAA&#10;AAABACAAAAAoAQAAZHJzL2Uyb0RvYy54bWxQSwUGAAAAAAYABgBZAQAAbwUAAAAA&#10;">
              <v:fill on="f" focussize="0,0"/>
              <v:stroke weight="0.5pt" color="#00B050 [3204]" miterlimit="8" joinstyle="miter"/>
              <v:imagedata o:title=""/>
              <o:lock v:ext="edit" aspectratio="f"/>
            </v:line>
          </w:pict>
        </mc:Fallback>
      </mc:AlternateContent>
    </w:r>
  </w:p>
  <w:p>
    <w:pPr>
      <w:pStyle w:val="9"/>
      <w:jc w:val="both"/>
      <w:rPr>
        <w:rFonts w:ascii="Times New Roman" w:hAnsi="Times New Roman" w:cs="Times New Roman"/>
        <w:sz w:val="20"/>
        <w:szCs w:val="20"/>
      </w:rPr>
    </w:pPr>
  </w:p>
  <w:p>
    <w:pPr>
      <w:pStyle w:val="9"/>
      <w:jc w:val="both"/>
      <w:rPr>
        <w:rFonts w:ascii="Times New Roman" w:hAnsi="Times New Roman" w:cs="Times New Roman"/>
        <w:sz w:val="20"/>
        <w:szCs w:val="20"/>
      </w:rPr>
    </w:pPr>
    <w:r>
      <w:rPr>
        <w:rFonts w:ascii="Times New Roman" w:hAnsi="Times New Roman" w:cs="Times New Roman"/>
        <w:sz w:val="20"/>
        <w:szCs w:val="20"/>
      </w:rPr>
      <w:t>VI SEDRES. Seminário de Desenvolvimento Regional, Estado e Sociedade. Crato – Ce, 06 a 08 de dezembro de 2022. ISSN 2358-4408.</w:t>
    </w:r>
  </w:p>
  <w:p>
    <w:pPr>
      <w:pStyle w:val="9"/>
      <w:jc w:val="both"/>
      <w:rPr>
        <w:rFonts w:ascii="Times New Roman" w:hAnsi="Times New Roman" w:cs="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59" w:lineRule="auto"/>
      </w:pPr>
      <w:r>
        <w:separator/>
      </w:r>
    </w:p>
  </w:footnote>
  <w:footnote w:type="continuationSeparator" w:id="3">
    <w:p>
      <w:pPr>
        <w:spacing w:before="0" w:after="0" w:line="259" w:lineRule="auto"/>
      </w:pPr>
      <w:r>
        <w:continuationSeparator/>
      </w:r>
    </w:p>
  </w:footnote>
  <w:footnote w:id="0">
    <w:p>
      <w:pPr>
        <w:pStyle w:val="23"/>
        <w:jc w:val="both"/>
      </w:pPr>
      <w:r>
        <w:rPr>
          <w:rStyle w:val="17"/>
        </w:rPr>
        <w:footnoteRef/>
      </w:r>
      <w:r>
        <w:rPr>
          <w:rFonts w:ascii="Times New Roman" w:hAnsi="Times New Roman" w:cs="Times New Roman"/>
          <w:bCs/>
        </w:rPr>
        <w:t>Motes como “</w:t>
      </w:r>
      <w:r>
        <w:rPr>
          <w:rFonts w:ascii="Times New Roman" w:hAnsi="Times New Roman" w:cs="Times New Roman"/>
          <w:bCs/>
          <w:i/>
        </w:rPr>
        <w:t>trickle-down economics</w:t>
      </w:r>
      <w:r>
        <w:rPr>
          <w:rFonts w:ascii="Times New Roman" w:hAnsi="Times New Roman" w:cs="Times New Roman"/>
          <w:bCs/>
        </w:rPr>
        <w:t>” e “fazer o bolo crescer para depois dividi-lo” são velhos conhecidos da esfera pública. Permanecem em circulação, mesmo diante da sua aparente ineficácia em diminuir a pobreza e a desigualdade social.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mc:AlternateContent>
        <mc:Choice Requires="wps">
          <w:drawing>
            <wp:anchor distT="3175" distB="0" distL="3175" distR="0" simplePos="0" relativeHeight="251659264" behindDoc="1" locked="0" layoutInCell="0" allowOverlap="1">
              <wp:simplePos x="0" y="0"/>
              <wp:positionH relativeFrom="column">
                <wp:posOffset>-492125</wp:posOffset>
              </wp:positionH>
              <wp:positionV relativeFrom="paragraph">
                <wp:posOffset>974725</wp:posOffset>
              </wp:positionV>
              <wp:extent cx="6508750" cy="12700"/>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8080" cy="9000"/>
                      </a:xfrm>
                      <a:prstGeom prst="line">
                        <a:avLst/>
                      </a:prstGeom>
                      <a:ln>
                        <a:solidFill>
                          <a:srgbClr val="00B05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_x0000_s1026" o:spid="_x0000_s1026" o:spt="20" style="position:absolute;left:0pt;margin-left:-38.75pt;margin-top:76.75pt;height:1pt;width:512.5pt;z-index:-251657216;mso-width-relative:page;mso-height-relative:page;" filled="f" stroked="t" coordsize="21600,21600" o:allowincell="f" o:gfxdata="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trzcM2AAAAAsBAAAPAAAAAAAAAAEAIAAA&#10;ACIAAABkcnMvZG93bnJldi54bWxQSwECFAAUAAAACACHTuJAQFpNOdMBAACyAwAADgAAAAAAAAAB&#10;ACAAAAAnAQAAZHJzL2Uyb0RvYy54bWxQSwUGAAAAAAYABgBZAQAAbAUAAAAA&#10;">
              <v:fill on="f" focussize="0,0"/>
              <v:stroke weight="0.5pt" color="#00B050 [3204]" miterlimit="8" joinstyle="miter"/>
              <v:imagedata o:title=""/>
              <o:lock v:ext="edit" aspectratio="f"/>
            </v:line>
          </w:pict>
        </mc:Fallback>
      </mc:AlternateContent>
    </w:r>
    <w:r>
      <mc:AlternateContent>
        <mc:Choice Requires="wps">
          <w:drawing>
            <wp:inline distT="0" distB="0" distL="0" distR="0">
              <wp:extent cx="307975" cy="307975"/>
              <wp:effectExtent l="0" t="0" r="0" b="0"/>
              <wp:docPr id="2" name="Forma2"/>
              <wp:cNvGraphicFramePr/>
              <a:graphic xmlns:a="http://schemas.openxmlformats.org/drawingml/2006/main">
                <a:graphicData uri="http://schemas.microsoft.com/office/word/2010/wordprocessingShape">
                  <wps:wsp>
                    <wps:cNvSpPr/>
                    <wps:spPr>
                      <a:xfrm>
                        <a:off x="0" y="0"/>
                        <a:ext cx="307440" cy="3074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id="Forma2" o:spid="_x0000_s1026" o:spt="1" style="height:24.25pt;width:24.25pt;" filled="f" stroked="f" coordsize="21600,21600" o:gfxdata="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">
              <v:fill on="f" focussize="0,0"/>
              <v:stroke on="f" weight="0pt"/>
              <v:imagedata o:title=""/>
              <o:lock v:ext="edit" aspectratio="f"/>
              <w10:wrap type="none"/>
              <w10:anchorlock/>
            </v:rect>
          </w:pict>
        </mc:Fallback>
      </mc:AlternateContent>
    </w:r>
    <w:r>
      <w:t xml:space="preserve"> </w:t>
    </w:r>
    <w:r>
      <w:drawing>
        <wp:inline distT="0" distB="0" distL="0" distR="0">
          <wp:extent cx="2637790" cy="901065"/>
          <wp:effectExtent l="0" t="0" r="0" b="0"/>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pic:cNvPicPr>
                    <a:picLocks noChangeAspect="1" noChangeArrowheads="1"/>
                  </pic:cNvPicPr>
                </pic:nvPicPr>
                <pic:blipFill>
                  <a:blip r:embed="rId1"/>
                  <a:stretch>
                    <a:fillRect/>
                  </a:stretch>
                </pic:blipFill>
                <pic:spPr>
                  <a:xfrm>
                    <a:off x="0" y="0"/>
                    <a:ext cx="2637790" cy="901065"/>
                  </a:xfrm>
                  <a:prstGeom prst="rect">
                    <a:avLst/>
                  </a:prstGeom>
                </pic:spPr>
              </pic:pic>
            </a:graphicData>
          </a:graphic>
        </wp:inline>
      </w:drawing>
    </w:r>
  </w:p>
  <w:p>
    <w:pPr>
      <w:pStyle w:val="8"/>
      <w:jc w:val="center"/>
    </w:pPr>
  </w:p>
  <w:p>
    <w:pPr>
      <w:pStyle w:val="8"/>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documentProtection w:enforcement="0"/>
  <w:defaultTabStop w:val="708"/>
  <w:autoHyphenation/>
  <w:hyphenationZone w:val="425"/>
  <w:characterSpacingControl w:val="doNotCompress"/>
  <w:footnotePr>
    <w:footnote w:id="2"/>
    <w:footnote w:id="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0E0"/>
    <w:rsid w:val="003A30E0"/>
    <w:rsid w:val="00630048"/>
    <w:rsid w:val="00CD155E"/>
    <w:rsid w:val="49796094"/>
  </w:rsids>
  <m:mathPr>
    <m:mathFont m:val="Cambria Math"/>
    <m:brkBin m:val="before"/>
    <m:brkBinSub m:val="--"/>
    <m:smallFrac m:val="0"/>
    <m:dispDef/>
    <m:lMargin m:val="0"/>
    <m:rMargin m:val="0"/>
    <m:defJc m:val="centerGroup"/>
    <m:wrapIndent m:val="1440"/>
    <m:intLim m:val="subSup"/>
    <m:naryLim m:val="undOvr"/>
  </m:mathPr>
  <w:themeFontLang w:val="pt-BR"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semiHidden="0" w:name="footnote text"/>
    <w:lsdException w:uiPriority="99" w:name="annotation text"/>
    <w:lsdException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uppressAutoHyphens/>
      <w:spacing w:after="160" w:line="259" w:lineRule="auto"/>
    </w:pPr>
    <w:rPr>
      <w:rFonts w:asciiTheme="minorHAnsi" w:hAnsiTheme="minorHAnsi" w:eastAsiaTheme="minorHAnsi" w:cstheme="minorBidi"/>
      <w:sz w:val="22"/>
      <w:szCs w:val="22"/>
      <w:lang w:val="pt-BR"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List"/>
    <w:basedOn w:val="5"/>
    <w:uiPriority w:val="0"/>
    <w:rPr>
      <w:rFonts w:cs="Lucida Sans"/>
    </w:rPr>
  </w:style>
  <w:style w:type="paragraph" w:styleId="5">
    <w:name w:val="Body Text"/>
    <w:basedOn w:val="1"/>
    <w:uiPriority w:val="0"/>
    <w:pPr>
      <w:spacing w:after="140" w:line="276" w:lineRule="auto"/>
    </w:pPr>
  </w:style>
  <w:style w:type="paragraph" w:styleId="6">
    <w:name w:val="Title"/>
    <w:basedOn w:val="1"/>
    <w:next w:val="5"/>
    <w:qFormat/>
    <w:uiPriority w:val="0"/>
    <w:pPr>
      <w:spacing w:after="0" w:line="240" w:lineRule="auto"/>
      <w:jc w:val="center"/>
    </w:pPr>
    <w:rPr>
      <w:rFonts w:ascii="Arial" w:hAnsi="Arial" w:eastAsia="Times New Roman" w:cs="Times New Roman"/>
      <w:b/>
      <w:sz w:val="28"/>
      <w:szCs w:val="24"/>
      <w:lang w:val="en-GB" w:eastAsia="pt-BR"/>
    </w:rPr>
  </w:style>
  <w:style w:type="paragraph" w:styleId="7">
    <w:name w:val="Body Text 3"/>
    <w:basedOn w:val="1"/>
    <w:qFormat/>
    <w:uiPriority w:val="0"/>
    <w:pPr>
      <w:spacing w:after="0" w:line="240" w:lineRule="auto"/>
      <w:jc w:val="center"/>
    </w:pPr>
    <w:rPr>
      <w:rFonts w:ascii="Times New Roman" w:hAnsi="Times New Roman" w:eastAsia="Times New Roman" w:cs="Times New Roman"/>
      <w:b/>
      <w:sz w:val="28"/>
      <w:szCs w:val="24"/>
      <w:lang w:eastAsia="pt-BR"/>
    </w:rPr>
  </w:style>
  <w:style w:type="paragraph" w:styleId="8">
    <w:name w:val="header"/>
    <w:basedOn w:val="1"/>
    <w:unhideWhenUsed/>
    <w:uiPriority w:val="99"/>
    <w:pPr>
      <w:tabs>
        <w:tab w:val="center" w:pos="4252"/>
        <w:tab w:val="right" w:pos="8504"/>
      </w:tabs>
      <w:spacing w:after="0" w:line="240" w:lineRule="auto"/>
    </w:pPr>
  </w:style>
  <w:style w:type="paragraph" w:styleId="9">
    <w:name w:val="footer"/>
    <w:basedOn w:val="1"/>
    <w:unhideWhenUsed/>
    <w:qFormat/>
    <w:uiPriority w:val="99"/>
    <w:pPr>
      <w:tabs>
        <w:tab w:val="center" w:pos="4252"/>
        <w:tab w:val="right" w:pos="8504"/>
      </w:tabs>
      <w:spacing w:after="0" w:line="240" w:lineRule="auto"/>
    </w:pPr>
  </w:style>
  <w:style w:type="paragraph" w:styleId="10">
    <w:name w:val="caption"/>
    <w:basedOn w:val="1"/>
    <w:next w:val="1"/>
    <w:qFormat/>
    <w:uiPriority w:val="0"/>
    <w:pPr>
      <w:suppressLineNumbers/>
      <w:spacing w:before="120" w:after="120"/>
    </w:pPr>
    <w:rPr>
      <w:rFonts w:cs="Lucida Sans"/>
      <w:i/>
      <w:iCs/>
      <w:sz w:val="24"/>
      <w:szCs w:val="24"/>
    </w:rPr>
  </w:style>
  <w:style w:type="paragraph" w:styleId="11">
    <w:name w:val="footnote text"/>
    <w:basedOn w:val="1"/>
    <w:uiPriority w:val="0"/>
    <w:pPr>
      <w:suppressLineNumbers/>
      <w:ind w:left="339" w:hanging="339"/>
    </w:pPr>
    <w:rPr>
      <w:sz w:val="20"/>
      <w:szCs w:val="20"/>
    </w:rPr>
  </w:style>
  <w:style w:type="character" w:customStyle="1" w:styleId="12">
    <w:name w:val="Cabeçalho Char"/>
    <w:basedOn w:val="2"/>
    <w:qFormat/>
    <w:uiPriority w:val="99"/>
  </w:style>
  <w:style w:type="character" w:customStyle="1" w:styleId="13">
    <w:name w:val="Rodapé Char"/>
    <w:basedOn w:val="2"/>
    <w:qFormat/>
    <w:uiPriority w:val="99"/>
  </w:style>
  <w:style w:type="character" w:customStyle="1" w:styleId="14">
    <w:name w:val="fontstyle01"/>
    <w:basedOn w:val="2"/>
    <w:qFormat/>
    <w:uiPriority w:val="0"/>
    <w:rPr>
      <w:rFonts w:ascii="Arial-BoldMT" w:hAnsi="Arial-BoldMT"/>
      <w:b/>
      <w:bCs/>
      <w:color w:val="242021"/>
      <w:sz w:val="22"/>
      <w:szCs w:val="22"/>
    </w:rPr>
  </w:style>
  <w:style w:type="character" w:customStyle="1" w:styleId="15">
    <w:name w:val="Corpo de texto 3 Char"/>
    <w:basedOn w:val="2"/>
    <w:qFormat/>
    <w:uiPriority w:val="0"/>
    <w:rPr>
      <w:rFonts w:ascii="Times New Roman" w:hAnsi="Times New Roman" w:eastAsia="Times New Roman" w:cs="Times New Roman"/>
      <w:b/>
      <w:sz w:val="28"/>
      <w:szCs w:val="24"/>
      <w:lang w:eastAsia="pt-BR"/>
    </w:rPr>
  </w:style>
  <w:style w:type="character" w:customStyle="1" w:styleId="16">
    <w:name w:val="Título Char"/>
    <w:basedOn w:val="2"/>
    <w:qFormat/>
    <w:uiPriority w:val="0"/>
    <w:rPr>
      <w:rFonts w:ascii="Arial" w:hAnsi="Arial" w:eastAsia="Times New Roman" w:cs="Times New Roman"/>
      <w:b/>
      <w:sz w:val="28"/>
      <w:szCs w:val="24"/>
      <w:lang w:val="en-GB" w:eastAsia="pt-BR"/>
    </w:rPr>
  </w:style>
  <w:style w:type="character" w:customStyle="1" w:styleId="17">
    <w:name w:val="Caracteres de nota de rodapé"/>
    <w:qFormat/>
    <w:uiPriority w:val="0"/>
  </w:style>
  <w:style w:type="character" w:customStyle="1" w:styleId="18">
    <w:name w:val="Âncora da nota de rodapé"/>
    <w:uiPriority w:val="0"/>
    <w:rPr>
      <w:vertAlign w:val="superscript"/>
    </w:rPr>
  </w:style>
  <w:style w:type="character" w:customStyle="1" w:styleId="19">
    <w:name w:val="Âncora da nota de fim"/>
    <w:uiPriority w:val="0"/>
    <w:rPr>
      <w:vertAlign w:val="superscript"/>
    </w:rPr>
  </w:style>
  <w:style w:type="character" w:customStyle="1" w:styleId="20">
    <w:name w:val="Caracteres de nota de fim"/>
    <w:qFormat/>
    <w:uiPriority w:val="0"/>
  </w:style>
  <w:style w:type="paragraph" w:customStyle="1" w:styleId="21">
    <w:name w:val="Índice"/>
    <w:basedOn w:val="1"/>
    <w:qFormat/>
    <w:uiPriority w:val="0"/>
    <w:pPr>
      <w:suppressLineNumbers/>
    </w:pPr>
    <w:rPr>
      <w:rFonts w:cs="Lucida Sans"/>
    </w:rPr>
  </w:style>
  <w:style w:type="paragraph" w:customStyle="1" w:styleId="22">
    <w:name w:val="Cabeçalho e Rodapé"/>
    <w:basedOn w:val="1"/>
    <w:qFormat/>
    <w:uiPriority w:val="0"/>
  </w:style>
  <w:style w:type="paragraph" w:customStyle="1" w:styleId="23">
    <w:name w:val="Texto de nota de rodapé1"/>
    <w:basedOn w:val="1"/>
    <w:qFormat/>
    <w:uiPriority w:val="0"/>
    <w:pPr>
      <w:spacing w:after="0" w:line="240" w:lineRule="auto"/>
    </w:pPr>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7FC053-C17A-41BD-AE7F-4F0262E2A800}">
  <ds:schemaRefs/>
</ds:datastoreItem>
</file>

<file path=docProps/app.xml><?xml version="1.0" encoding="utf-8"?>
<Properties xmlns="http://schemas.openxmlformats.org/officeDocument/2006/extended-properties" xmlns:vt="http://schemas.openxmlformats.org/officeDocument/2006/docPropsVTypes">
  <Template>Normal</Template>
  <Pages>24</Pages>
  <Words>8596</Words>
  <Characters>46422</Characters>
  <Lines>386</Lines>
  <Paragraphs>109</Paragraphs>
  <TotalTime>44</TotalTime>
  <ScaleCrop>false</ScaleCrop>
  <LinksUpToDate>false</LinksUpToDate>
  <CharactersWithSpaces>54909</CharactersWithSpaces>
  <Application>WPS Office_11.2.0.11254_F1E327BC-269C-435d-A152-05C5408002CA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2022-08-11T17:08:00Z</dcterms:created>
  <dc:creator>DELL-PC</dc:creator>
  <cp:lastModifiedBy>WEBDESIGNER</cp:lastModifiedBy>
  <dcterms:modified xsi:type="dcterms:W3CDTF">2022-08-12T20:19:34Z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A13FA71BB31B4C0783763A49B94D2807</vt:lpwstr>
  </property>
  <property fmtid="{D5CDD505-2E9C-101B-9397-08002B2CF9AE}" pid="3" name="KSOProductBuildVer">
    <vt:lpwstr>1046-11.2.0.11254</vt:lpwstr>
  </property>
</Properties>
</file>