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E1E" w:rsidRPr="0061769D" w:rsidRDefault="00723E1E" w:rsidP="00723E1E">
      <w:pPr>
        <w:spacing w:line="360" w:lineRule="auto"/>
        <w:jc w:val="center"/>
        <w:rPr>
          <w:rFonts w:ascii="Times New Roman" w:hAnsi="Times New Roman"/>
          <w:b/>
          <w:sz w:val="28"/>
          <w:szCs w:val="24"/>
          <w:shd w:val="clear" w:color="auto" w:fill="FFFFFF"/>
        </w:rPr>
      </w:pPr>
      <w:r w:rsidRPr="0061769D">
        <w:rPr>
          <w:rFonts w:ascii="Times New Roman" w:hAnsi="Times New Roman"/>
          <w:b/>
          <w:sz w:val="28"/>
          <w:szCs w:val="24"/>
        </w:rPr>
        <w:t>ORGANIZAÇÃO E DINÂMICA DO MERCADO DE TRABALHO DA POPULAÇÃO JOVEM</w:t>
      </w:r>
      <w:r w:rsidRPr="0061769D">
        <w:rPr>
          <w:rFonts w:ascii="Times New Roman" w:hAnsi="Times New Roman"/>
          <w:b/>
          <w:sz w:val="28"/>
          <w:szCs w:val="24"/>
          <w:shd w:val="clear" w:color="auto" w:fill="FFFFFF"/>
        </w:rPr>
        <w:t xml:space="preserve"> DO NORDESTE (2016 - 2019): notas sobre os impactos da </w:t>
      </w:r>
      <w:r w:rsidR="009970F6">
        <w:rPr>
          <w:rFonts w:ascii="Times New Roman" w:hAnsi="Times New Roman"/>
          <w:b/>
          <w:sz w:val="28"/>
          <w:szCs w:val="24"/>
          <w:shd w:val="clear" w:color="auto" w:fill="FFFFFF"/>
        </w:rPr>
        <w:t>nova r</w:t>
      </w:r>
      <w:r w:rsidRPr="0061769D">
        <w:rPr>
          <w:rFonts w:ascii="Times New Roman" w:hAnsi="Times New Roman"/>
          <w:b/>
          <w:sz w:val="28"/>
          <w:szCs w:val="24"/>
          <w:shd w:val="clear" w:color="auto" w:fill="FFFFFF"/>
        </w:rPr>
        <w:t>eforma trabalhista</w:t>
      </w:r>
    </w:p>
    <w:p w:rsidR="00681342" w:rsidRPr="002D5A3E" w:rsidRDefault="00723E1E" w:rsidP="0014403E">
      <w:pPr>
        <w:spacing w:after="0" w:line="360" w:lineRule="auto"/>
        <w:jc w:val="both"/>
        <w:rPr>
          <w:rFonts w:ascii="Times New Roman" w:hAnsi="Times New Roman"/>
          <w:b/>
          <w:sz w:val="24"/>
          <w:szCs w:val="24"/>
        </w:rPr>
      </w:pPr>
      <w:r w:rsidRPr="002D5A3E">
        <w:rPr>
          <w:rFonts w:ascii="Times New Roman" w:hAnsi="Times New Roman"/>
          <w:b/>
          <w:sz w:val="24"/>
          <w:szCs w:val="24"/>
        </w:rPr>
        <w:t xml:space="preserve">RESUMO: </w:t>
      </w:r>
    </w:p>
    <w:p w:rsidR="00306C6E" w:rsidRDefault="00797B65" w:rsidP="00306C6E">
      <w:pPr>
        <w:spacing w:after="0" w:line="240" w:lineRule="auto"/>
        <w:jc w:val="both"/>
        <w:rPr>
          <w:rFonts w:ascii="Times New Roman" w:hAnsi="Times New Roman"/>
          <w:sz w:val="24"/>
          <w:szCs w:val="24"/>
          <w:shd w:val="clear" w:color="auto" w:fill="FFFFFF"/>
        </w:rPr>
      </w:pPr>
      <w:r w:rsidRPr="005C71A8">
        <w:rPr>
          <w:rFonts w:ascii="Times New Roman" w:hAnsi="Times New Roman"/>
          <w:sz w:val="24"/>
          <w:szCs w:val="24"/>
          <w:shd w:val="clear" w:color="auto" w:fill="FFFFFF"/>
        </w:rPr>
        <w:t>Em</w:t>
      </w:r>
      <w:r w:rsidR="00C63EA8" w:rsidRPr="005C71A8">
        <w:rPr>
          <w:rFonts w:ascii="Times New Roman" w:hAnsi="Times New Roman"/>
          <w:sz w:val="24"/>
          <w:szCs w:val="24"/>
          <w:shd w:val="clear" w:color="auto" w:fill="FFFFFF"/>
        </w:rPr>
        <w:t xml:space="preserve"> </w:t>
      </w:r>
      <w:r w:rsidR="00D11201" w:rsidRPr="005C71A8">
        <w:rPr>
          <w:rFonts w:ascii="Times New Roman" w:hAnsi="Times New Roman"/>
          <w:sz w:val="24"/>
          <w:szCs w:val="24"/>
          <w:shd w:val="clear" w:color="auto" w:fill="FFFFFF"/>
        </w:rPr>
        <w:t xml:space="preserve">2017 foram adotadas </w:t>
      </w:r>
      <w:r w:rsidRPr="005C71A8">
        <w:rPr>
          <w:rFonts w:ascii="Times New Roman" w:hAnsi="Times New Roman"/>
          <w:sz w:val="24"/>
          <w:szCs w:val="24"/>
          <w:shd w:val="clear" w:color="auto" w:fill="FFFFFF"/>
        </w:rPr>
        <w:t xml:space="preserve">as </w:t>
      </w:r>
      <w:r w:rsidRPr="005C71A8">
        <w:rPr>
          <w:rFonts w:ascii="Times New Roman" w:hAnsi="Times New Roman"/>
          <w:sz w:val="24"/>
          <w:szCs w:val="24"/>
        </w:rPr>
        <w:t xml:space="preserve">Leis nº 13.429/2017 (Lei da terceirização) e Lei nº 13.467/2017 (Nova Reforma Trabalhista) que </w:t>
      </w:r>
      <w:r w:rsidRPr="005C71A8">
        <w:rPr>
          <w:rFonts w:ascii="Times New Roman" w:hAnsi="Times New Roman"/>
          <w:sz w:val="24"/>
          <w:szCs w:val="24"/>
          <w:shd w:val="clear" w:color="auto" w:fill="FFFFFF"/>
        </w:rPr>
        <w:t xml:space="preserve">flexibilizaram </w:t>
      </w:r>
      <w:r w:rsidR="00D11201" w:rsidRPr="005C71A8">
        <w:rPr>
          <w:rFonts w:ascii="Times New Roman" w:hAnsi="Times New Roman"/>
          <w:sz w:val="24"/>
          <w:szCs w:val="24"/>
          <w:shd w:val="clear" w:color="auto" w:fill="FFFFFF"/>
        </w:rPr>
        <w:t>as</w:t>
      </w:r>
      <w:r w:rsidR="00EE1AC4" w:rsidRPr="005C71A8">
        <w:rPr>
          <w:rFonts w:ascii="Times New Roman" w:hAnsi="Times New Roman"/>
          <w:sz w:val="24"/>
          <w:szCs w:val="24"/>
          <w:shd w:val="clear" w:color="auto" w:fill="FFFFFF"/>
        </w:rPr>
        <w:t xml:space="preserve"> relações de trabalho no Brasil</w:t>
      </w:r>
      <w:r w:rsidR="00D11201" w:rsidRPr="005C71A8">
        <w:rPr>
          <w:rFonts w:ascii="Times New Roman" w:hAnsi="Times New Roman"/>
          <w:sz w:val="24"/>
          <w:szCs w:val="24"/>
          <w:shd w:val="clear" w:color="auto" w:fill="FFFFFF"/>
        </w:rPr>
        <w:t xml:space="preserve"> </w:t>
      </w:r>
      <w:r w:rsidRPr="005C71A8">
        <w:rPr>
          <w:rFonts w:ascii="Times New Roman" w:hAnsi="Times New Roman"/>
          <w:sz w:val="24"/>
          <w:szCs w:val="24"/>
          <w:shd w:val="clear" w:color="auto" w:fill="FFFFFF"/>
        </w:rPr>
        <w:t>alterando a</w:t>
      </w:r>
      <w:r w:rsidR="00D11201" w:rsidRPr="005C71A8">
        <w:rPr>
          <w:rFonts w:ascii="Times New Roman" w:hAnsi="Times New Roman"/>
          <w:sz w:val="24"/>
          <w:szCs w:val="24"/>
          <w:shd w:val="clear" w:color="auto" w:fill="FFFFFF"/>
        </w:rPr>
        <w:t xml:space="preserve"> organização e dinâmica</w:t>
      </w:r>
      <w:r w:rsidRPr="005C71A8">
        <w:rPr>
          <w:rFonts w:ascii="Times New Roman" w:hAnsi="Times New Roman"/>
          <w:sz w:val="24"/>
          <w:szCs w:val="24"/>
          <w:shd w:val="clear" w:color="auto" w:fill="FFFFFF"/>
        </w:rPr>
        <w:t xml:space="preserve"> do mercado de trabalho</w:t>
      </w:r>
      <w:r w:rsidR="00D11201" w:rsidRPr="005C71A8">
        <w:rPr>
          <w:rFonts w:ascii="Times New Roman" w:hAnsi="Times New Roman"/>
          <w:sz w:val="24"/>
          <w:szCs w:val="24"/>
          <w:shd w:val="clear" w:color="auto" w:fill="FFFFFF"/>
        </w:rPr>
        <w:t xml:space="preserve">. </w:t>
      </w:r>
      <w:r w:rsidRPr="005C71A8">
        <w:rPr>
          <w:rFonts w:ascii="Times New Roman" w:hAnsi="Times New Roman"/>
          <w:sz w:val="24"/>
          <w:szCs w:val="24"/>
        </w:rPr>
        <w:t>Este</w:t>
      </w:r>
      <w:r w:rsidR="00D11201" w:rsidRPr="005C71A8">
        <w:rPr>
          <w:rFonts w:ascii="Times New Roman" w:hAnsi="Times New Roman"/>
          <w:sz w:val="24"/>
          <w:szCs w:val="24"/>
        </w:rPr>
        <w:t xml:space="preserve"> trabalho </w:t>
      </w:r>
      <w:r w:rsidRPr="005C71A8">
        <w:rPr>
          <w:rFonts w:ascii="Times New Roman" w:hAnsi="Times New Roman"/>
          <w:sz w:val="24"/>
          <w:szCs w:val="24"/>
        </w:rPr>
        <w:t>objetiva</w:t>
      </w:r>
      <w:r w:rsidR="00D11201" w:rsidRPr="005C71A8">
        <w:rPr>
          <w:rFonts w:ascii="Times New Roman" w:hAnsi="Times New Roman"/>
          <w:sz w:val="24"/>
          <w:szCs w:val="24"/>
        </w:rPr>
        <w:t xml:space="preserve"> evidenciar os primeiros impactos d</w:t>
      </w:r>
      <w:r w:rsidR="005C71A8" w:rsidRPr="005C71A8">
        <w:rPr>
          <w:rFonts w:ascii="Times New Roman" w:hAnsi="Times New Roman"/>
          <w:sz w:val="24"/>
          <w:szCs w:val="24"/>
        </w:rPr>
        <w:t xml:space="preserve">a Reforma </w:t>
      </w:r>
      <w:r w:rsidR="00EE1AC4" w:rsidRPr="005C71A8">
        <w:rPr>
          <w:rFonts w:ascii="Times New Roman" w:hAnsi="Times New Roman"/>
          <w:sz w:val="24"/>
          <w:szCs w:val="24"/>
        </w:rPr>
        <w:t>quanto a</w:t>
      </w:r>
      <w:r w:rsidR="00D11201" w:rsidRPr="005C71A8">
        <w:rPr>
          <w:rFonts w:ascii="Times New Roman" w:hAnsi="Times New Roman"/>
          <w:sz w:val="24"/>
          <w:szCs w:val="24"/>
        </w:rPr>
        <w:t xml:space="preserve"> organização e dinâmica do mercado de trabalho da população jovem</w:t>
      </w:r>
      <w:r w:rsidR="00C63EA8" w:rsidRPr="005C71A8">
        <w:rPr>
          <w:rFonts w:ascii="Times New Roman" w:hAnsi="Times New Roman"/>
          <w:sz w:val="24"/>
          <w:szCs w:val="24"/>
        </w:rPr>
        <w:t xml:space="preserve"> na região </w:t>
      </w:r>
      <w:r w:rsidR="00D11201" w:rsidRPr="005C71A8">
        <w:rPr>
          <w:rFonts w:ascii="Times New Roman" w:hAnsi="Times New Roman"/>
          <w:sz w:val="24"/>
          <w:szCs w:val="24"/>
        </w:rPr>
        <w:t>Nordeste</w:t>
      </w:r>
      <w:r w:rsidR="00C63EA8" w:rsidRPr="005C71A8">
        <w:rPr>
          <w:rFonts w:ascii="Times New Roman" w:hAnsi="Times New Roman"/>
          <w:sz w:val="24"/>
          <w:szCs w:val="24"/>
        </w:rPr>
        <w:t xml:space="preserve"> do Brasil</w:t>
      </w:r>
      <w:r w:rsidR="00D11201" w:rsidRPr="005C71A8">
        <w:rPr>
          <w:rFonts w:ascii="Times New Roman" w:hAnsi="Times New Roman"/>
          <w:sz w:val="24"/>
          <w:szCs w:val="24"/>
        </w:rPr>
        <w:t xml:space="preserve">. A metodologia </w:t>
      </w:r>
      <w:r w:rsidR="00BC68D3" w:rsidRPr="005C71A8">
        <w:rPr>
          <w:rFonts w:ascii="Times New Roman" w:hAnsi="Times New Roman"/>
          <w:sz w:val="24"/>
          <w:szCs w:val="24"/>
        </w:rPr>
        <w:t xml:space="preserve">valeu-se da análise dos </w:t>
      </w:r>
      <w:r w:rsidR="00D11201" w:rsidRPr="005C71A8">
        <w:rPr>
          <w:rFonts w:ascii="Times New Roman" w:hAnsi="Times New Roman"/>
          <w:sz w:val="24"/>
          <w:szCs w:val="24"/>
        </w:rPr>
        <w:t>dados da PNAD Contínua</w:t>
      </w:r>
      <w:r w:rsidR="00BC68D3" w:rsidRPr="005C71A8">
        <w:rPr>
          <w:rFonts w:ascii="Times New Roman" w:hAnsi="Times New Roman"/>
          <w:sz w:val="24"/>
          <w:szCs w:val="24"/>
        </w:rPr>
        <w:t xml:space="preserve"> (</w:t>
      </w:r>
      <w:r w:rsidR="00D11201" w:rsidRPr="005C71A8">
        <w:rPr>
          <w:rFonts w:ascii="Times New Roman" w:hAnsi="Times New Roman"/>
          <w:sz w:val="24"/>
          <w:szCs w:val="24"/>
        </w:rPr>
        <w:t>2016 a 2019</w:t>
      </w:r>
      <w:r w:rsidR="00BC68D3" w:rsidRPr="005C71A8">
        <w:rPr>
          <w:rFonts w:ascii="Times New Roman" w:hAnsi="Times New Roman"/>
          <w:sz w:val="24"/>
          <w:szCs w:val="24"/>
        </w:rPr>
        <w:t>)</w:t>
      </w:r>
      <w:r w:rsidR="00D11201" w:rsidRPr="005C71A8">
        <w:rPr>
          <w:rFonts w:ascii="Times New Roman" w:hAnsi="Times New Roman"/>
          <w:sz w:val="24"/>
          <w:szCs w:val="24"/>
        </w:rPr>
        <w:t xml:space="preserve"> e de autores como Pais (1990); Antunes (1995, 2020); Suiron (2018), Trovão e Araújo (2020), entre outros. </w:t>
      </w:r>
      <w:r w:rsidRPr="005C71A8">
        <w:rPr>
          <w:rFonts w:ascii="Times New Roman" w:hAnsi="Times New Roman"/>
          <w:sz w:val="24"/>
          <w:szCs w:val="24"/>
        </w:rPr>
        <w:t>Identificou-se</w:t>
      </w:r>
      <w:r w:rsidR="00EE1AC4" w:rsidRPr="005C71A8">
        <w:rPr>
          <w:rFonts w:ascii="Times New Roman" w:hAnsi="Times New Roman"/>
          <w:sz w:val="24"/>
          <w:szCs w:val="24"/>
        </w:rPr>
        <w:t xml:space="preserve"> que a Reforma</w:t>
      </w:r>
      <w:r w:rsidR="00D11201" w:rsidRPr="005C71A8">
        <w:rPr>
          <w:rFonts w:ascii="Times New Roman" w:hAnsi="Times New Roman"/>
          <w:sz w:val="24"/>
          <w:szCs w:val="24"/>
        </w:rPr>
        <w:t xml:space="preserve"> </w:t>
      </w:r>
      <w:r w:rsidR="00EE1AC4" w:rsidRPr="005C71A8">
        <w:rPr>
          <w:rFonts w:ascii="Times New Roman" w:hAnsi="Times New Roman"/>
          <w:sz w:val="24"/>
          <w:szCs w:val="24"/>
        </w:rPr>
        <w:t>produziu uma piora na organização e dinâmica do</w:t>
      </w:r>
      <w:r w:rsidRPr="005C71A8">
        <w:rPr>
          <w:rFonts w:ascii="Times New Roman" w:hAnsi="Times New Roman"/>
          <w:sz w:val="24"/>
          <w:szCs w:val="24"/>
        </w:rPr>
        <w:t xml:space="preserve"> mercado de trabalho destes</w:t>
      </w:r>
      <w:r w:rsidR="00D11201" w:rsidRPr="005C71A8">
        <w:rPr>
          <w:rFonts w:ascii="Times New Roman" w:hAnsi="Times New Roman"/>
          <w:sz w:val="24"/>
          <w:szCs w:val="24"/>
        </w:rPr>
        <w:t xml:space="preserve"> </w:t>
      </w:r>
      <w:r w:rsidR="00C63EA8" w:rsidRPr="005C71A8">
        <w:rPr>
          <w:rFonts w:ascii="Times New Roman" w:hAnsi="Times New Roman"/>
          <w:sz w:val="24"/>
          <w:szCs w:val="24"/>
        </w:rPr>
        <w:t>j</w:t>
      </w:r>
      <w:r w:rsidR="00D11201" w:rsidRPr="005C71A8">
        <w:rPr>
          <w:rFonts w:ascii="Times New Roman" w:hAnsi="Times New Roman"/>
          <w:sz w:val="24"/>
          <w:szCs w:val="24"/>
        </w:rPr>
        <w:t>ovens</w:t>
      </w:r>
      <w:r w:rsidR="00BC68D3" w:rsidRPr="005C71A8">
        <w:rPr>
          <w:rFonts w:ascii="Times New Roman" w:hAnsi="Times New Roman"/>
          <w:sz w:val="24"/>
          <w:szCs w:val="24"/>
        </w:rPr>
        <w:t>,</w:t>
      </w:r>
      <w:r w:rsidR="00D11201" w:rsidRPr="005C71A8">
        <w:rPr>
          <w:rFonts w:ascii="Times New Roman" w:hAnsi="Times New Roman"/>
          <w:sz w:val="24"/>
          <w:szCs w:val="24"/>
        </w:rPr>
        <w:t xml:space="preserve"> </w:t>
      </w:r>
      <w:r w:rsidR="00EE1AC4" w:rsidRPr="005C71A8">
        <w:rPr>
          <w:rFonts w:ascii="Times New Roman" w:hAnsi="Times New Roman"/>
          <w:sz w:val="24"/>
          <w:szCs w:val="24"/>
        </w:rPr>
        <w:t>com</w:t>
      </w:r>
      <w:r w:rsidR="00D11201" w:rsidRPr="005C71A8">
        <w:rPr>
          <w:rFonts w:ascii="Times New Roman" w:hAnsi="Times New Roman"/>
          <w:sz w:val="24"/>
          <w:szCs w:val="24"/>
        </w:rPr>
        <w:t xml:space="preserve"> </w:t>
      </w:r>
      <w:r w:rsidR="00C63EA8" w:rsidRPr="005C71A8">
        <w:rPr>
          <w:rFonts w:ascii="Times New Roman" w:hAnsi="Times New Roman"/>
          <w:sz w:val="24"/>
          <w:szCs w:val="24"/>
        </w:rPr>
        <w:t>aumento do desemprego</w:t>
      </w:r>
      <w:r w:rsidR="00D11201" w:rsidRPr="005C71A8">
        <w:rPr>
          <w:rFonts w:ascii="Times New Roman" w:hAnsi="Times New Roman"/>
          <w:sz w:val="24"/>
          <w:szCs w:val="24"/>
          <w:shd w:val="clear" w:color="auto" w:fill="FFFFFF"/>
        </w:rPr>
        <w:t>,</w:t>
      </w:r>
      <w:r w:rsidR="00C63EA8" w:rsidRPr="005C71A8">
        <w:rPr>
          <w:rFonts w:ascii="Times New Roman" w:hAnsi="Times New Roman"/>
          <w:sz w:val="24"/>
          <w:szCs w:val="24"/>
          <w:shd w:val="clear" w:color="auto" w:fill="FFFFFF"/>
        </w:rPr>
        <w:t xml:space="preserve"> informalidade, </w:t>
      </w:r>
      <w:r w:rsidR="00EE1AC4" w:rsidRPr="005C71A8">
        <w:rPr>
          <w:rFonts w:ascii="Times New Roman" w:hAnsi="Times New Roman"/>
          <w:sz w:val="24"/>
          <w:szCs w:val="24"/>
          <w:shd w:val="clear" w:color="auto" w:fill="FFFFFF"/>
        </w:rPr>
        <w:t xml:space="preserve">desigualdade, </w:t>
      </w:r>
      <w:r w:rsidR="00C63EA8" w:rsidRPr="005C71A8">
        <w:rPr>
          <w:rFonts w:ascii="Times New Roman" w:hAnsi="Times New Roman"/>
          <w:sz w:val="24"/>
          <w:szCs w:val="24"/>
          <w:shd w:val="clear" w:color="auto" w:fill="FFFFFF"/>
        </w:rPr>
        <w:t>queda na</w:t>
      </w:r>
      <w:r w:rsidR="00D11201" w:rsidRPr="005C71A8">
        <w:rPr>
          <w:rFonts w:ascii="Times New Roman" w:hAnsi="Times New Roman"/>
          <w:sz w:val="24"/>
          <w:szCs w:val="24"/>
          <w:shd w:val="clear" w:color="auto" w:fill="FFFFFF"/>
        </w:rPr>
        <w:t xml:space="preserve"> </w:t>
      </w:r>
      <w:r w:rsidR="00C63EA8" w:rsidRPr="005C71A8">
        <w:rPr>
          <w:rFonts w:ascii="Times New Roman" w:hAnsi="Times New Roman"/>
          <w:sz w:val="24"/>
          <w:szCs w:val="24"/>
          <w:shd w:val="clear" w:color="auto" w:fill="FFFFFF"/>
        </w:rPr>
        <w:t>renda e</w:t>
      </w:r>
      <w:r w:rsidR="00D11201" w:rsidRPr="005C71A8">
        <w:rPr>
          <w:rFonts w:ascii="Times New Roman" w:hAnsi="Times New Roman"/>
          <w:sz w:val="24"/>
          <w:szCs w:val="24"/>
          <w:shd w:val="clear" w:color="auto" w:fill="FFFFFF"/>
        </w:rPr>
        <w:t xml:space="preserve"> oportunidades. Conclui-se que a</w:t>
      </w:r>
      <w:r w:rsidR="00BC68D3" w:rsidRPr="005C71A8">
        <w:rPr>
          <w:rFonts w:ascii="Times New Roman" w:hAnsi="Times New Roman"/>
          <w:sz w:val="24"/>
          <w:szCs w:val="24"/>
          <w:shd w:val="clear" w:color="auto" w:fill="FFFFFF"/>
        </w:rPr>
        <w:t xml:space="preserve"> reforma trabalhista </w:t>
      </w:r>
      <w:r w:rsidRPr="005C71A8">
        <w:rPr>
          <w:rFonts w:ascii="Times New Roman" w:hAnsi="Times New Roman"/>
          <w:sz w:val="24"/>
          <w:szCs w:val="24"/>
          <w:shd w:val="clear" w:color="auto" w:fill="FFFFFF"/>
        </w:rPr>
        <w:t xml:space="preserve">não cumpriu sua promessa de geração de emprego e renda, pois os dados pós </w:t>
      </w:r>
      <w:r w:rsidR="005C71A8" w:rsidRPr="005C71A8">
        <w:rPr>
          <w:rFonts w:ascii="Times New Roman" w:hAnsi="Times New Roman"/>
          <w:sz w:val="24"/>
          <w:szCs w:val="24"/>
          <w:shd w:val="clear" w:color="auto" w:fill="FFFFFF"/>
        </w:rPr>
        <w:t>R</w:t>
      </w:r>
      <w:r w:rsidRPr="005C71A8">
        <w:rPr>
          <w:rFonts w:ascii="Times New Roman" w:hAnsi="Times New Roman"/>
          <w:sz w:val="24"/>
          <w:szCs w:val="24"/>
          <w:shd w:val="clear" w:color="auto" w:fill="FFFFFF"/>
        </w:rPr>
        <w:t>eforma demonstram uma piora no quadro da população trabalhadora jovem do Brasil, especialmente do Nordeste.</w:t>
      </w:r>
    </w:p>
    <w:p w:rsidR="00723E1E" w:rsidRPr="0061769D" w:rsidRDefault="00723E1E" w:rsidP="00306C6E">
      <w:pPr>
        <w:spacing w:after="0" w:line="240" w:lineRule="auto"/>
        <w:jc w:val="both"/>
        <w:rPr>
          <w:rFonts w:ascii="Times New Roman" w:hAnsi="Times New Roman"/>
          <w:sz w:val="24"/>
          <w:szCs w:val="24"/>
        </w:rPr>
      </w:pPr>
      <w:r w:rsidRPr="0061769D">
        <w:rPr>
          <w:rFonts w:ascii="Times New Roman" w:hAnsi="Times New Roman"/>
          <w:b/>
          <w:bCs/>
          <w:sz w:val="24"/>
          <w:szCs w:val="24"/>
        </w:rPr>
        <w:t>Palavras- chave</w:t>
      </w:r>
      <w:r w:rsidRPr="0061769D">
        <w:rPr>
          <w:rFonts w:ascii="Times New Roman" w:hAnsi="Times New Roman"/>
          <w:sz w:val="24"/>
          <w:szCs w:val="24"/>
        </w:rPr>
        <w:t xml:space="preserve">: </w:t>
      </w:r>
      <w:r w:rsidR="009970F6">
        <w:rPr>
          <w:rFonts w:ascii="Times New Roman" w:hAnsi="Times New Roman"/>
          <w:sz w:val="24"/>
          <w:szCs w:val="24"/>
        </w:rPr>
        <w:t>Reforma Trabalhista; Jovem; Nordeste; Mercado de trabalho; Precarização.</w:t>
      </w:r>
    </w:p>
    <w:p w:rsidR="005C71A8" w:rsidRPr="002D5A3E" w:rsidRDefault="005C71A8" w:rsidP="003D6F08">
      <w:pPr>
        <w:spacing w:before="120" w:after="120" w:line="240" w:lineRule="auto"/>
        <w:jc w:val="both"/>
        <w:rPr>
          <w:rFonts w:ascii="Times New Roman" w:hAnsi="Times New Roman"/>
          <w:sz w:val="24"/>
          <w:szCs w:val="24"/>
        </w:rPr>
      </w:pPr>
      <w:r w:rsidRPr="00E33C3B">
        <w:rPr>
          <w:rFonts w:ascii="Times New Roman" w:hAnsi="Times New Roman"/>
          <w:b/>
          <w:sz w:val="24"/>
          <w:szCs w:val="24"/>
        </w:rPr>
        <w:t>GT Nº 6:</w:t>
      </w:r>
      <w:r w:rsidRPr="002D5A3E">
        <w:rPr>
          <w:rFonts w:ascii="Times New Roman" w:hAnsi="Times New Roman"/>
          <w:sz w:val="24"/>
          <w:szCs w:val="24"/>
        </w:rPr>
        <w:t xml:space="preserve"> Estado, Políticas Públicas e Desenvolvimento Regional em um cenário pós-pandemia</w:t>
      </w:r>
    </w:p>
    <w:p w:rsidR="00723E1E" w:rsidRPr="0061769D" w:rsidRDefault="00723E1E" w:rsidP="00723E1E">
      <w:pPr>
        <w:spacing w:after="0" w:line="360" w:lineRule="auto"/>
        <w:jc w:val="both"/>
        <w:rPr>
          <w:rFonts w:ascii="Times New Roman" w:hAnsi="Times New Roman"/>
          <w:b/>
          <w:sz w:val="24"/>
          <w:szCs w:val="24"/>
          <w:shd w:val="clear" w:color="auto" w:fill="FFFFFF"/>
        </w:rPr>
      </w:pPr>
      <w:r w:rsidRPr="0061769D">
        <w:rPr>
          <w:rFonts w:ascii="Times New Roman" w:hAnsi="Times New Roman"/>
          <w:b/>
          <w:sz w:val="24"/>
          <w:szCs w:val="24"/>
          <w:shd w:val="clear" w:color="auto" w:fill="FFFFFF"/>
        </w:rPr>
        <w:t>1 INTRODUÇÃO</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rPr>
        <w:t xml:space="preserve">Segundo Bourdieu (1983), a diversidade de ser jovem é demonstrada a partir dos efeitos que as desigualdades possuem para determinar a trajetória do jovem no percurso de sua vida. Segundo Pais (1990, p. 146), a juventude é uma categoria socialmente construída, “formulada no contexto de particulares circunstâncias econômicas, sociais ou políticas; uma categoria sujeita, pois, a modificar-se ao longo do tempo”. </w:t>
      </w:r>
      <w:r w:rsidRPr="0061769D">
        <w:rPr>
          <w:rFonts w:ascii="Times New Roman" w:hAnsi="Times New Roman"/>
          <w:sz w:val="24"/>
          <w:szCs w:val="24"/>
          <w:shd w:val="clear" w:color="auto" w:fill="FFFFFF"/>
        </w:rPr>
        <w:t>Biologicamente falando, no Brasil o Estatuto da Juventude (Lei 12.852/2013) delimita que jovens são as pessoas que se situam na faixa etária entre 15 a 29 anos (BRASIL, 2013).</w:t>
      </w:r>
    </w:p>
    <w:p w:rsidR="00723E1E" w:rsidRPr="0061769D" w:rsidRDefault="00D11201" w:rsidP="00723E1E">
      <w:pPr>
        <w:spacing w:after="0" w:line="360" w:lineRule="auto"/>
        <w:ind w:firstLine="851"/>
        <w:jc w:val="both"/>
        <w:rPr>
          <w:rFonts w:ascii="Times New Roman" w:hAnsi="Times New Roman"/>
          <w:sz w:val="24"/>
          <w:szCs w:val="24"/>
          <w:shd w:val="clear" w:color="auto" w:fill="FFFFFF"/>
        </w:rPr>
      </w:pPr>
      <w:r>
        <w:rPr>
          <w:rFonts w:ascii="Times New Roman" w:hAnsi="Times New Roman"/>
          <w:sz w:val="24"/>
          <w:szCs w:val="24"/>
          <w:shd w:val="clear" w:color="auto" w:fill="FFFFFF"/>
        </w:rPr>
        <w:t>Segundo Antunes (1995</w:t>
      </w:r>
      <w:r w:rsidR="00723E1E" w:rsidRPr="0061769D">
        <w:rPr>
          <w:rFonts w:ascii="Times New Roman" w:hAnsi="Times New Roman"/>
          <w:sz w:val="24"/>
          <w:szCs w:val="24"/>
          <w:shd w:val="clear" w:color="auto" w:fill="FFFFFF"/>
        </w:rPr>
        <w:t xml:space="preserve">); Costa, Rocha e Silva (2018) e Suiron (2018) a população jovem é a que mais sofre com as situações econômicas adversas. No mercado de trabalho suas taxas de emprego, rotatividade e informalidade se demonstram mais alarmantes que as das demais faixas etárias, culminando com uma situação de maior vulnerabilidade socioeconômica e precarização do trabalho. É nesse sentido que a realização de estudos sobre os impactos da Reforma Trabalhista, realizada no Brasil em 2017, sobre a condição do jovem </w:t>
      </w:r>
      <w:r w:rsidR="00723E1E" w:rsidRPr="0061769D">
        <w:rPr>
          <w:rFonts w:ascii="Times New Roman" w:hAnsi="Times New Roman"/>
          <w:sz w:val="24"/>
          <w:szCs w:val="24"/>
          <w:shd w:val="clear" w:color="auto" w:fill="FFFFFF"/>
        </w:rPr>
        <w:lastRenderedPageBreak/>
        <w:t>se fazem necessários para acompanhar a evolução da organização e dinâmica desse grupo específico no mercado de trabalho</w:t>
      </w:r>
      <w:r w:rsidR="00C8558A">
        <w:rPr>
          <w:rFonts w:ascii="Times New Roman" w:hAnsi="Times New Roman"/>
          <w:sz w:val="24"/>
          <w:szCs w:val="24"/>
          <w:shd w:val="clear" w:color="auto" w:fill="FFFFFF"/>
        </w:rPr>
        <w:t>, contribuindo para a análise que os efeitos da Reforma, dentro de terminadas circunstâncias econômicas e sociais, provocaram sobre a trajetória dos jovens no percurso de sua vida</w:t>
      </w:r>
      <w:r w:rsidR="00723E1E" w:rsidRPr="0061769D">
        <w:rPr>
          <w:rFonts w:ascii="Times New Roman" w:hAnsi="Times New Roman"/>
          <w:sz w:val="24"/>
          <w:szCs w:val="24"/>
          <w:shd w:val="clear" w:color="auto" w:fill="FFFFFF"/>
        </w:rPr>
        <w:t>.</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shd w:val="clear" w:color="auto" w:fill="FFFFFF"/>
        </w:rPr>
        <w:t xml:space="preserve">Segundo Trovão e Araújo (2020), recentemente, entre 2017 e 2019 foram adotadas medidas de flexibilização das relações de trabalho no Brasil, que provocaram mudanças significativas no mercado de trabalho, especialmente quanto à sua organização e sua dinâmica. Ainda segundo os autores, as reformas da época ainda não se mostraram capazes de proporcionar uma recuperação do mercado de trabalho, não contribuíram para reduzir o desemprego, a informalidade e ainda retiraram direitos dos trabalhadores. </w:t>
      </w:r>
      <w:r w:rsidRPr="0061769D">
        <w:rPr>
          <w:rFonts w:ascii="Times New Roman" w:hAnsi="Times New Roman"/>
          <w:sz w:val="24"/>
          <w:szCs w:val="24"/>
        </w:rPr>
        <w:t xml:space="preserve">Nesse sentido, o presente trabalho tem como objetivo principal, evidenciar </w:t>
      </w:r>
      <w:r w:rsidR="00C8558A">
        <w:rPr>
          <w:rFonts w:ascii="Times New Roman" w:hAnsi="Times New Roman"/>
          <w:sz w:val="24"/>
          <w:szCs w:val="24"/>
        </w:rPr>
        <w:t>os primeiros impactos da Reforma trabalhista no Brasil sobre a</w:t>
      </w:r>
      <w:r w:rsidRPr="0061769D">
        <w:rPr>
          <w:rFonts w:ascii="Times New Roman" w:hAnsi="Times New Roman"/>
          <w:sz w:val="24"/>
          <w:szCs w:val="24"/>
        </w:rPr>
        <w:t xml:space="preserve"> organização e dinâmica do mercado de trabalho da população jovem, em particular, a dos estados do </w:t>
      </w:r>
      <w:r w:rsidR="00C8558A">
        <w:rPr>
          <w:rFonts w:ascii="Times New Roman" w:hAnsi="Times New Roman"/>
          <w:sz w:val="24"/>
          <w:szCs w:val="24"/>
        </w:rPr>
        <w:t>N</w:t>
      </w:r>
      <w:r w:rsidRPr="0061769D">
        <w:rPr>
          <w:rFonts w:ascii="Times New Roman" w:hAnsi="Times New Roman"/>
          <w:sz w:val="24"/>
          <w:szCs w:val="24"/>
        </w:rPr>
        <w:t>ordeste.</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Em junho de 2016, quando o quadro do </w:t>
      </w:r>
      <w:r w:rsidRPr="0061769D">
        <w:rPr>
          <w:rFonts w:ascii="Times New Roman" w:hAnsi="Times New Roman"/>
          <w:i/>
          <w:sz w:val="24"/>
          <w:szCs w:val="24"/>
        </w:rPr>
        <w:t>impeachment</w:t>
      </w:r>
      <w:r w:rsidRPr="0061769D">
        <w:rPr>
          <w:rFonts w:ascii="Times New Roman" w:hAnsi="Times New Roman"/>
          <w:sz w:val="24"/>
          <w:szCs w:val="24"/>
        </w:rPr>
        <w:t xml:space="preserve"> da presidente Dilma Roussef se desenhava</w:t>
      </w:r>
      <w:r w:rsidR="00C8558A">
        <w:rPr>
          <w:rFonts w:ascii="Times New Roman" w:hAnsi="Times New Roman"/>
          <w:sz w:val="24"/>
          <w:szCs w:val="24"/>
        </w:rPr>
        <w:t>,</w:t>
      </w:r>
      <w:r w:rsidRPr="0061769D">
        <w:rPr>
          <w:rFonts w:ascii="Times New Roman" w:hAnsi="Times New Roman"/>
          <w:sz w:val="24"/>
          <w:szCs w:val="24"/>
        </w:rPr>
        <w:t xml:space="preserve"> a taxa de desemprego da população jovem chegou a 20,9% (5 pontos percentuais a mais em relação a 2015), já a taxa geral de desemprego representava 11,7% (IBGE, 2022). Segundo Antunes (2020), a classe trabalhadora assistiu a partir desse período, além do aumento do desemprego, também a deterioração dos seus rendimentos e a demolição completa dos seus direitos trabalhistas.</w:t>
      </w:r>
    </w:p>
    <w:p w:rsidR="00723E1E" w:rsidRPr="0061769D" w:rsidRDefault="00C8558A" w:rsidP="00723E1E">
      <w:pPr>
        <w:spacing w:after="0" w:line="360" w:lineRule="auto"/>
        <w:ind w:firstLine="851"/>
        <w:jc w:val="both"/>
        <w:rPr>
          <w:rFonts w:ascii="Times New Roman" w:hAnsi="Times New Roman"/>
          <w:sz w:val="24"/>
          <w:szCs w:val="24"/>
        </w:rPr>
      </w:pPr>
      <w:r>
        <w:rPr>
          <w:rFonts w:ascii="Times New Roman" w:hAnsi="Times New Roman"/>
          <w:sz w:val="24"/>
          <w:szCs w:val="24"/>
        </w:rPr>
        <w:t>Os dados populacionais também evidenciam a importância deste coorte etário. No Nordeste, a</w:t>
      </w:r>
      <w:r w:rsidR="00723E1E" w:rsidRPr="0061769D">
        <w:rPr>
          <w:rFonts w:ascii="Times New Roman" w:hAnsi="Times New Roman"/>
          <w:sz w:val="24"/>
          <w:szCs w:val="24"/>
        </w:rPr>
        <w:t xml:space="preserve"> população </w:t>
      </w:r>
      <w:r>
        <w:rPr>
          <w:rFonts w:ascii="Times New Roman" w:hAnsi="Times New Roman"/>
          <w:sz w:val="24"/>
          <w:szCs w:val="24"/>
        </w:rPr>
        <w:t>a</w:t>
      </w:r>
      <w:r w:rsidR="00723E1E" w:rsidRPr="0061769D">
        <w:rPr>
          <w:rFonts w:ascii="Times New Roman" w:hAnsi="Times New Roman"/>
          <w:sz w:val="24"/>
          <w:szCs w:val="24"/>
        </w:rPr>
        <w:t xml:space="preserve">cima de 10 anos correspondia, em média, a 27% da população brasileira entre os anos 2016 a 2019, ou seja, havia no Brasil um contingente de 178.384,25 milhões de habitantes em idade ativa, onde 48.089,75 milhões de pessoas estavam no Nordeste. Já a população jovem no Brasil </w:t>
      </w:r>
      <w:r>
        <w:rPr>
          <w:rFonts w:ascii="Times New Roman" w:hAnsi="Times New Roman"/>
          <w:sz w:val="24"/>
          <w:szCs w:val="24"/>
        </w:rPr>
        <w:t>(de 15</w:t>
      </w:r>
      <w:r w:rsidR="00723E1E" w:rsidRPr="0061769D">
        <w:rPr>
          <w:rFonts w:ascii="Times New Roman" w:hAnsi="Times New Roman"/>
          <w:sz w:val="24"/>
          <w:szCs w:val="24"/>
        </w:rPr>
        <w:t xml:space="preserve"> a 29 anos de idade) entre os anos 2016 a 2019 eram, em média, 53.892,5 milhões de pessoas, isto representa, 30,2% do total da força de trabalho do país. No caso do Nordeste, onde a população jovem representava um quantitativo de 15.282,75 milhões de pessoas, esta representa 31,78% da força de trabalho da região. Já a pr</w:t>
      </w:r>
      <w:r>
        <w:rPr>
          <w:rFonts w:ascii="Times New Roman" w:hAnsi="Times New Roman"/>
          <w:sz w:val="24"/>
          <w:szCs w:val="24"/>
        </w:rPr>
        <w:t>oporção de jovens que vivem no No</w:t>
      </w:r>
      <w:r w:rsidR="00723E1E" w:rsidRPr="0061769D">
        <w:rPr>
          <w:rFonts w:ascii="Times New Roman" w:hAnsi="Times New Roman"/>
          <w:sz w:val="24"/>
          <w:szCs w:val="24"/>
        </w:rPr>
        <w:t xml:space="preserve">rdeste representa 28,4% da força de trabalho jovem do Brasil </w:t>
      </w:r>
      <w:r>
        <w:rPr>
          <w:rFonts w:ascii="Times New Roman" w:hAnsi="Times New Roman"/>
          <w:sz w:val="24"/>
          <w:szCs w:val="24"/>
        </w:rPr>
        <w:t>(IBGE, 2022).</w:t>
      </w:r>
    </w:p>
    <w:p w:rsidR="00611068" w:rsidRPr="00611068" w:rsidRDefault="00723E1E" w:rsidP="00D11201">
      <w:pPr>
        <w:spacing w:after="0" w:line="360" w:lineRule="auto"/>
        <w:ind w:firstLine="851"/>
        <w:jc w:val="both"/>
        <w:rPr>
          <w:rFonts w:ascii="Times New Roman" w:hAnsi="Times New Roman"/>
          <w:sz w:val="24"/>
          <w:szCs w:val="24"/>
        </w:rPr>
      </w:pPr>
      <w:r w:rsidRPr="0061769D">
        <w:rPr>
          <w:rFonts w:ascii="Times New Roman" w:hAnsi="Times New Roman"/>
          <w:sz w:val="24"/>
          <w:szCs w:val="24"/>
        </w:rPr>
        <w:lastRenderedPageBreak/>
        <w:t>A metodologia do trabalho se baseou em uma análise exploratória e descritiva, de natureza quantitativa. Teve como fonte pesquisa secundária os dados da Pesquisa Nacional por Amostra de Domicílios PNAD</w:t>
      </w:r>
      <w:r w:rsidR="00C8558A">
        <w:rPr>
          <w:rFonts w:ascii="Times New Roman" w:hAnsi="Times New Roman"/>
          <w:sz w:val="24"/>
          <w:szCs w:val="24"/>
        </w:rPr>
        <w:t xml:space="preserve"> Contínua</w:t>
      </w:r>
      <w:r w:rsidRPr="0061769D">
        <w:rPr>
          <w:rFonts w:ascii="Times New Roman" w:hAnsi="Times New Roman"/>
          <w:sz w:val="24"/>
          <w:szCs w:val="24"/>
        </w:rPr>
        <w:t>, para os anos de 2016 a 2019 (dados disponíveis no banco de dado SIDRA/IBGE).</w:t>
      </w:r>
      <w:r w:rsidR="00C8558A">
        <w:rPr>
          <w:rFonts w:ascii="Times New Roman" w:hAnsi="Times New Roman"/>
          <w:sz w:val="24"/>
          <w:szCs w:val="24"/>
        </w:rPr>
        <w:t xml:space="preserve"> Para tratar sobre os temas abordados, também se valeu de autores como Pais (1990); Antunes (199</w:t>
      </w:r>
      <w:r w:rsidR="00D11201">
        <w:rPr>
          <w:rFonts w:ascii="Times New Roman" w:hAnsi="Times New Roman"/>
          <w:sz w:val="24"/>
          <w:szCs w:val="24"/>
        </w:rPr>
        <w:t>5</w:t>
      </w:r>
      <w:r w:rsidR="00C8558A">
        <w:rPr>
          <w:rFonts w:ascii="Times New Roman" w:hAnsi="Times New Roman"/>
          <w:sz w:val="24"/>
          <w:szCs w:val="24"/>
        </w:rPr>
        <w:t>, 2020); Suiron (2018), Trovão e Araújo (2020), entre outros</w:t>
      </w:r>
      <w:r w:rsidR="00C8558A" w:rsidRPr="00C22C98">
        <w:rPr>
          <w:rFonts w:ascii="Times New Roman" w:hAnsi="Times New Roman"/>
          <w:sz w:val="24"/>
          <w:szCs w:val="24"/>
        </w:rPr>
        <w:t xml:space="preserve">. </w:t>
      </w:r>
      <w:r w:rsidRPr="00C22C98">
        <w:rPr>
          <w:rFonts w:ascii="Times New Roman" w:hAnsi="Times New Roman"/>
          <w:sz w:val="24"/>
          <w:szCs w:val="24"/>
        </w:rPr>
        <w:t>Dessa forma, o presente trabalho fic</w:t>
      </w:r>
      <w:r w:rsidR="00C8558A" w:rsidRPr="00C22C98">
        <w:rPr>
          <w:rFonts w:ascii="Times New Roman" w:hAnsi="Times New Roman"/>
          <w:sz w:val="24"/>
          <w:szCs w:val="24"/>
        </w:rPr>
        <w:t>ou organizado da seguinte forma. Além</w:t>
      </w:r>
      <w:r w:rsidR="00C8558A">
        <w:rPr>
          <w:rFonts w:ascii="Times New Roman" w:hAnsi="Times New Roman"/>
          <w:sz w:val="24"/>
          <w:szCs w:val="24"/>
        </w:rPr>
        <w:t xml:space="preserve"> desta introdução e considerações finais, o primeiro tópico trata sobre os aspectos da Reforma Trabalhista no Brasil realizada no ano</w:t>
      </w:r>
      <w:r w:rsidR="00C22C98">
        <w:rPr>
          <w:rFonts w:ascii="Times New Roman" w:hAnsi="Times New Roman"/>
          <w:sz w:val="24"/>
          <w:szCs w:val="24"/>
        </w:rPr>
        <w:t xml:space="preserve"> de</w:t>
      </w:r>
      <w:r w:rsidR="00C8558A">
        <w:rPr>
          <w:rFonts w:ascii="Times New Roman" w:hAnsi="Times New Roman"/>
          <w:sz w:val="24"/>
          <w:szCs w:val="24"/>
        </w:rPr>
        <w:t xml:space="preserve"> 2017. O segundo tópi</w:t>
      </w:r>
      <w:r w:rsidR="00C22C98">
        <w:rPr>
          <w:rFonts w:ascii="Times New Roman" w:hAnsi="Times New Roman"/>
          <w:sz w:val="24"/>
          <w:szCs w:val="24"/>
        </w:rPr>
        <w:t xml:space="preserve">co apresenta a configuração da </w:t>
      </w:r>
      <w:r w:rsidR="00C22C98" w:rsidRPr="00C22C98">
        <w:rPr>
          <w:rFonts w:ascii="Times New Roman" w:hAnsi="Times New Roman"/>
          <w:sz w:val="24"/>
          <w:szCs w:val="24"/>
        </w:rPr>
        <w:t xml:space="preserve">dinâmica e organização do mercado </w:t>
      </w:r>
      <w:r w:rsidR="00C22C98">
        <w:rPr>
          <w:rFonts w:ascii="Times New Roman" w:hAnsi="Times New Roman"/>
          <w:sz w:val="24"/>
          <w:szCs w:val="24"/>
        </w:rPr>
        <w:t>de trabalho jovem no B</w:t>
      </w:r>
      <w:r w:rsidR="00C22C98" w:rsidRPr="00C22C98">
        <w:rPr>
          <w:rFonts w:ascii="Times New Roman" w:hAnsi="Times New Roman"/>
          <w:sz w:val="24"/>
          <w:szCs w:val="24"/>
        </w:rPr>
        <w:t>rasi</w:t>
      </w:r>
      <w:r w:rsidR="00C22C98">
        <w:rPr>
          <w:rFonts w:ascii="Times New Roman" w:hAnsi="Times New Roman"/>
          <w:sz w:val="24"/>
          <w:szCs w:val="24"/>
        </w:rPr>
        <w:t>l</w:t>
      </w:r>
      <w:r w:rsidR="00C22C98" w:rsidRPr="00C22C98">
        <w:rPr>
          <w:rFonts w:ascii="Times New Roman" w:hAnsi="Times New Roman"/>
          <w:sz w:val="24"/>
          <w:szCs w:val="24"/>
        </w:rPr>
        <w:t xml:space="preserve"> após a reforma trabalhista</w:t>
      </w:r>
      <w:r w:rsidR="00611068">
        <w:rPr>
          <w:rFonts w:ascii="Times New Roman" w:hAnsi="Times New Roman"/>
          <w:sz w:val="24"/>
          <w:szCs w:val="24"/>
        </w:rPr>
        <w:t>.</w:t>
      </w:r>
      <w:r w:rsidR="00C22C98">
        <w:rPr>
          <w:rFonts w:ascii="Times New Roman" w:hAnsi="Times New Roman"/>
          <w:sz w:val="24"/>
          <w:szCs w:val="24"/>
        </w:rPr>
        <w:t xml:space="preserve"> </w:t>
      </w:r>
      <w:r w:rsidR="00611068">
        <w:rPr>
          <w:rFonts w:ascii="Times New Roman" w:hAnsi="Times New Roman"/>
          <w:sz w:val="24"/>
          <w:szCs w:val="24"/>
        </w:rPr>
        <w:t>P</w:t>
      </w:r>
      <w:r w:rsidR="00C22C98">
        <w:rPr>
          <w:rFonts w:ascii="Times New Roman" w:hAnsi="Times New Roman"/>
          <w:sz w:val="24"/>
          <w:szCs w:val="24"/>
        </w:rPr>
        <w:t>or fi</w:t>
      </w:r>
      <w:r w:rsidR="00C8558A">
        <w:rPr>
          <w:rFonts w:ascii="Times New Roman" w:hAnsi="Times New Roman"/>
          <w:sz w:val="24"/>
          <w:szCs w:val="24"/>
        </w:rPr>
        <w:t>m</w:t>
      </w:r>
      <w:r w:rsidR="00C22C98">
        <w:rPr>
          <w:rFonts w:ascii="Times New Roman" w:hAnsi="Times New Roman"/>
          <w:sz w:val="24"/>
          <w:szCs w:val="24"/>
        </w:rPr>
        <w:t>,</w:t>
      </w:r>
      <w:r w:rsidR="00C8558A">
        <w:rPr>
          <w:rFonts w:ascii="Times New Roman" w:hAnsi="Times New Roman"/>
          <w:sz w:val="24"/>
          <w:szCs w:val="24"/>
        </w:rPr>
        <w:t xml:space="preserve"> o </w:t>
      </w:r>
      <w:r w:rsidR="00C8558A" w:rsidRPr="00611068">
        <w:rPr>
          <w:rFonts w:ascii="Times New Roman" w:hAnsi="Times New Roman"/>
          <w:sz w:val="24"/>
          <w:szCs w:val="24"/>
        </w:rPr>
        <w:t xml:space="preserve">terceiro tópico </w:t>
      </w:r>
      <w:r w:rsidR="00C22C98" w:rsidRPr="00611068">
        <w:rPr>
          <w:rFonts w:ascii="Times New Roman" w:hAnsi="Times New Roman"/>
          <w:sz w:val="24"/>
          <w:szCs w:val="24"/>
        </w:rPr>
        <w:t xml:space="preserve">que apresenta </w:t>
      </w:r>
      <w:r w:rsidR="00611068" w:rsidRPr="00611068">
        <w:rPr>
          <w:rFonts w:ascii="Times New Roman" w:hAnsi="Times New Roman"/>
          <w:sz w:val="24"/>
          <w:szCs w:val="24"/>
        </w:rPr>
        <w:t>os</w:t>
      </w:r>
      <w:r w:rsidR="00611068">
        <w:rPr>
          <w:rFonts w:ascii="Times New Roman" w:hAnsi="Times New Roman"/>
          <w:sz w:val="24"/>
          <w:szCs w:val="24"/>
        </w:rPr>
        <w:t xml:space="preserve"> </w:t>
      </w:r>
      <w:r w:rsidR="00611068" w:rsidRPr="00611068">
        <w:rPr>
          <w:rFonts w:ascii="Times New Roman" w:hAnsi="Times New Roman"/>
          <w:sz w:val="24"/>
          <w:szCs w:val="24"/>
        </w:rPr>
        <w:t xml:space="preserve">impactos da reforma trabalhista na dinâmica e organização do mercado de trabalho jovem no </w:t>
      </w:r>
      <w:r w:rsidR="00611068">
        <w:rPr>
          <w:rFonts w:ascii="Times New Roman" w:hAnsi="Times New Roman"/>
          <w:sz w:val="24"/>
          <w:szCs w:val="24"/>
        </w:rPr>
        <w:t>N</w:t>
      </w:r>
      <w:r w:rsidR="00611068" w:rsidRPr="00611068">
        <w:rPr>
          <w:rFonts w:ascii="Times New Roman" w:hAnsi="Times New Roman"/>
          <w:sz w:val="24"/>
          <w:szCs w:val="24"/>
        </w:rPr>
        <w:t>ordeste</w:t>
      </w:r>
      <w:r w:rsidR="00611068">
        <w:rPr>
          <w:rFonts w:ascii="Times New Roman" w:hAnsi="Times New Roman"/>
          <w:sz w:val="24"/>
          <w:szCs w:val="24"/>
        </w:rPr>
        <w:t>. Espera-se contribuir para o debate acerca da condição de vulnerabilidade desta população em sua trajetória de vida, sobretudo, do Nordeste, em um cenário de novas configurações do pós Pandemia da Covid-19.</w:t>
      </w:r>
    </w:p>
    <w:p w:rsidR="00723E1E" w:rsidRPr="0061769D" w:rsidRDefault="00723E1E" w:rsidP="00723E1E">
      <w:pPr>
        <w:spacing w:after="0" w:line="360" w:lineRule="auto"/>
        <w:jc w:val="both"/>
        <w:rPr>
          <w:rFonts w:ascii="Times New Roman" w:hAnsi="Times New Roman"/>
          <w:b/>
          <w:sz w:val="24"/>
          <w:szCs w:val="24"/>
        </w:rPr>
      </w:pPr>
      <w:r w:rsidRPr="0061769D">
        <w:rPr>
          <w:rFonts w:ascii="Times New Roman" w:hAnsi="Times New Roman"/>
          <w:b/>
          <w:sz w:val="24"/>
          <w:szCs w:val="24"/>
        </w:rPr>
        <w:t>2 ASPECTOS DA REFORMA TRABALHISTA NO BRASIL</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 xml:space="preserve">Segundo </w:t>
      </w:r>
      <w:r w:rsidRPr="0061769D">
        <w:rPr>
          <w:rFonts w:ascii="Times New Roman" w:hAnsi="Times New Roman"/>
          <w:sz w:val="24"/>
          <w:szCs w:val="24"/>
        </w:rPr>
        <w:t>Trovão</w:t>
      </w:r>
      <w:r w:rsidRPr="0061769D">
        <w:rPr>
          <w:rFonts w:ascii="Times New Roman" w:hAnsi="Times New Roman"/>
          <w:sz w:val="24"/>
          <w:szCs w:val="24"/>
          <w:shd w:val="clear" w:color="auto" w:fill="FFFFFF"/>
        </w:rPr>
        <w:t xml:space="preserve"> e Araújo (2020), Antunes (2020) e Galvão et. al. (2017) a transformação das relações de trabalho nas últimas décadas no Brasil foi marcada pelo avanço da flexibilização da legislação trabalhista. A </w:t>
      </w:r>
      <w:r w:rsidRPr="0061769D">
        <w:rPr>
          <w:rFonts w:ascii="Times New Roman" w:hAnsi="Times New Roman"/>
          <w:sz w:val="24"/>
          <w:szCs w:val="24"/>
        </w:rPr>
        <w:t xml:space="preserve">flexibilização da legislação trabalhista é um processo justificado pela rigidez que as leis trabalhistas impõem ao mercado causando impossibilidades às empresas de criar mais empregos (TROVÃO E ARAÚJO, 2020). </w:t>
      </w:r>
      <w:r w:rsidRPr="0061769D">
        <w:rPr>
          <w:rFonts w:ascii="Times New Roman" w:hAnsi="Times New Roman"/>
          <w:sz w:val="24"/>
          <w:szCs w:val="24"/>
          <w:shd w:val="clear" w:color="auto" w:fill="FFFFFF"/>
        </w:rPr>
        <w:t xml:space="preserve">No entanto, conforme argumenta os autores, o movimento de flexibilização e desregulação do trabalho no Brasil é associado ao baixo grau de proteção social e permitiu: </w:t>
      </w:r>
    </w:p>
    <w:p w:rsidR="00723E1E" w:rsidRPr="00554823" w:rsidRDefault="00723E1E" w:rsidP="00D11201">
      <w:pPr>
        <w:spacing w:after="120" w:line="240" w:lineRule="auto"/>
        <w:ind w:left="2268"/>
        <w:jc w:val="both"/>
        <w:rPr>
          <w:rFonts w:ascii="Times New Roman" w:hAnsi="Times New Roman"/>
          <w:szCs w:val="24"/>
          <w:shd w:val="clear" w:color="auto" w:fill="FFFFFF"/>
        </w:rPr>
      </w:pPr>
      <w:r w:rsidRPr="00554823">
        <w:rPr>
          <w:rFonts w:ascii="Times New Roman" w:hAnsi="Times New Roman"/>
          <w:szCs w:val="24"/>
          <w:shd w:val="clear" w:color="auto" w:fill="FFFFFF"/>
        </w:rPr>
        <w:t>(...) a reprodução de um mercado de trabalho pouco institucionalizado, com a presença marcante de contratos de trabalho estabelecidos na informalidade. O elevado desemprego, impulsionado pelo excesso de oferta de mão de obra, somou-se à informalidade para marcar um quadro de elevada desigualdade de renda (TROVÃO E ARAÚJO, 2020, p. 6).</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Recentemente, o Brasil passou por uma nova </w:t>
      </w:r>
      <w:r w:rsidRPr="0061769D">
        <w:rPr>
          <w:rFonts w:ascii="Times New Roman" w:hAnsi="Times New Roman"/>
          <w:sz w:val="24"/>
          <w:szCs w:val="24"/>
          <w:shd w:val="clear" w:color="auto" w:fill="FFFFFF"/>
        </w:rPr>
        <w:t>reforma</w:t>
      </w:r>
      <w:r w:rsidRPr="0061769D">
        <w:rPr>
          <w:rFonts w:ascii="Times New Roman" w:hAnsi="Times New Roman"/>
          <w:sz w:val="24"/>
          <w:szCs w:val="24"/>
        </w:rPr>
        <w:t xml:space="preserve"> trabalhista. A Lei 13.429 de março de 2017, que dispõe sobre o trabalho temporário, permite a terceirização total das relações de trabalho, perfilada pelo Governo Michel Temer (vice da presidente Dilma que assumiu em 2016 após seu </w:t>
      </w:r>
      <w:r w:rsidRPr="0061769D">
        <w:rPr>
          <w:rFonts w:ascii="Times New Roman" w:hAnsi="Times New Roman"/>
          <w:i/>
          <w:sz w:val="24"/>
          <w:szCs w:val="24"/>
        </w:rPr>
        <w:t>impeachment</w:t>
      </w:r>
      <w:r w:rsidR="00554823" w:rsidRPr="00554823">
        <w:rPr>
          <w:rFonts w:ascii="Times New Roman" w:hAnsi="Times New Roman"/>
          <w:sz w:val="24"/>
          <w:szCs w:val="24"/>
        </w:rPr>
        <w:t>/Golpe</w:t>
      </w:r>
      <w:r w:rsidRPr="0061769D">
        <w:rPr>
          <w:rFonts w:ascii="Times New Roman" w:hAnsi="Times New Roman"/>
          <w:sz w:val="24"/>
          <w:szCs w:val="24"/>
        </w:rPr>
        <w:t xml:space="preserve">). Destarte, a Lei nº 13.429/2017, não foi o único dispositivo que alterou as relações e os direitos do trabalho no Brasil recentemente, pois </w:t>
      </w:r>
      <w:r w:rsidRPr="0061769D">
        <w:rPr>
          <w:rFonts w:ascii="Times New Roman" w:hAnsi="Times New Roman"/>
          <w:sz w:val="24"/>
          <w:szCs w:val="24"/>
        </w:rPr>
        <w:lastRenderedPageBreak/>
        <w:t>a Lei nº 13.467 de 13 de julho de 2017, avançou significativamente na demolição do que ainda restava de</w:t>
      </w:r>
      <w:r w:rsidR="00554823">
        <w:rPr>
          <w:rFonts w:ascii="Times New Roman" w:hAnsi="Times New Roman"/>
          <w:sz w:val="24"/>
          <w:szCs w:val="24"/>
        </w:rPr>
        <w:t>sses</w:t>
      </w:r>
      <w:r w:rsidRPr="0061769D">
        <w:rPr>
          <w:rFonts w:ascii="Times New Roman" w:hAnsi="Times New Roman"/>
          <w:sz w:val="24"/>
          <w:szCs w:val="24"/>
        </w:rPr>
        <w:t xml:space="preserve"> direitos. Porém, essa nova Reforma “têm se mostrado incapaz de garantir a criação de postos de trabalho e, em grande medida, a expansão de empregos protegidos pela CLT ou de melhor perfil de remuneração” (TROVÃO E ARAÚJO, 2020, p. 07).</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Somando-se a essas Leis ainda resta a Declaração dos Direitos de Liberdade Econômica (Lei nº 13.874, de 2019) cujo objetivo é a desburocratização do exercício da atividade econômica e a Medida Provisória MP 905/2019 conhecida por ‘MP da Carteira de Trabalho Verde e Amarela’ (proposta em 2018 pelo então candidato a presidência Jair Bolsonaro em seu plano de governo) que estabelece uma modalidade diferenciada à contratação de jovens com idade entre 18 a 29 anos. A referida medida foi sancionada em meio a Pandemia da Covid-19 (abril de 2020) e em seguida revogada pelo presidente Bolsonaro com a MP 955/2020, que também implica na redução de direitos trabalhistas vigentes, como por exemplo, isenção de contribuição previdenciária dos trabalhadores jovens. Entretanto, ressalta-se que à análise deste trabalho só se aplica aos efeitos causados pelas leis 13.467/2017 e 13.429/2017, haja vista estarem vigentes no período da análise, diferentemente das demais citadas.</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Nesse sentido, uma das medidas que mais chama atenção quanto ao seu impacto no mercado de trabalho presente na Lei 13.429/2017 (também conhecida por Lei da terceirização), prevê em seu artigo 4º que o trabalho de terceiros, a ser executado na empresa tomadora de serviços, pode ser realizado para qualquer atividade da empresa contratante, seja atividade-meio ou atividade-fim (BRASIL, 2017a). Em outras palavras, fica configurado a permissão de terceirização total das atividades da empresa contratante. De forma prática, essa medida é capaz de provocar o aumento da Pjotização, isto é, a relação da empresa com seus empregados (inclusive recolhimentos e pagamentos de direitos sociais) é substituída pela relação entre empresas. Nesse caso, o indivíduo/trabalhador se inscreve no Cadastro Nacional de Pessoa Jurídica (CNPJ) e se registra na Junta Comercial, passando a exercer pessoalmente, como pessoa jurídica (em alguns casos com empregados), atividades específicas em outras empresas, configurando-se assim a relação entre empresas.</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lastRenderedPageBreak/>
        <w:t xml:space="preserve">Os primeiros resultados da pjotização já podem ser observados, pois os dados do IBGE (2022a) demonstram que os registros de CNPJ, no Brasil, voltaram a aumentar à partir de 2018 (depois de uma série histórica de quedas sucessivas desde os anos de 2012), dentro de um período caracterizado por forte recessão econômica no Brasil. Chama a atenção que os anos de 2018, 2019 e 2020 não se caracterizaram por períodos de crescimento econômico, tampouco de recuperação, mas o oposto (ANTUNES, 2020 e TROVÃO E ARAÚJO, 2020). Assim, o crescimento de CNPJ no Brasil alcançou um patamar excepcional de 6,8% entre 2018 e 2019; e de 3,44% entre 2019 e 2020; superando o período de expansão </w:t>
      </w:r>
      <w:r w:rsidR="003E58BD">
        <w:rPr>
          <w:rFonts w:ascii="Times New Roman" w:hAnsi="Times New Roman"/>
          <w:sz w:val="24"/>
          <w:szCs w:val="24"/>
        </w:rPr>
        <w:t xml:space="preserve">econômica </w:t>
      </w:r>
      <w:r w:rsidRPr="0061769D">
        <w:rPr>
          <w:rFonts w:ascii="Times New Roman" w:hAnsi="Times New Roman"/>
          <w:sz w:val="24"/>
          <w:szCs w:val="24"/>
        </w:rPr>
        <w:t>compreendido entre os anos 2006 a 2013, período de relativo crescimento e estabilidade econômica, conforme pode ser percebido no Gráfico 01, abaixo.</w:t>
      </w:r>
    </w:p>
    <w:p w:rsidR="00723E1E" w:rsidRPr="0061769D" w:rsidRDefault="00723E1E" w:rsidP="00723E1E">
      <w:pPr>
        <w:spacing w:after="0" w:line="360" w:lineRule="auto"/>
        <w:jc w:val="center"/>
        <w:rPr>
          <w:rFonts w:ascii="Times New Roman" w:hAnsi="Times New Roman"/>
          <w:sz w:val="24"/>
          <w:szCs w:val="24"/>
        </w:rPr>
      </w:pPr>
      <w:r w:rsidRPr="0061769D">
        <w:rPr>
          <w:rFonts w:ascii="Times New Roman" w:hAnsi="Times New Roman"/>
          <w:b/>
          <w:sz w:val="24"/>
          <w:szCs w:val="24"/>
        </w:rPr>
        <w:t>Gráfico 1:</w:t>
      </w:r>
      <w:r w:rsidRPr="0061769D">
        <w:rPr>
          <w:rFonts w:ascii="Times New Roman" w:hAnsi="Times New Roman"/>
          <w:sz w:val="24"/>
          <w:szCs w:val="24"/>
        </w:rPr>
        <w:t xml:space="preserve"> Brasil: Número de Unidades Locais de empresas (2006 - 2020)</w:t>
      </w:r>
    </w:p>
    <w:p w:rsidR="00723E1E" w:rsidRPr="0061769D" w:rsidRDefault="00F40674" w:rsidP="00723E1E">
      <w:pPr>
        <w:spacing w:after="0" w:line="360" w:lineRule="auto"/>
        <w:jc w:val="center"/>
        <w:rPr>
          <w:rFonts w:ascii="Times New Roman" w:hAnsi="Times New Roman"/>
          <w:sz w:val="24"/>
          <w:szCs w:val="24"/>
        </w:rPr>
      </w:pPr>
      <w:r w:rsidRPr="00F27D0A">
        <w:rPr>
          <w:rFonts w:ascii="Times New Roman" w:hAnsi="Times New Roman"/>
          <w:noProof/>
          <w:sz w:val="24"/>
          <w:szCs w:val="24"/>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1" o:spid="_x0000_i1025" type="#_x0000_t75" style="width:326.35pt;height:188.15pt;visibility:visible" o:bordertopcolor="this" o:borderleftcolor="this" o:borderbottomcolor="this" o:borderrightcolor="this"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">
            <v:imagedata r:id="rId9" o:title="" cropbottom="-70f"/>
            <o:lock v:ext="edit" aspectratio="f"/>
            <w10:bordertop type="single" width="4"/>
            <w10:borderleft type="single" width="4"/>
            <w10:borderbottom type="single" width="4"/>
            <w10:borderright type="single" width="4"/>
          </v:shape>
        </w:pict>
      </w:r>
    </w:p>
    <w:p w:rsidR="00723E1E" w:rsidRPr="003E58BD" w:rsidRDefault="00723E1E" w:rsidP="003E58BD">
      <w:pPr>
        <w:spacing w:before="120" w:after="0" w:line="360" w:lineRule="auto"/>
        <w:jc w:val="center"/>
        <w:rPr>
          <w:rFonts w:ascii="Times New Roman" w:hAnsi="Times New Roman"/>
          <w:szCs w:val="24"/>
        </w:rPr>
      </w:pPr>
      <w:r w:rsidRPr="003E58BD">
        <w:rPr>
          <w:rFonts w:ascii="Times New Roman" w:hAnsi="Times New Roman"/>
          <w:szCs w:val="24"/>
        </w:rPr>
        <w:t>Fonte: IBGE (2022a</w:t>
      </w:r>
      <w:r w:rsidR="003E58BD" w:rsidRPr="003E58BD">
        <w:rPr>
          <w:rFonts w:ascii="Times New Roman" w:hAnsi="Times New Roman"/>
          <w:szCs w:val="24"/>
        </w:rPr>
        <w:t xml:space="preserve">) Cadastro Central de Empresas </w:t>
      </w:r>
      <w:r w:rsidR="003E58BD">
        <w:rPr>
          <w:rFonts w:ascii="Times New Roman" w:hAnsi="Times New Roman"/>
          <w:szCs w:val="24"/>
        </w:rPr>
        <w:t>–</w:t>
      </w:r>
      <w:r w:rsidR="003E58BD" w:rsidRPr="003E58BD">
        <w:rPr>
          <w:rFonts w:ascii="Times New Roman" w:hAnsi="Times New Roman"/>
          <w:szCs w:val="24"/>
        </w:rPr>
        <w:t xml:space="preserve"> CEMPRE</w:t>
      </w:r>
      <w:r w:rsidR="003E58BD">
        <w:rPr>
          <w:rFonts w:ascii="Times New Roman" w:hAnsi="Times New Roman"/>
          <w:szCs w:val="24"/>
        </w:rPr>
        <w:t xml:space="preserve">. </w:t>
      </w:r>
      <w:r w:rsidRPr="003E58BD">
        <w:rPr>
          <w:rFonts w:ascii="Times New Roman" w:hAnsi="Times New Roman"/>
          <w:szCs w:val="24"/>
        </w:rPr>
        <w:t>Elaboração Própria em 2022.</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A pjotização pode ser melhor evidenciada quando se observa o avanço dos registros de CNPJ por tamanho da empresa. Os dados do Cadastro Central de Empresas do IBGE, as empresas registradas que possuíam mais de 5 pessoas ocupadas representava apenas 24,7% do conjunto total, enquanto que as empresas com até 4 pessoas ocupadas representava 75,3% em 2020 (este quantitativo saltou de 72% em 2018 para 75% em 2020, com um crescimento de 15%). Por outro lado, o número de pessoas ocupadas nesses estabelecimentos não acompanhou o mesmo crescimento, pois o nível de ocupação das empresas registradas que possuem até 4 pessoas ocupadas aumentou 10%, enquanto as demais reduziram, com exceção </w:t>
      </w:r>
      <w:r w:rsidRPr="0061769D">
        <w:rPr>
          <w:rFonts w:ascii="Times New Roman" w:hAnsi="Times New Roman"/>
          <w:sz w:val="24"/>
          <w:szCs w:val="24"/>
        </w:rPr>
        <w:lastRenderedPageBreak/>
        <w:t xml:space="preserve">as empresas com mais de 100 funcionários, cujo número de pessoal ocupado cresceu, em média, de 1% entre 2018 e 2020 (IBGE, 2022a). Assim, verifica-se que em um cenário de crise econômica e aumento do desemprego, o número de empresas com até 4 funcionários cresceu a uma taxa maior do que o quantitativo de pessoas ocupadas </w:t>
      </w:r>
      <w:r w:rsidR="003E58BD">
        <w:rPr>
          <w:rFonts w:ascii="Times New Roman" w:hAnsi="Times New Roman"/>
          <w:sz w:val="24"/>
          <w:szCs w:val="24"/>
        </w:rPr>
        <w:t>nesse tipo de empresa</w:t>
      </w:r>
      <w:r w:rsidRPr="0061769D">
        <w:rPr>
          <w:rFonts w:ascii="Times New Roman" w:hAnsi="Times New Roman"/>
          <w:sz w:val="24"/>
          <w:szCs w:val="24"/>
        </w:rPr>
        <w:t>, enquanto as demais empresas apresentaram queda no quantitativo de pessoas ocupadas, um traço dos impactos da ‘lei da terceirização’.</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Em relação a Lei 13.467/2017 (também conhecida por Nova Reforma Trabalhista) podem ser citadas uma série de medidas com potencial de provocar um impacto mais catastrófico nas relações de trabalho. Trovão e Araújo (2020, p. 9) sintetizam de forma mais esclarecedora tais impactos:</w:t>
      </w:r>
    </w:p>
    <w:p w:rsidR="00723E1E" w:rsidRPr="003E58BD" w:rsidRDefault="00723E1E" w:rsidP="003E58BD">
      <w:pPr>
        <w:spacing w:after="120" w:line="240" w:lineRule="auto"/>
        <w:ind w:left="2268"/>
        <w:jc w:val="both"/>
        <w:rPr>
          <w:rFonts w:ascii="Times New Roman" w:hAnsi="Times New Roman"/>
          <w:szCs w:val="24"/>
        </w:rPr>
      </w:pPr>
      <w:r w:rsidRPr="003E58BD">
        <w:rPr>
          <w:rFonts w:ascii="Times New Roman" w:hAnsi="Times New Roman"/>
          <w:szCs w:val="24"/>
          <w:shd w:val="clear" w:color="auto" w:fill="FFFFFF"/>
        </w:rPr>
        <w:t xml:space="preserve">1) Acordos  coletivos: o negociado prevalece sobre o legislado mesmo que  menos benéfico para o trabalhador. Eles versam sobre temas como jornada de trabalho (podendo alcançar até 12 horas), plano de carreira, licença maternidade. 2) Jornada parcial: pode ser de até 30 horas semanais (antes apenas 25 horas) sem hora extra, ou de até 26 horas semanais com acréscimo de até seis horas extras. 3) Férias: podem ser parceladas em até três vezes (não inferior a cinco dias com uma delas sendo obrigatoriamente maior do que 14 dias). 4) Grávidas e lactantes: podem trabalhar agora em locais insalubres, sendo afastadas somente a pedido médico. 5) Contribuição sindical: passa a não ser mais obrigatória. 6) Autônomos: as empresas podem contratar autônomos, ainda que se verifique uma relação de exclusividade, sem significar vínculo empregatício. 7) </w:t>
      </w:r>
      <w:r w:rsidRPr="003E58BD">
        <w:rPr>
          <w:rFonts w:ascii="Times New Roman" w:eastAsia="Times New Roman" w:hAnsi="Times New Roman"/>
          <w:szCs w:val="24"/>
          <w:lang w:eastAsia="pt-BR"/>
        </w:rPr>
        <w:t>Trabalho em domicílio: não há controle de jornada, sendo a remuneração feita por tarefa. 8)Trabalho intermitente: contratos em que o trabalho não é contínuo passam a ser permitidos, sendo que a convocação do empregado pelo empregador deve ocorrer com três dias de antecedência e sua remuneração é feita por hora não inferior ao valor-hora referente ao salário mínimo. 9) Almoço: o tempo de almoço (antes de uma hora) passa a ser objeto de negociação entre empregador e empregado. 10) Ações na  Justiça:  se o  trabalhador perder ações na  Justiça do Trabalho, deverá arcar com custas processuais e honorários do advogado do empregador.</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Nas palavras de Galvão et al. (2017, p. 33), a Nova Reforma Trabalhista consiste na implantação de um conjunto de medidas de modo a promover: </w:t>
      </w:r>
    </w:p>
    <w:p w:rsidR="00723E1E" w:rsidRPr="003E58BD" w:rsidRDefault="00723E1E" w:rsidP="003E58BD">
      <w:pPr>
        <w:spacing w:after="120" w:line="240" w:lineRule="auto"/>
        <w:ind w:left="2268"/>
        <w:jc w:val="both"/>
        <w:rPr>
          <w:rFonts w:ascii="Times New Roman" w:eastAsia="Times New Roman" w:hAnsi="Times New Roman"/>
          <w:szCs w:val="24"/>
          <w:lang w:eastAsia="pt-BR"/>
        </w:rPr>
      </w:pPr>
      <w:r w:rsidRPr="003E58BD">
        <w:rPr>
          <w:rFonts w:ascii="Times New Roman" w:eastAsia="Times New Roman" w:hAnsi="Times New Roman"/>
          <w:szCs w:val="24"/>
          <w:lang w:eastAsia="pt-BR"/>
        </w:rPr>
        <w:t xml:space="preserve">1. a substituição da lei pelo contrato; 2. a adoção de uma legislação mínima, residual, a ser complementada pela negociação/contratação; 3. a criação de diferentes tipos de contrato, distintos do padrão de assalariamento clássico representado pelo contrato por tempo indeterminado; 4. a substituição de direitos universais por direitos diferenciados; 5. a descentralização da negociação coletiva, se possível ao âmbito da empresa; 6. a substituição da </w:t>
      </w:r>
      <w:r w:rsidRPr="003E58BD">
        <w:rPr>
          <w:rFonts w:ascii="Times New Roman" w:eastAsia="Times New Roman" w:hAnsi="Times New Roman"/>
          <w:szCs w:val="24"/>
          <w:lang w:eastAsia="pt-BR"/>
        </w:rPr>
        <w:lastRenderedPageBreak/>
        <w:t>intervenção estatal na resolução dos conflitos trabalhistas pela autocomposição das partes.</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Considerando o discurso da classe (política/empresarial/capitalista) que se coloca à favor da Reforma trabalhista, a mesma chama os impactos citados de ‘modernização das leis trabalhistas’. Em outro sentido, a modernização da lei trabalhista brasileira</w:t>
      </w:r>
      <w:r w:rsidR="003E58BD">
        <w:rPr>
          <w:rFonts w:ascii="Times New Roman" w:hAnsi="Times New Roman"/>
          <w:sz w:val="24"/>
          <w:szCs w:val="24"/>
        </w:rPr>
        <w:t>, ocorrida recentemente</w:t>
      </w:r>
      <w:r w:rsidRPr="0061769D">
        <w:rPr>
          <w:rFonts w:ascii="Times New Roman" w:hAnsi="Times New Roman"/>
          <w:sz w:val="24"/>
          <w:szCs w:val="24"/>
        </w:rPr>
        <w:t xml:space="preserve"> significa</w:t>
      </w:r>
      <w:r w:rsidR="003E58BD">
        <w:rPr>
          <w:rFonts w:ascii="Times New Roman" w:hAnsi="Times New Roman"/>
          <w:sz w:val="24"/>
          <w:szCs w:val="24"/>
        </w:rPr>
        <w:t>,</w:t>
      </w:r>
      <w:r w:rsidRPr="0061769D">
        <w:rPr>
          <w:rFonts w:ascii="Times New Roman" w:hAnsi="Times New Roman"/>
          <w:sz w:val="24"/>
          <w:szCs w:val="24"/>
        </w:rPr>
        <w:t xml:space="preserve"> </w:t>
      </w:r>
      <w:r w:rsidR="003E58BD">
        <w:rPr>
          <w:rFonts w:ascii="Times New Roman" w:hAnsi="Times New Roman"/>
          <w:sz w:val="24"/>
          <w:szCs w:val="24"/>
        </w:rPr>
        <w:t xml:space="preserve">em tese, </w:t>
      </w:r>
      <w:r w:rsidRPr="0061769D">
        <w:rPr>
          <w:rFonts w:ascii="Times New Roman" w:hAnsi="Times New Roman"/>
          <w:sz w:val="24"/>
          <w:szCs w:val="24"/>
        </w:rPr>
        <w:t>alterações negativas e substanciais no arcabouço legal de amparo ao trabalhador e alteração do princípio da proteção trabalhista, afetando de forma negativa as relações de trabalho (</w:t>
      </w:r>
      <w:r w:rsidR="003E58BD" w:rsidRPr="0061769D">
        <w:rPr>
          <w:rFonts w:ascii="Times New Roman" w:hAnsi="Times New Roman"/>
          <w:sz w:val="24"/>
          <w:szCs w:val="24"/>
        </w:rPr>
        <w:t>GALVÃO et. al. 2017</w:t>
      </w:r>
      <w:r w:rsidR="003E58BD">
        <w:rPr>
          <w:rFonts w:ascii="Times New Roman" w:hAnsi="Times New Roman"/>
          <w:sz w:val="24"/>
          <w:szCs w:val="24"/>
        </w:rPr>
        <w:t xml:space="preserve">; </w:t>
      </w:r>
      <w:r w:rsidRPr="0061769D">
        <w:rPr>
          <w:rFonts w:ascii="Times New Roman" w:hAnsi="Times New Roman"/>
          <w:sz w:val="24"/>
          <w:szCs w:val="24"/>
        </w:rPr>
        <w:t>TROVÃO e ARAÚJO, 2020; ANTUNES, 2020), que no final pouco contribuiu para o que se propôs, a saber melhorar quali e quantitativamente os indicadores de mercado de trabalho no Brasil. Dentro deste contexto, fica a indagação: se os jovens representam aquela parcela da força de trabalho mais vulnerável com a idiossincrasia econômica, como se comportou sua dinâmica e organização no mercado de trabalho brasileiro após a Reforma Trabalhista de 2017? Será que houve melhora qualitativa e quantitativa na ocupação destes no mercado de trabalho? O conteúdo apresentado nos próximos itens irá expor os primeiros resultados de três anos após tal Reforma para esses trabalhadores.</w:t>
      </w:r>
    </w:p>
    <w:p w:rsidR="00723E1E" w:rsidRPr="0061769D" w:rsidRDefault="00723E1E" w:rsidP="00723E1E">
      <w:pPr>
        <w:spacing w:after="0" w:line="360" w:lineRule="auto"/>
        <w:jc w:val="both"/>
        <w:rPr>
          <w:rFonts w:ascii="Times New Roman" w:hAnsi="Times New Roman"/>
          <w:b/>
          <w:sz w:val="24"/>
          <w:szCs w:val="24"/>
        </w:rPr>
      </w:pPr>
      <w:r w:rsidRPr="0061769D">
        <w:rPr>
          <w:rFonts w:ascii="Times New Roman" w:hAnsi="Times New Roman"/>
          <w:b/>
          <w:sz w:val="24"/>
          <w:szCs w:val="24"/>
        </w:rPr>
        <w:t xml:space="preserve">3 DINÂMICA E ORGANIZAÇÃO DO MERCADO </w:t>
      </w:r>
      <w:r w:rsidR="00C22C98">
        <w:rPr>
          <w:rFonts w:ascii="Times New Roman" w:hAnsi="Times New Roman"/>
          <w:b/>
          <w:sz w:val="24"/>
          <w:szCs w:val="24"/>
        </w:rPr>
        <w:t>DE TRABALHO JOVEM NO BRASI</w:t>
      </w:r>
      <w:r w:rsidR="00611068">
        <w:rPr>
          <w:rFonts w:ascii="Times New Roman" w:hAnsi="Times New Roman"/>
          <w:b/>
          <w:sz w:val="24"/>
          <w:szCs w:val="24"/>
        </w:rPr>
        <w:t>L</w:t>
      </w:r>
      <w:r w:rsidR="00C22C98">
        <w:rPr>
          <w:rFonts w:ascii="Times New Roman" w:hAnsi="Times New Roman"/>
          <w:b/>
          <w:sz w:val="24"/>
          <w:szCs w:val="24"/>
        </w:rPr>
        <w:t xml:space="preserve"> APÓS A REFORMA TRABALHISTA</w:t>
      </w:r>
    </w:p>
    <w:p w:rsidR="00723E1E"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Ao analisar os impactos da Nova Reforma Trabalhista brasileira, Antunes (2020, p. 291 e 292) afirma que a “(contra)reforma trabalhista instituiu o preceito do negociado sobre o legislado nas relações de trabalho, ao expandir intensamente o trabalho intermitente e ao implementar a flexibilização das relações de tra</w:t>
      </w:r>
      <w:r w:rsidR="003E58BD">
        <w:rPr>
          <w:rFonts w:ascii="Times New Roman" w:hAnsi="Times New Roman"/>
          <w:sz w:val="24"/>
          <w:szCs w:val="24"/>
        </w:rPr>
        <w:t>balho”. Segundo Antunes (2020);</w:t>
      </w:r>
      <w:r w:rsidRPr="0061769D">
        <w:rPr>
          <w:rFonts w:ascii="Times New Roman" w:hAnsi="Times New Roman"/>
          <w:sz w:val="24"/>
          <w:szCs w:val="24"/>
        </w:rPr>
        <w:t xml:space="preserve"> Trovão e Araújo (2020) a flexibilização não passa de um discurso que beneficia o lado do capital na relação capital-trabalho e conduz a classe trabalhadora à um caminho de precarização e vulnerabilidade. Entretanto, se o trabalhador está na faixa etária jovem a precarização e a vulnerabilidade é acentuada. É o que mostra os dados da tabela 1, abaixo.</w:t>
      </w:r>
    </w:p>
    <w:p w:rsidR="002D5A3E" w:rsidRDefault="002D5A3E" w:rsidP="00723E1E">
      <w:pPr>
        <w:spacing w:after="0" w:line="360" w:lineRule="auto"/>
        <w:ind w:firstLine="851"/>
        <w:jc w:val="both"/>
        <w:rPr>
          <w:rFonts w:ascii="Times New Roman" w:hAnsi="Times New Roman"/>
          <w:sz w:val="24"/>
          <w:szCs w:val="24"/>
        </w:rPr>
      </w:pPr>
    </w:p>
    <w:p w:rsidR="002D5A3E" w:rsidRPr="0061769D" w:rsidRDefault="002D5A3E" w:rsidP="00723E1E">
      <w:pPr>
        <w:spacing w:after="0" w:line="360" w:lineRule="auto"/>
        <w:ind w:firstLine="851"/>
        <w:jc w:val="both"/>
        <w:rPr>
          <w:rFonts w:ascii="Times New Roman" w:hAnsi="Times New Roman"/>
          <w:sz w:val="24"/>
          <w:szCs w:val="24"/>
        </w:rPr>
      </w:pPr>
    </w:p>
    <w:p w:rsidR="0092372B" w:rsidRDefault="00723E1E" w:rsidP="0092372B">
      <w:pPr>
        <w:spacing w:after="0" w:line="240" w:lineRule="auto"/>
        <w:jc w:val="center"/>
        <w:rPr>
          <w:rFonts w:ascii="Times New Roman" w:eastAsia="Times New Roman" w:hAnsi="Times New Roman"/>
          <w:sz w:val="24"/>
          <w:szCs w:val="24"/>
          <w:lang w:eastAsia="pt-BR"/>
        </w:rPr>
      </w:pPr>
      <w:r w:rsidRPr="0061769D">
        <w:rPr>
          <w:rFonts w:ascii="Times New Roman" w:hAnsi="Times New Roman"/>
          <w:b/>
          <w:sz w:val="24"/>
          <w:szCs w:val="24"/>
        </w:rPr>
        <w:t>Tabela 1.</w:t>
      </w:r>
      <w:r w:rsidRPr="0061769D">
        <w:rPr>
          <w:rFonts w:ascii="Times New Roman" w:hAnsi="Times New Roman"/>
          <w:sz w:val="24"/>
          <w:szCs w:val="24"/>
        </w:rPr>
        <w:t xml:space="preserve"> Brasil: </w:t>
      </w:r>
      <w:r w:rsidRPr="0061769D">
        <w:rPr>
          <w:rFonts w:ascii="Times New Roman" w:eastAsia="Times New Roman" w:hAnsi="Times New Roman"/>
          <w:sz w:val="24"/>
          <w:szCs w:val="24"/>
          <w:lang w:eastAsia="pt-BR"/>
        </w:rPr>
        <w:t>Pessoas de 14 a 29 anos de idade ocupadas, por posição na ocupação</w:t>
      </w:r>
    </w:p>
    <w:p w:rsidR="00723E1E" w:rsidRPr="0061769D" w:rsidRDefault="00723E1E" w:rsidP="00611068">
      <w:pPr>
        <w:spacing w:after="120" w:line="240" w:lineRule="auto"/>
        <w:jc w:val="center"/>
        <w:rPr>
          <w:rFonts w:ascii="Times New Roman" w:eastAsia="Times New Roman" w:hAnsi="Times New Roman"/>
          <w:sz w:val="24"/>
          <w:szCs w:val="24"/>
          <w:lang w:eastAsia="pt-BR"/>
        </w:rPr>
      </w:pPr>
      <w:r w:rsidRPr="0061769D">
        <w:rPr>
          <w:rFonts w:ascii="Times New Roman" w:eastAsia="Times New Roman" w:hAnsi="Times New Roman"/>
          <w:sz w:val="24"/>
          <w:szCs w:val="24"/>
          <w:lang w:eastAsia="pt-BR"/>
        </w:rPr>
        <w:t>(2012-2019)</w:t>
      </w:r>
    </w:p>
    <w:tbl>
      <w:tblPr>
        <w:tblW w:w="0" w:type="auto"/>
        <w:tblInd w:w="432" w:type="dxa"/>
        <w:tblCellMar>
          <w:left w:w="70" w:type="dxa"/>
          <w:right w:w="70" w:type="dxa"/>
        </w:tblCellMar>
        <w:tblLook w:val="04A0"/>
      </w:tblPr>
      <w:tblGrid>
        <w:gridCol w:w="563"/>
        <w:gridCol w:w="1346"/>
        <w:gridCol w:w="623"/>
        <w:gridCol w:w="623"/>
        <w:gridCol w:w="995"/>
        <w:gridCol w:w="995"/>
        <w:gridCol w:w="623"/>
        <w:gridCol w:w="623"/>
        <w:gridCol w:w="623"/>
        <w:gridCol w:w="623"/>
      </w:tblGrid>
      <w:tr w:rsidR="00723E1E" w:rsidRPr="003E58BD" w:rsidTr="0092372B">
        <w:trPr>
          <w:trHeight w:val="288"/>
        </w:trPr>
        <w:tc>
          <w:tcPr>
            <w:tcW w:w="0" w:type="auto"/>
            <w:gridSpan w:val="10"/>
            <w:tcBorders>
              <w:top w:val="single" w:sz="4" w:space="0" w:color="auto"/>
              <w:bottom w:val="single" w:sz="4" w:space="0" w:color="auto"/>
            </w:tcBorders>
            <w:shd w:val="clear" w:color="auto" w:fill="auto"/>
            <w:noWrap/>
            <w:vAlign w:val="center"/>
            <w:hideMark/>
          </w:tcPr>
          <w:p w:rsidR="00723E1E" w:rsidRPr="003E58BD" w:rsidRDefault="00723E1E" w:rsidP="003E58BD">
            <w:pPr>
              <w:spacing w:after="0" w:line="240" w:lineRule="auto"/>
              <w:jc w:val="center"/>
              <w:rPr>
                <w:rFonts w:ascii="Times New Roman" w:hAnsi="Times New Roman"/>
                <w:sz w:val="20"/>
                <w:szCs w:val="20"/>
              </w:rPr>
            </w:pPr>
            <w:r w:rsidRPr="003E58BD">
              <w:rPr>
                <w:rFonts w:ascii="Times New Roman" w:hAnsi="Times New Roman"/>
                <w:sz w:val="20"/>
                <w:szCs w:val="20"/>
              </w:rPr>
              <w:lastRenderedPageBreak/>
              <w:t>Distribuição percentual, por posição na ocupação (%)</w:t>
            </w:r>
          </w:p>
        </w:tc>
      </w:tr>
      <w:tr w:rsidR="00723E1E" w:rsidRPr="003E58BD" w:rsidTr="0092372B">
        <w:trPr>
          <w:trHeight w:val="288"/>
        </w:trPr>
        <w:tc>
          <w:tcPr>
            <w:tcW w:w="0" w:type="auto"/>
            <w:tcBorders>
              <w:top w:val="single" w:sz="4" w:space="0" w:color="auto"/>
              <w:right w:val="single" w:sz="4" w:space="0" w:color="auto"/>
            </w:tcBorders>
            <w:shd w:val="clear" w:color="auto" w:fill="auto"/>
            <w:noWrap/>
            <w:vAlign w:val="center"/>
            <w:hideMark/>
          </w:tcPr>
          <w:p w:rsidR="00723E1E" w:rsidRPr="003E58BD" w:rsidRDefault="00723E1E" w:rsidP="003E58BD">
            <w:pPr>
              <w:spacing w:after="0" w:line="240" w:lineRule="auto"/>
              <w:rPr>
                <w:rFonts w:ascii="Times New Roman" w:eastAsia="Times New Roman" w:hAnsi="Times New Roman"/>
                <w:b/>
                <w:bCs/>
                <w:sz w:val="20"/>
                <w:szCs w:val="20"/>
                <w:lang w:eastAsia="pt-BR"/>
              </w:rPr>
            </w:pPr>
            <w:r w:rsidRPr="003E58BD">
              <w:rPr>
                <w:rFonts w:ascii="Times New Roman" w:eastAsia="Times New Roman" w:hAnsi="Times New Roman"/>
                <w:b/>
                <w:bCs/>
                <w:sz w:val="20"/>
                <w:szCs w:val="20"/>
                <w:lang w:eastAsia="pt-BR"/>
              </w:rPr>
              <w:t> </w:t>
            </w:r>
          </w:p>
        </w:tc>
        <w:tc>
          <w:tcPr>
            <w:tcW w:w="0" w:type="auto"/>
            <w:tcBorders>
              <w:top w:val="single" w:sz="4" w:space="0" w:color="auto"/>
              <w:left w:val="single" w:sz="4" w:space="0" w:color="auto"/>
              <w:right w:val="single" w:sz="4" w:space="0" w:color="auto"/>
            </w:tcBorders>
            <w:shd w:val="clear" w:color="auto" w:fill="auto"/>
            <w:vAlign w:val="center"/>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Empregado</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Trabalhador doméstico</w:t>
            </w:r>
          </w:p>
        </w:tc>
        <w:tc>
          <w:tcPr>
            <w:tcW w:w="0" w:type="auto"/>
            <w:tcBorders>
              <w:top w:val="single" w:sz="4" w:space="0" w:color="auto"/>
              <w:left w:val="single" w:sz="4" w:space="0" w:color="auto"/>
              <w:right w:val="single" w:sz="4" w:space="0" w:color="auto"/>
            </w:tcBorders>
            <w:shd w:val="clear" w:color="auto" w:fill="auto"/>
            <w:vAlign w:val="center"/>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w:t>
            </w:r>
          </w:p>
        </w:tc>
        <w:tc>
          <w:tcPr>
            <w:tcW w:w="0" w:type="auto"/>
            <w:tcBorders>
              <w:top w:val="single" w:sz="4" w:space="0" w:color="auto"/>
              <w:left w:val="single" w:sz="4" w:space="0" w:color="auto"/>
              <w:right w:val="single" w:sz="4" w:space="0" w:color="auto"/>
            </w:tcBorders>
            <w:shd w:val="clear" w:color="auto" w:fill="auto"/>
            <w:vAlign w:val="center"/>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w:t>
            </w:r>
          </w:p>
        </w:tc>
        <w:tc>
          <w:tcPr>
            <w:tcW w:w="0" w:type="auto"/>
            <w:tcBorders>
              <w:top w:val="single" w:sz="4" w:space="0" w:color="auto"/>
              <w:left w:val="single" w:sz="4" w:space="0" w:color="auto"/>
              <w:right w:val="single" w:sz="4" w:space="0" w:color="auto"/>
            </w:tcBorders>
            <w:shd w:val="clear" w:color="auto" w:fill="auto"/>
            <w:vAlign w:val="center"/>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w:t>
            </w:r>
          </w:p>
        </w:tc>
        <w:tc>
          <w:tcPr>
            <w:tcW w:w="0" w:type="auto"/>
            <w:tcBorders>
              <w:top w:val="single" w:sz="4" w:space="0" w:color="auto"/>
              <w:left w:val="single" w:sz="4" w:space="0" w:color="auto"/>
            </w:tcBorders>
            <w:shd w:val="clear" w:color="auto" w:fill="auto"/>
            <w:vAlign w:val="center"/>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w:t>
            </w:r>
          </w:p>
        </w:tc>
      </w:tr>
      <w:tr w:rsidR="00723E1E" w:rsidRPr="003E58BD" w:rsidTr="0092372B">
        <w:trPr>
          <w:cantSplit/>
          <w:trHeight w:val="1628"/>
        </w:trPr>
        <w:tc>
          <w:tcPr>
            <w:tcW w:w="0" w:type="auto"/>
            <w:tcBorders>
              <w:bottom w:val="single" w:sz="4" w:space="0" w:color="auto"/>
              <w:right w:val="single" w:sz="4" w:space="0" w:color="auto"/>
            </w:tcBorders>
            <w:shd w:val="clear" w:color="auto" w:fill="auto"/>
            <w:noWrap/>
            <w:vAlign w:val="center"/>
            <w:hideMark/>
          </w:tcPr>
          <w:p w:rsidR="00723E1E" w:rsidRPr="003E58BD" w:rsidRDefault="00723E1E" w:rsidP="003E58BD">
            <w:pPr>
              <w:spacing w:after="0" w:line="240" w:lineRule="auto"/>
              <w:rPr>
                <w:rFonts w:ascii="Times New Roman" w:eastAsia="Times New Roman" w:hAnsi="Times New Roman"/>
                <w:bCs/>
                <w:sz w:val="20"/>
                <w:szCs w:val="20"/>
                <w:lang w:eastAsia="pt-BR"/>
              </w:rPr>
            </w:pPr>
            <w:r w:rsidRPr="003E58BD">
              <w:rPr>
                <w:rFonts w:ascii="Times New Roman" w:eastAsia="Times New Roman" w:hAnsi="Times New Roman"/>
                <w:bCs/>
                <w:sz w:val="20"/>
                <w:szCs w:val="20"/>
                <w:lang w:eastAsia="pt-BR"/>
              </w:rPr>
              <w:t>Anos</w:t>
            </w:r>
          </w:p>
        </w:tc>
        <w:tc>
          <w:tcPr>
            <w:tcW w:w="0" w:type="auto"/>
            <w:tcBorders>
              <w:left w:val="single" w:sz="4" w:space="0" w:color="auto"/>
              <w:bottom w:val="single" w:sz="4" w:space="0" w:color="auto"/>
              <w:right w:val="single" w:sz="4" w:space="0" w:color="auto"/>
            </w:tcBorders>
            <w:shd w:val="clear" w:color="auto" w:fill="auto"/>
            <w:vAlign w:val="center"/>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Total Absoluto</w:t>
            </w:r>
            <w:r w:rsidRPr="003E58BD">
              <w:rPr>
                <w:rFonts w:ascii="Times New Roman" w:eastAsia="Times New Roman" w:hAnsi="Times New Roman"/>
                <w:sz w:val="20"/>
                <w:szCs w:val="20"/>
                <w:lang w:eastAsia="pt-BR"/>
              </w:rPr>
              <w:br/>
              <w:t>(1000 pessoas)</w:t>
            </w:r>
          </w:p>
        </w:tc>
        <w:tc>
          <w:tcPr>
            <w:tcW w:w="0" w:type="auto"/>
            <w:tcBorders>
              <w:left w:val="single" w:sz="4" w:space="0" w:color="auto"/>
              <w:bottom w:val="single" w:sz="4" w:space="0" w:color="auto"/>
              <w:right w:val="single" w:sz="4" w:space="0" w:color="auto"/>
            </w:tcBorders>
            <w:shd w:val="clear" w:color="auto" w:fill="auto"/>
            <w:textDirection w:val="btLr"/>
            <w:vAlign w:val="center"/>
            <w:hideMark/>
          </w:tcPr>
          <w:p w:rsidR="00723E1E" w:rsidRPr="003E58BD" w:rsidRDefault="00723E1E" w:rsidP="0092372B">
            <w:pPr>
              <w:spacing w:before="120" w:after="120" w:line="240" w:lineRule="auto"/>
              <w:ind w:left="113" w:right="113"/>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Com carteira de trabalho assinada</w:t>
            </w:r>
          </w:p>
        </w:tc>
        <w:tc>
          <w:tcPr>
            <w:tcW w:w="0" w:type="auto"/>
            <w:tcBorders>
              <w:left w:val="single" w:sz="4" w:space="0" w:color="auto"/>
              <w:bottom w:val="single" w:sz="4" w:space="0" w:color="auto"/>
              <w:right w:val="single" w:sz="4" w:space="0" w:color="auto"/>
            </w:tcBorders>
            <w:shd w:val="clear" w:color="auto" w:fill="auto"/>
            <w:textDirection w:val="btLr"/>
            <w:vAlign w:val="center"/>
            <w:hideMark/>
          </w:tcPr>
          <w:p w:rsidR="00723E1E" w:rsidRPr="003E58BD" w:rsidRDefault="00723E1E" w:rsidP="0092372B">
            <w:pPr>
              <w:spacing w:before="120" w:after="120" w:line="240" w:lineRule="auto"/>
              <w:ind w:left="113" w:right="113"/>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Sem carteira de trabalho assinada</w:t>
            </w:r>
          </w:p>
        </w:tc>
        <w:tc>
          <w:tcPr>
            <w:tcW w:w="0" w:type="auto"/>
            <w:tcBorders>
              <w:left w:val="single" w:sz="4" w:space="0" w:color="auto"/>
              <w:bottom w:val="single" w:sz="4" w:space="0" w:color="auto"/>
              <w:right w:val="single" w:sz="4" w:space="0" w:color="auto"/>
            </w:tcBorders>
            <w:shd w:val="clear" w:color="auto" w:fill="auto"/>
            <w:textDirection w:val="btLr"/>
            <w:vAlign w:val="center"/>
            <w:hideMark/>
          </w:tcPr>
          <w:p w:rsidR="00723E1E" w:rsidRPr="003E58BD" w:rsidRDefault="00723E1E" w:rsidP="0092372B">
            <w:pPr>
              <w:spacing w:before="120" w:after="120" w:line="240" w:lineRule="auto"/>
              <w:ind w:left="113" w:right="113"/>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Com carteira de trabalho assinada</w:t>
            </w:r>
          </w:p>
        </w:tc>
        <w:tc>
          <w:tcPr>
            <w:tcW w:w="0" w:type="auto"/>
            <w:tcBorders>
              <w:left w:val="single" w:sz="4" w:space="0" w:color="auto"/>
              <w:bottom w:val="single" w:sz="4" w:space="0" w:color="auto"/>
              <w:right w:val="single" w:sz="4" w:space="0" w:color="auto"/>
            </w:tcBorders>
            <w:shd w:val="clear" w:color="auto" w:fill="auto"/>
            <w:textDirection w:val="btLr"/>
            <w:vAlign w:val="center"/>
            <w:hideMark/>
          </w:tcPr>
          <w:p w:rsidR="00723E1E" w:rsidRPr="003E58BD" w:rsidRDefault="00723E1E" w:rsidP="0092372B">
            <w:pPr>
              <w:spacing w:before="120" w:after="120" w:line="240" w:lineRule="auto"/>
              <w:ind w:left="113" w:right="113"/>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Sem carteira de trabalho assinada</w:t>
            </w:r>
          </w:p>
        </w:tc>
        <w:tc>
          <w:tcPr>
            <w:tcW w:w="0" w:type="auto"/>
            <w:tcBorders>
              <w:left w:val="single" w:sz="4" w:space="0" w:color="auto"/>
              <w:bottom w:val="single" w:sz="4" w:space="0" w:color="auto"/>
              <w:right w:val="single" w:sz="4" w:space="0" w:color="auto"/>
            </w:tcBorders>
            <w:shd w:val="clear" w:color="auto" w:fill="auto"/>
            <w:textDirection w:val="btLr"/>
            <w:vAlign w:val="center"/>
            <w:hideMark/>
          </w:tcPr>
          <w:p w:rsidR="00723E1E" w:rsidRPr="003E58BD" w:rsidRDefault="00723E1E" w:rsidP="0092372B">
            <w:pPr>
              <w:spacing w:before="120" w:after="120" w:line="240" w:lineRule="auto"/>
              <w:ind w:left="113" w:right="113"/>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Militar e servidor estatutário</w:t>
            </w:r>
          </w:p>
        </w:tc>
        <w:tc>
          <w:tcPr>
            <w:tcW w:w="0" w:type="auto"/>
            <w:tcBorders>
              <w:left w:val="single" w:sz="4" w:space="0" w:color="auto"/>
              <w:bottom w:val="single" w:sz="4" w:space="0" w:color="auto"/>
              <w:right w:val="single" w:sz="4" w:space="0" w:color="auto"/>
            </w:tcBorders>
            <w:shd w:val="clear" w:color="auto" w:fill="auto"/>
            <w:textDirection w:val="btLr"/>
            <w:vAlign w:val="center"/>
            <w:hideMark/>
          </w:tcPr>
          <w:p w:rsidR="00723E1E" w:rsidRPr="003E58BD" w:rsidRDefault="00723E1E" w:rsidP="0092372B">
            <w:pPr>
              <w:spacing w:before="120" w:after="120" w:line="240" w:lineRule="auto"/>
              <w:ind w:left="113" w:right="113"/>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Conta própria</w:t>
            </w:r>
          </w:p>
        </w:tc>
        <w:tc>
          <w:tcPr>
            <w:tcW w:w="0" w:type="auto"/>
            <w:tcBorders>
              <w:left w:val="single" w:sz="4" w:space="0" w:color="auto"/>
              <w:bottom w:val="single" w:sz="4" w:space="0" w:color="auto"/>
              <w:right w:val="single" w:sz="4" w:space="0" w:color="auto"/>
            </w:tcBorders>
            <w:shd w:val="clear" w:color="auto" w:fill="auto"/>
            <w:textDirection w:val="btLr"/>
            <w:vAlign w:val="center"/>
            <w:hideMark/>
          </w:tcPr>
          <w:p w:rsidR="00723E1E" w:rsidRPr="003E58BD" w:rsidRDefault="00723E1E" w:rsidP="0092372B">
            <w:pPr>
              <w:spacing w:before="120" w:after="120" w:line="240" w:lineRule="auto"/>
              <w:ind w:left="113" w:right="113"/>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Empregador</w:t>
            </w:r>
          </w:p>
        </w:tc>
        <w:tc>
          <w:tcPr>
            <w:tcW w:w="0" w:type="auto"/>
            <w:tcBorders>
              <w:left w:val="single" w:sz="4" w:space="0" w:color="auto"/>
              <w:bottom w:val="single" w:sz="4" w:space="0" w:color="auto"/>
            </w:tcBorders>
            <w:shd w:val="clear" w:color="auto" w:fill="auto"/>
            <w:textDirection w:val="btLr"/>
            <w:vAlign w:val="center"/>
            <w:hideMark/>
          </w:tcPr>
          <w:p w:rsidR="00723E1E" w:rsidRPr="003E58BD" w:rsidRDefault="00723E1E" w:rsidP="0092372B">
            <w:pPr>
              <w:spacing w:before="120" w:after="120" w:line="240" w:lineRule="auto"/>
              <w:ind w:left="113" w:right="113"/>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Trabalhador familiar auxiliar</w:t>
            </w:r>
          </w:p>
        </w:tc>
      </w:tr>
      <w:tr w:rsidR="00723E1E" w:rsidRPr="003E58BD" w:rsidTr="0092372B">
        <w:trPr>
          <w:trHeight w:val="288"/>
        </w:trPr>
        <w:tc>
          <w:tcPr>
            <w:tcW w:w="0" w:type="auto"/>
            <w:tcBorders>
              <w:top w:val="single" w:sz="4" w:space="0" w:color="auto"/>
            </w:tcBorders>
            <w:shd w:val="clear" w:color="auto" w:fill="auto"/>
            <w:noWrap/>
            <w:vAlign w:val="bottom"/>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2012</w:t>
            </w:r>
          </w:p>
        </w:tc>
        <w:tc>
          <w:tcPr>
            <w:tcW w:w="0" w:type="auto"/>
            <w:tcBorders>
              <w:top w:val="single" w:sz="4" w:space="0" w:color="auto"/>
            </w:tcBorders>
            <w:shd w:val="clear" w:color="auto" w:fill="auto"/>
            <w:noWrap/>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29 747</w:t>
            </w:r>
          </w:p>
        </w:tc>
        <w:tc>
          <w:tcPr>
            <w:tcW w:w="0" w:type="auto"/>
            <w:tcBorders>
              <w:top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50,1 </w:t>
            </w:r>
          </w:p>
        </w:tc>
        <w:tc>
          <w:tcPr>
            <w:tcW w:w="0" w:type="auto"/>
            <w:tcBorders>
              <w:top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22,6 </w:t>
            </w:r>
          </w:p>
        </w:tc>
        <w:tc>
          <w:tcPr>
            <w:tcW w:w="0" w:type="auto"/>
            <w:tcBorders>
              <w:top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0,9 </w:t>
            </w:r>
          </w:p>
        </w:tc>
        <w:tc>
          <w:tcPr>
            <w:tcW w:w="0" w:type="auto"/>
            <w:tcBorders>
              <w:top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3,8 </w:t>
            </w:r>
          </w:p>
        </w:tc>
        <w:tc>
          <w:tcPr>
            <w:tcW w:w="0" w:type="auto"/>
            <w:tcBorders>
              <w:top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3,8 </w:t>
            </w:r>
          </w:p>
        </w:tc>
        <w:tc>
          <w:tcPr>
            <w:tcW w:w="0" w:type="auto"/>
            <w:tcBorders>
              <w:top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12,9 </w:t>
            </w:r>
          </w:p>
        </w:tc>
        <w:tc>
          <w:tcPr>
            <w:tcW w:w="0" w:type="auto"/>
            <w:tcBorders>
              <w:top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1,3 </w:t>
            </w:r>
          </w:p>
        </w:tc>
        <w:tc>
          <w:tcPr>
            <w:tcW w:w="0" w:type="auto"/>
            <w:tcBorders>
              <w:top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4,6 </w:t>
            </w:r>
          </w:p>
        </w:tc>
      </w:tr>
      <w:tr w:rsidR="00723E1E" w:rsidRPr="003E58BD" w:rsidTr="0092372B">
        <w:trPr>
          <w:trHeight w:val="264"/>
        </w:trPr>
        <w:tc>
          <w:tcPr>
            <w:tcW w:w="0" w:type="auto"/>
            <w:shd w:val="clear" w:color="auto" w:fill="auto"/>
            <w:noWrap/>
            <w:vAlign w:val="bottom"/>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2013</w:t>
            </w:r>
          </w:p>
        </w:tc>
        <w:tc>
          <w:tcPr>
            <w:tcW w:w="0" w:type="auto"/>
            <w:shd w:val="clear" w:color="auto" w:fill="auto"/>
            <w:noWrap/>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29 580</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51,1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22,1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0,9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3,4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3,6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13,1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1,3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4,5 </w:t>
            </w:r>
          </w:p>
        </w:tc>
      </w:tr>
      <w:tr w:rsidR="00723E1E" w:rsidRPr="003E58BD" w:rsidTr="0092372B">
        <w:trPr>
          <w:trHeight w:val="264"/>
        </w:trPr>
        <w:tc>
          <w:tcPr>
            <w:tcW w:w="0" w:type="auto"/>
            <w:shd w:val="clear" w:color="auto" w:fill="auto"/>
            <w:noWrap/>
            <w:vAlign w:val="bottom"/>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2014</w:t>
            </w:r>
          </w:p>
        </w:tc>
        <w:tc>
          <w:tcPr>
            <w:tcW w:w="0" w:type="auto"/>
            <w:shd w:val="clear" w:color="auto" w:fill="auto"/>
            <w:noWrap/>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29 039</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51,7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21,8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0,8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3,0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3,7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13,2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1,4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4,3 </w:t>
            </w:r>
          </w:p>
        </w:tc>
      </w:tr>
      <w:tr w:rsidR="00723E1E" w:rsidRPr="003E58BD" w:rsidTr="0092372B">
        <w:trPr>
          <w:trHeight w:val="264"/>
        </w:trPr>
        <w:tc>
          <w:tcPr>
            <w:tcW w:w="0" w:type="auto"/>
            <w:shd w:val="clear" w:color="auto" w:fill="auto"/>
            <w:noWrap/>
            <w:vAlign w:val="bottom"/>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2015</w:t>
            </w:r>
          </w:p>
        </w:tc>
        <w:tc>
          <w:tcPr>
            <w:tcW w:w="0" w:type="auto"/>
            <w:shd w:val="clear" w:color="auto" w:fill="auto"/>
            <w:noWrap/>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28 164</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50,6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21,7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0,8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3,1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3,6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14,5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1,5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4,3 </w:t>
            </w:r>
          </w:p>
        </w:tc>
      </w:tr>
      <w:tr w:rsidR="00723E1E" w:rsidRPr="003E58BD" w:rsidTr="0092372B">
        <w:trPr>
          <w:trHeight w:val="264"/>
        </w:trPr>
        <w:tc>
          <w:tcPr>
            <w:tcW w:w="0" w:type="auto"/>
            <w:shd w:val="clear" w:color="auto" w:fill="auto"/>
            <w:noWrap/>
            <w:vAlign w:val="bottom"/>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2016</w:t>
            </w:r>
          </w:p>
        </w:tc>
        <w:tc>
          <w:tcPr>
            <w:tcW w:w="0" w:type="auto"/>
            <w:shd w:val="clear" w:color="auto" w:fill="auto"/>
            <w:noWrap/>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26 161</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49,2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21,9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0,9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3,1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3,5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15,8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1,8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3,9 </w:t>
            </w:r>
          </w:p>
        </w:tc>
      </w:tr>
      <w:tr w:rsidR="00723E1E" w:rsidRPr="003E58BD" w:rsidTr="0092372B">
        <w:trPr>
          <w:trHeight w:val="264"/>
        </w:trPr>
        <w:tc>
          <w:tcPr>
            <w:tcW w:w="0" w:type="auto"/>
            <w:shd w:val="clear" w:color="auto" w:fill="auto"/>
            <w:noWrap/>
            <w:vAlign w:val="bottom"/>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2017</w:t>
            </w:r>
          </w:p>
        </w:tc>
        <w:tc>
          <w:tcPr>
            <w:tcW w:w="0" w:type="auto"/>
            <w:shd w:val="clear" w:color="auto" w:fill="auto"/>
            <w:noWrap/>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26 096</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47,0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23,4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0,7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3,3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3,2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16,6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1,8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4,0 </w:t>
            </w:r>
          </w:p>
        </w:tc>
      </w:tr>
      <w:tr w:rsidR="00723E1E" w:rsidRPr="003E58BD" w:rsidTr="0092372B">
        <w:trPr>
          <w:trHeight w:val="264"/>
        </w:trPr>
        <w:tc>
          <w:tcPr>
            <w:tcW w:w="0" w:type="auto"/>
            <w:shd w:val="clear" w:color="auto" w:fill="auto"/>
            <w:noWrap/>
            <w:vAlign w:val="bottom"/>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2018</w:t>
            </w:r>
          </w:p>
        </w:tc>
        <w:tc>
          <w:tcPr>
            <w:tcW w:w="0" w:type="auto"/>
            <w:shd w:val="clear" w:color="auto" w:fill="auto"/>
            <w:noWrap/>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25 980</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46,4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24,9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0,6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3,2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3,1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16,2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1,7 </w:t>
            </w:r>
          </w:p>
        </w:tc>
        <w:tc>
          <w:tcPr>
            <w:tcW w:w="0" w:type="auto"/>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3,9 </w:t>
            </w:r>
          </w:p>
        </w:tc>
      </w:tr>
      <w:tr w:rsidR="00723E1E" w:rsidRPr="003E58BD" w:rsidTr="0092372B">
        <w:trPr>
          <w:trHeight w:val="264"/>
        </w:trPr>
        <w:tc>
          <w:tcPr>
            <w:tcW w:w="0" w:type="auto"/>
            <w:tcBorders>
              <w:bottom w:val="single" w:sz="4" w:space="0" w:color="auto"/>
            </w:tcBorders>
            <w:shd w:val="clear" w:color="auto" w:fill="auto"/>
            <w:noWrap/>
            <w:vAlign w:val="bottom"/>
            <w:hideMark/>
          </w:tcPr>
          <w:p w:rsidR="00723E1E" w:rsidRPr="003E58BD" w:rsidRDefault="00723E1E" w:rsidP="003E58BD">
            <w:pPr>
              <w:spacing w:after="0" w:line="240" w:lineRule="auto"/>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2019</w:t>
            </w:r>
          </w:p>
        </w:tc>
        <w:tc>
          <w:tcPr>
            <w:tcW w:w="0" w:type="auto"/>
            <w:tcBorders>
              <w:bottom w:val="single" w:sz="4" w:space="0" w:color="auto"/>
            </w:tcBorders>
            <w:shd w:val="clear" w:color="auto" w:fill="auto"/>
            <w:noWrap/>
            <w:vAlign w:val="center"/>
            <w:hideMark/>
          </w:tcPr>
          <w:p w:rsidR="00723E1E" w:rsidRPr="003E58BD" w:rsidRDefault="00723E1E" w:rsidP="003E58BD">
            <w:pPr>
              <w:spacing w:after="0" w:line="240" w:lineRule="auto"/>
              <w:jc w:val="center"/>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26 338</w:t>
            </w:r>
          </w:p>
        </w:tc>
        <w:tc>
          <w:tcPr>
            <w:tcW w:w="0" w:type="auto"/>
            <w:tcBorders>
              <w:bottom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46,2 </w:t>
            </w:r>
          </w:p>
        </w:tc>
        <w:tc>
          <w:tcPr>
            <w:tcW w:w="0" w:type="auto"/>
            <w:tcBorders>
              <w:bottom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24,7 </w:t>
            </w:r>
          </w:p>
        </w:tc>
        <w:tc>
          <w:tcPr>
            <w:tcW w:w="0" w:type="auto"/>
            <w:tcBorders>
              <w:bottom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0,6 </w:t>
            </w:r>
          </w:p>
        </w:tc>
        <w:tc>
          <w:tcPr>
            <w:tcW w:w="0" w:type="auto"/>
            <w:tcBorders>
              <w:bottom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3,0 </w:t>
            </w:r>
          </w:p>
        </w:tc>
        <w:tc>
          <w:tcPr>
            <w:tcW w:w="0" w:type="auto"/>
            <w:tcBorders>
              <w:bottom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2,9 </w:t>
            </w:r>
          </w:p>
        </w:tc>
        <w:tc>
          <w:tcPr>
            <w:tcW w:w="0" w:type="auto"/>
            <w:tcBorders>
              <w:bottom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17,4 </w:t>
            </w:r>
          </w:p>
        </w:tc>
        <w:tc>
          <w:tcPr>
            <w:tcW w:w="0" w:type="auto"/>
            <w:tcBorders>
              <w:bottom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1,6 </w:t>
            </w:r>
          </w:p>
        </w:tc>
        <w:tc>
          <w:tcPr>
            <w:tcW w:w="0" w:type="auto"/>
            <w:tcBorders>
              <w:bottom w:val="single" w:sz="4" w:space="0" w:color="auto"/>
            </w:tcBorders>
            <w:shd w:val="clear" w:color="auto" w:fill="auto"/>
            <w:noWrap/>
            <w:vAlign w:val="center"/>
            <w:hideMark/>
          </w:tcPr>
          <w:p w:rsidR="00723E1E" w:rsidRPr="003E58BD" w:rsidRDefault="00723E1E" w:rsidP="003E58BD">
            <w:pPr>
              <w:spacing w:after="0" w:line="240" w:lineRule="auto"/>
              <w:jc w:val="right"/>
              <w:rPr>
                <w:rFonts w:ascii="Times New Roman" w:eastAsia="Times New Roman" w:hAnsi="Times New Roman"/>
                <w:sz w:val="20"/>
                <w:szCs w:val="20"/>
                <w:lang w:eastAsia="pt-BR"/>
              </w:rPr>
            </w:pPr>
            <w:r w:rsidRPr="003E58BD">
              <w:rPr>
                <w:rFonts w:ascii="Times New Roman" w:eastAsia="Times New Roman" w:hAnsi="Times New Roman"/>
                <w:sz w:val="20"/>
                <w:szCs w:val="20"/>
                <w:lang w:eastAsia="pt-BR"/>
              </w:rPr>
              <w:t xml:space="preserve">3,7 </w:t>
            </w:r>
          </w:p>
        </w:tc>
      </w:tr>
    </w:tbl>
    <w:p w:rsidR="00723E1E" w:rsidRPr="0092372B" w:rsidRDefault="00723E1E" w:rsidP="00611068">
      <w:pPr>
        <w:spacing w:after="0" w:line="360" w:lineRule="auto"/>
        <w:jc w:val="both"/>
        <w:rPr>
          <w:rFonts w:ascii="Times New Roman" w:hAnsi="Times New Roman"/>
          <w:szCs w:val="24"/>
        </w:rPr>
      </w:pPr>
      <w:r w:rsidRPr="0092372B">
        <w:rPr>
          <w:rFonts w:ascii="Times New Roman" w:hAnsi="Times New Roman"/>
          <w:szCs w:val="24"/>
        </w:rPr>
        <w:t xml:space="preserve">Fonte: </w:t>
      </w:r>
      <w:r w:rsidRPr="0092372B">
        <w:rPr>
          <w:rFonts w:ascii="Times New Roman" w:hAnsi="Times New Roman"/>
          <w:szCs w:val="24"/>
          <w:shd w:val="clear" w:color="auto" w:fill="FFFFFF"/>
        </w:rPr>
        <w:t>IBGE</w:t>
      </w:r>
      <w:r w:rsidR="003E58BD" w:rsidRPr="0092372B">
        <w:rPr>
          <w:rFonts w:ascii="Times New Roman" w:hAnsi="Times New Roman"/>
          <w:szCs w:val="24"/>
          <w:shd w:val="clear" w:color="auto" w:fill="FFFFFF"/>
        </w:rPr>
        <w:t xml:space="preserve"> 2022b</w:t>
      </w:r>
      <w:r w:rsidRPr="0092372B">
        <w:rPr>
          <w:rFonts w:ascii="Times New Roman" w:hAnsi="Times New Roman"/>
          <w:szCs w:val="24"/>
          <w:shd w:val="clear" w:color="auto" w:fill="FFFFFF"/>
        </w:rPr>
        <w:t>. PNAD</w:t>
      </w:r>
      <w:r w:rsidR="00C22C98">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w:t>
      </w:r>
      <w:r w:rsidR="003E58BD" w:rsidRPr="0092372B">
        <w:rPr>
          <w:rFonts w:ascii="Times New Roman" w:hAnsi="Times New Roman"/>
          <w:szCs w:val="24"/>
        </w:rPr>
        <w:t xml:space="preserve"> 2022</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Os dados da tabela 01 mostram que o </w:t>
      </w:r>
      <w:r w:rsidR="0092372B">
        <w:rPr>
          <w:rFonts w:ascii="Times New Roman" w:hAnsi="Times New Roman"/>
          <w:sz w:val="24"/>
          <w:szCs w:val="24"/>
        </w:rPr>
        <w:t>número</w:t>
      </w:r>
      <w:r w:rsidRPr="0061769D">
        <w:rPr>
          <w:rFonts w:ascii="Times New Roman" w:hAnsi="Times New Roman"/>
          <w:sz w:val="24"/>
          <w:szCs w:val="24"/>
        </w:rPr>
        <w:t xml:space="preserve"> absoluto de jovens brasileiros ocupados, desde os anos 2012, vem reduzindo paulatinamente, tal fato pode ocorrer por questões relacionadas à queda na taxa de participação, aumento da inatividade, ou até mesmo, desemprego. Seria necessário um estudo vinculando essas e outras variáveis para determinar ao certo o motivo para esta redução. No entanto, os dados das tabelas mais a frente, nos apontarão para uma das respostas. Não obstante, a despeito desses números, percebe-se que a deterioração do mercado de trabalho é uma realidade, mesmo após as promessas da reforma trabalhista de flexibilizar as leis para dar condições das empresas gerarem mais empregos. Quando se analisa a posição de ocupação, os dados da tabela 1 mostram que em 2016 (momento em que o projeto da reforma trabalhista é lançado), cerca de 49,2% dos jovens estavam empregados com carteira assinada, porém, em 2019 esse contingente cai para 46%.</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Em contrapartida, o número de jovens empregados sem carteira assinada saltou de 21,9% em 2016 para 24,7% em 2019. Com relação ao trabalhado doméstico, o quantitativo de jovens com e sem carteira assinada caiu de 0,9% em 2016 para 0,6% em 2019, e 3,1% em 2016 para 3% em 2019, respectivamente. Nesse cenário, ainda chama a atenção os casos das ocupações Militar e servidor estatutário que apresentaram uma queda acentuada (3,5% em 2016 para 2,9% em 2019) e a por Conta própria, que por sua vez aumentou (15,8% em 2016 </w:t>
      </w:r>
      <w:r w:rsidRPr="0061769D">
        <w:rPr>
          <w:rFonts w:ascii="Times New Roman" w:hAnsi="Times New Roman"/>
          <w:sz w:val="24"/>
          <w:szCs w:val="24"/>
        </w:rPr>
        <w:lastRenderedPageBreak/>
        <w:t>para 17,4% em 2019). Já as posições do tipo empregador e trabalhador familiar auxiliar, reduziram levemente.</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Com o aumento do percentual de jovens </w:t>
      </w:r>
      <w:r w:rsidR="0092372B">
        <w:rPr>
          <w:rFonts w:ascii="Times New Roman" w:hAnsi="Times New Roman"/>
          <w:sz w:val="24"/>
          <w:szCs w:val="24"/>
        </w:rPr>
        <w:t>empreendedores (por conta própria e empregadores),</w:t>
      </w:r>
      <w:r w:rsidRPr="0061769D">
        <w:rPr>
          <w:rFonts w:ascii="Times New Roman" w:hAnsi="Times New Roman"/>
          <w:sz w:val="24"/>
          <w:szCs w:val="24"/>
        </w:rPr>
        <w:t xml:space="preserve"> ainda nos resta analisar outro dado para mensurar o nível de </w:t>
      </w:r>
      <w:r w:rsidR="0092372B">
        <w:rPr>
          <w:rFonts w:ascii="Times New Roman" w:hAnsi="Times New Roman"/>
          <w:sz w:val="24"/>
          <w:szCs w:val="24"/>
        </w:rPr>
        <w:t>formalização e precarização de seu trabalho</w:t>
      </w:r>
      <w:r w:rsidRPr="0061769D">
        <w:rPr>
          <w:rFonts w:ascii="Times New Roman" w:hAnsi="Times New Roman"/>
          <w:sz w:val="24"/>
          <w:szCs w:val="24"/>
        </w:rPr>
        <w:t>: a situação da contribuição previdenciária. Nesse aspecto, os dados da tabela 2 apresentam os resultados que a Reforma trouxe para este campo.</w:t>
      </w:r>
    </w:p>
    <w:p w:rsidR="00723E1E" w:rsidRPr="0061769D" w:rsidRDefault="00723E1E" w:rsidP="00611068">
      <w:pPr>
        <w:spacing w:after="0" w:line="240" w:lineRule="auto"/>
        <w:jc w:val="center"/>
        <w:rPr>
          <w:rFonts w:ascii="Times New Roman" w:hAnsi="Times New Roman"/>
          <w:sz w:val="24"/>
          <w:szCs w:val="24"/>
        </w:rPr>
      </w:pPr>
      <w:r w:rsidRPr="0061769D">
        <w:rPr>
          <w:rFonts w:ascii="Times New Roman" w:hAnsi="Times New Roman"/>
          <w:b/>
          <w:sz w:val="24"/>
          <w:szCs w:val="24"/>
        </w:rPr>
        <w:t>Tabela 2.</w:t>
      </w:r>
      <w:r w:rsidRPr="0061769D">
        <w:rPr>
          <w:rFonts w:ascii="Times New Roman" w:hAnsi="Times New Roman"/>
          <w:sz w:val="24"/>
          <w:szCs w:val="24"/>
        </w:rPr>
        <w:t xml:space="preserve"> Brasil: </w:t>
      </w:r>
      <w:r w:rsidRPr="0061769D">
        <w:rPr>
          <w:rFonts w:ascii="Times New Roman" w:eastAsia="Times New Roman" w:hAnsi="Times New Roman"/>
          <w:sz w:val="24"/>
          <w:szCs w:val="24"/>
          <w:lang w:eastAsia="pt-BR"/>
        </w:rPr>
        <w:t>Pessoas de 14 a 29 anos de idade ocupadas</w:t>
      </w:r>
      <w:r w:rsidRPr="0061769D">
        <w:rPr>
          <w:rFonts w:ascii="Times New Roman" w:hAnsi="Times New Roman"/>
          <w:sz w:val="24"/>
          <w:szCs w:val="24"/>
        </w:rPr>
        <w:t xml:space="preserve"> como trabalhadores por conta própria e empregadores, e distribuição percentual por contribuição para a previdência social</w:t>
      </w:r>
    </w:p>
    <w:p w:rsidR="00723E1E" w:rsidRPr="0061769D" w:rsidRDefault="00723E1E" w:rsidP="00611068">
      <w:pPr>
        <w:spacing w:after="120" w:line="240" w:lineRule="auto"/>
        <w:jc w:val="center"/>
        <w:rPr>
          <w:rFonts w:ascii="Times New Roman" w:hAnsi="Times New Roman"/>
          <w:sz w:val="24"/>
          <w:szCs w:val="24"/>
        </w:rPr>
      </w:pPr>
      <w:r w:rsidRPr="0061769D">
        <w:rPr>
          <w:rFonts w:ascii="Times New Roman" w:hAnsi="Times New Roman"/>
          <w:sz w:val="24"/>
          <w:szCs w:val="24"/>
        </w:rPr>
        <w:t>(2015 – 2019)</w:t>
      </w:r>
    </w:p>
    <w:tbl>
      <w:tblPr>
        <w:tblW w:w="0" w:type="auto"/>
        <w:tblBorders>
          <w:top w:val="single" w:sz="4" w:space="0" w:color="auto"/>
          <w:bottom w:val="single" w:sz="4" w:space="0" w:color="auto"/>
        </w:tblBorders>
        <w:tblCellMar>
          <w:left w:w="70" w:type="dxa"/>
          <w:right w:w="70" w:type="dxa"/>
        </w:tblCellMar>
        <w:tblLook w:val="04A0"/>
      </w:tblPr>
      <w:tblGrid>
        <w:gridCol w:w="563"/>
        <w:gridCol w:w="1479"/>
        <w:gridCol w:w="1826"/>
        <w:gridCol w:w="1685"/>
        <w:gridCol w:w="1784"/>
        <w:gridCol w:w="1795"/>
      </w:tblGrid>
      <w:tr w:rsidR="00723E1E" w:rsidRPr="0092372B" w:rsidTr="00752D3C">
        <w:trPr>
          <w:trHeight w:val="175"/>
        </w:trPr>
        <w:tc>
          <w:tcPr>
            <w:tcW w:w="0" w:type="auto"/>
            <w:gridSpan w:val="6"/>
            <w:tcBorders>
              <w:top w:val="single" w:sz="4" w:space="0" w:color="auto"/>
              <w:bottom w:val="single" w:sz="4" w:space="0" w:color="auto"/>
            </w:tcBorders>
            <w:shd w:val="clear" w:color="auto" w:fill="auto"/>
            <w:vAlign w:val="center"/>
            <w:hideMark/>
          </w:tcPr>
          <w:p w:rsidR="00723E1E" w:rsidRPr="0092372B" w:rsidRDefault="00723E1E" w:rsidP="0092372B">
            <w:pPr>
              <w:spacing w:after="0" w:line="240" w:lineRule="auto"/>
              <w:jc w:val="center"/>
              <w:rPr>
                <w:rFonts w:ascii="Times New Roman" w:eastAsia="Times New Roman" w:hAnsi="Times New Roman"/>
                <w:sz w:val="20"/>
                <w:szCs w:val="20"/>
                <w:lang w:eastAsia="pt-BR"/>
              </w:rPr>
            </w:pPr>
            <w:r w:rsidRPr="0092372B">
              <w:rPr>
                <w:rFonts w:ascii="Times New Roman" w:hAnsi="Times New Roman"/>
                <w:sz w:val="20"/>
                <w:szCs w:val="20"/>
              </w:rPr>
              <w:t>Distribuição percentual, por posição na ocupação (%)</w:t>
            </w:r>
          </w:p>
        </w:tc>
      </w:tr>
      <w:tr w:rsidR="00723E1E" w:rsidRPr="0092372B" w:rsidTr="0092372B">
        <w:trPr>
          <w:trHeight w:val="364"/>
        </w:trPr>
        <w:tc>
          <w:tcPr>
            <w:tcW w:w="0" w:type="auto"/>
            <w:vMerge w:val="restart"/>
            <w:tcBorders>
              <w:top w:val="single" w:sz="4" w:space="0" w:color="auto"/>
              <w:bottom w:val="single" w:sz="4" w:space="0" w:color="auto"/>
              <w:right w:val="single" w:sz="4" w:space="0" w:color="auto"/>
            </w:tcBorders>
            <w:shd w:val="clear" w:color="auto" w:fill="auto"/>
            <w:vAlign w:val="center"/>
            <w:hideMark/>
          </w:tcPr>
          <w:p w:rsidR="00723E1E" w:rsidRPr="0092372B" w:rsidRDefault="00723E1E" w:rsidP="0092372B">
            <w:pPr>
              <w:spacing w:after="0" w:line="240" w:lineRule="auto"/>
              <w:rPr>
                <w:rFonts w:ascii="Times New Roman" w:eastAsia="Times New Roman" w:hAnsi="Times New Roman"/>
                <w:b/>
                <w:bCs/>
                <w:sz w:val="20"/>
                <w:szCs w:val="20"/>
                <w:lang w:eastAsia="pt-BR"/>
              </w:rPr>
            </w:pPr>
            <w:r w:rsidRPr="0092372B">
              <w:rPr>
                <w:rFonts w:ascii="Times New Roman" w:eastAsia="Times New Roman" w:hAnsi="Times New Roman"/>
                <w:b/>
                <w:bCs/>
                <w:sz w:val="20"/>
                <w:szCs w:val="20"/>
                <w:lang w:eastAsia="pt-BR"/>
              </w:rPr>
              <w:t> </w:t>
            </w:r>
          </w:p>
          <w:p w:rsidR="00723E1E" w:rsidRPr="0092372B" w:rsidRDefault="00723E1E" w:rsidP="0092372B">
            <w:pPr>
              <w:spacing w:after="0" w:line="240" w:lineRule="auto"/>
              <w:rPr>
                <w:rFonts w:ascii="Times New Roman" w:eastAsia="Times New Roman" w:hAnsi="Times New Roman"/>
                <w:bCs/>
                <w:sz w:val="20"/>
                <w:szCs w:val="20"/>
                <w:lang w:eastAsia="pt-BR"/>
              </w:rPr>
            </w:pPr>
            <w:r w:rsidRPr="0092372B">
              <w:rPr>
                <w:rFonts w:ascii="Times New Roman" w:eastAsia="Times New Roman" w:hAnsi="Times New Roman"/>
                <w:bCs/>
                <w:sz w:val="20"/>
                <w:szCs w:val="20"/>
                <w:lang w:eastAsia="pt-BR"/>
              </w:rPr>
              <w:t>Anos</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3E1E" w:rsidRPr="0092372B" w:rsidRDefault="00723E1E" w:rsidP="0092372B">
            <w:pPr>
              <w:spacing w:after="0" w:line="240" w:lineRule="auto"/>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w:t>
            </w:r>
          </w:p>
          <w:p w:rsidR="00723E1E" w:rsidRPr="0092372B" w:rsidRDefault="00723E1E" w:rsidP="0092372B">
            <w:pPr>
              <w:spacing w:after="0" w:line="240" w:lineRule="auto"/>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Total Absoluto</w:t>
            </w:r>
            <w:r w:rsidRPr="0092372B">
              <w:rPr>
                <w:rFonts w:ascii="Times New Roman" w:eastAsia="Times New Roman" w:hAnsi="Times New Roman"/>
                <w:sz w:val="20"/>
                <w:szCs w:val="20"/>
                <w:lang w:eastAsia="pt-BR"/>
              </w:rPr>
              <w:br/>
              <w:t>(1 000 pessoas)</w:t>
            </w:r>
          </w:p>
        </w:tc>
        <w:tc>
          <w:tcPr>
            <w:tcW w:w="351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3E1E" w:rsidRPr="0092372B" w:rsidRDefault="00723E1E" w:rsidP="0092372B">
            <w:pPr>
              <w:spacing w:after="0" w:line="240" w:lineRule="auto"/>
              <w:jc w:val="center"/>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Trabalhadores por conta-própria (%)</w:t>
            </w:r>
          </w:p>
        </w:tc>
        <w:tc>
          <w:tcPr>
            <w:tcW w:w="3579" w:type="dxa"/>
            <w:gridSpan w:val="2"/>
            <w:tcBorders>
              <w:top w:val="single" w:sz="4" w:space="0" w:color="auto"/>
              <w:left w:val="single" w:sz="4" w:space="0" w:color="auto"/>
              <w:bottom w:val="single" w:sz="4" w:space="0" w:color="auto"/>
            </w:tcBorders>
            <w:shd w:val="clear" w:color="auto" w:fill="auto"/>
            <w:vAlign w:val="center"/>
            <w:hideMark/>
          </w:tcPr>
          <w:p w:rsidR="00723E1E" w:rsidRPr="0092372B" w:rsidRDefault="00723E1E" w:rsidP="0092372B">
            <w:pPr>
              <w:spacing w:after="0" w:line="240" w:lineRule="auto"/>
              <w:jc w:val="center"/>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Empregadores (%)</w:t>
            </w:r>
          </w:p>
        </w:tc>
      </w:tr>
      <w:tr w:rsidR="00723E1E" w:rsidRPr="0092372B" w:rsidTr="0092372B">
        <w:trPr>
          <w:trHeight w:val="836"/>
        </w:trPr>
        <w:tc>
          <w:tcPr>
            <w:tcW w:w="0" w:type="auto"/>
            <w:vMerge/>
            <w:tcBorders>
              <w:top w:val="nil"/>
              <w:bottom w:val="single" w:sz="4" w:space="0" w:color="auto"/>
              <w:right w:val="single" w:sz="4" w:space="0" w:color="auto"/>
            </w:tcBorders>
            <w:shd w:val="clear" w:color="auto" w:fill="auto"/>
            <w:vAlign w:val="center"/>
            <w:hideMark/>
          </w:tcPr>
          <w:p w:rsidR="00723E1E" w:rsidRPr="0092372B" w:rsidRDefault="00723E1E" w:rsidP="0092372B">
            <w:pPr>
              <w:spacing w:after="0" w:line="240" w:lineRule="auto"/>
              <w:rPr>
                <w:rFonts w:ascii="Times New Roman" w:eastAsia="Times New Roman" w:hAnsi="Times New Roman"/>
                <w:b/>
                <w:bCs/>
                <w:sz w:val="20"/>
                <w:szCs w:val="20"/>
                <w:lang w:eastAsia="pt-BR"/>
              </w:rPr>
            </w:pPr>
          </w:p>
        </w:tc>
        <w:tc>
          <w:tcPr>
            <w:tcW w:w="1479" w:type="dxa"/>
            <w:vMerge/>
            <w:tcBorders>
              <w:top w:val="nil"/>
              <w:left w:val="single" w:sz="4" w:space="0" w:color="auto"/>
              <w:bottom w:val="single" w:sz="4" w:space="0" w:color="auto"/>
              <w:right w:val="single" w:sz="4" w:space="0" w:color="auto"/>
            </w:tcBorders>
            <w:shd w:val="clear" w:color="auto" w:fill="auto"/>
            <w:vAlign w:val="center"/>
            <w:hideMark/>
          </w:tcPr>
          <w:p w:rsidR="00723E1E" w:rsidRPr="0092372B" w:rsidRDefault="00723E1E" w:rsidP="0092372B">
            <w:pPr>
              <w:spacing w:after="0" w:line="240" w:lineRule="auto"/>
              <w:rPr>
                <w:rFonts w:ascii="Times New Roman" w:eastAsia="Times New Roman" w:hAnsi="Times New Roman"/>
                <w:sz w:val="20"/>
                <w:szCs w:val="20"/>
                <w:lang w:eastAsia="pt-BR"/>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1E" w:rsidRPr="0092372B" w:rsidRDefault="00723E1E" w:rsidP="0092372B">
            <w:pPr>
              <w:spacing w:after="0" w:line="240" w:lineRule="auto"/>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Não contribuem para previdência social</w:t>
            </w:r>
          </w:p>
        </w:tc>
        <w:tc>
          <w:tcPr>
            <w:tcW w:w="1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1E" w:rsidRPr="0092372B" w:rsidRDefault="00723E1E" w:rsidP="0092372B">
            <w:pPr>
              <w:spacing w:after="0" w:line="240" w:lineRule="auto"/>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Contribuem para previdência social</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E1E" w:rsidRPr="0092372B" w:rsidRDefault="00723E1E" w:rsidP="0092372B">
            <w:pPr>
              <w:spacing w:after="0" w:line="240" w:lineRule="auto"/>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Não contribuem para previdência social</w:t>
            </w:r>
          </w:p>
        </w:tc>
        <w:tc>
          <w:tcPr>
            <w:tcW w:w="1795" w:type="dxa"/>
            <w:tcBorders>
              <w:top w:val="single" w:sz="4" w:space="0" w:color="auto"/>
              <w:left w:val="single" w:sz="4" w:space="0" w:color="auto"/>
              <w:bottom w:val="single" w:sz="4" w:space="0" w:color="auto"/>
            </w:tcBorders>
            <w:shd w:val="clear" w:color="auto" w:fill="auto"/>
            <w:vAlign w:val="center"/>
            <w:hideMark/>
          </w:tcPr>
          <w:p w:rsidR="00723E1E" w:rsidRPr="0092372B" w:rsidRDefault="00723E1E" w:rsidP="0092372B">
            <w:pPr>
              <w:spacing w:after="0" w:line="240" w:lineRule="auto"/>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Contribuem para previdência social</w:t>
            </w:r>
          </w:p>
        </w:tc>
      </w:tr>
      <w:tr w:rsidR="00723E1E" w:rsidRPr="0092372B" w:rsidTr="0092372B">
        <w:trPr>
          <w:trHeight w:val="288"/>
        </w:trPr>
        <w:tc>
          <w:tcPr>
            <w:tcW w:w="0" w:type="auto"/>
            <w:tcBorders>
              <w:top w:val="single" w:sz="4" w:space="0" w:color="auto"/>
            </w:tcBorders>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2015</w:t>
            </w:r>
          </w:p>
        </w:tc>
        <w:tc>
          <w:tcPr>
            <w:tcW w:w="1479" w:type="dxa"/>
            <w:tcBorders>
              <w:top w:val="single" w:sz="4" w:space="0" w:color="auto"/>
            </w:tcBorders>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4 509 </w:t>
            </w:r>
          </w:p>
        </w:tc>
        <w:tc>
          <w:tcPr>
            <w:tcW w:w="1826" w:type="dxa"/>
            <w:tcBorders>
              <w:top w:val="single" w:sz="4" w:space="0" w:color="auto"/>
            </w:tcBorders>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82,3 </w:t>
            </w:r>
          </w:p>
        </w:tc>
        <w:tc>
          <w:tcPr>
            <w:tcW w:w="1685" w:type="dxa"/>
            <w:tcBorders>
              <w:top w:val="single" w:sz="4" w:space="0" w:color="auto"/>
            </w:tcBorders>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17,7 </w:t>
            </w:r>
          </w:p>
        </w:tc>
        <w:tc>
          <w:tcPr>
            <w:tcW w:w="1784" w:type="dxa"/>
            <w:tcBorders>
              <w:top w:val="single" w:sz="4" w:space="0" w:color="auto"/>
            </w:tcBorders>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28,0 </w:t>
            </w:r>
          </w:p>
        </w:tc>
        <w:tc>
          <w:tcPr>
            <w:tcW w:w="1795" w:type="dxa"/>
            <w:tcBorders>
              <w:top w:val="single" w:sz="4" w:space="0" w:color="auto"/>
            </w:tcBorders>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72,0 </w:t>
            </w:r>
          </w:p>
        </w:tc>
      </w:tr>
      <w:tr w:rsidR="00723E1E" w:rsidRPr="0092372B" w:rsidTr="0092372B">
        <w:trPr>
          <w:trHeight w:val="288"/>
        </w:trPr>
        <w:tc>
          <w:tcPr>
            <w:tcW w:w="0" w:type="auto"/>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2016</w:t>
            </w:r>
          </w:p>
        </w:tc>
        <w:tc>
          <w:tcPr>
            <w:tcW w:w="1479"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4 599 </w:t>
            </w:r>
          </w:p>
        </w:tc>
        <w:tc>
          <w:tcPr>
            <w:tcW w:w="1826"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79,9 </w:t>
            </w:r>
          </w:p>
        </w:tc>
        <w:tc>
          <w:tcPr>
            <w:tcW w:w="1685"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20,1 </w:t>
            </w:r>
          </w:p>
        </w:tc>
        <w:tc>
          <w:tcPr>
            <w:tcW w:w="1784"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27,7 </w:t>
            </w:r>
          </w:p>
        </w:tc>
        <w:tc>
          <w:tcPr>
            <w:tcW w:w="1795"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72,3 </w:t>
            </w:r>
          </w:p>
        </w:tc>
      </w:tr>
      <w:tr w:rsidR="00723E1E" w:rsidRPr="0092372B" w:rsidTr="0092372B">
        <w:trPr>
          <w:trHeight w:val="288"/>
        </w:trPr>
        <w:tc>
          <w:tcPr>
            <w:tcW w:w="0" w:type="auto"/>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2017</w:t>
            </w:r>
          </w:p>
        </w:tc>
        <w:tc>
          <w:tcPr>
            <w:tcW w:w="1479"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4 786 </w:t>
            </w:r>
          </w:p>
        </w:tc>
        <w:tc>
          <w:tcPr>
            <w:tcW w:w="1826"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79,5 </w:t>
            </w:r>
          </w:p>
        </w:tc>
        <w:tc>
          <w:tcPr>
            <w:tcW w:w="1685"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20,5 </w:t>
            </w:r>
          </w:p>
        </w:tc>
        <w:tc>
          <w:tcPr>
            <w:tcW w:w="1784"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31,0 </w:t>
            </w:r>
          </w:p>
        </w:tc>
        <w:tc>
          <w:tcPr>
            <w:tcW w:w="1795"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69,0 </w:t>
            </w:r>
          </w:p>
        </w:tc>
      </w:tr>
      <w:tr w:rsidR="00723E1E" w:rsidRPr="0092372B" w:rsidTr="0092372B">
        <w:trPr>
          <w:trHeight w:val="288"/>
        </w:trPr>
        <w:tc>
          <w:tcPr>
            <w:tcW w:w="0" w:type="auto"/>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2018</w:t>
            </w:r>
          </w:p>
        </w:tc>
        <w:tc>
          <w:tcPr>
            <w:tcW w:w="1479"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4 641 </w:t>
            </w:r>
          </w:p>
        </w:tc>
        <w:tc>
          <w:tcPr>
            <w:tcW w:w="1826"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80,9 </w:t>
            </w:r>
          </w:p>
        </w:tc>
        <w:tc>
          <w:tcPr>
            <w:tcW w:w="1685"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19,1 </w:t>
            </w:r>
          </w:p>
        </w:tc>
        <w:tc>
          <w:tcPr>
            <w:tcW w:w="1784"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35,1 </w:t>
            </w:r>
          </w:p>
        </w:tc>
        <w:tc>
          <w:tcPr>
            <w:tcW w:w="1795"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64,9 </w:t>
            </w:r>
          </w:p>
        </w:tc>
      </w:tr>
      <w:tr w:rsidR="00723E1E" w:rsidRPr="0092372B" w:rsidTr="0092372B">
        <w:trPr>
          <w:trHeight w:val="288"/>
        </w:trPr>
        <w:tc>
          <w:tcPr>
            <w:tcW w:w="0" w:type="auto"/>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2019</w:t>
            </w:r>
          </w:p>
        </w:tc>
        <w:tc>
          <w:tcPr>
            <w:tcW w:w="1479"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5 013 </w:t>
            </w:r>
          </w:p>
        </w:tc>
        <w:tc>
          <w:tcPr>
            <w:tcW w:w="1826"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80,4 </w:t>
            </w:r>
          </w:p>
        </w:tc>
        <w:tc>
          <w:tcPr>
            <w:tcW w:w="1685"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19,6 </w:t>
            </w:r>
          </w:p>
        </w:tc>
        <w:tc>
          <w:tcPr>
            <w:tcW w:w="1784"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33,4 </w:t>
            </w:r>
          </w:p>
        </w:tc>
        <w:tc>
          <w:tcPr>
            <w:tcW w:w="1795" w:type="dxa"/>
            <w:shd w:val="clear" w:color="auto" w:fill="auto"/>
            <w:noWrap/>
            <w:vAlign w:val="center"/>
            <w:hideMark/>
          </w:tcPr>
          <w:p w:rsidR="00723E1E" w:rsidRPr="0092372B" w:rsidRDefault="00723E1E" w:rsidP="0092372B">
            <w:pPr>
              <w:spacing w:after="0" w:line="240" w:lineRule="auto"/>
              <w:jc w:val="right"/>
              <w:rPr>
                <w:rFonts w:ascii="Times New Roman" w:eastAsia="Times New Roman" w:hAnsi="Times New Roman"/>
                <w:sz w:val="20"/>
                <w:szCs w:val="20"/>
                <w:lang w:eastAsia="pt-BR"/>
              </w:rPr>
            </w:pPr>
            <w:r w:rsidRPr="0092372B">
              <w:rPr>
                <w:rFonts w:ascii="Times New Roman" w:eastAsia="Times New Roman" w:hAnsi="Times New Roman"/>
                <w:sz w:val="20"/>
                <w:szCs w:val="20"/>
                <w:lang w:eastAsia="pt-BR"/>
              </w:rPr>
              <w:t xml:space="preserve">           66,6 </w:t>
            </w:r>
          </w:p>
        </w:tc>
      </w:tr>
    </w:tbl>
    <w:p w:rsidR="00723E1E" w:rsidRPr="0092372B" w:rsidRDefault="00723E1E" w:rsidP="0092372B">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w:t>
      </w:r>
      <w:r w:rsidR="0092372B" w:rsidRPr="0092372B">
        <w:rPr>
          <w:rFonts w:ascii="Times New Roman" w:hAnsi="Times New Roman"/>
          <w:szCs w:val="24"/>
          <w:shd w:val="clear" w:color="auto" w:fill="FFFFFF"/>
        </w:rPr>
        <w:t xml:space="preserve"> 2022b</w:t>
      </w:r>
      <w:r w:rsidRPr="0092372B">
        <w:rPr>
          <w:rFonts w:ascii="Times New Roman" w:hAnsi="Times New Roman"/>
          <w:szCs w:val="24"/>
          <w:shd w:val="clear" w:color="auto" w:fill="FFFFFF"/>
        </w:rPr>
        <w:t>. PNAD</w:t>
      </w:r>
      <w:r w:rsidR="00C22C98">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w:t>
      </w:r>
      <w:r w:rsidR="0092372B" w:rsidRPr="0092372B">
        <w:rPr>
          <w:rFonts w:ascii="Times New Roman" w:hAnsi="Times New Roman"/>
          <w:szCs w:val="24"/>
          <w:shd w:val="clear" w:color="auto" w:fill="FFFFFF"/>
        </w:rPr>
        <w:t xml:space="preserve"> 2022</w:t>
      </w:r>
      <w:r w:rsidRPr="0092372B">
        <w:rPr>
          <w:rFonts w:ascii="Times New Roman" w:hAnsi="Times New Roman"/>
          <w:szCs w:val="24"/>
          <w:shd w:val="clear" w:color="auto" w:fill="FFFFFF"/>
        </w:rPr>
        <w:t>.</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Nesse sentido, vê-se que em números absolutos, o quantitativo de jovens empreendedores aumentou a partir de 2017. Dado que demonstra como as dificuldades de inserção em empregos (seja formal ou informal) são resolvidas nesta faixa etária, pois, se retomarmos a tabela 1, veremos que, apesar da queda em períodos anteriores, o quantitativo absoluto de jovens ocupados, após 2016, permaneceu inalterado. Assim, o percentual de jovens trabalhadores por conta própria e os jovens empregadores que não contribuíam para a previdência social apresentava uma tendência à queda de 2012 até 2017 e foi revertida após tal data, em síntese, saiu de 79,5% em 2017, para 80,4% em 2019, para o percentual de jovens trabalhadores por conta própria; e de 31% em 2017, para 33,4% em 2019, para os jovens empregadores. Por outro lado, o quantitativo de jovens que contribuíam para a previdência social caiu. Nesses termos, os trabalhadores por conta própria que contribuíam à previdência saiu de 20,1% em 2016 para 19,6% em 2019. Já os empregadores caiu de 69% em 2017 para </w:t>
      </w:r>
      <w:r w:rsidRPr="0061769D">
        <w:rPr>
          <w:rFonts w:ascii="Times New Roman" w:hAnsi="Times New Roman"/>
          <w:sz w:val="24"/>
          <w:szCs w:val="24"/>
        </w:rPr>
        <w:lastRenderedPageBreak/>
        <w:t>66,6% em 2019. Conforme citou Galvão et. al. (2017, p.29) “a ausência de proteção social [...] expõe os trabalhadores a uma série de riscos e inseguranças”.</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Por fim, ainda resta mencionar o comportamento da taxa de desocupação e subutilização por insuficiência de horas trabalhadas dos jovens. Claramente percebe-se que a Reforma não foi capaz de reduzir as taxas de desemprego dos jovens ao patamar que existia anteriormente. A tabela 3 evidência que no ano de 2016 a taxa era 20,9%, e em 2019 a taxa estava em 21,2%. O mesmo ocorreu com a taxa de subutilização por insuficiência de horas trabalhadas que disparou após a Reforma, de </w:t>
      </w:r>
      <w:r w:rsidR="00C22C98">
        <w:rPr>
          <w:rFonts w:ascii="Times New Roman" w:hAnsi="Times New Roman"/>
          <w:sz w:val="24"/>
          <w:szCs w:val="24"/>
        </w:rPr>
        <w:t>27,7% em 2015</w:t>
      </w:r>
      <w:r w:rsidRPr="0061769D">
        <w:rPr>
          <w:rFonts w:ascii="Times New Roman" w:hAnsi="Times New Roman"/>
          <w:sz w:val="24"/>
          <w:szCs w:val="24"/>
        </w:rPr>
        <w:t xml:space="preserve"> para 36,7% em 2019.</w:t>
      </w:r>
    </w:p>
    <w:p w:rsidR="00723E1E" w:rsidRPr="0061769D" w:rsidRDefault="00723E1E" w:rsidP="00C22C98">
      <w:pPr>
        <w:spacing w:after="0" w:line="240" w:lineRule="auto"/>
        <w:jc w:val="center"/>
        <w:rPr>
          <w:rFonts w:ascii="Times New Roman" w:hAnsi="Times New Roman"/>
          <w:sz w:val="24"/>
          <w:szCs w:val="24"/>
        </w:rPr>
      </w:pPr>
      <w:r w:rsidRPr="0061769D">
        <w:rPr>
          <w:rFonts w:ascii="Times New Roman" w:hAnsi="Times New Roman"/>
          <w:b/>
          <w:sz w:val="24"/>
          <w:szCs w:val="24"/>
        </w:rPr>
        <w:t>Tabela 3.</w:t>
      </w:r>
      <w:r w:rsidRPr="0061769D">
        <w:rPr>
          <w:rFonts w:ascii="Times New Roman" w:hAnsi="Times New Roman"/>
          <w:sz w:val="24"/>
          <w:szCs w:val="24"/>
        </w:rPr>
        <w:t xml:space="preserve"> Brasil: taxa de desocupação, subutilização de pessoas de 14 a 29 anos </w:t>
      </w:r>
    </w:p>
    <w:p w:rsidR="00723E1E" w:rsidRPr="0061769D" w:rsidRDefault="00723E1E" w:rsidP="00611068">
      <w:pPr>
        <w:spacing w:after="120" w:line="240" w:lineRule="auto"/>
        <w:jc w:val="center"/>
        <w:rPr>
          <w:rFonts w:ascii="Times New Roman" w:hAnsi="Times New Roman"/>
          <w:sz w:val="24"/>
          <w:szCs w:val="24"/>
        </w:rPr>
      </w:pPr>
      <w:r w:rsidRPr="0061769D">
        <w:rPr>
          <w:rFonts w:ascii="Times New Roman" w:hAnsi="Times New Roman"/>
          <w:sz w:val="24"/>
          <w:szCs w:val="24"/>
        </w:rPr>
        <w:t>(2015 – 2019)</w:t>
      </w:r>
    </w:p>
    <w:tbl>
      <w:tblPr>
        <w:tblW w:w="0" w:type="auto"/>
        <w:jc w:val="center"/>
        <w:tblInd w:w="2660" w:type="dxa"/>
        <w:tblBorders>
          <w:top w:val="single" w:sz="4" w:space="0" w:color="auto"/>
          <w:bottom w:val="single" w:sz="4" w:space="0" w:color="auto"/>
        </w:tblBorders>
        <w:tblLook w:val="04A0"/>
      </w:tblPr>
      <w:tblGrid>
        <w:gridCol w:w="859"/>
        <w:gridCol w:w="1843"/>
        <w:gridCol w:w="1985"/>
      </w:tblGrid>
      <w:tr w:rsidR="00723E1E" w:rsidRPr="00C22C98" w:rsidTr="00752D3C">
        <w:trPr>
          <w:jc w:val="center"/>
        </w:trPr>
        <w:tc>
          <w:tcPr>
            <w:tcW w:w="859" w:type="dxa"/>
            <w:tcBorders>
              <w:top w:val="single" w:sz="4" w:space="0" w:color="auto"/>
              <w:bottom w:val="single" w:sz="4" w:space="0" w:color="auto"/>
            </w:tcBorders>
            <w:vAlign w:val="center"/>
          </w:tcPr>
          <w:p w:rsidR="00723E1E" w:rsidRPr="00C22C98" w:rsidRDefault="00723E1E" w:rsidP="00C22C98">
            <w:pPr>
              <w:spacing w:after="0" w:line="240" w:lineRule="auto"/>
              <w:jc w:val="center"/>
              <w:rPr>
                <w:rFonts w:ascii="Times New Roman" w:hAnsi="Times New Roman"/>
                <w:sz w:val="20"/>
                <w:szCs w:val="24"/>
              </w:rPr>
            </w:pPr>
            <w:r w:rsidRPr="00C22C98">
              <w:rPr>
                <w:rFonts w:ascii="Times New Roman" w:eastAsia="Times New Roman" w:hAnsi="Times New Roman"/>
                <w:color w:val="000000"/>
                <w:sz w:val="20"/>
                <w:szCs w:val="24"/>
                <w:lang w:eastAsia="pt-BR"/>
              </w:rPr>
              <w:t>Anos</w:t>
            </w:r>
          </w:p>
        </w:tc>
        <w:tc>
          <w:tcPr>
            <w:tcW w:w="1843" w:type="dxa"/>
            <w:tcBorders>
              <w:top w:val="single" w:sz="4" w:space="0" w:color="auto"/>
              <w:bottom w:val="single" w:sz="4" w:space="0" w:color="auto"/>
            </w:tcBorders>
          </w:tcPr>
          <w:p w:rsidR="00723E1E" w:rsidRPr="00C22C98" w:rsidRDefault="00723E1E" w:rsidP="00C22C98">
            <w:pPr>
              <w:spacing w:after="0" w:line="240" w:lineRule="auto"/>
              <w:jc w:val="center"/>
              <w:rPr>
                <w:rFonts w:ascii="Times New Roman" w:hAnsi="Times New Roman"/>
                <w:sz w:val="20"/>
                <w:szCs w:val="24"/>
              </w:rPr>
            </w:pPr>
            <w:r w:rsidRPr="00C22C98">
              <w:rPr>
                <w:rFonts w:ascii="Times New Roman" w:hAnsi="Times New Roman"/>
                <w:sz w:val="20"/>
                <w:szCs w:val="24"/>
              </w:rPr>
              <w:t xml:space="preserve">Taxa de desocupação </w:t>
            </w:r>
            <w:r w:rsidR="00C22C98">
              <w:rPr>
                <w:rFonts w:ascii="Times New Roman" w:hAnsi="Times New Roman"/>
                <w:sz w:val="20"/>
                <w:szCs w:val="24"/>
              </w:rPr>
              <w:t>(%)</w:t>
            </w:r>
          </w:p>
        </w:tc>
        <w:tc>
          <w:tcPr>
            <w:tcW w:w="1985" w:type="dxa"/>
            <w:tcBorders>
              <w:top w:val="single" w:sz="4" w:space="0" w:color="auto"/>
              <w:bottom w:val="single" w:sz="4" w:space="0" w:color="auto"/>
            </w:tcBorders>
            <w:vAlign w:val="center"/>
          </w:tcPr>
          <w:p w:rsidR="00723E1E" w:rsidRPr="00C22C98" w:rsidRDefault="00723E1E" w:rsidP="00C22C98">
            <w:pPr>
              <w:spacing w:after="0" w:line="240" w:lineRule="auto"/>
              <w:jc w:val="center"/>
              <w:rPr>
                <w:rFonts w:ascii="Times New Roman" w:hAnsi="Times New Roman"/>
                <w:sz w:val="20"/>
                <w:szCs w:val="24"/>
              </w:rPr>
            </w:pPr>
            <w:r w:rsidRPr="00C22C98">
              <w:rPr>
                <w:rFonts w:ascii="Times New Roman" w:hAnsi="Times New Roman"/>
                <w:sz w:val="20"/>
                <w:szCs w:val="24"/>
              </w:rPr>
              <w:t xml:space="preserve">Taxa de </w:t>
            </w:r>
          </w:p>
          <w:p w:rsidR="00723E1E" w:rsidRPr="00C22C98" w:rsidRDefault="00C22C98" w:rsidP="00C22C98">
            <w:pPr>
              <w:spacing w:after="0" w:line="240" w:lineRule="auto"/>
              <w:jc w:val="center"/>
              <w:rPr>
                <w:rFonts w:ascii="Times New Roman" w:hAnsi="Times New Roman"/>
                <w:sz w:val="20"/>
                <w:szCs w:val="24"/>
              </w:rPr>
            </w:pPr>
            <w:r w:rsidRPr="00C22C98">
              <w:rPr>
                <w:rFonts w:ascii="Times New Roman" w:hAnsi="Times New Roman"/>
                <w:sz w:val="20"/>
                <w:szCs w:val="24"/>
              </w:rPr>
              <w:t>S</w:t>
            </w:r>
            <w:r w:rsidR="00723E1E" w:rsidRPr="00C22C98">
              <w:rPr>
                <w:rFonts w:ascii="Times New Roman" w:hAnsi="Times New Roman"/>
                <w:sz w:val="20"/>
                <w:szCs w:val="24"/>
              </w:rPr>
              <w:t>ubutilização</w:t>
            </w:r>
            <w:r>
              <w:rPr>
                <w:rFonts w:ascii="Times New Roman" w:hAnsi="Times New Roman"/>
                <w:sz w:val="20"/>
                <w:szCs w:val="24"/>
              </w:rPr>
              <w:t xml:space="preserve"> (%)</w:t>
            </w:r>
          </w:p>
        </w:tc>
      </w:tr>
      <w:tr w:rsidR="00723E1E" w:rsidRPr="00C22C98" w:rsidTr="00752D3C">
        <w:trPr>
          <w:jc w:val="center"/>
        </w:trPr>
        <w:tc>
          <w:tcPr>
            <w:tcW w:w="859"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color w:val="000000"/>
                <w:sz w:val="20"/>
                <w:szCs w:val="24"/>
                <w:lang w:eastAsia="pt-BR"/>
              </w:rPr>
              <w:t>2015</w:t>
            </w:r>
          </w:p>
        </w:tc>
        <w:tc>
          <w:tcPr>
            <w:tcW w:w="1843"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bCs/>
                <w:color w:val="000000"/>
                <w:sz w:val="20"/>
                <w:szCs w:val="24"/>
                <w:lang w:eastAsia="pt-BR"/>
              </w:rPr>
              <w:t>15,9</w:t>
            </w:r>
          </w:p>
        </w:tc>
        <w:tc>
          <w:tcPr>
            <w:tcW w:w="1985" w:type="dxa"/>
          </w:tcPr>
          <w:p w:rsidR="00723E1E" w:rsidRPr="00C22C98" w:rsidRDefault="00723E1E" w:rsidP="00C22C98">
            <w:pPr>
              <w:spacing w:after="0" w:line="240" w:lineRule="auto"/>
              <w:jc w:val="right"/>
              <w:rPr>
                <w:rFonts w:ascii="Times New Roman" w:eastAsia="Times New Roman" w:hAnsi="Times New Roman"/>
                <w:bCs/>
                <w:color w:val="000000"/>
                <w:sz w:val="20"/>
                <w:szCs w:val="24"/>
                <w:lang w:eastAsia="pt-BR"/>
              </w:rPr>
            </w:pPr>
            <w:r w:rsidRPr="00C22C98">
              <w:rPr>
                <w:rFonts w:ascii="Times New Roman" w:eastAsia="Times New Roman" w:hAnsi="Times New Roman"/>
                <w:bCs/>
                <w:sz w:val="20"/>
                <w:szCs w:val="24"/>
                <w:lang w:eastAsia="pt-BR"/>
              </w:rPr>
              <w:t xml:space="preserve"> 27,7</w:t>
            </w:r>
          </w:p>
        </w:tc>
      </w:tr>
      <w:tr w:rsidR="00723E1E" w:rsidRPr="00C22C98" w:rsidTr="00752D3C">
        <w:trPr>
          <w:jc w:val="center"/>
        </w:trPr>
        <w:tc>
          <w:tcPr>
            <w:tcW w:w="859"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color w:val="000000"/>
                <w:sz w:val="20"/>
                <w:szCs w:val="24"/>
                <w:lang w:eastAsia="pt-BR"/>
              </w:rPr>
              <w:t>2016</w:t>
            </w:r>
          </w:p>
        </w:tc>
        <w:tc>
          <w:tcPr>
            <w:tcW w:w="1843"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bCs/>
                <w:color w:val="000000"/>
                <w:sz w:val="20"/>
                <w:szCs w:val="24"/>
                <w:lang w:eastAsia="pt-BR"/>
              </w:rPr>
              <w:t>20,9</w:t>
            </w:r>
          </w:p>
        </w:tc>
        <w:tc>
          <w:tcPr>
            <w:tcW w:w="1985" w:type="dxa"/>
          </w:tcPr>
          <w:p w:rsidR="00723E1E" w:rsidRPr="00C22C98" w:rsidRDefault="00723E1E" w:rsidP="00C22C98">
            <w:pPr>
              <w:spacing w:after="0" w:line="240" w:lineRule="auto"/>
              <w:jc w:val="right"/>
              <w:rPr>
                <w:rFonts w:ascii="Times New Roman" w:eastAsia="Times New Roman" w:hAnsi="Times New Roman"/>
                <w:bCs/>
                <w:color w:val="000000"/>
                <w:sz w:val="20"/>
                <w:szCs w:val="24"/>
                <w:lang w:eastAsia="pt-BR"/>
              </w:rPr>
            </w:pPr>
            <w:r w:rsidRPr="00C22C98">
              <w:rPr>
                <w:rFonts w:ascii="Times New Roman" w:eastAsia="Times New Roman" w:hAnsi="Times New Roman"/>
                <w:bCs/>
                <w:sz w:val="20"/>
                <w:szCs w:val="24"/>
                <w:lang w:eastAsia="pt-BR"/>
              </w:rPr>
              <w:t>33,3</w:t>
            </w:r>
          </w:p>
        </w:tc>
      </w:tr>
      <w:tr w:rsidR="00723E1E" w:rsidRPr="00C22C98" w:rsidTr="00752D3C">
        <w:trPr>
          <w:jc w:val="center"/>
        </w:trPr>
        <w:tc>
          <w:tcPr>
            <w:tcW w:w="859"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color w:val="000000"/>
                <w:sz w:val="20"/>
                <w:szCs w:val="24"/>
                <w:lang w:eastAsia="pt-BR"/>
              </w:rPr>
              <w:t>2017</w:t>
            </w:r>
          </w:p>
        </w:tc>
        <w:tc>
          <w:tcPr>
            <w:tcW w:w="1843"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bCs/>
                <w:color w:val="000000"/>
                <w:sz w:val="20"/>
                <w:szCs w:val="24"/>
                <w:lang w:eastAsia="pt-BR"/>
              </w:rPr>
              <w:t xml:space="preserve">22,0 </w:t>
            </w:r>
          </w:p>
        </w:tc>
        <w:tc>
          <w:tcPr>
            <w:tcW w:w="1985" w:type="dxa"/>
          </w:tcPr>
          <w:p w:rsidR="00723E1E" w:rsidRPr="00C22C98" w:rsidRDefault="00723E1E" w:rsidP="00C22C98">
            <w:pPr>
              <w:spacing w:after="0" w:line="240" w:lineRule="auto"/>
              <w:jc w:val="right"/>
              <w:rPr>
                <w:rFonts w:ascii="Times New Roman" w:eastAsia="Times New Roman" w:hAnsi="Times New Roman"/>
                <w:bCs/>
                <w:color w:val="000000"/>
                <w:sz w:val="20"/>
                <w:szCs w:val="24"/>
                <w:lang w:eastAsia="pt-BR"/>
              </w:rPr>
            </w:pPr>
            <w:r w:rsidRPr="00C22C98">
              <w:rPr>
                <w:rFonts w:ascii="Times New Roman" w:eastAsia="Times New Roman" w:hAnsi="Times New Roman"/>
                <w:bCs/>
                <w:sz w:val="20"/>
                <w:szCs w:val="24"/>
                <w:lang w:eastAsia="pt-BR"/>
              </w:rPr>
              <w:t>36,4</w:t>
            </w:r>
          </w:p>
        </w:tc>
      </w:tr>
      <w:tr w:rsidR="00723E1E" w:rsidRPr="00C22C98" w:rsidTr="00752D3C">
        <w:trPr>
          <w:jc w:val="center"/>
        </w:trPr>
        <w:tc>
          <w:tcPr>
            <w:tcW w:w="859"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color w:val="000000"/>
                <w:sz w:val="20"/>
                <w:szCs w:val="24"/>
                <w:lang w:eastAsia="pt-BR"/>
              </w:rPr>
              <w:t>2018</w:t>
            </w:r>
          </w:p>
        </w:tc>
        <w:tc>
          <w:tcPr>
            <w:tcW w:w="1843"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bCs/>
                <w:color w:val="000000"/>
                <w:sz w:val="20"/>
                <w:szCs w:val="24"/>
                <w:lang w:eastAsia="pt-BR"/>
              </w:rPr>
              <w:t>21,6</w:t>
            </w:r>
          </w:p>
        </w:tc>
        <w:tc>
          <w:tcPr>
            <w:tcW w:w="1985" w:type="dxa"/>
          </w:tcPr>
          <w:p w:rsidR="00723E1E" w:rsidRPr="00C22C98" w:rsidRDefault="00723E1E" w:rsidP="00C22C98">
            <w:pPr>
              <w:spacing w:after="0" w:line="240" w:lineRule="auto"/>
              <w:jc w:val="right"/>
              <w:rPr>
                <w:rFonts w:ascii="Times New Roman" w:eastAsia="Times New Roman" w:hAnsi="Times New Roman"/>
                <w:bCs/>
                <w:color w:val="000000"/>
                <w:sz w:val="20"/>
                <w:szCs w:val="24"/>
                <w:lang w:eastAsia="pt-BR"/>
              </w:rPr>
            </w:pPr>
            <w:r w:rsidRPr="00C22C98">
              <w:rPr>
                <w:rFonts w:ascii="Times New Roman" w:eastAsia="Times New Roman" w:hAnsi="Times New Roman"/>
                <w:bCs/>
                <w:sz w:val="20"/>
                <w:szCs w:val="24"/>
                <w:lang w:eastAsia="pt-BR"/>
              </w:rPr>
              <w:t>37,3</w:t>
            </w:r>
          </w:p>
        </w:tc>
      </w:tr>
      <w:tr w:rsidR="00723E1E" w:rsidRPr="00C22C98" w:rsidTr="00752D3C">
        <w:trPr>
          <w:jc w:val="center"/>
        </w:trPr>
        <w:tc>
          <w:tcPr>
            <w:tcW w:w="859"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color w:val="000000"/>
                <w:sz w:val="20"/>
                <w:szCs w:val="24"/>
                <w:lang w:eastAsia="pt-BR"/>
              </w:rPr>
              <w:t>2019</w:t>
            </w:r>
          </w:p>
        </w:tc>
        <w:tc>
          <w:tcPr>
            <w:tcW w:w="1843" w:type="dxa"/>
          </w:tcPr>
          <w:p w:rsidR="00723E1E" w:rsidRPr="00C22C98" w:rsidRDefault="00723E1E" w:rsidP="00C22C98">
            <w:pPr>
              <w:spacing w:after="0" w:line="240" w:lineRule="auto"/>
              <w:jc w:val="right"/>
              <w:rPr>
                <w:rFonts w:ascii="Times New Roman" w:hAnsi="Times New Roman"/>
                <w:sz w:val="20"/>
                <w:szCs w:val="24"/>
              </w:rPr>
            </w:pPr>
            <w:r w:rsidRPr="00C22C98">
              <w:rPr>
                <w:rFonts w:ascii="Times New Roman" w:eastAsia="Times New Roman" w:hAnsi="Times New Roman"/>
                <w:bCs/>
                <w:color w:val="000000"/>
                <w:sz w:val="20"/>
                <w:szCs w:val="24"/>
                <w:lang w:eastAsia="pt-BR"/>
              </w:rPr>
              <w:t>21,2</w:t>
            </w:r>
          </w:p>
        </w:tc>
        <w:tc>
          <w:tcPr>
            <w:tcW w:w="1985" w:type="dxa"/>
          </w:tcPr>
          <w:p w:rsidR="00723E1E" w:rsidRPr="00C22C98" w:rsidRDefault="00723E1E" w:rsidP="00C22C98">
            <w:pPr>
              <w:spacing w:after="0" w:line="240" w:lineRule="auto"/>
              <w:jc w:val="right"/>
              <w:rPr>
                <w:rFonts w:ascii="Times New Roman" w:eastAsia="Times New Roman" w:hAnsi="Times New Roman"/>
                <w:bCs/>
                <w:color w:val="000000"/>
                <w:sz w:val="20"/>
                <w:szCs w:val="24"/>
                <w:lang w:eastAsia="pt-BR"/>
              </w:rPr>
            </w:pPr>
            <w:r w:rsidRPr="00C22C98">
              <w:rPr>
                <w:rFonts w:ascii="Times New Roman" w:eastAsia="Times New Roman" w:hAnsi="Times New Roman"/>
                <w:bCs/>
                <w:sz w:val="20"/>
                <w:szCs w:val="24"/>
                <w:lang w:eastAsia="pt-BR"/>
              </w:rPr>
              <w:t>36,7</w:t>
            </w:r>
          </w:p>
        </w:tc>
      </w:tr>
    </w:tbl>
    <w:p w:rsidR="00C22C98" w:rsidRPr="0092372B" w:rsidRDefault="00C22C98" w:rsidP="00C22C98">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 2022b. PNAD</w:t>
      </w:r>
      <w:r>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 2022.</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Portanto, esta é uma síntese do que a reforma trabalhista trouxe para os jovens brasileiros, a saber: uma redução nos empregos de qualidade (com carteira assinada e estatutário), e aumento da informalidade expressada no aumento no emprego sem carteira e por conta própria, onde se predomina o trabalho do tipo que não contribui para a previdência, impactando na perda de direitos sociais e trabalhistas. Ainda acrescenta-se a este quadro o aumento das taxas de desocupação e subutilização da força de trabalho jovem. A Reforma trouxe para o jovem brasileiro o aumento da vulnerabilidade e da precarização no mercado de trabalho. É a partir daí que vem a preocupação em analisar o caso do jovem no Nordeste, uma vez que se trata de uma região tradicionalmente conhecida por apresentar indicadores socioeconômicos mais problemáticos dentre as demais regiões do Brasil.</w:t>
      </w:r>
    </w:p>
    <w:p w:rsidR="00723E1E" w:rsidRPr="0061769D" w:rsidRDefault="00C22C98" w:rsidP="00723E1E">
      <w:pPr>
        <w:spacing w:after="0" w:line="360" w:lineRule="auto"/>
        <w:jc w:val="both"/>
        <w:rPr>
          <w:rFonts w:ascii="Times New Roman" w:hAnsi="Times New Roman"/>
          <w:b/>
          <w:sz w:val="24"/>
          <w:szCs w:val="24"/>
        </w:rPr>
      </w:pPr>
      <w:r>
        <w:rPr>
          <w:rFonts w:ascii="Times New Roman" w:hAnsi="Times New Roman"/>
          <w:b/>
          <w:sz w:val="24"/>
          <w:szCs w:val="24"/>
        </w:rPr>
        <w:t>4</w:t>
      </w:r>
      <w:r w:rsidR="00723E1E" w:rsidRPr="0061769D">
        <w:rPr>
          <w:rFonts w:ascii="Times New Roman" w:hAnsi="Times New Roman"/>
          <w:b/>
          <w:sz w:val="24"/>
          <w:szCs w:val="24"/>
        </w:rPr>
        <w:t xml:space="preserve"> </w:t>
      </w:r>
      <w:r>
        <w:rPr>
          <w:rFonts w:ascii="Times New Roman" w:hAnsi="Times New Roman"/>
          <w:b/>
          <w:sz w:val="24"/>
          <w:szCs w:val="24"/>
        </w:rPr>
        <w:t xml:space="preserve">IMPACTOS DA REFORMA TRABALHISTA NA </w:t>
      </w:r>
      <w:r w:rsidR="00723E1E" w:rsidRPr="0061769D">
        <w:rPr>
          <w:rFonts w:ascii="Times New Roman" w:hAnsi="Times New Roman"/>
          <w:b/>
          <w:sz w:val="24"/>
          <w:szCs w:val="24"/>
        </w:rPr>
        <w:t>DINÂMICA E ORGANIZAÇÃO DO MERCADO DE TRABALHO JOVEM NO NORDESTE</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O presente subitem irá discorrer sobre aspectos da dinâmica e organização do mercado de trabalho jovem no Nordeste do Brasil após a Reforma trabalhista. No entanto, antes de adentrarmos especificamente nos impactos da Reforma, convém informar que os </w:t>
      </w:r>
      <w:r w:rsidRPr="0061769D">
        <w:rPr>
          <w:rFonts w:ascii="Times New Roman" w:hAnsi="Times New Roman"/>
          <w:sz w:val="24"/>
          <w:szCs w:val="24"/>
        </w:rPr>
        <w:lastRenderedPageBreak/>
        <w:t xml:space="preserve">dados </w:t>
      </w:r>
      <w:r w:rsidR="00554690">
        <w:rPr>
          <w:rFonts w:ascii="Times New Roman" w:hAnsi="Times New Roman"/>
          <w:sz w:val="24"/>
          <w:szCs w:val="24"/>
        </w:rPr>
        <w:t xml:space="preserve">socioeconômicos </w:t>
      </w:r>
      <w:r w:rsidRPr="0061769D">
        <w:rPr>
          <w:rFonts w:ascii="Times New Roman" w:hAnsi="Times New Roman"/>
          <w:sz w:val="24"/>
          <w:szCs w:val="24"/>
        </w:rPr>
        <w:t xml:space="preserve">para o Nordeste, em comparação às demais regiões do país, se expressam nos priores resultados, assim, se a situação do jovem no mercado de trabalho no Brasil apresentou uma situação de piora, na região Nordeste essa piora </w:t>
      </w:r>
      <w:r w:rsidR="00554690">
        <w:rPr>
          <w:rFonts w:ascii="Times New Roman" w:hAnsi="Times New Roman"/>
          <w:sz w:val="24"/>
          <w:szCs w:val="24"/>
        </w:rPr>
        <w:t xml:space="preserve">tende a ser </w:t>
      </w:r>
      <w:r w:rsidRPr="0061769D">
        <w:rPr>
          <w:rFonts w:ascii="Times New Roman" w:hAnsi="Times New Roman"/>
          <w:sz w:val="24"/>
          <w:szCs w:val="24"/>
        </w:rPr>
        <w:t>potencializada</w:t>
      </w:r>
      <w:r w:rsidR="00554690">
        <w:rPr>
          <w:rFonts w:ascii="Times New Roman" w:hAnsi="Times New Roman"/>
          <w:sz w:val="24"/>
          <w:szCs w:val="24"/>
        </w:rPr>
        <w:t>.</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Os dados da Tabela 4, abaixo, traz</w:t>
      </w:r>
      <w:r w:rsidR="00B23D95">
        <w:rPr>
          <w:rFonts w:ascii="Times New Roman" w:hAnsi="Times New Roman"/>
          <w:sz w:val="24"/>
          <w:szCs w:val="24"/>
        </w:rPr>
        <w:t>em</w:t>
      </w:r>
      <w:r w:rsidRPr="0061769D">
        <w:rPr>
          <w:rFonts w:ascii="Times New Roman" w:hAnsi="Times New Roman"/>
          <w:sz w:val="24"/>
          <w:szCs w:val="24"/>
        </w:rPr>
        <w:t xml:space="preserve"> as informações em valores relativos e absolutos do contingente populacional de jovens na região </w:t>
      </w:r>
      <w:r w:rsidR="00B23D95">
        <w:rPr>
          <w:rFonts w:ascii="Times New Roman" w:hAnsi="Times New Roman"/>
          <w:sz w:val="24"/>
          <w:szCs w:val="24"/>
        </w:rPr>
        <w:t xml:space="preserve">Nordeste </w:t>
      </w:r>
      <w:r w:rsidRPr="0061769D">
        <w:rPr>
          <w:rFonts w:ascii="Times New Roman" w:hAnsi="Times New Roman"/>
          <w:sz w:val="24"/>
          <w:szCs w:val="24"/>
        </w:rPr>
        <w:t xml:space="preserve">por </w:t>
      </w:r>
      <w:r w:rsidR="00554690">
        <w:rPr>
          <w:rFonts w:ascii="Times New Roman" w:hAnsi="Times New Roman"/>
          <w:sz w:val="24"/>
          <w:szCs w:val="24"/>
        </w:rPr>
        <w:t>Unidade d</w:t>
      </w:r>
      <w:r w:rsidR="00554690" w:rsidRPr="0061769D">
        <w:rPr>
          <w:rFonts w:ascii="Times New Roman" w:hAnsi="Times New Roman"/>
          <w:sz w:val="24"/>
          <w:szCs w:val="24"/>
        </w:rPr>
        <w:t xml:space="preserve">e Federação </w:t>
      </w:r>
      <w:r w:rsidRPr="0061769D">
        <w:rPr>
          <w:rFonts w:ascii="Times New Roman" w:hAnsi="Times New Roman"/>
          <w:sz w:val="24"/>
          <w:szCs w:val="24"/>
        </w:rPr>
        <w:t xml:space="preserve">e por sub-faixa etária para o período selecionado. No Nordeste a proporção média de jovens por subfaixa etária no período de 2016 a 2019 estava da seguinte forma: 38,05% (para jovens de 14 a 19 anos); 31,48% (20 a 24 anos) e 30,24% (25 a 29 anos). Os estados que possuem o menor e o maior contingente absoluto de jovens são Sergipe e Bahia, respectivamente, para quaisquer </w:t>
      </w:r>
      <w:r w:rsidR="00554690">
        <w:rPr>
          <w:rFonts w:ascii="Times New Roman" w:hAnsi="Times New Roman"/>
          <w:sz w:val="24"/>
          <w:szCs w:val="24"/>
        </w:rPr>
        <w:t>das sub</w:t>
      </w:r>
      <w:r w:rsidRPr="0061769D">
        <w:rPr>
          <w:rFonts w:ascii="Times New Roman" w:hAnsi="Times New Roman"/>
          <w:sz w:val="24"/>
          <w:szCs w:val="24"/>
        </w:rPr>
        <w:t>faixas etárias.</w:t>
      </w:r>
    </w:p>
    <w:p w:rsidR="00723E1E" w:rsidRPr="0061769D" w:rsidRDefault="00723E1E" w:rsidP="00554690">
      <w:pPr>
        <w:spacing w:line="240" w:lineRule="auto"/>
        <w:jc w:val="both"/>
        <w:rPr>
          <w:rFonts w:ascii="Times New Roman" w:hAnsi="Times New Roman"/>
          <w:sz w:val="24"/>
          <w:szCs w:val="24"/>
        </w:rPr>
      </w:pPr>
      <w:r w:rsidRPr="0061769D">
        <w:rPr>
          <w:rFonts w:ascii="Times New Roman" w:hAnsi="Times New Roman"/>
          <w:b/>
          <w:sz w:val="24"/>
          <w:szCs w:val="24"/>
        </w:rPr>
        <w:t>Tabela 4.</w:t>
      </w:r>
      <w:r w:rsidRPr="0061769D">
        <w:rPr>
          <w:rFonts w:ascii="Times New Roman" w:hAnsi="Times New Roman"/>
          <w:sz w:val="24"/>
          <w:szCs w:val="24"/>
        </w:rPr>
        <w:t xml:space="preserve"> Nordeste: Proporção de jovens entre 14 a 29 por estado (2016 – 2019) em mil.</w:t>
      </w:r>
    </w:p>
    <w:tbl>
      <w:tblPr>
        <w:tblW w:w="4632" w:type="pct"/>
        <w:jc w:val="center"/>
        <w:tblBorders>
          <w:top w:val="single" w:sz="4" w:space="0" w:color="auto"/>
          <w:bottom w:val="single" w:sz="4" w:space="0" w:color="auto"/>
        </w:tblBorders>
        <w:tblLayout w:type="fixed"/>
        <w:tblCellMar>
          <w:left w:w="70" w:type="dxa"/>
          <w:right w:w="70" w:type="dxa"/>
        </w:tblCellMar>
        <w:tblLook w:val="04A0"/>
      </w:tblPr>
      <w:tblGrid>
        <w:gridCol w:w="2866"/>
        <w:gridCol w:w="741"/>
        <w:gridCol w:w="741"/>
        <w:gridCol w:w="741"/>
        <w:gridCol w:w="742"/>
        <w:gridCol w:w="2702"/>
      </w:tblGrid>
      <w:tr w:rsidR="00723E1E" w:rsidRPr="00B23D95" w:rsidTr="001C15F9">
        <w:trPr>
          <w:trHeight w:val="419"/>
          <w:jc w:val="center"/>
        </w:trPr>
        <w:tc>
          <w:tcPr>
            <w:tcW w:w="1679" w:type="pct"/>
            <w:tcBorders>
              <w:top w:val="single" w:sz="4" w:space="0" w:color="auto"/>
              <w:bottom w:val="single" w:sz="4" w:space="0" w:color="auto"/>
            </w:tcBorders>
            <w:shd w:val="clear" w:color="auto" w:fill="auto"/>
            <w:noWrap/>
            <w:vAlign w:val="center"/>
            <w:hideMark/>
          </w:tcPr>
          <w:p w:rsidR="00723E1E" w:rsidRPr="00B23D95" w:rsidRDefault="00723E1E" w:rsidP="00B23D95">
            <w:pPr>
              <w:spacing w:after="0" w:line="240" w:lineRule="auto"/>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Estados</w:t>
            </w:r>
          </w:p>
        </w:tc>
        <w:tc>
          <w:tcPr>
            <w:tcW w:w="434" w:type="pct"/>
            <w:tcBorders>
              <w:top w:val="single" w:sz="4" w:space="0" w:color="auto"/>
              <w:bottom w:val="single" w:sz="4" w:space="0" w:color="auto"/>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2016</w:t>
            </w:r>
          </w:p>
        </w:tc>
        <w:tc>
          <w:tcPr>
            <w:tcW w:w="434" w:type="pct"/>
            <w:tcBorders>
              <w:top w:val="single" w:sz="4" w:space="0" w:color="auto"/>
              <w:bottom w:val="single" w:sz="4" w:space="0" w:color="auto"/>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2017</w:t>
            </w:r>
          </w:p>
        </w:tc>
        <w:tc>
          <w:tcPr>
            <w:tcW w:w="434" w:type="pct"/>
            <w:tcBorders>
              <w:top w:val="single" w:sz="4" w:space="0" w:color="auto"/>
              <w:bottom w:val="single" w:sz="4" w:space="0" w:color="auto"/>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2018</w:t>
            </w:r>
          </w:p>
        </w:tc>
        <w:tc>
          <w:tcPr>
            <w:tcW w:w="435" w:type="pct"/>
            <w:tcBorders>
              <w:top w:val="single" w:sz="4" w:space="0" w:color="auto"/>
              <w:bottom w:val="single" w:sz="4" w:space="0" w:color="auto"/>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2019</w:t>
            </w:r>
          </w:p>
        </w:tc>
        <w:tc>
          <w:tcPr>
            <w:tcW w:w="1583" w:type="pct"/>
            <w:tcBorders>
              <w:top w:val="single" w:sz="4" w:space="0" w:color="auto"/>
              <w:bottom w:val="single" w:sz="4" w:space="0" w:color="auto"/>
            </w:tcBorders>
            <w:shd w:val="clear" w:color="auto" w:fill="auto"/>
            <w:noWrap/>
            <w:vAlign w:val="bottom"/>
            <w:hideMark/>
          </w:tcPr>
          <w:p w:rsidR="00723E1E" w:rsidRPr="00B23D95" w:rsidRDefault="00723E1E" w:rsidP="00B23D95">
            <w:pPr>
              <w:spacing w:after="0" w:line="240" w:lineRule="auto"/>
              <w:jc w:val="center"/>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Proporção média da População jovem total no estado (%)</w:t>
            </w:r>
          </w:p>
        </w:tc>
      </w:tr>
      <w:tr w:rsidR="00723E1E" w:rsidRPr="00B23D95" w:rsidTr="001C15F9">
        <w:trPr>
          <w:trHeight w:val="288"/>
          <w:jc w:val="center"/>
        </w:trPr>
        <w:tc>
          <w:tcPr>
            <w:tcW w:w="1679" w:type="pct"/>
            <w:tcBorders>
              <w:top w:val="single" w:sz="4" w:space="0" w:color="auto"/>
              <w:bottom w:val="nil"/>
            </w:tcBorders>
            <w:shd w:val="clear" w:color="auto" w:fill="auto"/>
            <w:noWrap/>
            <w:vAlign w:val="center"/>
            <w:hideMark/>
          </w:tcPr>
          <w:p w:rsidR="00723E1E" w:rsidRPr="00B23D95" w:rsidRDefault="00723E1E" w:rsidP="00B23D95">
            <w:pPr>
              <w:spacing w:after="0" w:line="240" w:lineRule="auto"/>
              <w:rPr>
                <w:rFonts w:ascii="Times New Roman" w:eastAsia="Times New Roman" w:hAnsi="Times New Roman"/>
                <w:b/>
                <w:bCs/>
                <w:sz w:val="20"/>
                <w:szCs w:val="20"/>
                <w:lang w:eastAsia="pt-BR"/>
              </w:rPr>
            </w:pPr>
            <w:r w:rsidRPr="00B23D95">
              <w:rPr>
                <w:rFonts w:ascii="Times New Roman" w:eastAsia="Times New Roman" w:hAnsi="Times New Roman"/>
                <w:b/>
                <w:bCs/>
                <w:sz w:val="20"/>
                <w:szCs w:val="20"/>
                <w:lang w:eastAsia="pt-BR"/>
              </w:rPr>
              <w:t>Nordeste (14 a 19 anos)</w:t>
            </w:r>
          </w:p>
        </w:tc>
        <w:tc>
          <w:tcPr>
            <w:tcW w:w="434" w:type="pct"/>
            <w:tcBorders>
              <w:top w:val="single" w:sz="4" w:space="0" w:color="auto"/>
              <w:bottom w:val="nil"/>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b/>
                <w:bCs/>
                <w:sz w:val="20"/>
                <w:szCs w:val="20"/>
                <w:lang w:eastAsia="pt-BR"/>
              </w:rPr>
            </w:pPr>
            <w:r w:rsidRPr="00B23D95">
              <w:rPr>
                <w:rFonts w:ascii="Times New Roman" w:eastAsia="Times New Roman" w:hAnsi="Times New Roman"/>
                <w:b/>
                <w:bCs/>
                <w:sz w:val="20"/>
                <w:szCs w:val="20"/>
                <w:lang w:eastAsia="pt-BR"/>
              </w:rPr>
              <w:t>6034</w:t>
            </w:r>
          </w:p>
        </w:tc>
        <w:tc>
          <w:tcPr>
            <w:tcW w:w="434" w:type="pct"/>
            <w:tcBorders>
              <w:top w:val="single" w:sz="4" w:space="0" w:color="auto"/>
              <w:bottom w:val="nil"/>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b/>
                <w:bCs/>
                <w:sz w:val="20"/>
                <w:szCs w:val="20"/>
                <w:lang w:eastAsia="pt-BR"/>
              </w:rPr>
            </w:pPr>
            <w:r w:rsidRPr="00B23D95">
              <w:rPr>
                <w:rFonts w:ascii="Times New Roman" w:eastAsia="Times New Roman" w:hAnsi="Times New Roman"/>
                <w:b/>
                <w:bCs/>
                <w:sz w:val="20"/>
                <w:szCs w:val="20"/>
                <w:lang w:eastAsia="pt-BR"/>
              </w:rPr>
              <w:t>5864</w:t>
            </w:r>
          </w:p>
        </w:tc>
        <w:tc>
          <w:tcPr>
            <w:tcW w:w="434" w:type="pct"/>
            <w:tcBorders>
              <w:top w:val="single" w:sz="4" w:space="0" w:color="auto"/>
              <w:bottom w:val="nil"/>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b/>
                <w:bCs/>
                <w:sz w:val="20"/>
                <w:szCs w:val="20"/>
                <w:lang w:eastAsia="pt-BR"/>
              </w:rPr>
            </w:pPr>
            <w:r w:rsidRPr="00B23D95">
              <w:rPr>
                <w:rFonts w:ascii="Times New Roman" w:eastAsia="Times New Roman" w:hAnsi="Times New Roman"/>
                <w:b/>
                <w:bCs/>
                <w:sz w:val="20"/>
                <w:szCs w:val="20"/>
                <w:lang w:eastAsia="pt-BR"/>
              </w:rPr>
              <w:t>5819</w:t>
            </w:r>
          </w:p>
        </w:tc>
        <w:tc>
          <w:tcPr>
            <w:tcW w:w="435" w:type="pct"/>
            <w:tcBorders>
              <w:top w:val="single" w:sz="4" w:space="0" w:color="auto"/>
              <w:bottom w:val="nil"/>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b/>
                <w:bCs/>
                <w:sz w:val="20"/>
                <w:szCs w:val="20"/>
                <w:lang w:eastAsia="pt-BR"/>
              </w:rPr>
            </w:pPr>
            <w:r w:rsidRPr="00B23D95">
              <w:rPr>
                <w:rFonts w:ascii="Times New Roman" w:eastAsia="Times New Roman" w:hAnsi="Times New Roman"/>
                <w:b/>
                <w:bCs/>
                <w:sz w:val="20"/>
                <w:szCs w:val="20"/>
                <w:lang w:eastAsia="pt-BR"/>
              </w:rPr>
              <w:t>5819</w:t>
            </w:r>
          </w:p>
        </w:tc>
        <w:tc>
          <w:tcPr>
            <w:tcW w:w="1583" w:type="pct"/>
            <w:tcBorders>
              <w:top w:val="single" w:sz="4" w:space="0" w:color="auto"/>
              <w:bottom w:val="nil"/>
            </w:tcBorders>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38,05</w:t>
            </w:r>
          </w:p>
        </w:tc>
      </w:tr>
      <w:tr w:rsidR="00723E1E" w:rsidRPr="00B23D95" w:rsidTr="001C15F9">
        <w:trPr>
          <w:trHeight w:val="288"/>
          <w:jc w:val="center"/>
        </w:trPr>
        <w:tc>
          <w:tcPr>
            <w:tcW w:w="1679" w:type="pct"/>
            <w:tcBorders>
              <w:top w:val="nil"/>
            </w:tcBorders>
            <w:shd w:val="clear" w:color="auto" w:fill="auto"/>
            <w:noWrap/>
            <w:vAlign w:val="center"/>
            <w:hideMark/>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Maranhão</w:t>
            </w:r>
          </w:p>
        </w:tc>
        <w:tc>
          <w:tcPr>
            <w:tcW w:w="434" w:type="pct"/>
            <w:tcBorders>
              <w:top w:val="nil"/>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817</w:t>
            </w:r>
          </w:p>
        </w:tc>
        <w:tc>
          <w:tcPr>
            <w:tcW w:w="434" w:type="pct"/>
            <w:tcBorders>
              <w:top w:val="nil"/>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790</w:t>
            </w:r>
          </w:p>
        </w:tc>
        <w:tc>
          <w:tcPr>
            <w:tcW w:w="434" w:type="pct"/>
            <w:tcBorders>
              <w:top w:val="nil"/>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804</w:t>
            </w:r>
          </w:p>
        </w:tc>
        <w:tc>
          <w:tcPr>
            <w:tcW w:w="435" w:type="pct"/>
            <w:tcBorders>
              <w:top w:val="nil"/>
            </w:tcBorders>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804</w:t>
            </w:r>
          </w:p>
        </w:tc>
        <w:tc>
          <w:tcPr>
            <w:tcW w:w="1583" w:type="pct"/>
            <w:tcBorders>
              <w:top w:val="nil"/>
            </w:tcBorders>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40,41</w:t>
            </w:r>
          </w:p>
        </w:tc>
      </w:tr>
      <w:tr w:rsidR="00723E1E" w:rsidRPr="00B23D95" w:rsidTr="001C15F9">
        <w:trPr>
          <w:trHeight w:val="288"/>
          <w:jc w:val="center"/>
        </w:trPr>
        <w:tc>
          <w:tcPr>
            <w:tcW w:w="1679" w:type="pct"/>
            <w:shd w:val="clear" w:color="auto" w:fill="auto"/>
            <w:noWrap/>
            <w:vAlign w:val="center"/>
            <w:hideMark/>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Piauí</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349</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335</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326</w:t>
            </w:r>
          </w:p>
        </w:tc>
        <w:tc>
          <w:tcPr>
            <w:tcW w:w="435"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326</w:t>
            </w:r>
          </w:p>
        </w:tc>
        <w:tc>
          <w:tcPr>
            <w:tcW w:w="1583" w:type="pct"/>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38,49</w:t>
            </w:r>
          </w:p>
        </w:tc>
      </w:tr>
      <w:tr w:rsidR="00723E1E" w:rsidRPr="00B23D95" w:rsidTr="001C15F9">
        <w:trPr>
          <w:trHeight w:val="288"/>
          <w:jc w:val="center"/>
        </w:trPr>
        <w:tc>
          <w:tcPr>
            <w:tcW w:w="1679" w:type="pct"/>
            <w:shd w:val="clear" w:color="auto" w:fill="auto"/>
            <w:noWrap/>
            <w:vAlign w:val="center"/>
            <w:hideMark/>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Ceará</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971</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926</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871</w:t>
            </w:r>
          </w:p>
        </w:tc>
        <w:tc>
          <w:tcPr>
            <w:tcW w:w="435"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871</w:t>
            </w:r>
          </w:p>
        </w:tc>
        <w:tc>
          <w:tcPr>
            <w:tcW w:w="1583" w:type="pct"/>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36,34</w:t>
            </w:r>
          </w:p>
        </w:tc>
      </w:tr>
      <w:tr w:rsidR="00723E1E" w:rsidRPr="00B23D95" w:rsidTr="001C15F9">
        <w:trPr>
          <w:trHeight w:val="288"/>
          <w:jc w:val="center"/>
        </w:trPr>
        <w:tc>
          <w:tcPr>
            <w:tcW w:w="1679" w:type="pct"/>
            <w:shd w:val="clear" w:color="auto" w:fill="auto"/>
            <w:noWrap/>
            <w:vAlign w:val="center"/>
            <w:hideMark/>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Rio Grande do Norte</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342</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350</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342</w:t>
            </w:r>
          </w:p>
        </w:tc>
        <w:tc>
          <w:tcPr>
            <w:tcW w:w="435"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342</w:t>
            </w:r>
          </w:p>
        </w:tc>
        <w:tc>
          <w:tcPr>
            <w:tcW w:w="1583" w:type="pct"/>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37,52</w:t>
            </w:r>
          </w:p>
        </w:tc>
      </w:tr>
      <w:tr w:rsidR="00723E1E" w:rsidRPr="00B23D95" w:rsidTr="001C15F9">
        <w:trPr>
          <w:trHeight w:val="288"/>
          <w:jc w:val="center"/>
        </w:trPr>
        <w:tc>
          <w:tcPr>
            <w:tcW w:w="1679" w:type="pct"/>
            <w:shd w:val="clear" w:color="auto" w:fill="auto"/>
            <w:noWrap/>
            <w:vAlign w:val="center"/>
            <w:hideMark/>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Paraíba</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412</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394</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401</w:t>
            </w:r>
          </w:p>
        </w:tc>
        <w:tc>
          <w:tcPr>
            <w:tcW w:w="435"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401</w:t>
            </w:r>
          </w:p>
        </w:tc>
        <w:tc>
          <w:tcPr>
            <w:tcW w:w="1583" w:type="pct"/>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37,91</w:t>
            </w:r>
          </w:p>
        </w:tc>
      </w:tr>
      <w:tr w:rsidR="00723E1E" w:rsidRPr="00B23D95" w:rsidTr="001C15F9">
        <w:trPr>
          <w:trHeight w:val="288"/>
          <w:jc w:val="center"/>
        </w:trPr>
        <w:tc>
          <w:tcPr>
            <w:tcW w:w="1679" w:type="pct"/>
            <w:shd w:val="clear" w:color="auto" w:fill="auto"/>
            <w:noWrap/>
            <w:vAlign w:val="center"/>
            <w:hideMark/>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Pernambuco</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967</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980</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943</w:t>
            </w:r>
          </w:p>
        </w:tc>
        <w:tc>
          <w:tcPr>
            <w:tcW w:w="435"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943</w:t>
            </w:r>
          </w:p>
        </w:tc>
        <w:tc>
          <w:tcPr>
            <w:tcW w:w="1583" w:type="pct"/>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38,36</w:t>
            </w:r>
          </w:p>
        </w:tc>
      </w:tr>
      <w:tr w:rsidR="00723E1E" w:rsidRPr="00B23D95" w:rsidTr="001C15F9">
        <w:trPr>
          <w:trHeight w:val="288"/>
          <w:jc w:val="center"/>
        </w:trPr>
        <w:tc>
          <w:tcPr>
            <w:tcW w:w="1679" w:type="pct"/>
            <w:shd w:val="clear" w:color="auto" w:fill="auto"/>
            <w:noWrap/>
            <w:vAlign w:val="center"/>
            <w:hideMark/>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Alagoas</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375</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361</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360</w:t>
            </w:r>
          </w:p>
        </w:tc>
        <w:tc>
          <w:tcPr>
            <w:tcW w:w="435"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360</w:t>
            </w:r>
          </w:p>
        </w:tc>
        <w:tc>
          <w:tcPr>
            <w:tcW w:w="1583" w:type="pct"/>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39,88</w:t>
            </w:r>
          </w:p>
        </w:tc>
      </w:tr>
      <w:tr w:rsidR="00723E1E" w:rsidRPr="00B23D95" w:rsidTr="001C15F9">
        <w:trPr>
          <w:trHeight w:val="288"/>
          <w:jc w:val="center"/>
        </w:trPr>
        <w:tc>
          <w:tcPr>
            <w:tcW w:w="1679" w:type="pct"/>
            <w:shd w:val="clear" w:color="auto" w:fill="auto"/>
            <w:noWrap/>
            <w:vAlign w:val="center"/>
            <w:hideMark/>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Sergipe</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241</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227</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233</w:t>
            </w:r>
          </w:p>
        </w:tc>
        <w:tc>
          <w:tcPr>
            <w:tcW w:w="435"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233</w:t>
            </w:r>
          </w:p>
        </w:tc>
        <w:tc>
          <w:tcPr>
            <w:tcW w:w="1583" w:type="pct"/>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36,58</w:t>
            </w:r>
          </w:p>
        </w:tc>
      </w:tr>
      <w:tr w:rsidR="00723E1E" w:rsidRPr="00B23D95" w:rsidTr="001C15F9">
        <w:trPr>
          <w:trHeight w:val="288"/>
          <w:jc w:val="center"/>
        </w:trPr>
        <w:tc>
          <w:tcPr>
            <w:tcW w:w="1679" w:type="pct"/>
            <w:shd w:val="clear" w:color="auto" w:fill="auto"/>
            <w:noWrap/>
            <w:vAlign w:val="center"/>
            <w:hideMark/>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Bahia</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1560</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1501</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1539</w:t>
            </w:r>
          </w:p>
        </w:tc>
        <w:tc>
          <w:tcPr>
            <w:tcW w:w="435"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1539</w:t>
            </w:r>
          </w:p>
        </w:tc>
        <w:tc>
          <w:tcPr>
            <w:tcW w:w="1583" w:type="pct"/>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39,39</w:t>
            </w:r>
          </w:p>
        </w:tc>
      </w:tr>
      <w:tr w:rsidR="00723E1E" w:rsidRPr="00B23D95" w:rsidTr="001C15F9">
        <w:trPr>
          <w:trHeight w:val="288"/>
          <w:jc w:val="center"/>
        </w:trPr>
        <w:tc>
          <w:tcPr>
            <w:tcW w:w="1679" w:type="pct"/>
            <w:shd w:val="clear" w:color="auto" w:fill="auto"/>
            <w:noWrap/>
            <w:vAlign w:val="center"/>
            <w:hideMark/>
          </w:tcPr>
          <w:p w:rsidR="00723E1E" w:rsidRPr="00B23D95" w:rsidRDefault="00723E1E" w:rsidP="00B23D95">
            <w:pPr>
              <w:spacing w:after="0" w:line="240" w:lineRule="auto"/>
              <w:rPr>
                <w:rFonts w:ascii="Times New Roman" w:eastAsia="Times New Roman" w:hAnsi="Times New Roman"/>
                <w:b/>
                <w:bCs/>
                <w:sz w:val="20"/>
                <w:szCs w:val="20"/>
                <w:lang w:eastAsia="pt-BR"/>
              </w:rPr>
            </w:pPr>
            <w:r w:rsidRPr="00B23D95">
              <w:rPr>
                <w:rFonts w:ascii="Times New Roman" w:eastAsia="Times New Roman" w:hAnsi="Times New Roman"/>
                <w:b/>
                <w:bCs/>
                <w:sz w:val="20"/>
                <w:szCs w:val="20"/>
                <w:lang w:eastAsia="pt-BR"/>
              </w:rPr>
              <w:t>Nordeste (20 a 24 anos)</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4837</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4790</w:t>
            </w:r>
          </w:p>
        </w:tc>
        <w:tc>
          <w:tcPr>
            <w:tcW w:w="434"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4807</w:t>
            </w:r>
          </w:p>
        </w:tc>
        <w:tc>
          <w:tcPr>
            <w:tcW w:w="435" w:type="pct"/>
            <w:shd w:val="clear" w:color="auto" w:fill="auto"/>
            <w:noWrap/>
            <w:vAlign w:val="center"/>
            <w:hideMark/>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4810</w:t>
            </w:r>
          </w:p>
        </w:tc>
        <w:tc>
          <w:tcPr>
            <w:tcW w:w="1583" w:type="pct"/>
            <w:shd w:val="clear" w:color="auto" w:fill="auto"/>
            <w:noWrap/>
            <w:vAlign w:val="bottom"/>
            <w:hideMark/>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31,48</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Maranhão</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618</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599</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598</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611</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30,50</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Piauí</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280</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281</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272</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280</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32,07</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Ceará</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817</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788</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807</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818</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32,25</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Rio Grande do Norte</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308</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307</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304</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286</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32,86</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Paraíba</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329</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356</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328</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358</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32,32</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Pernambuco</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807</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765</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779</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786</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31,40</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Alagoas</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288</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279</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289</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290</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31,39</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Sergipe</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201</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191</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209</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213</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31,88</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Bahia</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1189</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1224</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1221</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1168</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30,81</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rPr>
                <w:rFonts w:ascii="Times New Roman" w:eastAsia="Times New Roman" w:hAnsi="Times New Roman"/>
                <w:b/>
                <w:sz w:val="20"/>
                <w:szCs w:val="20"/>
                <w:lang w:eastAsia="pt-BR"/>
              </w:rPr>
            </w:pPr>
            <w:r w:rsidRPr="00B23D95">
              <w:rPr>
                <w:rFonts w:ascii="Times New Roman" w:eastAsia="Times New Roman" w:hAnsi="Times New Roman"/>
                <w:b/>
                <w:bCs/>
                <w:sz w:val="20"/>
                <w:szCs w:val="20"/>
                <w:lang w:eastAsia="pt-BR"/>
              </w:rPr>
              <w:t>Nordeste</w:t>
            </w:r>
            <w:r w:rsidRPr="00B23D95">
              <w:rPr>
                <w:rFonts w:ascii="Times New Roman" w:eastAsia="Times New Roman" w:hAnsi="Times New Roman"/>
                <w:b/>
                <w:sz w:val="20"/>
                <w:szCs w:val="20"/>
                <w:lang w:eastAsia="pt-BR"/>
              </w:rPr>
              <w:t xml:space="preserve"> </w:t>
            </w:r>
            <w:r w:rsidRPr="00B23D95">
              <w:rPr>
                <w:rFonts w:ascii="Times New Roman" w:eastAsia="Times New Roman" w:hAnsi="Times New Roman"/>
                <w:b/>
                <w:bCs/>
                <w:sz w:val="20"/>
                <w:szCs w:val="20"/>
                <w:lang w:eastAsia="pt-BR"/>
              </w:rPr>
              <w:t>(25 a 29 anos)</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4594</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4725</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4622</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4546</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b/>
                <w:sz w:val="20"/>
                <w:szCs w:val="20"/>
                <w:lang w:eastAsia="pt-BR"/>
              </w:rPr>
            </w:pPr>
            <w:r w:rsidRPr="00B23D95">
              <w:rPr>
                <w:rFonts w:ascii="Times New Roman" w:eastAsia="Times New Roman" w:hAnsi="Times New Roman"/>
                <w:b/>
                <w:sz w:val="20"/>
                <w:szCs w:val="20"/>
                <w:lang w:eastAsia="pt-BR"/>
              </w:rPr>
              <w:t>30,24</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Maranhão</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589</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584</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565</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560</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28,89</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Piauí</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251</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257</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270</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255</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29,76</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lastRenderedPageBreak/>
              <w:t>Ceará</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776</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827</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795</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761</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31,54</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Rio Grande do Norte</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271</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287</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277</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285</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30,54</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Paraíba</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330</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321</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323</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306</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30,17</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Pernambuco</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737</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767</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775</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756</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30,38</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Alagoas</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261</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266</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264</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244</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28,35</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Sergipe</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197</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203</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202</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203</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31,53</w:t>
            </w:r>
          </w:p>
        </w:tc>
      </w:tr>
      <w:tr w:rsidR="00723E1E" w:rsidRPr="00B23D95" w:rsidTr="001C15F9">
        <w:trPr>
          <w:trHeight w:val="288"/>
          <w:jc w:val="center"/>
        </w:trPr>
        <w:tc>
          <w:tcPr>
            <w:tcW w:w="1679" w:type="pct"/>
            <w:shd w:val="clear" w:color="auto" w:fill="auto"/>
            <w:noWrap/>
            <w:vAlign w:val="center"/>
          </w:tcPr>
          <w:p w:rsidR="00723E1E" w:rsidRPr="00B23D95" w:rsidRDefault="00723E1E" w:rsidP="00B23D95">
            <w:pPr>
              <w:spacing w:after="0" w:line="240" w:lineRule="auto"/>
              <w:ind w:left="370"/>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Bahia</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1182</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1213</w:t>
            </w:r>
          </w:p>
        </w:tc>
        <w:tc>
          <w:tcPr>
            <w:tcW w:w="434"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1151</w:t>
            </w:r>
          </w:p>
        </w:tc>
        <w:tc>
          <w:tcPr>
            <w:tcW w:w="435" w:type="pct"/>
            <w:shd w:val="clear" w:color="auto" w:fill="auto"/>
            <w:noWrap/>
            <w:vAlign w:val="center"/>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1176</w:t>
            </w:r>
          </w:p>
        </w:tc>
        <w:tc>
          <w:tcPr>
            <w:tcW w:w="1583" w:type="pct"/>
            <w:shd w:val="clear" w:color="auto" w:fill="auto"/>
            <w:noWrap/>
            <w:vAlign w:val="bottom"/>
          </w:tcPr>
          <w:p w:rsidR="00723E1E" w:rsidRPr="00B23D95" w:rsidRDefault="00723E1E" w:rsidP="00B23D95">
            <w:pPr>
              <w:spacing w:after="0" w:line="240" w:lineRule="auto"/>
              <w:jc w:val="right"/>
              <w:rPr>
                <w:rFonts w:ascii="Times New Roman" w:eastAsia="Times New Roman" w:hAnsi="Times New Roman"/>
                <w:sz w:val="20"/>
                <w:szCs w:val="20"/>
                <w:lang w:eastAsia="pt-BR"/>
              </w:rPr>
            </w:pPr>
            <w:r w:rsidRPr="00B23D95">
              <w:rPr>
                <w:rFonts w:ascii="Times New Roman" w:eastAsia="Times New Roman" w:hAnsi="Times New Roman"/>
                <w:sz w:val="20"/>
                <w:szCs w:val="20"/>
                <w:lang w:eastAsia="pt-BR"/>
              </w:rPr>
              <w:t>30,30</w:t>
            </w:r>
          </w:p>
        </w:tc>
      </w:tr>
    </w:tbl>
    <w:p w:rsidR="001C15F9" w:rsidRPr="0092372B" w:rsidRDefault="001C15F9" w:rsidP="001C15F9">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 2022b. PNAD</w:t>
      </w:r>
      <w:r>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 2022.</w:t>
      </w:r>
    </w:p>
    <w:p w:rsidR="00723E1E" w:rsidRPr="0061769D" w:rsidRDefault="00723E1E" w:rsidP="00723E1E">
      <w:pPr>
        <w:spacing w:after="0" w:line="360" w:lineRule="auto"/>
        <w:ind w:firstLine="851"/>
        <w:jc w:val="both"/>
        <w:rPr>
          <w:rFonts w:ascii="Times New Roman" w:hAnsi="Times New Roman"/>
          <w:sz w:val="24"/>
          <w:szCs w:val="24"/>
        </w:rPr>
      </w:pPr>
      <w:r w:rsidRPr="0061769D">
        <w:rPr>
          <w:rFonts w:ascii="Times New Roman" w:hAnsi="Times New Roman"/>
          <w:sz w:val="24"/>
          <w:szCs w:val="24"/>
        </w:rPr>
        <w:t xml:space="preserve">Conforme pode-se observar na tabela 4, o estado do Maranhão é o que possui maior proporção de jovens  (40,41%) na faixa etária entre 14 a 19 anos. Já Ceará e Sergipe possuem a menor proporção da região, 36,34%, e 36,58%, respectivamente. No entanto, em valores absolutos, é o estado da Bahia que possui o maior contingente de jovens nessa faixa etária, o oposto está com o estado de Sergipe. Se tratando de jovens de faixa etária entre 20 a 24 anos, o Rio Grande do Norte é o estado com maior proporção de jovens nesta faixa (32,86%), já o Piauí é o com menor proporção (30,5%). Por fim, a faixa etária que abrange as idades de 25 a 29 anos </w:t>
      </w:r>
      <w:r w:rsidR="00B23D95">
        <w:rPr>
          <w:rFonts w:ascii="Times New Roman" w:hAnsi="Times New Roman"/>
          <w:sz w:val="24"/>
          <w:szCs w:val="24"/>
        </w:rPr>
        <w:t>é a que possui menor proporção do contingente jovem no N</w:t>
      </w:r>
      <w:r w:rsidRPr="0061769D">
        <w:rPr>
          <w:rFonts w:ascii="Times New Roman" w:hAnsi="Times New Roman"/>
          <w:sz w:val="24"/>
          <w:szCs w:val="24"/>
        </w:rPr>
        <w:t xml:space="preserve">ordeste (30,24%). O estado com menor proporção de jovens nessa faixa etária está representado por Alagoas (28,35%), </w:t>
      </w:r>
      <w:r w:rsidR="00B23D95">
        <w:rPr>
          <w:rFonts w:ascii="Times New Roman" w:hAnsi="Times New Roman"/>
          <w:sz w:val="24"/>
          <w:szCs w:val="24"/>
        </w:rPr>
        <w:t>já</w:t>
      </w:r>
      <w:r w:rsidRPr="0061769D">
        <w:rPr>
          <w:rFonts w:ascii="Times New Roman" w:hAnsi="Times New Roman"/>
          <w:sz w:val="24"/>
          <w:szCs w:val="24"/>
        </w:rPr>
        <w:t xml:space="preserve"> os que possuem maior proporção </w:t>
      </w:r>
      <w:r w:rsidR="00B23D95">
        <w:rPr>
          <w:rFonts w:ascii="Times New Roman" w:hAnsi="Times New Roman"/>
          <w:sz w:val="24"/>
          <w:szCs w:val="24"/>
        </w:rPr>
        <w:t>são os</w:t>
      </w:r>
      <w:r w:rsidRPr="0061769D">
        <w:rPr>
          <w:rFonts w:ascii="Times New Roman" w:hAnsi="Times New Roman"/>
          <w:sz w:val="24"/>
          <w:szCs w:val="24"/>
        </w:rPr>
        <w:t xml:space="preserve"> estados do Ceará (31,56%) e Sergipe (31,53%).</w:t>
      </w:r>
    </w:p>
    <w:p w:rsidR="00723E1E" w:rsidRPr="0061769D" w:rsidRDefault="00D11201" w:rsidP="00723E1E">
      <w:pPr>
        <w:spacing w:after="0" w:line="360" w:lineRule="auto"/>
        <w:ind w:firstLine="851"/>
        <w:jc w:val="both"/>
        <w:rPr>
          <w:rFonts w:ascii="Times New Roman" w:hAnsi="Times New Roman"/>
          <w:sz w:val="24"/>
          <w:szCs w:val="24"/>
          <w:shd w:val="clear" w:color="auto" w:fill="FFFFFF"/>
        </w:rPr>
      </w:pPr>
      <w:r>
        <w:rPr>
          <w:rFonts w:ascii="Times New Roman" w:hAnsi="Times New Roman"/>
          <w:sz w:val="24"/>
          <w:szCs w:val="24"/>
        </w:rPr>
        <w:t>Segundo Antunes (1995</w:t>
      </w:r>
      <w:r w:rsidR="00723E1E" w:rsidRPr="0061769D">
        <w:rPr>
          <w:rFonts w:ascii="Times New Roman" w:hAnsi="Times New Roman"/>
          <w:sz w:val="24"/>
          <w:szCs w:val="24"/>
        </w:rPr>
        <w:t>); Gonzalez (2009) e Gonçalves (2019) o ciclo de v</w:t>
      </w:r>
      <w:r w:rsidR="00B23D95">
        <w:rPr>
          <w:rFonts w:ascii="Times New Roman" w:hAnsi="Times New Roman"/>
          <w:sz w:val="24"/>
          <w:szCs w:val="24"/>
        </w:rPr>
        <w:t>ida de um</w:t>
      </w:r>
      <w:r w:rsidR="00723E1E" w:rsidRPr="0061769D">
        <w:rPr>
          <w:rFonts w:ascii="Times New Roman" w:hAnsi="Times New Roman"/>
          <w:sz w:val="24"/>
          <w:szCs w:val="24"/>
        </w:rPr>
        <w:t xml:space="preserve"> j</w:t>
      </w:r>
      <w:r w:rsidR="00B23D95">
        <w:rPr>
          <w:rFonts w:ascii="Times New Roman" w:hAnsi="Times New Roman"/>
          <w:sz w:val="24"/>
          <w:szCs w:val="24"/>
        </w:rPr>
        <w:t>ovem</w:t>
      </w:r>
      <w:r w:rsidR="00723E1E" w:rsidRPr="0061769D">
        <w:rPr>
          <w:rFonts w:ascii="Times New Roman" w:hAnsi="Times New Roman"/>
          <w:sz w:val="24"/>
          <w:szCs w:val="24"/>
        </w:rPr>
        <w:t xml:space="preserve"> é caracterizado pela saída da escola, após conclusão dos estudos, e entrada no mundo do trabalho. “Nessa perspectiva, o adiamento da entrada no mundo do trabalho estaria na própria condição juvenil” (GONZALEZ, 2009, p. 111), esse adiamento é denominado de moratória social</w:t>
      </w:r>
      <w:r w:rsidR="00B23D95">
        <w:rPr>
          <w:rFonts w:ascii="Times New Roman" w:hAnsi="Times New Roman"/>
          <w:sz w:val="24"/>
          <w:szCs w:val="24"/>
        </w:rPr>
        <w:t>, que representa um período da vida que o jovem passa fora da vida ativa, enquanto estuda</w:t>
      </w:r>
      <w:r w:rsidR="00D65F09">
        <w:rPr>
          <w:rFonts w:ascii="Times New Roman" w:hAnsi="Times New Roman"/>
          <w:sz w:val="24"/>
          <w:szCs w:val="24"/>
        </w:rPr>
        <w:t xml:space="preserve"> (GONZALEZ, 2009)</w:t>
      </w:r>
      <w:r w:rsidR="00723E1E" w:rsidRPr="0061769D">
        <w:rPr>
          <w:rFonts w:ascii="Times New Roman" w:hAnsi="Times New Roman"/>
          <w:sz w:val="24"/>
          <w:szCs w:val="24"/>
        </w:rPr>
        <w:t xml:space="preserve">. No entanto, desde início dos anos 1990 a heterogeneidade das experiências juvenis em escolarização e trabalho no Brasil tem demonstrado que a saída da escola e entrada no mundo do trabalho não se sucede linearmente, por vezes se sobrepõem, se desvinculam ou se anulam. Isso significa que, atualmente, a entrada no mundo do trabalho não acontece, necessariamente, após a conclusão dos estudos. Nesse sentido, a </w:t>
      </w:r>
      <w:r w:rsidR="00723E1E" w:rsidRPr="0061769D">
        <w:rPr>
          <w:rFonts w:ascii="Times New Roman" w:hAnsi="Times New Roman"/>
          <w:sz w:val="24"/>
          <w:szCs w:val="24"/>
          <w:shd w:val="clear" w:color="auto" w:fill="FFFFFF"/>
        </w:rPr>
        <w:t xml:space="preserve">sequência de tabelas </w:t>
      </w:r>
      <w:r w:rsidR="00723E1E" w:rsidRPr="00752D3C">
        <w:rPr>
          <w:rFonts w:ascii="Times New Roman" w:hAnsi="Times New Roman"/>
          <w:sz w:val="24"/>
          <w:szCs w:val="24"/>
          <w:shd w:val="clear" w:color="auto" w:fill="FFFFFF"/>
        </w:rPr>
        <w:t>a seguir (</w:t>
      </w:r>
      <w:r w:rsidR="00752D3C" w:rsidRPr="00752D3C">
        <w:rPr>
          <w:rFonts w:ascii="Times New Roman" w:hAnsi="Times New Roman"/>
          <w:sz w:val="24"/>
          <w:szCs w:val="24"/>
          <w:shd w:val="clear" w:color="auto" w:fill="FFFFFF"/>
        </w:rPr>
        <w:t>Tabela 5 a</w:t>
      </w:r>
      <w:r w:rsidR="00723E1E" w:rsidRPr="00752D3C">
        <w:rPr>
          <w:rFonts w:ascii="Times New Roman" w:hAnsi="Times New Roman"/>
          <w:sz w:val="24"/>
          <w:szCs w:val="24"/>
          <w:shd w:val="clear" w:color="auto" w:fill="FFFFFF"/>
        </w:rPr>
        <w:t xml:space="preserve"> 8) apresentam</w:t>
      </w:r>
      <w:r w:rsidR="00723E1E" w:rsidRPr="0061769D">
        <w:rPr>
          <w:rFonts w:ascii="Times New Roman" w:hAnsi="Times New Roman"/>
          <w:sz w:val="24"/>
          <w:szCs w:val="24"/>
          <w:shd w:val="clear" w:color="auto" w:fill="FFFFFF"/>
        </w:rPr>
        <w:t xml:space="preserve"> as características predominantes de inserção do jovem no mercado de trabalho com tais configurações, trazendo </w:t>
      </w:r>
      <w:r w:rsidR="00723E1E" w:rsidRPr="0061769D">
        <w:rPr>
          <w:rFonts w:ascii="Times New Roman" w:hAnsi="Times New Roman"/>
          <w:sz w:val="24"/>
          <w:szCs w:val="24"/>
          <w:shd w:val="clear" w:color="auto" w:fill="FFFFFF"/>
        </w:rPr>
        <w:lastRenderedPageBreak/>
        <w:t>informações sobre a evolução dos jovens que estudam e trabalham concomitantemente; que só estudam; que só trabalham; e que nem trabalham nem estudam.</w:t>
      </w:r>
    </w:p>
    <w:p w:rsidR="00723E1E" w:rsidRPr="0061769D" w:rsidRDefault="00723E1E" w:rsidP="00D65F09">
      <w:pPr>
        <w:spacing w:line="240" w:lineRule="auto"/>
        <w:jc w:val="center"/>
        <w:rPr>
          <w:rFonts w:ascii="Times New Roman" w:hAnsi="Times New Roman"/>
          <w:sz w:val="24"/>
          <w:szCs w:val="24"/>
          <w:shd w:val="clear" w:color="auto" w:fill="FFFFFF"/>
        </w:rPr>
      </w:pPr>
      <w:r w:rsidRPr="00D65F09">
        <w:rPr>
          <w:rFonts w:ascii="Times New Roman" w:hAnsi="Times New Roman"/>
          <w:sz w:val="24"/>
          <w:szCs w:val="24"/>
          <w:shd w:val="clear" w:color="auto" w:fill="FFFFFF"/>
        </w:rPr>
        <w:t>Tabela 5. Nordeste</w:t>
      </w:r>
      <w:r w:rsidRPr="0061769D">
        <w:rPr>
          <w:rFonts w:ascii="Times New Roman" w:hAnsi="Times New Roman"/>
          <w:sz w:val="24"/>
          <w:szCs w:val="24"/>
          <w:shd w:val="clear" w:color="auto" w:fill="FFFFFF"/>
        </w:rPr>
        <w:t>: População de 15 a 29 anos de idade Ocupadas e frequentando escola, cursos pré-vestibular, técnico de nível médio ou qualificação profissional (2016-2019)</w:t>
      </w:r>
    </w:p>
    <w:tbl>
      <w:tblPr>
        <w:tblW w:w="0" w:type="auto"/>
        <w:jc w:val="center"/>
        <w:tblBorders>
          <w:top w:val="single" w:sz="4" w:space="0" w:color="auto"/>
          <w:bottom w:val="single" w:sz="4" w:space="0" w:color="auto"/>
        </w:tblBorders>
        <w:tblCellMar>
          <w:left w:w="70" w:type="dxa"/>
          <w:right w:w="70" w:type="dxa"/>
        </w:tblCellMar>
        <w:tblLook w:val="04A0"/>
      </w:tblPr>
      <w:tblGrid>
        <w:gridCol w:w="1823"/>
        <w:gridCol w:w="657"/>
        <w:gridCol w:w="657"/>
        <w:gridCol w:w="657"/>
        <w:gridCol w:w="657"/>
        <w:gridCol w:w="1212"/>
      </w:tblGrid>
      <w:tr w:rsidR="00723E1E" w:rsidRPr="00D65F09" w:rsidTr="00752D3C">
        <w:trPr>
          <w:trHeight w:val="288"/>
          <w:jc w:val="center"/>
        </w:trPr>
        <w:tc>
          <w:tcPr>
            <w:tcW w:w="0" w:type="auto"/>
            <w:gridSpan w:val="5"/>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Jovens que trabalham e estudam (em mil)</w:t>
            </w:r>
          </w:p>
        </w:tc>
        <w:tc>
          <w:tcPr>
            <w:tcW w:w="0" w:type="auto"/>
            <w:tcBorders>
              <w:top w:val="single" w:sz="4" w:space="0" w:color="auto"/>
              <w:bottom w:val="single" w:sz="4" w:space="0" w:color="auto"/>
            </w:tcBorders>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Variação (%)</w:t>
            </w:r>
          </w:p>
        </w:tc>
      </w:tr>
      <w:tr w:rsidR="00723E1E" w:rsidRPr="00D65F09" w:rsidTr="00752D3C">
        <w:trPr>
          <w:trHeight w:val="288"/>
          <w:jc w:val="center"/>
        </w:trPr>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Estado</w:t>
            </w:r>
          </w:p>
        </w:tc>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2016</w:t>
            </w:r>
          </w:p>
        </w:tc>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2017</w:t>
            </w:r>
          </w:p>
        </w:tc>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2018</w:t>
            </w:r>
          </w:p>
        </w:tc>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2019</w:t>
            </w:r>
          </w:p>
        </w:tc>
        <w:tc>
          <w:tcPr>
            <w:tcW w:w="0" w:type="auto"/>
            <w:tcBorders>
              <w:top w:val="single" w:sz="4" w:space="0" w:color="auto"/>
              <w:bottom w:val="single" w:sz="4" w:space="0" w:color="auto"/>
            </w:tcBorders>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2016 - 2019</w:t>
            </w:r>
          </w:p>
        </w:tc>
      </w:tr>
      <w:tr w:rsidR="00723E1E" w:rsidRPr="00D65F09" w:rsidTr="00752D3C">
        <w:trPr>
          <w:trHeight w:val="288"/>
          <w:jc w:val="center"/>
        </w:trPr>
        <w:tc>
          <w:tcPr>
            <w:tcW w:w="0" w:type="auto"/>
            <w:tcBorders>
              <w:top w:val="single" w:sz="4" w:space="0" w:color="auto"/>
            </w:tcBorders>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Maranhão</w:t>
            </w:r>
          </w:p>
        </w:tc>
        <w:tc>
          <w:tcPr>
            <w:tcW w:w="0" w:type="auto"/>
            <w:tcBorders>
              <w:top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196</w:t>
            </w:r>
          </w:p>
        </w:tc>
        <w:tc>
          <w:tcPr>
            <w:tcW w:w="0" w:type="auto"/>
            <w:tcBorders>
              <w:top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170</w:t>
            </w:r>
          </w:p>
        </w:tc>
        <w:tc>
          <w:tcPr>
            <w:tcW w:w="0" w:type="auto"/>
            <w:tcBorders>
              <w:top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161</w:t>
            </w:r>
          </w:p>
        </w:tc>
        <w:tc>
          <w:tcPr>
            <w:tcW w:w="0" w:type="auto"/>
            <w:tcBorders>
              <w:top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167</w:t>
            </w:r>
          </w:p>
        </w:tc>
        <w:tc>
          <w:tcPr>
            <w:tcW w:w="0" w:type="auto"/>
            <w:tcBorders>
              <w:top w:val="single" w:sz="4" w:space="0" w:color="auto"/>
            </w:tcBorders>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-15</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Piauí</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102</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94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90</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99</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-3</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Ceará</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243</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213</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228</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250</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3</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Rio Grande do Norte</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79</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85</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85</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96</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22</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Paraíba</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106</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104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106</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97</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-8</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Pernambuco</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209</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166</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193</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212</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Alagoas</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74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59</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51</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60</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-19</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Sergipe</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64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64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59</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58</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-9</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Bahia</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481</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450</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413</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424</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-12</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Nordeste</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1554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1405</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1386</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1463</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-6</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Proporção</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11,5%</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10,2%</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10,2%</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11,0%</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p>
        </w:tc>
      </w:tr>
    </w:tbl>
    <w:p w:rsidR="00D65F09" w:rsidRPr="0092372B" w:rsidRDefault="00D65F09" w:rsidP="00D65F09">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 2022b. PNAD</w:t>
      </w:r>
      <w:r>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 2022.</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Os dados da tabela 5 evidenciam o quantitativo absoluto de jovens que trabalham e estudam concomitantemente, por estado da região Nordeste, além de mostrar a proporção dessa população no quantitativo total de jovens da região e a taxa de variação ao longo do tempo. Assim, vê-se que entre 2016 e 2019 a participação de jovens que trabalham e estudam, isto é, que estavam ocupados</w:t>
      </w:r>
      <w:r w:rsidR="00D65F09">
        <w:rPr>
          <w:rFonts w:ascii="Times New Roman" w:hAnsi="Times New Roman"/>
          <w:sz w:val="24"/>
          <w:szCs w:val="24"/>
          <w:shd w:val="clear" w:color="auto" w:fill="FFFFFF"/>
        </w:rPr>
        <w:t xml:space="preserve"> em alguma atividade laboral</w:t>
      </w:r>
      <w:r w:rsidRPr="0061769D">
        <w:rPr>
          <w:rFonts w:ascii="Times New Roman" w:hAnsi="Times New Roman"/>
          <w:sz w:val="24"/>
          <w:szCs w:val="24"/>
          <w:shd w:val="clear" w:color="auto" w:fill="FFFFFF"/>
        </w:rPr>
        <w:t xml:space="preserve"> ou frequentavam escola</w:t>
      </w:r>
      <w:r w:rsidR="00D65F09">
        <w:rPr>
          <w:rFonts w:ascii="Times New Roman" w:hAnsi="Times New Roman"/>
          <w:sz w:val="24"/>
          <w:szCs w:val="24"/>
          <w:shd w:val="clear" w:color="auto" w:fill="FFFFFF"/>
        </w:rPr>
        <w:t>s</w:t>
      </w:r>
      <w:r w:rsidRPr="0061769D">
        <w:rPr>
          <w:rFonts w:ascii="Times New Roman" w:hAnsi="Times New Roman"/>
          <w:sz w:val="24"/>
          <w:szCs w:val="24"/>
          <w:shd w:val="clear" w:color="auto" w:fill="FFFFFF"/>
        </w:rPr>
        <w:t xml:space="preserve"> regular ou técnica era,</w:t>
      </w:r>
      <w:r w:rsidR="00D65F09">
        <w:rPr>
          <w:rFonts w:ascii="Times New Roman" w:hAnsi="Times New Roman"/>
          <w:sz w:val="24"/>
          <w:szCs w:val="24"/>
          <w:shd w:val="clear" w:color="auto" w:fill="FFFFFF"/>
        </w:rPr>
        <w:t xml:space="preserve"> ou profissional, era</w:t>
      </w:r>
      <w:r w:rsidRPr="0061769D">
        <w:rPr>
          <w:rFonts w:ascii="Times New Roman" w:hAnsi="Times New Roman"/>
          <w:sz w:val="24"/>
          <w:szCs w:val="24"/>
          <w:shd w:val="clear" w:color="auto" w:fill="FFFFFF"/>
        </w:rPr>
        <w:t xml:space="preserve"> em média, 10,7% do total da população jovem, no entanto, esse quantitativo caiu em -6% no período. Quando se observa os dados por Unidade de Federação (UF), percebe-se que o estado do Alagoas foi o que apresentou uma maior redução com -19%, seguido por Maranhão, Bahia, Se</w:t>
      </w:r>
      <w:r w:rsidR="00D65F09">
        <w:rPr>
          <w:rFonts w:ascii="Times New Roman" w:hAnsi="Times New Roman"/>
          <w:sz w:val="24"/>
          <w:szCs w:val="24"/>
          <w:shd w:val="clear" w:color="auto" w:fill="FFFFFF"/>
        </w:rPr>
        <w:t>rgipe, Paraíba e Piauí com -15%; -12%; -9;</w:t>
      </w:r>
      <w:r w:rsidRPr="0061769D">
        <w:rPr>
          <w:rFonts w:ascii="Times New Roman" w:hAnsi="Times New Roman"/>
          <w:sz w:val="24"/>
          <w:szCs w:val="24"/>
          <w:shd w:val="clear" w:color="auto" w:fill="FFFFFF"/>
        </w:rPr>
        <w:t xml:space="preserve"> -8 e -3, respectivamente. Por outro lado, o Rio Grande do Norte apresentou um crescimento disparado de 22% de jovens que estudam e trabalham, seguido por Ceará (3%) e Pernambuco (1%). Dessa forma, os dados da tabela apresentam uma queda no número de jovens que estudam e trabalham na região. </w:t>
      </w:r>
      <w:r w:rsidR="00D65F09" w:rsidRPr="0061769D">
        <w:rPr>
          <w:rFonts w:ascii="Times New Roman" w:hAnsi="Times New Roman"/>
          <w:sz w:val="24"/>
          <w:szCs w:val="24"/>
          <w:shd w:val="clear" w:color="auto" w:fill="FFFFFF"/>
        </w:rPr>
        <w:t>Em nível de</w:t>
      </w:r>
      <w:r w:rsidRPr="0061769D">
        <w:rPr>
          <w:rFonts w:ascii="Times New Roman" w:hAnsi="Times New Roman"/>
          <w:sz w:val="24"/>
          <w:szCs w:val="24"/>
          <w:shd w:val="clear" w:color="auto" w:fill="FFFFFF"/>
        </w:rPr>
        <w:t xml:space="preserve"> Brasil, a queda foi de -1% </w:t>
      </w:r>
      <w:r w:rsidRPr="00D65F09">
        <w:rPr>
          <w:rFonts w:ascii="Times New Roman" w:hAnsi="Times New Roman"/>
          <w:sz w:val="24"/>
          <w:szCs w:val="24"/>
          <w:shd w:val="clear" w:color="auto" w:fill="FFFFFF"/>
        </w:rPr>
        <w:t>(IBGE, 2022</w:t>
      </w:r>
      <w:r w:rsidR="00D65F09" w:rsidRPr="00D65F09">
        <w:rPr>
          <w:rFonts w:ascii="Times New Roman" w:hAnsi="Times New Roman"/>
          <w:sz w:val="24"/>
          <w:szCs w:val="24"/>
          <w:shd w:val="clear" w:color="auto" w:fill="FFFFFF"/>
        </w:rPr>
        <w:t>b</w:t>
      </w:r>
      <w:r w:rsidRPr="0061769D">
        <w:rPr>
          <w:rFonts w:ascii="Times New Roman" w:hAnsi="Times New Roman"/>
          <w:sz w:val="24"/>
          <w:szCs w:val="24"/>
          <w:shd w:val="clear" w:color="auto" w:fill="FFFFFF"/>
        </w:rPr>
        <w:t xml:space="preserve">). </w:t>
      </w:r>
      <w:r w:rsidRPr="00D65F09">
        <w:rPr>
          <w:rFonts w:ascii="Times New Roman" w:hAnsi="Times New Roman"/>
          <w:sz w:val="24"/>
          <w:szCs w:val="24"/>
          <w:shd w:val="clear" w:color="auto" w:fill="FFFFFF"/>
        </w:rPr>
        <w:t>Essa redução pode estar relacionada a diversos fatores,</w:t>
      </w:r>
      <w:r w:rsidR="00D65F09" w:rsidRPr="00D65F09">
        <w:rPr>
          <w:rFonts w:ascii="Times New Roman" w:hAnsi="Times New Roman"/>
          <w:sz w:val="24"/>
          <w:szCs w:val="24"/>
          <w:shd w:val="clear" w:color="auto" w:fill="FFFFFF"/>
        </w:rPr>
        <w:t xml:space="preserve"> como por exemplo,</w:t>
      </w:r>
      <w:r w:rsidRPr="00D65F09">
        <w:rPr>
          <w:rFonts w:ascii="Times New Roman" w:hAnsi="Times New Roman"/>
          <w:sz w:val="24"/>
          <w:szCs w:val="24"/>
          <w:shd w:val="clear" w:color="auto" w:fill="FFFFFF"/>
        </w:rPr>
        <w:t xml:space="preserve"> a dedicação exclusiva </w:t>
      </w:r>
      <w:r w:rsidRPr="00D65F09">
        <w:rPr>
          <w:rFonts w:ascii="Times New Roman" w:hAnsi="Times New Roman"/>
          <w:sz w:val="24"/>
          <w:szCs w:val="24"/>
          <w:shd w:val="clear" w:color="auto" w:fill="FFFFFF"/>
        </w:rPr>
        <w:lastRenderedPageBreak/>
        <w:t>dos jovens aos estudos</w:t>
      </w:r>
      <w:r w:rsidR="00D65F09" w:rsidRPr="00D65F09">
        <w:rPr>
          <w:rFonts w:ascii="Times New Roman" w:hAnsi="Times New Roman"/>
          <w:sz w:val="24"/>
          <w:szCs w:val="24"/>
          <w:shd w:val="clear" w:color="auto" w:fill="FFFFFF"/>
        </w:rPr>
        <w:t>, ou a situação de desemprego</w:t>
      </w:r>
      <w:r w:rsidRPr="00D65F09">
        <w:rPr>
          <w:rFonts w:ascii="Times New Roman" w:hAnsi="Times New Roman"/>
          <w:sz w:val="24"/>
          <w:szCs w:val="24"/>
          <w:shd w:val="clear" w:color="auto" w:fill="FFFFFF"/>
        </w:rPr>
        <w:t>. As tabelas seguintes auxiliarão a entender o fato.</w:t>
      </w:r>
    </w:p>
    <w:p w:rsidR="00723E1E" w:rsidRPr="0061769D" w:rsidRDefault="00723E1E" w:rsidP="00D65F09">
      <w:pPr>
        <w:spacing w:line="240" w:lineRule="auto"/>
        <w:jc w:val="center"/>
        <w:rPr>
          <w:rFonts w:ascii="Times New Roman" w:hAnsi="Times New Roman"/>
          <w:sz w:val="24"/>
          <w:szCs w:val="24"/>
          <w:shd w:val="clear" w:color="auto" w:fill="FFFFFF"/>
        </w:rPr>
      </w:pPr>
      <w:r w:rsidRPr="00D65F09">
        <w:rPr>
          <w:rFonts w:ascii="Times New Roman" w:hAnsi="Times New Roman"/>
          <w:b/>
          <w:sz w:val="24"/>
          <w:szCs w:val="24"/>
          <w:shd w:val="clear" w:color="auto" w:fill="FFFFFF"/>
        </w:rPr>
        <w:t>Tabela 6.</w:t>
      </w:r>
      <w:r w:rsidRPr="00D65F09">
        <w:rPr>
          <w:rFonts w:ascii="Times New Roman" w:hAnsi="Times New Roman"/>
          <w:sz w:val="24"/>
          <w:szCs w:val="24"/>
          <w:shd w:val="clear" w:color="auto" w:fill="FFFFFF"/>
        </w:rPr>
        <w:t xml:space="preserve"> Nordeste: População de 15 a 29 anos de idade ocupadas e não frequentando escola,</w:t>
      </w:r>
      <w:r w:rsidRPr="0061769D">
        <w:rPr>
          <w:rFonts w:ascii="Times New Roman" w:hAnsi="Times New Roman"/>
          <w:sz w:val="24"/>
          <w:szCs w:val="24"/>
          <w:shd w:val="clear" w:color="auto" w:fill="FFFFFF"/>
        </w:rPr>
        <w:t xml:space="preserve"> cursos pré-vestibular, técnico de nível médio ou qualificação profissional (2016-2019)</w:t>
      </w:r>
    </w:p>
    <w:tbl>
      <w:tblPr>
        <w:tblW w:w="0" w:type="auto"/>
        <w:jc w:val="center"/>
        <w:tblBorders>
          <w:top w:val="single" w:sz="4" w:space="0" w:color="auto"/>
          <w:bottom w:val="single" w:sz="4" w:space="0" w:color="auto"/>
        </w:tblBorders>
        <w:tblCellMar>
          <w:left w:w="70" w:type="dxa"/>
          <w:right w:w="70" w:type="dxa"/>
        </w:tblCellMar>
        <w:tblLook w:val="04A0"/>
      </w:tblPr>
      <w:tblGrid>
        <w:gridCol w:w="1823"/>
        <w:gridCol w:w="657"/>
        <w:gridCol w:w="657"/>
        <w:gridCol w:w="657"/>
        <w:gridCol w:w="657"/>
        <w:gridCol w:w="1212"/>
      </w:tblGrid>
      <w:tr w:rsidR="00723E1E" w:rsidRPr="00D65F09" w:rsidTr="00752D3C">
        <w:trPr>
          <w:trHeight w:val="288"/>
          <w:jc w:val="center"/>
        </w:trPr>
        <w:tc>
          <w:tcPr>
            <w:tcW w:w="0" w:type="auto"/>
            <w:gridSpan w:val="5"/>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Jovens que só trabalham (em mil)</w:t>
            </w:r>
          </w:p>
        </w:tc>
        <w:tc>
          <w:tcPr>
            <w:tcW w:w="0" w:type="auto"/>
            <w:tcBorders>
              <w:top w:val="single" w:sz="4" w:space="0" w:color="auto"/>
              <w:bottom w:val="single" w:sz="4" w:space="0" w:color="auto"/>
            </w:tcBorders>
            <w:vAlign w:val="bottom"/>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Variação (%)</w:t>
            </w:r>
          </w:p>
        </w:tc>
      </w:tr>
      <w:tr w:rsidR="00723E1E" w:rsidRPr="00D65F09" w:rsidTr="00752D3C">
        <w:trPr>
          <w:trHeight w:val="288"/>
          <w:jc w:val="center"/>
        </w:trPr>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Estado</w:t>
            </w:r>
          </w:p>
        </w:tc>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2016</w:t>
            </w:r>
          </w:p>
        </w:tc>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2017</w:t>
            </w:r>
          </w:p>
        </w:tc>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2018</w:t>
            </w:r>
          </w:p>
        </w:tc>
        <w:tc>
          <w:tcPr>
            <w:tcW w:w="0" w:type="auto"/>
            <w:tcBorders>
              <w:top w:val="single" w:sz="4" w:space="0" w:color="auto"/>
              <w:bottom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2019</w:t>
            </w:r>
          </w:p>
        </w:tc>
        <w:tc>
          <w:tcPr>
            <w:tcW w:w="0" w:type="auto"/>
            <w:tcBorders>
              <w:top w:val="single" w:sz="4" w:space="0" w:color="auto"/>
              <w:bottom w:val="single" w:sz="4" w:space="0" w:color="auto"/>
            </w:tcBorders>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2016 - 2019</w:t>
            </w:r>
          </w:p>
        </w:tc>
      </w:tr>
      <w:tr w:rsidR="00723E1E" w:rsidRPr="00D65F09" w:rsidTr="00752D3C">
        <w:trPr>
          <w:trHeight w:val="288"/>
          <w:jc w:val="center"/>
        </w:trPr>
        <w:tc>
          <w:tcPr>
            <w:tcW w:w="0" w:type="auto"/>
            <w:tcBorders>
              <w:top w:val="single" w:sz="4" w:space="0" w:color="auto"/>
            </w:tcBorders>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Maranhão</w:t>
            </w:r>
          </w:p>
        </w:tc>
        <w:tc>
          <w:tcPr>
            <w:tcW w:w="0" w:type="auto"/>
            <w:tcBorders>
              <w:top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552</w:t>
            </w:r>
          </w:p>
        </w:tc>
        <w:tc>
          <w:tcPr>
            <w:tcW w:w="0" w:type="auto"/>
            <w:tcBorders>
              <w:top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494</w:t>
            </w:r>
          </w:p>
        </w:tc>
        <w:tc>
          <w:tcPr>
            <w:tcW w:w="0" w:type="auto"/>
            <w:tcBorders>
              <w:top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464</w:t>
            </w:r>
          </w:p>
        </w:tc>
        <w:tc>
          <w:tcPr>
            <w:tcW w:w="0" w:type="auto"/>
            <w:tcBorders>
              <w:top w:val="single" w:sz="4" w:space="0" w:color="auto"/>
            </w:tcBorders>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446</w:t>
            </w:r>
          </w:p>
        </w:tc>
        <w:tc>
          <w:tcPr>
            <w:tcW w:w="0" w:type="auto"/>
            <w:tcBorders>
              <w:top w:val="single" w:sz="4" w:space="0" w:color="auto"/>
            </w:tcBorders>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-19</w:t>
            </w:r>
          </w:p>
        </w:tc>
      </w:tr>
      <w:tr w:rsidR="00723E1E" w:rsidRPr="00D65F09" w:rsidTr="00752D3C">
        <w:trPr>
          <w:trHeight w:val="288"/>
          <w:jc w:val="center"/>
        </w:trPr>
        <w:tc>
          <w:tcPr>
            <w:tcW w:w="0" w:type="auto"/>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Piauí</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235</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208</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220</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224</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-5</w:t>
            </w:r>
          </w:p>
        </w:tc>
      </w:tr>
      <w:tr w:rsidR="00723E1E" w:rsidRPr="00D65F09" w:rsidTr="00752D3C">
        <w:trPr>
          <w:trHeight w:val="288"/>
          <w:jc w:val="center"/>
        </w:trPr>
        <w:tc>
          <w:tcPr>
            <w:tcW w:w="0" w:type="auto"/>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Ceará</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719</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758</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747</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730</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w:t>
            </w:r>
          </w:p>
        </w:tc>
      </w:tr>
      <w:tr w:rsidR="00723E1E" w:rsidRPr="00D65F09" w:rsidTr="00752D3C">
        <w:trPr>
          <w:trHeight w:val="288"/>
          <w:jc w:val="center"/>
        </w:trPr>
        <w:tc>
          <w:tcPr>
            <w:tcW w:w="0" w:type="auto"/>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Rio Grande do Norte</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247</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249</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250</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230</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-7</w:t>
            </w:r>
          </w:p>
        </w:tc>
      </w:tr>
      <w:tr w:rsidR="00723E1E" w:rsidRPr="00D65F09" w:rsidTr="00752D3C">
        <w:trPr>
          <w:trHeight w:val="288"/>
          <w:jc w:val="center"/>
        </w:trPr>
        <w:tc>
          <w:tcPr>
            <w:tcW w:w="0" w:type="auto"/>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Paraíba</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290</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283</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284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256</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-12</w:t>
            </w:r>
          </w:p>
        </w:tc>
      </w:tr>
      <w:tr w:rsidR="00723E1E" w:rsidRPr="00D65F09" w:rsidTr="00752D3C">
        <w:trPr>
          <w:trHeight w:val="288"/>
          <w:jc w:val="center"/>
        </w:trPr>
        <w:tc>
          <w:tcPr>
            <w:tcW w:w="0" w:type="auto"/>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Pernambuco</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693</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632</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658</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657</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-5</w:t>
            </w:r>
          </w:p>
        </w:tc>
      </w:tr>
      <w:tr w:rsidR="00723E1E" w:rsidRPr="00D65F09" w:rsidTr="00752D3C">
        <w:trPr>
          <w:trHeight w:val="288"/>
          <w:jc w:val="center"/>
        </w:trPr>
        <w:tc>
          <w:tcPr>
            <w:tcW w:w="0" w:type="auto"/>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Alagoas</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224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203</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174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205</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-8</w:t>
            </w:r>
          </w:p>
        </w:tc>
      </w:tr>
      <w:tr w:rsidR="00723E1E" w:rsidRPr="00D65F09" w:rsidTr="00752D3C">
        <w:trPr>
          <w:trHeight w:val="288"/>
          <w:jc w:val="center"/>
        </w:trPr>
        <w:tc>
          <w:tcPr>
            <w:tcW w:w="0" w:type="auto"/>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Sergipe</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176</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169</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177</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184</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5</w:t>
            </w:r>
          </w:p>
        </w:tc>
      </w:tr>
      <w:tr w:rsidR="00723E1E" w:rsidRPr="00D65F09" w:rsidTr="00752D3C">
        <w:trPr>
          <w:trHeight w:val="288"/>
          <w:jc w:val="center"/>
        </w:trPr>
        <w:tc>
          <w:tcPr>
            <w:tcW w:w="0" w:type="auto"/>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Bahia</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1034</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1043</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976</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993</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-4</w:t>
            </w:r>
          </w:p>
        </w:tc>
      </w:tr>
      <w:tr w:rsidR="00723E1E" w:rsidRPr="00D65F09" w:rsidTr="00752D3C">
        <w:trPr>
          <w:trHeight w:val="288"/>
          <w:jc w:val="center"/>
        </w:trPr>
        <w:tc>
          <w:tcPr>
            <w:tcW w:w="0" w:type="auto"/>
            <w:shd w:val="clear" w:color="auto" w:fill="auto"/>
            <w:noWrap/>
            <w:vAlign w:val="center"/>
            <w:hideMark/>
          </w:tcPr>
          <w:p w:rsidR="00723E1E" w:rsidRPr="00D65F09" w:rsidRDefault="00723E1E" w:rsidP="00D65F09">
            <w:pPr>
              <w:spacing w:after="0" w:line="240" w:lineRule="auto"/>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Nordeste</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4170</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4039</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3950</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3925</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b/>
                <w:bCs/>
                <w:sz w:val="20"/>
                <w:szCs w:val="20"/>
                <w:lang w:eastAsia="pt-BR"/>
              </w:rPr>
            </w:pPr>
            <w:r w:rsidRPr="00D65F09">
              <w:rPr>
                <w:rFonts w:ascii="Times New Roman" w:eastAsia="Times New Roman" w:hAnsi="Times New Roman"/>
                <w:b/>
                <w:bCs/>
                <w:sz w:val="20"/>
                <w:szCs w:val="20"/>
                <w:lang w:eastAsia="pt-BR"/>
              </w:rPr>
              <w:t>-6</w:t>
            </w:r>
          </w:p>
        </w:tc>
      </w:tr>
      <w:tr w:rsidR="00723E1E" w:rsidRPr="00D65F09" w:rsidTr="00752D3C">
        <w:trPr>
          <w:trHeight w:val="288"/>
          <w:jc w:val="center"/>
        </w:trPr>
        <w:tc>
          <w:tcPr>
            <w:tcW w:w="0" w:type="auto"/>
            <w:shd w:val="clear" w:color="auto" w:fill="auto"/>
            <w:noWrap/>
            <w:vAlign w:val="bottom"/>
            <w:hideMark/>
          </w:tcPr>
          <w:p w:rsidR="00723E1E" w:rsidRPr="00D65F09" w:rsidRDefault="00723E1E" w:rsidP="00D65F09">
            <w:pPr>
              <w:spacing w:after="0" w:line="240" w:lineRule="auto"/>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Proporção</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30,7%</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29,3%</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29,2%</w:t>
            </w:r>
          </w:p>
        </w:tc>
        <w:tc>
          <w:tcPr>
            <w:tcW w:w="0" w:type="auto"/>
            <w:shd w:val="clear" w:color="auto" w:fill="auto"/>
            <w:noWrap/>
            <w:vAlign w:val="bottom"/>
            <w:hideMark/>
          </w:tcPr>
          <w:p w:rsidR="00723E1E" w:rsidRPr="00D65F09" w:rsidRDefault="00723E1E" w:rsidP="00D65F09">
            <w:pPr>
              <w:spacing w:after="0" w:line="240" w:lineRule="auto"/>
              <w:jc w:val="right"/>
              <w:rPr>
                <w:rFonts w:ascii="Times New Roman" w:eastAsia="Times New Roman" w:hAnsi="Times New Roman"/>
                <w:sz w:val="20"/>
                <w:szCs w:val="20"/>
                <w:lang w:eastAsia="pt-BR"/>
              </w:rPr>
            </w:pPr>
            <w:r w:rsidRPr="00D65F09">
              <w:rPr>
                <w:rFonts w:ascii="Times New Roman" w:eastAsia="Times New Roman" w:hAnsi="Times New Roman"/>
                <w:sz w:val="20"/>
                <w:szCs w:val="20"/>
                <w:lang w:eastAsia="pt-BR"/>
              </w:rPr>
              <w:t>29,5%</w:t>
            </w:r>
          </w:p>
        </w:tc>
        <w:tc>
          <w:tcPr>
            <w:tcW w:w="0" w:type="auto"/>
            <w:vAlign w:val="bottom"/>
          </w:tcPr>
          <w:p w:rsidR="00723E1E" w:rsidRPr="00D65F09" w:rsidRDefault="00723E1E" w:rsidP="00D65F09">
            <w:pPr>
              <w:spacing w:after="0" w:line="240" w:lineRule="auto"/>
              <w:jc w:val="center"/>
              <w:rPr>
                <w:rFonts w:ascii="Times New Roman" w:eastAsia="Times New Roman" w:hAnsi="Times New Roman"/>
                <w:sz w:val="20"/>
                <w:szCs w:val="20"/>
                <w:lang w:eastAsia="pt-BR"/>
              </w:rPr>
            </w:pPr>
          </w:p>
        </w:tc>
      </w:tr>
    </w:tbl>
    <w:p w:rsidR="00D65F09" w:rsidRPr="0092372B" w:rsidRDefault="00D65F09" w:rsidP="00D65F09">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 2022b. PNAD</w:t>
      </w:r>
      <w:r>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 2022.</w:t>
      </w:r>
    </w:p>
    <w:p w:rsidR="00723E1E"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Com relação a proporção de jovens que só trabalham e não frequentam escola, esta  representava, em média, 29,6% no período, ou seja, aproximadamente apenas um terço dos jovens do Nordeste só trabalhavam. Ademais, esse quantitativo caiu -6% em nível regional e -3% em nível de Brasil (IBGE, 2022</w:t>
      </w:r>
      <w:r w:rsidR="00990C3F">
        <w:rPr>
          <w:rFonts w:ascii="Times New Roman" w:hAnsi="Times New Roman"/>
          <w:sz w:val="24"/>
          <w:szCs w:val="24"/>
          <w:shd w:val="clear" w:color="auto" w:fill="FFFFFF"/>
        </w:rPr>
        <w:t>b</w:t>
      </w:r>
      <w:r w:rsidRPr="0061769D">
        <w:rPr>
          <w:rFonts w:ascii="Times New Roman" w:hAnsi="Times New Roman"/>
          <w:sz w:val="24"/>
          <w:szCs w:val="24"/>
          <w:shd w:val="clear" w:color="auto" w:fill="FFFFFF"/>
        </w:rPr>
        <w:t>). Destaca-se que somente os estados do Ceará (2%) e Sergipe (5%) apresentaram crescimento, enquanto os demais caíram, com o Maranhão protagonizando esta queda (-19%), seguido por Paraíba (-12%), Alagoas (-8%), Rio Grande do Norte (-7%), Pernambuco e Piauí (-5% ambos) e Bahia (-4%). Nesse caso, vê-se que tanto os jovens que trabalham e estudam concomitantemente, quanto os que só trabalham, apresentaram queda de mesma intensidade na região.</w:t>
      </w:r>
    </w:p>
    <w:p w:rsidR="00723E1E" w:rsidRPr="0061769D" w:rsidRDefault="00723E1E" w:rsidP="00990C3F">
      <w:pPr>
        <w:spacing w:line="240" w:lineRule="auto"/>
        <w:jc w:val="center"/>
        <w:rPr>
          <w:rFonts w:ascii="Times New Roman" w:hAnsi="Times New Roman"/>
          <w:sz w:val="24"/>
          <w:szCs w:val="24"/>
          <w:shd w:val="clear" w:color="auto" w:fill="FFFFFF"/>
        </w:rPr>
      </w:pPr>
      <w:r w:rsidRPr="00990C3F">
        <w:rPr>
          <w:rFonts w:ascii="Times New Roman" w:hAnsi="Times New Roman"/>
          <w:b/>
          <w:sz w:val="24"/>
          <w:szCs w:val="24"/>
          <w:shd w:val="clear" w:color="auto" w:fill="FFFFFF"/>
        </w:rPr>
        <w:t>Tabela 7.</w:t>
      </w:r>
      <w:r w:rsidRPr="00990C3F">
        <w:rPr>
          <w:rFonts w:ascii="Times New Roman" w:hAnsi="Times New Roman"/>
          <w:sz w:val="24"/>
          <w:szCs w:val="24"/>
          <w:shd w:val="clear" w:color="auto" w:fill="FFFFFF"/>
        </w:rPr>
        <w:t xml:space="preserve"> Nordeste: População de 15 a 29 anos de idade não ocupadas e frequentando escola,</w:t>
      </w:r>
      <w:r w:rsidRPr="0061769D">
        <w:rPr>
          <w:rFonts w:ascii="Times New Roman" w:hAnsi="Times New Roman"/>
          <w:sz w:val="24"/>
          <w:szCs w:val="24"/>
          <w:shd w:val="clear" w:color="auto" w:fill="FFFFFF"/>
        </w:rPr>
        <w:t xml:space="preserve"> cursos pré-vestibular, técnico de nível médio ou qualificação profissional (2016-2019)</w:t>
      </w:r>
    </w:p>
    <w:tbl>
      <w:tblPr>
        <w:tblW w:w="0" w:type="auto"/>
        <w:jc w:val="center"/>
        <w:tblInd w:w="59" w:type="dxa"/>
        <w:tblBorders>
          <w:top w:val="single" w:sz="4" w:space="0" w:color="auto"/>
          <w:bottom w:val="single" w:sz="4" w:space="0" w:color="auto"/>
        </w:tblBorders>
        <w:tblCellMar>
          <w:left w:w="70" w:type="dxa"/>
          <w:right w:w="70" w:type="dxa"/>
        </w:tblCellMar>
        <w:tblLook w:val="04A0"/>
      </w:tblPr>
      <w:tblGrid>
        <w:gridCol w:w="1823"/>
        <w:gridCol w:w="657"/>
        <w:gridCol w:w="657"/>
        <w:gridCol w:w="657"/>
        <w:gridCol w:w="657"/>
        <w:gridCol w:w="1438"/>
      </w:tblGrid>
      <w:tr w:rsidR="00723E1E" w:rsidRPr="00990C3F" w:rsidTr="00752D3C">
        <w:trPr>
          <w:trHeight w:val="288"/>
          <w:jc w:val="center"/>
        </w:trPr>
        <w:tc>
          <w:tcPr>
            <w:tcW w:w="0" w:type="auto"/>
            <w:gridSpan w:val="5"/>
            <w:tcBorders>
              <w:top w:val="single" w:sz="4" w:space="0" w:color="auto"/>
              <w:bottom w:val="single" w:sz="4" w:space="0" w:color="auto"/>
            </w:tcBorders>
            <w:shd w:val="clear" w:color="auto" w:fill="auto"/>
            <w:noWrap/>
            <w:vAlign w:val="bottom"/>
            <w:hideMark/>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Jovens que só estudam (em mil)</w:t>
            </w:r>
          </w:p>
        </w:tc>
        <w:tc>
          <w:tcPr>
            <w:tcW w:w="1438" w:type="dxa"/>
            <w:tcBorders>
              <w:top w:val="single" w:sz="4" w:space="0" w:color="auto"/>
              <w:bottom w:val="single" w:sz="4" w:space="0" w:color="auto"/>
            </w:tcBorders>
            <w:vAlign w:val="bottom"/>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Variação (%)</w:t>
            </w:r>
          </w:p>
        </w:tc>
      </w:tr>
      <w:tr w:rsidR="00723E1E" w:rsidRPr="00990C3F" w:rsidTr="00752D3C">
        <w:trPr>
          <w:trHeight w:val="288"/>
          <w:jc w:val="center"/>
        </w:trPr>
        <w:tc>
          <w:tcPr>
            <w:tcW w:w="0" w:type="auto"/>
            <w:tcBorders>
              <w:top w:val="single" w:sz="4" w:space="0" w:color="auto"/>
              <w:bottom w:val="single" w:sz="4" w:space="0" w:color="auto"/>
            </w:tcBorders>
            <w:shd w:val="clear" w:color="auto" w:fill="auto"/>
            <w:noWrap/>
            <w:vAlign w:val="bottom"/>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Estado</w:t>
            </w:r>
          </w:p>
        </w:tc>
        <w:tc>
          <w:tcPr>
            <w:tcW w:w="0" w:type="auto"/>
            <w:tcBorders>
              <w:top w:val="single" w:sz="4" w:space="0" w:color="auto"/>
              <w:bottom w:val="single" w:sz="4" w:space="0" w:color="auto"/>
            </w:tcBorders>
            <w:shd w:val="clear" w:color="auto" w:fill="auto"/>
            <w:noWrap/>
            <w:vAlign w:val="bottom"/>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2016</w:t>
            </w:r>
          </w:p>
        </w:tc>
        <w:tc>
          <w:tcPr>
            <w:tcW w:w="0" w:type="auto"/>
            <w:tcBorders>
              <w:top w:val="single" w:sz="4" w:space="0" w:color="auto"/>
              <w:bottom w:val="single" w:sz="4" w:space="0" w:color="auto"/>
            </w:tcBorders>
            <w:shd w:val="clear" w:color="auto" w:fill="auto"/>
            <w:noWrap/>
            <w:vAlign w:val="bottom"/>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2017</w:t>
            </w:r>
          </w:p>
        </w:tc>
        <w:tc>
          <w:tcPr>
            <w:tcW w:w="0" w:type="auto"/>
            <w:tcBorders>
              <w:top w:val="single" w:sz="4" w:space="0" w:color="auto"/>
              <w:bottom w:val="single" w:sz="4" w:space="0" w:color="auto"/>
            </w:tcBorders>
            <w:shd w:val="clear" w:color="auto" w:fill="auto"/>
            <w:noWrap/>
            <w:vAlign w:val="bottom"/>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2018</w:t>
            </w:r>
          </w:p>
        </w:tc>
        <w:tc>
          <w:tcPr>
            <w:tcW w:w="0" w:type="auto"/>
            <w:tcBorders>
              <w:top w:val="single" w:sz="4" w:space="0" w:color="auto"/>
              <w:bottom w:val="single" w:sz="4" w:space="0" w:color="auto"/>
            </w:tcBorders>
            <w:shd w:val="clear" w:color="auto" w:fill="auto"/>
            <w:noWrap/>
            <w:vAlign w:val="bottom"/>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2019</w:t>
            </w:r>
          </w:p>
        </w:tc>
        <w:tc>
          <w:tcPr>
            <w:tcW w:w="1438" w:type="dxa"/>
            <w:tcBorders>
              <w:top w:val="single" w:sz="4" w:space="0" w:color="auto"/>
              <w:bottom w:val="single" w:sz="4" w:space="0" w:color="auto"/>
            </w:tcBorders>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2016 - 2019</w:t>
            </w:r>
          </w:p>
        </w:tc>
      </w:tr>
      <w:tr w:rsidR="00723E1E" w:rsidRPr="00990C3F" w:rsidTr="00752D3C">
        <w:trPr>
          <w:trHeight w:val="288"/>
          <w:jc w:val="center"/>
        </w:trPr>
        <w:tc>
          <w:tcPr>
            <w:tcW w:w="0" w:type="auto"/>
            <w:tcBorders>
              <w:top w:val="single" w:sz="4" w:space="0" w:color="auto"/>
            </w:tcBorders>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Maranhão</w:t>
            </w:r>
          </w:p>
        </w:tc>
        <w:tc>
          <w:tcPr>
            <w:tcW w:w="0" w:type="auto"/>
            <w:tcBorders>
              <w:top w:val="single" w:sz="4" w:space="0" w:color="auto"/>
            </w:tcBorders>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544</w:t>
            </w:r>
          </w:p>
        </w:tc>
        <w:tc>
          <w:tcPr>
            <w:tcW w:w="0" w:type="auto"/>
            <w:tcBorders>
              <w:top w:val="single" w:sz="4" w:space="0" w:color="auto"/>
            </w:tcBorders>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547</w:t>
            </w:r>
          </w:p>
        </w:tc>
        <w:tc>
          <w:tcPr>
            <w:tcW w:w="0" w:type="auto"/>
            <w:tcBorders>
              <w:top w:val="single" w:sz="4" w:space="0" w:color="auto"/>
            </w:tcBorders>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566</w:t>
            </w:r>
          </w:p>
        </w:tc>
        <w:tc>
          <w:tcPr>
            <w:tcW w:w="0" w:type="auto"/>
            <w:tcBorders>
              <w:top w:val="single" w:sz="4" w:space="0" w:color="auto"/>
            </w:tcBorders>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576</w:t>
            </w:r>
          </w:p>
        </w:tc>
        <w:tc>
          <w:tcPr>
            <w:tcW w:w="1438" w:type="dxa"/>
            <w:tcBorders>
              <w:top w:val="single" w:sz="4" w:space="0" w:color="auto"/>
            </w:tcBorders>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w:t>
            </w:r>
          </w:p>
        </w:tc>
      </w:tr>
      <w:tr w:rsidR="00723E1E" w:rsidRPr="00990C3F" w:rsidTr="00752D3C">
        <w:trPr>
          <w:trHeight w:val="288"/>
          <w:jc w:val="center"/>
        </w:trPr>
        <w:tc>
          <w:tcPr>
            <w:tcW w:w="0" w:type="auto"/>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Piauí</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233</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263</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253</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234</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0,4</w:t>
            </w:r>
          </w:p>
        </w:tc>
      </w:tr>
      <w:tr w:rsidR="00723E1E" w:rsidRPr="00990C3F" w:rsidTr="00752D3C">
        <w:trPr>
          <w:trHeight w:val="288"/>
          <w:jc w:val="center"/>
        </w:trPr>
        <w:tc>
          <w:tcPr>
            <w:tcW w:w="0" w:type="auto"/>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Ceará</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621</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651</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634</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614</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-1</w:t>
            </w:r>
          </w:p>
        </w:tc>
      </w:tr>
      <w:tr w:rsidR="00723E1E" w:rsidRPr="00990C3F" w:rsidTr="00752D3C">
        <w:trPr>
          <w:trHeight w:val="288"/>
          <w:jc w:val="center"/>
        </w:trPr>
        <w:tc>
          <w:tcPr>
            <w:tcW w:w="0" w:type="auto"/>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Rio Grande do Norte</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268</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277</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267</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249</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-7</w:t>
            </w:r>
          </w:p>
        </w:tc>
      </w:tr>
      <w:tr w:rsidR="00723E1E" w:rsidRPr="00990C3F" w:rsidTr="00752D3C">
        <w:trPr>
          <w:trHeight w:val="288"/>
          <w:jc w:val="center"/>
        </w:trPr>
        <w:tc>
          <w:tcPr>
            <w:tcW w:w="0" w:type="auto"/>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lastRenderedPageBreak/>
              <w:t>Paraíba</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318</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307</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309</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310</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-3</w:t>
            </w:r>
          </w:p>
        </w:tc>
      </w:tr>
      <w:tr w:rsidR="00723E1E" w:rsidRPr="00990C3F" w:rsidTr="00752D3C">
        <w:trPr>
          <w:trHeight w:val="288"/>
          <w:jc w:val="center"/>
        </w:trPr>
        <w:tc>
          <w:tcPr>
            <w:tcW w:w="0" w:type="auto"/>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Pernambuco</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673</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728</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679</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673</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0</w:t>
            </w:r>
          </w:p>
        </w:tc>
      </w:tr>
      <w:tr w:rsidR="00723E1E" w:rsidRPr="00990C3F" w:rsidTr="00752D3C">
        <w:trPr>
          <w:trHeight w:val="288"/>
          <w:jc w:val="center"/>
        </w:trPr>
        <w:tc>
          <w:tcPr>
            <w:tcW w:w="0" w:type="auto"/>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Alagoas</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265</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260</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281</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248</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w:t>
            </w:r>
          </w:p>
        </w:tc>
      </w:tr>
      <w:tr w:rsidR="00723E1E" w:rsidRPr="00990C3F" w:rsidTr="00752D3C">
        <w:trPr>
          <w:trHeight w:val="288"/>
          <w:jc w:val="center"/>
        </w:trPr>
        <w:tc>
          <w:tcPr>
            <w:tcW w:w="0" w:type="auto"/>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Sergipe</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174</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174</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170</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174</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0</w:t>
            </w:r>
          </w:p>
        </w:tc>
      </w:tr>
      <w:tr w:rsidR="00723E1E" w:rsidRPr="00990C3F" w:rsidTr="00752D3C">
        <w:trPr>
          <w:trHeight w:val="288"/>
          <w:jc w:val="center"/>
        </w:trPr>
        <w:tc>
          <w:tcPr>
            <w:tcW w:w="0" w:type="auto"/>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Bahia</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1053</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1094</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1066</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1116</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6</w:t>
            </w:r>
          </w:p>
        </w:tc>
      </w:tr>
      <w:tr w:rsidR="00723E1E" w:rsidRPr="00990C3F" w:rsidTr="00752D3C">
        <w:trPr>
          <w:trHeight w:val="288"/>
          <w:jc w:val="center"/>
        </w:trPr>
        <w:tc>
          <w:tcPr>
            <w:tcW w:w="0" w:type="auto"/>
            <w:shd w:val="clear" w:color="auto" w:fill="auto"/>
            <w:noWrap/>
            <w:vAlign w:val="center"/>
            <w:hideMark/>
          </w:tcPr>
          <w:p w:rsidR="00723E1E" w:rsidRPr="00990C3F" w:rsidRDefault="00723E1E" w:rsidP="00990C3F">
            <w:pPr>
              <w:spacing w:after="0" w:line="240" w:lineRule="auto"/>
              <w:rPr>
                <w:rFonts w:ascii="Times New Roman" w:eastAsia="Times New Roman" w:hAnsi="Times New Roman"/>
                <w:b/>
                <w:bCs/>
                <w:sz w:val="20"/>
                <w:szCs w:val="20"/>
                <w:lang w:eastAsia="pt-BR"/>
              </w:rPr>
            </w:pPr>
            <w:r w:rsidRPr="00990C3F">
              <w:rPr>
                <w:rFonts w:ascii="Times New Roman" w:eastAsia="Times New Roman" w:hAnsi="Times New Roman"/>
                <w:b/>
                <w:bCs/>
                <w:sz w:val="20"/>
                <w:szCs w:val="20"/>
                <w:lang w:eastAsia="pt-BR"/>
              </w:rPr>
              <w:t>Nordeste</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b/>
                <w:bCs/>
                <w:sz w:val="20"/>
                <w:szCs w:val="20"/>
                <w:lang w:eastAsia="pt-BR"/>
              </w:rPr>
            </w:pPr>
            <w:r w:rsidRPr="00990C3F">
              <w:rPr>
                <w:rFonts w:ascii="Times New Roman" w:eastAsia="Times New Roman" w:hAnsi="Times New Roman"/>
                <w:b/>
                <w:bCs/>
                <w:sz w:val="20"/>
                <w:szCs w:val="20"/>
                <w:lang w:eastAsia="pt-BR"/>
              </w:rPr>
              <w:t>4149</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b/>
                <w:bCs/>
                <w:sz w:val="20"/>
                <w:szCs w:val="20"/>
                <w:lang w:eastAsia="pt-BR"/>
              </w:rPr>
            </w:pPr>
            <w:r w:rsidRPr="00990C3F">
              <w:rPr>
                <w:rFonts w:ascii="Times New Roman" w:eastAsia="Times New Roman" w:hAnsi="Times New Roman"/>
                <w:b/>
                <w:bCs/>
                <w:sz w:val="20"/>
                <w:szCs w:val="20"/>
                <w:lang w:eastAsia="pt-BR"/>
              </w:rPr>
              <w:t>4301</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b/>
                <w:bCs/>
                <w:sz w:val="20"/>
                <w:szCs w:val="20"/>
                <w:lang w:eastAsia="pt-BR"/>
              </w:rPr>
            </w:pPr>
            <w:r w:rsidRPr="00990C3F">
              <w:rPr>
                <w:rFonts w:ascii="Times New Roman" w:eastAsia="Times New Roman" w:hAnsi="Times New Roman"/>
                <w:b/>
                <w:bCs/>
                <w:sz w:val="20"/>
                <w:szCs w:val="20"/>
                <w:lang w:eastAsia="pt-BR"/>
              </w:rPr>
              <w:t>4225</w:t>
            </w:r>
          </w:p>
        </w:tc>
        <w:tc>
          <w:tcPr>
            <w:tcW w:w="0" w:type="auto"/>
            <w:shd w:val="clear" w:color="auto" w:fill="auto"/>
            <w:noWrap/>
            <w:vAlign w:val="center"/>
            <w:hideMark/>
          </w:tcPr>
          <w:p w:rsidR="00723E1E" w:rsidRPr="00990C3F" w:rsidRDefault="00723E1E" w:rsidP="00990C3F">
            <w:pPr>
              <w:spacing w:after="0" w:line="240" w:lineRule="auto"/>
              <w:jc w:val="right"/>
              <w:rPr>
                <w:rFonts w:ascii="Times New Roman" w:eastAsia="Times New Roman" w:hAnsi="Times New Roman"/>
                <w:b/>
                <w:bCs/>
                <w:sz w:val="20"/>
                <w:szCs w:val="20"/>
                <w:lang w:eastAsia="pt-BR"/>
              </w:rPr>
            </w:pPr>
            <w:r w:rsidRPr="00990C3F">
              <w:rPr>
                <w:rFonts w:ascii="Times New Roman" w:eastAsia="Times New Roman" w:hAnsi="Times New Roman"/>
                <w:b/>
                <w:bCs/>
                <w:sz w:val="20"/>
                <w:szCs w:val="20"/>
                <w:lang w:eastAsia="pt-BR"/>
              </w:rPr>
              <w:t>4194</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b/>
                <w:bCs/>
                <w:sz w:val="20"/>
                <w:szCs w:val="20"/>
                <w:lang w:eastAsia="pt-BR"/>
              </w:rPr>
            </w:pPr>
            <w:r w:rsidRPr="00990C3F">
              <w:rPr>
                <w:rFonts w:ascii="Times New Roman" w:eastAsia="Times New Roman" w:hAnsi="Times New Roman"/>
                <w:b/>
                <w:bCs/>
                <w:sz w:val="20"/>
                <w:szCs w:val="20"/>
                <w:lang w:eastAsia="pt-BR"/>
              </w:rPr>
              <w:t>1</w:t>
            </w:r>
          </w:p>
        </w:tc>
      </w:tr>
      <w:tr w:rsidR="00723E1E" w:rsidRPr="00990C3F" w:rsidTr="00752D3C">
        <w:trPr>
          <w:trHeight w:val="288"/>
          <w:jc w:val="center"/>
        </w:trPr>
        <w:tc>
          <w:tcPr>
            <w:tcW w:w="0" w:type="auto"/>
            <w:shd w:val="clear" w:color="auto" w:fill="auto"/>
            <w:noWrap/>
            <w:vAlign w:val="bottom"/>
            <w:hideMark/>
          </w:tcPr>
          <w:p w:rsidR="00723E1E" w:rsidRPr="00990C3F" w:rsidRDefault="00723E1E" w:rsidP="00990C3F">
            <w:pPr>
              <w:spacing w:after="0" w:line="240" w:lineRule="auto"/>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Proporção</w:t>
            </w:r>
          </w:p>
        </w:tc>
        <w:tc>
          <w:tcPr>
            <w:tcW w:w="0" w:type="auto"/>
            <w:shd w:val="clear" w:color="auto" w:fill="auto"/>
            <w:noWrap/>
            <w:vAlign w:val="bottom"/>
            <w:hideMark/>
          </w:tcPr>
          <w:p w:rsidR="00723E1E" w:rsidRPr="00990C3F" w:rsidRDefault="00723E1E" w:rsidP="00990C3F">
            <w:pPr>
              <w:spacing w:after="0" w:line="240" w:lineRule="auto"/>
              <w:jc w:val="both"/>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30,6%</w:t>
            </w:r>
          </w:p>
        </w:tc>
        <w:tc>
          <w:tcPr>
            <w:tcW w:w="0" w:type="auto"/>
            <w:shd w:val="clear" w:color="auto" w:fill="auto"/>
            <w:noWrap/>
            <w:vAlign w:val="bottom"/>
            <w:hideMark/>
          </w:tcPr>
          <w:p w:rsidR="00723E1E" w:rsidRPr="00990C3F" w:rsidRDefault="00723E1E" w:rsidP="00990C3F">
            <w:pPr>
              <w:spacing w:after="0" w:line="240" w:lineRule="auto"/>
              <w:jc w:val="both"/>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31,2%</w:t>
            </w:r>
          </w:p>
        </w:tc>
        <w:tc>
          <w:tcPr>
            <w:tcW w:w="0" w:type="auto"/>
            <w:shd w:val="clear" w:color="auto" w:fill="auto"/>
            <w:noWrap/>
            <w:vAlign w:val="bottom"/>
            <w:hideMark/>
          </w:tcPr>
          <w:p w:rsidR="00723E1E" w:rsidRPr="00990C3F" w:rsidRDefault="00723E1E" w:rsidP="00990C3F">
            <w:pPr>
              <w:spacing w:after="0" w:line="240" w:lineRule="auto"/>
              <w:jc w:val="both"/>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31,2%</w:t>
            </w:r>
          </w:p>
        </w:tc>
        <w:tc>
          <w:tcPr>
            <w:tcW w:w="0" w:type="auto"/>
            <w:shd w:val="clear" w:color="auto" w:fill="auto"/>
            <w:noWrap/>
            <w:vAlign w:val="bottom"/>
            <w:hideMark/>
          </w:tcPr>
          <w:p w:rsidR="00723E1E" w:rsidRPr="00990C3F" w:rsidRDefault="00723E1E" w:rsidP="00990C3F">
            <w:pPr>
              <w:spacing w:after="0" w:line="240" w:lineRule="auto"/>
              <w:jc w:val="both"/>
              <w:rPr>
                <w:rFonts w:ascii="Times New Roman" w:eastAsia="Times New Roman" w:hAnsi="Times New Roman"/>
                <w:sz w:val="20"/>
                <w:szCs w:val="20"/>
                <w:lang w:eastAsia="pt-BR"/>
              </w:rPr>
            </w:pPr>
            <w:r w:rsidRPr="00990C3F">
              <w:rPr>
                <w:rFonts w:ascii="Times New Roman" w:eastAsia="Times New Roman" w:hAnsi="Times New Roman"/>
                <w:sz w:val="20"/>
                <w:szCs w:val="20"/>
                <w:lang w:eastAsia="pt-BR"/>
              </w:rPr>
              <w:t>31,0%</w:t>
            </w:r>
          </w:p>
        </w:tc>
        <w:tc>
          <w:tcPr>
            <w:tcW w:w="1438" w:type="dxa"/>
            <w:vAlign w:val="bottom"/>
          </w:tcPr>
          <w:p w:rsidR="00723E1E" w:rsidRPr="00990C3F" w:rsidRDefault="00723E1E" w:rsidP="00990C3F">
            <w:pPr>
              <w:spacing w:after="0" w:line="240" w:lineRule="auto"/>
              <w:jc w:val="center"/>
              <w:rPr>
                <w:rFonts w:ascii="Times New Roman" w:eastAsia="Times New Roman" w:hAnsi="Times New Roman"/>
                <w:sz w:val="20"/>
                <w:szCs w:val="20"/>
                <w:lang w:eastAsia="pt-BR"/>
              </w:rPr>
            </w:pPr>
          </w:p>
        </w:tc>
      </w:tr>
    </w:tbl>
    <w:p w:rsidR="00990C3F" w:rsidRPr="0092372B" w:rsidRDefault="00990C3F" w:rsidP="00990C3F">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 2022b. PNAD</w:t>
      </w:r>
      <w:r>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 2022.</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Na região, a proporção de jovens que não estão ocupados, mas frequentam escolas representava</w:t>
      </w:r>
      <w:r w:rsidR="00990C3F">
        <w:rPr>
          <w:rFonts w:ascii="Times New Roman" w:hAnsi="Times New Roman"/>
          <w:sz w:val="24"/>
          <w:szCs w:val="24"/>
          <w:shd w:val="clear" w:color="auto" w:fill="FFFFFF"/>
        </w:rPr>
        <w:t>m</w:t>
      </w:r>
      <w:r w:rsidRPr="0061769D">
        <w:rPr>
          <w:rFonts w:ascii="Times New Roman" w:hAnsi="Times New Roman"/>
          <w:sz w:val="24"/>
          <w:szCs w:val="24"/>
          <w:shd w:val="clear" w:color="auto" w:fill="FFFFFF"/>
        </w:rPr>
        <w:t xml:space="preserve"> em média 31% entre os anos de 2016 a 2019. Segundo os dados do IBGE (2022</w:t>
      </w:r>
      <w:r w:rsidR="00990C3F">
        <w:rPr>
          <w:rFonts w:ascii="Times New Roman" w:hAnsi="Times New Roman"/>
          <w:sz w:val="24"/>
          <w:szCs w:val="24"/>
          <w:shd w:val="clear" w:color="auto" w:fill="FFFFFF"/>
        </w:rPr>
        <w:t>b</w:t>
      </w:r>
      <w:r w:rsidRPr="0061769D">
        <w:rPr>
          <w:rFonts w:ascii="Times New Roman" w:hAnsi="Times New Roman"/>
          <w:sz w:val="24"/>
          <w:szCs w:val="24"/>
          <w:shd w:val="clear" w:color="auto" w:fill="FFFFFF"/>
        </w:rPr>
        <w:t>), o quantitativo de jovens que só estudava no Brasil, no período, caiu -4%, enquanto que no Nordeste esse dado aumentou em 1%, conforme pode ser visto na tabela 7. Apesar desse aumento, muitos estados apresentaram queda, como o Rio Grande do Norte (-7%), Alagoas (-6%), Paraíba (-3%) e Ceará (-1%). Enquanto que Sergipe, Pernambuco e Piauí se mantiveram inalterados (0%), já o Maranhão e a Bahia cresceram 6%.</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Até o momento não foi possível concluir os fatores que podem ter provocado o uma redução de -6% no quantitativo de jovens que trabalham e estudam na região (dados da tabela 5), pois, a dedicação exclusiva aos estudos (dados da tabela 7) cresceu apenas 1% e a dedicação apenas ao trabalho (dados da tabela 6) caiu -6%. Porém, ainda faltam outras variáveis para entender esse comportamento.</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É nesse sentido que a tabela 8 vem apresentando os dados da população jovem que não está ocupada e também não está frequentando escola. Esses dados demonstram o comportamento de um segmento ‘residual’ dessa população denominada de Nem Nem</w:t>
      </w:r>
      <w:r w:rsidRPr="0061769D">
        <w:rPr>
          <w:rFonts w:ascii="Times New Roman" w:hAnsi="Times New Roman"/>
          <w:sz w:val="24"/>
          <w:szCs w:val="24"/>
          <w:vertAlign w:val="superscript"/>
        </w:rPr>
        <w:footnoteReference w:id="2"/>
      </w:r>
      <w:r w:rsidRPr="0061769D">
        <w:rPr>
          <w:rFonts w:ascii="Times New Roman" w:hAnsi="Times New Roman"/>
          <w:sz w:val="24"/>
          <w:szCs w:val="24"/>
          <w:shd w:val="clear" w:color="auto" w:fill="FFFFFF"/>
        </w:rPr>
        <w:t xml:space="preserve">, ou seja, jovens que nem estuda, nem trabalha, nem se capacita e nem procura emprego. No Brasil, o estudo sobre a evolução deste grupo específico começou a ser investigado mais detidamente a partir de 2006, por Camarano (COSTA, ROCHA E SILVA, 2018 E SUIRON, 2017). O trabalho de Camarano atestava que, na época, o perfil desses jovens constituía-se, em sua maioria, por mulheres jovens, jovens negros, de baixa escolaridade, localizados em </w:t>
      </w:r>
      <w:r w:rsidRPr="0061769D">
        <w:rPr>
          <w:rFonts w:ascii="Times New Roman" w:hAnsi="Times New Roman"/>
          <w:sz w:val="24"/>
          <w:szCs w:val="24"/>
          <w:shd w:val="clear" w:color="auto" w:fill="FFFFFF"/>
        </w:rPr>
        <w:lastRenderedPageBreak/>
        <w:t>zonas rurais e que viviam em domicílios com maior número de crianças e com chefes de família de baixa escolaridade. Costa, Rocha e Silva (2018, p.98) constataram que a heterogeneidade e desigualdade regional brasileira implicam traços fortes na determinação do destino dos jovens, inclusive os Nem Nem, pois “Os jovens brasileiros com maior probabilidade de serem ‘Nem Nem’ são aqueles de baixa renda, que apresentam maior atraso escolar, vivem em áreas rurais e nas regiões centro-oeste, nordeste e norte do país”.</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 xml:space="preserve">Assim, chama a atenção a proporção de jovens no Nordeste que nem estudam, nem trabalham e nem procuram emprego, com média de 28,5% no período. Essa média é aproximadamente equivalente a proporção de jovens que só estudam (tabela 7) e dos que trabalham e estudam (tabela 5). </w:t>
      </w:r>
      <w:r w:rsidR="00C57B01">
        <w:rPr>
          <w:rFonts w:ascii="Times New Roman" w:hAnsi="Times New Roman"/>
          <w:sz w:val="24"/>
          <w:szCs w:val="24"/>
          <w:shd w:val="clear" w:color="auto" w:fill="FFFFFF"/>
        </w:rPr>
        <w:t>A tabela 8, abaixo, mostra que no</w:t>
      </w:r>
      <w:r w:rsidRPr="0061769D">
        <w:rPr>
          <w:rFonts w:ascii="Times New Roman" w:hAnsi="Times New Roman"/>
          <w:sz w:val="24"/>
          <w:szCs w:val="24"/>
          <w:shd w:val="clear" w:color="auto" w:fill="FFFFFF"/>
        </w:rPr>
        <w:t xml:space="preserve"> período selecionado o quantitativ</w:t>
      </w:r>
      <w:r w:rsidR="00C57B01">
        <w:rPr>
          <w:rFonts w:ascii="Times New Roman" w:hAnsi="Times New Roman"/>
          <w:sz w:val="24"/>
          <w:szCs w:val="24"/>
          <w:shd w:val="clear" w:color="auto" w:fill="FFFFFF"/>
        </w:rPr>
        <w:t>o cresceu 1%, mas estados como</w:t>
      </w:r>
      <w:r w:rsidRPr="0061769D">
        <w:rPr>
          <w:rFonts w:ascii="Times New Roman" w:hAnsi="Times New Roman"/>
          <w:sz w:val="24"/>
          <w:szCs w:val="24"/>
          <w:shd w:val="clear" w:color="auto" w:fill="FFFFFF"/>
        </w:rPr>
        <w:t xml:space="preserve"> Ceará (-13%) e Paraíba (-6%) apresentaram queda. Já Pernambuco não mudou essa condição d</w:t>
      </w:r>
      <w:r w:rsidR="00C57B01">
        <w:rPr>
          <w:rFonts w:ascii="Times New Roman" w:hAnsi="Times New Roman"/>
          <w:sz w:val="24"/>
          <w:szCs w:val="24"/>
          <w:shd w:val="clear" w:color="auto" w:fill="FFFFFF"/>
        </w:rPr>
        <w:t>o</w:t>
      </w:r>
      <w:r w:rsidRPr="0061769D">
        <w:rPr>
          <w:rFonts w:ascii="Times New Roman" w:hAnsi="Times New Roman"/>
          <w:sz w:val="24"/>
          <w:szCs w:val="24"/>
          <w:shd w:val="clear" w:color="auto" w:fill="FFFFFF"/>
        </w:rPr>
        <w:t>s jovens (0%), e os demais estados: Piauí (7%), Paraíba, Sergipe e Alagoas (4% ambos) e Bahia (1%) apres</w:t>
      </w:r>
      <w:r w:rsidR="00C57B01">
        <w:rPr>
          <w:rFonts w:ascii="Times New Roman" w:hAnsi="Times New Roman"/>
          <w:sz w:val="24"/>
          <w:szCs w:val="24"/>
          <w:shd w:val="clear" w:color="auto" w:fill="FFFFFF"/>
        </w:rPr>
        <w:t>entaram aumento</w:t>
      </w:r>
      <w:r w:rsidRPr="0061769D">
        <w:rPr>
          <w:rFonts w:ascii="Times New Roman" w:hAnsi="Times New Roman"/>
          <w:sz w:val="24"/>
          <w:szCs w:val="24"/>
          <w:shd w:val="clear" w:color="auto" w:fill="FFFFFF"/>
        </w:rPr>
        <w:t>.</w:t>
      </w:r>
    </w:p>
    <w:p w:rsidR="00723E1E" w:rsidRPr="0061769D" w:rsidRDefault="00723E1E" w:rsidP="00C57B01">
      <w:pPr>
        <w:spacing w:line="240" w:lineRule="auto"/>
        <w:jc w:val="center"/>
        <w:rPr>
          <w:rFonts w:ascii="Times New Roman" w:hAnsi="Times New Roman"/>
          <w:sz w:val="24"/>
          <w:szCs w:val="24"/>
          <w:shd w:val="clear" w:color="auto" w:fill="FFFFFF"/>
        </w:rPr>
      </w:pPr>
      <w:r w:rsidRPr="00C57B01">
        <w:rPr>
          <w:rFonts w:ascii="Times New Roman" w:hAnsi="Times New Roman"/>
          <w:b/>
          <w:sz w:val="24"/>
          <w:szCs w:val="24"/>
          <w:shd w:val="clear" w:color="auto" w:fill="FFFFFF"/>
        </w:rPr>
        <w:t>Tabela 8.</w:t>
      </w:r>
      <w:r w:rsidRPr="00C57B01">
        <w:rPr>
          <w:rFonts w:ascii="Times New Roman" w:hAnsi="Times New Roman"/>
          <w:sz w:val="24"/>
          <w:szCs w:val="24"/>
          <w:shd w:val="clear" w:color="auto" w:fill="FFFFFF"/>
        </w:rPr>
        <w:t xml:space="preserve"> Nordeste: População de 15 a 29 anos de idade não ocupadas e não frequentando</w:t>
      </w:r>
      <w:r w:rsidRPr="0061769D">
        <w:rPr>
          <w:rFonts w:ascii="Times New Roman" w:hAnsi="Times New Roman"/>
          <w:sz w:val="24"/>
          <w:szCs w:val="24"/>
          <w:shd w:val="clear" w:color="auto" w:fill="FFFFFF"/>
        </w:rPr>
        <w:t xml:space="preserve"> escola, cursos pré-vestibular, técnico de nível médio ou qualificação profissional (2016-2019)</w:t>
      </w:r>
    </w:p>
    <w:tbl>
      <w:tblPr>
        <w:tblW w:w="0" w:type="auto"/>
        <w:jc w:val="center"/>
        <w:tblInd w:w="57" w:type="dxa"/>
        <w:tblBorders>
          <w:top w:val="single" w:sz="4" w:space="0" w:color="auto"/>
          <w:bottom w:val="single" w:sz="4" w:space="0" w:color="auto"/>
        </w:tblBorders>
        <w:tblCellMar>
          <w:left w:w="70" w:type="dxa"/>
          <w:right w:w="70" w:type="dxa"/>
        </w:tblCellMar>
        <w:tblLook w:val="04A0"/>
      </w:tblPr>
      <w:tblGrid>
        <w:gridCol w:w="1823"/>
        <w:gridCol w:w="657"/>
        <w:gridCol w:w="657"/>
        <w:gridCol w:w="657"/>
        <w:gridCol w:w="657"/>
        <w:gridCol w:w="1501"/>
        <w:gridCol w:w="146"/>
      </w:tblGrid>
      <w:tr w:rsidR="00723E1E" w:rsidRPr="00C57B01" w:rsidTr="00752D3C">
        <w:trPr>
          <w:gridAfter w:val="1"/>
          <w:trHeight w:val="288"/>
          <w:jc w:val="center"/>
        </w:trPr>
        <w:tc>
          <w:tcPr>
            <w:tcW w:w="0" w:type="auto"/>
            <w:gridSpan w:val="5"/>
            <w:tcBorders>
              <w:top w:val="single" w:sz="4" w:space="0" w:color="auto"/>
              <w:bottom w:val="single" w:sz="4" w:space="0" w:color="auto"/>
            </w:tcBorders>
            <w:shd w:val="clear" w:color="auto" w:fill="auto"/>
            <w:noWrap/>
            <w:vAlign w:val="bottom"/>
            <w:hideMark/>
          </w:tcPr>
          <w:p w:rsidR="00723E1E" w:rsidRPr="00C57B01" w:rsidRDefault="00723E1E" w:rsidP="00C57B01">
            <w:pPr>
              <w:spacing w:after="0" w:line="240" w:lineRule="auto"/>
              <w:jc w:val="center"/>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Jovens que não estudam, nem trabalham (em mil)</w:t>
            </w:r>
          </w:p>
        </w:tc>
        <w:tc>
          <w:tcPr>
            <w:tcW w:w="0" w:type="auto"/>
            <w:tcBorders>
              <w:top w:val="single" w:sz="4" w:space="0" w:color="auto"/>
              <w:bottom w:val="single" w:sz="4" w:space="0" w:color="auto"/>
            </w:tcBorders>
            <w:vAlign w:val="bottom"/>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Crescimento (%)</w:t>
            </w:r>
          </w:p>
        </w:tc>
      </w:tr>
      <w:tr w:rsidR="00723E1E" w:rsidRPr="00C57B01" w:rsidTr="00752D3C">
        <w:trPr>
          <w:trHeight w:val="288"/>
          <w:jc w:val="center"/>
        </w:trPr>
        <w:tc>
          <w:tcPr>
            <w:tcW w:w="0" w:type="auto"/>
            <w:tcBorders>
              <w:top w:val="single" w:sz="4" w:space="0" w:color="auto"/>
              <w:bottom w:val="single" w:sz="4" w:space="0" w:color="auto"/>
            </w:tcBorders>
            <w:shd w:val="clear" w:color="auto" w:fill="auto"/>
            <w:noWrap/>
            <w:vAlign w:val="bottom"/>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Estado</w:t>
            </w:r>
          </w:p>
        </w:tc>
        <w:tc>
          <w:tcPr>
            <w:tcW w:w="0" w:type="auto"/>
            <w:tcBorders>
              <w:top w:val="single" w:sz="4" w:space="0" w:color="auto"/>
              <w:bottom w:val="single" w:sz="4" w:space="0" w:color="auto"/>
            </w:tcBorders>
            <w:shd w:val="clear" w:color="auto" w:fill="auto"/>
            <w:noWrap/>
            <w:vAlign w:val="bottom"/>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2016</w:t>
            </w:r>
          </w:p>
        </w:tc>
        <w:tc>
          <w:tcPr>
            <w:tcW w:w="0" w:type="auto"/>
            <w:tcBorders>
              <w:top w:val="single" w:sz="4" w:space="0" w:color="auto"/>
              <w:bottom w:val="single" w:sz="4" w:space="0" w:color="auto"/>
            </w:tcBorders>
            <w:shd w:val="clear" w:color="auto" w:fill="auto"/>
            <w:noWrap/>
            <w:vAlign w:val="bottom"/>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2017</w:t>
            </w:r>
          </w:p>
        </w:tc>
        <w:tc>
          <w:tcPr>
            <w:tcW w:w="0" w:type="auto"/>
            <w:tcBorders>
              <w:top w:val="single" w:sz="4" w:space="0" w:color="auto"/>
              <w:bottom w:val="single" w:sz="4" w:space="0" w:color="auto"/>
            </w:tcBorders>
            <w:shd w:val="clear" w:color="auto" w:fill="auto"/>
            <w:noWrap/>
            <w:vAlign w:val="bottom"/>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2018</w:t>
            </w:r>
          </w:p>
        </w:tc>
        <w:tc>
          <w:tcPr>
            <w:tcW w:w="0" w:type="auto"/>
            <w:tcBorders>
              <w:top w:val="single" w:sz="4" w:space="0" w:color="auto"/>
              <w:bottom w:val="single" w:sz="4" w:space="0" w:color="auto"/>
            </w:tcBorders>
            <w:shd w:val="clear" w:color="auto" w:fill="auto"/>
            <w:noWrap/>
            <w:vAlign w:val="bottom"/>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2019</w:t>
            </w:r>
          </w:p>
        </w:tc>
        <w:tc>
          <w:tcPr>
            <w:tcW w:w="0" w:type="auto"/>
            <w:tcBorders>
              <w:top w:val="single" w:sz="4" w:space="0" w:color="auto"/>
              <w:bottom w:val="single" w:sz="4" w:space="0" w:color="auto"/>
            </w:tcBorders>
            <w:vAlign w:val="bottom"/>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2016-2019</w:t>
            </w:r>
          </w:p>
        </w:tc>
        <w:tc>
          <w:tcPr>
            <w:tcW w:w="0" w:type="auto"/>
            <w:vAlign w:val="bottom"/>
          </w:tcPr>
          <w:p w:rsidR="00723E1E" w:rsidRPr="00C57B01" w:rsidRDefault="00723E1E" w:rsidP="00C57B01">
            <w:pPr>
              <w:spacing w:after="0" w:line="240" w:lineRule="auto"/>
              <w:jc w:val="right"/>
              <w:rPr>
                <w:rFonts w:ascii="Times New Roman" w:eastAsia="Times New Roman" w:hAnsi="Times New Roman"/>
                <w:sz w:val="20"/>
                <w:szCs w:val="20"/>
                <w:lang w:eastAsia="pt-BR"/>
              </w:rPr>
            </w:pPr>
          </w:p>
        </w:tc>
      </w:tr>
      <w:tr w:rsidR="00723E1E" w:rsidRPr="00C57B01" w:rsidTr="00752D3C">
        <w:trPr>
          <w:gridAfter w:val="1"/>
          <w:trHeight w:val="288"/>
          <w:jc w:val="center"/>
        </w:trPr>
        <w:tc>
          <w:tcPr>
            <w:tcW w:w="0" w:type="auto"/>
            <w:tcBorders>
              <w:top w:val="single" w:sz="4" w:space="0" w:color="auto"/>
            </w:tcBorders>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Maranhão</w:t>
            </w:r>
          </w:p>
        </w:tc>
        <w:tc>
          <w:tcPr>
            <w:tcW w:w="0" w:type="auto"/>
            <w:tcBorders>
              <w:top w:val="single" w:sz="4" w:space="0" w:color="auto"/>
            </w:tcBorders>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504</w:t>
            </w:r>
          </w:p>
        </w:tc>
        <w:tc>
          <w:tcPr>
            <w:tcW w:w="0" w:type="auto"/>
            <w:tcBorders>
              <w:top w:val="single" w:sz="4" w:space="0" w:color="auto"/>
            </w:tcBorders>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558</w:t>
            </w:r>
          </w:p>
        </w:tc>
        <w:tc>
          <w:tcPr>
            <w:tcW w:w="0" w:type="auto"/>
            <w:tcBorders>
              <w:top w:val="single" w:sz="4" w:space="0" w:color="auto"/>
            </w:tcBorders>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583</w:t>
            </w:r>
          </w:p>
        </w:tc>
        <w:tc>
          <w:tcPr>
            <w:tcW w:w="0" w:type="auto"/>
            <w:tcBorders>
              <w:top w:val="single" w:sz="4" w:space="0" w:color="auto"/>
            </w:tcBorders>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591</w:t>
            </w:r>
          </w:p>
        </w:tc>
        <w:tc>
          <w:tcPr>
            <w:tcW w:w="0" w:type="auto"/>
            <w:tcBorders>
              <w:top w:val="single" w:sz="4" w:space="0" w:color="auto"/>
            </w:tcBorders>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17</w:t>
            </w:r>
          </w:p>
        </w:tc>
      </w:tr>
      <w:tr w:rsidR="00723E1E" w:rsidRPr="00C57B01" w:rsidTr="00752D3C">
        <w:trPr>
          <w:gridAfter w:val="1"/>
          <w:trHeight w:val="288"/>
          <w:jc w:val="center"/>
        </w:trPr>
        <w:tc>
          <w:tcPr>
            <w:tcW w:w="0" w:type="auto"/>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-Piauí</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183</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204</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202</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195</w:t>
            </w:r>
          </w:p>
        </w:tc>
        <w:tc>
          <w:tcPr>
            <w:tcW w:w="0" w:type="auto"/>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7</w:t>
            </w:r>
          </w:p>
        </w:tc>
      </w:tr>
      <w:tr w:rsidR="00723E1E" w:rsidRPr="00C57B01" w:rsidTr="00752D3C">
        <w:trPr>
          <w:gridAfter w:val="1"/>
          <w:trHeight w:val="288"/>
          <w:jc w:val="center"/>
        </w:trPr>
        <w:tc>
          <w:tcPr>
            <w:tcW w:w="0" w:type="auto"/>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Ceará</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642</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676</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642</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561</w:t>
            </w:r>
          </w:p>
        </w:tc>
        <w:tc>
          <w:tcPr>
            <w:tcW w:w="0" w:type="auto"/>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-13</w:t>
            </w:r>
          </w:p>
        </w:tc>
      </w:tr>
      <w:tr w:rsidR="00723E1E" w:rsidRPr="00C57B01" w:rsidTr="00752D3C">
        <w:trPr>
          <w:gridAfter w:val="1"/>
          <w:trHeight w:val="288"/>
          <w:jc w:val="center"/>
        </w:trPr>
        <w:tc>
          <w:tcPr>
            <w:tcW w:w="0" w:type="auto"/>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Rio Grande do Norte</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208</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219</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233</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196</w:t>
            </w:r>
          </w:p>
        </w:tc>
        <w:tc>
          <w:tcPr>
            <w:tcW w:w="0" w:type="auto"/>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-6</w:t>
            </w:r>
          </w:p>
        </w:tc>
      </w:tr>
      <w:tr w:rsidR="00723E1E" w:rsidRPr="00C57B01" w:rsidTr="00752D3C">
        <w:trPr>
          <w:gridAfter w:val="1"/>
          <w:trHeight w:val="288"/>
          <w:jc w:val="center"/>
        </w:trPr>
        <w:tc>
          <w:tcPr>
            <w:tcW w:w="0" w:type="auto"/>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Paraíba</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247</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255</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246</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256</w:t>
            </w:r>
          </w:p>
        </w:tc>
        <w:tc>
          <w:tcPr>
            <w:tcW w:w="0" w:type="auto"/>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4</w:t>
            </w:r>
          </w:p>
        </w:tc>
      </w:tr>
      <w:tr w:rsidR="00723E1E" w:rsidRPr="00C57B01" w:rsidTr="00752D3C">
        <w:trPr>
          <w:gridAfter w:val="1"/>
          <w:trHeight w:val="288"/>
          <w:jc w:val="center"/>
        </w:trPr>
        <w:tc>
          <w:tcPr>
            <w:tcW w:w="0" w:type="auto"/>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Pernambuco</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655</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717</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652</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658</w:t>
            </w:r>
          </w:p>
        </w:tc>
        <w:tc>
          <w:tcPr>
            <w:tcW w:w="0" w:type="auto"/>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0</w:t>
            </w:r>
          </w:p>
        </w:tc>
      </w:tr>
      <w:tr w:rsidR="00723E1E" w:rsidRPr="00C57B01" w:rsidTr="00752D3C">
        <w:trPr>
          <w:gridAfter w:val="1"/>
          <w:trHeight w:val="288"/>
          <w:jc w:val="center"/>
        </w:trPr>
        <w:tc>
          <w:tcPr>
            <w:tcW w:w="0" w:type="auto"/>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Alagoas</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255</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290</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299</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265</w:t>
            </w:r>
          </w:p>
        </w:tc>
        <w:tc>
          <w:tcPr>
            <w:tcW w:w="0" w:type="auto"/>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4</w:t>
            </w:r>
          </w:p>
        </w:tc>
      </w:tr>
      <w:tr w:rsidR="00723E1E" w:rsidRPr="00C57B01" w:rsidTr="00752D3C">
        <w:trPr>
          <w:gridAfter w:val="1"/>
          <w:trHeight w:val="288"/>
          <w:jc w:val="center"/>
        </w:trPr>
        <w:tc>
          <w:tcPr>
            <w:tcW w:w="0" w:type="auto"/>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Sergipe</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142</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145</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163</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148</w:t>
            </w:r>
          </w:p>
        </w:tc>
        <w:tc>
          <w:tcPr>
            <w:tcW w:w="0" w:type="auto"/>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4</w:t>
            </w:r>
          </w:p>
        </w:tc>
      </w:tr>
      <w:tr w:rsidR="00723E1E" w:rsidRPr="00C57B01" w:rsidTr="00752D3C">
        <w:trPr>
          <w:gridAfter w:val="1"/>
          <w:trHeight w:val="288"/>
          <w:jc w:val="center"/>
        </w:trPr>
        <w:tc>
          <w:tcPr>
            <w:tcW w:w="0" w:type="auto"/>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Bahia</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853</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973</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962</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866</w:t>
            </w:r>
          </w:p>
        </w:tc>
        <w:tc>
          <w:tcPr>
            <w:tcW w:w="0" w:type="auto"/>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w:t>
            </w:r>
          </w:p>
        </w:tc>
      </w:tr>
      <w:tr w:rsidR="00723E1E" w:rsidRPr="00C57B01" w:rsidTr="00752D3C">
        <w:trPr>
          <w:gridAfter w:val="1"/>
          <w:trHeight w:val="288"/>
          <w:jc w:val="center"/>
        </w:trPr>
        <w:tc>
          <w:tcPr>
            <w:tcW w:w="0" w:type="auto"/>
            <w:shd w:val="clear" w:color="auto" w:fill="auto"/>
            <w:noWrap/>
            <w:vAlign w:val="center"/>
            <w:hideMark/>
          </w:tcPr>
          <w:p w:rsidR="00723E1E" w:rsidRPr="00C57B01" w:rsidRDefault="00723E1E" w:rsidP="00C57B01">
            <w:pPr>
              <w:spacing w:after="0" w:line="240" w:lineRule="auto"/>
              <w:rPr>
                <w:rFonts w:ascii="Times New Roman" w:eastAsia="Times New Roman" w:hAnsi="Times New Roman"/>
                <w:b/>
                <w:bCs/>
                <w:sz w:val="20"/>
                <w:szCs w:val="20"/>
                <w:lang w:eastAsia="pt-BR"/>
              </w:rPr>
            </w:pPr>
            <w:r w:rsidRPr="00C57B01">
              <w:rPr>
                <w:rFonts w:ascii="Times New Roman" w:eastAsia="Times New Roman" w:hAnsi="Times New Roman"/>
                <w:b/>
                <w:bCs/>
                <w:sz w:val="20"/>
                <w:szCs w:val="20"/>
                <w:lang w:eastAsia="pt-BR"/>
              </w:rPr>
              <w:t>Nordeste</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b/>
                <w:bCs/>
                <w:sz w:val="20"/>
                <w:szCs w:val="20"/>
                <w:lang w:eastAsia="pt-BR"/>
              </w:rPr>
            </w:pPr>
            <w:r w:rsidRPr="00C57B01">
              <w:rPr>
                <w:rFonts w:ascii="Times New Roman" w:eastAsia="Times New Roman" w:hAnsi="Times New Roman"/>
                <w:b/>
                <w:bCs/>
                <w:sz w:val="20"/>
                <w:szCs w:val="20"/>
                <w:lang w:eastAsia="pt-BR"/>
              </w:rPr>
              <w:t>3689</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b/>
                <w:bCs/>
                <w:sz w:val="20"/>
                <w:szCs w:val="20"/>
                <w:lang w:eastAsia="pt-BR"/>
              </w:rPr>
            </w:pPr>
            <w:r w:rsidRPr="00C57B01">
              <w:rPr>
                <w:rFonts w:ascii="Times New Roman" w:eastAsia="Times New Roman" w:hAnsi="Times New Roman"/>
                <w:b/>
                <w:bCs/>
                <w:sz w:val="20"/>
                <w:szCs w:val="20"/>
                <w:lang w:eastAsia="pt-BR"/>
              </w:rPr>
              <w:t>4037</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b/>
                <w:bCs/>
                <w:sz w:val="20"/>
                <w:szCs w:val="20"/>
                <w:lang w:eastAsia="pt-BR"/>
              </w:rPr>
            </w:pPr>
            <w:r w:rsidRPr="00C57B01">
              <w:rPr>
                <w:rFonts w:ascii="Times New Roman" w:eastAsia="Times New Roman" w:hAnsi="Times New Roman"/>
                <w:b/>
                <w:bCs/>
                <w:sz w:val="20"/>
                <w:szCs w:val="20"/>
                <w:lang w:eastAsia="pt-BR"/>
              </w:rPr>
              <w:t>3982</w:t>
            </w:r>
          </w:p>
        </w:tc>
        <w:tc>
          <w:tcPr>
            <w:tcW w:w="0" w:type="auto"/>
            <w:shd w:val="clear" w:color="auto" w:fill="auto"/>
            <w:noWrap/>
            <w:vAlign w:val="center"/>
            <w:hideMark/>
          </w:tcPr>
          <w:p w:rsidR="00723E1E" w:rsidRPr="00C57B01" w:rsidRDefault="00723E1E" w:rsidP="00C57B01">
            <w:pPr>
              <w:spacing w:after="0" w:line="240" w:lineRule="auto"/>
              <w:jc w:val="right"/>
              <w:rPr>
                <w:rFonts w:ascii="Times New Roman" w:eastAsia="Times New Roman" w:hAnsi="Times New Roman"/>
                <w:b/>
                <w:bCs/>
                <w:sz w:val="20"/>
                <w:szCs w:val="20"/>
                <w:lang w:eastAsia="pt-BR"/>
              </w:rPr>
            </w:pPr>
            <w:r w:rsidRPr="00C57B01">
              <w:rPr>
                <w:rFonts w:ascii="Times New Roman" w:eastAsia="Times New Roman" w:hAnsi="Times New Roman"/>
                <w:b/>
                <w:bCs/>
                <w:sz w:val="20"/>
                <w:szCs w:val="20"/>
                <w:lang w:eastAsia="pt-BR"/>
              </w:rPr>
              <w:t>3736</w:t>
            </w:r>
          </w:p>
        </w:tc>
        <w:tc>
          <w:tcPr>
            <w:tcW w:w="0" w:type="auto"/>
          </w:tcPr>
          <w:p w:rsidR="00723E1E" w:rsidRPr="00C57B01" w:rsidRDefault="00723E1E" w:rsidP="00C57B01">
            <w:pPr>
              <w:spacing w:after="0" w:line="240" w:lineRule="auto"/>
              <w:jc w:val="right"/>
              <w:rPr>
                <w:rFonts w:ascii="Times New Roman" w:eastAsia="Times New Roman" w:hAnsi="Times New Roman"/>
                <w:b/>
                <w:bCs/>
                <w:sz w:val="20"/>
                <w:szCs w:val="20"/>
                <w:lang w:eastAsia="pt-BR"/>
              </w:rPr>
            </w:pPr>
            <w:r w:rsidRPr="00C57B01">
              <w:rPr>
                <w:rFonts w:ascii="Times New Roman" w:eastAsia="Times New Roman" w:hAnsi="Times New Roman"/>
                <w:b/>
                <w:bCs/>
                <w:sz w:val="20"/>
                <w:szCs w:val="20"/>
                <w:lang w:eastAsia="pt-BR"/>
              </w:rPr>
              <w:t>1</w:t>
            </w:r>
          </w:p>
        </w:tc>
      </w:tr>
      <w:tr w:rsidR="00723E1E" w:rsidRPr="00C57B01" w:rsidTr="00752D3C">
        <w:trPr>
          <w:gridAfter w:val="1"/>
          <w:trHeight w:val="288"/>
          <w:jc w:val="center"/>
        </w:trPr>
        <w:tc>
          <w:tcPr>
            <w:tcW w:w="0" w:type="auto"/>
            <w:shd w:val="clear" w:color="auto" w:fill="auto"/>
            <w:noWrap/>
            <w:vAlign w:val="bottom"/>
            <w:hideMark/>
          </w:tcPr>
          <w:p w:rsidR="00723E1E" w:rsidRPr="00C57B01" w:rsidRDefault="00723E1E" w:rsidP="00C57B01">
            <w:pPr>
              <w:spacing w:after="0" w:line="240" w:lineRule="auto"/>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Proporção NE</w:t>
            </w:r>
          </w:p>
        </w:tc>
        <w:tc>
          <w:tcPr>
            <w:tcW w:w="0" w:type="auto"/>
            <w:shd w:val="clear" w:color="auto" w:fill="auto"/>
            <w:noWrap/>
            <w:vAlign w:val="bottom"/>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27,2%</w:t>
            </w:r>
          </w:p>
        </w:tc>
        <w:tc>
          <w:tcPr>
            <w:tcW w:w="0" w:type="auto"/>
            <w:shd w:val="clear" w:color="auto" w:fill="auto"/>
            <w:noWrap/>
            <w:vAlign w:val="bottom"/>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29,3%</w:t>
            </w:r>
          </w:p>
        </w:tc>
        <w:tc>
          <w:tcPr>
            <w:tcW w:w="0" w:type="auto"/>
            <w:shd w:val="clear" w:color="auto" w:fill="auto"/>
            <w:noWrap/>
            <w:vAlign w:val="bottom"/>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29,4%</w:t>
            </w:r>
          </w:p>
        </w:tc>
        <w:tc>
          <w:tcPr>
            <w:tcW w:w="0" w:type="auto"/>
            <w:shd w:val="clear" w:color="auto" w:fill="auto"/>
            <w:noWrap/>
            <w:vAlign w:val="bottom"/>
            <w:hideMark/>
          </w:tcPr>
          <w:p w:rsidR="00723E1E" w:rsidRPr="00C57B01" w:rsidRDefault="00723E1E" w:rsidP="00C57B01">
            <w:pPr>
              <w:spacing w:after="0" w:line="240" w:lineRule="auto"/>
              <w:jc w:val="right"/>
              <w:rPr>
                <w:rFonts w:ascii="Times New Roman" w:eastAsia="Times New Roman" w:hAnsi="Times New Roman"/>
                <w:sz w:val="20"/>
                <w:szCs w:val="20"/>
                <w:lang w:eastAsia="pt-BR"/>
              </w:rPr>
            </w:pPr>
            <w:r w:rsidRPr="00C57B01">
              <w:rPr>
                <w:rFonts w:ascii="Times New Roman" w:eastAsia="Times New Roman" w:hAnsi="Times New Roman"/>
                <w:sz w:val="20"/>
                <w:szCs w:val="20"/>
                <w:lang w:eastAsia="pt-BR"/>
              </w:rPr>
              <w:t>28,1%</w:t>
            </w:r>
          </w:p>
        </w:tc>
        <w:tc>
          <w:tcPr>
            <w:tcW w:w="0" w:type="auto"/>
          </w:tcPr>
          <w:p w:rsidR="00723E1E" w:rsidRPr="00C57B01" w:rsidRDefault="00723E1E" w:rsidP="00C57B01">
            <w:pPr>
              <w:spacing w:after="0" w:line="240" w:lineRule="auto"/>
              <w:jc w:val="right"/>
              <w:rPr>
                <w:rFonts w:ascii="Times New Roman" w:eastAsia="Times New Roman" w:hAnsi="Times New Roman"/>
                <w:sz w:val="20"/>
                <w:szCs w:val="20"/>
                <w:lang w:eastAsia="pt-BR"/>
              </w:rPr>
            </w:pPr>
          </w:p>
        </w:tc>
      </w:tr>
    </w:tbl>
    <w:p w:rsidR="00C57B01" w:rsidRPr="0092372B" w:rsidRDefault="00C57B01" w:rsidP="00C57B01">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 2022b. PNAD</w:t>
      </w:r>
      <w:r>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 2022.</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Em nível nacional, o contingente dos jovens ‘Nem Nem’ representa 22,5% da força de trabalho jovem, que no período caiu -1% (IBGE, 2022</w:t>
      </w:r>
      <w:r w:rsidR="00C57B01">
        <w:rPr>
          <w:rFonts w:ascii="Times New Roman" w:hAnsi="Times New Roman"/>
          <w:sz w:val="24"/>
          <w:szCs w:val="24"/>
          <w:shd w:val="clear" w:color="auto" w:fill="FFFFFF"/>
        </w:rPr>
        <w:t>b</w:t>
      </w:r>
      <w:r w:rsidRPr="0061769D">
        <w:rPr>
          <w:rFonts w:ascii="Times New Roman" w:hAnsi="Times New Roman"/>
          <w:sz w:val="24"/>
          <w:szCs w:val="24"/>
          <w:shd w:val="clear" w:color="auto" w:fill="FFFFFF"/>
        </w:rPr>
        <w:t xml:space="preserve">), ao passo que caiu também a ocupação formal, seguida com o aumento das taxas de desocupação, subutilização informalidade e desemprego. É nesse caminho que Costa, Rocha e Silva (2018) afirmam que </w:t>
      </w:r>
      <w:r w:rsidRPr="0061769D">
        <w:rPr>
          <w:rFonts w:ascii="Times New Roman" w:hAnsi="Times New Roman"/>
          <w:sz w:val="24"/>
          <w:szCs w:val="24"/>
          <w:shd w:val="clear" w:color="auto" w:fill="FFFFFF"/>
        </w:rPr>
        <w:lastRenderedPageBreak/>
        <w:t>o termo Nem Nem (nem estuda, nem trabalha, nem procura emprego) se tornou controverso no Brasil a partir de estudos críticos, onde foi originado outro termo alternativo chamado de ‘Sem Sem’, que significa, ‘sem oportunidades de trabalho e educação’, em virtude de todo o cenário adverso que os mesmos têm atravessado em sua condição de ocupação no mercado de trabalho e acesso a educação.</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 xml:space="preserve">Ao se falar em falta de oportunidades no mercado de trabalho, também merece ser mencionada a taxa de desocupação dos jovens no período. Conforme vem evidenciado na tabela 9 a seguir, percebe-se que as taxas de desocupação dos jovens sempre se mantiveram elevadas no contexto da região Nordeste, em torno de 24,5% entre 2016-2019, mas há estados que apresentavam uma média bem maior, como é o caso da Bahia e Pernambuco (média de 27,4% ambos) e Alagoas (27,3%). Também destaca-se que a taxa de desocupação cresceu na maioria dos estados como Sergipe (5,9 p.p.), Maranhão (3,9 p. p.), Piauí (3,3 p.p.) e Alagoas (1,3 p.p.). Já para Ceará, Rio Grande do Norte Bahia e Paraíba praticamente não houve variação. Em contra partida apenas Pernambuco apresentou tendência </w:t>
      </w:r>
      <w:r w:rsidR="00DA4BA7">
        <w:rPr>
          <w:rFonts w:ascii="Times New Roman" w:hAnsi="Times New Roman"/>
          <w:sz w:val="24"/>
          <w:szCs w:val="24"/>
          <w:shd w:val="clear" w:color="auto" w:fill="FFFFFF"/>
        </w:rPr>
        <w:t>a queda com uma redução de -2,4 p.p</w:t>
      </w:r>
      <w:r w:rsidRPr="0061769D">
        <w:rPr>
          <w:rFonts w:ascii="Times New Roman" w:hAnsi="Times New Roman"/>
          <w:sz w:val="24"/>
          <w:szCs w:val="24"/>
          <w:shd w:val="clear" w:color="auto" w:fill="FFFFFF"/>
        </w:rPr>
        <w:t xml:space="preserve">, enquanto que no </w:t>
      </w:r>
      <w:r w:rsidR="00DA4BA7">
        <w:rPr>
          <w:rFonts w:ascii="Times New Roman" w:hAnsi="Times New Roman"/>
          <w:sz w:val="24"/>
          <w:szCs w:val="24"/>
          <w:shd w:val="clear" w:color="auto" w:fill="FFFFFF"/>
        </w:rPr>
        <w:t>Nordeste houve um aumento de 7,1</w:t>
      </w:r>
      <w:r w:rsidRPr="0061769D">
        <w:rPr>
          <w:rFonts w:ascii="Times New Roman" w:hAnsi="Times New Roman"/>
          <w:sz w:val="24"/>
          <w:szCs w:val="24"/>
          <w:shd w:val="clear" w:color="auto" w:fill="FFFFFF"/>
        </w:rPr>
        <w:t xml:space="preserve"> pontos percentuais</w:t>
      </w:r>
      <w:r w:rsidR="00DA4BA7">
        <w:rPr>
          <w:rFonts w:ascii="Times New Roman" w:hAnsi="Times New Roman"/>
          <w:sz w:val="24"/>
          <w:szCs w:val="24"/>
          <w:shd w:val="clear" w:color="auto" w:fill="FFFFFF"/>
        </w:rPr>
        <w:t xml:space="preserve"> de 2015 para 2019</w:t>
      </w:r>
      <w:r w:rsidRPr="0061769D">
        <w:rPr>
          <w:rFonts w:ascii="Times New Roman" w:hAnsi="Times New Roman"/>
          <w:sz w:val="24"/>
          <w:szCs w:val="24"/>
          <w:shd w:val="clear" w:color="auto" w:fill="FFFFFF"/>
        </w:rPr>
        <w:t>.</w:t>
      </w:r>
    </w:p>
    <w:p w:rsidR="00723E1E" w:rsidRPr="0061769D" w:rsidRDefault="00723E1E" w:rsidP="00DA4BA7">
      <w:pPr>
        <w:spacing w:line="240" w:lineRule="auto"/>
        <w:jc w:val="center"/>
        <w:rPr>
          <w:rFonts w:ascii="Times New Roman" w:hAnsi="Times New Roman"/>
          <w:sz w:val="24"/>
          <w:szCs w:val="24"/>
          <w:shd w:val="clear" w:color="auto" w:fill="FFFFFF"/>
        </w:rPr>
      </w:pPr>
      <w:r w:rsidRPr="00DA4BA7">
        <w:rPr>
          <w:rFonts w:ascii="Times New Roman" w:hAnsi="Times New Roman"/>
          <w:b/>
          <w:sz w:val="24"/>
          <w:szCs w:val="24"/>
          <w:shd w:val="clear" w:color="auto" w:fill="FFFFFF"/>
        </w:rPr>
        <w:t>Tabela 9.</w:t>
      </w:r>
      <w:r w:rsidRPr="00DA4BA7">
        <w:rPr>
          <w:rFonts w:ascii="Times New Roman" w:hAnsi="Times New Roman"/>
          <w:sz w:val="24"/>
          <w:szCs w:val="24"/>
          <w:shd w:val="clear" w:color="auto" w:fill="FFFFFF"/>
        </w:rPr>
        <w:t xml:space="preserve"> Nordeste: Taxa de desocupação jovem (%) (2015 – 2019)</w:t>
      </w:r>
    </w:p>
    <w:tbl>
      <w:tblPr>
        <w:tblW w:w="0" w:type="auto"/>
        <w:tblInd w:w="1668" w:type="dxa"/>
        <w:tblBorders>
          <w:top w:val="single" w:sz="4" w:space="0" w:color="auto"/>
          <w:bottom w:val="single" w:sz="4" w:space="0" w:color="auto"/>
        </w:tblBorders>
        <w:tblLook w:val="04A0"/>
      </w:tblPr>
      <w:tblGrid>
        <w:gridCol w:w="1984"/>
        <w:gridCol w:w="851"/>
        <w:gridCol w:w="850"/>
        <w:gridCol w:w="867"/>
        <w:gridCol w:w="834"/>
        <w:gridCol w:w="851"/>
      </w:tblGrid>
      <w:tr w:rsidR="00723E1E" w:rsidRPr="00DA4BA7" w:rsidTr="00752D3C">
        <w:tc>
          <w:tcPr>
            <w:tcW w:w="6237" w:type="dxa"/>
            <w:gridSpan w:val="6"/>
            <w:tcBorders>
              <w:top w:val="single" w:sz="4" w:space="0" w:color="auto"/>
              <w:bottom w:val="single" w:sz="4" w:space="0" w:color="auto"/>
            </w:tcBorders>
            <w:vAlign w:val="center"/>
          </w:tcPr>
          <w:p w:rsidR="00723E1E" w:rsidRPr="00DA4BA7" w:rsidRDefault="00723E1E" w:rsidP="00DA4BA7">
            <w:pPr>
              <w:spacing w:after="0" w:line="240" w:lineRule="auto"/>
              <w:jc w:val="center"/>
              <w:rPr>
                <w:rFonts w:ascii="Times New Roman" w:eastAsia="Times New Roman" w:hAnsi="Times New Roman"/>
                <w:sz w:val="20"/>
                <w:szCs w:val="20"/>
                <w:lang w:eastAsia="pt-BR"/>
              </w:rPr>
            </w:pPr>
            <w:r w:rsidRPr="00DA4BA7">
              <w:rPr>
                <w:rFonts w:ascii="Times New Roman" w:hAnsi="Times New Roman"/>
                <w:sz w:val="20"/>
                <w:szCs w:val="20"/>
                <w:shd w:val="clear" w:color="auto" w:fill="FFFFFF"/>
              </w:rPr>
              <w:t>Taxa de desocupação total e jovem (%)</w:t>
            </w:r>
          </w:p>
        </w:tc>
      </w:tr>
      <w:tr w:rsidR="00723E1E" w:rsidRPr="00DA4BA7" w:rsidTr="00752D3C">
        <w:tc>
          <w:tcPr>
            <w:tcW w:w="1984" w:type="dxa"/>
            <w:tcBorders>
              <w:top w:val="single" w:sz="4" w:space="0" w:color="auto"/>
            </w:tcBorders>
            <w:vAlign w:val="center"/>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p>
        </w:tc>
        <w:tc>
          <w:tcPr>
            <w:tcW w:w="851" w:type="dxa"/>
            <w:tcBorders>
              <w:top w:val="single" w:sz="4" w:space="0" w:color="auto"/>
            </w:tcBorders>
            <w:vAlign w:val="bottom"/>
          </w:tcPr>
          <w:p w:rsidR="00723E1E" w:rsidRPr="00DA4BA7" w:rsidRDefault="00723E1E" w:rsidP="00DA4BA7">
            <w:pPr>
              <w:spacing w:after="0" w:line="240" w:lineRule="auto"/>
              <w:jc w:val="center"/>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2015</w:t>
            </w:r>
          </w:p>
        </w:tc>
        <w:tc>
          <w:tcPr>
            <w:tcW w:w="850" w:type="dxa"/>
            <w:tcBorders>
              <w:top w:val="single" w:sz="4" w:space="0" w:color="auto"/>
            </w:tcBorders>
            <w:vAlign w:val="bottom"/>
          </w:tcPr>
          <w:p w:rsidR="00723E1E" w:rsidRPr="00DA4BA7" w:rsidRDefault="00723E1E" w:rsidP="00DA4BA7">
            <w:pPr>
              <w:spacing w:after="0" w:line="240" w:lineRule="auto"/>
              <w:jc w:val="center"/>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2016</w:t>
            </w:r>
          </w:p>
        </w:tc>
        <w:tc>
          <w:tcPr>
            <w:tcW w:w="867" w:type="dxa"/>
            <w:tcBorders>
              <w:top w:val="single" w:sz="4" w:space="0" w:color="auto"/>
            </w:tcBorders>
            <w:vAlign w:val="bottom"/>
          </w:tcPr>
          <w:p w:rsidR="00723E1E" w:rsidRPr="00DA4BA7" w:rsidRDefault="00723E1E" w:rsidP="00DA4BA7">
            <w:pPr>
              <w:spacing w:after="0" w:line="240" w:lineRule="auto"/>
              <w:jc w:val="center"/>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2017</w:t>
            </w:r>
          </w:p>
        </w:tc>
        <w:tc>
          <w:tcPr>
            <w:tcW w:w="834" w:type="dxa"/>
            <w:tcBorders>
              <w:top w:val="single" w:sz="4" w:space="0" w:color="auto"/>
            </w:tcBorders>
            <w:vAlign w:val="bottom"/>
          </w:tcPr>
          <w:p w:rsidR="00723E1E" w:rsidRPr="00DA4BA7" w:rsidRDefault="00723E1E" w:rsidP="00DA4BA7">
            <w:pPr>
              <w:spacing w:after="0" w:line="240" w:lineRule="auto"/>
              <w:jc w:val="center"/>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2018</w:t>
            </w:r>
          </w:p>
        </w:tc>
        <w:tc>
          <w:tcPr>
            <w:tcW w:w="851" w:type="dxa"/>
            <w:tcBorders>
              <w:top w:val="single" w:sz="4" w:space="0" w:color="auto"/>
            </w:tcBorders>
            <w:vAlign w:val="bottom"/>
          </w:tcPr>
          <w:p w:rsidR="00723E1E" w:rsidRPr="00DA4BA7" w:rsidRDefault="00723E1E" w:rsidP="00DA4BA7">
            <w:pPr>
              <w:spacing w:after="0" w:line="240" w:lineRule="auto"/>
              <w:jc w:val="center"/>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2019</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Nordeste</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17,4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 24,0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24,3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25,5 </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24,5 </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Maranhão</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16,1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20,3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22,0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23,2 </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24,2 </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Piauí</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14,4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17,7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22,0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22,5 </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21,0 </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Ceará</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15,8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21,2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21,6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20,7 </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21,6 </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Rio Grande do Norte</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21,7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24,9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 25,3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22,3 </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24,3 </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Paraíba</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17,0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20,8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18,8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20,2 </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20,3 </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Pernambuco</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16,9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27,3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28,9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28,7 </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24,9 </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Alagoas</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20,7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25,5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27,9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29,2 </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 26,8 </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Sergipe</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16,8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18,8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21,6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27,7 </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24,7 </w:t>
            </w:r>
          </w:p>
        </w:tc>
      </w:tr>
      <w:tr w:rsidR="00723E1E" w:rsidRPr="00DA4BA7" w:rsidTr="00752D3C">
        <w:tc>
          <w:tcPr>
            <w:tcW w:w="1984" w:type="dxa"/>
            <w:vAlign w:val="center"/>
          </w:tcPr>
          <w:p w:rsidR="00723E1E" w:rsidRPr="00DA4BA7" w:rsidRDefault="00723E1E" w:rsidP="00DA4BA7">
            <w:pPr>
              <w:spacing w:after="0" w:line="240" w:lineRule="auto"/>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Bahia</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18,4 </w:t>
            </w:r>
          </w:p>
        </w:tc>
        <w:tc>
          <w:tcPr>
            <w:tcW w:w="850"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 28,0 </w:t>
            </w:r>
          </w:p>
        </w:tc>
        <w:tc>
          <w:tcPr>
            <w:tcW w:w="867"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 25,6 </w:t>
            </w:r>
          </w:p>
        </w:tc>
        <w:tc>
          <w:tcPr>
            <w:tcW w:w="834"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29,0</w:t>
            </w:r>
          </w:p>
        </w:tc>
        <w:tc>
          <w:tcPr>
            <w:tcW w:w="851" w:type="dxa"/>
            <w:vAlign w:val="center"/>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27,4 </w:t>
            </w:r>
          </w:p>
        </w:tc>
      </w:tr>
    </w:tbl>
    <w:p w:rsidR="00DA4BA7" w:rsidRPr="0092372B" w:rsidRDefault="00DA4BA7" w:rsidP="00DA4BA7">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 2022b. PNAD</w:t>
      </w:r>
      <w:r>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 2022.</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 xml:space="preserve">Assim, ao julgar pelo comportamento da dinâmica de ocupação dos jovens no Nordeste, é possível afirmar que a tendência do mercado de trabalho jovens da região é distinta, pois, ora, determinados estados apresentam uma situação melhor em alguns indicadores, ora apresentando uma situação ruim em outros. No entanto, o que é comum a todos os estados é que os processos são sentidos de forma mais intensa e o quadro se </w:t>
      </w:r>
      <w:r w:rsidRPr="0061769D">
        <w:rPr>
          <w:rFonts w:ascii="Times New Roman" w:hAnsi="Times New Roman"/>
          <w:sz w:val="24"/>
          <w:szCs w:val="24"/>
          <w:shd w:val="clear" w:color="auto" w:fill="FFFFFF"/>
        </w:rPr>
        <w:lastRenderedPageBreak/>
        <w:t>demonstra mais agravado do que a situação da média brasileira. Logo, os dados demonstram que se a situação dos jovens no Brasil vai mal, no Nordeste essa situação fica pior.</w:t>
      </w:r>
    </w:p>
    <w:p w:rsidR="00723E1E" w:rsidRPr="0061769D"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Além dos indicadores demonstrados até o presente momento já apontarem para uma situação de piora da condição do jovem no mercado de trabalho, mesmo após a Reforma trabalhista, os indicadores da taxa de subutilização e do nível de renda do trabalho irá contribuir para ratificar as constatações elencadas. Desse modo, foi visto na tabela 3, acima, que a taxa de subtutilização no Brasil aumentou 3,4 p.p., no caso do Nordeste, a tabela 10 demonstra que esse foi de 6,1 p.p.</w:t>
      </w:r>
    </w:p>
    <w:p w:rsidR="00723E1E" w:rsidRPr="0061769D" w:rsidRDefault="00723E1E" w:rsidP="00DA4BA7">
      <w:pPr>
        <w:spacing w:line="240" w:lineRule="auto"/>
        <w:jc w:val="center"/>
        <w:rPr>
          <w:rFonts w:ascii="Times New Roman" w:hAnsi="Times New Roman"/>
          <w:sz w:val="24"/>
          <w:szCs w:val="24"/>
        </w:rPr>
      </w:pPr>
      <w:r w:rsidRPr="00DA4BA7">
        <w:rPr>
          <w:rFonts w:ascii="Times New Roman" w:eastAsia="Times New Roman" w:hAnsi="Times New Roman"/>
          <w:b/>
          <w:bCs/>
          <w:sz w:val="24"/>
          <w:szCs w:val="24"/>
          <w:lang w:eastAsia="pt-BR"/>
        </w:rPr>
        <w:t xml:space="preserve">Tabela 10.  </w:t>
      </w:r>
      <w:r w:rsidRPr="00DA4BA7">
        <w:rPr>
          <w:rFonts w:ascii="Times New Roman" w:eastAsia="Times New Roman" w:hAnsi="Times New Roman"/>
          <w:bCs/>
          <w:sz w:val="24"/>
          <w:szCs w:val="24"/>
          <w:lang w:eastAsia="pt-BR"/>
        </w:rPr>
        <w:t>Nordeste: Taxa de subutilização da força de trabalho jovem de 14 a 29 anos (2015-2019)</w:t>
      </w:r>
    </w:p>
    <w:tbl>
      <w:tblPr>
        <w:tblW w:w="0" w:type="auto"/>
        <w:jc w:val="center"/>
        <w:tblInd w:w="-230" w:type="dxa"/>
        <w:tblBorders>
          <w:top w:val="single" w:sz="4" w:space="0" w:color="auto"/>
          <w:bottom w:val="single" w:sz="4" w:space="0" w:color="auto"/>
        </w:tblBorders>
        <w:tblCellMar>
          <w:left w:w="70" w:type="dxa"/>
          <w:right w:w="70" w:type="dxa"/>
        </w:tblCellMar>
        <w:tblLook w:val="04A0"/>
      </w:tblPr>
      <w:tblGrid>
        <w:gridCol w:w="2112"/>
        <w:gridCol w:w="540"/>
        <w:gridCol w:w="540"/>
        <w:gridCol w:w="540"/>
        <w:gridCol w:w="540"/>
        <w:gridCol w:w="540"/>
      </w:tblGrid>
      <w:tr w:rsidR="00723E1E" w:rsidRPr="00DA4BA7" w:rsidTr="00DA4BA7">
        <w:trPr>
          <w:trHeight w:val="288"/>
          <w:jc w:val="center"/>
        </w:trPr>
        <w:tc>
          <w:tcPr>
            <w:tcW w:w="4812" w:type="dxa"/>
            <w:gridSpan w:val="6"/>
            <w:tcBorders>
              <w:top w:val="single" w:sz="4" w:space="0" w:color="auto"/>
              <w:bottom w:val="single" w:sz="4" w:space="0" w:color="auto"/>
            </w:tcBorders>
            <w:shd w:val="clear" w:color="auto" w:fill="auto"/>
            <w:vAlign w:val="center"/>
            <w:hideMark/>
          </w:tcPr>
          <w:p w:rsidR="00723E1E" w:rsidRPr="00DA4BA7" w:rsidRDefault="00723E1E" w:rsidP="00DA4BA7">
            <w:pPr>
              <w:spacing w:after="0" w:line="240" w:lineRule="auto"/>
              <w:jc w:val="center"/>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Taxa de Subutilização em %</w:t>
            </w:r>
          </w:p>
        </w:tc>
      </w:tr>
      <w:tr w:rsidR="00723E1E" w:rsidRPr="00DA4BA7" w:rsidTr="00DA4BA7">
        <w:trPr>
          <w:trHeight w:val="288"/>
          <w:jc w:val="center"/>
        </w:trPr>
        <w:tc>
          <w:tcPr>
            <w:tcW w:w="2112" w:type="dxa"/>
            <w:tcBorders>
              <w:top w:val="single" w:sz="4" w:space="0" w:color="auto"/>
            </w:tcBorders>
            <w:shd w:val="clear" w:color="auto" w:fill="auto"/>
            <w:vAlign w:val="center"/>
            <w:hideMark/>
          </w:tcPr>
          <w:p w:rsidR="00723E1E" w:rsidRPr="00DA4BA7" w:rsidRDefault="00723E1E" w:rsidP="00DA4BA7">
            <w:pPr>
              <w:spacing w:after="0" w:line="240" w:lineRule="auto"/>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Estados</w:t>
            </w:r>
          </w:p>
        </w:tc>
        <w:tc>
          <w:tcPr>
            <w:tcW w:w="0" w:type="auto"/>
            <w:tcBorders>
              <w:top w:val="single" w:sz="4" w:space="0" w:color="auto"/>
            </w:tcBorders>
            <w:shd w:val="clear" w:color="auto" w:fill="auto"/>
            <w:noWrap/>
            <w:vAlign w:val="bottom"/>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2015</w:t>
            </w:r>
          </w:p>
        </w:tc>
        <w:tc>
          <w:tcPr>
            <w:tcW w:w="0" w:type="auto"/>
            <w:tcBorders>
              <w:top w:val="single" w:sz="4" w:space="0" w:color="auto"/>
            </w:tcBorders>
            <w:shd w:val="clear" w:color="auto" w:fill="auto"/>
            <w:noWrap/>
            <w:vAlign w:val="bottom"/>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2016</w:t>
            </w:r>
          </w:p>
        </w:tc>
        <w:tc>
          <w:tcPr>
            <w:tcW w:w="0" w:type="auto"/>
            <w:tcBorders>
              <w:top w:val="single" w:sz="4" w:space="0" w:color="auto"/>
            </w:tcBorders>
            <w:shd w:val="clear" w:color="auto" w:fill="auto"/>
            <w:noWrap/>
            <w:vAlign w:val="bottom"/>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2017</w:t>
            </w:r>
          </w:p>
        </w:tc>
        <w:tc>
          <w:tcPr>
            <w:tcW w:w="0" w:type="auto"/>
            <w:tcBorders>
              <w:top w:val="single" w:sz="4" w:space="0" w:color="auto"/>
            </w:tcBorders>
            <w:shd w:val="clear" w:color="auto" w:fill="auto"/>
            <w:noWrap/>
            <w:vAlign w:val="bottom"/>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2018</w:t>
            </w:r>
          </w:p>
        </w:tc>
        <w:tc>
          <w:tcPr>
            <w:tcW w:w="0" w:type="auto"/>
            <w:tcBorders>
              <w:top w:val="single" w:sz="4" w:space="0" w:color="auto"/>
            </w:tcBorders>
            <w:shd w:val="clear" w:color="auto" w:fill="auto"/>
            <w:noWrap/>
            <w:vAlign w:val="bottom"/>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2019</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Nordeste</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37,8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44,5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49,0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51,1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
                <w:bCs/>
                <w:sz w:val="20"/>
                <w:szCs w:val="20"/>
                <w:lang w:eastAsia="pt-BR"/>
              </w:rPr>
            </w:pPr>
            <w:r w:rsidRPr="00DA4BA7">
              <w:rPr>
                <w:rFonts w:ascii="Times New Roman" w:eastAsia="Times New Roman" w:hAnsi="Times New Roman"/>
                <w:b/>
                <w:bCs/>
                <w:sz w:val="20"/>
                <w:szCs w:val="20"/>
                <w:lang w:eastAsia="pt-BR"/>
              </w:rPr>
              <w:t xml:space="preserve">50,6 </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ind w:firstLineChars="100" w:firstLine="200"/>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Maranhão</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35,8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43,5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49,7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51,6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55,0 </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ind w:firstLineChars="100" w:firstLine="200"/>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Piauí</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43,4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48,7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55,5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55,0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59,3 </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ind w:firstLineChars="100" w:firstLine="200"/>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Ceará</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34,8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39,8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43,3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43,6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44,7 </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ind w:firstLineChars="100" w:firstLine="200"/>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Rio Grande do Norte</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41,4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43,8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50,4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52,7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51,0 </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ind w:firstLineChars="100" w:firstLine="200"/>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Paraíba</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40,5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46,7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46,5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50,0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48,1 </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ind w:firstLineChars="100" w:firstLine="200"/>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Pernambuco</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29,2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41,0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46,5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47,8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44,9 </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ind w:firstLineChars="100" w:firstLine="200"/>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Alagoas</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38,0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46,9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50,0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53,9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51,7 </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ind w:firstLineChars="100" w:firstLine="200"/>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Sergipe</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40,8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42,5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47,3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53,1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52,9 </w:t>
            </w:r>
          </w:p>
        </w:tc>
      </w:tr>
      <w:tr w:rsidR="00723E1E" w:rsidRPr="00DA4BA7" w:rsidTr="00DA4BA7">
        <w:trPr>
          <w:trHeight w:val="288"/>
          <w:jc w:val="center"/>
        </w:trPr>
        <w:tc>
          <w:tcPr>
            <w:tcW w:w="2112" w:type="dxa"/>
            <w:shd w:val="clear" w:color="auto" w:fill="auto"/>
            <w:noWrap/>
            <w:vAlign w:val="center"/>
            <w:hideMark/>
          </w:tcPr>
          <w:p w:rsidR="00723E1E" w:rsidRPr="00DA4BA7" w:rsidRDefault="00723E1E" w:rsidP="00DA4BA7">
            <w:pPr>
              <w:spacing w:after="0" w:line="240" w:lineRule="auto"/>
              <w:ind w:firstLineChars="100" w:firstLine="200"/>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Bahia</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41,6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48,2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52,3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55,4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53,2 </w:t>
            </w:r>
          </w:p>
        </w:tc>
      </w:tr>
    </w:tbl>
    <w:p w:rsidR="00DA4BA7" w:rsidRPr="0092372B" w:rsidRDefault="00DA4BA7" w:rsidP="00DA4BA7">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 2022b. PNAD</w:t>
      </w:r>
      <w:r>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 2022.</w:t>
      </w:r>
    </w:p>
    <w:p w:rsidR="00723E1E" w:rsidRDefault="00723E1E" w:rsidP="00723E1E">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 xml:space="preserve">Assim, vê-se que no período, considerando o total da população jovem que estava ocupada, aproximadamente 50% estava subutilizada </w:t>
      </w:r>
      <w:r w:rsidRPr="0061769D">
        <w:rPr>
          <w:rFonts w:ascii="Times New Roman" w:hAnsi="Times New Roman"/>
          <w:sz w:val="24"/>
          <w:szCs w:val="24"/>
        </w:rPr>
        <w:t>por insuficiência de horas trabalhadas</w:t>
      </w:r>
      <w:r w:rsidRPr="0061769D">
        <w:rPr>
          <w:rFonts w:ascii="Times New Roman" w:hAnsi="Times New Roman"/>
          <w:sz w:val="24"/>
          <w:szCs w:val="24"/>
          <w:shd w:val="clear" w:color="auto" w:fill="FFFFFF"/>
        </w:rPr>
        <w:t>, exercendo atividades que não a integravam de forma plena no processo produtivo. Ressalta-se que esta subutilização não está ligada a conciliação de trabalho e estudo, com os jovens precisando reduzir seus horários de trabalho para dedicar mais</w:t>
      </w:r>
      <w:r w:rsidR="00DA4BA7">
        <w:rPr>
          <w:rFonts w:ascii="Times New Roman" w:hAnsi="Times New Roman"/>
          <w:sz w:val="24"/>
          <w:szCs w:val="24"/>
          <w:shd w:val="clear" w:color="auto" w:fill="FFFFFF"/>
        </w:rPr>
        <w:t xml:space="preserve"> tempo</w:t>
      </w:r>
      <w:r w:rsidRPr="0061769D">
        <w:rPr>
          <w:rFonts w:ascii="Times New Roman" w:hAnsi="Times New Roman"/>
          <w:sz w:val="24"/>
          <w:szCs w:val="24"/>
          <w:shd w:val="clear" w:color="auto" w:fill="FFFFFF"/>
        </w:rPr>
        <w:t xml:space="preserve"> ao</w:t>
      </w:r>
      <w:r w:rsidR="00DA4BA7">
        <w:rPr>
          <w:rFonts w:ascii="Times New Roman" w:hAnsi="Times New Roman"/>
          <w:sz w:val="24"/>
          <w:szCs w:val="24"/>
          <w:shd w:val="clear" w:color="auto" w:fill="FFFFFF"/>
        </w:rPr>
        <w:t>s</w:t>
      </w:r>
      <w:r w:rsidRPr="0061769D">
        <w:rPr>
          <w:rFonts w:ascii="Times New Roman" w:hAnsi="Times New Roman"/>
          <w:sz w:val="24"/>
          <w:szCs w:val="24"/>
          <w:shd w:val="clear" w:color="auto" w:fill="FFFFFF"/>
        </w:rPr>
        <w:t xml:space="preserve"> estudo</w:t>
      </w:r>
      <w:r w:rsidR="00DA4BA7">
        <w:rPr>
          <w:rFonts w:ascii="Times New Roman" w:hAnsi="Times New Roman"/>
          <w:sz w:val="24"/>
          <w:szCs w:val="24"/>
          <w:shd w:val="clear" w:color="auto" w:fill="FFFFFF"/>
        </w:rPr>
        <w:t>s</w:t>
      </w:r>
      <w:r w:rsidRPr="0061769D">
        <w:rPr>
          <w:rFonts w:ascii="Times New Roman" w:hAnsi="Times New Roman"/>
          <w:sz w:val="24"/>
          <w:szCs w:val="24"/>
          <w:shd w:val="clear" w:color="auto" w:fill="FFFFFF"/>
        </w:rPr>
        <w:t>, pois, a tabela 5 mostra que o quantitativo de jovens que trabalha e estuda caiu. Nesse sentido, Suiron (</w:t>
      </w:r>
      <w:r w:rsidR="00DA4BA7">
        <w:rPr>
          <w:rFonts w:ascii="Times New Roman" w:hAnsi="Times New Roman"/>
          <w:sz w:val="24"/>
          <w:szCs w:val="24"/>
          <w:shd w:val="clear" w:color="auto" w:fill="FFFFFF"/>
        </w:rPr>
        <w:t>2018</w:t>
      </w:r>
      <w:r w:rsidRPr="0061769D">
        <w:rPr>
          <w:rFonts w:ascii="Times New Roman" w:hAnsi="Times New Roman"/>
          <w:sz w:val="24"/>
          <w:szCs w:val="24"/>
          <w:shd w:val="clear" w:color="auto" w:fill="FFFFFF"/>
        </w:rPr>
        <w:t>) afirma que a subutilização é uma forma comum de ocupação dos jovens, independente se os jovens trabalham e estudam concomitantemente</w:t>
      </w:r>
      <w:r w:rsidR="00DA4BA7">
        <w:rPr>
          <w:rFonts w:ascii="Times New Roman" w:hAnsi="Times New Roman"/>
          <w:sz w:val="24"/>
          <w:szCs w:val="24"/>
          <w:shd w:val="clear" w:color="auto" w:fill="FFFFFF"/>
        </w:rPr>
        <w:t xml:space="preserve">. Nesse sentido, a subutilização </w:t>
      </w:r>
      <w:r w:rsidRPr="0061769D">
        <w:rPr>
          <w:rFonts w:ascii="Times New Roman" w:hAnsi="Times New Roman"/>
          <w:sz w:val="24"/>
          <w:szCs w:val="24"/>
          <w:shd w:val="clear" w:color="auto" w:fill="FFFFFF"/>
        </w:rPr>
        <w:t>não é exclusiva do período pós Reforma,</w:t>
      </w:r>
      <w:r w:rsidR="00DA4BA7">
        <w:rPr>
          <w:rFonts w:ascii="Times New Roman" w:hAnsi="Times New Roman"/>
          <w:sz w:val="24"/>
          <w:szCs w:val="24"/>
          <w:shd w:val="clear" w:color="auto" w:fill="FFFFFF"/>
        </w:rPr>
        <w:t xml:space="preserve"> pois, </w:t>
      </w:r>
      <w:r w:rsidRPr="0061769D">
        <w:rPr>
          <w:rFonts w:ascii="Times New Roman" w:hAnsi="Times New Roman"/>
          <w:sz w:val="24"/>
          <w:szCs w:val="24"/>
          <w:shd w:val="clear" w:color="auto" w:fill="FFFFFF"/>
        </w:rPr>
        <w:t>n</w:t>
      </w:r>
      <w:r w:rsidR="00DA4BA7">
        <w:rPr>
          <w:rFonts w:ascii="Times New Roman" w:hAnsi="Times New Roman"/>
          <w:sz w:val="24"/>
          <w:szCs w:val="24"/>
          <w:shd w:val="clear" w:color="auto" w:fill="FFFFFF"/>
        </w:rPr>
        <w:t>esse</w:t>
      </w:r>
      <w:r w:rsidRPr="0061769D">
        <w:rPr>
          <w:rFonts w:ascii="Times New Roman" w:hAnsi="Times New Roman"/>
          <w:sz w:val="24"/>
          <w:szCs w:val="24"/>
          <w:shd w:val="clear" w:color="auto" w:fill="FFFFFF"/>
        </w:rPr>
        <w:t xml:space="preserve"> caso, a mesma só contribuiu para piorar.</w:t>
      </w:r>
    </w:p>
    <w:p w:rsidR="002D5A3E" w:rsidRPr="0061769D" w:rsidRDefault="002D5A3E" w:rsidP="00723E1E">
      <w:pPr>
        <w:spacing w:after="0" w:line="360" w:lineRule="auto"/>
        <w:ind w:firstLine="851"/>
        <w:jc w:val="both"/>
        <w:rPr>
          <w:rFonts w:ascii="Times New Roman" w:hAnsi="Times New Roman"/>
          <w:sz w:val="24"/>
          <w:szCs w:val="24"/>
          <w:shd w:val="clear" w:color="auto" w:fill="FFFFFF"/>
        </w:rPr>
      </w:pPr>
    </w:p>
    <w:p w:rsidR="00723E1E" w:rsidRPr="0061769D" w:rsidRDefault="00723E1E" w:rsidP="00DA4BA7">
      <w:pPr>
        <w:spacing w:line="240" w:lineRule="auto"/>
        <w:jc w:val="center"/>
        <w:rPr>
          <w:rFonts w:ascii="Times New Roman" w:hAnsi="Times New Roman"/>
          <w:sz w:val="24"/>
          <w:szCs w:val="24"/>
          <w:shd w:val="clear" w:color="auto" w:fill="FFFFFF"/>
        </w:rPr>
      </w:pPr>
      <w:r w:rsidRPr="00DA4BA7">
        <w:rPr>
          <w:rFonts w:ascii="Times New Roman" w:hAnsi="Times New Roman"/>
          <w:b/>
          <w:sz w:val="24"/>
          <w:szCs w:val="24"/>
          <w:shd w:val="clear" w:color="auto" w:fill="FFFFFF"/>
        </w:rPr>
        <w:lastRenderedPageBreak/>
        <w:t>Tabela 11.</w:t>
      </w:r>
      <w:r w:rsidRPr="00DA4BA7">
        <w:rPr>
          <w:rFonts w:ascii="Times New Roman" w:hAnsi="Times New Roman"/>
          <w:sz w:val="24"/>
          <w:szCs w:val="24"/>
          <w:shd w:val="clear" w:color="auto" w:fill="FFFFFF"/>
        </w:rPr>
        <w:t xml:space="preserve"> Rendimento médio real do trabalho principal habitualmente recebido por mês por pessoas de 14 a 29 anos, ocupadas (2013 – 2019)</w:t>
      </w:r>
    </w:p>
    <w:tbl>
      <w:tblPr>
        <w:tblW w:w="0" w:type="auto"/>
        <w:jc w:val="center"/>
        <w:tblInd w:w="-70" w:type="dxa"/>
        <w:tblBorders>
          <w:top w:val="single" w:sz="4" w:space="0" w:color="auto"/>
          <w:bottom w:val="single" w:sz="4" w:space="0" w:color="auto"/>
        </w:tblBorders>
        <w:tblCellMar>
          <w:left w:w="70" w:type="dxa"/>
          <w:right w:w="70" w:type="dxa"/>
        </w:tblCellMar>
        <w:tblLook w:val="04A0"/>
      </w:tblPr>
      <w:tblGrid>
        <w:gridCol w:w="1965"/>
        <w:gridCol w:w="590"/>
        <w:gridCol w:w="590"/>
        <w:gridCol w:w="590"/>
        <w:gridCol w:w="590"/>
        <w:gridCol w:w="590"/>
        <w:gridCol w:w="590"/>
        <w:gridCol w:w="590"/>
      </w:tblGrid>
      <w:tr w:rsidR="00723E1E" w:rsidRPr="00DA4BA7" w:rsidTr="00DA4BA7">
        <w:trPr>
          <w:trHeight w:val="288"/>
          <w:jc w:val="center"/>
        </w:trPr>
        <w:tc>
          <w:tcPr>
            <w:tcW w:w="0" w:type="auto"/>
            <w:gridSpan w:val="8"/>
            <w:tcBorders>
              <w:top w:val="single" w:sz="4" w:space="0" w:color="auto"/>
              <w:bottom w:val="single" w:sz="4" w:space="0" w:color="auto"/>
            </w:tcBorders>
            <w:shd w:val="clear" w:color="auto" w:fill="auto"/>
            <w:noWrap/>
            <w:vAlign w:val="center"/>
            <w:hideMark/>
          </w:tcPr>
          <w:p w:rsidR="00723E1E" w:rsidRPr="00DA4BA7" w:rsidRDefault="00723E1E" w:rsidP="00DA4BA7">
            <w:pPr>
              <w:spacing w:after="0" w:line="240" w:lineRule="auto"/>
              <w:jc w:val="center"/>
              <w:rPr>
                <w:rFonts w:ascii="Times New Roman" w:eastAsia="Times New Roman" w:hAnsi="Times New Roman"/>
                <w:color w:val="000000"/>
                <w:sz w:val="20"/>
                <w:szCs w:val="20"/>
                <w:lang w:eastAsia="pt-BR"/>
              </w:rPr>
            </w:pPr>
            <w:r w:rsidRPr="00DA4BA7">
              <w:rPr>
                <w:rFonts w:ascii="Times New Roman" w:eastAsia="Times New Roman" w:hAnsi="Times New Roman"/>
                <w:color w:val="000000"/>
                <w:sz w:val="20"/>
                <w:szCs w:val="20"/>
                <w:lang w:eastAsia="pt-BR"/>
              </w:rPr>
              <w:t>Rendimento médio real do trabalho principal em R$</w:t>
            </w:r>
          </w:p>
        </w:tc>
      </w:tr>
      <w:tr w:rsidR="00723E1E" w:rsidRPr="00DA4BA7" w:rsidTr="00DA4BA7">
        <w:trPr>
          <w:trHeight w:val="288"/>
          <w:jc w:val="center"/>
        </w:trPr>
        <w:tc>
          <w:tcPr>
            <w:tcW w:w="0" w:type="auto"/>
            <w:tcBorders>
              <w:top w:val="single" w:sz="4" w:space="0" w:color="auto"/>
              <w:bottom w:val="single" w:sz="4" w:space="0" w:color="auto"/>
            </w:tcBorders>
            <w:shd w:val="clear" w:color="auto" w:fill="auto"/>
            <w:noWrap/>
            <w:vAlign w:val="bottom"/>
            <w:hideMark/>
          </w:tcPr>
          <w:p w:rsidR="00723E1E" w:rsidRPr="00DA4BA7" w:rsidRDefault="00723E1E" w:rsidP="00DA4BA7">
            <w:pPr>
              <w:spacing w:after="0" w:line="240" w:lineRule="auto"/>
              <w:rPr>
                <w:rFonts w:ascii="Times New Roman" w:eastAsia="Times New Roman" w:hAnsi="Times New Roman"/>
                <w:color w:val="000000"/>
                <w:sz w:val="20"/>
                <w:szCs w:val="20"/>
                <w:lang w:eastAsia="pt-BR"/>
              </w:rPr>
            </w:pPr>
            <w:r w:rsidRPr="00DA4BA7">
              <w:rPr>
                <w:rFonts w:ascii="Times New Roman" w:eastAsia="Times New Roman" w:hAnsi="Times New Roman"/>
                <w:color w:val="000000"/>
                <w:sz w:val="20"/>
                <w:szCs w:val="20"/>
                <w:lang w:eastAsia="pt-BR"/>
              </w:rPr>
              <w:t>Regiões/Estados</w:t>
            </w:r>
          </w:p>
        </w:tc>
        <w:tc>
          <w:tcPr>
            <w:tcW w:w="0" w:type="auto"/>
            <w:tcBorders>
              <w:top w:val="single" w:sz="4" w:space="0" w:color="auto"/>
              <w:bottom w:val="single" w:sz="4" w:space="0" w:color="auto"/>
            </w:tcBorders>
            <w:shd w:val="clear" w:color="auto" w:fill="auto"/>
            <w:noWrap/>
            <w:vAlign w:val="bottom"/>
            <w:hideMark/>
          </w:tcPr>
          <w:p w:rsidR="00723E1E" w:rsidRPr="00DA4BA7" w:rsidRDefault="00723E1E" w:rsidP="00DA4BA7">
            <w:pPr>
              <w:spacing w:after="0" w:line="240" w:lineRule="auto"/>
              <w:rPr>
                <w:rFonts w:ascii="Times New Roman" w:eastAsia="Times New Roman" w:hAnsi="Times New Roman"/>
                <w:color w:val="000000"/>
                <w:sz w:val="20"/>
                <w:szCs w:val="20"/>
                <w:lang w:eastAsia="pt-BR"/>
              </w:rPr>
            </w:pPr>
            <w:r w:rsidRPr="00DA4BA7">
              <w:rPr>
                <w:rFonts w:ascii="Times New Roman" w:eastAsia="Times New Roman" w:hAnsi="Times New Roman"/>
                <w:color w:val="000000"/>
                <w:sz w:val="20"/>
                <w:szCs w:val="20"/>
                <w:lang w:eastAsia="pt-BR"/>
              </w:rPr>
              <w:t>2013</w:t>
            </w:r>
          </w:p>
        </w:tc>
        <w:tc>
          <w:tcPr>
            <w:tcW w:w="0" w:type="auto"/>
            <w:tcBorders>
              <w:top w:val="single" w:sz="4" w:space="0" w:color="auto"/>
              <w:bottom w:val="single" w:sz="4" w:space="0" w:color="auto"/>
            </w:tcBorders>
            <w:shd w:val="clear" w:color="auto" w:fill="auto"/>
            <w:noWrap/>
            <w:vAlign w:val="bottom"/>
            <w:hideMark/>
          </w:tcPr>
          <w:p w:rsidR="00723E1E" w:rsidRPr="00DA4BA7" w:rsidRDefault="00723E1E" w:rsidP="00DA4BA7">
            <w:pPr>
              <w:spacing w:after="0" w:line="240" w:lineRule="auto"/>
              <w:rPr>
                <w:rFonts w:ascii="Times New Roman" w:eastAsia="Times New Roman" w:hAnsi="Times New Roman"/>
                <w:color w:val="000000"/>
                <w:sz w:val="20"/>
                <w:szCs w:val="20"/>
                <w:lang w:eastAsia="pt-BR"/>
              </w:rPr>
            </w:pPr>
            <w:r w:rsidRPr="00DA4BA7">
              <w:rPr>
                <w:rFonts w:ascii="Times New Roman" w:eastAsia="Times New Roman" w:hAnsi="Times New Roman"/>
                <w:color w:val="000000"/>
                <w:sz w:val="20"/>
                <w:szCs w:val="20"/>
                <w:lang w:eastAsia="pt-BR"/>
              </w:rPr>
              <w:t>2014</w:t>
            </w:r>
          </w:p>
        </w:tc>
        <w:tc>
          <w:tcPr>
            <w:tcW w:w="0" w:type="auto"/>
            <w:tcBorders>
              <w:top w:val="single" w:sz="4" w:space="0" w:color="auto"/>
              <w:bottom w:val="single" w:sz="4" w:space="0" w:color="auto"/>
            </w:tcBorders>
            <w:shd w:val="clear" w:color="auto" w:fill="auto"/>
            <w:noWrap/>
            <w:vAlign w:val="bottom"/>
            <w:hideMark/>
          </w:tcPr>
          <w:p w:rsidR="00723E1E" w:rsidRPr="00DA4BA7" w:rsidRDefault="00723E1E" w:rsidP="00DA4BA7">
            <w:pPr>
              <w:spacing w:after="0" w:line="240" w:lineRule="auto"/>
              <w:rPr>
                <w:rFonts w:ascii="Times New Roman" w:eastAsia="Times New Roman" w:hAnsi="Times New Roman"/>
                <w:color w:val="000000"/>
                <w:sz w:val="20"/>
                <w:szCs w:val="20"/>
                <w:lang w:eastAsia="pt-BR"/>
              </w:rPr>
            </w:pPr>
            <w:r w:rsidRPr="00DA4BA7">
              <w:rPr>
                <w:rFonts w:ascii="Times New Roman" w:eastAsia="Times New Roman" w:hAnsi="Times New Roman"/>
                <w:color w:val="000000"/>
                <w:sz w:val="20"/>
                <w:szCs w:val="20"/>
                <w:lang w:eastAsia="pt-BR"/>
              </w:rPr>
              <w:t>2015</w:t>
            </w:r>
          </w:p>
        </w:tc>
        <w:tc>
          <w:tcPr>
            <w:tcW w:w="0" w:type="auto"/>
            <w:tcBorders>
              <w:top w:val="single" w:sz="4" w:space="0" w:color="auto"/>
              <w:bottom w:val="single" w:sz="4" w:space="0" w:color="auto"/>
            </w:tcBorders>
            <w:shd w:val="clear" w:color="auto" w:fill="auto"/>
            <w:noWrap/>
            <w:vAlign w:val="bottom"/>
            <w:hideMark/>
          </w:tcPr>
          <w:p w:rsidR="00723E1E" w:rsidRPr="00DA4BA7" w:rsidRDefault="00723E1E" w:rsidP="00DA4BA7">
            <w:pPr>
              <w:spacing w:after="0" w:line="240" w:lineRule="auto"/>
              <w:rPr>
                <w:rFonts w:ascii="Times New Roman" w:eastAsia="Times New Roman" w:hAnsi="Times New Roman"/>
                <w:color w:val="000000"/>
                <w:sz w:val="20"/>
                <w:szCs w:val="20"/>
                <w:lang w:eastAsia="pt-BR"/>
              </w:rPr>
            </w:pPr>
            <w:r w:rsidRPr="00DA4BA7">
              <w:rPr>
                <w:rFonts w:ascii="Times New Roman" w:eastAsia="Times New Roman" w:hAnsi="Times New Roman"/>
                <w:color w:val="000000"/>
                <w:sz w:val="20"/>
                <w:szCs w:val="20"/>
                <w:lang w:eastAsia="pt-BR"/>
              </w:rPr>
              <w:t>2016</w:t>
            </w:r>
          </w:p>
        </w:tc>
        <w:tc>
          <w:tcPr>
            <w:tcW w:w="0" w:type="auto"/>
            <w:tcBorders>
              <w:top w:val="single" w:sz="4" w:space="0" w:color="auto"/>
              <w:bottom w:val="single" w:sz="4" w:space="0" w:color="auto"/>
            </w:tcBorders>
            <w:shd w:val="clear" w:color="auto" w:fill="auto"/>
            <w:noWrap/>
            <w:vAlign w:val="bottom"/>
            <w:hideMark/>
          </w:tcPr>
          <w:p w:rsidR="00723E1E" w:rsidRPr="00DA4BA7" w:rsidRDefault="00723E1E" w:rsidP="00DA4BA7">
            <w:pPr>
              <w:spacing w:after="0" w:line="240" w:lineRule="auto"/>
              <w:rPr>
                <w:rFonts w:ascii="Times New Roman" w:eastAsia="Times New Roman" w:hAnsi="Times New Roman"/>
                <w:color w:val="000000"/>
                <w:sz w:val="20"/>
                <w:szCs w:val="20"/>
                <w:lang w:eastAsia="pt-BR"/>
              </w:rPr>
            </w:pPr>
            <w:r w:rsidRPr="00DA4BA7">
              <w:rPr>
                <w:rFonts w:ascii="Times New Roman" w:eastAsia="Times New Roman" w:hAnsi="Times New Roman"/>
                <w:color w:val="000000"/>
                <w:sz w:val="20"/>
                <w:szCs w:val="20"/>
                <w:lang w:eastAsia="pt-BR"/>
              </w:rPr>
              <w:t>2017</w:t>
            </w:r>
          </w:p>
        </w:tc>
        <w:tc>
          <w:tcPr>
            <w:tcW w:w="0" w:type="auto"/>
            <w:tcBorders>
              <w:top w:val="single" w:sz="4" w:space="0" w:color="auto"/>
              <w:bottom w:val="single" w:sz="4" w:space="0" w:color="auto"/>
            </w:tcBorders>
            <w:shd w:val="clear" w:color="auto" w:fill="auto"/>
            <w:noWrap/>
            <w:vAlign w:val="bottom"/>
            <w:hideMark/>
          </w:tcPr>
          <w:p w:rsidR="00723E1E" w:rsidRPr="00DA4BA7" w:rsidRDefault="00723E1E" w:rsidP="00DA4BA7">
            <w:pPr>
              <w:spacing w:after="0" w:line="240" w:lineRule="auto"/>
              <w:rPr>
                <w:rFonts w:ascii="Times New Roman" w:eastAsia="Times New Roman" w:hAnsi="Times New Roman"/>
                <w:color w:val="000000"/>
                <w:sz w:val="20"/>
                <w:szCs w:val="20"/>
                <w:lang w:eastAsia="pt-BR"/>
              </w:rPr>
            </w:pPr>
            <w:r w:rsidRPr="00DA4BA7">
              <w:rPr>
                <w:rFonts w:ascii="Times New Roman" w:eastAsia="Times New Roman" w:hAnsi="Times New Roman"/>
                <w:color w:val="000000"/>
                <w:sz w:val="20"/>
                <w:szCs w:val="20"/>
                <w:lang w:eastAsia="pt-BR"/>
              </w:rPr>
              <w:t>2018</w:t>
            </w:r>
          </w:p>
        </w:tc>
        <w:tc>
          <w:tcPr>
            <w:tcW w:w="0" w:type="auto"/>
            <w:tcBorders>
              <w:top w:val="single" w:sz="4" w:space="0" w:color="auto"/>
              <w:bottom w:val="single" w:sz="4" w:space="0" w:color="auto"/>
            </w:tcBorders>
            <w:shd w:val="clear" w:color="auto" w:fill="auto"/>
            <w:noWrap/>
            <w:vAlign w:val="bottom"/>
            <w:hideMark/>
          </w:tcPr>
          <w:p w:rsidR="00723E1E" w:rsidRPr="00DA4BA7" w:rsidRDefault="00723E1E" w:rsidP="00DA4BA7">
            <w:pPr>
              <w:spacing w:after="0" w:line="240" w:lineRule="auto"/>
              <w:rPr>
                <w:rFonts w:ascii="Times New Roman" w:eastAsia="Times New Roman" w:hAnsi="Times New Roman"/>
                <w:color w:val="000000"/>
                <w:sz w:val="20"/>
                <w:szCs w:val="20"/>
                <w:lang w:eastAsia="pt-BR"/>
              </w:rPr>
            </w:pPr>
            <w:r w:rsidRPr="00DA4BA7">
              <w:rPr>
                <w:rFonts w:ascii="Times New Roman" w:eastAsia="Times New Roman" w:hAnsi="Times New Roman"/>
                <w:color w:val="000000"/>
                <w:sz w:val="20"/>
                <w:szCs w:val="20"/>
                <w:lang w:eastAsia="pt-BR"/>
              </w:rPr>
              <w:t>2019</w:t>
            </w:r>
          </w:p>
        </w:tc>
      </w:tr>
      <w:tr w:rsidR="00723E1E" w:rsidRPr="00DA4BA7" w:rsidTr="00DA4BA7">
        <w:trPr>
          <w:trHeight w:val="288"/>
          <w:jc w:val="center"/>
        </w:trPr>
        <w:tc>
          <w:tcPr>
            <w:tcW w:w="0" w:type="auto"/>
            <w:tcBorders>
              <w:top w:val="single" w:sz="4" w:space="0" w:color="auto"/>
            </w:tcBorders>
            <w:shd w:val="clear" w:color="auto" w:fill="auto"/>
            <w:noWrap/>
            <w:vAlign w:val="center"/>
            <w:hideMark/>
          </w:tcPr>
          <w:p w:rsidR="00723E1E" w:rsidRPr="00DA4BA7" w:rsidRDefault="00723E1E" w:rsidP="00DA4BA7">
            <w:pPr>
              <w:spacing w:after="0" w:line="240" w:lineRule="auto"/>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Brasil</w:t>
            </w:r>
          </w:p>
        </w:tc>
        <w:tc>
          <w:tcPr>
            <w:tcW w:w="0" w:type="auto"/>
            <w:tcBorders>
              <w:top w:val="single" w:sz="4" w:space="0" w:color="auto"/>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1 570 </w:t>
            </w:r>
          </w:p>
        </w:tc>
        <w:tc>
          <w:tcPr>
            <w:tcW w:w="0" w:type="auto"/>
            <w:tcBorders>
              <w:top w:val="single" w:sz="4" w:space="0" w:color="auto"/>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1 589 </w:t>
            </w:r>
          </w:p>
        </w:tc>
        <w:tc>
          <w:tcPr>
            <w:tcW w:w="0" w:type="auto"/>
            <w:tcBorders>
              <w:top w:val="single" w:sz="4" w:space="0" w:color="auto"/>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1 537 </w:t>
            </w:r>
          </w:p>
        </w:tc>
        <w:tc>
          <w:tcPr>
            <w:tcW w:w="0" w:type="auto"/>
            <w:tcBorders>
              <w:top w:val="single" w:sz="4" w:space="0" w:color="auto"/>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1 514 </w:t>
            </w:r>
          </w:p>
        </w:tc>
        <w:tc>
          <w:tcPr>
            <w:tcW w:w="0" w:type="auto"/>
            <w:tcBorders>
              <w:top w:val="single" w:sz="4" w:space="0" w:color="auto"/>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1 512 </w:t>
            </w:r>
          </w:p>
        </w:tc>
        <w:tc>
          <w:tcPr>
            <w:tcW w:w="0" w:type="auto"/>
            <w:tcBorders>
              <w:top w:val="single" w:sz="4" w:space="0" w:color="auto"/>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1 485 </w:t>
            </w:r>
          </w:p>
        </w:tc>
        <w:tc>
          <w:tcPr>
            <w:tcW w:w="0" w:type="auto"/>
            <w:tcBorders>
              <w:top w:val="single" w:sz="4" w:space="0" w:color="auto"/>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1 454</w:t>
            </w:r>
          </w:p>
        </w:tc>
      </w:tr>
      <w:tr w:rsidR="00723E1E" w:rsidRPr="00DA4BA7" w:rsidTr="00DA4BA7">
        <w:trPr>
          <w:trHeight w:val="288"/>
          <w:jc w:val="center"/>
        </w:trPr>
        <w:tc>
          <w:tcPr>
            <w:tcW w:w="0" w:type="auto"/>
            <w:tcBorders>
              <w:bottom w:val="nil"/>
            </w:tcBorders>
            <w:shd w:val="clear" w:color="auto" w:fill="auto"/>
            <w:noWrap/>
            <w:vAlign w:val="center"/>
            <w:hideMark/>
          </w:tcPr>
          <w:p w:rsidR="00723E1E" w:rsidRPr="00DA4BA7" w:rsidRDefault="00723E1E" w:rsidP="00DA4BA7">
            <w:pPr>
              <w:spacing w:after="0" w:line="240" w:lineRule="auto"/>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Norte</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1 278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1 339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1 274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1 195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1 245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1 215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1 153</w:t>
            </w:r>
          </w:p>
        </w:tc>
      </w:tr>
      <w:tr w:rsidR="00723E1E" w:rsidRPr="00DA4BA7" w:rsidTr="00DA4BA7">
        <w:trPr>
          <w:trHeight w:val="288"/>
          <w:jc w:val="center"/>
        </w:trPr>
        <w:tc>
          <w:tcPr>
            <w:tcW w:w="0" w:type="auto"/>
            <w:tcBorders>
              <w:top w:val="nil"/>
              <w:bottom w:val="nil"/>
            </w:tcBorders>
            <w:shd w:val="clear" w:color="auto" w:fill="auto"/>
            <w:vAlign w:val="center"/>
            <w:hideMark/>
          </w:tcPr>
          <w:p w:rsidR="00723E1E" w:rsidRPr="00DA4BA7" w:rsidRDefault="00723E1E" w:rsidP="00DA4BA7">
            <w:pPr>
              <w:spacing w:after="0" w:line="240" w:lineRule="auto"/>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Sudeste</w:t>
            </w:r>
          </w:p>
        </w:tc>
        <w:tc>
          <w:tcPr>
            <w:tcW w:w="0" w:type="auto"/>
            <w:tcBorders>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1 772 </w:t>
            </w:r>
          </w:p>
        </w:tc>
        <w:tc>
          <w:tcPr>
            <w:tcW w:w="0" w:type="auto"/>
            <w:tcBorders>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1 775 </w:t>
            </w:r>
          </w:p>
        </w:tc>
        <w:tc>
          <w:tcPr>
            <w:tcW w:w="0" w:type="auto"/>
            <w:tcBorders>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1 739 </w:t>
            </w:r>
          </w:p>
        </w:tc>
        <w:tc>
          <w:tcPr>
            <w:tcW w:w="0" w:type="auto"/>
            <w:tcBorders>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1 699 </w:t>
            </w:r>
          </w:p>
        </w:tc>
        <w:tc>
          <w:tcPr>
            <w:tcW w:w="0" w:type="auto"/>
            <w:tcBorders>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1 659 </w:t>
            </w:r>
          </w:p>
        </w:tc>
        <w:tc>
          <w:tcPr>
            <w:tcW w:w="0" w:type="auto"/>
            <w:tcBorders>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1 647 </w:t>
            </w:r>
          </w:p>
        </w:tc>
        <w:tc>
          <w:tcPr>
            <w:tcW w:w="0" w:type="auto"/>
            <w:tcBorders>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1 594</w:t>
            </w:r>
          </w:p>
        </w:tc>
      </w:tr>
      <w:tr w:rsidR="00723E1E" w:rsidRPr="00DA4BA7" w:rsidTr="00DA4BA7">
        <w:trPr>
          <w:trHeight w:val="288"/>
          <w:jc w:val="center"/>
        </w:trPr>
        <w:tc>
          <w:tcPr>
            <w:tcW w:w="0" w:type="auto"/>
            <w:tcBorders>
              <w:top w:val="nil"/>
              <w:bottom w:val="nil"/>
            </w:tcBorders>
            <w:shd w:val="clear" w:color="auto" w:fill="auto"/>
            <w:vAlign w:val="center"/>
            <w:hideMark/>
          </w:tcPr>
          <w:p w:rsidR="00723E1E" w:rsidRPr="00DA4BA7" w:rsidRDefault="00723E1E" w:rsidP="00DA4BA7">
            <w:pPr>
              <w:spacing w:after="0" w:line="240" w:lineRule="auto"/>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Sul</w:t>
            </w:r>
          </w:p>
        </w:tc>
        <w:tc>
          <w:tcPr>
            <w:tcW w:w="0" w:type="auto"/>
            <w:tcBorders>
              <w:top w:val="nil"/>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1 766 </w:t>
            </w:r>
          </w:p>
        </w:tc>
        <w:tc>
          <w:tcPr>
            <w:tcW w:w="0" w:type="auto"/>
            <w:tcBorders>
              <w:top w:val="nil"/>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1 812 </w:t>
            </w:r>
          </w:p>
        </w:tc>
        <w:tc>
          <w:tcPr>
            <w:tcW w:w="0" w:type="auto"/>
            <w:tcBorders>
              <w:top w:val="nil"/>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1 741 </w:t>
            </w:r>
          </w:p>
        </w:tc>
        <w:tc>
          <w:tcPr>
            <w:tcW w:w="0" w:type="auto"/>
            <w:tcBorders>
              <w:top w:val="nil"/>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1 716 </w:t>
            </w:r>
          </w:p>
        </w:tc>
        <w:tc>
          <w:tcPr>
            <w:tcW w:w="0" w:type="auto"/>
            <w:tcBorders>
              <w:top w:val="nil"/>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1 720 </w:t>
            </w:r>
          </w:p>
        </w:tc>
        <w:tc>
          <w:tcPr>
            <w:tcW w:w="0" w:type="auto"/>
            <w:tcBorders>
              <w:top w:val="nil"/>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1 679 </w:t>
            </w:r>
          </w:p>
        </w:tc>
        <w:tc>
          <w:tcPr>
            <w:tcW w:w="0" w:type="auto"/>
            <w:tcBorders>
              <w:top w:val="nil"/>
              <w:bottom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1 721</w:t>
            </w:r>
          </w:p>
        </w:tc>
      </w:tr>
      <w:tr w:rsidR="00723E1E" w:rsidRPr="00DA4BA7" w:rsidTr="00DA4BA7">
        <w:trPr>
          <w:trHeight w:val="288"/>
          <w:jc w:val="center"/>
        </w:trPr>
        <w:tc>
          <w:tcPr>
            <w:tcW w:w="0" w:type="auto"/>
            <w:tcBorders>
              <w:top w:val="nil"/>
            </w:tcBorders>
            <w:shd w:val="clear" w:color="auto" w:fill="auto"/>
            <w:vAlign w:val="center"/>
            <w:hideMark/>
          </w:tcPr>
          <w:p w:rsidR="00723E1E" w:rsidRPr="00DA4BA7" w:rsidRDefault="00723E1E" w:rsidP="00DA4BA7">
            <w:pPr>
              <w:spacing w:after="0" w:line="240" w:lineRule="auto"/>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Centro-Oeste</w:t>
            </w:r>
          </w:p>
        </w:tc>
        <w:tc>
          <w:tcPr>
            <w:tcW w:w="0" w:type="auto"/>
            <w:tcBorders>
              <w:top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1 763 </w:t>
            </w:r>
          </w:p>
        </w:tc>
        <w:tc>
          <w:tcPr>
            <w:tcW w:w="0" w:type="auto"/>
            <w:tcBorders>
              <w:top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1 769 </w:t>
            </w:r>
          </w:p>
        </w:tc>
        <w:tc>
          <w:tcPr>
            <w:tcW w:w="0" w:type="auto"/>
            <w:tcBorders>
              <w:top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1 690 </w:t>
            </w:r>
          </w:p>
        </w:tc>
        <w:tc>
          <w:tcPr>
            <w:tcW w:w="0" w:type="auto"/>
            <w:tcBorders>
              <w:top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1 664 </w:t>
            </w:r>
          </w:p>
        </w:tc>
        <w:tc>
          <w:tcPr>
            <w:tcW w:w="0" w:type="auto"/>
            <w:tcBorders>
              <w:top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1 677 </w:t>
            </w:r>
          </w:p>
        </w:tc>
        <w:tc>
          <w:tcPr>
            <w:tcW w:w="0" w:type="auto"/>
            <w:tcBorders>
              <w:top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1 670 </w:t>
            </w:r>
          </w:p>
        </w:tc>
        <w:tc>
          <w:tcPr>
            <w:tcW w:w="0" w:type="auto"/>
            <w:tcBorders>
              <w:top w:val="nil"/>
            </w:tcBorders>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1 604 </w:t>
            </w:r>
          </w:p>
        </w:tc>
      </w:tr>
      <w:tr w:rsidR="00723E1E" w:rsidRPr="00DA4BA7" w:rsidTr="00DA4BA7">
        <w:trPr>
          <w:trHeight w:val="288"/>
          <w:jc w:val="center"/>
        </w:trPr>
        <w:tc>
          <w:tcPr>
            <w:tcW w:w="0" w:type="auto"/>
            <w:shd w:val="clear" w:color="auto" w:fill="auto"/>
            <w:vAlign w:val="center"/>
            <w:hideMark/>
          </w:tcPr>
          <w:p w:rsidR="00723E1E" w:rsidRPr="00DA4BA7" w:rsidRDefault="00723E1E" w:rsidP="00DA4BA7">
            <w:pPr>
              <w:spacing w:after="0" w:line="240" w:lineRule="auto"/>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Nordeste</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1 097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1 138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1 085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1 077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1 118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1 049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bCs/>
                <w:sz w:val="20"/>
                <w:szCs w:val="20"/>
                <w:lang w:eastAsia="pt-BR"/>
              </w:rPr>
            </w:pPr>
            <w:r w:rsidRPr="00DA4BA7">
              <w:rPr>
                <w:rFonts w:ascii="Times New Roman" w:eastAsia="Times New Roman" w:hAnsi="Times New Roman"/>
                <w:bCs/>
                <w:sz w:val="20"/>
                <w:szCs w:val="20"/>
                <w:lang w:eastAsia="pt-BR"/>
              </w:rPr>
              <w:t xml:space="preserve">1 026 </w:t>
            </w:r>
          </w:p>
        </w:tc>
      </w:tr>
      <w:tr w:rsidR="00723E1E" w:rsidRPr="00DA4BA7" w:rsidTr="00DA4BA7">
        <w:trPr>
          <w:trHeight w:val="288"/>
          <w:jc w:val="center"/>
        </w:trPr>
        <w:tc>
          <w:tcPr>
            <w:tcW w:w="0" w:type="auto"/>
            <w:shd w:val="clear" w:color="auto" w:fill="auto"/>
            <w:noWrap/>
            <w:vAlign w:val="center"/>
            <w:hideMark/>
          </w:tcPr>
          <w:p w:rsidR="00723E1E" w:rsidRPr="00DA4BA7" w:rsidRDefault="00723E1E" w:rsidP="00DA4BA7">
            <w:pPr>
              <w:spacing w:after="0" w:line="240" w:lineRule="auto"/>
              <w:ind w:left="142"/>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Maranhão</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1 016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959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962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953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980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987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956 </w:t>
            </w:r>
          </w:p>
        </w:tc>
      </w:tr>
      <w:tr w:rsidR="00723E1E" w:rsidRPr="00DA4BA7" w:rsidTr="00DA4BA7">
        <w:trPr>
          <w:trHeight w:val="288"/>
          <w:jc w:val="center"/>
        </w:trPr>
        <w:tc>
          <w:tcPr>
            <w:tcW w:w="0" w:type="auto"/>
            <w:shd w:val="clear" w:color="auto" w:fill="auto"/>
            <w:noWrap/>
            <w:vAlign w:val="center"/>
            <w:hideMark/>
          </w:tcPr>
          <w:p w:rsidR="00723E1E" w:rsidRPr="00DA4BA7" w:rsidRDefault="00723E1E" w:rsidP="00DA4BA7">
            <w:pPr>
              <w:spacing w:after="0" w:line="240" w:lineRule="auto"/>
              <w:ind w:left="142"/>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Piauí</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1 028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1 070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1 076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1 014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1 016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1 032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942 </w:t>
            </w:r>
          </w:p>
        </w:tc>
      </w:tr>
      <w:tr w:rsidR="00723E1E" w:rsidRPr="00DA4BA7" w:rsidTr="00DA4BA7">
        <w:trPr>
          <w:trHeight w:val="288"/>
          <w:jc w:val="center"/>
        </w:trPr>
        <w:tc>
          <w:tcPr>
            <w:tcW w:w="0" w:type="auto"/>
            <w:shd w:val="clear" w:color="auto" w:fill="auto"/>
            <w:noWrap/>
            <w:vAlign w:val="center"/>
            <w:hideMark/>
          </w:tcPr>
          <w:p w:rsidR="00723E1E" w:rsidRPr="00DA4BA7" w:rsidRDefault="00723E1E" w:rsidP="00DA4BA7">
            <w:pPr>
              <w:spacing w:after="0" w:line="240" w:lineRule="auto"/>
              <w:ind w:left="142"/>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Ceará</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1 085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1 191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1 121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1 142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1 075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1 044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1 069 </w:t>
            </w:r>
          </w:p>
        </w:tc>
      </w:tr>
      <w:tr w:rsidR="00723E1E" w:rsidRPr="00DA4BA7" w:rsidTr="00DA4BA7">
        <w:trPr>
          <w:trHeight w:val="288"/>
          <w:jc w:val="center"/>
        </w:trPr>
        <w:tc>
          <w:tcPr>
            <w:tcW w:w="0" w:type="auto"/>
            <w:shd w:val="clear" w:color="auto" w:fill="auto"/>
            <w:noWrap/>
            <w:vAlign w:val="center"/>
            <w:hideMark/>
          </w:tcPr>
          <w:p w:rsidR="00723E1E" w:rsidRPr="00DA4BA7" w:rsidRDefault="00723E1E" w:rsidP="00DA4BA7">
            <w:pPr>
              <w:spacing w:after="0" w:line="240" w:lineRule="auto"/>
              <w:ind w:left="142"/>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Rio Grande do </w:t>
            </w:r>
            <w:r w:rsidRPr="00DA4BA7">
              <w:rPr>
                <w:rFonts w:ascii="Times New Roman" w:eastAsia="Times New Roman" w:hAnsi="Times New Roman"/>
                <w:b/>
                <w:sz w:val="20"/>
                <w:szCs w:val="20"/>
                <w:lang w:eastAsia="pt-BR"/>
              </w:rPr>
              <w:t>N</w:t>
            </w:r>
            <w:r w:rsidRPr="00DA4BA7">
              <w:rPr>
                <w:rFonts w:ascii="Times New Roman" w:eastAsia="Times New Roman" w:hAnsi="Times New Roman"/>
                <w:sz w:val="20"/>
                <w:szCs w:val="20"/>
                <w:lang w:eastAsia="pt-BR"/>
              </w:rPr>
              <w:t>orte</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1 070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1 178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1 123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1 120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1 144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996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1 116 </w:t>
            </w:r>
          </w:p>
        </w:tc>
      </w:tr>
      <w:tr w:rsidR="00723E1E" w:rsidRPr="00DA4BA7" w:rsidTr="00DA4BA7">
        <w:trPr>
          <w:trHeight w:val="288"/>
          <w:jc w:val="center"/>
        </w:trPr>
        <w:tc>
          <w:tcPr>
            <w:tcW w:w="0" w:type="auto"/>
            <w:shd w:val="clear" w:color="auto" w:fill="auto"/>
            <w:noWrap/>
            <w:vAlign w:val="center"/>
            <w:hideMark/>
          </w:tcPr>
          <w:p w:rsidR="00723E1E" w:rsidRPr="00DA4BA7" w:rsidRDefault="00723E1E" w:rsidP="00DA4BA7">
            <w:pPr>
              <w:spacing w:after="0" w:line="240" w:lineRule="auto"/>
              <w:ind w:left="142"/>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Paraíba</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1 023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1 132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1 077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990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1 098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1 077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1 008 </w:t>
            </w:r>
          </w:p>
        </w:tc>
      </w:tr>
      <w:tr w:rsidR="00723E1E" w:rsidRPr="00DA4BA7" w:rsidTr="00DA4BA7">
        <w:trPr>
          <w:trHeight w:val="288"/>
          <w:jc w:val="center"/>
        </w:trPr>
        <w:tc>
          <w:tcPr>
            <w:tcW w:w="0" w:type="auto"/>
            <w:shd w:val="clear" w:color="auto" w:fill="auto"/>
            <w:noWrap/>
            <w:vAlign w:val="center"/>
            <w:hideMark/>
          </w:tcPr>
          <w:p w:rsidR="00723E1E" w:rsidRPr="00DA4BA7" w:rsidRDefault="00723E1E" w:rsidP="00DA4BA7">
            <w:pPr>
              <w:spacing w:after="0" w:line="240" w:lineRule="auto"/>
              <w:ind w:left="142"/>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Pernambuco</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1 406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1 365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1 242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1 179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1 171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1 127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1 059 </w:t>
            </w:r>
          </w:p>
        </w:tc>
      </w:tr>
      <w:tr w:rsidR="00723E1E" w:rsidRPr="00DA4BA7" w:rsidTr="00DA4BA7">
        <w:trPr>
          <w:trHeight w:val="288"/>
          <w:jc w:val="center"/>
        </w:trPr>
        <w:tc>
          <w:tcPr>
            <w:tcW w:w="0" w:type="auto"/>
            <w:shd w:val="clear" w:color="auto" w:fill="auto"/>
            <w:noWrap/>
            <w:vAlign w:val="center"/>
            <w:hideMark/>
          </w:tcPr>
          <w:p w:rsidR="00723E1E" w:rsidRPr="00DA4BA7" w:rsidRDefault="00723E1E" w:rsidP="00DA4BA7">
            <w:pPr>
              <w:spacing w:after="0" w:line="240" w:lineRule="auto"/>
              <w:ind w:left="142"/>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Alagoas</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1 060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1 103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1 061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1 066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1 038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1 092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1 162 </w:t>
            </w:r>
          </w:p>
        </w:tc>
      </w:tr>
      <w:tr w:rsidR="00723E1E" w:rsidRPr="00DA4BA7" w:rsidTr="00DA4BA7">
        <w:trPr>
          <w:trHeight w:val="288"/>
          <w:jc w:val="center"/>
        </w:trPr>
        <w:tc>
          <w:tcPr>
            <w:tcW w:w="0" w:type="auto"/>
            <w:shd w:val="clear" w:color="auto" w:fill="auto"/>
            <w:noWrap/>
            <w:vAlign w:val="center"/>
            <w:hideMark/>
          </w:tcPr>
          <w:p w:rsidR="00723E1E" w:rsidRPr="00DA4BA7" w:rsidRDefault="00723E1E" w:rsidP="00DA4BA7">
            <w:pPr>
              <w:spacing w:after="0" w:line="240" w:lineRule="auto"/>
              <w:ind w:left="142"/>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Sergipe</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1 104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1 093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1 047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1 198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1 211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1 067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976 </w:t>
            </w:r>
          </w:p>
        </w:tc>
      </w:tr>
      <w:tr w:rsidR="00723E1E" w:rsidRPr="00DA4BA7" w:rsidTr="00DA4BA7">
        <w:trPr>
          <w:trHeight w:val="288"/>
          <w:jc w:val="center"/>
        </w:trPr>
        <w:tc>
          <w:tcPr>
            <w:tcW w:w="0" w:type="auto"/>
            <w:shd w:val="clear" w:color="auto" w:fill="auto"/>
            <w:noWrap/>
            <w:vAlign w:val="center"/>
            <w:hideMark/>
          </w:tcPr>
          <w:p w:rsidR="00723E1E" w:rsidRPr="00DA4BA7" w:rsidRDefault="00723E1E" w:rsidP="00DA4BA7">
            <w:pPr>
              <w:spacing w:after="0" w:line="240" w:lineRule="auto"/>
              <w:ind w:left="142"/>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Bahia</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1 008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1 067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1 031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1 039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1 193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1 029 </w:t>
            </w:r>
          </w:p>
        </w:tc>
        <w:tc>
          <w:tcPr>
            <w:tcW w:w="0" w:type="auto"/>
            <w:shd w:val="clear" w:color="auto" w:fill="auto"/>
            <w:noWrap/>
            <w:vAlign w:val="center"/>
            <w:hideMark/>
          </w:tcPr>
          <w:p w:rsidR="00723E1E" w:rsidRPr="00DA4BA7" w:rsidRDefault="00723E1E" w:rsidP="00DA4BA7">
            <w:pPr>
              <w:spacing w:after="0" w:line="240" w:lineRule="auto"/>
              <w:jc w:val="right"/>
              <w:rPr>
                <w:rFonts w:ascii="Times New Roman" w:eastAsia="Times New Roman" w:hAnsi="Times New Roman"/>
                <w:sz w:val="20"/>
                <w:szCs w:val="20"/>
                <w:lang w:eastAsia="pt-BR"/>
              </w:rPr>
            </w:pPr>
            <w:r w:rsidRPr="00DA4BA7">
              <w:rPr>
                <w:rFonts w:ascii="Times New Roman" w:eastAsia="Times New Roman" w:hAnsi="Times New Roman"/>
                <w:sz w:val="20"/>
                <w:szCs w:val="20"/>
                <w:lang w:eastAsia="pt-BR"/>
              </w:rPr>
              <w:t xml:space="preserve">992 </w:t>
            </w:r>
          </w:p>
        </w:tc>
      </w:tr>
    </w:tbl>
    <w:p w:rsidR="00DA4BA7" w:rsidRPr="0092372B" w:rsidRDefault="00DA4BA7" w:rsidP="00DA4BA7">
      <w:pPr>
        <w:spacing w:after="0" w:line="360" w:lineRule="auto"/>
        <w:jc w:val="center"/>
        <w:rPr>
          <w:rFonts w:ascii="Times New Roman" w:hAnsi="Times New Roman"/>
          <w:szCs w:val="24"/>
        </w:rPr>
      </w:pPr>
      <w:r w:rsidRPr="0092372B">
        <w:rPr>
          <w:rFonts w:ascii="Times New Roman" w:hAnsi="Times New Roman"/>
          <w:szCs w:val="24"/>
        </w:rPr>
        <w:t>Fonte:</w:t>
      </w:r>
      <w:r w:rsidRPr="0092372B">
        <w:rPr>
          <w:rFonts w:ascii="Times New Roman" w:hAnsi="Times New Roman"/>
          <w:szCs w:val="24"/>
          <w:shd w:val="clear" w:color="auto" w:fill="FFFFFF"/>
        </w:rPr>
        <w:t xml:space="preserve"> IBGE 2022b. PNAD</w:t>
      </w:r>
      <w:r>
        <w:rPr>
          <w:rFonts w:ascii="Times New Roman" w:hAnsi="Times New Roman"/>
          <w:szCs w:val="24"/>
          <w:shd w:val="clear" w:color="auto" w:fill="FFFFFF"/>
        </w:rPr>
        <w:t xml:space="preserve"> Contínua</w:t>
      </w:r>
      <w:r w:rsidRPr="0092372B">
        <w:rPr>
          <w:rFonts w:ascii="Times New Roman" w:hAnsi="Times New Roman"/>
          <w:szCs w:val="24"/>
          <w:shd w:val="clear" w:color="auto" w:fill="FFFFFF"/>
        </w:rPr>
        <w:t>. Elaboração própria 2022.</w:t>
      </w:r>
    </w:p>
    <w:p w:rsidR="00723E1E" w:rsidRPr="0061769D" w:rsidRDefault="00723E1E" w:rsidP="00E3097D">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 xml:space="preserve">Por fim, a tabela 11 traz os dados sobre rendimentos do trabalho para os jovens. A partir desta tabela pode-se retirar </w:t>
      </w:r>
      <w:r w:rsidR="00DE66A2">
        <w:rPr>
          <w:rFonts w:ascii="Times New Roman" w:hAnsi="Times New Roman"/>
          <w:sz w:val="24"/>
          <w:szCs w:val="24"/>
          <w:shd w:val="clear" w:color="auto" w:fill="FFFFFF"/>
        </w:rPr>
        <w:t>quatro</w:t>
      </w:r>
      <w:r w:rsidRPr="0061769D">
        <w:rPr>
          <w:rFonts w:ascii="Times New Roman" w:hAnsi="Times New Roman"/>
          <w:sz w:val="24"/>
          <w:szCs w:val="24"/>
          <w:shd w:val="clear" w:color="auto" w:fill="FFFFFF"/>
        </w:rPr>
        <w:t xml:space="preserve"> informações sobre aspectos gerais da renda do trabalho da população jovem no Brasil</w:t>
      </w:r>
      <w:r w:rsidR="00DE66A2">
        <w:rPr>
          <w:rFonts w:ascii="Times New Roman" w:hAnsi="Times New Roman"/>
          <w:sz w:val="24"/>
          <w:szCs w:val="24"/>
          <w:shd w:val="clear" w:color="auto" w:fill="FFFFFF"/>
        </w:rPr>
        <w:t>: a) que os jovens do N</w:t>
      </w:r>
      <w:r w:rsidRPr="0061769D">
        <w:rPr>
          <w:rFonts w:ascii="Times New Roman" w:hAnsi="Times New Roman"/>
          <w:sz w:val="24"/>
          <w:szCs w:val="24"/>
          <w:shd w:val="clear" w:color="auto" w:fill="FFFFFF"/>
        </w:rPr>
        <w:t xml:space="preserve">ordeste são, disparados, os que recebem menor remuneração no país; b) que a renda dos jovens vem caindo desde 2014 </w:t>
      </w:r>
      <w:r w:rsidR="00DE66A2">
        <w:rPr>
          <w:rFonts w:ascii="Times New Roman" w:hAnsi="Times New Roman"/>
          <w:sz w:val="24"/>
          <w:szCs w:val="24"/>
          <w:shd w:val="clear" w:color="auto" w:fill="FFFFFF"/>
        </w:rPr>
        <w:t>em todas as regiões;</w:t>
      </w:r>
      <w:r w:rsidRPr="0061769D">
        <w:rPr>
          <w:rFonts w:ascii="Times New Roman" w:hAnsi="Times New Roman"/>
          <w:sz w:val="24"/>
          <w:szCs w:val="24"/>
          <w:shd w:val="clear" w:color="auto" w:fill="FFFFFF"/>
        </w:rPr>
        <w:t xml:space="preserve"> c) que a reforma trabalhista em 2017 não teve capacidade de aumentar a renda do trabalho da população j</w:t>
      </w:r>
      <w:r w:rsidR="00DE66A2">
        <w:rPr>
          <w:rFonts w:ascii="Times New Roman" w:hAnsi="Times New Roman"/>
          <w:sz w:val="24"/>
          <w:szCs w:val="24"/>
          <w:shd w:val="clear" w:color="auto" w:fill="FFFFFF"/>
        </w:rPr>
        <w:t xml:space="preserve">ovem em nenhuma região do país e d) </w:t>
      </w:r>
      <w:r w:rsidRPr="0061769D">
        <w:rPr>
          <w:rFonts w:ascii="Times New Roman" w:hAnsi="Times New Roman"/>
          <w:sz w:val="24"/>
          <w:szCs w:val="24"/>
          <w:shd w:val="clear" w:color="auto" w:fill="FFFFFF"/>
        </w:rPr>
        <w:t>em todo país, a renda real do trabalho das pessoas jovens em 2019 estava abaixo do patamar de 2013, uma regressão de mais de 6 anos.</w:t>
      </w:r>
    </w:p>
    <w:p w:rsidR="00723E1E" w:rsidRDefault="00F40674" w:rsidP="00723E1E">
      <w:pPr>
        <w:spacing w:line="360" w:lineRule="auto"/>
        <w:jc w:val="both"/>
        <w:rPr>
          <w:rFonts w:ascii="Times New Roman" w:hAnsi="Times New Roman"/>
          <w:b/>
          <w:sz w:val="24"/>
          <w:szCs w:val="24"/>
          <w:shd w:val="clear" w:color="auto" w:fill="FFFFFF"/>
        </w:rPr>
      </w:pPr>
      <w:r>
        <w:rPr>
          <w:rFonts w:ascii="Times New Roman" w:hAnsi="Times New Roman"/>
          <w:b/>
          <w:sz w:val="24"/>
          <w:szCs w:val="24"/>
          <w:shd w:val="clear" w:color="auto" w:fill="FFFFFF"/>
        </w:rPr>
        <w:t xml:space="preserve">5 </w:t>
      </w:r>
      <w:r w:rsidR="00723E1E" w:rsidRPr="0061769D">
        <w:rPr>
          <w:rFonts w:ascii="Times New Roman" w:hAnsi="Times New Roman"/>
          <w:b/>
          <w:sz w:val="24"/>
          <w:szCs w:val="24"/>
          <w:shd w:val="clear" w:color="auto" w:fill="FFFFFF"/>
        </w:rPr>
        <w:t>CONSIDERAÇÕES FINAIS</w:t>
      </w:r>
    </w:p>
    <w:p w:rsidR="00FA6A3D" w:rsidRDefault="00FA6A3D" w:rsidP="00FA6A3D">
      <w:pPr>
        <w:spacing w:after="0" w:line="360" w:lineRule="auto"/>
        <w:ind w:firstLine="851"/>
        <w:jc w:val="both"/>
        <w:rPr>
          <w:rFonts w:ascii="Times New Roman" w:hAnsi="Times New Roman"/>
          <w:sz w:val="24"/>
          <w:szCs w:val="24"/>
          <w:shd w:val="clear" w:color="auto" w:fill="FFFFFF"/>
        </w:rPr>
      </w:pPr>
      <w:r w:rsidRPr="0061769D">
        <w:rPr>
          <w:rFonts w:ascii="Times New Roman" w:hAnsi="Times New Roman"/>
          <w:sz w:val="24"/>
          <w:szCs w:val="24"/>
          <w:shd w:val="clear" w:color="auto" w:fill="FFFFFF"/>
        </w:rPr>
        <w:t xml:space="preserve">O discurso da flexibilização das leis trabalhistas argumenta que mais flexibilização permite </w:t>
      </w:r>
      <w:r>
        <w:rPr>
          <w:rFonts w:ascii="Times New Roman" w:hAnsi="Times New Roman"/>
          <w:sz w:val="24"/>
          <w:szCs w:val="24"/>
          <w:shd w:val="clear" w:color="auto" w:fill="FFFFFF"/>
        </w:rPr>
        <w:t>que as empresas gerem</w:t>
      </w:r>
      <w:r w:rsidRPr="0061769D">
        <w:rPr>
          <w:rFonts w:ascii="Times New Roman" w:hAnsi="Times New Roman"/>
          <w:sz w:val="24"/>
          <w:szCs w:val="24"/>
          <w:shd w:val="clear" w:color="auto" w:fill="FFFFFF"/>
        </w:rPr>
        <w:t xml:space="preserve"> mais empregos</w:t>
      </w:r>
      <w:r>
        <w:rPr>
          <w:rFonts w:ascii="Times New Roman" w:hAnsi="Times New Roman"/>
          <w:sz w:val="24"/>
          <w:szCs w:val="24"/>
          <w:shd w:val="clear" w:color="auto" w:fill="FFFFFF"/>
        </w:rPr>
        <w:t>. Entretanto, os resultados da presente pesquisa demonstram que esta afirmação é duvidosa. Sobretudo, se tratando da população jovem.</w:t>
      </w:r>
      <w:r w:rsidR="00D134DD">
        <w:rPr>
          <w:rFonts w:ascii="Times New Roman" w:hAnsi="Times New Roman"/>
          <w:sz w:val="24"/>
          <w:szCs w:val="24"/>
          <w:shd w:val="clear" w:color="auto" w:fill="FFFFFF"/>
        </w:rPr>
        <w:t xml:space="preserve"> </w:t>
      </w:r>
    </w:p>
    <w:p w:rsidR="00FA6A3D" w:rsidRDefault="00FA6A3D" w:rsidP="00FA6A3D">
      <w:pPr>
        <w:spacing w:after="0" w:line="360" w:lineRule="auto"/>
        <w:ind w:firstLine="851"/>
        <w:jc w:val="both"/>
        <w:rPr>
          <w:rFonts w:ascii="Times New Roman" w:hAnsi="Times New Roman"/>
          <w:sz w:val="24"/>
          <w:szCs w:val="24"/>
        </w:rPr>
      </w:pPr>
      <w:r>
        <w:rPr>
          <w:rFonts w:ascii="Times New Roman" w:hAnsi="Times New Roman"/>
          <w:sz w:val="24"/>
          <w:szCs w:val="24"/>
        </w:rPr>
        <w:t xml:space="preserve">Conforme mostram os dados, no Brasil a flexibilização das leis </w:t>
      </w:r>
      <w:r w:rsidRPr="0061769D">
        <w:rPr>
          <w:rFonts w:ascii="Times New Roman" w:hAnsi="Times New Roman"/>
          <w:sz w:val="24"/>
          <w:szCs w:val="24"/>
        </w:rPr>
        <w:t xml:space="preserve">trabalhista </w:t>
      </w:r>
      <w:r>
        <w:rPr>
          <w:rFonts w:ascii="Times New Roman" w:hAnsi="Times New Roman"/>
          <w:sz w:val="24"/>
          <w:szCs w:val="24"/>
        </w:rPr>
        <w:t xml:space="preserve">ocorrida durante ano de 2017 através da Lei das terceirizações (Lei 13429/2017) e a Reforma </w:t>
      </w:r>
      <w:r>
        <w:rPr>
          <w:rFonts w:ascii="Times New Roman" w:hAnsi="Times New Roman"/>
          <w:sz w:val="24"/>
          <w:szCs w:val="24"/>
        </w:rPr>
        <w:lastRenderedPageBreak/>
        <w:t xml:space="preserve">Trabalhista (Lei 13467/2017) </w:t>
      </w:r>
      <w:r w:rsidRPr="0061769D">
        <w:rPr>
          <w:rFonts w:ascii="Times New Roman" w:hAnsi="Times New Roman"/>
          <w:sz w:val="24"/>
          <w:szCs w:val="24"/>
        </w:rPr>
        <w:t>proporcionou claramente uma piora na precarização do emprego do trabalhador jovem com uma queda no emprego formal,</w:t>
      </w:r>
      <w:r>
        <w:rPr>
          <w:rFonts w:ascii="Times New Roman" w:hAnsi="Times New Roman"/>
          <w:sz w:val="24"/>
          <w:szCs w:val="24"/>
        </w:rPr>
        <w:t xml:space="preserve"> renda do trabalho,</w:t>
      </w:r>
      <w:r w:rsidRPr="0061769D">
        <w:rPr>
          <w:rFonts w:ascii="Times New Roman" w:hAnsi="Times New Roman"/>
          <w:sz w:val="24"/>
          <w:szCs w:val="24"/>
        </w:rPr>
        <w:t xml:space="preserve"> aument</w:t>
      </w:r>
      <w:r w:rsidR="00D134DD">
        <w:rPr>
          <w:rFonts w:ascii="Times New Roman" w:hAnsi="Times New Roman"/>
          <w:sz w:val="24"/>
          <w:szCs w:val="24"/>
        </w:rPr>
        <w:t>o do desemprego e subutilização.</w:t>
      </w:r>
      <w:r w:rsidRPr="0061769D">
        <w:rPr>
          <w:rFonts w:ascii="Times New Roman" w:hAnsi="Times New Roman"/>
          <w:sz w:val="24"/>
          <w:szCs w:val="24"/>
        </w:rPr>
        <w:t xml:space="preserve"> </w:t>
      </w:r>
      <w:r w:rsidR="00D134DD">
        <w:rPr>
          <w:rFonts w:ascii="Times New Roman" w:hAnsi="Times New Roman"/>
          <w:sz w:val="24"/>
          <w:szCs w:val="24"/>
        </w:rPr>
        <w:t>E</w:t>
      </w:r>
      <w:r w:rsidRPr="0061769D">
        <w:rPr>
          <w:rFonts w:ascii="Times New Roman" w:hAnsi="Times New Roman"/>
          <w:sz w:val="24"/>
          <w:szCs w:val="24"/>
        </w:rPr>
        <w:t>nfim, o aumento da informalidade e precarização, além da redução de oportunidades de trabalho no serviço público</w:t>
      </w:r>
      <w:r w:rsidR="00D134DD">
        <w:rPr>
          <w:rFonts w:ascii="Times New Roman" w:hAnsi="Times New Roman"/>
          <w:sz w:val="24"/>
          <w:szCs w:val="24"/>
        </w:rPr>
        <w:t xml:space="preserve"> civil e militar</w:t>
      </w:r>
      <w:r w:rsidRPr="0061769D">
        <w:rPr>
          <w:rFonts w:ascii="Times New Roman" w:hAnsi="Times New Roman"/>
          <w:sz w:val="24"/>
          <w:szCs w:val="24"/>
        </w:rPr>
        <w:t xml:space="preserve">, que neste último caso, pode-se creditar aos governos neoliberais que se instalaram no </w:t>
      </w:r>
      <w:r w:rsidR="00D134DD">
        <w:rPr>
          <w:rFonts w:ascii="Times New Roman" w:hAnsi="Times New Roman"/>
          <w:sz w:val="24"/>
          <w:szCs w:val="24"/>
        </w:rPr>
        <w:t xml:space="preserve">poder público </w:t>
      </w:r>
      <w:r w:rsidRPr="0061769D">
        <w:rPr>
          <w:rFonts w:ascii="Times New Roman" w:hAnsi="Times New Roman"/>
          <w:sz w:val="24"/>
          <w:szCs w:val="24"/>
        </w:rPr>
        <w:t>desde 2016, cativos da idéia de austeridade fiscal e enxugamento da máquina pública.</w:t>
      </w:r>
    </w:p>
    <w:p w:rsidR="00D134DD" w:rsidRDefault="00F8371B" w:rsidP="00F8371B">
      <w:pPr>
        <w:spacing w:after="0" w:line="360" w:lineRule="auto"/>
        <w:ind w:firstLine="851"/>
        <w:jc w:val="both"/>
        <w:rPr>
          <w:rFonts w:ascii="Times New Roman" w:hAnsi="Times New Roman"/>
          <w:sz w:val="24"/>
          <w:szCs w:val="24"/>
        </w:rPr>
      </w:pPr>
      <w:r>
        <w:rPr>
          <w:rFonts w:ascii="Times New Roman" w:hAnsi="Times New Roman"/>
          <w:sz w:val="24"/>
          <w:szCs w:val="24"/>
        </w:rPr>
        <w:t>Neste aspecto, a</w:t>
      </w:r>
      <w:r w:rsidR="00D134DD">
        <w:rPr>
          <w:rFonts w:ascii="Times New Roman" w:hAnsi="Times New Roman"/>
          <w:sz w:val="24"/>
          <w:szCs w:val="24"/>
        </w:rPr>
        <w:t xml:space="preserve">s empresas também não foram capazes de criar empregos, haja vista que, </w:t>
      </w:r>
      <w:r w:rsidR="00D134DD" w:rsidRPr="0061769D">
        <w:rPr>
          <w:rFonts w:ascii="Times New Roman" w:hAnsi="Times New Roman"/>
          <w:sz w:val="24"/>
          <w:szCs w:val="24"/>
        </w:rPr>
        <w:t xml:space="preserve">o número de empresas </w:t>
      </w:r>
      <w:r w:rsidR="00D134DD">
        <w:rPr>
          <w:rFonts w:ascii="Times New Roman" w:hAnsi="Times New Roman"/>
          <w:sz w:val="24"/>
          <w:szCs w:val="24"/>
        </w:rPr>
        <w:t xml:space="preserve">que empregam </w:t>
      </w:r>
      <w:r w:rsidR="00D134DD" w:rsidRPr="0061769D">
        <w:rPr>
          <w:rFonts w:ascii="Times New Roman" w:hAnsi="Times New Roman"/>
          <w:sz w:val="24"/>
          <w:szCs w:val="24"/>
        </w:rPr>
        <w:t xml:space="preserve">até 4 funcionários cresceu a uma taxa maior do que o quantitativo de pessoas ocupadas </w:t>
      </w:r>
      <w:r w:rsidR="00D134DD">
        <w:rPr>
          <w:rFonts w:ascii="Times New Roman" w:hAnsi="Times New Roman"/>
          <w:sz w:val="24"/>
          <w:szCs w:val="24"/>
        </w:rPr>
        <w:t>nesse tipo de empresa</w:t>
      </w:r>
      <w:r w:rsidR="00D134DD" w:rsidRPr="0061769D">
        <w:rPr>
          <w:rFonts w:ascii="Times New Roman" w:hAnsi="Times New Roman"/>
          <w:sz w:val="24"/>
          <w:szCs w:val="24"/>
        </w:rPr>
        <w:t>, enquanto as demais empresas apresentaram queda no quantitativo de pessoas ocupadas</w:t>
      </w:r>
      <w:r w:rsidR="00D134DD">
        <w:rPr>
          <w:rFonts w:ascii="Times New Roman" w:hAnsi="Times New Roman"/>
          <w:sz w:val="24"/>
          <w:szCs w:val="24"/>
        </w:rPr>
        <w:t>. Se associarmos esse fator, ao aumento do empreendedorismo jovem, puxados pelas ocupações do tipo Conta Própria e Empregador, é possível ver o</w:t>
      </w:r>
      <w:r w:rsidR="00D134DD" w:rsidRPr="0061769D">
        <w:rPr>
          <w:rFonts w:ascii="Times New Roman" w:hAnsi="Times New Roman"/>
          <w:sz w:val="24"/>
          <w:szCs w:val="24"/>
        </w:rPr>
        <w:t xml:space="preserve"> traço dos impactos da ‘lei da terceirização’</w:t>
      </w:r>
      <w:r w:rsidR="00D134DD">
        <w:rPr>
          <w:rFonts w:ascii="Times New Roman" w:hAnsi="Times New Roman"/>
          <w:sz w:val="24"/>
          <w:szCs w:val="24"/>
        </w:rPr>
        <w:t>. Mas o aumento do empreendedorismo jovem não deve ser comemorado cegamente, pois, este se deu através de uma redução da formalização e na arrecadação previdenciária, isto é, uma redução nas garantias dos direitos sociais previdenciários e do trabalho, diante de um aumento da Pjotização no país.</w:t>
      </w:r>
      <w:r>
        <w:rPr>
          <w:rFonts w:ascii="Times New Roman" w:hAnsi="Times New Roman"/>
          <w:sz w:val="24"/>
          <w:szCs w:val="24"/>
        </w:rPr>
        <w:t xml:space="preserve"> Assim, os jovens brasileiros resolvem o problema do desemprego, subemprego e baixa renda com empreendedorismo do tipo subsistência/necessidade.</w:t>
      </w:r>
    </w:p>
    <w:p w:rsidR="00B54D37" w:rsidRDefault="00D134DD" w:rsidP="00B54D37">
      <w:pPr>
        <w:spacing w:after="0" w:line="360" w:lineRule="auto"/>
        <w:ind w:firstLine="851"/>
        <w:jc w:val="both"/>
        <w:rPr>
          <w:rFonts w:ascii="Times New Roman" w:hAnsi="Times New Roman"/>
          <w:sz w:val="24"/>
          <w:szCs w:val="24"/>
        </w:rPr>
      </w:pPr>
      <w:r>
        <w:rPr>
          <w:rFonts w:ascii="Times New Roman" w:hAnsi="Times New Roman"/>
          <w:sz w:val="24"/>
          <w:szCs w:val="24"/>
        </w:rPr>
        <w:t>Se tratando dos impactos da Reforma</w:t>
      </w:r>
      <w:r w:rsidR="00F8371B">
        <w:rPr>
          <w:rFonts w:ascii="Times New Roman" w:hAnsi="Times New Roman"/>
          <w:sz w:val="24"/>
          <w:szCs w:val="24"/>
        </w:rPr>
        <w:t xml:space="preserve"> especificamente</w:t>
      </w:r>
      <w:r>
        <w:rPr>
          <w:rFonts w:ascii="Times New Roman" w:hAnsi="Times New Roman"/>
          <w:sz w:val="24"/>
          <w:szCs w:val="24"/>
        </w:rPr>
        <w:t xml:space="preserve"> para os jovens da região Nordeste, </w:t>
      </w:r>
      <w:r w:rsidR="00A65526">
        <w:rPr>
          <w:rFonts w:ascii="Times New Roman" w:hAnsi="Times New Roman"/>
          <w:sz w:val="24"/>
          <w:szCs w:val="24"/>
        </w:rPr>
        <w:t xml:space="preserve">viu-se que </w:t>
      </w:r>
      <w:r w:rsidR="00A249C8">
        <w:rPr>
          <w:rFonts w:ascii="Times New Roman" w:hAnsi="Times New Roman"/>
          <w:sz w:val="24"/>
          <w:szCs w:val="24"/>
        </w:rPr>
        <w:t>essa</w:t>
      </w:r>
      <w:r w:rsidR="00A65526">
        <w:rPr>
          <w:rFonts w:ascii="Times New Roman" w:hAnsi="Times New Roman"/>
          <w:sz w:val="24"/>
          <w:szCs w:val="24"/>
        </w:rPr>
        <w:t xml:space="preserve"> também</w:t>
      </w:r>
      <w:r w:rsidR="00A249C8">
        <w:rPr>
          <w:rFonts w:ascii="Times New Roman" w:hAnsi="Times New Roman"/>
          <w:sz w:val="24"/>
          <w:szCs w:val="24"/>
        </w:rPr>
        <w:t xml:space="preserve"> provocou sumariamente uma redução no número de jovens o</w:t>
      </w:r>
      <w:r w:rsidR="00F8371B">
        <w:rPr>
          <w:rFonts w:ascii="Times New Roman" w:hAnsi="Times New Roman"/>
          <w:sz w:val="24"/>
          <w:szCs w:val="24"/>
        </w:rPr>
        <w:t>cupados</w:t>
      </w:r>
      <w:r w:rsidR="00A249C8">
        <w:rPr>
          <w:rFonts w:ascii="Times New Roman" w:hAnsi="Times New Roman"/>
          <w:sz w:val="24"/>
          <w:szCs w:val="24"/>
        </w:rPr>
        <w:t>; elevados</w:t>
      </w:r>
      <w:r w:rsidR="00F8371B">
        <w:rPr>
          <w:rFonts w:ascii="Times New Roman" w:hAnsi="Times New Roman"/>
          <w:sz w:val="24"/>
          <w:szCs w:val="24"/>
        </w:rPr>
        <w:t xml:space="preserve"> índices de desocupação e subuti</w:t>
      </w:r>
      <w:r w:rsidR="00A249C8">
        <w:rPr>
          <w:rFonts w:ascii="Times New Roman" w:hAnsi="Times New Roman"/>
          <w:sz w:val="24"/>
          <w:szCs w:val="24"/>
        </w:rPr>
        <w:t>lização</w:t>
      </w:r>
      <w:r w:rsidR="00F8371B">
        <w:rPr>
          <w:rFonts w:ascii="Times New Roman" w:hAnsi="Times New Roman"/>
          <w:sz w:val="24"/>
          <w:szCs w:val="24"/>
        </w:rPr>
        <w:t xml:space="preserve">. Ademais, os jovens também </w:t>
      </w:r>
      <w:r w:rsidR="00A65526">
        <w:rPr>
          <w:rFonts w:ascii="Times New Roman" w:hAnsi="Times New Roman"/>
          <w:sz w:val="24"/>
          <w:szCs w:val="24"/>
        </w:rPr>
        <w:t>apresentaram</w:t>
      </w:r>
      <w:r w:rsidR="00F8371B">
        <w:rPr>
          <w:rFonts w:ascii="Times New Roman" w:hAnsi="Times New Roman"/>
          <w:sz w:val="24"/>
          <w:szCs w:val="24"/>
        </w:rPr>
        <w:t xml:space="preserve"> uma regressão de seu patamar de renda</w:t>
      </w:r>
      <w:r w:rsidR="00B54D37">
        <w:rPr>
          <w:rFonts w:ascii="Times New Roman" w:hAnsi="Times New Roman"/>
          <w:sz w:val="24"/>
          <w:szCs w:val="24"/>
        </w:rPr>
        <w:t xml:space="preserve">, onde, os nordestinos são </w:t>
      </w:r>
      <w:r w:rsidR="00F8371B" w:rsidRPr="0061769D">
        <w:rPr>
          <w:rFonts w:ascii="Times New Roman" w:hAnsi="Times New Roman"/>
          <w:sz w:val="24"/>
          <w:szCs w:val="24"/>
          <w:shd w:val="clear" w:color="auto" w:fill="FFFFFF"/>
        </w:rPr>
        <w:t>os que recebem menor remuneração no país</w:t>
      </w:r>
      <w:r w:rsidR="00B850C5">
        <w:rPr>
          <w:rFonts w:ascii="Times New Roman" w:hAnsi="Times New Roman"/>
          <w:sz w:val="24"/>
          <w:szCs w:val="24"/>
          <w:shd w:val="clear" w:color="auto" w:fill="FFFFFF"/>
        </w:rPr>
        <w:t>, que esta</w:t>
      </w:r>
      <w:r w:rsidR="00B54D37">
        <w:rPr>
          <w:rFonts w:ascii="Times New Roman" w:hAnsi="Times New Roman"/>
          <w:sz w:val="24"/>
          <w:szCs w:val="24"/>
          <w:shd w:val="clear" w:color="auto" w:fill="FFFFFF"/>
        </w:rPr>
        <w:t xml:space="preserve"> vem caindo desde 2014 (em todas as regiões), e que a reforma trabalhista, assim como não proporcionou a criação de empregos, também não contribuiu para </w:t>
      </w:r>
      <w:r w:rsidR="00F8371B" w:rsidRPr="0061769D">
        <w:rPr>
          <w:rFonts w:ascii="Times New Roman" w:hAnsi="Times New Roman"/>
          <w:sz w:val="24"/>
          <w:szCs w:val="24"/>
          <w:shd w:val="clear" w:color="auto" w:fill="FFFFFF"/>
        </w:rPr>
        <w:t>aumentar a renda do trabalho</w:t>
      </w:r>
      <w:r w:rsidR="00B54D37">
        <w:rPr>
          <w:rFonts w:ascii="Times New Roman" w:hAnsi="Times New Roman"/>
          <w:sz w:val="24"/>
          <w:szCs w:val="24"/>
          <w:shd w:val="clear" w:color="auto" w:fill="FFFFFF"/>
        </w:rPr>
        <w:t xml:space="preserve"> das pessoas jovens,</w:t>
      </w:r>
      <w:r w:rsidR="00F8371B" w:rsidRPr="0061769D">
        <w:rPr>
          <w:rFonts w:ascii="Times New Roman" w:hAnsi="Times New Roman"/>
          <w:sz w:val="24"/>
          <w:szCs w:val="24"/>
          <w:shd w:val="clear" w:color="auto" w:fill="FFFFFF"/>
        </w:rPr>
        <w:t xml:space="preserve"> </w:t>
      </w:r>
      <w:r w:rsidR="00B54D37">
        <w:rPr>
          <w:rFonts w:ascii="Times New Roman" w:hAnsi="Times New Roman"/>
          <w:sz w:val="24"/>
          <w:szCs w:val="24"/>
          <w:shd w:val="clear" w:color="auto" w:fill="FFFFFF"/>
        </w:rPr>
        <w:t xml:space="preserve">cuja </w:t>
      </w:r>
      <w:r w:rsidR="00F8371B" w:rsidRPr="0061769D">
        <w:rPr>
          <w:rFonts w:ascii="Times New Roman" w:hAnsi="Times New Roman"/>
          <w:sz w:val="24"/>
          <w:szCs w:val="24"/>
          <w:shd w:val="clear" w:color="auto" w:fill="FFFFFF"/>
        </w:rPr>
        <w:t>renda em 2019 estava abaixo do patamar de 2013,</w:t>
      </w:r>
      <w:r w:rsidR="00B54D37">
        <w:rPr>
          <w:rFonts w:ascii="Times New Roman" w:hAnsi="Times New Roman"/>
          <w:sz w:val="24"/>
          <w:szCs w:val="24"/>
          <w:shd w:val="clear" w:color="auto" w:fill="FFFFFF"/>
        </w:rPr>
        <w:t xml:space="preserve"> representando</w:t>
      </w:r>
      <w:r w:rsidR="00F8371B" w:rsidRPr="0061769D">
        <w:rPr>
          <w:rFonts w:ascii="Times New Roman" w:hAnsi="Times New Roman"/>
          <w:sz w:val="24"/>
          <w:szCs w:val="24"/>
          <w:shd w:val="clear" w:color="auto" w:fill="FFFFFF"/>
        </w:rPr>
        <w:t xml:space="preserve"> uma regressão de mais de 6 anos.</w:t>
      </w:r>
    </w:p>
    <w:p w:rsidR="004E303B" w:rsidRDefault="00B54D37" w:rsidP="004E303B">
      <w:pPr>
        <w:spacing w:after="0" w:line="360" w:lineRule="auto"/>
        <w:ind w:firstLine="851"/>
        <w:jc w:val="both"/>
        <w:rPr>
          <w:rFonts w:ascii="Times New Roman" w:hAnsi="Times New Roman"/>
          <w:sz w:val="24"/>
          <w:szCs w:val="24"/>
        </w:rPr>
      </w:pPr>
      <w:r>
        <w:rPr>
          <w:rFonts w:ascii="Times New Roman" w:hAnsi="Times New Roman"/>
          <w:sz w:val="24"/>
          <w:szCs w:val="24"/>
        </w:rPr>
        <w:t xml:space="preserve">Por fim, resta entender a dinâmica da participação dos jovens no mercado de trabalho, cuja forma mais recorrente </w:t>
      </w:r>
      <w:r w:rsidR="00B850C5">
        <w:rPr>
          <w:rFonts w:ascii="Times New Roman" w:hAnsi="Times New Roman"/>
          <w:sz w:val="24"/>
          <w:szCs w:val="24"/>
        </w:rPr>
        <w:t xml:space="preserve">se dá através da participação concomitante com os estudos. Nesse aspecto, viu-se que houve uma queda no número de jovens que estudam e trabalham concomitantemente e dos que só trabalham. Por outro lado, houve um leve aumento </w:t>
      </w:r>
      <w:r w:rsidR="00B850C5">
        <w:rPr>
          <w:rFonts w:ascii="Times New Roman" w:hAnsi="Times New Roman"/>
          <w:sz w:val="24"/>
          <w:szCs w:val="24"/>
        </w:rPr>
        <w:lastRenderedPageBreak/>
        <w:t>no quantitativo de jovens que só estudam. Por fim, um dos dados mais preocupantes é o caso dos jovens Nem Nem, cujo quantitativo de jovens desestimulados e sem oportunidades com trabalho e educação cresceu.</w:t>
      </w:r>
    </w:p>
    <w:p w:rsidR="00752D3C" w:rsidRDefault="00B850C5" w:rsidP="004E303B">
      <w:pPr>
        <w:spacing w:after="0" w:line="360" w:lineRule="auto"/>
        <w:ind w:firstLine="851"/>
        <w:jc w:val="both"/>
        <w:rPr>
          <w:rFonts w:ascii="Times New Roman" w:hAnsi="Times New Roman"/>
          <w:sz w:val="24"/>
          <w:szCs w:val="24"/>
        </w:rPr>
      </w:pPr>
      <w:r>
        <w:rPr>
          <w:rFonts w:ascii="Times New Roman" w:hAnsi="Times New Roman"/>
          <w:sz w:val="24"/>
          <w:szCs w:val="24"/>
        </w:rPr>
        <w:t>Portanto, conclui-se</w:t>
      </w:r>
      <w:r w:rsidR="00663F1F">
        <w:rPr>
          <w:rFonts w:ascii="Times New Roman" w:hAnsi="Times New Roman"/>
          <w:sz w:val="24"/>
          <w:szCs w:val="24"/>
        </w:rPr>
        <w:t xml:space="preserve"> que</w:t>
      </w:r>
      <w:r>
        <w:rPr>
          <w:rFonts w:ascii="Times New Roman" w:hAnsi="Times New Roman"/>
          <w:sz w:val="24"/>
          <w:szCs w:val="24"/>
        </w:rPr>
        <w:t xml:space="preserve"> </w:t>
      </w:r>
      <w:r w:rsidR="004E303B">
        <w:rPr>
          <w:rFonts w:ascii="Times New Roman" w:hAnsi="Times New Roman"/>
          <w:sz w:val="24"/>
          <w:szCs w:val="24"/>
        </w:rPr>
        <w:t>a reforma trabalhista não cumpriu sua promessa</w:t>
      </w:r>
      <w:r w:rsidR="00663F1F">
        <w:rPr>
          <w:rFonts w:ascii="Times New Roman" w:hAnsi="Times New Roman"/>
          <w:sz w:val="24"/>
          <w:szCs w:val="24"/>
        </w:rPr>
        <w:t>.</w:t>
      </w:r>
      <w:r w:rsidR="004E303B">
        <w:rPr>
          <w:rFonts w:ascii="Times New Roman" w:hAnsi="Times New Roman"/>
          <w:sz w:val="24"/>
          <w:szCs w:val="24"/>
        </w:rPr>
        <w:t xml:space="preserve"> </w:t>
      </w:r>
      <w:r w:rsidR="00663F1F">
        <w:rPr>
          <w:rFonts w:ascii="Times New Roman" w:hAnsi="Times New Roman"/>
          <w:sz w:val="24"/>
          <w:szCs w:val="24"/>
        </w:rPr>
        <w:t>M</w:t>
      </w:r>
      <w:r w:rsidR="004E303B">
        <w:rPr>
          <w:rFonts w:ascii="Times New Roman" w:hAnsi="Times New Roman"/>
          <w:sz w:val="24"/>
          <w:szCs w:val="24"/>
        </w:rPr>
        <w:t>uito pelo contrário</w:t>
      </w:r>
      <w:r w:rsidR="00663F1F">
        <w:rPr>
          <w:rFonts w:ascii="Times New Roman" w:hAnsi="Times New Roman"/>
          <w:sz w:val="24"/>
          <w:szCs w:val="24"/>
        </w:rPr>
        <w:t>!</w:t>
      </w:r>
      <w:r w:rsidR="004E303B">
        <w:rPr>
          <w:rFonts w:ascii="Times New Roman" w:hAnsi="Times New Roman"/>
          <w:sz w:val="24"/>
          <w:szCs w:val="24"/>
        </w:rPr>
        <w:t xml:space="preserve"> </w:t>
      </w:r>
      <w:r w:rsidR="00663F1F">
        <w:rPr>
          <w:rFonts w:ascii="Times New Roman" w:hAnsi="Times New Roman"/>
          <w:sz w:val="24"/>
          <w:szCs w:val="24"/>
        </w:rPr>
        <w:t>A</w:t>
      </w:r>
      <w:r w:rsidR="004E303B">
        <w:rPr>
          <w:rFonts w:ascii="Times New Roman" w:hAnsi="Times New Roman"/>
          <w:sz w:val="24"/>
          <w:szCs w:val="24"/>
          <w:shd w:val="clear" w:color="auto" w:fill="FFFFFF"/>
        </w:rPr>
        <w:t xml:space="preserve"> reforma p</w:t>
      </w:r>
      <w:r w:rsidR="004E303B" w:rsidRPr="0061769D">
        <w:rPr>
          <w:rFonts w:ascii="Times New Roman" w:hAnsi="Times New Roman"/>
          <w:sz w:val="24"/>
          <w:szCs w:val="24"/>
          <w:shd w:val="clear" w:color="auto" w:fill="FFFFFF"/>
        </w:rPr>
        <w:t>iorou algo que já estava ruim</w:t>
      </w:r>
      <w:r w:rsidR="00663F1F">
        <w:rPr>
          <w:rFonts w:ascii="Times New Roman" w:hAnsi="Times New Roman"/>
          <w:sz w:val="24"/>
          <w:szCs w:val="24"/>
          <w:shd w:val="clear" w:color="auto" w:fill="FFFFFF"/>
        </w:rPr>
        <w:t>. N</w:t>
      </w:r>
      <w:r w:rsidR="004E303B">
        <w:rPr>
          <w:rFonts w:ascii="Times New Roman" w:hAnsi="Times New Roman"/>
          <w:sz w:val="24"/>
          <w:szCs w:val="24"/>
        </w:rPr>
        <w:t>o caso da população jovem</w:t>
      </w:r>
      <w:r w:rsidR="00663F1F">
        <w:rPr>
          <w:rFonts w:ascii="Times New Roman" w:hAnsi="Times New Roman"/>
          <w:sz w:val="24"/>
          <w:szCs w:val="24"/>
        </w:rPr>
        <w:t xml:space="preserve">, conclui-se que se </w:t>
      </w:r>
      <w:r w:rsidR="00752D3C" w:rsidRPr="0061769D">
        <w:rPr>
          <w:rFonts w:ascii="Times New Roman" w:hAnsi="Times New Roman"/>
          <w:sz w:val="24"/>
          <w:szCs w:val="24"/>
          <w:shd w:val="clear" w:color="auto" w:fill="FFFFFF"/>
        </w:rPr>
        <w:t>a situação dos jovens no Brasil vai mal, no Nordeste essa situação fica pior.</w:t>
      </w:r>
      <w:r w:rsidR="00663F1F">
        <w:rPr>
          <w:rFonts w:ascii="Times New Roman" w:hAnsi="Times New Roman"/>
          <w:sz w:val="24"/>
          <w:szCs w:val="24"/>
          <w:shd w:val="clear" w:color="auto" w:fill="FFFFFF"/>
        </w:rPr>
        <w:t xml:space="preserve"> Essa população assistiu ao aprofundamento da piora de suas condições de trabalho, renda, oportunidades e demolição completa de seus direitos trabalhistas em prol de um discurso que só é capaz de beneficiar um lado na relação capital-trabalho, e com certeza, não é o lado do trabalho, independente de sua idade.</w:t>
      </w:r>
    </w:p>
    <w:p w:rsidR="00723E1E" w:rsidRPr="0049692A" w:rsidRDefault="00723E1E" w:rsidP="002D5A3E">
      <w:pPr>
        <w:spacing w:before="120" w:after="120" w:line="240" w:lineRule="auto"/>
        <w:rPr>
          <w:rFonts w:ascii="Times New Roman" w:hAnsi="Times New Roman"/>
          <w:b/>
          <w:sz w:val="24"/>
          <w:szCs w:val="24"/>
          <w:shd w:val="clear" w:color="auto" w:fill="FFFFFF"/>
        </w:rPr>
      </w:pPr>
      <w:r w:rsidRPr="0049692A">
        <w:rPr>
          <w:rFonts w:ascii="Times New Roman" w:hAnsi="Times New Roman"/>
          <w:b/>
          <w:sz w:val="24"/>
          <w:szCs w:val="24"/>
          <w:shd w:val="clear" w:color="auto" w:fill="FFFFFF"/>
        </w:rPr>
        <w:t>REFERÊNCIA BIBLIOGRÁFICA</w:t>
      </w:r>
    </w:p>
    <w:p w:rsidR="0049692A" w:rsidRPr="0049692A" w:rsidRDefault="0049692A" w:rsidP="0049692A">
      <w:pPr>
        <w:spacing w:after="120" w:line="240" w:lineRule="auto"/>
        <w:rPr>
          <w:rFonts w:ascii="Times New Roman" w:hAnsi="Times New Roman"/>
          <w:sz w:val="24"/>
          <w:szCs w:val="24"/>
        </w:rPr>
      </w:pPr>
      <w:r w:rsidRPr="0049692A">
        <w:rPr>
          <w:rFonts w:ascii="Times New Roman" w:hAnsi="Times New Roman"/>
          <w:sz w:val="24"/>
          <w:szCs w:val="24"/>
        </w:rPr>
        <w:t xml:space="preserve">ANTUNES, Ricardo. </w:t>
      </w:r>
      <w:r w:rsidRPr="00681342">
        <w:rPr>
          <w:rFonts w:ascii="Times New Roman" w:hAnsi="Times New Roman"/>
          <w:b/>
          <w:sz w:val="24"/>
          <w:szCs w:val="24"/>
        </w:rPr>
        <w:t xml:space="preserve">Adeus ao trabalho? </w:t>
      </w:r>
      <w:r w:rsidRPr="0049692A">
        <w:rPr>
          <w:rFonts w:ascii="Times New Roman" w:hAnsi="Times New Roman"/>
          <w:sz w:val="24"/>
          <w:szCs w:val="24"/>
        </w:rPr>
        <w:t>Ensaios sobre as metamorfoses e a centralidade</w:t>
      </w:r>
      <w:r>
        <w:rPr>
          <w:rFonts w:ascii="Times New Roman" w:hAnsi="Times New Roman"/>
          <w:sz w:val="24"/>
          <w:szCs w:val="24"/>
        </w:rPr>
        <w:t xml:space="preserve"> </w:t>
      </w:r>
      <w:r w:rsidRPr="0049692A">
        <w:rPr>
          <w:rFonts w:ascii="Times New Roman" w:hAnsi="Times New Roman"/>
          <w:sz w:val="24"/>
          <w:szCs w:val="24"/>
        </w:rPr>
        <w:t>do mundo do trabalho. 2ed. São Paulo. Cortez. 1995.</w:t>
      </w:r>
    </w:p>
    <w:p w:rsidR="00752D3C" w:rsidRPr="0049692A" w:rsidRDefault="00752D3C" w:rsidP="0049692A">
      <w:pPr>
        <w:spacing w:after="120" w:line="240" w:lineRule="auto"/>
        <w:rPr>
          <w:rFonts w:ascii="Times New Roman" w:hAnsi="Times New Roman"/>
          <w:sz w:val="24"/>
          <w:szCs w:val="24"/>
        </w:rPr>
      </w:pPr>
      <w:r w:rsidRPr="0049692A">
        <w:rPr>
          <w:rFonts w:ascii="Times New Roman" w:hAnsi="Times New Roman"/>
          <w:sz w:val="24"/>
          <w:szCs w:val="24"/>
        </w:rPr>
        <w:t>ANTUNES, Ri</w:t>
      </w:r>
      <w:r w:rsidR="00681342">
        <w:rPr>
          <w:rFonts w:ascii="Times New Roman" w:hAnsi="Times New Roman"/>
          <w:sz w:val="24"/>
          <w:szCs w:val="24"/>
        </w:rPr>
        <w:t xml:space="preserve">cardo. </w:t>
      </w:r>
      <w:r w:rsidR="00681342" w:rsidRPr="00681342">
        <w:rPr>
          <w:rFonts w:ascii="Times New Roman" w:hAnsi="Times New Roman"/>
          <w:b/>
          <w:sz w:val="24"/>
          <w:szCs w:val="24"/>
        </w:rPr>
        <w:t>O privilégio da servidão:</w:t>
      </w:r>
      <w:r w:rsidR="00681342">
        <w:rPr>
          <w:rFonts w:ascii="Times New Roman" w:hAnsi="Times New Roman"/>
          <w:sz w:val="24"/>
          <w:szCs w:val="24"/>
        </w:rPr>
        <w:t xml:space="preserve"> o novo proletariado de serviços na era digital. 2ª ed. São Paulo. Boitempo. 2020.</w:t>
      </w:r>
    </w:p>
    <w:p w:rsidR="00752D3C" w:rsidRPr="0049692A" w:rsidRDefault="0049692A" w:rsidP="0049692A">
      <w:pPr>
        <w:spacing w:after="120" w:line="240" w:lineRule="auto"/>
        <w:rPr>
          <w:rFonts w:ascii="Times New Roman" w:hAnsi="Times New Roman"/>
          <w:sz w:val="24"/>
          <w:szCs w:val="24"/>
        </w:rPr>
      </w:pPr>
      <w:r w:rsidRPr="0049692A">
        <w:rPr>
          <w:rFonts w:ascii="Times New Roman" w:hAnsi="Times New Roman"/>
          <w:sz w:val="24"/>
          <w:szCs w:val="24"/>
        </w:rPr>
        <w:t xml:space="preserve">BOURDIER, Pierre. </w:t>
      </w:r>
      <w:r w:rsidRPr="0049692A">
        <w:rPr>
          <w:rFonts w:ascii="Times New Roman" w:hAnsi="Times New Roman"/>
          <w:b/>
          <w:sz w:val="24"/>
          <w:szCs w:val="24"/>
          <w:shd w:val="clear" w:color="auto" w:fill="FFFFFF"/>
        </w:rPr>
        <w:t>A juventude é apenas uma palavra.</w:t>
      </w:r>
      <w:r w:rsidRPr="0049692A">
        <w:rPr>
          <w:rFonts w:ascii="Times New Roman" w:hAnsi="Times New Roman"/>
          <w:sz w:val="24"/>
          <w:szCs w:val="24"/>
          <w:shd w:val="clear" w:color="auto" w:fill="FFFFFF"/>
        </w:rPr>
        <w:t xml:space="preserve"> Questões de sociologia. </w:t>
      </w:r>
      <w:r w:rsidRPr="0049692A">
        <w:rPr>
          <w:rFonts w:ascii="Times New Roman" w:hAnsi="Times New Roman"/>
          <w:sz w:val="24"/>
          <w:szCs w:val="24"/>
        </w:rPr>
        <w:t xml:space="preserve">Rio de Janeiro: Marco Zero. </w:t>
      </w:r>
      <w:r w:rsidRPr="0049692A">
        <w:rPr>
          <w:rFonts w:ascii="Times New Roman" w:hAnsi="Times New Roman"/>
          <w:sz w:val="24"/>
          <w:szCs w:val="24"/>
          <w:shd w:val="clear" w:color="auto" w:fill="FFFFFF"/>
        </w:rPr>
        <w:t xml:space="preserve">1983. </w:t>
      </w:r>
      <w:r w:rsidRPr="0049692A">
        <w:rPr>
          <w:rFonts w:ascii="Times New Roman" w:hAnsi="Times New Roman"/>
          <w:sz w:val="24"/>
          <w:szCs w:val="24"/>
        </w:rPr>
        <w:t>pp. 112-121.</w:t>
      </w:r>
    </w:p>
    <w:p w:rsidR="00752D3C" w:rsidRPr="0049692A" w:rsidRDefault="00752D3C" w:rsidP="0049692A">
      <w:pPr>
        <w:spacing w:after="120" w:line="240" w:lineRule="auto"/>
        <w:rPr>
          <w:rFonts w:ascii="Times New Roman" w:hAnsi="Times New Roman"/>
          <w:sz w:val="24"/>
          <w:szCs w:val="24"/>
        </w:rPr>
      </w:pPr>
      <w:r w:rsidRPr="0049692A">
        <w:rPr>
          <w:rFonts w:ascii="Times New Roman" w:hAnsi="Times New Roman"/>
          <w:sz w:val="24"/>
          <w:szCs w:val="24"/>
        </w:rPr>
        <w:t xml:space="preserve">BRASIL. </w:t>
      </w:r>
      <w:r w:rsidRPr="0049692A">
        <w:rPr>
          <w:rFonts w:ascii="Times New Roman" w:hAnsi="Times New Roman"/>
          <w:b/>
          <w:sz w:val="24"/>
          <w:szCs w:val="24"/>
        </w:rPr>
        <w:t>Lei no 12.852/2013 de 05 de agosto de 2013.</w:t>
      </w:r>
      <w:r w:rsidRPr="0049692A">
        <w:rPr>
          <w:rFonts w:ascii="Times New Roman" w:hAnsi="Times New Roman"/>
          <w:sz w:val="24"/>
          <w:szCs w:val="24"/>
        </w:rPr>
        <w:t xml:space="preserve"> Institui o Estatuto da Juventude e dispõe sobre os direitos dos jovens, os princípios e diretrizes das políticas públicas de juventude e o Sistema Nacional de Juventude – SINAJUVE. Disponível em </w:t>
      </w:r>
      <w:hyperlink r:id="rId10" w:history="1">
        <w:r w:rsidRPr="0049692A">
          <w:rPr>
            <w:rStyle w:val="Hyperlink"/>
            <w:rFonts w:ascii="Times New Roman" w:hAnsi="Times New Roman"/>
            <w:sz w:val="24"/>
            <w:szCs w:val="24"/>
          </w:rPr>
          <w:t>http://www.planalto.gov.br/ccivil_03/_ato2011-2014/2013/lei/l12852.htm</w:t>
        </w:r>
      </w:hyperlink>
      <w:r w:rsidRPr="0049692A">
        <w:rPr>
          <w:rFonts w:ascii="Times New Roman" w:hAnsi="Times New Roman"/>
          <w:sz w:val="24"/>
          <w:szCs w:val="24"/>
        </w:rPr>
        <w:t xml:space="preserve"> Acessado em: 16 de ago. de 2018.</w:t>
      </w:r>
    </w:p>
    <w:p w:rsidR="00723E1E" w:rsidRPr="0049692A" w:rsidRDefault="00723E1E" w:rsidP="0049692A">
      <w:pPr>
        <w:spacing w:after="120" w:line="240" w:lineRule="auto"/>
        <w:rPr>
          <w:rFonts w:ascii="Times New Roman" w:hAnsi="Times New Roman"/>
          <w:sz w:val="24"/>
          <w:szCs w:val="24"/>
        </w:rPr>
      </w:pPr>
      <w:r w:rsidRPr="0049692A">
        <w:rPr>
          <w:rFonts w:ascii="Times New Roman" w:hAnsi="Times New Roman"/>
          <w:sz w:val="24"/>
          <w:szCs w:val="24"/>
        </w:rPr>
        <w:t xml:space="preserve">BRASIL. </w:t>
      </w:r>
      <w:r w:rsidRPr="0049692A">
        <w:rPr>
          <w:rFonts w:ascii="Times New Roman" w:hAnsi="Times New Roman"/>
          <w:b/>
          <w:sz w:val="24"/>
          <w:szCs w:val="24"/>
        </w:rPr>
        <w:t>Lei nº 13.429 de 31 de março de 2017.</w:t>
      </w:r>
      <w:r w:rsidRPr="0049692A">
        <w:rPr>
          <w:rFonts w:ascii="Times New Roman" w:hAnsi="Times New Roman"/>
          <w:sz w:val="24"/>
          <w:szCs w:val="24"/>
        </w:rPr>
        <w:t xml:space="preserve"> Altera dispositivos da Lei n </w:t>
      </w:r>
      <w:r w:rsidRPr="0049692A">
        <w:rPr>
          <w:rFonts w:ascii="Times New Roman" w:hAnsi="Times New Roman"/>
          <w:sz w:val="24"/>
          <w:szCs w:val="24"/>
          <w:u w:val="single"/>
          <w:vertAlign w:val="superscript"/>
          <w:lang w:val="pt-PT"/>
        </w:rPr>
        <w:t>o </w:t>
      </w:r>
      <w:r w:rsidRPr="0049692A">
        <w:rPr>
          <w:rFonts w:ascii="Times New Roman" w:hAnsi="Times New Roman"/>
          <w:sz w:val="24"/>
          <w:szCs w:val="24"/>
        </w:rPr>
        <w:t xml:space="preserve">6.019, de 3 de janeiro de 1974, que dispõe sobre o trabalho temporário nas empresas urbanas e dá outras providências; e dispõe sobre as relações de trabalho na empresa de prestação de serviços a terceiros. </w:t>
      </w:r>
      <w:r w:rsidR="00752D3C" w:rsidRPr="0049692A">
        <w:rPr>
          <w:rFonts w:ascii="Times New Roman" w:hAnsi="Times New Roman"/>
          <w:sz w:val="24"/>
          <w:szCs w:val="24"/>
        </w:rPr>
        <w:t xml:space="preserve">Brasil. 2017a. </w:t>
      </w:r>
      <w:r w:rsidRPr="0049692A">
        <w:rPr>
          <w:rFonts w:ascii="Times New Roman" w:hAnsi="Times New Roman"/>
          <w:sz w:val="24"/>
          <w:szCs w:val="24"/>
        </w:rPr>
        <w:t>Disponível em:</w:t>
      </w:r>
      <w:r w:rsidRPr="0049692A">
        <w:rPr>
          <w:rFonts w:ascii="Times New Roman" w:hAnsi="Times New Roman"/>
          <w:color w:val="800000"/>
          <w:sz w:val="24"/>
          <w:szCs w:val="24"/>
        </w:rPr>
        <w:t xml:space="preserve"> </w:t>
      </w:r>
      <w:hyperlink r:id="rId11" w:history="1">
        <w:r w:rsidRPr="0049692A">
          <w:rPr>
            <w:rStyle w:val="Hyperlink"/>
            <w:rFonts w:ascii="Times New Roman" w:hAnsi="Times New Roman"/>
            <w:sz w:val="24"/>
            <w:szCs w:val="24"/>
          </w:rPr>
          <w:t>http://www.planalto.gov.br/ccivil_03/_ato2015-2018/2017/lei/l13429.htm</w:t>
        </w:r>
      </w:hyperlink>
      <w:r w:rsidRPr="0049692A">
        <w:rPr>
          <w:rFonts w:ascii="Times New Roman" w:hAnsi="Times New Roman"/>
          <w:color w:val="800000"/>
          <w:sz w:val="24"/>
          <w:szCs w:val="24"/>
        </w:rPr>
        <w:t xml:space="preserve"> </w:t>
      </w:r>
      <w:r w:rsidRPr="0049692A">
        <w:rPr>
          <w:rFonts w:ascii="Times New Roman" w:hAnsi="Times New Roman"/>
          <w:sz w:val="24"/>
          <w:szCs w:val="24"/>
        </w:rPr>
        <w:t>Acessado em: 05 de julho de 2022.</w:t>
      </w:r>
    </w:p>
    <w:p w:rsidR="00723E1E" w:rsidRPr="0049692A" w:rsidRDefault="00723E1E" w:rsidP="0049692A">
      <w:pPr>
        <w:spacing w:after="120" w:line="240" w:lineRule="auto"/>
        <w:rPr>
          <w:rFonts w:ascii="Times New Roman" w:hAnsi="Times New Roman"/>
          <w:sz w:val="24"/>
          <w:szCs w:val="24"/>
        </w:rPr>
      </w:pPr>
      <w:r w:rsidRPr="0049692A">
        <w:rPr>
          <w:rFonts w:ascii="Times New Roman" w:hAnsi="Times New Roman"/>
          <w:sz w:val="24"/>
          <w:szCs w:val="24"/>
        </w:rPr>
        <w:t xml:space="preserve">BRASIL. </w:t>
      </w:r>
      <w:r w:rsidRPr="0049692A">
        <w:rPr>
          <w:rFonts w:ascii="Times New Roman" w:hAnsi="Times New Roman"/>
          <w:b/>
          <w:sz w:val="24"/>
          <w:szCs w:val="24"/>
        </w:rPr>
        <w:t>Lei nº 13.467 de 13 de julho de 2017.</w:t>
      </w:r>
      <w:r w:rsidRPr="0049692A">
        <w:rPr>
          <w:rFonts w:ascii="Times New Roman" w:hAnsi="Times New Roman"/>
          <w:color w:val="800000"/>
          <w:sz w:val="24"/>
          <w:szCs w:val="24"/>
        </w:rPr>
        <w:t xml:space="preserve"> </w:t>
      </w:r>
      <w:r w:rsidRPr="0049692A">
        <w:rPr>
          <w:rFonts w:ascii="Times New Roman" w:hAnsi="Times New Roman"/>
          <w:sz w:val="24"/>
          <w:szCs w:val="24"/>
        </w:rPr>
        <w:t xml:space="preserve">Altera a Consolidação das Leis do Trabalho (CLT), aprovada pelo Decreto-Lei nº 5.452, de 1º de maio de 1943, e as Leis n º 6.019, de 3 de janeiro de 1974, 8.036, de 11 de maio de 1990, e 8.212, de 24 de julho de 1991, a fim de adequar a legislação às novas relações de trabalho. </w:t>
      </w:r>
      <w:r w:rsidR="00752D3C" w:rsidRPr="0049692A">
        <w:rPr>
          <w:rFonts w:ascii="Times New Roman" w:hAnsi="Times New Roman"/>
          <w:sz w:val="24"/>
          <w:szCs w:val="24"/>
        </w:rPr>
        <w:t xml:space="preserve">Brasil. 2017b. </w:t>
      </w:r>
      <w:r w:rsidRPr="0049692A">
        <w:rPr>
          <w:rFonts w:ascii="Times New Roman" w:hAnsi="Times New Roman"/>
          <w:sz w:val="24"/>
          <w:szCs w:val="24"/>
        </w:rPr>
        <w:t xml:space="preserve">Disponível em: </w:t>
      </w:r>
      <w:hyperlink r:id="rId12" w:history="1">
        <w:r w:rsidRPr="0049692A">
          <w:rPr>
            <w:rStyle w:val="Hyperlink"/>
            <w:rFonts w:ascii="Times New Roman" w:hAnsi="Times New Roman"/>
            <w:sz w:val="24"/>
            <w:szCs w:val="24"/>
          </w:rPr>
          <w:t>http://www.planalto.gov.br/ccivil_03/_ato2015-2018/2017/lei/l13467.htm</w:t>
        </w:r>
      </w:hyperlink>
      <w:r w:rsidRPr="0049692A">
        <w:rPr>
          <w:rFonts w:ascii="Times New Roman" w:hAnsi="Times New Roman"/>
          <w:sz w:val="24"/>
          <w:szCs w:val="24"/>
        </w:rPr>
        <w:t>. Acessado em: 05 de julho de 2022.</w:t>
      </w:r>
    </w:p>
    <w:p w:rsidR="0049692A" w:rsidRPr="0049692A" w:rsidRDefault="0049692A" w:rsidP="0049692A">
      <w:pPr>
        <w:spacing w:after="120" w:line="240" w:lineRule="auto"/>
        <w:rPr>
          <w:rFonts w:ascii="Times New Roman" w:hAnsi="Times New Roman"/>
          <w:sz w:val="24"/>
          <w:szCs w:val="24"/>
        </w:rPr>
      </w:pPr>
      <w:r w:rsidRPr="0049692A">
        <w:rPr>
          <w:rFonts w:ascii="Times New Roman" w:hAnsi="Times New Roman"/>
          <w:sz w:val="24"/>
          <w:szCs w:val="24"/>
        </w:rPr>
        <w:t xml:space="preserve">COSTA, Joana. ROCHA, Enid. SILVA, Claudia. </w:t>
      </w:r>
      <w:r w:rsidRPr="0049692A">
        <w:rPr>
          <w:rFonts w:ascii="Times New Roman" w:hAnsi="Times New Roman"/>
          <w:b/>
          <w:i/>
          <w:sz w:val="24"/>
          <w:szCs w:val="24"/>
        </w:rPr>
        <w:t xml:space="preserve">Voces de la juventud en Brasil: </w:t>
      </w:r>
      <w:r w:rsidRPr="0049692A">
        <w:rPr>
          <w:rFonts w:ascii="Times New Roman" w:hAnsi="Times New Roman"/>
          <w:i/>
          <w:sz w:val="24"/>
          <w:szCs w:val="24"/>
        </w:rPr>
        <w:t>aspiraciones y prioridades.</w:t>
      </w:r>
      <w:r w:rsidRPr="0049692A">
        <w:rPr>
          <w:rFonts w:ascii="Times New Roman" w:hAnsi="Times New Roman"/>
          <w:sz w:val="24"/>
          <w:szCs w:val="24"/>
        </w:rPr>
        <w:t xml:space="preserve"> In: NOVELLA, Rafael. REPETTO, Andrea. ROBINO, Carolina. </w:t>
      </w:r>
      <w:r w:rsidRPr="0049692A">
        <w:rPr>
          <w:rFonts w:ascii="Times New Roman" w:hAnsi="Times New Roman"/>
          <w:sz w:val="24"/>
          <w:szCs w:val="24"/>
        </w:rPr>
        <w:lastRenderedPageBreak/>
        <w:t xml:space="preserve">RUCCI, Graciana. Editores. </w:t>
      </w:r>
      <w:r w:rsidRPr="0049692A">
        <w:rPr>
          <w:rFonts w:ascii="Times New Roman" w:hAnsi="Times New Roman"/>
          <w:i/>
          <w:sz w:val="24"/>
          <w:szCs w:val="24"/>
        </w:rPr>
        <w:t>Millennials en América Latina y el Caribe: ¿trabajar o estudiar?</w:t>
      </w:r>
      <w:r w:rsidRPr="0049692A">
        <w:rPr>
          <w:rFonts w:ascii="Times New Roman" w:hAnsi="Times New Roman"/>
          <w:sz w:val="24"/>
          <w:szCs w:val="24"/>
        </w:rPr>
        <w:t xml:space="preserve"> Banco Interamericano de Desarrollo. Canadá. 2018. Disponível em: </w:t>
      </w:r>
      <w:hyperlink r:id="rId13" w:history="1">
        <w:r w:rsidRPr="0049692A">
          <w:rPr>
            <w:rStyle w:val="Hyperlink"/>
            <w:rFonts w:ascii="Times New Roman" w:hAnsi="Times New Roman"/>
            <w:sz w:val="24"/>
            <w:szCs w:val="24"/>
          </w:rPr>
          <w:t>https://publications.iadb.org/es/publicacion/millennials-en-america-latina-y-el-caribe-trabajar-o-estudiar</w:t>
        </w:r>
      </w:hyperlink>
      <w:r w:rsidRPr="0049692A">
        <w:rPr>
          <w:rFonts w:ascii="Times New Roman" w:hAnsi="Times New Roman"/>
          <w:sz w:val="24"/>
          <w:szCs w:val="24"/>
        </w:rPr>
        <w:t xml:space="preserve"> Acessado em 12 de fev. de 2019</w:t>
      </w:r>
    </w:p>
    <w:p w:rsidR="00723E1E" w:rsidRDefault="00723E1E" w:rsidP="0049692A">
      <w:pPr>
        <w:spacing w:after="120" w:line="240" w:lineRule="auto"/>
        <w:rPr>
          <w:rFonts w:ascii="Times New Roman" w:hAnsi="Times New Roman"/>
          <w:sz w:val="24"/>
          <w:szCs w:val="24"/>
        </w:rPr>
      </w:pPr>
      <w:r w:rsidRPr="0049692A">
        <w:rPr>
          <w:rFonts w:ascii="Times New Roman" w:hAnsi="Times New Roman"/>
          <w:sz w:val="24"/>
          <w:szCs w:val="24"/>
        </w:rPr>
        <w:t xml:space="preserve">GALVÃO, Andréia. KREIN, José Dari. BIAVASCHI, Magda. Teixeira, Marilane. </w:t>
      </w:r>
      <w:r w:rsidRPr="0049692A">
        <w:rPr>
          <w:rFonts w:ascii="Times New Roman" w:hAnsi="Times New Roman"/>
          <w:b/>
          <w:sz w:val="24"/>
          <w:szCs w:val="24"/>
        </w:rPr>
        <w:t>Contra-argumentos à descontrução dos direitos trabalhistas.</w:t>
      </w:r>
      <w:r w:rsidRPr="0049692A">
        <w:rPr>
          <w:rFonts w:ascii="Times New Roman" w:hAnsi="Times New Roman"/>
          <w:sz w:val="24"/>
          <w:szCs w:val="24"/>
        </w:rPr>
        <w:t xml:space="preserve"> Carta Social e do Trabalho, Campinas, n. 35, p. 10-40, jan./jun. 2017. CESIT. Disponível em: </w:t>
      </w:r>
      <w:hyperlink r:id="rId14" w:history="1">
        <w:r w:rsidRPr="0049692A">
          <w:rPr>
            <w:rStyle w:val="Hyperlink"/>
            <w:rFonts w:ascii="Times New Roman" w:hAnsi="Times New Roman"/>
            <w:sz w:val="24"/>
            <w:szCs w:val="24"/>
          </w:rPr>
          <w:t>https://www.cesit.net.br/wp-content/uploads/2017/12/Carta-Social-35.pdf</w:t>
        </w:r>
      </w:hyperlink>
      <w:r w:rsidRPr="0049692A">
        <w:rPr>
          <w:rFonts w:ascii="Times New Roman" w:hAnsi="Times New Roman"/>
          <w:sz w:val="24"/>
          <w:szCs w:val="24"/>
        </w:rPr>
        <w:t xml:space="preserve"> Acessada em: 04 de julho de 2022.</w:t>
      </w:r>
    </w:p>
    <w:p w:rsidR="00681342" w:rsidRPr="0049692A" w:rsidRDefault="00681342" w:rsidP="0049692A">
      <w:pPr>
        <w:spacing w:after="120" w:line="240" w:lineRule="auto"/>
        <w:rPr>
          <w:rFonts w:ascii="Times New Roman" w:hAnsi="Times New Roman"/>
          <w:sz w:val="24"/>
          <w:szCs w:val="24"/>
        </w:rPr>
      </w:pPr>
      <w:r w:rsidRPr="00681342">
        <w:rPr>
          <w:rFonts w:ascii="Times New Roman" w:hAnsi="Times New Roman"/>
          <w:sz w:val="24"/>
          <w:szCs w:val="24"/>
        </w:rPr>
        <w:t xml:space="preserve">GONÇALVES, Wagna Maquis Cardoso de Melo. </w:t>
      </w:r>
      <w:r w:rsidRPr="00681342">
        <w:rPr>
          <w:rFonts w:ascii="Times New Roman" w:hAnsi="Times New Roman"/>
          <w:b/>
          <w:sz w:val="24"/>
          <w:szCs w:val="24"/>
        </w:rPr>
        <w:t>As políticas de mercado de trabalho para a juventude na "agenda de trabalho decente" dos países BRICS.</w:t>
      </w:r>
      <w:r w:rsidRPr="00681342">
        <w:rPr>
          <w:rFonts w:ascii="Times New Roman" w:hAnsi="Times New Roman"/>
          <w:sz w:val="24"/>
          <w:szCs w:val="24"/>
        </w:rPr>
        <w:t xml:space="preserve"> Tese (Doutorado em Ciências Sociais) - Centro de Ciências Humanas, Letras e Artes, Universidade Federal do Rio Grande do Norte, Natal, 2019.</w:t>
      </w:r>
      <w:r>
        <w:rPr>
          <w:rFonts w:ascii="Times New Roman" w:hAnsi="Times New Roman"/>
          <w:sz w:val="24"/>
          <w:szCs w:val="24"/>
        </w:rPr>
        <w:t xml:space="preserve"> Disponível em: </w:t>
      </w:r>
      <w:hyperlink r:id="rId15" w:history="1">
        <w:r w:rsidRPr="00867F55">
          <w:rPr>
            <w:rStyle w:val="Hyperlink"/>
            <w:rFonts w:ascii="Times New Roman" w:hAnsi="Times New Roman"/>
            <w:sz w:val="24"/>
            <w:szCs w:val="24"/>
          </w:rPr>
          <w:t>https://repositorio.ufrn.br/jspui/handle/123456789/28622</w:t>
        </w:r>
      </w:hyperlink>
      <w:r>
        <w:rPr>
          <w:rFonts w:ascii="Times New Roman" w:hAnsi="Times New Roman"/>
          <w:sz w:val="24"/>
          <w:szCs w:val="24"/>
        </w:rPr>
        <w:t xml:space="preserve">  Acessado em: 01 de jul. de 2022.</w:t>
      </w:r>
    </w:p>
    <w:p w:rsidR="0049692A" w:rsidRPr="0049692A" w:rsidRDefault="0049692A" w:rsidP="0049692A">
      <w:pPr>
        <w:spacing w:after="120" w:line="240" w:lineRule="auto"/>
        <w:rPr>
          <w:rFonts w:ascii="Times New Roman" w:hAnsi="Times New Roman"/>
          <w:sz w:val="24"/>
          <w:szCs w:val="24"/>
        </w:rPr>
      </w:pPr>
      <w:r w:rsidRPr="0049692A">
        <w:rPr>
          <w:rFonts w:ascii="Times New Roman" w:hAnsi="Times New Roman"/>
          <w:sz w:val="24"/>
          <w:szCs w:val="24"/>
        </w:rPr>
        <w:t>GONZALEZ, Roberto. Políticas de emprego para os jovens: entrar no mercado de trabalho</w:t>
      </w:r>
      <w:r>
        <w:rPr>
          <w:rFonts w:ascii="Times New Roman" w:hAnsi="Times New Roman"/>
          <w:sz w:val="24"/>
          <w:szCs w:val="24"/>
        </w:rPr>
        <w:t xml:space="preserve"> </w:t>
      </w:r>
      <w:r w:rsidRPr="0049692A">
        <w:rPr>
          <w:rFonts w:ascii="Times New Roman" w:hAnsi="Times New Roman"/>
          <w:sz w:val="24"/>
          <w:szCs w:val="24"/>
        </w:rPr>
        <w:t>é a saída? IN: CASTRO, Jorge Abraão de. AQUINO, Luseni Maria C. de. ANDRADE, Carla</w:t>
      </w:r>
      <w:r>
        <w:rPr>
          <w:rFonts w:ascii="Times New Roman" w:hAnsi="Times New Roman"/>
          <w:sz w:val="24"/>
          <w:szCs w:val="24"/>
        </w:rPr>
        <w:t xml:space="preserve"> </w:t>
      </w:r>
      <w:r w:rsidRPr="0049692A">
        <w:rPr>
          <w:rFonts w:ascii="Times New Roman" w:hAnsi="Times New Roman"/>
          <w:sz w:val="24"/>
          <w:szCs w:val="24"/>
        </w:rPr>
        <w:t xml:space="preserve">Coelho de. (org). </w:t>
      </w:r>
      <w:r w:rsidRPr="00681342">
        <w:rPr>
          <w:rFonts w:ascii="Times New Roman" w:hAnsi="Times New Roman"/>
          <w:b/>
          <w:sz w:val="24"/>
          <w:szCs w:val="24"/>
        </w:rPr>
        <w:t>Juventude e políticas sociais no Brasil.</w:t>
      </w:r>
      <w:r w:rsidRPr="0049692A">
        <w:rPr>
          <w:rFonts w:ascii="Times New Roman" w:hAnsi="Times New Roman"/>
          <w:sz w:val="24"/>
          <w:szCs w:val="24"/>
        </w:rPr>
        <w:t xml:space="preserve"> IPEA. Brasília. 2009.</w:t>
      </w:r>
    </w:p>
    <w:p w:rsidR="00752D3C" w:rsidRPr="0049692A" w:rsidRDefault="00752D3C" w:rsidP="0049692A">
      <w:pPr>
        <w:spacing w:after="120" w:line="240" w:lineRule="auto"/>
        <w:rPr>
          <w:rFonts w:ascii="Times New Roman" w:hAnsi="Times New Roman"/>
          <w:sz w:val="24"/>
          <w:szCs w:val="24"/>
        </w:rPr>
      </w:pPr>
      <w:r w:rsidRPr="0049692A">
        <w:rPr>
          <w:rFonts w:ascii="Times New Roman" w:hAnsi="Times New Roman"/>
          <w:sz w:val="24"/>
          <w:szCs w:val="24"/>
        </w:rPr>
        <w:t xml:space="preserve">IBGE. Instituto Brasileiro de Geografia e Estatística. </w:t>
      </w:r>
      <w:r w:rsidRPr="00681342">
        <w:rPr>
          <w:rFonts w:ascii="Times New Roman" w:hAnsi="Times New Roman"/>
          <w:b/>
          <w:sz w:val="24"/>
          <w:szCs w:val="24"/>
        </w:rPr>
        <w:t>Estatísticas do Cadastro Central de Empresas – CEMPRE.</w:t>
      </w:r>
      <w:r w:rsidRPr="0049692A">
        <w:rPr>
          <w:rFonts w:ascii="Times New Roman" w:hAnsi="Times New Roman"/>
          <w:sz w:val="24"/>
          <w:szCs w:val="24"/>
        </w:rPr>
        <w:t xml:space="preserve"> Rio de Janeiro. 2019: IBGE, 2022a. Disponível em: </w:t>
      </w:r>
      <w:hyperlink r:id="rId16" w:history="1">
        <w:r w:rsidRPr="0049692A">
          <w:rPr>
            <w:rStyle w:val="Hyperlink"/>
            <w:rFonts w:ascii="Times New Roman" w:hAnsi="Times New Roman"/>
            <w:sz w:val="24"/>
            <w:szCs w:val="24"/>
          </w:rPr>
          <w:t>https://sidra.ibge.gov.br/pesquisa/pnadca/tabelas</w:t>
        </w:r>
      </w:hyperlink>
      <w:r w:rsidRPr="0049692A">
        <w:rPr>
          <w:rFonts w:ascii="Times New Roman" w:hAnsi="Times New Roman"/>
          <w:sz w:val="24"/>
          <w:szCs w:val="24"/>
        </w:rPr>
        <w:t xml:space="preserve"> Acessado em 05 de jul. de 2022.</w:t>
      </w:r>
    </w:p>
    <w:p w:rsidR="00723E1E" w:rsidRPr="0049692A" w:rsidRDefault="00723E1E" w:rsidP="0049692A">
      <w:pPr>
        <w:spacing w:after="120" w:line="240" w:lineRule="auto"/>
        <w:rPr>
          <w:rFonts w:ascii="Times New Roman" w:hAnsi="Times New Roman"/>
          <w:sz w:val="24"/>
          <w:szCs w:val="24"/>
        </w:rPr>
      </w:pPr>
      <w:r w:rsidRPr="0049692A">
        <w:rPr>
          <w:rFonts w:ascii="Times New Roman" w:hAnsi="Times New Roman"/>
          <w:sz w:val="24"/>
          <w:szCs w:val="24"/>
        </w:rPr>
        <w:t xml:space="preserve">IBGE. Instituto Brasileiro de Geografia e Estatística. </w:t>
      </w:r>
      <w:r w:rsidRPr="0049692A">
        <w:rPr>
          <w:rFonts w:ascii="Times New Roman" w:hAnsi="Times New Roman"/>
          <w:b/>
          <w:sz w:val="24"/>
          <w:szCs w:val="24"/>
        </w:rPr>
        <w:t>Pesquisa Nacional por Amostra de Domicílios – PNAD Contínua.</w:t>
      </w:r>
      <w:r w:rsidRPr="0049692A">
        <w:rPr>
          <w:rFonts w:ascii="Times New Roman" w:hAnsi="Times New Roman"/>
          <w:sz w:val="24"/>
          <w:szCs w:val="24"/>
        </w:rPr>
        <w:t xml:space="preserve"> Sistema IBGE de Recuperação Automática – SIDRA. Rio de Janeiro. 2019: IBGE, 2022</w:t>
      </w:r>
      <w:r w:rsidR="00752D3C" w:rsidRPr="0049692A">
        <w:rPr>
          <w:rFonts w:ascii="Times New Roman" w:hAnsi="Times New Roman"/>
          <w:sz w:val="24"/>
          <w:szCs w:val="24"/>
        </w:rPr>
        <w:t>b</w:t>
      </w:r>
      <w:r w:rsidRPr="0049692A">
        <w:rPr>
          <w:rFonts w:ascii="Times New Roman" w:hAnsi="Times New Roman"/>
          <w:sz w:val="24"/>
          <w:szCs w:val="24"/>
        </w:rPr>
        <w:t xml:space="preserve">. Disponível em: </w:t>
      </w:r>
      <w:hyperlink r:id="rId17" w:history="1">
        <w:r w:rsidRPr="0049692A">
          <w:rPr>
            <w:rStyle w:val="Hyperlink"/>
            <w:rFonts w:ascii="Times New Roman" w:hAnsi="Times New Roman"/>
            <w:sz w:val="24"/>
            <w:szCs w:val="24"/>
          </w:rPr>
          <w:t>https://sidra.ibge.gov.br/pesquisa/pnadca/tabelas</w:t>
        </w:r>
      </w:hyperlink>
      <w:r w:rsidRPr="0049692A">
        <w:rPr>
          <w:rFonts w:ascii="Times New Roman" w:hAnsi="Times New Roman"/>
          <w:sz w:val="24"/>
          <w:szCs w:val="24"/>
        </w:rPr>
        <w:t xml:space="preserve"> </w:t>
      </w:r>
      <w:r w:rsidR="0049692A" w:rsidRPr="0049692A">
        <w:rPr>
          <w:rFonts w:ascii="Times New Roman" w:hAnsi="Times New Roman"/>
          <w:sz w:val="24"/>
          <w:szCs w:val="24"/>
        </w:rPr>
        <w:t>Acessado em 05 de jul. de 2022.</w:t>
      </w:r>
    </w:p>
    <w:p w:rsidR="0049692A" w:rsidRPr="0049692A" w:rsidRDefault="0049692A" w:rsidP="0049692A">
      <w:pPr>
        <w:spacing w:after="120" w:line="240" w:lineRule="auto"/>
        <w:rPr>
          <w:rFonts w:ascii="Times New Roman" w:hAnsi="Times New Roman"/>
          <w:sz w:val="24"/>
          <w:szCs w:val="24"/>
        </w:rPr>
      </w:pPr>
      <w:r w:rsidRPr="0049692A">
        <w:rPr>
          <w:rFonts w:ascii="Times New Roman" w:hAnsi="Times New Roman"/>
          <w:sz w:val="24"/>
          <w:szCs w:val="24"/>
        </w:rPr>
        <w:t xml:space="preserve">PAIS.  José Machado. </w:t>
      </w:r>
      <w:r w:rsidRPr="0049692A">
        <w:rPr>
          <w:rFonts w:ascii="Times New Roman" w:hAnsi="Times New Roman"/>
          <w:b/>
          <w:sz w:val="24"/>
          <w:szCs w:val="24"/>
        </w:rPr>
        <w:t>A construção sociológica da juventude</w:t>
      </w:r>
      <w:r w:rsidRPr="0049692A">
        <w:rPr>
          <w:rFonts w:ascii="Times New Roman" w:hAnsi="Times New Roman"/>
          <w:sz w:val="24"/>
          <w:szCs w:val="24"/>
        </w:rPr>
        <w:t xml:space="preserve"> - alguns contributos. Análise Social, vol. XXV (105-106), 1990 (1.°, 2.°), 139-165.</w:t>
      </w:r>
    </w:p>
    <w:p w:rsidR="0049692A" w:rsidRPr="0049692A" w:rsidRDefault="0049692A" w:rsidP="0049692A">
      <w:pPr>
        <w:spacing w:after="120" w:line="240" w:lineRule="auto"/>
        <w:rPr>
          <w:rFonts w:ascii="Times New Roman" w:hAnsi="Times New Roman"/>
          <w:sz w:val="24"/>
          <w:szCs w:val="24"/>
        </w:rPr>
      </w:pPr>
      <w:r w:rsidRPr="0049692A">
        <w:rPr>
          <w:rFonts w:ascii="Times New Roman" w:hAnsi="Times New Roman"/>
          <w:sz w:val="24"/>
          <w:szCs w:val="24"/>
        </w:rPr>
        <w:t xml:space="preserve">SUIRON, Rafaela Semíramis. </w:t>
      </w:r>
      <w:r w:rsidRPr="0049692A">
        <w:rPr>
          <w:rFonts w:ascii="Times New Roman" w:hAnsi="Times New Roman"/>
          <w:b/>
          <w:sz w:val="24"/>
          <w:szCs w:val="24"/>
        </w:rPr>
        <w:t>Juventude e precarização do trabalho no Brasil:</w:t>
      </w:r>
      <w:r w:rsidRPr="0049692A">
        <w:rPr>
          <w:rFonts w:ascii="Times New Roman" w:hAnsi="Times New Roman"/>
          <w:sz w:val="24"/>
          <w:szCs w:val="24"/>
        </w:rPr>
        <w:t xml:space="preserve"> trabalho e vida do jovem comerciário de uma loja de departamento na região metropolitana de São Paulo. Dissertação de Mestrado em Ciências Sociais da Universidade Estadual Paulista. Marília, 2017. Disponível em: </w:t>
      </w:r>
      <w:hyperlink r:id="rId18" w:history="1">
        <w:r w:rsidRPr="0049692A">
          <w:rPr>
            <w:rStyle w:val="Hyperlink"/>
            <w:rFonts w:ascii="Times New Roman" w:hAnsi="Times New Roman"/>
            <w:sz w:val="24"/>
            <w:szCs w:val="24"/>
          </w:rPr>
          <w:t>https://repositorio.unesp.br/handle/11449/152218</w:t>
        </w:r>
      </w:hyperlink>
      <w:r w:rsidRPr="0049692A">
        <w:rPr>
          <w:rFonts w:ascii="Times New Roman" w:hAnsi="Times New Roman"/>
          <w:sz w:val="24"/>
          <w:szCs w:val="24"/>
        </w:rPr>
        <w:t>Acessado 20 de mar. de 2019</w:t>
      </w:r>
    </w:p>
    <w:p w:rsidR="00723E1E" w:rsidRPr="0049692A" w:rsidRDefault="00723E1E" w:rsidP="0049692A">
      <w:pPr>
        <w:spacing w:after="120" w:line="240" w:lineRule="auto"/>
        <w:rPr>
          <w:rFonts w:ascii="Times New Roman" w:hAnsi="Times New Roman"/>
          <w:sz w:val="24"/>
          <w:szCs w:val="24"/>
        </w:rPr>
      </w:pPr>
      <w:r w:rsidRPr="0049692A">
        <w:rPr>
          <w:rFonts w:ascii="Times New Roman" w:hAnsi="Times New Roman"/>
          <w:sz w:val="24"/>
          <w:szCs w:val="24"/>
        </w:rPr>
        <w:t xml:space="preserve">TROVÃO, C. J. B. M. ARAÚJO, J. B. de. </w:t>
      </w:r>
      <w:r w:rsidRPr="0049692A">
        <w:rPr>
          <w:rFonts w:ascii="Times New Roman" w:hAnsi="Times New Roman"/>
          <w:b/>
          <w:sz w:val="24"/>
          <w:szCs w:val="24"/>
        </w:rPr>
        <w:t>Reformas trabalhistas, flexibilização e novas formas de contratação:</w:t>
      </w:r>
      <w:r w:rsidRPr="0049692A">
        <w:rPr>
          <w:rFonts w:ascii="Times New Roman" w:hAnsi="Times New Roman"/>
          <w:sz w:val="24"/>
          <w:szCs w:val="24"/>
        </w:rPr>
        <w:t xml:space="preserve"> impactos sobre o mercado de trabalho no Brasil de 2012 a 2019. </w:t>
      </w:r>
      <w:r w:rsidRPr="0049692A">
        <w:rPr>
          <w:rFonts w:ascii="Times New Roman" w:hAnsi="Times New Roman"/>
          <w:bCs/>
          <w:sz w:val="24"/>
          <w:szCs w:val="24"/>
        </w:rPr>
        <w:t>RBEST Revista Brasileira de Economia Social e do Trabalho</w:t>
      </w:r>
      <w:r w:rsidRPr="0049692A">
        <w:rPr>
          <w:rFonts w:ascii="Times New Roman" w:hAnsi="Times New Roman"/>
          <w:sz w:val="24"/>
          <w:szCs w:val="24"/>
        </w:rPr>
        <w:t xml:space="preserve">, Campinas, SP, v. 2, n. 00, p. e020009, 2020. DOI: 10.20396/rbest.v2i00.13304. Disponível em: </w:t>
      </w:r>
      <w:hyperlink r:id="rId19" w:history="1">
        <w:r w:rsidRPr="0049692A">
          <w:rPr>
            <w:rStyle w:val="Hyperlink"/>
            <w:rFonts w:ascii="Times New Roman" w:hAnsi="Times New Roman"/>
            <w:sz w:val="24"/>
            <w:szCs w:val="24"/>
          </w:rPr>
          <w:t>https://econtents.bc.unicamp.br/inpec/index.php/rbest/article/view/13304</w:t>
        </w:r>
      </w:hyperlink>
      <w:r w:rsidR="00681342">
        <w:rPr>
          <w:rFonts w:ascii="Times New Roman" w:hAnsi="Times New Roman"/>
          <w:sz w:val="24"/>
          <w:szCs w:val="24"/>
        </w:rPr>
        <w:t>. Acesso em: 3 jul. 2022.</w:t>
      </w:r>
    </w:p>
    <w:sectPr w:rsidR="00723E1E" w:rsidRPr="0049692A" w:rsidSect="00466E3A">
      <w:headerReference w:type="default" r:id="rId20"/>
      <w:footerReference w:type="default" r:id="rId21"/>
      <w:pgSz w:w="11906" w:h="16838"/>
      <w:pgMar w:top="1701" w:right="1134" w:bottom="1134" w:left="1701" w:header="851"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1F29" w:rsidRDefault="00771F29">
      <w:pPr>
        <w:spacing w:line="240" w:lineRule="auto"/>
      </w:pPr>
      <w:r>
        <w:separator/>
      </w:r>
    </w:p>
  </w:endnote>
  <w:endnote w:type="continuationSeparator" w:id="1">
    <w:p w:rsidR="00771F29" w:rsidRDefault="00771F2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3C" w:rsidRDefault="00F27D0A">
    <w:pPr>
      <w:pStyle w:val="Rodap"/>
      <w:jc w:val="both"/>
      <w:rPr>
        <w:rFonts w:ascii="Times New Roman" w:hAnsi="Times New Roman"/>
        <w:sz w:val="20"/>
        <w:szCs w:val="20"/>
      </w:rPr>
    </w:pPr>
    <w:r w:rsidRPr="00F27D0A">
      <w:pict>
        <v:line id="_x0000_s1027" style="position:absolute;left:0;text-align:left;z-index:-1;mso-position-horizontal-relative:margin" from="-43.15pt,12pt" to="469.1pt,12.75pt"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strokecolor="#00b050" strokeweight=".5pt">
          <v:stroke joinstyle="miter"/>
          <w10:wrap anchorx="margin"/>
        </v:line>
      </w:pict>
    </w:r>
  </w:p>
  <w:p w:rsidR="00752D3C" w:rsidRDefault="00752D3C">
    <w:pPr>
      <w:pStyle w:val="Rodap"/>
      <w:jc w:val="both"/>
      <w:rPr>
        <w:rFonts w:ascii="Times New Roman" w:hAnsi="Times New Roman"/>
        <w:sz w:val="20"/>
        <w:szCs w:val="20"/>
      </w:rPr>
    </w:pPr>
  </w:p>
  <w:p w:rsidR="00752D3C" w:rsidRDefault="00752D3C">
    <w:pPr>
      <w:pStyle w:val="Rodap"/>
      <w:jc w:val="both"/>
      <w:rPr>
        <w:rFonts w:ascii="Times New Roman" w:hAnsi="Times New Roman"/>
        <w:sz w:val="20"/>
        <w:szCs w:val="20"/>
      </w:rPr>
    </w:pPr>
    <w:r>
      <w:rPr>
        <w:rFonts w:ascii="Times New Roman" w:hAnsi="Times New Roman"/>
        <w:sz w:val="20"/>
        <w:szCs w:val="20"/>
      </w:rPr>
      <w:t>VI SEDRES. Seminário de Desenvolvimento Regional, Estado e Sociedade. Crato - Ce, 06 a 08 de dezembro de 2022. ISSN 2358-4408.</w:t>
    </w:r>
  </w:p>
  <w:p w:rsidR="00752D3C" w:rsidRDefault="00752D3C">
    <w:pPr>
      <w:pStyle w:val="Rodap"/>
      <w:jc w:val="both"/>
      <w:rPr>
        <w:rFonts w:ascii="Times New Roman" w:hAnsi="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1F29" w:rsidRDefault="00771F29">
      <w:pPr>
        <w:spacing w:after="0"/>
      </w:pPr>
      <w:r>
        <w:separator/>
      </w:r>
    </w:p>
  </w:footnote>
  <w:footnote w:type="continuationSeparator" w:id="1">
    <w:p w:rsidR="00771F29" w:rsidRDefault="00771F29">
      <w:pPr>
        <w:spacing w:after="0"/>
      </w:pPr>
      <w:r>
        <w:continuationSeparator/>
      </w:r>
    </w:p>
  </w:footnote>
  <w:footnote w:id="2">
    <w:p w:rsidR="00752D3C" w:rsidRPr="00E21746" w:rsidRDefault="00752D3C" w:rsidP="00C57B01">
      <w:pPr>
        <w:pStyle w:val="Textodenotaderodap"/>
        <w:spacing w:before="0" w:after="0" w:line="240" w:lineRule="auto"/>
        <w:ind w:firstLine="0"/>
      </w:pPr>
      <w:r w:rsidRPr="00E21746">
        <w:rPr>
          <w:rStyle w:val="Refdenotaderodap"/>
        </w:rPr>
        <w:footnoteRef/>
      </w:r>
      <w:r w:rsidRPr="00E21746">
        <w:t xml:space="preserve"> Em português brasileiro, Nem Nem é uma sigla utilizada para nomear aqueles jovens que estão fora do sistema escolar formal e de treinamento e também do mercado de trabalho, ou seja, ‘Nem estuda, Nem trabalha’. Seu equivalente em países de língua hispânica é chamado de NI NI que significa ‘</w:t>
      </w:r>
      <w:r w:rsidRPr="00E21746">
        <w:rPr>
          <w:i/>
        </w:rPr>
        <w:t>Ni estudia, Ni trabaja</w:t>
      </w:r>
      <w:r w:rsidRPr="00E21746">
        <w:t>’. Em países de língua inglesa tem-se o NEET, ‘N</w:t>
      </w:r>
      <w:r w:rsidRPr="00E21746">
        <w:rPr>
          <w:i/>
        </w:rPr>
        <w:t>either in Employment, nor in Education or Training’</w:t>
      </w:r>
      <w:r w:rsidRPr="00E21746">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3C" w:rsidRDefault="00F27D0A">
    <w:pPr>
      <w:pStyle w:val="Cabealho"/>
      <w:jc w:val="center"/>
    </w:pPr>
    <w:r>
      <w:pict>
        <v:line id="_x0000_s1026" style="position:absolute;left:0;text-align:left;z-index:-2" from="-39pt,76.45pt" to="473.25pt,77.2pt"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strokecolor="#00b050" strokeweight=".5pt">
          <v:stroke joinstyle="miter"/>
        </v:line>
      </w:pict>
    </w:r>
    <w:r>
      <w:pict>
        <v:rect id="_x0000_s1029" style="width:24pt;height:24pt;mso-position-horizontal-relative:char;mso-position-vertical-relative:line"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filled="f" stroked="f">
          <o:lock v:ext="edit" aspectratio="t"/>
          <w10:wrap type="none"/>
          <w10:anchorlock/>
        </v:rect>
      </w:pict>
    </w: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i1027" type="#_x0000_t75" style="width:207.6pt;height:70.95pt;visibility:visible">
          <v:imagedata r:id="rId1" o:title=""/>
        </v:shape>
      </w:pict>
    </w:r>
  </w:p>
  <w:p w:rsidR="00752D3C" w:rsidRDefault="00752D3C">
    <w:pPr>
      <w:pStyle w:val="Cabealho"/>
      <w:jc w:val="center"/>
    </w:pPr>
  </w:p>
  <w:p w:rsidR="00752D3C" w:rsidRDefault="00752D3C">
    <w:pPr>
      <w:pStyle w:val="Cabealh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8C13DC"/>
    <w:multiLevelType w:val="multilevel"/>
    <w:tmpl w:val="4088F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oNotTrackMoves/>
  <w:defaultTabStop w:val="708"/>
  <w:hyphenationZone w:val="425"/>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36C01"/>
    <w:rsid w:val="00000143"/>
    <w:rsid w:val="00036C01"/>
    <w:rsid w:val="000F2C33"/>
    <w:rsid w:val="00126124"/>
    <w:rsid w:val="0014403E"/>
    <w:rsid w:val="0017619A"/>
    <w:rsid w:val="001C15F9"/>
    <w:rsid w:val="00203A48"/>
    <w:rsid w:val="00206A92"/>
    <w:rsid w:val="00241841"/>
    <w:rsid w:val="00255C43"/>
    <w:rsid w:val="002D5A3E"/>
    <w:rsid w:val="00306C6E"/>
    <w:rsid w:val="003361AE"/>
    <w:rsid w:val="003D6F08"/>
    <w:rsid w:val="003E58BD"/>
    <w:rsid w:val="00423962"/>
    <w:rsid w:val="00466E3A"/>
    <w:rsid w:val="0049692A"/>
    <w:rsid w:val="004D292A"/>
    <w:rsid w:val="004E303B"/>
    <w:rsid w:val="0050387F"/>
    <w:rsid w:val="00507F7E"/>
    <w:rsid w:val="00510F45"/>
    <w:rsid w:val="00540BC0"/>
    <w:rsid w:val="00554690"/>
    <w:rsid w:val="00554823"/>
    <w:rsid w:val="00560EEC"/>
    <w:rsid w:val="005C71A8"/>
    <w:rsid w:val="00611068"/>
    <w:rsid w:val="006170E5"/>
    <w:rsid w:val="006558DD"/>
    <w:rsid w:val="00663F1F"/>
    <w:rsid w:val="00681342"/>
    <w:rsid w:val="00723E1E"/>
    <w:rsid w:val="00752D3C"/>
    <w:rsid w:val="00771F29"/>
    <w:rsid w:val="00797B65"/>
    <w:rsid w:val="007A3A8D"/>
    <w:rsid w:val="007C3EAC"/>
    <w:rsid w:val="007D39CA"/>
    <w:rsid w:val="0085799B"/>
    <w:rsid w:val="008E6FD0"/>
    <w:rsid w:val="00911BB7"/>
    <w:rsid w:val="0092372B"/>
    <w:rsid w:val="00990C3F"/>
    <w:rsid w:val="009970F6"/>
    <w:rsid w:val="009C07F8"/>
    <w:rsid w:val="009F167A"/>
    <w:rsid w:val="00A12BDF"/>
    <w:rsid w:val="00A13FDD"/>
    <w:rsid w:val="00A249C8"/>
    <w:rsid w:val="00A65526"/>
    <w:rsid w:val="00B23D95"/>
    <w:rsid w:val="00B54D37"/>
    <w:rsid w:val="00B850C5"/>
    <w:rsid w:val="00BC68D3"/>
    <w:rsid w:val="00BC6D50"/>
    <w:rsid w:val="00C22C98"/>
    <w:rsid w:val="00C42108"/>
    <w:rsid w:val="00C57B01"/>
    <w:rsid w:val="00C63EA8"/>
    <w:rsid w:val="00C8558A"/>
    <w:rsid w:val="00C87F92"/>
    <w:rsid w:val="00D11201"/>
    <w:rsid w:val="00D134DD"/>
    <w:rsid w:val="00D20715"/>
    <w:rsid w:val="00D65F09"/>
    <w:rsid w:val="00DA4BA7"/>
    <w:rsid w:val="00DE66A2"/>
    <w:rsid w:val="00E3097D"/>
    <w:rsid w:val="00E33C3B"/>
    <w:rsid w:val="00E50039"/>
    <w:rsid w:val="00EE1AC4"/>
    <w:rsid w:val="00F27D0A"/>
    <w:rsid w:val="00F34368"/>
    <w:rsid w:val="00F40674"/>
    <w:rsid w:val="00F8371B"/>
    <w:rsid w:val="00FA6A3D"/>
    <w:rsid w:val="00FC4F7E"/>
    <w:rsid w:val="00FF2309"/>
    <w:rsid w:val="67B422F1"/>
  </w:rsids>
  <m:mathPr>
    <m:mathFont m:val="Cambria Math"/>
    <m:brkBin m:val="before"/>
    <m:brkBinSub m:val="--"/>
    <m:smallFrac/>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E3A"/>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466E3A"/>
    <w:pPr>
      <w:spacing w:after="0" w:line="240" w:lineRule="auto"/>
      <w:jc w:val="center"/>
    </w:pPr>
    <w:rPr>
      <w:rFonts w:ascii="Arial" w:eastAsia="Times New Roman" w:hAnsi="Arial"/>
      <w:b/>
      <w:sz w:val="28"/>
      <w:szCs w:val="24"/>
      <w:lang w:val="en-GB" w:eastAsia="pt-BR"/>
    </w:rPr>
  </w:style>
  <w:style w:type="character" w:customStyle="1" w:styleId="TtuloChar">
    <w:name w:val="Título Char"/>
    <w:basedOn w:val="Fontepargpadro"/>
    <w:link w:val="Ttulo"/>
    <w:rsid w:val="00466E3A"/>
    <w:rPr>
      <w:rFonts w:ascii="Arial" w:eastAsia="Times New Roman" w:hAnsi="Arial" w:cs="Times New Roman"/>
      <w:b/>
      <w:sz w:val="28"/>
      <w:szCs w:val="24"/>
      <w:lang w:val="en-GB" w:eastAsia="pt-BR"/>
    </w:rPr>
  </w:style>
  <w:style w:type="paragraph" w:styleId="Corpodetexto3">
    <w:name w:val="Body Text 3"/>
    <w:basedOn w:val="Normal"/>
    <w:link w:val="Corpodetexto3Char"/>
    <w:qFormat/>
    <w:rsid w:val="00466E3A"/>
    <w:pPr>
      <w:spacing w:after="0" w:line="240" w:lineRule="auto"/>
      <w:jc w:val="center"/>
    </w:pPr>
    <w:rPr>
      <w:rFonts w:ascii="Times New Roman" w:eastAsia="Times New Roman" w:hAnsi="Times New Roman"/>
      <w:b/>
      <w:sz w:val="28"/>
      <w:szCs w:val="24"/>
      <w:lang w:eastAsia="pt-BR"/>
    </w:rPr>
  </w:style>
  <w:style w:type="character" w:customStyle="1" w:styleId="Corpodetexto3Char">
    <w:name w:val="Corpo de texto 3 Char"/>
    <w:basedOn w:val="Fontepargpadro"/>
    <w:link w:val="Corpodetexto3"/>
    <w:rsid w:val="00466E3A"/>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rsid w:val="00466E3A"/>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66E3A"/>
  </w:style>
  <w:style w:type="paragraph" w:styleId="Rodap">
    <w:name w:val="footer"/>
    <w:basedOn w:val="Normal"/>
    <w:link w:val="RodapChar"/>
    <w:uiPriority w:val="99"/>
    <w:unhideWhenUsed/>
    <w:qFormat/>
    <w:rsid w:val="00466E3A"/>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66E3A"/>
  </w:style>
  <w:style w:type="character" w:customStyle="1" w:styleId="fontstyle01">
    <w:name w:val="fontstyle01"/>
    <w:basedOn w:val="Fontepargpadro"/>
    <w:rsid w:val="00466E3A"/>
    <w:rPr>
      <w:rFonts w:ascii="Arial-BoldMT" w:hAnsi="Arial-BoldMT" w:hint="default"/>
      <w:b/>
      <w:bCs/>
      <w:color w:val="242021"/>
      <w:sz w:val="22"/>
      <w:szCs w:val="22"/>
    </w:rPr>
  </w:style>
  <w:style w:type="paragraph" w:styleId="Textodebalo">
    <w:name w:val="Balloon Text"/>
    <w:basedOn w:val="Normal"/>
    <w:link w:val="TextodebaloChar"/>
    <w:uiPriority w:val="99"/>
    <w:semiHidden/>
    <w:unhideWhenUsed/>
    <w:rsid w:val="00723E1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23E1E"/>
    <w:rPr>
      <w:rFonts w:ascii="Tahoma" w:hAnsi="Tahoma" w:cs="Tahoma"/>
      <w:sz w:val="16"/>
      <w:szCs w:val="16"/>
      <w:lang w:eastAsia="en-US"/>
    </w:rPr>
  </w:style>
  <w:style w:type="paragraph" w:styleId="Textodenotaderodap">
    <w:name w:val="footnote text"/>
    <w:basedOn w:val="Normal"/>
    <w:link w:val="TextodenotaderodapChar"/>
    <w:uiPriority w:val="99"/>
    <w:unhideWhenUsed/>
    <w:rsid w:val="00723E1E"/>
    <w:pPr>
      <w:spacing w:before="120" w:after="120" w:line="360" w:lineRule="auto"/>
      <w:ind w:firstLine="709"/>
      <w:jc w:val="both"/>
    </w:pPr>
    <w:rPr>
      <w:rFonts w:ascii="Times New Roman" w:hAnsi="Times New Roman"/>
      <w:sz w:val="20"/>
      <w:szCs w:val="20"/>
    </w:rPr>
  </w:style>
  <w:style w:type="character" w:customStyle="1" w:styleId="TextodenotaderodapChar">
    <w:name w:val="Texto de nota de rodapé Char"/>
    <w:basedOn w:val="Fontepargpadro"/>
    <w:link w:val="Textodenotaderodap"/>
    <w:uiPriority w:val="99"/>
    <w:rsid w:val="00723E1E"/>
    <w:rPr>
      <w:rFonts w:ascii="Times New Roman" w:eastAsia="Calibri" w:hAnsi="Times New Roman" w:cs="Times New Roman"/>
      <w:lang w:eastAsia="en-US"/>
    </w:rPr>
  </w:style>
  <w:style w:type="character" w:styleId="Refdenotaderodap">
    <w:name w:val="footnote reference"/>
    <w:uiPriority w:val="99"/>
    <w:semiHidden/>
    <w:unhideWhenUsed/>
    <w:rsid w:val="00723E1E"/>
    <w:rPr>
      <w:vertAlign w:val="superscript"/>
    </w:rPr>
  </w:style>
  <w:style w:type="character" w:styleId="Hyperlink">
    <w:name w:val="Hyperlink"/>
    <w:basedOn w:val="Fontepargpadro"/>
    <w:uiPriority w:val="99"/>
    <w:unhideWhenUsed/>
    <w:rsid w:val="00723E1E"/>
    <w:rPr>
      <w:color w:val="0000FF"/>
      <w:u w:val="single"/>
    </w:rPr>
  </w:style>
  <w:style w:type="paragraph" w:styleId="NormalWeb">
    <w:name w:val="Normal (Web)"/>
    <w:basedOn w:val="Normal"/>
    <w:uiPriority w:val="99"/>
    <w:unhideWhenUsed/>
    <w:rsid w:val="00723E1E"/>
    <w:pPr>
      <w:spacing w:before="100" w:beforeAutospacing="1" w:after="100" w:afterAutospacing="1" w:line="240" w:lineRule="auto"/>
    </w:pPr>
    <w:rPr>
      <w:rFonts w:ascii="Times New Roman" w:eastAsia="Times New Roman" w:hAnsi="Times New Roman"/>
      <w:sz w:val="24"/>
      <w:szCs w:val="24"/>
      <w:lang w:eastAsia="pt-BR"/>
    </w:rPr>
  </w:style>
  <w:style w:type="character" w:styleId="Forte">
    <w:name w:val="Strong"/>
    <w:basedOn w:val="Fontepargpadro"/>
    <w:uiPriority w:val="22"/>
    <w:qFormat/>
    <w:rsid w:val="00723E1E"/>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ublications.iadb.org/es/publicacion/millennials-en-america-latina-y-el-caribe-trabajar-o-estudiar" TargetMode="External"/><Relationship Id="rId18" Type="http://schemas.openxmlformats.org/officeDocument/2006/relationships/hyperlink" Target="https://repositorio.unesp.br/handle/11449/152218"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planalto.gov.br/ccivil_03/_ato2015-2018/2017/lei/l13467.htm" TargetMode="External"/><Relationship Id="rId17" Type="http://schemas.openxmlformats.org/officeDocument/2006/relationships/hyperlink" Target="https://sidra.ibge.gov.br/pesquisa/pnadca/tabelas" TargetMode="External"/><Relationship Id="rId2" Type="http://schemas.openxmlformats.org/officeDocument/2006/relationships/customXml" Target="../customXml/item2.xml"/><Relationship Id="rId16" Type="http://schemas.openxmlformats.org/officeDocument/2006/relationships/hyperlink" Target="https://sidra.ibge.gov.br/pesquisa/pnadca/tabela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analto.gov.br/ccivil_03/_ato2015-2018/2017/lei/l13429.htm" TargetMode="External"/><Relationship Id="rId5" Type="http://schemas.openxmlformats.org/officeDocument/2006/relationships/settings" Target="settings.xml"/><Relationship Id="rId15" Type="http://schemas.openxmlformats.org/officeDocument/2006/relationships/hyperlink" Target="https://repositorio.ufrn.br/jspui/handle/123456789/28622" TargetMode="External"/><Relationship Id="rId23" Type="http://schemas.openxmlformats.org/officeDocument/2006/relationships/theme" Target="theme/theme1.xml"/><Relationship Id="rId10" Type="http://schemas.openxmlformats.org/officeDocument/2006/relationships/hyperlink" Target="http://www.planalto.gov.br/ccivil_03/_ato2011-2014/2013/lei/l12852.htm" TargetMode="External"/><Relationship Id="rId19" Type="http://schemas.openxmlformats.org/officeDocument/2006/relationships/hyperlink" Target="https://econtents.bc.unicamp.br/inpec/index.php/rbest/article/view/13304"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esit.net.br/wp-content/uploads/2017/12/Carta-Social-35.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43FA80EB-70EC-4BBC-858F-F579153AEC0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6786</Words>
  <Characters>43770</Characters>
  <Application>Microsoft Office Word</Application>
  <DocSecurity>0</DocSecurity>
  <Lines>810</Lines>
  <Paragraphs>348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50208</CharactersWithSpaces>
  <SharedDoc>false</SharedDoc>
  <HLinks>
    <vt:vector size="60" baseType="variant">
      <vt:variant>
        <vt:i4>524307</vt:i4>
      </vt:variant>
      <vt:variant>
        <vt:i4>27</vt:i4>
      </vt:variant>
      <vt:variant>
        <vt:i4>0</vt:i4>
      </vt:variant>
      <vt:variant>
        <vt:i4>5</vt:i4>
      </vt:variant>
      <vt:variant>
        <vt:lpwstr>https://econtents.bc.unicamp.br/inpec/index.php/rbest/article/view/13304</vt:lpwstr>
      </vt:variant>
      <vt:variant>
        <vt:lpwstr/>
      </vt:variant>
      <vt:variant>
        <vt:i4>4915227</vt:i4>
      </vt:variant>
      <vt:variant>
        <vt:i4>24</vt:i4>
      </vt:variant>
      <vt:variant>
        <vt:i4>0</vt:i4>
      </vt:variant>
      <vt:variant>
        <vt:i4>5</vt:i4>
      </vt:variant>
      <vt:variant>
        <vt:lpwstr>https://repositorio.unesp.br/handle/11449/152218</vt:lpwstr>
      </vt:variant>
      <vt:variant>
        <vt:lpwstr/>
      </vt:variant>
      <vt:variant>
        <vt:i4>5963806</vt:i4>
      </vt:variant>
      <vt:variant>
        <vt:i4>21</vt:i4>
      </vt:variant>
      <vt:variant>
        <vt:i4>0</vt:i4>
      </vt:variant>
      <vt:variant>
        <vt:i4>5</vt:i4>
      </vt:variant>
      <vt:variant>
        <vt:lpwstr>https://sidra.ibge.gov.br/pesquisa/pnadca/tabelas</vt:lpwstr>
      </vt:variant>
      <vt:variant>
        <vt:lpwstr/>
      </vt:variant>
      <vt:variant>
        <vt:i4>5963806</vt:i4>
      </vt:variant>
      <vt:variant>
        <vt:i4>18</vt:i4>
      </vt:variant>
      <vt:variant>
        <vt:i4>0</vt:i4>
      </vt:variant>
      <vt:variant>
        <vt:i4>5</vt:i4>
      </vt:variant>
      <vt:variant>
        <vt:lpwstr>https://sidra.ibge.gov.br/pesquisa/pnadca/tabelas</vt:lpwstr>
      </vt:variant>
      <vt:variant>
        <vt:lpwstr/>
      </vt:variant>
      <vt:variant>
        <vt:i4>5832728</vt:i4>
      </vt:variant>
      <vt:variant>
        <vt:i4>15</vt:i4>
      </vt:variant>
      <vt:variant>
        <vt:i4>0</vt:i4>
      </vt:variant>
      <vt:variant>
        <vt:i4>5</vt:i4>
      </vt:variant>
      <vt:variant>
        <vt:lpwstr>https://repositorio.ufrn.br/jspui/handle/123456789/28622</vt:lpwstr>
      </vt:variant>
      <vt:variant>
        <vt:lpwstr/>
      </vt:variant>
      <vt:variant>
        <vt:i4>3473507</vt:i4>
      </vt:variant>
      <vt:variant>
        <vt:i4>12</vt:i4>
      </vt:variant>
      <vt:variant>
        <vt:i4>0</vt:i4>
      </vt:variant>
      <vt:variant>
        <vt:i4>5</vt:i4>
      </vt:variant>
      <vt:variant>
        <vt:lpwstr>https://www.cesit.net.br/wp-content/uploads/2017/12/Carta-Social-35.pdf</vt:lpwstr>
      </vt:variant>
      <vt:variant>
        <vt:lpwstr/>
      </vt:variant>
      <vt:variant>
        <vt:i4>3080317</vt:i4>
      </vt:variant>
      <vt:variant>
        <vt:i4>9</vt:i4>
      </vt:variant>
      <vt:variant>
        <vt:i4>0</vt:i4>
      </vt:variant>
      <vt:variant>
        <vt:i4>5</vt:i4>
      </vt:variant>
      <vt:variant>
        <vt:lpwstr>https://publications.iadb.org/es/publicacion/millennials-en-america-latina-y-el-caribe-trabajar-o-estudiar</vt:lpwstr>
      </vt:variant>
      <vt:variant>
        <vt:lpwstr/>
      </vt:variant>
      <vt:variant>
        <vt:i4>6357117</vt:i4>
      </vt:variant>
      <vt:variant>
        <vt:i4>6</vt:i4>
      </vt:variant>
      <vt:variant>
        <vt:i4>0</vt:i4>
      </vt:variant>
      <vt:variant>
        <vt:i4>5</vt:i4>
      </vt:variant>
      <vt:variant>
        <vt:lpwstr>http://www.planalto.gov.br/ccivil_03/_ato2015-2018/2017/lei/l13467.htm</vt:lpwstr>
      </vt:variant>
      <vt:variant>
        <vt:lpwstr/>
      </vt:variant>
      <vt:variant>
        <vt:i4>7274617</vt:i4>
      </vt:variant>
      <vt:variant>
        <vt:i4>3</vt:i4>
      </vt:variant>
      <vt:variant>
        <vt:i4>0</vt:i4>
      </vt:variant>
      <vt:variant>
        <vt:i4>5</vt:i4>
      </vt:variant>
      <vt:variant>
        <vt:lpwstr>http://www.planalto.gov.br/ccivil_03/_ato2015-2018/2017/lei/l13429.htm</vt:lpwstr>
      </vt:variant>
      <vt:variant>
        <vt:lpwstr/>
      </vt:variant>
      <vt:variant>
        <vt:i4>6553727</vt:i4>
      </vt:variant>
      <vt:variant>
        <vt:i4>0</vt:i4>
      </vt:variant>
      <vt:variant>
        <vt:i4>0</vt:i4>
      </vt:variant>
      <vt:variant>
        <vt:i4>5</vt:i4>
      </vt:variant>
      <vt:variant>
        <vt:lpwstr>http://www.planalto.gov.br/ccivil_03/_ato2011-2014/2013/lei/l12852.htm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Wagna Maquis Cardoso de Melo</cp:lastModifiedBy>
  <cp:revision>3</cp:revision>
  <dcterms:created xsi:type="dcterms:W3CDTF">2022-08-02T14:22:00Z</dcterms:created>
  <dcterms:modified xsi:type="dcterms:W3CDTF">2022-08-02T14:23:00Z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