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5005C" w14:textId="77777777" w:rsidR="00670B8A" w:rsidRPr="00670B8A" w:rsidRDefault="00670B8A" w:rsidP="00670B8A">
      <w:pPr>
        <w:spacing w:after="0" w:line="360" w:lineRule="auto"/>
        <w:jc w:val="center"/>
        <w:rPr>
          <w:rFonts w:ascii="Times New Roman" w:hAnsi="Times New Roman" w:cs="Times New Roman"/>
          <w:b/>
          <w:sz w:val="28"/>
          <w:szCs w:val="28"/>
        </w:rPr>
      </w:pPr>
      <w:r w:rsidRPr="00670B8A">
        <w:rPr>
          <w:rFonts w:ascii="Times New Roman" w:hAnsi="Times New Roman" w:cs="Times New Roman"/>
          <w:b/>
          <w:sz w:val="28"/>
          <w:szCs w:val="28"/>
        </w:rPr>
        <w:t>EFICIÊNCIA NO GASTO PÚBLICO EM SAÚDE NAS REGIÕES IMEDIATAS</w:t>
      </w:r>
      <w:r w:rsidRPr="00670B8A">
        <w:rPr>
          <w:rStyle w:val="Refdenotaderodap"/>
          <w:rFonts w:ascii="Times New Roman" w:hAnsi="Times New Roman" w:cs="Times New Roman"/>
          <w:b/>
          <w:sz w:val="28"/>
          <w:szCs w:val="28"/>
        </w:rPr>
        <w:footnoteReference w:id="1"/>
      </w:r>
      <w:r w:rsidRPr="00670B8A">
        <w:rPr>
          <w:rFonts w:ascii="Times New Roman" w:hAnsi="Times New Roman" w:cs="Times New Roman"/>
          <w:b/>
          <w:sz w:val="28"/>
          <w:szCs w:val="28"/>
        </w:rPr>
        <w:t xml:space="preserve"> DO CEARÁ EM 2019</w:t>
      </w:r>
    </w:p>
    <w:p w14:paraId="35489D68" w14:textId="77777777" w:rsidR="00E23187" w:rsidRDefault="00E23187">
      <w:pPr>
        <w:spacing w:after="0" w:line="360" w:lineRule="auto"/>
        <w:jc w:val="center"/>
        <w:rPr>
          <w:rFonts w:ascii="Times New Roman" w:hAnsi="Times New Roman" w:cs="Times New Roman"/>
          <w:sz w:val="28"/>
          <w:szCs w:val="28"/>
        </w:rPr>
      </w:pPr>
    </w:p>
    <w:p w14:paraId="3DCB806A" w14:textId="77777777" w:rsidR="00E23187" w:rsidRDefault="00000000">
      <w:pPr>
        <w:pStyle w:val="Ttulo"/>
        <w:jc w:val="both"/>
        <w:rPr>
          <w:rFonts w:ascii="Times New Roman" w:hAnsi="Times New Roman"/>
          <w:sz w:val="24"/>
        </w:rPr>
      </w:pPr>
      <w:r>
        <w:rPr>
          <w:rFonts w:ascii="Times New Roman" w:hAnsi="Times New Roman"/>
          <w:sz w:val="24"/>
        </w:rPr>
        <w:t>RESUMO</w:t>
      </w:r>
    </w:p>
    <w:p w14:paraId="343C19A4" w14:textId="1AE36B9B" w:rsidR="00670B8A" w:rsidRPr="0038653D" w:rsidRDefault="00670B8A" w:rsidP="00670B8A">
      <w:pPr>
        <w:spacing w:after="0" w:line="240" w:lineRule="auto"/>
        <w:jc w:val="both"/>
        <w:rPr>
          <w:rFonts w:ascii="Times New Roman" w:hAnsi="Times New Roman" w:cs="Times New Roman"/>
          <w:sz w:val="24"/>
          <w:szCs w:val="24"/>
        </w:rPr>
      </w:pPr>
      <w:bookmarkStart w:id="0" w:name="_Hlk105615961"/>
      <w:r w:rsidRPr="0038653D">
        <w:rPr>
          <w:rFonts w:ascii="Times New Roman" w:hAnsi="Times New Roman" w:cs="Times New Roman"/>
          <w:sz w:val="24"/>
          <w:szCs w:val="24"/>
        </w:rPr>
        <w:t xml:space="preserve">Diante da importância de se discutir o desempenho da gestão dos recursos públicos do setor da saúde nas regiões imediatas do Ceará, este trabalho se propôs mensurar os escores de eficiência técnica e de escala dos gastos públicos em saúde e agregá-los conforme PIB médio </w:t>
      </w:r>
      <w:r w:rsidRPr="0038653D">
        <w:rPr>
          <w:rFonts w:ascii="Times New Roman" w:hAnsi="Times New Roman" w:cs="Times New Roman"/>
          <w:i/>
          <w:sz w:val="24"/>
          <w:szCs w:val="24"/>
        </w:rPr>
        <w:t>per capita</w:t>
      </w:r>
      <w:r w:rsidRPr="0038653D">
        <w:rPr>
          <w:rFonts w:ascii="Times New Roman" w:hAnsi="Times New Roman" w:cs="Times New Roman"/>
          <w:sz w:val="24"/>
          <w:szCs w:val="24"/>
        </w:rPr>
        <w:t xml:space="preserve">, </w:t>
      </w:r>
      <w:r>
        <w:rPr>
          <w:rFonts w:ascii="Times New Roman" w:hAnsi="Times New Roman" w:cs="Times New Roman"/>
          <w:sz w:val="24"/>
          <w:szCs w:val="24"/>
        </w:rPr>
        <w:t>e</w:t>
      </w:r>
      <w:r w:rsidRPr="0038653D">
        <w:rPr>
          <w:rFonts w:ascii="Times New Roman" w:hAnsi="Times New Roman" w:cs="Times New Roman"/>
          <w:sz w:val="24"/>
          <w:szCs w:val="24"/>
        </w:rPr>
        <w:t xml:space="preserve"> tamanho populacional médio</w:t>
      </w:r>
      <w:r>
        <w:rPr>
          <w:rFonts w:ascii="Times New Roman" w:hAnsi="Times New Roman" w:cs="Times New Roman"/>
          <w:sz w:val="24"/>
          <w:szCs w:val="24"/>
        </w:rPr>
        <w:t xml:space="preserve"> </w:t>
      </w:r>
      <w:r w:rsidRPr="0038653D">
        <w:rPr>
          <w:rFonts w:ascii="Times New Roman" w:hAnsi="Times New Roman" w:cs="Times New Roman"/>
          <w:sz w:val="24"/>
          <w:szCs w:val="24"/>
        </w:rPr>
        <w:t xml:space="preserve">das 18 regiões imediatas cearenses para 2019. Para tanto, utilizou-se o método não paramétrico Análise Envoltória de Dados (DEA) com orientação produto. Os resultados indicaram que a maior parte das regiões imediatas aloca os recursos do setor da saúde de maneira </w:t>
      </w:r>
      <w:r>
        <w:rPr>
          <w:rFonts w:ascii="Times New Roman" w:hAnsi="Times New Roman" w:cs="Times New Roman"/>
          <w:sz w:val="24"/>
          <w:szCs w:val="24"/>
        </w:rPr>
        <w:t xml:space="preserve">parcialmente </w:t>
      </w:r>
      <w:r w:rsidRPr="0038653D">
        <w:rPr>
          <w:rFonts w:ascii="Times New Roman" w:hAnsi="Times New Roman" w:cs="Times New Roman"/>
          <w:sz w:val="24"/>
          <w:szCs w:val="24"/>
        </w:rPr>
        <w:t xml:space="preserve">eficiente, tanto do ponto de vista técnico como de escala. Ademais, as regiões com maiores PIB médio </w:t>
      </w:r>
      <w:r w:rsidRPr="0038653D">
        <w:rPr>
          <w:rFonts w:ascii="Times New Roman" w:hAnsi="Times New Roman" w:cs="Times New Roman"/>
          <w:i/>
          <w:iCs/>
          <w:sz w:val="24"/>
          <w:szCs w:val="24"/>
        </w:rPr>
        <w:t>per capita</w:t>
      </w:r>
      <w:r w:rsidRPr="0038653D">
        <w:rPr>
          <w:rFonts w:ascii="Times New Roman" w:hAnsi="Times New Roman" w:cs="Times New Roman"/>
          <w:sz w:val="24"/>
          <w:szCs w:val="24"/>
        </w:rPr>
        <w:t xml:space="preserve"> e maiores tamanhos médios populacionais se mostraram mais eficientes que as demais regiões imediatas. Assim, torna-se necessário que os gestores dessas localidades busquem alocar melhor os recursos para que tais regiões imediatas possam atingir a eficiência plena na produção de serviços de saúde.</w:t>
      </w:r>
    </w:p>
    <w:bookmarkEnd w:id="0"/>
    <w:p w14:paraId="377063CB" w14:textId="70E8404D" w:rsidR="00E23187" w:rsidRDefault="00000000" w:rsidP="0078608C">
      <w:pPr>
        <w:spacing w:line="24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sidR="001A1967" w:rsidRPr="0038653D">
        <w:rPr>
          <w:rFonts w:ascii="Times New Roman" w:hAnsi="Times New Roman" w:cs="Times New Roman"/>
          <w:sz w:val="24"/>
          <w:szCs w:val="24"/>
        </w:rPr>
        <w:t>Eficiência; DEA; Gastos em Saúde; Regiões Imediatas; Ceará.</w:t>
      </w:r>
    </w:p>
    <w:p w14:paraId="4AEAE0CA" w14:textId="485F0BF3" w:rsidR="0032033B" w:rsidRDefault="00000000" w:rsidP="0032033B">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GT </w:t>
      </w:r>
      <w:r w:rsidR="001A1967">
        <w:rPr>
          <w:rFonts w:ascii="Times New Roman" w:hAnsi="Times New Roman" w:cs="Times New Roman"/>
          <w:b/>
          <w:bCs/>
          <w:sz w:val="24"/>
          <w:szCs w:val="24"/>
        </w:rPr>
        <w:t>VI</w:t>
      </w:r>
      <w:r>
        <w:rPr>
          <w:rFonts w:ascii="Times New Roman" w:hAnsi="Times New Roman" w:cs="Times New Roman"/>
          <w:sz w:val="24"/>
          <w:szCs w:val="24"/>
        </w:rPr>
        <w:t xml:space="preserve">: </w:t>
      </w:r>
      <w:r w:rsidR="001A1967" w:rsidRPr="001A1967">
        <w:rPr>
          <w:rFonts w:ascii="Times New Roman" w:hAnsi="Times New Roman" w:cs="Times New Roman"/>
          <w:sz w:val="24"/>
          <w:szCs w:val="24"/>
        </w:rPr>
        <w:t>Estado, Políticas Públicas e Desenvolvimento Regional em um cenário pós-Pandemia.</w:t>
      </w:r>
    </w:p>
    <w:p w14:paraId="015A4DFC" w14:textId="77777777" w:rsidR="0032033B" w:rsidRDefault="0032033B" w:rsidP="0032033B">
      <w:pPr>
        <w:spacing w:after="0" w:line="360" w:lineRule="auto"/>
        <w:jc w:val="both"/>
        <w:rPr>
          <w:rFonts w:ascii="Times New Roman" w:hAnsi="Times New Roman" w:cs="Times New Roman"/>
          <w:sz w:val="24"/>
          <w:szCs w:val="24"/>
        </w:rPr>
      </w:pPr>
    </w:p>
    <w:p w14:paraId="65BC0FFC" w14:textId="77777777" w:rsidR="00E23187" w:rsidRDefault="00000000">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17173852" w14:textId="77777777" w:rsidR="001A1967" w:rsidRPr="0038653D" w:rsidRDefault="001A1967" w:rsidP="001A1967">
      <w:pPr>
        <w:spacing w:after="0" w:line="360" w:lineRule="auto"/>
        <w:ind w:firstLine="708"/>
        <w:jc w:val="both"/>
        <w:rPr>
          <w:rFonts w:ascii="Times New Roman" w:hAnsi="Times New Roman" w:cs="Times New Roman"/>
          <w:sz w:val="24"/>
          <w:szCs w:val="24"/>
        </w:rPr>
      </w:pPr>
      <w:r w:rsidRPr="0038653D">
        <w:rPr>
          <w:rFonts w:ascii="Times New Roman" w:hAnsi="Times New Roman" w:cs="Times New Roman"/>
          <w:sz w:val="24"/>
          <w:szCs w:val="24"/>
        </w:rPr>
        <w:t>De acordo com a teoria microeconômica, o Estado possui atribuição imprescindível no que se refere à oferta de bens e serviços públicos para a população do país, como alternativa de corrigir as falhas de mercado causadas pela ineficiência do setor privado em não prover esses bens e serviços para a população em geral. Assim sendo, o Governo em suas esferas, federal, estadual e municipal, tem a função de ofertar bens e serviços de modo a maximizar o bem-estar da população, melhorando, os indicadores sociais e econômicos do país (SANTOS, 2008). A saúde é um dos serviços que o governo oferece à população, conforme preconizado pelo Art.196 da Constituição Federal (CF) de 1988: “A saúde é direito de todos e dever do Estado, garantido mediante políticas sociais e econômicas que visem à redução do risco de doença e de outros agravos e ao acesso universal e igualitário às ações e serviços para sua promoção, proteção e recuperação” (BRASIL, 2016, p. 118-119).</w:t>
      </w:r>
    </w:p>
    <w:p w14:paraId="70D862F9" w14:textId="77777777" w:rsidR="001A1967" w:rsidRPr="0038653D" w:rsidRDefault="001A1967" w:rsidP="001A1967">
      <w:pPr>
        <w:spacing w:after="0" w:line="360" w:lineRule="auto"/>
        <w:ind w:firstLine="708"/>
        <w:jc w:val="both"/>
        <w:rPr>
          <w:rFonts w:ascii="Times New Roman" w:hAnsi="Times New Roman" w:cs="Times New Roman"/>
          <w:sz w:val="24"/>
          <w:szCs w:val="24"/>
        </w:rPr>
      </w:pPr>
      <w:r w:rsidRPr="0038653D">
        <w:rPr>
          <w:rFonts w:ascii="Times New Roman" w:hAnsi="Times New Roman" w:cs="Times New Roman"/>
          <w:sz w:val="24"/>
          <w:szCs w:val="24"/>
        </w:rPr>
        <w:lastRenderedPageBreak/>
        <w:t>Segundo Santos (2008), apesar da grande relevância do provimento de saúde para a população, o governo está limitado pela Lei de Responsabilidade Fiscal, que restringe os gastos públicos de forma a controlar o endividamento do Estado, e, dessa forma, frea a expansão da oferta de serviços públicos no setor em questão.</w:t>
      </w:r>
    </w:p>
    <w:p w14:paraId="3859EBB6" w14:textId="77777777" w:rsidR="001A1967" w:rsidRPr="0038653D" w:rsidRDefault="001A1967" w:rsidP="001A1967">
      <w:pPr>
        <w:spacing w:after="0" w:line="360" w:lineRule="auto"/>
        <w:ind w:firstLine="708"/>
        <w:jc w:val="both"/>
        <w:rPr>
          <w:rFonts w:ascii="Times New Roman" w:hAnsi="Times New Roman" w:cs="Times New Roman"/>
          <w:sz w:val="24"/>
          <w:szCs w:val="24"/>
        </w:rPr>
      </w:pPr>
      <w:r w:rsidRPr="0038653D">
        <w:rPr>
          <w:rFonts w:ascii="Times New Roman" w:hAnsi="Times New Roman" w:cs="Times New Roman"/>
          <w:sz w:val="24"/>
          <w:szCs w:val="24"/>
        </w:rPr>
        <w:t>Para Peña (2008), os recursos financeiros, humanos e físicos ou patrimoniais são limitados tanto no setor público como no privado, dificultando, assim, o atingimento das crescentes demandas da sociedade. Portanto, torna-se necessário que os tomadores de decisão procurem a melhor alocação dos recursos escassos para gerar maior eficiência na sua gestão</w:t>
      </w:r>
      <w:r w:rsidRPr="0038653D">
        <w:rPr>
          <w:rFonts w:ascii="Times New Roman" w:hAnsi="Times New Roman" w:cs="Times New Roman"/>
          <w:sz w:val="24"/>
          <w:szCs w:val="24"/>
          <w:shd w:val="clear" w:color="auto" w:fill="FFFFFF"/>
        </w:rPr>
        <w:t>.</w:t>
      </w:r>
    </w:p>
    <w:p w14:paraId="6CB46554" w14:textId="77777777" w:rsidR="001A1967" w:rsidRPr="0038653D" w:rsidRDefault="001A1967" w:rsidP="001A1967">
      <w:pPr>
        <w:spacing w:after="0" w:line="36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Para </w:t>
      </w:r>
      <w:r w:rsidRPr="0038653D">
        <w:rPr>
          <w:rFonts w:ascii="Times New Roman" w:hAnsi="Times New Roman" w:cs="Times New Roman"/>
          <w:sz w:val="24"/>
          <w:szCs w:val="24"/>
          <w:shd w:val="clear" w:color="auto" w:fill="FFFFFF"/>
        </w:rPr>
        <w:t>Marinho (2003), o estudo da eficiência no segmento da saúde é função primordial do setor público, vist</w:t>
      </w:r>
      <w:r>
        <w:rPr>
          <w:rFonts w:ascii="Times New Roman" w:hAnsi="Times New Roman" w:cs="Times New Roman"/>
          <w:sz w:val="24"/>
          <w:szCs w:val="24"/>
          <w:shd w:val="clear" w:color="auto" w:fill="FFFFFF"/>
        </w:rPr>
        <w:t>o</w:t>
      </w:r>
      <w:r w:rsidRPr="0038653D">
        <w:rPr>
          <w:rFonts w:ascii="Times New Roman" w:hAnsi="Times New Roman" w:cs="Times New Roman"/>
          <w:sz w:val="24"/>
          <w:szCs w:val="24"/>
          <w:shd w:val="clear" w:color="auto" w:fill="FFFFFF"/>
        </w:rPr>
        <w:t xml:space="preserve"> que tal setor é responsável por zelar do bem mais importante do ser humano: a vida, e por ser um dos segmentos que mais recebem recursos públicos. </w:t>
      </w:r>
    </w:p>
    <w:p w14:paraId="5FA03AE7" w14:textId="77777777" w:rsidR="001A1967" w:rsidRPr="0038653D" w:rsidRDefault="001A1967" w:rsidP="001A1967">
      <w:pPr>
        <w:spacing w:after="0" w:line="360" w:lineRule="auto"/>
        <w:ind w:firstLine="708"/>
        <w:jc w:val="both"/>
        <w:rPr>
          <w:rFonts w:ascii="Times New Roman" w:hAnsi="Times New Roman" w:cs="Times New Roman"/>
          <w:sz w:val="24"/>
          <w:szCs w:val="24"/>
          <w:shd w:val="clear" w:color="auto" w:fill="FFFFFF"/>
        </w:rPr>
      </w:pPr>
      <w:r w:rsidRPr="0038653D">
        <w:rPr>
          <w:rFonts w:ascii="Times New Roman" w:hAnsi="Times New Roman" w:cs="Times New Roman"/>
          <w:sz w:val="24"/>
          <w:szCs w:val="24"/>
          <w:shd w:val="clear" w:color="auto" w:fill="FFFFFF"/>
        </w:rPr>
        <w:t xml:space="preserve">No ano de 2019, conforme dados retirados do Sistema de Informações sobre Orçamentos Públicos em Saúde (SIOPS, 2022), a despesa total com saúde no Brasil foi de R$ 166.914.777.293,09, sendo o gasto </w:t>
      </w:r>
      <w:r w:rsidRPr="0038653D">
        <w:rPr>
          <w:rFonts w:ascii="Times New Roman" w:hAnsi="Times New Roman" w:cs="Times New Roman"/>
          <w:i/>
          <w:sz w:val="24"/>
          <w:szCs w:val="24"/>
          <w:shd w:val="clear" w:color="auto" w:fill="FFFFFF"/>
        </w:rPr>
        <w:t>per capita</w:t>
      </w:r>
      <w:r w:rsidRPr="0038653D">
        <w:rPr>
          <w:rFonts w:ascii="Times New Roman" w:hAnsi="Times New Roman" w:cs="Times New Roman"/>
          <w:sz w:val="24"/>
          <w:szCs w:val="24"/>
          <w:shd w:val="clear" w:color="auto" w:fill="FFFFFF"/>
        </w:rPr>
        <w:t xml:space="preserve"> de R$ 811,96; no Ceará, o gasto total foi de R$ 6.699.925.031,77, e o </w:t>
      </w:r>
      <w:r w:rsidRPr="0038653D">
        <w:rPr>
          <w:rFonts w:ascii="Times New Roman" w:hAnsi="Times New Roman" w:cs="Times New Roman"/>
          <w:i/>
          <w:sz w:val="24"/>
          <w:szCs w:val="24"/>
          <w:shd w:val="clear" w:color="auto" w:fill="FFFFFF"/>
        </w:rPr>
        <w:t>per capita</w:t>
      </w:r>
      <w:r w:rsidRPr="0038653D">
        <w:rPr>
          <w:rFonts w:ascii="Times New Roman" w:hAnsi="Times New Roman" w:cs="Times New Roman"/>
          <w:sz w:val="24"/>
          <w:szCs w:val="24"/>
          <w:shd w:val="clear" w:color="auto" w:fill="FFFFFF"/>
        </w:rPr>
        <w:t xml:space="preserve"> de R$ 738,23, correspondendo a aproximadamente 4% do gasto total do país e a aproximadamente 91% do gasto </w:t>
      </w:r>
      <w:r w:rsidRPr="0038653D">
        <w:rPr>
          <w:rFonts w:ascii="Times New Roman" w:hAnsi="Times New Roman" w:cs="Times New Roman"/>
          <w:i/>
          <w:iCs/>
          <w:sz w:val="24"/>
          <w:szCs w:val="24"/>
          <w:shd w:val="clear" w:color="auto" w:fill="FFFFFF"/>
        </w:rPr>
        <w:t>per capita</w:t>
      </w:r>
      <w:r w:rsidRPr="0038653D">
        <w:rPr>
          <w:rFonts w:ascii="Times New Roman" w:hAnsi="Times New Roman" w:cs="Times New Roman"/>
          <w:sz w:val="24"/>
          <w:szCs w:val="24"/>
          <w:shd w:val="clear" w:color="auto" w:fill="FFFFFF"/>
        </w:rPr>
        <w:t xml:space="preserve"> do país.</w:t>
      </w:r>
    </w:p>
    <w:p w14:paraId="2100A5A2" w14:textId="77777777" w:rsidR="001A1967" w:rsidRPr="0038653D" w:rsidRDefault="001A1967" w:rsidP="001A1967">
      <w:pPr>
        <w:spacing w:after="0" w:line="360" w:lineRule="auto"/>
        <w:ind w:firstLine="708"/>
        <w:jc w:val="both"/>
        <w:rPr>
          <w:rFonts w:ascii="Times New Roman" w:hAnsi="Times New Roman" w:cs="Times New Roman"/>
          <w:sz w:val="24"/>
          <w:szCs w:val="24"/>
        </w:rPr>
      </w:pPr>
      <w:r w:rsidRPr="0038653D">
        <w:rPr>
          <w:rFonts w:ascii="Times New Roman" w:hAnsi="Times New Roman" w:cs="Times New Roman"/>
          <w:sz w:val="24"/>
          <w:szCs w:val="24"/>
        </w:rPr>
        <w:t xml:space="preserve">Diante do exposto, percebe-se a importância de estudos que discutam a eficiência na alocação dos recursos públicos na área da saúde, tanto em virtude de o setor ser uma das áreas prioritárias de atuação dos governantes, como também devido a eficiência ser fundamental para reduzir os efeitos deletérios da qualidade dos serviços ofertados aos habitantes. </w:t>
      </w:r>
    </w:p>
    <w:p w14:paraId="30DEF90A" w14:textId="281AEBE8" w:rsidR="001A1967" w:rsidRPr="0038653D" w:rsidRDefault="001A1967" w:rsidP="001A1967">
      <w:pPr>
        <w:spacing w:after="0" w:line="360" w:lineRule="auto"/>
        <w:ind w:firstLine="708"/>
        <w:jc w:val="both"/>
        <w:rPr>
          <w:rFonts w:ascii="Times New Roman" w:hAnsi="Times New Roman" w:cs="Times New Roman"/>
          <w:sz w:val="24"/>
          <w:szCs w:val="24"/>
        </w:rPr>
      </w:pPr>
      <w:r w:rsidRPr="0038653D">
        <w:rPr>
          <w:rFonts w:ascii="Times New Roman" w:hAnsi="Times New Roman" w:cs="Times New Roman"/>
          <w:sz w:val="24"/>
          <w:szCs w:val="24"/>
        </w:rPr>
        <w:t xml:space="preserve">O tema já vem sendo amplamente discutido </w:t>
      </w:r>
      <w:r>
        <w:rPr>
          <w:rFonts w:ascii="Times New Roman" w:hAnsi="Times New Roman" w:cs="Times New Roman"/>
          <w:sz w:val="24"/>
          <w:szCs w:val="24"/>
        </w:rPr>
        <w:t>nas agendas de pesquisa</w:t>
      </w:r>
      <w:r w:rsidRPr="0038653D">
        <w:rPr>
          <w:rFonts w:ascii="Times New Roman" w:hAnsi="Times New Roman" w:cs="Times New Roman"/>
          <w:sz w:val="24"/>
          <w:szCs w:val="24"/>
        </w:rPr>
        <w:t>. Em instância internacional, destacam-se os estudos de Asandului, Roman e Fatulescu (2014); Lionel (2015);</w:t>
      </w:r>
      <w:r>
        <w:rPr>
          <w:rFonts w:ascii="Times New Roman" w:hAnsi="Times New Roman" w:cs="Times New Roman"/>
          <w:sz w:val="24"/>
          <w:szCs w:val="24"/>
        </w:rPr>
        <w:t xml:space="preserve"> </w:t>
      </w:r>
      <w:r w:rsidRPr="0038653D">
        <w:rPr>
          <w:rFonts w:ascii="Times New Roman" w:hAnsi="Times New Roman" w:cs="Times New Roman"/>
          <w:sz w:val="24"/>
          <w:szCs w:val="24"/>
        </w:rPr>
        <w:t>Lee (2016);</w:t>
      </w:r>
      <w:r w:rsidRPr="0038653D">
        <w:t xml:space="preserve"> </w:t>
      </w:r>
      <w:r w:rsidRPr="0038653D">
        <w:rPr>
          <w:rFonts w:ascii="Times New Roman" w:hAnsi="Times New Roman" w:cs="Times New Roman"/>
          <w:sz w:val="24"/>
          <w:szCs w:val="24"/>
        </w:rPr>
        <w:t xml:space="preserve">e Zhou </w:t>
      </w:r>
      <w:r w:rsidRPr="0038653D">
        <w:rPr>
          <w:rFonts w:ascii="Times New Roman" w:hAnsi="Times New Roman" w:cs="Times New Roman"/>
          <w:i/>
          <w:sz w:val="24"/>
          <w:szCs w:val="24"/>
        </w:rPr>
        <w:t>et al</w:t>
      </w:r>
      <w:r w:rsidRPr="0038653D">
        <w:rPr>
          <w:rFonts w:ascii="Times New Roman" w:hAnsi="Times New Roman" w:cs="Times New Roman"/>
          <w:sz w:val="24"/>
          <w:szCs w:val="24"/>
        </w:rPr>
        <w:t xml:space="preserve"> (2020). Em nível nacional, destacam-se os estudos de Santos (2008)</w:t>
      </w:r>
      <w:r w:rsidRPr="0038653D">
        <w:rPr>
          <w:rFonts w:ascii="Times New Roman" w:hAnsi="Times New Roman" w:cs="Times New Roman"/>
          <w:sz w:val="24"/>
          <w:szCs w:val="24"/>
          <w:shd w:val="clear" w:color="auto" w:fill="FFFFFF"/>
        </w:rPr>
        <w:t xml:space="preserve">; </w:t>
      </w:r>
      <w:r w:rsidRPr="0038653D">
        <w:rPr>
          <w:rFonts w:ascii="Times New Roman" w:hAnsi="Times New Roman" w:cs="Times New Roman"/>
          <w:sz w:val="24"/>
          <w:szCs w:val="24"/>
        </w:rPr>
        <w:t xml:space="preserve">Portulhak; Raffaelli; Scarpin (2018); </w:t>
      </w:r>
      <w:r w:rsidRPr="0038653D">
        <w:rPr>
          <w:rFonts w:ascii="Times New Roman" w:hAnsi="Times New Roman" w:cs="Times New Roman"/>
          <w:sz w:val="24"/>
          <w:szCs w:val="24"/>
          <w:shd w:val="clear" w:color="auto" w:fill="FFFFFF"/>
        </w:rPr>
        <w:t xml:space="preserve">e </w:t>
      </w:r>
      <w:r w:rsidRPr="0038653D">
        <w:rPr>
          <w:rFonts w:ascii="Times New Roman" w:hAnsi="Times New Roman" w:cs="Times New Roman"/>
          <w:sz w:val="24"/>
          <w:szCs w:val="24"/>
        </w:rPr>
        <w:t xml:space="preserve">Andrett </w:t>
      </w:r>
      <w:r w:rsidRPr="0038653D">
        <w:rPr>
          <w:rFonts w:ascii="Times New Roman" w:hAnsi="Times New Roman" w:cs="Times New Roman"/>
          <w:i/>
          <w:sz w:val="24"/>
          <w:szCs w:val="24"/>
        </w:rPr>
        <w:t>et al.</w:t>
      </w:r>
      <w:r w:rsidRPr="0038653D">
        <w:rPr>
          <w:rFonts w:ascii="Times New Roman" w:hAnsi="Times New Roman" w:cs="Times New Roman"/>
          <w:sz w:val="24"/>
          <w:szCs w:val="24"/>
        </w:rPr>
        <w:t xml:space="preserve"> (2018). Em termos de estados brasileiros, destacam-se Mazon; Mascarenhas; Dallabrida (2015); </w:t>
      </w:r>
      <w:r w:rsidRPr="0038653D">
        <w:rPr>
          <w:rFonts w:ascii="Times New Roman" w:hAnsi="Times New Roman" w:cs="Times New Roman"/>
          <w:sz w:val="24"/>
          <w:szCs w:val="24"/>
          <w:shd w:val="clear" w:color="auto" w:fill="FFFFFF"/>
        </w:rPr>
        <w:t xml:space="preserve">Santos Neto </w:t>
      </w:r>
      <w:r w:rsidRPr="0038653D">
        <w:rPr>
          <w:rFonts w:ascii="Times New Roman" w:hAnsi="Times New Roman" w:cs="Times New Roman"/>
          <w:i/>
          <w:sz w:val="24"/>
          <w:szCs w:val="24"/>
          <w:shd w:val="clear" w:color="auto" w:fill="FFFFFF"/>
        </w:rPr>
        <w:t>et al.</w:t>
      </w:r>
      <w:r w:rsidRPr="0038653D">
        <w:rPr>
          <w:rFonts w:ascii="Times New Roman" w:hAnsi="Times New Roman" w:cs="Times New Roman"/>
          <w:sz w:val="24"/>
          <w:szCs w:val="24"/>
          <w:shd w:val="clear" w:color="auto" w:fill="FFFFFF"/>
        </w:rPr>
        <w:t xml:space="preserve"> (2019) e </w:t>
      </w:r>
      <w:r w:rsidRPr="0038653D">
        <w:rPr>
          <w:rFonts w:ascii="Times New Roman" w:hAnsi="Times New Roman" w:cs="Times New Roman"/>
          <w:sz w:val="24"/>
          <w:szCs w:val="24"/>
        </w:rPr>
        <w:t>Silva e Crozatti (2020). No tocante ao estado do Ceará, ressaltam-se os estudos de Nunes e Sousa (2019) e Oliveira; Mota; Vasconcelos (2020).</w:t>
      </w:r>
    </w:p>
    <w:p w14:paraId="7504CF85" w14:textId="7CA8B522" w:rsidR="001A1967" w:rsidRPr="0038653D" w:rsidRDefault="001A1967" w:rsidP="001A1967">
      <w:pPr>
        <w:spacing w:after="0" w:line="360" w:lineRule="auto"/>
        <w:ind w:firstLine="708"/>
        <w:jc w:val="both"/>
        <w:rPr>
          <w:rFonts w:ascii="Times New Roman" w:hAnsi="Times New Roman" w:cs="Times New Roman"/>
          <w:sz w:val="24"/>
          <w:szCs w:val="24"/>
        </w:rPr>
      </w:pPr>
      <w:r w:rsidRPr="0038653D">
        <w:rPr>
          <w:rFonts w:ascii="Times New Roman" w:hAnsi="Times New Roman" w:cs="Times New Roman"/>
          <w:sz w:val="24"/>
          <w:szCs w:val="24"/>
        </w:rPr>
        <w:t xml:space="preserve">Embora o Ceará tenha sido objeto de estudo na literatura mencionada, nenhum deles considerou as regiões imediatas, seguindo a </w:t>
      </w:r>
      <w:r w:rsidRPr="0038653D" w:rsidDel="00616C96">
        <w:rPr>
          <w:rFonts w:ascii="Times New Roman" w:hAnsi="Times New Roman" w:cs="Times New Roman"/>
          <w:sz w:val="24"/>
          <w:szCs w:val="24"/>
        </w:rPr>
        <w:t xml:space="preserve">classificação </w:t>
      </w:r>
      <w:r w:rsidRPr="0038653D">
        <w:rPr>
          <w:rFonts w:ascii="Times New Roman" w:hAnsi="Times New Roman" w:cs="Times New Roman"/>
          <w:sz w:val="24"/>
          <w:szCs w:val="24"/>
        </w:rPr>
        <w:t xml:space="preserve">mais recente </w:t>
      </w:r>
      <w:r w:rsidRPr="0038653D" w:rsidDel="00616C96">
        <w:rPr>
          <w:rFonts w:ascii="Times New Roman" w:hAnsi="Times New Roman" w:cs="Times New Roman"/>
          <w:sz w:val="24"/>
          <w:szCs w:val="24"/>
        </w:rPr>
        <w:t>do IBGE</w:t>
      </w:r>
      <w:r w:rsidRPr="0038653D">
        <w:rPr>
          <w:rFonts w:ascii="Times New Roman" w:hAnsi="Times New Roman" w:cs="Times New Roman"/>
          <w:sz w:val="24"/>
          <w:szCs w:val="24"/>
        </w:rPr>
        <w:t xml:space="preserve"> (2017). Assim, </w:t>
      </w:r>
      <w:r w:rsidRPr="0038653D">
        <w:rPr>
          <w:rFonts w:ascii="Times New Roman" w:hAnsi="Times New Roman" w:cs="Times New Roman"/>
          <w:sz w:val="24"/>
          <w:szCs w:val="24"/>
        </w:rPr>
        <w:lastRenderedPageBreak/>
        <w:t xml:space="preserve">este estudo busca auxiliar os gestores públicos mediante a identificação das regiões imediatas que podem servir como </w:t>
      </w:r>
      <w:r w:rsidRPr="0038653D">
        <w:rPr>
          <w:rFonts w:ascii="Times New Roman" w:hAnsi="Times New Roman" w:cs="Times New Roman"/>
          <w:i/>
          <w:iCs/>
          <w:sz w:val="24"/>
          <w:szCs w:val="24"/>
        </w:rPr>
        <w:t>benchmark</w:t>
      </w:r>
      <w:r w:rsidRPr="0038653D">
        <w:rPr>
          <w:rFonts w:ascii="Times New Roman" w:hAnsi="Times New Roman" w:cs="Times New Roman"/>
          <w:sz w:val="24"/>
          <w:szCs w:val="24"/>
        </w:rPr>
        <w:t xml:space="preserve"> para as </w:t>
      </w:r>
      <w:r w:rsidR="00B57D06">
        <w:rPr>
          <w:rFonts w:ascii="Times New Roman" w:hAnsi="Times New Roman" w:cs="Times New Roman"/>
          <w:sz w:val="24"/>
          <w:szCs w:val="24"/>
        </w:rPr>
        <w:t>outras</w:t>
      </w:r>
      <w:r w:rsidRPr="0038653D">
        <w:rPr>
          <w:rFonts w:ascii="Times New Roman" w:hAnsi="Times New Roman" w:cs="Times New Roman"/>
          <w:sz w:val="24"/>
          <w:szCs w:val="24"/>
        </w:rPr>
        <w:t>. A</w:t>
      </w:r>
      <w:r>
        <w:rPr>
          <w:rFonts w:ascii="Times New Roman" w:hAnsi="Times New Roman" w:cs="Times New Roman"/>
          <w:sz w:val="24"/>
          <w:szCs w:val="24"/>
        </w:rPr>
        <w:t>demais</w:t>
      </w:r>
      <w:r w:rsidRPr="0038653D" w:rsidDel="00616C96">
        <w:rPr>
          <w:rFonts w:ascii="Times New Roman" w:hAnsi="Times New Roman" w:cs="Times New Roman"/>
          <w:sz w:val="24"/>
          <w:szCs w:val="24"/>
        </w:rPr>
        <w:t xml:space="preserve">, </w:t>
      </w:r>
      <w:r>
        <w:rPr>
          <w:rFonts w:ascii="Times New Roman" w:hAnsi="Times New Roman" w:cs="Times New Roman"/>
          <w:sz w:val="24"/>
          <w:szCs w:val="24"/>
        </w:rPr>
        <w:t xml:space="preserve">diferenciam-se </w:t>
      </w:r>
      <w:r w:rsidRPr="0038653D" w:rsidDel="00616C96">
        <w:rPr>
          <w:rFonts w:ascii="Times New Roman" w:hAnsi="Times New Roman" w:cs="Times New Roman"/>
          <w:i/>
          <w:sz w:val="24"/>
          <w:szCs w:val="24"/>
        </w:rPr>
        <w:t>input</w:t>
      </w:r>
      <w:r w:rsidRPr="0038653D" w:rsidDel="00616C96">
        <w:rPr>
          <w:rFonts w:ascii="Times New Roman" w:hAnsi="Times New Roman" w:cs="Times New Roman"/>
          <w:sz w:val="24"/>
          <w:szCs w:val="24"/>
        </w:rPr>
        <w:t xml:space="preserve"> e </w:t>
      </w:r>
      <w:r w:rsidRPr="0038653D" w:rsidDel="00616C96">
        <w:rPr>
          <w:rFonts w:ascii="Times New Roman" w:hAnsi="Times New Roman" w:cs="Times New Roman"/>
          <w:i/>
          <w:sz w:val="24"/>
          <w:szCs w:val="24"/>
        </w:rPr>
        <w:t>outputs</w:t>
      </w:r>
      <w:r w:rsidRPr="0038653D" w:rsidDel="00616C96">
        <w:rPr>
          <w:rFonts w:ascii="Times New Roman" w:hAnsi="Times New Roman" w:cs="Times New Roman"/>
          <w:sz w:val="24"/>
          <w:szCs w:val="24"/>
        </w:rPr>
        <w:t xml:space="preserve"> </w:t>
      </w:r>
      <w:r>
        <w:rPr>
          <w:rFonts w:ascii="Times New Roman" w:hAnsi="Times New Roman" w:cs="Times New Roman"/>
          <w:sz w:val="24"/>
          <w:szCs w:val="24"/>
        </w:rPr>
        <w:t>em relação a</w:t>
      </w:r>
      <w:r w:rsidRPr="0038653D" w:rsidDel="00616C96">
        <w:rPr>
          <w:rFonts w:ascii="Times New Roman" w:hAnsi="Times New Roman" w:cs="Times New Roman"/>
          <w:sz w:val="24"/>
          <w:szCs w:val="24"/>
        </w:rPr>
        <w:t>os estudos pesquisados</w:t>
      </w:r>
      <w:r w:rsidRPr="0038653D">
        <w:rPr>
          <w:rFonts w:ascii="Times New Roman" w:hAnsi="Times New Roman" w:cs="Times New Roman"/>
          <w:sz w:val="24"/>
          <w:szCs w:val="24"/>
        </w:rPr>
        <w:t>, procedendo a análise para 2019, que é o ano mais atual com dados disponíveis</w:t>
      </w:r>
      <w:r w:rsidRPr="0038653D" w:rsidDel="00616C96">
        <w:rPr>
          <w:rFonts w:ascii="Times New Roman" w:hAnsi="Times New Roman" w:cs="Times New Roman"/>
          <w:sz w:val="24"/>
          <w:szCs w:val="24"/>
        </w:rPr>
        <w:t xml:space="preserve">, </w:t>
      </w:r>
      <w:r w:rsidRPr="0038653D">
        <w:rPr>
          <w:rFonts w:ascii="Times New Roman" w:hAnsi="Times New Roman" w:cs="Times New Roman"/>
          <w:sz w:val="24"/>
          <w:szCs w:val="24"/>
        </w:rPr>
        <w:t xml:space="preserve">contribuindo, portanto, com </w:t>
      </w:r>
      <w:r w:rsidRPr="0038653D" w:rsidDel="00616C96">
        <w:rPr>
          <w:rFonts w:ascii="Times New Roman" w:hAnsi="Times New Roman" w:cs="Times New Roman"/>
          <w:sz w:val="24"/>
          <w:szCs w:val="24"/>
        </w:rPr>
        <w:t>a literatura</w:t>
      </w:r>
      <w:r w:rsidRPr="0038653D">
        <w:rPr>
          <w:rFonts w:ascii="Times New Roman" w:hAnsi="Times New Roman" w:cs="Times New Roman"/>
          <w:sz w:val="24"/>
          <w:szCs w:val="24"/>
        </w:rPr>
        <w:t xml:space="preserve"> que versa sobre este tema</w:t>
      </w:r>
      <w:r w:rsidRPr="0038653D" w:rsidDel="00616C96">
        <w:rPr>
          <w:rFonts w:ascii="Times New Roman" w:hAnsi="Times New Roman" w:cs="Times New Roman"/>
          <w:sz w:val="24"/>
          <w:szCs w:val="24"/>
        </w:rPr>
        <w:t xml:space="preserve">. </w:t>
      </w:r>
    </w:p>
    <w:p w14:paraId="549A07D1" w14:textId="1B8BCB31" w:rsidR="001A1967" w:rsidRPr="0038653D" w:rsidRDefault="001A1967" w:rsidP="001A1967">
      <w:pPr>
        <w:spacing w:after="0" w:line="360" w:lineRule="auto"/>
        <w:ind w:firstLine="708"/>
        <w:jc w:val="both"/>
        <w:rPr>
          <w:rFonts w:ascii="Times New Roman" w:hAnsi="Times New Roman" w:cs="Times New Roman"/>
          <w:sz w:val="24"/>
          <w:szCs w:val="24"/>
        </w:rPr>
      </w:pPr>
      <w:r w:rsidRPr="0038653D">
        <w:rPr>
          <w:rFonts w:ascii="Times New Roman" w:hAnsi="Times New Roman" w:cs="Times New Roman"/>
          <w:sz w:val="24"/>
          <w:szCs w:val="24"/>
        </w:rPr>
        <w:t xml:space="preserve">Diante dessas considerações, o presente estudo se propôs mensurar os escores de eficiência técnica e de escala dos gastos públicos em saúde e agregá-los conforme o PIB médio </w:t>
      </w:r>
      <w:r w:rsidRPr="0038653D">
        <w:rPr>
          <w:rFonts w:ascii="Times New Roman" w:hAnsi="Times New Roman" w:cs="Times New Roman"/>
          <w:i/>
          <w:sz w:val="24"/>
          <w:szCs w:val="24"/>
        </w:rPr>
        <w:t>per capita</w:t>
      </w:r>
      <w:r w:rsidRPr="0038653D">
        <w:rPr>
          <w:rFonts w:ascii="Times New Roman" w:hAnsi="Times New Roman" w:cs="Times New Roman"/>
          <w:sz w:val="24"/>
          <w:szCs w:val="24"/>
        </w:rPr>
        <w:t xml:space="preserve">, </w:t>
      </w:r>
      <w:r>
        <w:rPr>
          <w:rFonts w:ascii="Times New Roman" w:hAnsi="Times New Roman" w:cs="Times New Roman"/>
          <w:sz w:val="24"/>
          <w:szCs w:val="24"/>
        </w:rPr>
        <w:t>e</w:t>
      </w:r>
      <w:r w:rsidRPr="0038653D">
        <w:rPr>
          <w:rFonts w:ascii="Times New Roman" w:hAnsi="Times New Roman" w:cs="Times New Roman"/>
          <w:sz w:val="24"/>
          <w:szCs w:val="24"/>
        </w:rPr>
        <w:t xml:space="preserve"> </w:t>
      </w:r>
      <w:r w:rsidR="00B57D06">
        <w:rPr>
          <w:rFonts w:ascii="Times New Roman" w:hAnsi="Times New Roman" w:cs="Times New Roman"/>
          <w:sz w:val="24"/>
          <w:szCs w:val="24"/>
        </w:rPr>
        <w:t xml:space="preserve">o </w:t>
      </w:r>
      <w:r w:rsidRPr="0038653D">
        <w:rPr>
          <w:rFonts w:ascii="Times New Roman" w:hAnsi="Times New Roman" w:cs="Times New Roman"/>
          <w:sz w:val="24"/>
          <w:szCs w:val="24"/>
        </w:rPr>
        <w:t>tamanho populacional médio</w:t>
      </w:r>
      <w:r>
        <w:rPr>
          <w:rFonts w:ascii="Times New Roman" w:hAnsi="Times New Roman" w:cs="Times New Roman"/>
          <w:sz w:val="24"/>
          <w:szCs w:val="24"/>
        </w:rPr>
        <w:t xml:space="preserve"> </w:t>
      </w:r>
      <w:r w:rsidRPr="0038653D">
        <w:rPr>
          <w:rFonts w:ascii="Times New Roman" w:hAnsi="Times New Roman" w:cs="Times New Roman"/>
          <w:sz w:val="24"/>
          <w:szCs w:val="24"/>
        </w:rPr>
        <w:t>das 18 regiões imediatas cearenses</w:t>
      </w:r>
      <w:r>
        <w:rPr>
          <w:rFonts w:ascii="Times New Roman" w:hAnsi="Times New Roman" w:cs="Times New Roman"/>
          <w:sz w:val="24"/>
          <w:szCs w:val="24"/>
        </w:rPr>
        <w:t xml:space="preserve"> para 2019</w:t>
      </w:r>
      <w:r w:rsidRPr="0038653D">
        <w:rPr>
          <w:rFonts w:ascii="Times New Roman" w:hAnsi="Times New Roman" w:cs="Times New Roman"/>
          <w:sz w:val="24"/>
          <w:szCs w:val="24"/>
        </w:rPr>
        <w:t>.</w:t>
      </w:r>
    </w:p>
    <w:p w14:paraId="1A1F6860" w14:textId="56CF0307" w:rsidR="00E23187" w:rsidRPr="0042645C" w:rsidRDefault="001A1967" w:rsidP="0042645C">
      <w:pPr>
        <w:spacing w:line="360" w:lineRule="auto"/>
        <w:ind w:firstLine="708"/>
        <w:jc w:val="both"/>
      </w:pPr>
      <w:r w:rsidRPr="0038653D">
        <w:rPr>
          <w:rFonts w:ascii="Times New Roman" w:hAnsi="Times New Roman" w:cs="Times New Roman"/>
          <w:sz w:val="24"/>
          <w:szCs w:val="24"/>
        </w:rPr>
        <w:t xml:space="preserve">Além desta introdução, o trabalho está dividido em mais </w:t>
      </w:r>
      <w:r w:rsidR="00BD279B">
        <w:rPr>
          <w:rFonts w:ascii="Times New Roman" w:hAnsi="Times New Roman" w:cs="Times New Roman"/>
          <w:sz w:val="24"/>
          <w:szCs w:val="24"/>
        </w:rPr>
        <w:t>três</w:t>
      </w:r>
      <w:r w:rsidRPr="0038653D">
        <w:rPr>
          <w:rFonts w:ascii="Times New Roman" w:hAnsi="Times New Roman" w:cs="Times New Roman"/>
          <w:sz w:val="24"/>
          <w:szCs w:val="24"/>
        </w:rPr>
        <w:t xml:space="preserve"> seções, quais sejam</w:t>
      </w:r>
      <w:r w:rsidR="005F38E0">
        <w:rPr>
          <w:rFonts w:ascii="Times New Roman" w:hAnsi="Times New Roman" w:cs="Times New Roman"/>
          <w:sz w:val="24"/>
          <w:szCs w:val="24"/>
        </w:rPr>
        <w:t>:</w:t>
      </w:r>
      <w:r w:rsidRPr="0038653D">
        <w:rPr>
          <w:rFonts w:ascii="Times New Roman" w:hAnsi="Times New Roman" w:cs="Times New Roman"/>
          <w:sz w:val="24"/>
          <w:szCs w:val="24"/>
        </w:rPr>
        <w:t xml:space="preserve"> a descrição dos métodos analíticos e as variáveis utilizadas na pesquisa,</w:t>
      </w:r>
      <w:r w:rsidR="005F38E0" w:rsidRPr="0038653D">
        <w:rPr>
          <w:rFonts w:ascii="Times New Roman" w:hAnsi="Times New Roman" w:cs="Times New Roman"/>
          <w:sz w:val="24"/>
          <w:szCs w:val="24"/>
        </w:rPr>
        <w:t xml:space="preserve"> a revisão de literatura,</w:t>
      </w:r>
      <w:r w:rsidR="00491776">
        <w:rPr>
          <w:rFonts w:ascii="Times New Roman" w:hAnsi="Times New Roman" w:cs="Times New Roman"/>
          <w:sz w:val="24"/>
          <w:szCs w:val="24"/>
        </w:rPr>
        <w:t xml:space="preserve"> e </w:t>
      </w:r>
      <w:r w:rsidR="00491776" w:rsidRPr="0038653D">
        <w:rPr>
          <w:rFonts w:ascii="Times New Roman" w:hAnsi="Times New Roman" w:cs="Times New Roman"/>
          <w:sz w:val="24"/>
          <w:szCs w:val="24"/>
        </w:rPr>
        <w:t>por último</w:t>
      </w:r>
      <w:r w:rsidR="00491776">
        <w:rPr>
          <w:rFonts w:ascii="Times New Roman" w:hAnsi="Times New Roman" w:cs="Times New Roman"/>
          <w:sz w:val="24"/>
          <w:szCs w:val="24"/>
        </w:rPr>
        <w:t>,</w:t>
      </w:r>
      <w:r w:rsidR="00491776" w:rsidRPr="0038653D">
        <w:rPr>
          <w:rFonts w:ascii="Times New Roman" w:hAnsi="Times New Roman" w:cs="Times New Roman"/>
          <w:sz w:val="24"/>
          <w:szCs w:val="24"/>
        </w:rPr>
        <w:t xml:space="preserve"> </w:t>
      </w:r>
      <w:r w:rsidRPr="0038653D">
        <w:rPr>
          <w:rFonts w:ascii="Times New Roman" w:hAnsi="Times New Roman" w:cs="Times New Roman"/>
          <w:sz w:val="24"/>
          <w:szCs w:val="24"/>
        </w:rPr>
        <w:t>os resultados e as discussões.</w:t>
      </w:r>
      <w:bookmarkStart w:id="1" w:name="_Toc82209204"/>
      <w:r w:rsidRPr="0038653D">
        <w:t xml:space="preserve"> </w:t>
      </w:r>
      <w:bookmarkEnd w:id="1"/>
    </w:p>
    <w:p w14:paraId="41F3F7E7" w14:textId="0D72D376" w:rsidR="00E23187" w:rsidRDefault="005F38E0">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w:t>
      </w:r>
      <w:r w:rsidR="005549E5">
        <w:rPr>
          <w:rFonts w:ascii="Times New Roman" w:hAnsi="Times New Roman" w:cs="Times New Roman"/>
          <w:b/>
          <w:bCs/>
          <w:sz w:val="24"/>
          <w:szCs w:val="24"/>
        </w:rPr>
        <w:t xml:space="preserve"> ASPECTOS METODOLÓGICOS</w:t>
      </w:r>
    </w:p>
    <w:p w14:paraId="7808E024" w14:textId="37E0BAB0" w:rsidR="00D76F0C" w:rsidRPr="00D76F0C" w:rsidRDefault="005F38E0" w:rsidP="00D76F0C">
      <w:pPr>
        <w:keepNext/>
        <w:keepLines/>
        <w:spacing w:after="0" w:line="360" w:lineRule="auto"/>
        <w:outlineLvl w:val="1"/>
        <w:rPr>
          <w:rFonts w:ascii="Times New Roman" w:eastAsia="Times New Roman" w:hAnsi="Times New Roman" w:cs="Times New Roman"/>
          <w:b/>
          <w:sz w:val="24"/>
          <w:szCs w:val="26"/>
        </w:rPr>
      </w:pPr>
      <w:bookmarkStart w:id="2" w:name="_Toc82209209"/>
      <w:r>
        <w:rPr>
          <w:rFonts w:ascii="Times New Roman" w:eastAsia="Times New Roman" w:hAnsi="Times New Roman" w:cs="Times New Roman"/>
          <w:b/>
          <w:sz w:val="24"/>
          <w:szCs w:val="26"/>
        </w:rPr>
        <w:t>2</w:t>
      </w:r>
      <w:r w:rsidR="00D76F0C" w:rsidRPr="00D76F0C">
        <w:rPr>
          <w:rFonts w:ascii="Times New Roman" w:eastAsia="Times New Roman" w:hAnsi="Times New Roman" w:cs="Times New Roman"/>
          <w:b/>
          <w:sz w:val="24"/>
          <w:szCs w:val="26"/>
        </w:rPr>
        <w:t>.1 Área de estudo</w:t>
      </w:r>
      <w:bookmarkEnd w:id="2"/>
    </w:p>
    <w:p w14:paraId="078BBB9E" w14:textId="77777777" w:rsidR="00D76F0C" w:rsidRPr="00D76F0C" w:rsidRDefault="00D76F0C" w:rsidP="00D76F0C">
      <w:pPr>
        <w:spacing w:after="0" w:line="360" w:lineRule="auto"/>
        <w:ind w:firstLine="708"/>
        <w:jc w:val="both"/>
        <w:rPr>
          <w:rFonts w:ascii="Times New Roman" w:eastAsia="Calibri" w:hAnsi="Times New Roman" w:cs="Times New Roman"/>
          <w:sz w:val="24"/>
          <w:szCs w:val="24"/>
        </w:rPr>
      </w:pPr>
      <w:r w:rsidRPr="00D76F0C">
        <w:rPr>
          <w:rFonts w:ascii="Times New Roman" w:eastAsia="Calibri" w:hAnsi="Times New Roman" w:cs="Times New Roman"/>
          <w:sz w:val="24"/>
          <w:szCs w:val="24"/>
        </w:rPr>
        <w:t>A área de estudo se concentra no estado do Ceará, situado na região Nordeste, com uma área territorial de 148.886,3 km², correspondente a 1,75% da área total do país e 9,58% da região Nordeste. Constitui também o 17º estado brasileiro em extensão territorial e o 4º maior da região e é composto por 184 municípios (IPECE, 2007).  De acordo com dados retirados do IBGE (2022), a população residente no estado, em 2019, era de 9.132.858 habitantes, correspondente a aproximadamente 4,34% da população do país e com um crescimento populacional de 0,62%, em comparação a 2018. Tendo em vista que uma maior população exige maiores recursos de saúde, e, sendo estes limitados, é necessária uma maior eficiência no gerenciamento dos recursos de saúde, para que, assim, haja uma melhora da qualidade de vida da população residente de uma localidade.</w:t>
      </w:r>
    </w:p>
    <w:p w14:paraId="16A95DAA" w14:textId="77777777" w:rsidR="00D76F0C" w:rsidRPr="00D76F0C" w:rsidRDefault="00D76F0C" w:rsidP="00D76F0C">
      <w:pPr>
        <w:spacing w:after="0" w:line="360" w:lineRule="auto"/>
        <w:ind w:firstLine="708"/>
        <w:jc w:val="both"/>
        <w:rPr>
          <w:rFonts w:ascii="Times New Roman" w:eastAsia="Calibri" w:hAnsi="Times New Roman" w:cs="Times New Roman"/>
          <w:sz w:val="24"/>
          <w:szCs w:val="24"/>
        </w:rPr>
      </w:pPr>
      <w:r w:rsidRPr="00D76F0C">
        <w:rPr>
          <w:rFonts w:ascii="Times New Roman" w:eastAsia="Calibri" w:hAnsi="Times New Roman" w:cs="Times New Roman"/>
          <w:sz w:val="24"/>
          <w:szCs w:val="24"/>
        </w:rPr>
        <w:t>No que diz respeito ao recorte geográfico do estudo, utilizou-se a nova classificação do IBGE (2017), que divide os estados brasileiros em regiões imediatas. Estas constituem agrupamentos de municípios, que são organizados a partir de um ponto central de referência, considerando a proximidade dos municípios para facilitação de deslocamentos dos indivíduos aos centros urbanos mais próximos onde satisfazem suas necessidades imediatas, como a busca por emprego, serviços públicos, educação e saúde, entre outros (IBGE, 2017).</w:t>
      </w:r>
    </w:p>
    <w:p w14:paraId="7A7AFE3F" w14:textId="77777777" w:rsidR="00D76F0C" w:rsidRPr="00D76F0C" w:rsidRDefault="00D76F0C" w:rsidP="00D76F0C">
      <w:pPr>
        <w:spacing w:after="0" w:line="360" w:lineRule="auto"/>
        <w:ind w:firstLine="708"/>
        <w:jc w:val="both"/>
        <w:rPr>
          <w:rFonts w:ascii="Times New Roman" w:eastAsia="Calibri" w:hAnsi="Times New Roman" w:cs="Times New Roman"/>
          <w:sz w:val="24"/>
          <w:szCs w:val="24"/>
        </w:rPr>
      </w:pPr>
      <w:r w:rsidRPr="00D76F0C">
        <w:rPr>
          <w:rFonts w:ascii="Times New Roman" w:eastAsia="Calibri" w:hAnsi="Times New Roman" w:cs="Times New Roman"/>
          <w:sz w:val="24"/>
          <w:szCs w:val="24"/>
        </w:rPr>
        <w:lastRenderedPageBreak/>
        <w:t>Seguindo essa classificação do IBGE (2017), o estado do Ceará se divide em 18 regiões imediatas (Fortaleza, Itapipoca, Redenção-Acarape, Canindé, Itapagé,</w:t>
      </w:r>
      <w:r w:rsidRPr="00D76F0C">
        <w:rPr>
          <w:rFonts w:ascii="Calibri" w:eastAsia="Calibri" w:hAnsi="Calibri" w:cs="Times New Roman"/>
        </w:rPr>
        <w:t xml:space="preserve"> </w:t>
      </w:r>
      <w:r w:rsidRPr="00D76F0C">
        <w:rPr>
          <w:rFonts w:ascii="Times New Roman" w:eastAsia="Calibri" w:hAnsi="Times New Roman" w:cs="Times New Roman"/>
          <w:sz w:val="24"/>
          <w:szCs w:val="24"/>
        </w:rPr>
        <w:t>Quixadá,</w:t>
      </w:r>
      <w:r w:rsidRPr="00D76F0C">
        <w:rPr>
          <w:rFonts w:ascii="Calibri" w:eastAsia="Calibri" w:hAnsi="Calibri" w:cs="Times New Roman"/>
        </w:rPr>
        <w:t xml:space="preserve"> </w:t>
      </w:r>
      <w:r w:rsidRPr="00D76F0C">
        <w:rPr>
          <w:rFonts w:ascii="Times New Roman" w:eastAsia="Calibri" w:hAnsi="Times New Roman" w:cs="Times New Roman"/>
          <w:sz w:val="24"/>
          <w:szCs w:val="24"/>
        </w:rPr>
        <w:t>Russas-Limoeiro do Norte, Aracati, Iguatu, Icó,</w:t>
      </w:r>
      <w:r w:rsidRPr="00D76F0C">
        <w:rPr>
          <w:rFonts w:ascii="Calibri" w:eastAsia="Calibri" w:hAnsi="Calibri" w:cs="Times New Roman"/>
        </w:rPr>
        <w:t xml:space="preserve"> </w:t>
      </w:r>
      <w:r w:rsidRPr="00D76F0C">
        <w:rPr>
          <w:rFonts w:ascii="Times New Roman" w:eastAsia="Calibri" w:hAnsi="Times New Roman" w:cs="Times New Roman"/>
          <w:sz w:val="24"/>
          <w:szCs w:val="24"/>
        </w:rPr>
        <w:t>Juazeiro do Norte, Brejo Santo,</w:t>
      </w:r>
      <w:r w:rsidRPr="00D76F0C">
        <w:rPr>
          <w:rFonts w:ascii="Calibri" w:eastAsia="Calibri" w:hAnsi="Calibri" w:cs="Times New Roman"/>
        </w:rPr>
        <w:t xml:space="preserve"> </w:t>
      </w:r>
      <w:r w:rsidRPr="00D76F0C">
        <w:rPr>
          <w:rFonts w:ascii="Times New Roman" w:eastAsia="Calibri" w:hAnsi="Times New Roman" w:cs="Times New Roman"/>
          <w:sz w:val="24"/>
          <w:szCs w:val="24"/>
        </w:rPr>
        <w:t>Crateús, Tauá,</w:t>
      </w:r>
      <w:r w:rsidRPr="00D76F0C">
        <w:rPr>
          <w:rFonts w:ascii="Calibri" w:eastAsia="Calibri" w:hAnsi="Calibri" w:cs="Times New Roman"/>
        </w:rPr>
        <w:t xml:space="preserve"> </w:t>
      </w:r>
      <w:r w:rsidRPr="00D76F0C">
        <w:rPr>
          <w:rFonts w:ascii="Times New Roman" w:eastAsia="Calibri" w:hAnsi="Times New Roman" w:cs="Times New Roman"/>
          <w:sz w:val="24"/>
          <w:szCs w:val="24"/>
        </w:rPr>
        <w:t>Sobral, São Benedito-Ipu-Guaraciaba do Norte-Tianguá, Acaraú e Camocim). Essas são objetos de estudo deste trabalho.</w:t>
      </w:r>
    </w:p>
    <w:p w14:paraId="5B78BFA1" w14:textId="57909AE4" w:rsidR="00D76F0C" w:rsidRPr="00D76F0C" w:rsidRDefault="005F38E0" w:rsidP="00D76F0C">
      <w:pPr>
        <w:keepNext/>
        <w:keepLines/>
        <w:spacing w:after="0" w:line="360" w:lineRule="auto"/>
        <w:outlineLvl w:val="1"/>
        <w:rPr>
          <w:rFonts w:ascii="Times New Roman" w:eastAsia="Times New Roman" w:hAnsi="Times New Roman" w:cs="Times New Roman"/>
          <w:b/>
          <w:sz w:val="24"/>
          <w:szCs w:val="26"/>
        </w:rPr>
      </w:pPr>
      <w:bookmarkStart w:id="3" w:name="_Toc82209210"/>
      <w:r>
        <w:rPr>
          <w:rFonts w:ascii="Times New Roman" w:eastAsia="Times New Roman" w:hAnsi="Times New Roman" w:cs="Times New Roman"/>
          <w:b/>
          <w:sz w:val="24"/>
          <w:szCs w:val="26"/>
        </w:rPr>
        <w:t>2</w:t>
      </w:r>
      <w:r w:rsidR="00D76F0C" w:rsidRPr="00D76F0C">
        <w:rPr>
          <w:rFonts w:ascii="Times New Roman" w:eastAsia="Times New Roman" w:hAnsi="Times New Roman" w:cs="Times New Roman"/>
          <w:b/>
          <w:sz w:val="24"/>
          <w:szCs w:val="26"/>
        </w:rPr>
        <w:t>.2 Método Analítico</w:t>
      </w:r>
      <w:bookmarkEnd w:id="3"/>
    </w:p>
    <w:p w14:paraId="425C705C" w14:textId="77777777" w:rsidR="00D76F0C" w:rsidRPr="00D76F0C" w:rsidRDefault="00D76F0C" w:rsidP="00D76F0C">
      <w:pPr>
        <w:spacing w:after="0" w:line="360" w:lineRule="auto"/>
        <w:jc w:val="both"/>
        <w:rPr>
          <w:rFonts w:ascii="TimesNewRoman" w:eastAsia="Calibri" w:hAnsi="TimesNewRoman" w:cs="TimesNewRoman"/>
          <w:sz w:val="24"/>
          <w:szCs w:val="24"/>
        </w:rPr>
      </w:pPr>
      <w:r w:rsidRPr="00D76F0C">
        <w:rPr>
          <w:rFonts w:ascii="Times New Roman" w:eastAsia="Times New Roman" w:hAnsi="Times New Roman" w:cs="Times New Roman"/>
          <w:sz w:val="24"/>
          <w:szCs w:val="24"/>
        </w:rPr>
        <w:tab/>
        <w:t xml:space="preserve">A pesquisa utilizou-se o método não paramétrico de Análise Envoltória dos Dados em inglês, </w:t>
      </w:r>
      <w:r w:rsidRPr="00D76F0C">
        <w:rPr>
          <w:rFonts w:ascii="Times New Roman" w:eastAsia="Times New Roman" w:hAnsi="Times New Roman" w:cs="Times New Roman"/>
          <w:i/>
          <w:sz w:val="24"/>
          <w:szCs w:val="24"/>
        </w:rPr>
        <w:t>Data Envelopment Analysis</w:t>
      </w:r>
      <w:r w:rsidRPr="00D76F0C">
        <w:rPr>
          <w:rFonts w:ascii="Times New Roman" w:eastAsia="Times New Roman" w:hAnsi="Times New Roman" w:cs="Times New Roman"/>
          <w:sz w:val="24"/>
          <w:szCs w:val="24"/>
        </w:rPr>
        <w:t xml:space="preserve"> (DEA), que foi inicialmente desenvolvido por Charnes, Cooper e Rhodes (1978), logo depois ampliado por Banker, Charnes e Cooper (1984). Esta técnica de programação linear mensura o comportamento de uma unidade em relação às demais (</w:t>
      </w:r>
      <w:r w:rsidRPr="00D76F0C">
        <w:rPr>
          <w:rFonts w:ascii="TimesNewRoman" w:eastAsia="Calibri" w:hAnsi="TimesNewRoman" w:cs="TimesNewRoman"/>
          <w:sz w:val="24"/>
          <w:szCs w:val="24"/>
        </w:rPr>
        <w:t>CERETTA;</w:t>
      </w:r>
      <w:r w:rsidRPr="00D76F0C">
        <w:rPr>
          <w:rFonts w:ascii="Calibri" w:eastAsia="Calibri" w:hAnsi="Calibri" w:cs="Times New Roman"/>
        </w:rPr>
        <w:t xml:space="preserve"> </w:t>
      </w:r>
      <w:r w:rsidRPr="00D76F0C">
        <w:rPr>
          <w:rFonts w:ascii="TimesNewRoman" w:eastAsia="Calibri" w:hAnsi="TimesNewRoman" w:cs="TimesNewRoman"/>
          <w:sz w:val="24"/>
          <w:szCs w:val="24"/>
        </w:rPr>
        <w:t>NIEDERAUER, 2001)</w:t>
      </w:r>
      <w:r w:rsidRPr="00D76F0C">
        <w:rPr>
          <w:rFonts w:ascii="Times New Roman" w:eastAsia="Times New Roman" w:hAnsi="Times New Roman" w:cs="Times New Roman"/>
          <w:sz w:val="24"/>
          <w:szCs w:val="24"/>
        </w:rPr>
        <w:t xml:space="preserve">. As medidas de desempenho utilizadas nesta pesquisa foram insumo </w:t>
      </w:r>
      <w:r w:rsidRPr="00D76F0C">
        <w:rPr>
          <w:rFonts w:ascii="Times New Roman" w:eastAsia="Times New Roman" w:hAnsi="Times New Roman" w:cs="Times New Roman"/>
          <w:i/>
          <w:sz w:val="24"/>
          <w:szCs w:val="24"/>
        </w:rPr>
        <w:t>(input</w:t>
      </w:r>
      <w:r w:rsidRPr="00D76F0C">
        <w:rPr>
          <w:rFonts w:ascii="Times New Roman" w:eastAsia="Times New Roman" w:hAnsi="Times New Roman" w:cs="Times New Roman"/>
          <w:sz w:val="24"/>
          <w:szCs w:val="24"/>
        </w:rPr>
        <w:t>) e produtos (</w:t>
      </w:r>
      <w:r w:rsidRPr="00D76F0C">
        <w:rPr>
          <w:rFonts w:ascii="Times New Roman" w:eastAsia="Times New Roman" w:hAnsi="Times New Roman" w:cs="Times New Roman"/>
          <w:i/>
          <w:sz w:val="24"/>
          <w:szCs w:val="24"/>
        </w:rPr>
        <w:t>outputs</w:t>
      </w:r>
      <w:r w:rsidRPr="00D76F0C">
        <w:rPr>
          <w:rFonts w:ascii="Times New Roman" w:eastAsia="Times New Roman" w:hAnsi="Times New Roman" w:cs="Times New Roman"/>
          <w:sz w:val="24"/>
          <w:szCs w:val="24"/>
        </w:rPr>
        <w:t>) relativas ao setor da saúde das regiões imediatas do estado do Ceará</w:t>
      </w:r>
      <w:r w:rsidRPr="00D76F0C">
        <w:rPr>
          <w:rFonts w:ascii="TimesNewRoman" w:eastAsia="Calibri" w:hAnsi="TimesNewRoman" w:cs="TimesNewRoman"/>
          <w:sz w:val="24"/>
          <w:szCs w:val="24"/>
        </w:rPr>
        <w:t>.</w:t>
      </w:r>
    </w:p>
    <w:p w14:paraId="6F4F5056" w14:textId="77777777" w:rsidR="00D76F0C" w:rsidRPr="00D76F0C" w:rsidRDefault="00D76F0C" w:rsidP="00D76F0C">
      <w:pPr>
        <w:spacing w:after="0" w:line="360" w:lineRule="auto"/>
        <w:jc w:val="both"/>
        <w:rPr>
          <w:rFonts w:ascii="TimesNewRoman" w:eastAsia="Calibri" w:hAnsi="TimesNewRoman" w:cs="TimesNewRoman"/>
          <w:sz w:val="24"/>
          <w:szCs w:val="24"/>
        </w:rPr>
      </w:pPr>
      <w:r w:rsidRPr="00D76F0C">
        <w:rPr>
          <w:rFonts w:ascii="TimesNewRoman" w:eastAsia="Calibri" w:hAnsi="TimesNewRoman" w:cs="TimesNewRoman"/>
          <w:sz w:val="24"/>
          <w:szCs w:val="24"/>
        </w:rPr>
        <w:tab/>
        <w:t xml:space="preserve">Esta ferramenta permite avaliar o comportamento de forma relativa das unidades tomadoras de decisão, em inglês, </w:t>
      </w:r>
      <w:r w:rsidRPr="005549E5">
        <w:rPr>
          <w:rFonts w:ascii="TimesNewRoman" w:eastAsia="Calibri" w:hAnsi="TimesNewRoman" w:cs="TimesNewRoman"/>
          <w:i/>
          <w:iCs/>
          <w:sz w:val="24"/>
          <w:szCs w:val="24"/>
        </w:rPr>
        <w:t>Decision Making Unit</w:t>
      </w:r>
      <w:r w:rsidRPr="00D76F0C">
        <w:rPr>
          <w:rFonts w:ascii="TimesNewRoman" w:eastAsia="Calibri" w:hAnsi="TimesNewRoman" w:cs="TimesNewRoman"/>
          <w:sz w:val="24"/>
          <w:szCs w:val="24"/>
        </w:rPr>
        <w:t xml:space="preserve"> (DMU) (PEÑA, 2008). No caso deste estudo, as DMUs são representadas pelas regiões imediatas do Ceará, em que utilizam as mesmas categorias de insumos para gerar o mesmo tipo de produto.</w:t>
      </w:r>
    </w:p>
    <w:p w14:paraId="6CD841D1" w14:textId="0E0949AC" w:rsidR="00D76F0C" w:rsidRPr="00D76F0C" w:rsidRDefault="00D76F0C" w:rsidP="00D76F0C">
      <w:pPr>
        <w:spacing w:after="0" w:line="360" w:lineRule="auto"/>
        <w:jc w:val="both"/>
        <w:rPr>
          <w:rFonts w:ascii="TimesNewRoman" w:eastAsia="Calibri" w:hAnsi="TimesNewRoman" w:cs="TimesNewRoman"/>
          <w:sz w:val="24"/>
          <w:szCs w:val="24"/>
        </w:rPr>
      </w:pPr>
      <w:r w:rsidRPr="00D76F0C">
        <w:rPr>
          <w:rFonts w:ascii="TimesNewRoman" w:eastAsia="Calibri" w:hAnsi="TimesNewRoman" w:cs="TimesNewRoman"/>
          <w:sz w:val="24"/>
          <w:szCs w:val="24"/>
        </w:rPr>
        <w:tab/>
        <w:t xml:space="preserve">Primeiramente o modelo era chamado de CCR, em referência às iniciais do nome do seu preconizador </w:t>
      </w:r>
      <w:r w:rsidRPr="00D76F0C">
        <w:rPr>
          <w:rFonts w:ascii="Times New Roman" w:eastAsia="Times New Roman" w:hAnsi="Times New Roman" w:cs="Times New Roman"/>
          <w:sz w:val="24"/>
          <w:szCs w:val="24"/>
        </w:rPr>
        <w:t xml:space="preserve">Charnes, Cooper e Rhodes </w:t>
      </w:r>
      <w:r w:rsidRPr="00D76F0C">
        <w:rPr>
          <w:rFonts w:ascii="TimesNewRoman" w:eastAsia="Calibri" w:hAnsi="TimesNewRoman" w:cs="TimesNewRoman"/>
          <w:sz w:val="24"/>
          <w:szCs w:val="24"/>
        </w:rPr>
        <w:t xml:space="preserve">e era usado para análises com retornos constantes de escala, em inglês, </w:t>
      </w:r>
      <w:r w:rsidRPr="00D76F0C">
        <w:rPr>
          <w:rFonts w:ascii="TimesNewRoman" w:eastAsia="Calibri" w:hAnsi="TimesNewRoman" w:cs="TimesNewRoman"/>
          <w:i/>
          <w:sz w:val="24"/>
          <w:szCs w:val="24"/>
        </w:rPr>
        <w:t>Constant Returns to Scale</w:t>
      </w:r>
      <w:r w:rsidRPr="00D76F0C">
        <w:rPr>
          <w:rFonts w:ascii="TimesNewRoman" w:eastAsia="Calibri" w:hAnsi="TimesNewRoman" w:cs="TimesNewRoman"/>
          <w:sz w:val="24"/>
          <w:szCs w:val="24"/>
        </w:rPr>
        <w:t xml:space="preserve"> (CRS), ou seja, qualquer variação nos </w:t>
      </w:r>
      <w:r w:rsidRPr="00D76F0C">
        <w:rPr>
          <w:rFonts w:ascii="TimesNewRoman" w:eastAsia="Calibri" w:hAnsi="TimesNewRoman" w:cs="TimesNewRoman"/>
          <w:i/>
          <w:sz w:val="24"/>
          <w:szCs w:val="24"/>
        </w:rPr>
        <w:t xml:space="preserve">inputs </w:t>
      </w:r>
      <w:r w:rsidRPr="00D76F0C">
        <w:rPr>
          <w:rFonts w:ascii="TimesNewRoman" w:eastAsia="Calibri" w:hAnsi="TimesNewRoman" w:cs="TimesNewRoman"/>
          <w:sz w:val="24"/>
          <w:szCs w:val="24"/>
        </w:rPr>
        <w:t xml:space="preserve">causaria mudança proporcional nos </w:t>
      </w:r>
      <w:r w:rsidRPr="00D76F0C">
        <w:rPr>
          <w:rFonts w:ascii="TimesNewRoman" w:eastAsia="Calibri" w:hAnsi="TimesNewRoman" w:cs="TimesNewRoman"/>
          <w:i/>
          <w:sz w:val="24"/>
          <w:szCs w:val="24"/>
        </w:rPr>
        <w:t>outputs</w:t>
      </w:r>
      <w:r w:rsidRPr="00D76F0C">
        <w:rPr>
          <w:rFonts w:ascii="TimesNewRoman" w:eastAsia="Calibri" w:hAnsi="TimesNewRoman" w:cs="TimesNewRoman"/>
          <w:sz w:val="24"/>
          <w:szCs w:val="24"/>
        </w:rPr>
        <w:t xml:space="preserve">. Em seguida, foi ampliado para retornos variáveis de escala, em inglês, </w:t>
      </w:r>
      <w:r w:rsidRPr="00D76F0C">
        <w:rPr>
          <w:rFonts w:ascii="TimesNewRoman" w:eastAsia="Calibri" w:hAnsi="TimesNewRoman" w:cs="TimesNewRoman"/>
          <w:i/>
          <w:sz w:val="24"/>
          <w:szCs w:val="24"/>
        </w:rPr>
        <w:t>Variable Returns to Scale</w:t>
      </w:r>
      <w:r w:rsidRPr="00D76F0C">
        <w:rPr>
          <w:rFonts w:ascii="TimesNewRoman" w:eastAsia="Calibri" w:hAnsi="TimesNewRoman" w:cs="TimesNewRoman"/>
          <w:sz w:val="24"/>
          <w:szCs w:val="24"/>
        </w:rPr>
        <w:t xml:space="preserve"> (VRS), que também passou a ser denominado como BCC se reportando as iniciais de </w:t>
      </w:r>
      <w:r w:rsidRPr="00D76F0C">
        <w:rPr>
          <w:rFonts w:ascii="Times New Roman" w:eastAsia="Times New Roman" w:hAnsi="Times New Roman" w:cs="Times New Roman"/>
          <w:sz w:val="24"/>
          <w:szCs w:val="24"/>
        </w:rPr>
        <w:t>Banker, Charnes e Cooper</w:t>
      </w:r>
      <w:r w:rsidRPr="00D76F0C">
        <w:rPr>
          <w:rFonts w:ascii="TimesNewRoman" w:eastAsia="Calibri" w:hAnsi="TimesNewRoman" w:cs="TimesNewRoman"/>
          <w:sz w:val="24"/>
          <w:szCs w:val="24"/>
        </w:rPr>
        <w:t>. Essas duas abordagens buscam maximizar a eficiência via minimização do uso de insumos, conservando a mesma produção (orientação insumo) ou expansão da produção, dada certa quantidade de insumos (orientação produto) (PEÑA, 2008).</w:t>
      </w:r>
    </w:p>
    <w:p w14:paraId="3F61DBDF" w14:textId="77777777" w:rsidR="00D76F0C" w:rsidRPr="00D76F0C" w:rsidRDefault="00D76F0C" w:rsidP="00D76F0C">
      <w:pPr>
        <w:spacing w:after="0" w:line="360" w:lineRule="auto"/>
        <w:jc w:val="both"/>
        <w:rPr>
          <w:rFonts w:ascii="TimesNewRoman" w:eastAsia="Calibri" w:hAnsi="TimesNewRoman" w:cs="TimesNewRoman"/>
          <w:sz w:val="24"/>
          <w:szCs w:val="24"/>
        </w:rPr>
      </w:pPr>
      <w:r w:rsidRPr="00D76F0C">
        <w:rPr>
          <w:rFonts w:ascii="TimesNewRoman" w:eastAsia="Calibri" w:hAnsi="TimesNewRoman" w:cs="TimesNewRoman"/>
          <w:sz w:val="24"/>
          <w:szCs w:val="24"/>
        </w:rPr>
        <w:tab/>
        <w:t xml:space="preserve">Para Banker, Charnes e Cooper (1984), por meio deste modelo, a eficiência pode ser agrupada em dois elementos: eficiência técnica, que está ligada à capacidade administrativa da </w:t>
      </w:r>
      <w:r w:rsidRPr="00D76F0C">
        <w:rPr>
          <w:rFonts w:ascii="TimesNewRoman" w:eastAsia="Calibri" w:hAnsi="TimesNewRoman" w:cs="TimesNewRoman"/>
          <w:sz w:val="24"/>
          <w:szCs w:val="24"/>
        </w:rPr>
        <w:lastRenderedPageBreak/>
        <w:t>organização, e eficiência de escala, que se refere às mudanças na produtividade devido às variações na escala de produção (BELLONI, 2000).</w:t>
      </w:r>
    </w:p>
    <w:p w14:paraId="283CD80C" w14:textId="77777777" w:rsidR="00D76F0C" w:rsidRPr="00D76F0C" w:rsidRDefault="00D76F0C" w:rsidP="00D76F0C">
      <w:pPr>
        <w:spacing w:after="0" w:line="360" w:lineRule="auto"/>
        <w:jc w:val="both"/>
        <w:rPr>
          <w:rFonts w:ascii="TimesNewRoman" w:eastAsia="Calibri" w:hAnsi="TimesNewRoman" w:cs="TimesNewRoman"/>
          <w:sz w:val="24"/>
          <w:szCs w:val="24"/>
        </w:rPr>
      </w:pPr>
      <w:r w:rsidRPr="00D76F0C">
        <w:rPr>
          <w:rFonts w:ascii="TimesNewRoman" w:eastAsia="Calibri" w:hAnsi="TimesNewRoman" w:cs="TimesNewRoman"/>
          <w:sz w:val="24"/>
          <w:szCs w:val="24"/>
        </w:rPr>
        <w:tab/>
        <w:t xml:space="preserve">Este estudo utilizou o método DEA, considerando os modelos CCR e BCC, ambos com orientação </w:t>
      </w:r>
      <w:r w:rsidRPr="00D76F0C">
        <w:rPr>
          <w:rFonts w:ascii="TimesNewRoman" w:eastAsia="Calibri" w:hAnsi="TimesNewRoman" w:cs="TimesNewRoman"/>
          <w:i/>
          <w:sz w:val="24"/>
          <w:szCs w:val="24"/>
        </w:rPr>
        <w:t>output</w:t>
      </w:r>
      <w:r w:rsidRPr="00D76F0C">
        <w:rPr>
          <w:rFonts w:ascii="TimesNewRoman" w:eastAsia="Calibri" w:hAnsi="TimesNewRoman" w:cs="TimesNewRoman"/>
          <w:sz w:val="24"/>
          <w:szCs w:val="24"/>
        </w:rPr>
        <w:t xml:space="preserve">. A escolha da orientação </w:t>
      </w:r>
      <w:r w:rsidRPr="00D76F0C">
        <w:rPr>
          <w:rFonts w:ascii="TimesNewRoman" w:eastAsia="Calibri" w:hAnsi="TimesNewRoman" w:cs="TimesNewRoman"/>
          <w:i/>
          <w:sz w:val="24"/>
          <w:szCs w:val="24"/>
        </w:rPr>
        <w:t>output</w:t>
      </w:r>
      <w:r w:rsidRPr="00D76F0C">
        <w:rPr>
          <w:rFonts w:ascii="TimesNewRoman" w:eastAsia="Calibri" w:hAnsi="TimesNewRoman" w:cs="TimesNewRoman"/>
          <w:sz w:val="24"/>
          <w:szCs w:val="24"/>
        </w:rPr>
        <w:t xml:space="preserve"> foi baseada nos estudos de </w:t>
      </w:r>
      <w:r w:rsidRPr="00D76F0C">
        <w:rPr>
          <w:rFonts w:ascii="Times New Roman" w:eastAsia="Calibri" w:hAnsi="Times New Roman" w:cs="Times New Roman"/>
          <w:sz w:val="24"/>
          <w:szCs w:val="24"/>
        </w:rPr>
        <w:t xml:space="preserve">Duarte </w:t>
      </w:r>
      <w:r w:rsidRPr="00D76F0C">
        <w:rPr>
          <w:rFonts w:ascii="Times New Roman" w:eastAsia="Calibri" w:hAnsi="Times New Roman" w:cs="Times New Roman"/>
          <w:i/>
          <w:sz w:val="24"/>
          <w:szCs w:val="24"/>
        </w:rPr>
        <w:t>et al.</w:t>
      </w:r>
      <w:r w:rsidRPr="00D76F0C">
        <w:rPr>
          <w:rFonts w:ascii="Times New Roman" w:eastAsia="Calibri" w:hAnsi="Times New Roman" w:cs="Times New Roman"/>
          <w:sz w:val="24"/>
          <w:szCs w:val="24"/>
        </w:rPr>
        <w:t xml:space="preserve"> (2016), Lopes (2017), Andrett </w:t>
      </w:r>
      <w:r w:rsidRPr="00D76F0C">
        <w:rPr>
          <w:rFonts w:ascii="Times New Roman" w:eastAsia="Calibri" w:hAnsi="Times New Roman" w:cs="Times New Roman"/>
          <w:i/>
          <w:sz w:val="24"/>
          <w:szCs w:val="24"/>
        </w:rPr>
        <w:t>et al.</w:t>
      </w:r>
      <w:r w:rsidRPr="00D76F0C">
        <w:rPr>
          <w:rFonts w:ascii="Times New Roman" w:eastAsia="Calibri" w:hAnsi="Times New Roman" w:cs="Times New Roman"/>
          <w:sz w:val="24"/>
          <w:szCs w:val="24"/>
        </w:rPr>
        <w:t xml:space="preserve"> (2018), Nunes e Sousa (2019), Oliveira, Mota e Vasconcelos (2020) e Silva e Crozatti (2020), em que se busca</w:t>
      </w:r>
      <w:r w:rsidRPr="00D76F0C">
        <w:rPr>
          <w:rFonts w:ascii="TimesNewRoman" w:eastAsia="Calibri" w:hAnsi="TimesNewRoman" w:cs="TimesNewRoman"/>
          <w:sz w:val="24"/>
          <w:szCs w:val="24"/>
        </w:rPr>
        <w:t xml:space="preserve"> maximizar a produção na área da saúde, mantendo inalterados os </w:t>
      </w:r>
      <w:r w:rsidRPr="00D76F0C">
        <w:rPr>
          <w:rFonts w:ascii="TimesNewRoman" w:eastAsia="Calibri" w:hAnsi="TimesNewRoman" w:cs="TimesNewRoman"/>
          <w:i/>
          <w:sz w:val="24"/>
          <w:szCs w:val="24"/>
        </w:rPr>
        <w:t>inputs</w:t>
      </w:r>
      <w:r w:rsidRPr="00D76F0C">
        <w:rPr>
          <w:rFonts w:ascii="TimesNewRoman" w:eastAsia="Calibri" w:hAnsi="TimesNewRoman" w:cs="TimesNewRoman"/>
          <w:sz w:val="24"/>
          <w:szCs w:val="24"/>
        </w:rPr>
        <w:t>, de forma a melhorar a qualidade de vida da população. Assim, o modelo CCR é descrito por:</w:t>
      </w:r>
    </w:p>
    <w:p w14:paraId="41391CA0" w14:textId="77777777" w:rsidR="00D76F0C" w:rsidRPr="00D76F0C" w:rsidRDefault="00000000" w:rsidP="0032033B">
      <w:pPr>
        <w:spacing w:before="240" w:after="0" w:line="240" w:lineRule="auto"/>
        <w:ind w:firstLine="708"/>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MAX</m:t>
            </m:r>
          </m:e>
          <m:sub>
            <m:r>
              <w:rPr>
                <w:rFonts w:ascii="Cambria Math" w:eastAsia="Times New Roman" w:hAnsi="Cambria Math" w:cs="Times New Roman"/>
                <w:sz w:val="24"/>
                <w:szCs w:val="24"/>
              </w:rPr>
              <m:t>∅λ</m:t>
            </m:r>
          </m:sub>
        </m:sSub>
        <m:r>
          <w:rPr>
            <w:rFonts w:ascii="Cambria Math" w:eastAsia="Times New Roman" w:hAnsi="Cambria Math" w:cs="Times New Roman"/>
            <w:sz w:val="24"/>
            <w:szCs w:val="24"/>
          </w:rPr>
          <m:t xml:space="preserve"> ϕ, sujeito a: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-ϕy</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+Yλ≥0,</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 xml:space="preserve">  x</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-Xλ≥0,  λ≥0</m:t>
        </m:r>
      </m:oMath>
      <w:r w:rsidR="00D76F0C" w:rsidRPr="00D76F0C">
        <w:rPr>
          <w:rFonts w:ascii="Times New Roman" w:eastAsia="Times New Roman" w:hAnsi="Times New Roman" w:cs="Times New Roman"/>
          <w:sz w:val="24"/>
          <w:szCs w:val="24"/>
        </w:rPr>
        <w:t xml:space="preserve">                           (1)</w:t>
      </w:r>
    </w:p>
    <w:p w14:paraId="470BFEEA" w14:textId="77777777" w:rsidR="00D76F0C" w:rsidRPr="00D76F0C" w:rsidRDefault="00D76F0C" w:rsidP="00D76F0C">
      <w:pPr>
        <w:spacing w:after="0" w:line="240" w:lineRule="auto"/>
        <w:jc w:val="both"/>
        <w:rPr>
          <w:rFonts w:ascii="Times New Roman" w:eastAsia="Times New Roman" w:hAnsi="Times New Roman" w:cs="Times New Roman"/>
          <w:sz w:val="24"/>
          <w:szCs w:val="24"/>
        </w:rPr>
      </w:pPr>
    </w:p>
    <w:p w14:paraId="323F3A37" w14:textId="77777777" w:rsidR="00D76F0C" w:rsidRPr="00D76F0C" w:rsidRDefault="00D76F0C" w:rsidP="00D76F0C">
      <w:pPr>
        <w:spacing w:after="0" w:line="360" w:lineRule="auto"/>
        <w:ind w:firstLine="708"/>
        <w:jc w:val="both"/>
        <w:rPr>
          <w:rFonts w:ascii="Times New Roman" w:eastAsia="Times New Roman" w:hAnsi="Times New Roman" w:cs="Times New Roman"/>
          <w:sz w:val="24"/>
          <w:szCs w:val="24"/>
        </w:rPr>
      </w:pPr>
      <m:oMath>
        <m:r>
          <m:rPr>
            <m:sty m:val="p"/>
          </m:rPr>
          <w:rPr>
            <w:rFonts w:ascii="Cambria Math" w:eastAsia="Times New Roman" w:hAnsi="Cambria Math" w:cs="Times New Roman"/>
            <w:sz w:val="24"/>
            <w:szCs w:val="24"/>
          </w:rPr>
          <m:t>Em que</m:t>
        </m:r>
        <m:r>
          <w:rPr>
            <w:rFonts w:ascii="Cambria Math" w:eastAsia="Times New Roman" w:hAnsi="Cambria Math" w:cs="Times New Roman"/>
            <w:sz w:val="24"/>
            <w:szCs w:val="24"/>
          </w:rPr>
          <m:t xml:space="preserve"> ∅</m:t>
        </m:r>
      </m:oMath>
      <w:r w:rsidRPr="00D76F0C">
        <w:rPr>
          <w:rFonts w:ascii="Times New Roman" w:eastAsia="Times New Roman" w:hAnsi="Times New Roman" w:cs="Times New Roman"/>
          <w:sz w:val="24"/>
          <w:szCs w:val="24"/>
        </w:rPr>
        <w:t xml:space="preserve"> denota o escore de eficiência e encontra-se </w:t>
      </w:r>
      <m:oMath>
        <m:r>
          <w:rPr>
            <w:rFonts w:ascii="Cambria Math" w:eastAsia="Times New Roman" w:hAnsi="Cambria Math" w:cs="Times New Roman"/>
            <w:sz w:val="24"/>
            <w:szCs w:val="24"/>
          </w:rPr>
          <m:t>1≤∅&lt;∞</m:t>
        </m:r>
      </m:oMath>
      <w:r w:rsidRPr="00D76F0C">
        <w:rPr>
          <w:rFonts w:ascii="Times New Roman" w:eastAsia="Times New Roman" w:hAnsi="Times New Roman" w:cs="Times New Roman"/>
          <w:sz w:val="24"/>
          <w:szCs w:val="24"/>
        </w:rPr>
        <w:t xml:space="preserve"> ; sendo que </w:t>
      </w:r>
      <m:oMath>
        <m:r>
          <w:rPr>
            <w:rFonts w:ascii="Cambria Math" w:eastAsia="Times New Roman" w:hAnsi="Cambria Math" w:cs="Times New Roman"/>
            <w:sz w:val="24"/>
            <w:szCs w:val="24"/>
          </w:rPr>
          <m:t>∅-1</m:t>
        </m:r>
      </m:oMath>
      <w:r w:rsidRPr="00D76F0C">
        <w:rPr>
          <w:rFonts w:ascii="Times New Roman" w:eastAsia="Times New Roman" w:hAnsi="Times New Roman" w:cs="Times New Roman"/>
          <w:sz w:val="24"/>
          <w:szCs w:val="24"/>
        </w:rPr>
        <w:t xml:space="preserve"> corresponde ao aumento proporcional nos produtos alcançado pela i-ésima DMU do setor, mantendo inalterados os insumos empregados. Neste caso, a eficiência técnica é calculada por </w:t>
      </w:r>
      <m:oMath>
        <m:r>
          <w:rPr>
            <w:rFonts w:ascii="Cambria Math" w:eastAsia="Times New Roman" w:hAnsi="Cambria Math" w:cs="Times New Roman"/>
            <w:sz w:val="24"/>
            <w:szCs w:val="24"/>
          </w:rPr>
          <m:t xml:space="preserve">1/∅ , </m:t>
        </m:r>
      </m:oMath>
      <w:r w:rsidRPr="00D76F0C">
        <w:rPr>
          <w:rFonts w:ascii="Times New Roman" w:eastAsia="Times New Roman" w:hAnsi="Times New Roman" w:cs="Times New Roman"/>
          <w:sz w:val="24"/>
          <w:szCs w:val="24"/>
        </w:rPr>
        <w:t>(</w:t>
      </w:r>
      <m:oMath>
        <m:r>
          <w:rPr>
            <w:rFonts w:ascii="Cambria Math" w:eastAsia="Times New Roman" w:hAnsi="Cambria Math" w:cs="Times New Roman"/>
            <w:sz w:val="24"/>
            <w:szCs w:val="24"/>
          </w:rPr>
          <m:t>1≤∅≤0)</m:t>
        </m:r>
      </m:oMath>
      <w:r w:rsidRPr="00D76F0C">
        <w:rPr>
          <w:rFonts w:ascii="Times New Roman" w:eastAsia="Times New Roman" w:hAnsi="Times New Roman" w:cs="Times New Roman"/>
          <w:sz w:val="24"/>
          <w:szCs w:val="24"/>
        </w:rPr>
        <w:t xml:space="preserve">, sendo que se for igual a unidade, significa que os fatores produtivos estão sendo alocados de forma completamente eficientes. Caso seja igual a zero, indica que estão operando com plena ineficiência. As variáveis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y</m:t>
            </m:r>
          </m:e>
          <m:sub>
            <m:r>
              <w:rPr>
                <w:rFonts w:ascii="Cambria Math" w:eastAsia="Times New Roman" w:hAnsi="Cambria Math" w:cs="Times New Roman"/>
                <w:sz w:val="24"/>
                <w:szCs w:val="24"/>
              </w:rPr>
              <m:t>i</m:t>
            </m:r>
          </m:sub>
        </m:sSub>
      </m:oMath>
      <w:r w:rsidRPr="00D76F0C">
        <w:rPr>
          <w:rFonts w:ascii="Times New Roman" w:eastAsia="Times New Roman" w:hAnsi="Times New Roman" w:cs="Times New Roman"/>
          <w:sz w:val="24"/>
          <w:szCs w:val="24"/>
        </w:rPr>
        <w:t xml:space="preserve">  e</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 xml:space="preserve">  x</m:t>
            </m:r>
          </m:e>
          <m:sub>
            <m:r>
              <w:rPr>
                <w:rFonts w:ascii="Cambria Math" w:eastAsia="Times New Roman" w:hAnsi="Cambria Math" w:cs="Times New Roman"/>
                <w:sz w:val="24"/>
                <w:szCs w:val="24"/>
              </w:rPr>
              <m:t>i</m:t>
            </m:r>
          </m:sub>
        </m:sSub>
      </m:oMath>
      <w:r w:rsidRPr="00D76F0C">
        <w:rPr>
          <w:rFonts w:ascii="Times New Roman" w:eastAsia="Times New Roman" w:hAnsi="Times New Roman" w:cs="Times New Roman"/>
          <w:sz w:val="24"/>
          <w:szCs w:val="24"/>
        </w:rPr>
        <w:t xml:space="preserve"> referem-se, respectivamente, ao produto e ao insumo;</w:t>
      </w:r>
      <m:oMath>
        <m:r>
          <w:rPr>
            <w:rFonts w:ascii="Cambria Math" w:eastAsia="Times New Roman" w:hAnsi="Cambria Math" w:cs="Times New Roman"/>
            <w:sz w:val="24"/>
            <w:szCs w:val="24"/>
          </w:rPr>
          <m:t xml:space="preserve"> </m:t>
        </m:r>
        <m:r>
          <m:rPr>
            <m:sty m:val="p"/>
          </m:rPr>
          <w:rPr>
            <w:rFonts w:ascii="Cambria Math" w:eastAsia="Times New Roman" w:hAnsi="Cambria Math" w:cs="Times New Roman"/>
            <w:sz w:val="24"/>
            <w:szCs w:val="24"/>
          </w:rPr>
          <m:t>e</m:t>
        </m:r>
        <m:r>
          <w:rPr>
            <w:rFonts w:ascii="Cambria Math" w:eastAsia="Times New Roman" w:hAnsi="Cambria Math" w:cs="Times New Roman"/>
            <w:sz w:val="24"/>
            <w:szCs w:val="24"/>
          </w:rPr>
          <m:t xml:space="preserve">  λ</m:t>
        </m:r>
      </m:oMath>
      <w:r w:rsidRPr="00D76F0C">
        <w:rPr>
          <w:rFonts w:ascii="Times New Roman" w:eastAsia="Times New Roman" w:hAnsi="Times New Roman" w:cs="Times New Roman"/>
          <w:sz w:val="24"/>
          <w:szCs w:val="24"/>
        </w:rPr>
        <w:t xml:space="preserve"> é um vetor (nx1) (GOMES; BAPTISTA, 2004).</w:t>
      </w:r>
    </w:p>
    <w:p w14:paraId="3EA91657" w14:textId="77777777" w:rsidR="00D76F0C" w:rsidRPr="00D76F0C" w:rsidRDefault="00D76F0C" w:rsidP="00D76F0C">
      <w:pPr>
        <w:spacing w:after="0" w:line="360" w:lineRule="auto"/>
        <w:ind w:firstLine="708"/>
        <w:jc w:val="both"/>
        <w:rPr>
          <w:rFonts w:ascii="Times New Roman" w:eastAsia="Times New Roman" w:hAnsi="Times New Roman" w:cs="Times New Roman"/>
          <w:sz w:val="24"/>
          <w:szCs w:val="24"/>
        </w:rPr>
      </w:pPr>
      <w:r w:rsidRPr="00D76F0C">
        <w:rPr>
          <w:rFonts w:ascii="Times New Roman" w:eastAsia="Times New Roman" w:hAnsi="Times New Roman" w:cs="Times New Roman"/>
          <w:sz w:val="24"/>
          <w:szCs w:val="24"/>
        </w:rPr>
        <w:t xml:space="preserve">O modelo referenciado </w:t>
      </w:r>
      <w:r w:rsidRPr="00D76F0C">
        <w:rPr>
          <w:rFonts w:ascii="TimesNewRoman" w:eastAsia="Calibri" w:hAnsi="TimesNewRoman" w:cs="TimesNewRoman"/>
          <w:sz w:val="24"/>
          <w:szCs w:val="24"/>
        </w:rPr>
        <w:t>CCR</w:t>
      </w:r>
      <w:r w:rsidRPr="00D76F0C">
        <w:rPr>
          <w:rFonts w:ascii="Times New Roman" w:eastAsia="Times New Roman" w:hAnsi="Times New Roman" w:cs="Times New Roman"/>
          <w:sz w:val="24"/>
          <w:szCs w:val="24"/>
        </w:rPr>
        <w:t xml:space="preserve"> opera com retornos constantes de escala, porém principalmente no segmento público, onde há competência imperfeita, existe a possibilidade que as unidades tomadoras de decisão operem com retornos crescentes ou decrescentes de escala (PEÑA, 2008). Desta forma, considerou-se também nesta pesquisa o modelo BCC orientado ao </w:t>
      </w:r>
      <w:r w:rsidRPr="00D76F0C">
        <w:rPr>
          <w:rFonts w:ascii="Times New Roman" w:eastAsia="Times New Roman" w:hAnsi="Times New Roman" w:cs="Times New Roman"/>
          <w:i/>
          <w:sz w:val="24"/>
          <w:szCs w:val="24"/>
        </w:rPr>
        <w:t>output</w:t>
      </w:r>
      <w:r w:rsidRPr="00D76F0C">
        <w:rPr>
          <w:rFonts w:ascii="Times New Roman" w:eastAsia="Times New Roman" w:hAnsi="Times New Roman" w:cs="Times New Roman"/>
          <w:sz w:val="24"/>
          <w:szCs w:val="24"/>
        </w:rPr>
        <w:t>, que é descrito por:</w:t>
      </w:r>
    </w:p>
    <w:p w14:paraId="77CAD095" w14:textId="77777777" w:rsidR="00D76F0C" w:rsidRPr="00D76F0C" w:rsidRDefault="00000000" w:rsidP="0032033B">
      <w:pPr>
        <w:spacing w:line="360" w:lineRule="auto"/>
        <w:ind w:firstLine="708"/>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MAX</m:t>
            </m:r>
          </m:e>
          <m:sub>
            <m:r>
              <w:rPr>
                <w:rFonts w:ascii="Cambria Math" w:eastAsia="Times New Roman" w:hAnsi="Cambria Math" w:cs="Times New Roman"/>
                <w:sz w:val="24"/>
                <w:szCs w:val="24"/>
              </w:rPr>
              <m:t>∅λ</m:t>
            </m:r>
          </m:sub>
        </m:sSub>
        <m:r>
          <w:rPr>
            <w:rFonts w:ascii="Cambria Math" w:eastAsia="Times New Roman" w:hAnsi="Cambria Math" w:cs="Times New Roman"/>
            <w:sz w:val="24"/>
            <w:szCs w:val="24"/>
          </w:rPr>
          <m:t xml:space="preserve"> ϕ, sujeito a: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-ϕy</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+Yλ≥0,</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 xml:space="preserve">  x</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 xml:space="preserve">-Xλ≥0,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1</m:t>
            </m:r>
          </m:sub>
        </m:sSub>
        <m:r>
          <w:rPr>
            <w:rFonts w:ascii="Cambria Math" w:eastAsia="Times New Roman" w:hAnsi="Cambria Math" w:cs="Times New Roman"/>
            <w:sz w:val="24"/>
            <w:szCs w:val="24"/>
          </w:rPr>
          <m:t>λ=1,  λ≥0</m:t>
        </m:r>
      </m:oMath>
      <w:r w:rsidR="00D76F0C" w:rsidRPr="00D76F0C">
        <w:rPr>
          <w:rFonts w:ascii="Times New Roman" w:eastAsia="Times New Roman" w:hAnsi="Times New Roman" w:cs="Times New Roman"/>
          <w:sz w:val="24"/>
          <w:szCs w:val="24"/>
        </w:rPr>
        <w:t xml:space="preserve">            (2)   </w:t>
      </w:r>
    </w:p>
    <w:p w14:paraId="3AB0E12F" w14:textId="77777777" w:rsidR="00D76F0C" w:rsidRPr="00D76F0C" w:rsidRDefault="00D76F0C" w:rsidP="00D76F0C">
      <w:pPr>
        <w:spacing w:after="0" w:line="360" w:lineRule="auto"/>
        <w:ind w:firstLine="708"/>
        <w:jc w:val="both"/>
        <w:rPr>
          <w:rFonts w:ascii="Times New Roman" w:eastAsia="Times New Roman" w:hAnsi="Times New Roman" w:cs="Times New Roman"/>
          <w:sz w:val="24"/>
          <w:szCs w:val="24"/>
        </w:rPr>
      </w:pPr>
      <w:r w:rsidRPr="00D76F0C">
        <w:rPr>
          <w:rFonts w:ascii="Times New Roman" w:eastAsia="Times New Roman" w:hAnsi="Times New Roman" w:cs="Times New Roman"/>
          <w:sz w:val="24"/>
          <w:szCs w:val="24"/>
        </w:rPr>
        <w:t xml:space="preserve">Em que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1</m:t>
            </m:r>
          </m:sub>
        </m:sSub>
        <m:r>
          <w:rPr>
            <w:rFonts w:ascii="Cambria Math" w:eastAsia="Times New Roman" w:hAnsi="Cambria Math" w:cs="Times New Roman"/>
            <w:sz w:val="24"/>
            <w:szCs w:val="24"/>
          </w:rPr>
          <m:t>λ=1</m:t>
        </m:r>
      </m:oMath>
      <w:r w:rsidRPr="00D76F0C">
        <w:rPr>
          <w:rFonts w:ascii="Times New Roman" w:eastAsia="Times New Roman" w:hAnsi="Times New Roman" w:cs="Times New Roman"/>
          <w:sz w:val="24"/>
          <w:szCs w:val="24"/>
        </w:rPr>
        <w:t xml:space="preserve"> refere-se à restrição de convexidade do modelo com retornos variáveis. Caso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1</m:t>
            </m:r>
          </m:sub>
        </m:sSub>
        <m:r>
          <w:rPr>
            <w:rFonts w:ascii="Cambria Math" w:eastAsia="Times New Roman" w:hAnsi="Cambria Math" w:cs="Times New Roman"/>
            <w:sz w:val="24"/>
            <w:szCs w:val="24"/>
          </w:rPr>
          <m:t>λ≥1</m:t>
        </m:r>
      </m:oMath>
      <w:r w:rsidRPr="00D76F0C">
        <w:rPr>
          <w:rFonts w:ascii="Times New Roman" w:eastAsia="Times New Roman" w:hAnsi="Times New Roman" w:cs="Times New Roman"/>
          <w:sz w:val="24"/>
          <w:szCs w:val="24"/>
        </w:rPr>
        <w:t xml:space="preserve">, têm-se retornos não-decrescentes; e quando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1</m:t>
            </m:r>
          </m:sub>
        </m:sSub>
        <m:r>
          <w:rPr>
            <w:rFonts w:ascii="Cambria Math" w:eastAsia="Times New Roman" w:hAnsi="Cambria Math" w:cs="Times New Roman"/>
            <w:sz w:val="24"/>
            <w:szCs w:val="24"/>
          </w:rPr>
          <m:t>λ≤1</m:t>
        </m:r>
      </m:oMath>
      <w:r w:rsidRPr="00D76F0C">
        <w:rPr>
          <w:rFonts w:ascii="Times New Roman" w:eastAsia="Times New Roman" w:hAnsi="Times New Roman" w:cs="Times New Roman"/>
          <w:sz w:val="24"/>
          <w:szCs w:val="24"/>
        </w:rPr>
        <w:t xml:space="preserve">, o modelo apresenta retornos não-crescentes (GOMES; BAPTISTA, 2004).              </w:t>
      </w:r>
    </w:p>
    <w:p w14:paraId="2EBBA80F" w14:textId="77777777" w:rsidR="00D76F0C" w:rsidRPr="00D76F0C" w:rsidRDefault="00D76F0C" w:rsidP="00D76F0C">
      <w:pPr>
        <w:spacing w:after="0" w:line="360" w:lineRule="auto"/>
        <w:ind w:firstLine="708"/>
        <w:jc w:val="both"/>
        <w:rPr>
          <w:rFonts w:ascii="Times New Roman" w:eastAsia="Times New Roman" w:hAnsi="Times New Roman" w:cs="Times New Roman"/>
          <w:sz w:val="24"/>
          <w:szCs w:val="24"/>
        </w:rPr>
      </w:pPr>
      <w:r w:rsidRPr="00D76F0C">
        <w:rPr>
          <w:rFonts w:ascii="Times New Roman" w:eastAsia="Times New Roman" w:hAnsi="Times New Roman" w:cs="Times New Roman"/>
          <w:sz w:val="24"/>
          <w:szCs w:val="24"/>
        </w:rPr>
        <w:t xml:space="preserve">O diferencial do modelo BCC em relação ao CCR é que este inclui, além das variáveis do modelo anterior, a restrição </w:t>
      </w:r>
      <m:oMath>
        <m:r>
          <w:rPr>
            <w:rFonts w:ascii="Cambria Math" w:eastAsia="Times New Roman" w:hAnsi="Cambria Math" w:cs="Times New Roman"/>
            <w:sz w:val="24"/>
            <w:szCs w:val="24"/>
          </w:rPr>
          <m:t xml:space="preserve">,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1</m:t>
            </m:r>
          </m:sub>
        </m:sSub>
        <m:r>
          <w:rPr>
            <w:rFonts w:ascii="Cambria Math" w:eastAsia="Times New Roman" w:hAnsi="Cambria Math" w:cs="Times New Roman"/>
            <w:sz w:val="24"/>
            <w:szCs w:val="24"/>
          </w:rPr>
          <m:t>λ</m:t>
        </m:r>
      </m:oMath>
      <w:r w:rsidRPr="00D76F0C">
        <w:rPr>
          <w:rFonts w:ascii="Times New Roman" w:eastAsia="Times New Roman" w:hAnsi="Times New Roman" w:cs="Times New Roman"/>
          <w:sz w:val="24"/>
          <w:szCs w:val="24"/>
        </w:rPr>
        <w:t xml:space="preserve">, que correspondem aos retornos variáveis de escala. Para </w:t>
      </w:r>
      <w:r w:rsidRPr="00D76F0C">
        <w:rPr>
          <w:rFonts w:ascii="Times New Roman" w:eastAsia="Times New Roman" w:hAnsi="Times New Roman" w:cs="Times New Roman"/>
          <w:sz w:val="24"/>
          <w:szCs w:val="24"/>
        </w:rPr>
        <w:lastRenderedPageBreak/>
        <w:t>apresentar retornos crescentes, estas variáveis, precisam ser negativas; para retornos constantes, nulas; e para retornos decrescentes, positivas (PEÑA, 2008).</w:t>
      </w:r>
    </w:p>
    <w:p w14:paraId="702B1513" w14:textId="77777777" w:rsidR="00D76F0C" w:rsidRPr="00D76F0C" w:rsidRDefault="00D76F0C" w:rsidP="00D76F0C">
      <w:pPr>
        <w:spacing w:line="360" w:lineRule="auto"/>
        <w:ind w:firstLine="708"/>
        <w:jc w:val="both"/>
        <w:rPr>
          <w:rFonts w:ascii="Times New Roman" w:eastAsia="Calibri" w:hAnsi="Times New Roman" w:cs="Times New Roman"/>
          <w:sz w:val="24"/>
          <w:szCs w:val="24"/>
        </w:rPr>
      </w:pPr>
      <w:r w:rsidRPr="00D76F0C">
        <w:rPr>
          <w:rFonts w:ascii="Times New Roman" w:eastAsia="Times New Roman" w:hAnsi="Times New Roman" w:cs="Times New Roman"/>
          <w:sz w:val="24"/>
          <w:szCs w:val="24"/>
        </w:rPr>
        <w:t xml:space="preserve">O escore de eficiência varia de 0 a 1, sendo igual a 0 a DMU classifica-se como totalmente ineficiente e igual a 1, plenamente eficiente. Porém, para esta pesquisa, seguiu-se a </w:t>
      </w:r>
      <w:r w:rsidRPr="00D76F0C">
        <w:rPr>
          <w:rFonts w:ascii="Times New Roman" w:eastAsia="Calibri" w:hAnsi="Times New Roman" w:cs="Times New Roman"/>
          <w:sz w:val="24"/>
          <w:szCs w:val="24"/>
        </w:rPr>
        <w:t xml:space="preserve">classificação da eficiência adotada por </w:t>
      </w:r>
      <w:bookmarkStart w:id="4" w:name="_Hlk108603237"/>
      <w:r w:rsidRPr="00D76F0C">
        <w:rPr>
          <w:rFonts w:ascii="Times New Roman" w:eastAsia="Calibri" w:hAnsi="Times New Roman" w:cs="Times New Roman"/>
          <w:sz w:val="24"/>
          <w:szCs w:val="24"/>
        </w:rPr>
        <w:t xml:space="preserve">Maciel, Khan e Rocha (2018), </w:t>
      </w:r>
      <w:bookmarkEnd w:id="4"/>
      <w:r w:rsidRPr="00D76F0C">
        <w:rPr>
          <w:rFonts w:ascii="Times New Roman" w:eastAsia="Calibri" w:hAnsi="Times New Roman" w:cs="Times New Roman"/>
          <w:sz w:val="24"/>
          <w:szCs w:val="24"/>
        </w:rPr>
        <w:t>que estudaram a ecoeficiência e seus determinantes em 51 países do globo (Quadro 1).</w:t>
      </w:r>
    </w:p>
    <w:p w14:paraId="3FD45AA3" w14:textId="77777777" w:rsidR="00D76F0C" w:rsidRPr="00D76F0C" w:rsidRDefault="00D76F0C" w:rsidP="00D76F0C">
      <w:pPr>
        <w:spacing w:after="0" w:line="360" w:lineRule="auto"/>
        <w:jc w:val="center"/>
        <w:rPr>
          <w:rFonts w:ascii="Times New Roman" w:eastAsia="Calibri" w:hAnsi="Times New Roman" w:cs="Times New Roman"/>
          <w:sz w:val="24"/>
          <w:szCs w:val="24"/>
        </w:rPr>
      </w:pPr>
      <w:r w:rsidRPr="00D76F0C">
        <w:rPr>
          <w:rFonts w:ascii="Times New Roman" w:eastAsia="Calibri" w:hAnsi="Times New Roman" w:cs="Times New Roman"/>
          <w:b/>
          <w:bCs/>
          <w:sz w:val="24"/>
          <w:szCs w:val="24"/>
        </w:rPr>
        <w:t>Quadro 1-</w:t>
      </w:r>
      <w:r w:rsidRPr="00D76F0C">
        <w:rPr>
          <w:rFonts w:ascii="Times New Roman" w:eastAsia="Calibri" w:hAnsi="Times New Roman" w:cs="Times New Roman"/>
          <w:sz w:val="24"/>
          <w:szCs w:val="24"/>
        </w:rPr>
        <w:t xml:space="preserve"> Classificação das medidas de eficiência das regiões intermediárias do Nordeste</w:t>
      </w:r>
    </w:p>
    <w:tbl>
      <w:tblPr>
        <w:tblStyle w:val="Tabelacomgrade1"/>
        <w:tblW w:w="0" w:type="auto"/>
        <w:jc w:val="center"/>
        <w:tblLook w:val="04A0" w:firstRow="1" w:lastRow="0" w:firstColumn="1" w:lastColumn="0" w:noHBand="0" w:noVBand="1"/>
      </w:tblPr>
      <w:tblGrid>
        <w:gridCol w:w="3566"/>
        <w:gridCol w:w="3567"/>
      </w:tblGrid>
      <w:tr w:rsidR="00D76F0C" w:rsidRPr="00D76F0C" w14:paraId="020C8ADC" w14:textId="77777777" w:rsidTr="0078608C">
        <w:trPr>
          <w:trHeight w:val="116"/>
          <w:jc w:val="center"/>
        </w:trPr>
        <w:tc>
          <w:tcPr>
            <w:tcW w:w="3566" w:type="dxa"/>
          </w:tcPr>
          <w:p w14:paraId="50A5E5DF" w14:textId="77777777" w:rsidR="00D76F0C" w:rsidRPr="00D76F0C" w:rsidRDefault="00D76F0C" w:rsidP="0078608C">
            <w:pPr>
              <w:spacing w:after="0"/>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Classes de eficiência</w:t>
            </w:r>
          </w:p>
        </w:tc>
        <w:tc>
          <w:tcPr>
            <w:tcW w:w="3567" w:type="dxa"/>
          </w:tcPr>
          <w:p w14:paraId="077080DE" w14:textId="77777777" w:rsidR="00D76F0C" w:rsidRPr="00D76F0C" w:rsidRDefault="00D76F0C" w:rsidP="0078608C">
            <w:pPr>
              <w:spacing w:after="0"/>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Grau de eficiência</w:t>
            </w:r>
          </w:p>
        </w:tc>
      </w:tr>
      <w:tr w:rsidR="00D76F0C" w:rsidRPr="00D76F0C" w14:paraId="592AFDEB" w14:textId="77777777" w:rsidTr="0078608C">
        <w:trPr>
          <w:trHeight w:val="136"/>
          <w:jc w:val="center"/>
        </w:trPr>
        <w:tc>
          <w:tcPr>
            <w:tcW w:w="3566" w:type="dxa"/>
          </w:tcPr>
          <w:p w14:paraId="3637D4F7" w14:textId="77777777" w:rsidR="00D76F0C" w:rsidRPr="00D76F0C" w:rsidRDefault="00D76F0C" w:rsidP="0078608C">
            <w:pPr>
              <w:spacing w:after="0"/>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E ≤ 0,25</w:t>
            </w:r>
          </w:p>
        </w:tc>
        <w:tc>
          <w:tcPr>
            <w:tcW w:w="3567" w:type="dxa"/>
          </w:tcPr>
          <w:p w14:paraId="16F1E6AB" w14:textId="77777777" w:rsidR="00D76F0C" w:rsidRPr="00D76F0C" w:rsidRDefault="00D76F0C" w:rsidP="0078608C">
            <w:pPr>
              <w:spacing w:after="0"/>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Muito baixo</w:t>
            </w:r>
          </w:p>
        </w:tc>
      </w:tr>
      <w:tr w:rsidR="00D76F0C" w:rsidRPr="00D76F0C" w14:paraId="100C983D" w14:textId="77777777" w:rsidTr="0078608C">
        <w:trPr>
          <w:trHeight w:val="159"/>
          <w:jc w:val="center"/>
        </w:trPr>
        <w:tc>
          <w:tcPr>
            <w:tcW w:w="3566" w:type="dxa"/>
          </w:tcPr>
          <w:p w14:paraId="615C0B5E" w14:textId="77777777" w:rsidR="00D76F0C" w:rsidRPr="00D76F0C" w:rsidRDefault="00D76F0C" w:rsidP="0078608C">
            <w:pPr>
              <w:spacing w:after="0"/>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0,25 &lt; E ≤ 0,50</w:t>
            </w:r>
          </w:p>
        </w:tc>
        <w:tc>
          <w:tcPr>
            <w:tcW w:w="3567" w:type="dxa"/>
          </w:tcPr>
          <w:p w14:paraId="232CFDAD" w14:textId="77777777" w:rsidR="00D76F0C" w:rsidRPr="00D76F0C" w:rsidRDefault="00D76F0C" w:rsidP="0078608C">
            <w:pPr>
              <w:spacing w:after="0"/>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Baixo</w:t>
            </w:r>
          </w:p>
        </w:tc>
      </w:tr>
      <w:tr w:rsidR="00D76F0C" w:rsidRPr="00D76F0C" w14:paraId="15701A93" w14:textId="77777777" w:rsidTr="0078608C">
        <w:trPr>
          <w:trHeight w:val="159"/>
          <w:jc w:val="center"/>
        </w:trPr>
        <w:tc>
          <w:tcPr>
            <w:tcW w:w="3566" w:type="dxa"/>
          </w:tcPr>
          <w:p w14:paraId="4E390D16" w14:textId="77777777" w:rsidR="00D76F0C" w:rsidRPr="00D76F0C" w:rsidRDefault="00D76F0C" w:rsidP="0078608C">
            <w:pPr>
              <w:spacing w:after="0"/>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0,50 &lt; E ≤ 0,75</w:t>
            </w:r>
          </w:p>
        </w:tc>
        <w:tc>
          <w:tcPr>
            <w:tcW w:w="3567" w:type="dxa"/>
          </w:tcPr>
          <w:p w14:paraId="7DB7F648" w14:textId="77777777" w:rsidR="00D76F0C" w:rsidRPr="00D76F0C" w:rsidRDefault="00D76F0C" w:rsidP="0078608C">
            <w:pPr>
              <w:spacing w:after="0"/>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Médio</w:t>
            </w:r>
          </w:p>
        </w:tc>
      </w:tr>
      <w:tr w:rsidR="00D76F0C" w:rsidRPr="00D76F0C" w14:paraId="0426A9FC" w14:textId="77777777" w:rsidTr="0078608C">
        <w:trPr>
          <w:trHeight w:val="166"/>
          <w:jc w:val="center"/>
        </w:trPr>
        <w:tc>
          <w:tcPr>
            <w:tcW w:w="3566" w:type="dxa"/>
          </w:tcPr>
          <w:p w14:paraId="08B83AF8" w14:textId="77777777" w:rsidR="00D76F0C" w:rsidRPr="00D76F0C" w:rsidRDefault="00D76F0C" w:rsidP="0078608C">
            <w:pPr>
              <w:spacing w:after="0"/>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0,75 &lt; E &lt;1</w:t>
            </w:r>
          </w:p>
        </w:tc>
        <w:tc>
          <w:tcPr>
            <w:tcW w:w="3567" w:type="dxa"/>
          </w:tcPr>
          <w:p w14:paraId="1EBAED19" w14:textId="77777777" w:rsidR="00D76F0C" w:rsidRPr="00D76F0C" w:rsidRDefault="00D76F0C" w:rsidP="0078608C">
            <w:pPr>
              <w:spacing w:after="0"/>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Alto</w:t>
            </w:r>
          </w:p>
        </w:tc>
      </w:tr>
      <w:tr w:rsidR="00D76F0C" w:rsidRPr="00D76F0C" w14:paraId="7DD9DFB6" w14:textId="77777777" w:rsidTr="0078608C">
        <w:trPr>
          <w:trHeight w:val="166"/>
          <w:jc w:val="center"/>
        </w:trPr>
        <w:tc>
          <w:tcPr>
            <w:tcW w:w="3566" w:type="dxa"/>
          </w:tcPr>
          <w:p w14:paraId="5A53CA1D" w14:textId="77777777" w:rsidR="00D76F0C" w:rsidRPr="00D76F0C" w:rsidRDefault="00D76F0C" w:rsidP="0078608C">
            <w:pPr>
              <w:spacing w:after="0"/>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E =1</w:t>
            </w:r>
          </w:p>
        </w:tc>
        <w:tc>
          <w:tcPr>
            <w:tcW w:w="3567" w:type="dxa"/>
          </w:tcPr>
          <w:p w14:paraId="5B7DA2C2" w14:textId="77777777" w:rsidR="00D76F0C" w:rsidRPr="00D76F0C" w:rsidRDefault="00D76F0C" w:rsidP="0078608C">
            <w:pPr>
              <w:spacing w:after="0"/>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Plenamente eficiente</w:t>
            </w:r>
          </w:p>
        </w:tc>
      </w:tr>
    </w:tbl>
    <w:p w14:paraId="2A685742" w14:textId="77777777" w:rsidR="00D76F0C" w:rsidRPr="00D76F0C" w:rsidRDefault="00D76F0C" w:rsidP="00D76F0C">
      <w:pPr>
        <w:spacing w:after="0" w:line="360" w:lineRule="auto"/>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Fonte: Adaptado de Maciel, Khan e Rocha (2018)</w:t>
      </w:r>
    </w:p>
    <w:p w14:paraId="5B884FB2" w14:textId="77777777" w:rsidR="00637991" w:rsidRDefault="00637991" w:rsidP="0078608C">
      <w:pPr>
        <w:spacing w:after="0" w:line="360" w:lineRule="auto"/>
        <w:ind w:firstLine="708"/>
        <w:jc w:val="both"/>
        <w:rPr>
          <w:rFonts w:ascii="Times New Roman" w:eastAsia="Times New Roman" w:hAnsi="Times New Roman" w:cs="Times New Roman"/>
          <w:sz w:val="24"/>
          <w:szCs w:val="24"/>
        </w:rPr>
      </w:pPr>
    </w:p>
    <w:p w14:paraId="7FE8487A" w14:textId="4F070644" w:rsidR="00D76F0C" w:rsidRPr="00D76F0C" w:rsidRDefault="00D76F0C" w:rsidP="0078608C">
      <w:pPr>
        <w:spacing w:after="0" w:line="360" w:lineRule="auto"/>
        <w:ind w:firstLine="708"/>
        <w:jc w:val="both"/>
        <w:rPr>
          <w:rFonts w:ascii="Times New Roman" w:eastAsia="Times New Roman" w:hAnsi="Times New Roman" w:cs="Times New Roman"/>
          <w:sz w:val="24"/>
          <w:szCs w:val="24"/>
        </w:rPr>
      </w:pPr>
      <w:r w:rsidRPr="00D76F0C">
        <w:rPr>
          <w:rFonts w:ascii="Times New Roman" w:eastAsia="Times New Roman" w:hAnsi="Times New Roman" w:cs="Times New Roman"/>
          <w:sz w:val="24"/>
          <w:szCs w:val="24"/>
        </w:rPr>
        <w:t xml:space="preserve">Após a mensuração dos escores de eficiência, agregaram-nos em termos médios de quartil do PIB </w:t>
      </w:r>
      <w:r w:rsidRPr="00D76F0C">
        <w:rPr>
          <w:rFonts w:ascii="Times New Roman" w:eastAsia="Times New Roman" w:hAnsi="Times New Roman" w:cs="Times New Roman"/>
          <w:i/>
          <w:iCs/>
          <w:sz w:val="24"/>
          <w:szCs w:val="24"/>
        </w:rPr>
        <w:t>per capita</w:t>
      </w:r>
      <w:r w:rsidRPr="00D76F0C">
        <w:rPr>
          <w:rFonts w:ascii="Times New Roman" w:eastAsia="Times New Roman" w:hAnsi="Times New Roman" w:cs="Times New Roman"/>
          <w:sz w:val="24"/>
          <w:szCs w:val="24"/>
        </w:rPr>
        <w:t xml:space="preserve">, e realizou-se o teste estatístico T para verificar se existem diferenças nas médias entre o quartil com maior PIB </w:t>
      </w:r>
      <w:r w:rsidRPr="00D76F0C">
        <w:rPr>
          <w:rFonts w:ascii="Times New Roman" w:eastAsia="Times New Roman" w:hAnsi="Times New Roman" w:cs="Times New Roman"/>
          <w:i/>
          <w:iCs/>
          <w:sz w:val="24"/>
          <w:szCs w:val="24"/>
        </w:rPr>
        <w:t xml:space="preserve">per capita </w:t>
      </w:r>
      <w:r w:rsidRPr="00D76F0C">
        <w:rPr>
          <w:rFonts w:ascii="Times New Roman" w:eastAsia="Times New Roman" w:hAnsi="Times New Roman" w:cs="Times New Roman"/>
          <w:sz w:val="24"/>
          <w:szCs w:val="24"/>
        </w:rPr>
        <w:t xml:space="preserve">e os demais. Além disso, os índices foram agrupados em termos médios, por tamanho populacional. </w:t>
      </w:r>
    </w:p>
    <w:p w14:paraId="0D3177CB" w14:textId="77777777" w:rsidR="00D76F0C" w:rsidRPr="00D76F0C" w:rsidRDefault="00D76F0C" w:rsidP="00D76F0C">
      <w:pPr>
        <w:spacing w:after="0" w:line="360" w:lineRule="auto"/>
        <w:ind w:firstLine="708"/>
        <w:jc w:val="both"/>
        <w:rPr>
          <w:rFonts w:ascii="Times New Roman" w:eastAsia="Calibri" w:hAnsi="Times New Roman" w:cs="Times New Roman"/>
          <w:sz w:val="24"/>
          <w:szCs w:val="24"/>
        </w:rPr>
      </w:pPr>
      <w:r w:rsidRPr="00D76F0C">
        <w:rPr>
          <w:rFonts w:ascii="Times New Roman" w:eastAsia="Calibri" w:hAnsi="Times New Roman" w:cs="Times New Roman"/>
          <w:sz w:val="24"/>
          <w:szCs w:val="24"/>
        </w:rPr>
        <w:t xml:space="preserve">Segundo Triola (2013), o teste t é um teste paramétrico que compara uma mesma variável em duas amostras distintas, em um dado momento do tempo. Este teste possui as seguintes pressuposições: as amostras têm que ser independentes, devem ser obtidas de forma aleatória e precisam ser normalmente distribuídas. As hipóteses consideradas foram: a hipótese nula que se refere à igualdade das médias dos escores de eficiência técnica (CRS ou VRS) e a hipótese alternativa, que indica a presença de diferenças significativas entre tais médias. </w:t>
      </w:r>
    </w:p>
    <w:p w14:paraId="040F0387" w14:textId="49349A5E" w:rsidR="00637991" w:rsidRPr="00D76F0C" w:rsidRDefault="00D76F0C" w:rsidP="0032033B">
      <w:pPr>
        <w:spacing w:after="0" w:line="360" w:lineRule="auto"/>
        <w:ind w:firstLine="708"/>
        <w:jc w:val="both"/>
        <w:rPr>
          <w:rFonts w:ascii="Times New Roman" w:eastAsia="Calibri" w:hAnsi="Times New Roman" w:cs="Times New Roman"/>
          <w:sz w:val="24"/>
          <w:szCs w:val="24"/>
        </w:rPr>
      </w:pPr>
      <w:r w:rsidRPr="00D76F0C">
        <w:rPr>
          <w:rFonts w:ascii="Times New Roman" w:eastAsia="Calibri" w:hAnsi="Times New Roman" w:cs="Times New Roman"/>
          <w:sz w:val="24"/>
          <w:szCs w:val="24"/>
        </w:rPr>
        <w:t>Concernente à regra de decisão, avaliou-se pelo P-valor, em que não se rejeitou a hipótese nula para valores acima de 0,10 e rejeitou-se para valores abaixo deste. A operacionalização desse teste foi realizada mediante o programa SPSS 21.</w:t>
      </w:r>
    </w:p>
    <w:p w14:paraId="0C60F37C" w14:textId="5D41B8F9" w:rsidR="00D76F0C" w:rsidRPr="00D76F0C" w:rsidRDefault="005F38E0" w:rsidP="00D76F0C">
      <w:pPr>
        <w:keepNext/>
        <w:keepLines/>
        <w:spacing w:before="40" w:after="240" w:line="240" w:lineRule="auto"/>
        <w:outlineLvl w:val="1"/>
        <w:rPr>
          <w:rFonts w:ascii="Times New Roman" w:eastAsia="Times New Roman" w:hAnsi="Times New Roman" w:cs="Times New Roman"/>
          <w:b/>
          <w:sz w:val="24"/>
          <w:szCs w:val="26"/>
        </w:rPr>
      </w:pPr>
      <w:bookmarkStart w:id="5" w:name="_Toc82209213"/>
      <w:r>
        <w:rPr>
          <w:rFonts w:ascii="Times New Roman" w:eastAsia="Times New Roman" w:hAnsi="Times New Roman" w:cs="Times New Roman"/>
          <w:b/>
          <w:sz w:val="24"/>
          <w:szCs w:val="26"/>
        </w:rPr>
        <w:t>2</w:t>
      </w:r>
      <w:r w:rsidR="00D76F0C" w:rsidRPr="00D76F0C">
        <w:rPr>
          <w:rFonts w:ascii="Times New Roman" w:eastAsia="Times New Roman" w:hAnsi="Times New Roman" w:cs="Times New Roman"/>
          <w:b/>
          <w:sz w:val="24"/>
          <w:szCs w:val="26"/>
        </w:rPr>
        <w:t>.3 Variáveis utilizadas na pesquisa</w:t>
      </w:r>
      <w:bookmarkEnd w:id="5"/>
    </w:p>
    <w:p w14:paraId="2EA9274B" w14:textId="17663636" w:rsidR="0078608C" w:rsidRDefault="00D76F0C" w:rsidP="0078608C">
      <w:pPr>
        <w:spacing w:after="0" w:line="360" w:lineRule="auto"/>
        <w:ind w:firstLine="708"/>
        <w:jc w:val="both"/>
        <w:rPr>
          <w:rFonts w:ascii="Times New Roman" w:eastAsia="Calibri" w:hAnsi="Times New Roman" w:cs="Times New Roman"/>
          <w:sz w:val="24"/>
          <w:szCs w:val="24"/>
        </w:rPr>
      </w:pPr>
      <w:r w:rsidRPr="00D76F0C">
        <w:rPr>
          <w:rFonts w:ascii="Times New Roman" w:eastAsia="Calibri" w:hAnsi="Times New Roman" w:cs="Times New Roman"/>
          <w:sz w:val="24"/>
          <w:szCs w:val="24"/>
        </w:rPr>
        <w:t xml:space="preserve">Seguindo a literatura sobre eficiência dos gastos públicos com saúde, considerou-se neste estudo o conjunto de variáveis </w:t>
      </w:r>
      <w:r w:rsidRPr="005549E5">
        <w:rPr>
          <w:rFonts w:ascii="Times New Roman" w:eastAsia="Calibri" w:hAnsi="Times New Roman" w:cs="Times New Roman"/>
          <w:i/>
          <w:iCs/>
          <w:sz w:val="24"/>
          <w:szCs w:val="24"/>
        </w:rPr>
        <w:t>input</w:t>
      </w:r>
      <w:r w:rsidRPr="00D76F0C">
        <w:rPr>
          <w:rFonts w:ascii="Times New Roman" w:eastAsia="Calibri" w:hAnsi="Times New Roman" w:cs="Times New Roman"/>
          <w:sz w:val="24"/>
          <w:szCs w:val="24"/>
        </w:rPr>
        <w:t xml:space="preserve"> e </w:t>
      </w:r>
      <w:r w:rsidRPr="005549E5">
        <w:rPr>
          <w:rFonts w:ascii="Times New Roman" w:eastAsia="Calibri" w:hAnsi="Times New Roman" w:cs="Times New Roman"/>
          <w:i/>
          <w:iCs/>
          <w:sz w:val="24"/>
          <w:szCs w:val="24"/>
        </w:rPr>
        <w:t>outputs</w:t>
      </w:r>
      <w:r w:rsidRPr="00D76F0C">
        <w:rPr>
          <w:rFonts w:ascii="Times New Roman" w:eastAsia="Calibri" w:hAnsi="Times New Roman" w:cs="Times New Roman"/>
          <w:sz w:val="24"/>
          <w:szCs w:val="24"/>
        </w:rPr>
        <w:t>, representadas no Quadro 2, a seguir.</w:t>
      </w:r>
    </w:p>
    <w:p w14:paraId="473A613A" w14:textId="77777777" w:rsidR="00637991" w:rsidRPr="00D76F0C" w:rsidRDefault="00637991" w:rsidP="0078608C">
      <w:pPr>
        <w:spacing w:after="0" w:line="360" w:lineRule="auto"/>
        <w:ind w:firstLine="708"/>
        <w:jc w:val="both"/>
        <w:rPr>
          <w:rFonts w:ascii="Times New Roman" w:eastAsia="Calibri" w:hAnsi="Times New Roman" w:cs="Times New Roman"/>
          <w:sz w:val="24"/>
          <w:szCs w:val="24"/>
        </w:rPr>
      </w:pPr>
    </w:p>
    <w:p w14:paraId="30A8B0E4" w14:textId="77777777" w:rsidR="00D76F0C" w:rsidRPr="00D76F0C" w:rsidRDefault="00D76F0C" w:rsidP="00D76F0C">
      <w:pPr>
        <w:spacing w:after="0" w:line="240" w:lineRule="auto"/>
        <w:jc w:val="center"/>
        <w:rPr>
          <w:rFonts w:ascii="Times New Roman" w:eastAsia="Calibri" w:hAnsi="Times New Roman" w:cs="Times New Roman"/>
          <w:sz w:val="24"/>
          <w:szCs w:val="24"/>
        </w:rPr>
      </w:pPr>
      <w:r w:rsidRPr="00D76F0C">
        <w:rPr>
          <w:rFonts w:ascii="Times New Roman" w:eastAsia="Calibri" w:hAnsi="Times New Roman" w:cs="Times New Roman"/>
          <w:b/>
          <w:sz w:val="24"/>
          <w:szCs w:val="24"/>
        </w:rPr>
        <w:t>Quadro 2 –</w:t>
      </w:r>
      <w:r w:rsidRPr="00D76F0C">
        <w:rPr>
          <w:rFonts w:ascii="Times New Roman" w:eastAsia="Calibri" w:hAnsi="Times New Roman" w:cs="Times New Roman"/>
          <w:sz w:val="24"/>
          <w:szCs w:val="24"/>
        </w:rPr>
        <w:t xml:space="preserve"> Variáveis de </w:t>
      </w:r>
      <w:r w:rsidRPr="005549E5">
        <w:rPr>
          <w:rFonts w:ascii="Times New Roman" w:eastAsia="Calibri" w:hAnsi="Times New Roman" w:cs="Times New Roman"/>
          <w:i/>
          <w:iCs/>
          <w:sz w:val="24"/>
          <w:szCs w:val="24"/>
        </w:rPr>
        <w:t>input</w:t>
      </w:r>
      <w:r w:rsidRPr="00D76F0C">
        <w:rPr>
          <w:rFonts w:ascii="Times New Roman" w:eastAsia="Calibri" w:hAnsi="Times New Roman" w:cs="Times New Roman"/>
          <w:sz w:val="24"/>
          <w:szCs w:val="24"/>
        </w:rPr>
        <w:t xml:space="preserve"> e de </w:t>
      </w:r>
      <w:r w:rsidRPr="005549E5">
        <w:rPr>
          <w:rFonts w:ascii="Times New Roman" w:eastAsia="Calibri" w:hAnsi="Times New Roman" w:cs="Times New Roman"/>
          <w:i/>
          <w:iCs/>
          <w:sz w:val="24"/>
          <w:szCs w:val="24"/>
        </w:rPr>
        <w:t>outputs</w:t>
      </w:r>
      <w:r w:rsidRPr="00D76F0C">
        <w:rPr>
          <w:rFonts w:ascii="Times New Roman" w:eastAsia="Calibri" w:hAnsi="Times New Roman" w:cs="Times New Roman"/>
          <w:sz w:val="24"/>
          <w:szCs w:val="24"/>
        </w:rPr>
        <w:t xml:space="preserve"> selecionadas neste estudo</w:t>
      </w:r>
    </w:p>
    <w:tbl>
      <w:tblPr>
        <w:tblStyle w:val="Tabelacomgrade1"/>
        <w:tblW w:w="9067" w:type="dxa"/>
        <w:tblLayout w:type="fixed"/>
        <w:tblLook w:val="04A0" w:firstRow="1" w:lastRow="0" w:firstColumn="1" w:lastColumn="0" w:noHBand="0" w:noVBand="1"/>
      </w:tblPr>
      <w:tblGrid>
        <w:gridCol w:w="1004"/>
        <w:gridCol w:w="1685"/>
        <w:gridCol w:w="1984"/>
        <w:gridCol w:w="2017"/>
        <w:gridCol w:w="2377"/>
      </w:tblGrid>
      <w:tr w:rsidR="00D76F0C" w:rsidRPr="00D76F0C" w14:paraId="209C5BB0" w14:textId="77777777" w:rsidTr="00A57DBF">
        <w:tc>
          <w:tcPr>
            <w:tcW w:w="2689" w:type="dxa"/>
            <w:gridSpan w:val="2"/>
          </w:tcPr>
          <w:p w14:paraId="5296E2FC" w14:textId="77777777" w:rsidR="00D76F0C" w:rsidRPr="00D76F0C" w:rsidRDefault="00D76F0C" w:rsidP="00D76F0C">
            <w:pPr>
              <w:jc w:val="center"/>
              <w:rPr>
                <w:rFonts w:ascii="Times New Roman" w:eastAsia="Calibri" w:hAnsi="Times New Roman" w:cs="Times New Roman"/>
                <w:b/>
                <w:sz w:val="20"/>
                <w:szCs w:val="20"/>
              </w:rPr>
            </w:pPr>
            <w:r w:rsidRPr="00D76F0C">
              <w:rPr>
                <w:rFonts w:ascii="Times New Roman" w:eastAsia="Calibri" w:hAnsi="Times New Roman" w:cs="Times New Roman"/>
                <w:b/>
                <w:sz w:val="20"/>
                <w:szCs w:val="20"/>
              </w:rPr>
              <w:t>Variáveis*</w:t>
            </w:r>
          </w:p>
        </w:tc>
        <w:tc>
          <w:tcPr>
            <w:tcW w:w="1984" w:type="dxa"/>
          </w:tcPr>
          <w:p w14:paraId="018EB451" w14:textId="77777777" w:rsidR="00D76F0C" w:rsidRPr="00D76F0C" w:rsidRDefault="00D76F0C" w:rsidP="00D76F0C">
            <w:pPr>
              <w:jc w:val="center"/>
              <w:rPr>
                <w:rFonts w:ascii="Times New Roman" w:eastAsia="Calibri" w:hAnsi="Times New Roman" w:cs="Times New Roman"/>
                <w:b/>
                <w:sz w:val="20"/>
                <w:szCs w:val="20"/>
              </w:rPr>
            </w:pPr>
            <w:r w:rsidRPr="00D76F0C">
              <w:rPr>
                <w:rFonts w:ascii="Times New Roman" w:eastAsia="Calibri" w:hAnsi="Times New Roman" w:cs="Times New Roman"/>
                <w:b/>
                <w:sz w:val="20"/>
                <w:szCs w:val="20"/>
              </w:rPr>
              <w:t>Descrição</w:t>
            </w:r>
          </w:p>
        </w:tc>
        <w:tc>
          <w:tcPr>
            <w:tcW w:w="2017" w:type="dxa"/>
          </w:tcPr>
          <w:p w14:paraId="5AA847F0" w14:textId="77777777" w:rsidR="00D76F0C" w:rsidRPr="00D76F0C" w:rsidRDefault="00D76F0C" w:rsidP="00D76F0C">
            <w:pPr>
              <w:jc w:val="center"/>
              <w:rPr>
                <w:rFonts w:ascii="Times New Roman" w:eastAsia="Calibri" w:hAnsi="Times New Roman" w:cs="Times New Roman"/>
                <w:b/>
                <w:sz w:val="20"/>
                <w:szCs w:val="20"/>
              </w:rPr>
            </w:pPr>
            <w:r w:rsidRPr="00D76F0C">
              <w:rPr>
                <w:rFonts w:ascii="Times New Roman" w:eastAsia="Calibri" w:hAnsi="Times New Roman" w:cs="Times New Roman"/>
                <w:b/>
                <w:sz w:val="20"/>
                <w:szCs w:val="20"/>
              </w:rPr>
              <w:t>Fontes</w:t>
            </w:r>
          </w:p>
        </w:tc>
        <w:tc>
          <w:tcPr>
            <w:tcW w:w="2377" w:type="dxa"/>
          </w:tcPr>
          <w:p w14:paraId="04DCAB18" w14:textId="77777777" w:rsidR="00D76F0C" w:rsidRPr="00D76F0C" w:rsidRDefault="00D76F0C" w:rsidP="00D76F0C">
            <w:pPr>
              <w:jc w:val="center"/>
              <w:rPr>
                <w:rFonts w:ascii="Times New Roman" w:eastAsia="Calibri" w:hAnsi="Times New Roman" w:cs="Times New Roman"/>
                <w:b/>
                <w:sz w:val="20"/>
                <w:szCs w:val="20"/>
              </w:rPr>
            </w:pPr>
            <w:r w:rsidRPr="00D76F0C">
              <w:rPr>
                <w:rFonts w:ascii="Times New Roman" w:eastAsia="Calibri" w:hAnsi="Times New Roman" w:cs="Times New Roman"/>
                <w:b/>
                <w:sz w:val="20"/>
                <w:szCs w:val="20"/>
              </w:rPr>
              <w:t>Estudos fundamentados</w:t>
            </w:r>
          </w:p>
        </w:tc>
      </w:tr>
      <w:tr w:rsidR="00D76F0C" w:rsidRPr="00D76F0C" w14:paraId="7E68DFAE" w14:textId="77777777" w:rsidTr="00A57DBF">
        <w:tc>
          <w:tcPr>
            <w:tcW w:w="1004" w:type="dxa"/>
          </w:tcPr>
          <w:p w14:paraId="2976299C" w14:textId="77777777" w:rsidR="00D76F0C" w:rsidRPr="00D76F0C" w:rsidRDefault="00D76F0C" w:rsidP="00B525B6">
            <w:pPr>
              <w:spacing w:after="0"/>
              <w:rPr>
                <w:rFonts w:ascii="Times New Roman" w:eastAsia="Calibri" w:hAnsi="Times New Roman" w:cs="Times New Roman"/>
                <w:sz w:val="20"/>
                <w:szCs w:val="20"/>
              </w:rPr>
            </w:pPr>
          </w:p>
          <w:p w14:paraId="352701C4" w14:textId="77777777" w:rsidR="00D76F0C" w:rsidRPr="00D76F0C" w:rsidRDefault="00D76F0C" w:rsidP="00B525B6">
            <w:pPr>
              <w:spacing w:after="0"/>
              <w:rPr>
                <w:rFonts w:ascii="Times New Roman" w:eastAsia="Calibri" w:hAnsi="Times New Roman" w:cs="Times New Roman"/>
                <w:sz w:val="20"/>
                <w:szCs w:val="20"/>
              </w:rPr>
            </w:pPr>
          </w:p>
          <w:p w14:paraId="347B899B" w14:textId="77777777" w:rsidR="00D76F0C" w:rsidRPr="00D76F0C" w:rsidRDefault="00D76F0C" w:rsidP="00B525B6">
            <w:pPr>
              <w:spacing w:after="0"/>
              <w:rPr>
                <w:rFonts w:ascii="Times New Roman" w:eastAsia="Calibri" w:hAnsi="Times New Roman" w:cs="Times New Roman"/>
                <w:sz w:val="20"/>
                <w:szCs w:val="20"/>
              </w:rPr>
            </w:pPr>
          </w:p>
          <w:p w14:paraId="025ACB24" w14:textId="77777777" w:rsidR="00D76F0C" w:rsidRPr="00D76F0C" w:rsidRDefault="00D76F0C" w:rsidP="00B525B6">
            <w:pPr>
              <w:spacing w:after="0"/>
              <w:rPr>
                <w:rFonts w:ascii="Times New Roman" w:eastAsia="Calibri" w:hAnsi="Times New Roman" w:cs="Times New Roman"/>
                <w:b/>
                <w:i/>
                <w:sz w:val="20"/>
                <w:szCs w:val="20"/>
              </w:rPr>
            </w:pPr>
            <w:r w:rsidRPr="00D76F0C">
              <w:rPr>
                <w:rFonts w:ascii="Times New Roman" w:eastAsia="Calibri" w:hAnsi="Times New Roman" w:cs="Times New Roman"/>
                <w:b/>
                <w:i/>
                <w:sz w:val="20"/>
                <w:szCs w:val="20"/>
              </w:rPr>
              <w:t>Input</w:t>
            </w:r>
          </w:p>
        </w:tc>
        <w:tc>
          <w:tcPr>
            <w:tcW w:w="1685" w:type="dxa"/>
          </w:tcPr>
          <w:p w14:paraId="702FD0A8" w14:textId="77777777" w:rsidR="00D76F0C" w:rsidRPr="00D76F0C" w:rsidRDefault="00D76F0C" w:rsidP="00B525B6">
            <w:pPr>
              <w:spacing w:after="0"/>
              <w:jc w:val="center"/>
              <w:rPr>
                <w:rFonts w:ascii="Times New Roman" w:eastAsia="Calibri" w:hAnsi="Times New Roman" w:cs="Times New Roman"/>
                <w:sz w:val="20"/>
                <w:szCs w:val="20"/>
              </w:rPr>
            </w:pPr>
          </w:p>
          <w:p w14:paraId="7564C028" w14:textId="77777777" w:rsidR="00D76F0C" w:rsidRPr="00D76F0C" w:rsidRDefault="00D76F0C" w:rsidP="00B525B6">
            <w:pPr>
              <w:spacing w:after="0"/>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Despesa total média com saúde</w:t>
            </w:r>
          </w:p>
        </w:tc>
        <w:tc>
          <w:tcPr>
            <w:tcW w:w="1984" w:type="dxa"/>
          </w:tcPr>
          <w:p w14:paraId="352CAA81" w14:textId="77777777" w:rsidR="00D76F0C" w:rsidRPr="00D76F0C" w:rsidRDefault="00D76F0C" w:rsidP="00B525B6">
            <w:pPr>
              <w:spacing w:after="0"/>
              <w:rPr>
                <w:rFonts w:ascii="Times New Roman" w:eastAsia="Calibri" w:hAnsi="Times New Roman" w:cs="Times New Roman"/>
                <w:sz w:val="20"/>
                <w:szCs w:val="20"/>
              </w:rPr>
            </w:pPr>
          </w:p>
          <w:p w14:paraId="0D95E6F7" w14:textId="77777777" w:rsidR="00D76F0C" w:rsidRPr="00D76F0C" w:rsidRDefault="00D76F0C" w:rsidP="00B525B6">
            <w:pPr>
              <w:spacing w:after="0"/>
              <w:rPr>
                <w:rFonts w:ascii="Times New Roman" w:eastAsia="Calibri" w:hAnsi="Times New Roman" w:cs="Times New Roman"/>
                <w:sz w:val="20"/>
                <w:szCs w:val="20"/>
              </w:rPr>
            </w:pPr>
            <w:r w:rsidRPr="00D76F0C">
              <w:rPr>
                <w:rFonts w:ascii="Times New Roman" w:eastAsia="Calibri" w:hAnsi="Times New Roman" w:cs="Times New Roman"/>
                <w:sz w:val="20"/>
                <w:szCs w:val="20"/>
              </w:rPr>
              <w:t>Despesa total média com saúde</w:t>
            </w:r>
          </w:p>
        </w:tc>
        <w:tc>
          <w:tcPr>
            <w:tcW w:w="2017" w:type="dxa"/>
          </w:tcPr>
          <w:p w14:paraId="4ACA4BE0" w14:textId="77777777" w:rsidR="00D76F0C" w:rsidRPr="00D76F0C" w:rsidRDefault="00D76F0C" w:rsidP="00B525B6">
            <w:pPr>
              <w:spacing w:after="0"/>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Sistema de Informação sobre Orçamentos Públicos em Saúde (SIOPS) / Departamento de Informática do Sistema Único de Saúde (DATASUS)</w:t>
            </w:r>
          </w:p>
        </w:tc>
        <w:tc>
          <w:tcPr>
            <w:tcW w:w="2377" w:type="dxa"/>
          </w:tcPr>
          <w:p w14:paraId="4DCDA86A" w14:textId="77777777" w:rsidR="00D76F0C" w:rsidRPr="00D76F0C" w:rsidRDefault="00D76F0C" w:rsidP="00B525B6">
            <w:pPr>
              <w:spacing w:after="0"/>
              <w:rPr>
                <w:rFonts w:ascii="Times New Roman" w:eastAsia="Calibri" w:hAnsi="Times New Roman" w:cs="Times New Roman"/>
                <w:sz w:val="20"/>
                <w:szCs w:val="20"/>
              </w:rPr>
            </w:pPr>
            <w:r w:rsidRPr="00D76F0C">
              <w:rPr>
                <w:rFonts w:ascii="Times New Roman" w:eastAsia="Calibri" w:hAnsi="Times New Roman" w:cs="Times New Roman"/>
                <w:sz w:val="20"/>
                <w:szCs w:val="20"/>
              </w:rPr>
              <w:t>Schulz et al (2014); Mazon; Mascarenhas; Dallabrida (2015); Duarte et al (2016);</w:t>
            </w:r>
          </w:p>
          <w:p w14:paraId="65C2D4C1" w14:textId="77777777" w:rsidR="00D76F0C" w:rsidRPr="00D76F0C" w:rsidRDefault="00D76F0C" w:rsidP="00B525B6">
            <w:pPr>
              <w:spacing w:after="0"/>
              <w:rPr>
                <w:rFonts w:ascii="Times New Roman" w:eastAsia="Calibri" w:hAnsi="Times New Roman" w:cs="Times New Roman"/>
                <w:sz w:val="20"/>
                <w:szCs w:val="20"/>
              </w:rPr>
            </w:pPr>
            <w:r w:rsidRPr="00D76F0C">
              <w:rPr>
                <w:rFonts w:ascii="Times New Roman" w:eastAsia="Calibri" w:hAnsi="Times New Roman" w:cs="Times New Roman"/>
                <w:sz w:val="20"/>
                <w:szCs w:val="20"/>
              </w:rPr>
              <w:t>Andrett et al.  (2018); Silva e Crozatti (2020)</w:t>
            </w:r>
          </w:p>
        </w:tc>
      </w:tr>
      <w:tr w:rsidR="00D76F0C" w:rsidRPr="00D76F0C" w14:paraId="280BCC18" w14:textId="77777777" w:rsidTr="00A57DBF">
        <w:tc>
          <w:tcPr>
            <w:tcW w:w="1004" w:type="dxa"/>
            <w:vMerge w:val="restart"/>
          </w:tcPr>
          <w:p w14:paraId="185A01D0" w14:textId="77777777" w:rsidR="00D76F0C" w:rsidRPr="00D76F0C" w:rsidRDefault="00D76F0C" w:rsidP="00B525B6">
            <w:pPr>
              <w:spacing w:after="0"/>
              <w:rPr>
                <w:rFonts w:ascii="Times New Roman" w:eastAsia="Calibri" w:hAnsi="Times New Roman" w:cs="Times New Roman"/>
                <w:sz w:val="20"/>
                <w:szCs w:val="20"/>
              </w:rPr>
            </w:pPr>
          </w:p>
          <w:p w14:paraId="500435BE" w14:textId="77777777" w:rsidR="00D76F0C" w:rsidRPr="00D76F0C" w:rsidRDefault="00D76F0C" w:rsidP="00B525B6">
            <w:pPr>
              <w:spacing w:after="0"/>
              <w:rPr>
                <w:rFonts w:ascii="Times New Roman" w:eastAsia="Calibri" w:hAnsi="Times New Roman" w:cs="Times New Roman"/>
                <w:sz w:val="20"/>
                <w:szCs w:val="20"/>
              </w:rPr>
            </w:pPr>
          </w:p>
          <w:p w14:paraId="4C8EA82B" w14:textId="77777777" w:rsidR="00D76F0C" w:rsidRPr="00D76F0C" w:rsidRDefault="00D76F0C" w:rsidP="00B525B6">
            <w:pPr>
              <w:spacing w:after="0"/>
              <w:rPr>
                <w:rFonts w:ascii="Times New Roman" w:eastAsia="Calibri" w:hAnsi="Times New Roman" w:cs="Times New Roman"/>
                <w:sz w:val="20"/>
                <w:szCs w:val="20"/>
              </w:rPr>
            </w:pPr>
          </w:p>
          <w:p w14:paraId="17D653EA" w14:textId="77777777" w:rsidR="00D76F0C" w:rsidRPr="00D76F0C" w:rsidRDefault="00D76F0C" w:rsidP="00B525B6">
            <w:pPr>
              <w:spacing w:after="0"/>
              <w:rPr>
                <w:rFonts w:ascii="Times New Roman" w:eastAsia="Calibri" w:hAnsi="Times New Roman" w:cs="Times New Roman"/>
                <w:sz w:val="20"/>
                <w:szCs w:val="20"/>
              </w:rPr>
            </w:pPr>
          </w:p>
          <w:p w14:paraId="145DE6C4" w14:textId="77777777" w:rsidR="00D76F0C" w:rsidRPr="00D76F0C" w:rsidRDefault="00D76F0C" w:rsidP="00B525B6">
            <w:pPr>
              <w:spacing w:after="0"/>
              <w:rPr>
                <w:rFonts w:ascii="Times New Roman" w:eastAsia="Calibri" w:hAnsi="Times New Roman" w:cs="Times New Roman"/>
                <w:sz w:val="20"/>
                <w:szCs w:val="20"/>
              </w:rPr>
            </w:pPr>
          </w:p>
          <w:p w14:paraId="716AADDD" w14:textId="77777777" w:rsidR="00D76F0C" w:rsidRPr="00D76F0C" w:rsidRDefault="00D76F0C" w:rsidP="00B525B6">
            <w:pPr>
              <w:spacing w:after="0"/>
              <w:rPr>
                <w:rFonts w:ascii="Times New Roman" w:eastAsia="Calibri" w:hAnsi="Times New Roman" w:cs="Times New Roman"/>
                <w:sz w:val="20"/>
                <w:szCs w:val="20"/>
              </w:rPr>
            </w:pPr>
          </w:p>
          <w:p w14:paraId="249CEE20" w14:textId="77777777" w:rsidR="00D76F0C" w:rsidRPr="00D76F0C" w:rsidRDefault="00D76F0C" w:rsidP="00B525B6">
            <w:pPr>
              <w:spacing w:after="0"/>
              <w:rPr>
                <w:rFonts w:ascii="Times New Roman" w:eastAsia="Calibri" w:hAnsi="Times New Roman" w:cs="Times New Roman"/>
                <w:sz w:val="20"/>
                <w:szCs w:val="20"/>
              </w:rPr>
            </w:pPr>
          </w:p>
          <w:p w14:paraId="3367F866" w14:textId="77777777" w:rsidR="00D76F0C" w:rsidRPr="00D76F0C" w:rsidRDefault="00D76F0C" w:rsidP="00B525B6">
            <w:pPr>
              <w:spacing w:after="0"/>
              <w:rPr>
                <w:rFonts w:ascii="Times New Roman" w:eastAsia="Calibri" w:hAnsi="Times New Roman" w:cs="Times New Roman"/>
                <w:sz w:val="20"/>
                <w:szCs w:val="20"/>
              </w:rPr>
            </w:pPr>
          </w:p>
          <w:p w14:paraId="36B1326D" w14:textId="77777777" w:rsidR="00D76F0C" w:rsidRPr="00D76F0C" w:rsidRDefault="00D76F0C" w:rsidP="00B525B6">
            <w:pPr>
              <w:spacing w:after="0"/>
              <w:rPr>
                <w:rFonts w:ascii="Times New Roman" w:eastAsia="Calibri" w:hAnsi="Times New Roman" w:cs="Times New Roman"/>
                <w:sz w:val="20"/>
                <w:szCs w:val="20"/>
              </w:rPr>
            </w:pPr>
          </w:p>
          <w:p w14:paraId="46E8637A" w14:textId="77777777" w:rsidR="00D76F0C" w:rsidRPr="00D76F0C" w:rsidRDefault="00D76F0C" w:rsidP="00B525B6">
            <w:pPr>
              <w:spacing w:after="0"/>
              <w:rPr>
                <w:rFonts w:ascii="Times New Roman" w:eastAsia="Calibri" w:hAnsi="Times New Roman" w:cs="Times New Roman"/>
                <w:sz w:val="20"/>
                <w:szCs w:val="20"/>
              </w:rPr>
            </w:pPr>
          </w:p>
          <w:p w14:paraId="5C3D1E07" w14:textId="77777777" w:rsidR="00D76F0C" w:rsidRPr="00D76F0C" w:rsidRDefault="00D76F0C" w:rsidP="00B525B6">
            <w:pPr>
              <w:spacing w:after="0"/>
              <w:rPr>
                <w:rFonts w:ascii="Times New Roman" w:eastAsia="Calibri" w:hAnsi="Times New Roman" w:cs="Times New Roman"/>
                <w:sz w:val="20"/>
                <w:szCs w:val="20"/>
              </w:rPr>
            </w:pPr>
          </w:p>
          <w:p w14:paraId="2FB5E329" w14:textId="77777777" w:rsidR="00D76F0C" w:rsidRPr="00D76F0C" w:rsidRDefault="00D76F0C" w:rsidP="00B525B6">
            <w:pPr>
              <w:spacing w:after="0"/>
              <w:rPr>
                <w:rFonts w:ascii="Times New Roman" w:eastAsia="Calibri" w:hAnsi="Times New Roman" w:cs="Times New Roman"/>
                <w:sz w:val="20"/>
                <w:szCs w:val="20"/>
              </w:rPr>
            </w:pPr>
          </w:p>
          <w:p w14:paraId="6FD875F5" w14:textId="77777777" w:rsidR="00D76F0C" w:rsidRPr="00D76F0C" w:rsidRDefault="00D76F0C" w:rsidP="00B525B6">
            <w:pPr>
              <w:spacing w:after="0"/>
              <w:rPr>
                <w:rFonts w:ascii="Times New Roman" w:eastAsia="Calibri" w:hAnsi="Times New Roman" w:cs="Times New Roman"/>
                <w:sz w:val="20"/>
                <w:szCs w:val="20"/>
              </w:rPr>
            </w:pPr>
          </w:p>
          <w:p w14:paraId="5E321E94" w14:textId="77777777" w:rsidR="00D76F0C" w:rsidRPr="00D76F0C" w:rsidRDefault="00D76F0C" w:rsidP="00B525B6">
            <w:pPr>
              <w:spacing w:after="0"/>
              <w:rPr>
                <w:rFonts w:ascii="Times New Roman" w:eastAsia="Calibri" w:hAnsi="Times New Roman" w:cs="Times New Roman"/>
                <w:sz w:val="20"/>
                <w:szCs w:val="20"/>
              </w:rPr>
            </w:pPr>
          </w:p>
          <w:p w14:paraId="43CC073B" w14:textId="77777777" w:rsidR="00D76F0C" w:rsidRPr="00D76F0C" w:rsidRDefault="00D76F0C" w:rsidP="00B525B6">
            <w:pPr>
              <w:spacing w:after="0"/>
              <w:rPr>
                <w:rFonts w:ascii="Times New Roman" w:eastAsia="Calibri" w:hAnsi="Times New Roman" w:cs="Times New Roman"/>
                <w:b/>
                <w:i/>
                <w:sz w:val="20"/>
                <w:szCs w:val="20"/>
              </w:rPr>
            </w:pPr>
            <w:r w:rsidRPr="00D76F0C">
              <w:rPr>
                <w:rFonts w:ascii="Times New Roman" w:eastAsia="Calibri" w:hAnsi="Times New Roman" w:cs="Times New Roman"/>
                <w:b/>
                <w:i/>
                <w:sz w:val="20"/>
                <w:szCs w:val="20"/>
              </w:rPr>
              <w:t>Outputs</w:t>
            </w:r>
          </w:p>
        </w:tc>
        <w:tc>
          <w:tcPr>
            <w:tcW w:w="1685" w:type="dxa"/>
          </w:tcPr>
          <w:p w14:paraId="053E38C1" w14:textId="77777777" w:rsidR="00D76F0C" w:rsidRPr="00D76F0C" w:rsidRDefault="00D76F0C" w:rsidP="00B525B6">
            <w:pPr>
              <w:spacing w:after="0"/>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Número médio de estabelecimentos de saúde</w:t>
            </w:r>
          </w:p>
        </w:tc>
        <w:tc>
          <w:tcPr>
            <w:tcW w:w="1984" w:type="dxa"/>
          </w:tcPr>
          <w:p w14:paraId="3F14012E" w14:textId="77777777" w:rsidR="00D76F0C" w:rsidRPr="00D76F0C" w:rsidRDefault="00D76F0C" w:rsidP="00B525B6">
            <w:pPr>
              <w:spacing w:after="0"/>
              <w:jc w:val="both"/>
              <w:rPr>
                <w:rFonts w:ascii="Times New Roman" w:eastAsia="Calibri" w:hAnsi="Times New Roman" w:cs="Times New Roman"/>
                <w:sz w:val="20"/>
                <w:szCs w:val="20"/>
              </w:rPr>
            </w:pPr>
            <w:r w:rsidRPr="00D76F0C">
              <w:rPr>
                <w:rFonts w:ascii="Times New Roman" w:eastAsia="Calibri" w:hAnsi="Times New Roman" w:cs="Times New Roman"/>
                <w:sz w:val="20"/>
                <w:szCs w:val="20"/>
              </w:rPr>
              <w:t>Quantidade média de instalações incluídas no Cadastro Nacional dos Estabelecimentos de Saúde (CNES)</w:t>
            </w:r>
          </w:p>
        </w:tc>
        <w:tc>
          <w:tcPr>
            <w:tcW w:w="2017" w:type="dxa"/>
            <w:vMerge w:val="restart"/>
          </w:tcPr>
          <w:p w14:paraId="7D7E1CF8" w14:textId="77777777" w:rsidR="00D76F0C" w:rsidRPr="00D76F0C" w:rsidRDefault="00D76F0C" w:rsidP="00B525B6">
            <w:pPr>
              <w:spacing w:after="0"/>
              <w:rPr>
                <w:rFonts w:ascii="Times New Roman" w:eastAsia="Calibri" w:hAnsi="Times New Roman" w:cs="Times New Roman"/>
                <w:sz w:val="20"/>
                <w:szCs w:val="20"/>
              </w:rPr>
            </w:pPr>
          </w:p>
          <w:p w14:paraId="6A2A5F6F" w14:textId="77777777" w:rsidR="00D76F0C" w:rsidRPr="00D76F0C" w:rsidRDefault="00D76F0C" w:rsidP="00B525B6">
            <w:pPr>
              <w:spacing w:after="0"/>
              <w:rPr>
                <w:rFonts w:ascii="Times New Roman" w:eastAsia="Calibri" w:hAnsi="Times New Roman" w:cs="Times New Roman"/>
                <w:sz w:val="20"/>
                <w:szCs w:val="20"/>
              </w:rPr>
            </w:pPr>
          </w:p>
          <w:p w14:paraId="769C2393" w14:textId="77777777" w:rsidR="00D76F0C" w:rsidRPr="00D76F0C" w:rsidRDefault="00D76F0C" w:rsidP="00B525B6">
            <w:pPr>
              <w:spacing w:after="0"/>
              <w:rPr>
                <w:rFonts w:ascii="Times New Roman" w:eastAsia="Calibri" w:hAnsi="Times New Roman" w:cs="Times New Roman"/>
                <w:sz w:val="20"/>
                <w:szCs w:val="20"/>
              </w:rPr>
            </w:pPr>
          </w:p>
          <w:p w14:paraId="5F0DC113" w14:textId="77777777" w:rsidR="00D76F0C" w:rsidRPr="00D76F0C" w:rsidRDefault="00D76F0C" w:rsidP="00B525B6">
            <w:pPr>
              <w:spacing w:after="0"/>
              <w:rPr>
                <w:rFonts w:ascii="Times New Roman" w:eastAsia="Calibri" w:hAnsi="Times New Roman" w:cs="Times New Roman"/>
                <w:sz w:val="20"/>
                <w:szCs w:val="20"/>
              </w:rPr>
            </w:pPr>
          </w:p>
          <w:p w14:paraId="7B5F0B3B" w14:textId="77777777" w:rsidR="00D76F0C" w:rsidRPr="00D76F0C" w:rsidRDefault="00D76F0C" w:rsidP="00B525B6">
            <w:pPr>
              <w:spacing w:after="0"/>
              <w:rPr>
                <w:rFonts w:ascii="Times New Roman" w:eastAsia="Calibri" w:hAnsi="Times New Roman" w:cs="Times New Roman"/>
                <w:sz w:val="20"/>
                <w:szCs w:val="20"/>
              </w:rPr>
            </w:pPr>
          </w:p>
          <w:p w14:paraId="083ECA0D" w14:textId="77777777" w:rsidR="00D76F0C" w:rsidRPr="00D76F0C" w:rsidRDefault="00D76F0C" w:rsidP="00B525B6">
            <w:pPr>
              <w:spacing w:after="0"/>
              <w:rPr>
                <w:rFonts w:ascii="Times New Roman" w:eastAsia="Calibri" w:hAnsi="Times New Roman" w:cs="Times New Roman"/>
                <w:sz w:val="20"/>
                <w:szCs w:val="20"/>
              </w:rPr>
            </w:pPr>
            <w:r w:rsidRPr="00D76F0C">
              <w:rPr>
                <w:rFonts w:ascii="Times New Roman" w:eastAsia="Calibri" w:hAnsi="Times New Roman" w:cs="Times New Roman"/>
                <w:sz w:val="20"/>
                <w:szCs w:val="20"/>
              </w:rPr>
              <w:t>Ministério da Saúde. Departamento de Informática do Sistema Único de Saúde (DATA SUS)</w:t>
            </w:r>
          </w:p>
        </w:tc>
        <w:tc>
          <w:tcPr>
            <w:tcW w:w="2377" w:type="dxa"/>
          </w:tcPr>
          <w:p w14:paraId="6BDA12B0" w14:textId="77777777" w:rsidR="00D76F0C" w:rsidRPr="00D76F0C" w:rsidRDefault="00D76F0C" w:rsidP="00B525B6">
            <w:pPr>
              <w:spacing w:after="0"/>
              <w:rPr>
                <w:rFonts w:ascii="Times New Roman" w:eastAsia="Calibri" w:hAnsi="Times New Roman" w:cs="Times New Roman"/>
                <w:sz w:val="20"/>
                <w:szCs w:val="20"/>
              </w:rPr>
            </w:pPr>
            <w:r w:rsidRPr="00D76F0C">
              <w:rPr>
                <w:rFonts w:ascii="Times New Roman" w:eastAsia="Calibri" w:hAnsi="Times New Roman" w:cs="Times New Roman"/>
                <w:sz w:val="20"/>
                <w:szCs w:val="20"/>
              </w:rPr>
              <w:t>Schulz et al (2014); Andrett et al.  (2018); Nunes e Sousa (2019)</w:t>
            </w:r>
          </w:p>
        </w:tc>
      </w:tr>
      <w:tr w:rsidR="00D76F0C" w:rsidRPr="00D76F0C" w14:paraId="5D39ADB6" w14:textId="77777777" w:rsidTr="00A57DBF">
        <w:tc>
          <w:tcPr>
            <w:tcW w:w="1004" w:type="dxa"/>
            <w:vMerge/>
          </w:tcPr>
          <w:p w14:paraId="67A18CC2" w14:textId="77777777" w:rsidR="00D76F0C" w:rsidRPr="00D76F0C" w:rsidRDefault="00D76F0C" w:rsidP="00B525B6">
            <w:pPr>
              <w:spacing w:after="0"/>
              <w:rPr>
                <w:rFonts w:ascii="Times New Roman" w:eastAsia="Calibri" w:hAnsi="Times New Roman" w:cs="Times New Roman"/>
                <w:sz w:val="20"/>
                <w:szCs w:val="20"/>
              </w:rPr>
            </w:pPr>
          </w:p>
        </w:tc>
        <w:tc>
          <w:tcPr>
            <w:tcW w:w="1685" w:type="dxa"/>
          </w:tcPr>
          <w:p w14:paraId="3BA1D8BA" w14:textId="77777777" w:rsidR="00D76F0C" w:rsidRPr="00D76F0C" w:rsidRDefault="00D76F0C" w:rsidP="00B525B6">
            <w:pPr>
              <w:spacing w:after="0"/>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Cobertura vacinal média</w:t>
            </w:r>
          </w:p>
        </w:tc>
        <w:tc>
          <w:tcPr>
            <w:tcW w:w="1984" w:type="dxa"/>
          </w:tcPr>
          <w:p w14:paraId="4B0420C6" w14:textId="77777777" w:rsidR="00D76F0C" w:rsidRPr="00D76F0C" w:rsidRDefault="00D76F0C" w:rsidP="00B525B6">
            <w:pPr>
              <w:spacing w:after="0"/>
              <w:jc w:val="both"/>
              <w:rPr>
                <w:rFonts w:ascii="Times New Roman" w:eastAsia="Calibri" w:hAnsi="Times New Roman" w:cs="Times New Roman"/>
                <w:sz w:val="20"/>
                <w:szCs w:val="20"/>
              </w:rPr>
            </w:pPr>
            <w:r w:rsidRPr="00D76F0C">
              <w:rPr>
                <w:rFonts w:ascii="Times New Roman" w:eastAsia="Calibri" w:hAnsi="Times New Roman" w:cs="Times New Roman"/>
                <w:sz w:val="20"/>
                <w:szCs w:val="20"/>
              </w:rPr>
              <w:t>Cobertura média de imunizações em %, considerando a população alvo</w:t>
            </w:r>
          </w:p>
        </w:tc>
        <w:tc>
          <w:tcPr>
            <w:tcW w:w="2017" w:type="dxa"/>
            <w:vMerge/>
          </w:tcPr>
          <w:p w14:paraId="786A3786" w14:textId="77777777" w:rsidR="00D76F0C" w:rsidRPr="00D76F0C" w:rsidRDefault="00D76F0C" w:rsidP="00B525B6">
            <w:pPr>
              <w:spacing w:after="0"/>
              <w:rPr>
                <w:rFonts w:ascii="Times New Roman" w:eastAsia="Calibri" w:hAnsi="Times New Roman" w:cs="Times New Roman"/>
                <w:sz w:val="20"/>
                <w:szCs w:val="20"/>
              </w:rPr>
            </w:pPr>
          </w:p>
        </w:tc>
        <w:tc>
          <w:tcPr>
            <w:tcW w:w="2377" w:type="dxa"/>
          </w:tcPr>
          <w:p w14:paraId="1DE10997" w14:textId="77777777" w:rsidR="00D76F0C" w:rsidRPr="00D76F0C" w:rsidRDefault="00D76F0C" w:rsidP="00B525B6">
            <w:pPr>
              <w:spacing w:after="0"/>
              <w:rPr>
                <w:rFonts w:ascii="Times New Roman" w:eastAsia="Calibri" w:hAnsi="Times New Roman" w:cs="Times New Roman"/>
                <w:sz w:val="20"/>
                <w:szCs w:val="20"/>
              </w:rPr>
            </w:pPr>
            <w:r w:rsidRPr="00D76F0C">
              <w:rPr>
                <w:rFonts w:ascii="Times New Roman" w:eastAsia="Calibri" w:hAnsi="Times New Roman" w:cs="Times New Roman"/>
                <w:sz w:val="20"/>
                <w:szCs w:val="20"/>
              </w:rPr>
              <w:t>Duarte et al (2016).: Andrett et al. (2018</w:t>
            </w:r>
          </w:p>
        </w:tc>
      </w:tr>
      <w:tr w:rsidR="00D76F0C" w:rsidRPr="00D76F0C" w14:paraId="4E22B776" w14:textId="77777777" w:rsidTr="00B525B6">
        <w:trPr>
          <w:trHeight w:val="1741"/>
        </w:trPr>
        <w:tc>
          <w:tcPr>
            <w:tcW w:w="1004" w:type="dxa"/>
            <w:vMerge/>
          </w:tcPr>
          <w:p w14:paraId="08CA0061" w14:textId="77777777" w:rsidR="00D76F0C" w:rsidRPr="00D76F0C" w:rsidRDefault="00D76F0C" w:rsidP="00B525B6">
            <w:pPr>
              <w:spacing w:after="0"/>
              <w:rPr>
                <w:rFonts w:ascii="Times New Roman" w:eastAsia="Calibri" w:hAnsi="Times New Roman" w:cs="Times New Roman"/>
                <w:sz w:val="20"/>
                <w:szCs w:val="20"/>
              </w:rPr>
            </w:pPr>
          </w:p>
        </w:tc>
        <w:tc>
          <w:tcPr>
            <w:tcW w:w="1685" w:type="dxa"/>
          </w:tcPr>
          <w:p w14:paraId="487D33DF" w14:textId="77777777" w:rsidR="00D76F0C" w:rsidRPr="00D76F0C" w:rsidRDefault="00D76F0C" w:rsidP="00B525B6">
            <w:pPr>
              <w:spacing w:after="0"/>
              <w:rPr>
                <w:rFonts w:ascii="Times New Roman" w:eastAsia="Calibri" w:hAnsi="Times New Roman" w:cs="Times New Roman"/>
                <w:sz w:val="20"/>
                <w:szCs w:val="20"/>
              </w:rPr>
            </w:pPr>
          </w:p>
          <w:p w14:paraId="063BD96B" w14:textId="77777777" w:rsidR="00D76F0C" w:rsidRPr="00D76F0C" w:rsidRDefault="00D76F0C" w:rsidP="00B525B6">
            <w:pPr>
              <w:spacing w:after="0"/>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Número médio de médicos</w:t>
            </w:r>
          </w:p>
        </w:tc>
        <w:tc>
          <w:tcPr>
            <w:tcW w:w="1984" w:type="dxa"/>
          </w:tcPr>
          <w:p w14:paraId="41108476" w14:textId="77777777" w:rsidR="00D76F0C" w:rsidRPr="00D76F0C" w:rsidRDefault="00D76F0C" w:rsidP="00B525B6">
            <w:pPr>
              <w:spacing w:after="0"/>
              <w:jc w:val="both"/>
              <w:rPr>
                <w:rFonts w:ascii="Times New Roman" w:eastAsia="Calibri" w:hAnsi="Times New Roman" w:cs="Times New Roman"/>
                <w:sz w:val="20"/>
                <w:szCs w:val="20"/>
              </w:rPr>
            </w:pPr>
            <w:r w:rsidRPr="00D76F0C">
              <w:rPr>
                <w:rFonts w:ascii="Times New Roman" w:eastAsia="Calibri" w:hAnsi="Times New Roman" w:cs="Times New Roman"/>
                <w:sz w:val="20"/>
                <w:szCs w:val="20"/>
              </w:rPr>
              <w:t>Quantidade média de médicos do SUS incluídos no CNES, pela Classificação Brasileira de Ocupação (CBO) 2002</w:t>
            </w:r>
          </w:p>
        </w:tc>
        <w:tc>
          <w:tcPr>
            <w:tcW w:w="2017" w:type="dxa"/>
            <w:vMerge/>
          </w:tcPr>
          <w:p w14:paraId="31B66B40" w14:textId="77777777" w:rsidR="00D76F0C" w:rsidRPr="00D76F0C" w:rsidRDefault="00D76F0C" w:rsidP="00B525B6">
            <w:pPr>
              <w:spacing w:after="0"/>
              <w:rPr>
                <w:rFonts w:ascii="Times New Roman" w:eastAsia="Calibri" w:hAnsi="Times New Roman" w:cs="Times New Roman"/>
                <w:sz w:val="20"/>
                <w:szCs w:val="20"/>
              </w:rPr>
            </w:pPr>
          </w:p>
        </w:tc>
        <w:tc>
          <w:tcPr>
            <w:tcW w:w="2377" w:type="dxa"/>
          </w:tcPr>
          <w:p w14:paraId="3E3D3B8F" w14:textId="77777777" w:rsidR="00D76F0C" w:rsidRPr="00D76F0C" w:rsidRDefault="00D76F0C" w:rsidP="00B525B6">
            <w:pPr>
              <w:spacing w:after="0"/>
              <w:rPr>
                <w:rFonts w:ascii="Times New Roman" w:eastAsia="Calibri" w:hAnsi="Times New Roman" w:cs="Times New Roman"/>
                <w:sz w:val="20"/>
                <w:szCs w:val="20"/>
              </w:rPr>
            </w:pPr>
            <w:r w:rsidRPr="00D76F0C">
              <w:rPr>
                <w:rFonts w:ascii="Times New Roman" w:eastAsia="Calibri" w:hAnsi="Times New Roman" w:cs="Times New Roman"/>
                <w:sz w:val="20"/>
                <w:szCs w:val="20"/>
              </w:rPr>
              <w:t>Mazon; Mascarenhas; Dallabrida (2015); Nunes e Sousa (2019); Silva e Crozatti (2020)</w:t>
            </w:r>
          </w:p>
        </w:tc>
      </w:tr>
      <w:tr w:rsidR="00D76F0C" w:rsidRPr="00D76F0C" w14:paraId="47DA3BA9" w14:textId="77777777" w:rsidTr="00A57DBF">
        <w:tc>
          <w:tcPr>
            <w:tcW w:w="1004" w:type="dxa"/>
            <w:vMerge/>
          </w:tcPr>
          <w:p w14:paraId="24E513E5" w14:textId="77777777" w:rsidR="00D76F0C" w:rsidRPr="00D76F0C" w:rsidRDefault="00D76F0C" w:rsidP="00B525B6">
            <w:pPr>
              <w:spacing w:after="0"/>
              <w:rPr>
                <w:rFonts w:ascii="Times New Roman" w:eastAsia="Calibri" w:hAnsi="Times New Roman" w:cs="Times New Roman"/>
                <w:sz w:val="20"/>
                <w:szCs w:val="20"/>
              </w:rPr>
            </w:pPr>
          </w:p>
        </w:tc>
        <w:tc>
          <w:tcPr>
            <w:tcW w:w="1685" w:type="dxa"/>
          </w:tcPr>
          <w:p w14:paraId="0338EC7F" w14:textId="77777777" w:rsidR="00D76F0C" w:rsidRPr="00D76F0C" w:rsidRDefault="00D76F0C" w:rsidP="00B525B6">
            <w:pPr>
              <w:spacing w:after="0"/>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Número médio de equipes de saúde</w:t>
            </w:r>
          </w:p>
        </w:tc>
        <w:tc>
          <w:tcPr>
            <w:tcW w:w="1984" w:type="dxa"/>
          </w:tcPr>
          <w:p w14:paraId="39D56F5F" w14:textId="77777777" w:rsidR="00D76F0C" w:rsidRPr="00D76F0C" w:rsidRDefault="00D76F0C" w:rsidP="00B525B6">
            <w:pPr>
              <w:spacing w:after="0"/>
              <w:jc w:val="both"/>
              <w:rPr>
                <w:rFonts w:ascii="Times New Roman" w:eastAsia="Calibri" w:hAnsi="Times New Roman" w:cs="Times New Roman"/>
                <w:sz w:val="20"/>
                <w:szCs w:val="20"/>
              </w:rPr>
            </w:pPr>
            <w:r w:rsidRPr="00D76F0C">
              <w:rPr>
                <w:rFonts w:ascii="Times New Roman" w:eastAsia="Calibri" w:hAnsi="Times New Roman" w:cs="Times New Roman"/>
                <w:sz w:val="20"/>
                <w:szCs w:val="20"/>
              </w:rPr>
              <w:t>Quantidade média de equipes de saúde incluídas no CNES</w:t>
            </w:r>
          </w:p>
        </w:tc>
        <w:tc>
          <w:tcPr>
            <w:tcW w:w="2017" w:type="dxa"/>
            <w:vMerge/>
          </w:tcPr>
          <w:p w14:paraId="4C1E61EF" w14:textId="77777777" w:rsidR="00D76F0C" w:rsidRPr="00D76F0C" w:rsidRDefault="00D76F0C" w:rsidP="00B525B6">
            <w:pPr>
              <w:spacing w:after="0"/>
              <w:rPr>
                <w:rFonts w:ascii="Times New Roman" w:eastAsia="Calibri" w:hAnsi="Times New Roman" w:cs="Times New Roman"/>
                <w:sz w:val="20"/>
                <w:szCs w:val="20"/>
              </w:rPr>
            </w:pPr>
          </w:p>
        </w:tc>
        <w:tc>
          <w:tcPr>
            <w:tcW w:w="2377" w:type="dxa"/>
          </w:tcPr>
          <w:p w14:paraId="449FF72C" w14:textId="77777777" w:rsidR="00D76F0C" w:rsidRPr="00D76F0C" w:rsidRDefault="00D76F0C" w:rsidP="00B525B6">
            <w:pPr>
              <w:spacing w:after="0"/>
              <w:rPr>
                <w:rFonts w:ascii="Times New Roman" w:eastAsia="Calibri" w:hAnsi="Times New Roman" w:cs="Times New Roman"/>
                <w:sz w:val="20"/>
                <w:szCs w:val="20"/>
              </w:rPr>
            </w:pPr>
            <w:r w:rsidRPr="00D76F0C">
              <w:rPr>
                <w:rFonts w:ascii="Times New Roman" w:eastAsia="Calibri" w:hAnsi="Times New Roman" w:cs="Times New Roman"/>
                <w:sz w:val="20"/>
                <w:szCs w:val="20"/>
              </w:rPr>
              <w:t>Mazon; Mascarenhas; Dallabrida (2015)</w:t>
            </w:r>
          </w:p>
        </w:tc>
      </w:tr>
      <w:tr w:rsidR="00D76F0C" w:rsidRPr="00D76F0C" w14:paraId="14387770" w14:textId="77777777" w:rsidTr="00A57DBF">
        <w:tc>
          <w:tcPr>
            <w:tcW w:w="1004" w:type="dxa"/>
            <w:vMerge/>
          </w:tcPr>
          <w:p w14:paraId="1A2F92B8" w14:textId="77777777" w:rsidR="00D76F0C" w:rsidRPr="00D76F0C" w:rsidRDefault="00D76F0C" w:rsidP="00B525B6">
            <w:pPr>
              <w:spacing w:after="0"/>
              <w:rPr>
                <w:rFonts w:ascii="Times New Roman" w:eastAsia="Calibri" w:hAnsi="Times New Roman" w:cs="Times New Roman"/>
                <w:sz w:val="20"/>
                <w:szCs w:val="20"/>
              </w:rPr>
            </w:pPr>
          </w:p>
        </w:tc>
        <w:tc>
          <w:tcPr>
            <w:tcW w:w="1685" w:type="dxa"/>
          </w:tcPr>
          <w:p w14:paraId="2E1C6BE5" w14:textId="77777777" w:rsidR="00D76F0C" w:rsidRPr="00D76F0C" w:rsidRDefault="00D76F0C" w:rsidP="00B525B6">
            <w:pPr>
              <w:spacing w:after="0"/>
              <w:jc w:val="center"/>
              <w:rPr>
                <w:rFonts w:ascii="Times New Roman" w:eastAsia="Calibri" w:hAnsi="Times New Roman" w:cs="Times New Roman"/>
                <w:sz w:val="20"/>
                <w:szCs w:val="20"/>
              </w:rPr>
            </w:pPr>
            <w:r w:rsidRPr="00D76F0C">
              <w:rPr>
                <w:rFonts w:ascii="Times New Roman" w:eastAsia="Calibri" w:hAnsi="Times New Roman" w:cs="Times New Roman"/>
                <w:sz w:val="20"/>
                <w:szCs w:val="20"/>
              </w:rPr>
              <w:t>Produção média ambulatorial do SUS</w:t>
            </w:r>
          </w:p>
        </w:tc>
        <w:tc>
          <w:tcPr>
            <w:tcW w:w="1984" w:type="dxa"/>
          </w:tcPr>
          <w:p w14:paraId="1363FBDF" w14:textId="77777777" w:rsidR="00D76F0C" w:rsidRPr="00D76F0C" w:rsidRDefault="00D76F0C" w:rsidP="00B525B6">
            <w:pPr>
              <w:spacing w:after="0"/>
              <w:jc w:val="both"/>
              <w:rPr>
                <w:rFonts w:ascii="Times New Roman" w:eastAsia="Calibri" w:hAnsi="Times New Roman" w:cs="Times New Roman"/>
                <w:sz w:val="20"/>
                <w:szCs w:val="20"/>
              </w:rPr>
            </w:pPr>
            <w:r w:rsidRPr="00D76F0C">
              <w:rPr>
                <w:rFonts w:ascii="Times New Roman" w:eastAsia="Calibri" w:hAnsi="Times New Roman" w:cs="Times New Roman"/>
                <w:sz w:val="20"/>
                <w:szCs w:val="20"/>
              </w:rPr>
              <w:t>Quantidade média de procedimentos ambulacionais aprovados para pagamentos pela Secretaria de Saúde</w:t>
            </w:r>
          </w:p>
        </w:tc>
        <w:tc>
          <w:tcPr>
            <w:tcW w:w="2017" w:type="dxa"/>
            <w:vMerge/>
          </w:tcPr>
          <w:p w14:paraId="7DC25F04" w14:textId="77777777" w:rsidR="00D76F0C" w:rsidRPr="00D76F0C" w:rsidRDefault="00D76F0C" w:rsidP="00B525B6">
            <w:pPr>
              <w:spacing w:after="0"/>
              <w:rPr>
                <w:rFonts w:ascii="Times New Roman" w:eastAsia="Calibri" w:hAnsi="Times New Roman" w:cs="Times New Roman"/>
                <w:sz w:val="20"/>
                <w:szCs w:val="20"/>
              </w:rPr>
            </w:pPr>
          </w:p>
        </w:tc>
        <w:tc>
          <w:tcPr>
            <w:tcW w:w="2377" w:type="dxa"/>
          </w:tcPr>
          <w:p w14:paraId="24C427D2" w14:textId="77777777" w:rsidR="00D76F0C" w:rsidRPr="00D76F0C" w:rsidRDefault="00D76F0C" w:rsidP="00B525B6">
            <w:pPr>
              <w:spacing w:after="0"/>
              <w:rPr>
                <w:rFonts w:ascii="Times New Roman" w:eastAsia="Calibri" w:hAnsi="Times New Roman" w:cs="Times New Roman"/>
                <w:sz w:val="20"/>
                <w:szCs w:val="20"/>
              </w:rPr>
            </w:pPr>
            <w:r w:rsidRPr="00D76F0C">
              <w:rPr>
                <w:rFonts w:ascii="Times New Roman" w:eastAsia="Calibri" w:hAnsi="Times New Roman" w:cs="Times New Roman"/>
                <w:sz w:val="20"/>
                <w:szCs w:val="20"/>
              </w:rPr>
              <w:t>Schulz et al (2014); Duarte et al (2016); Andrett et al. (2018)</w:t>
            </w:r>
          </w:p>
        </w:tc>
      </w:tr>
    </w:tbl>
    <w:p w14:paraId="554AB67D" w14:textId="77777777" w:rsidR="00D76F0C" w:rsidRPr="00D76F0C" w:rsidRDefault="00D76F0C" w:rsidP="00D76F0C">
      <w:pPr>
        <w:spacing w:after="0" w:line="240" w:lineRule="auto"/>
        <w:jc w:val="both"/>
        <w:rPr>
          <w:rFonts w:ascii="Times New Roman" w:eastAsia="Calibri" w:hAnsi="Times New Roman" w:cs="Times New Roman"/>
          <w:sz w:val="20"/>
          <w:szCs w:val="20"/>
        </w:rPr>
      </w:pPr>
      <w:r w:rsidRPr="00D76F0C">
        <w:rPr>
          <w:rFonts w:ascii="Times New Roman" w:eastAsia="Calibri" w:hAnsi="Times New Roman" w:cs="Times New Roman"/>
          <w:sz w:val="20"/>
          <w:szCs w:val="20"/>
        </w:rPr>
        <w:t>Fonte: Elaborado pelos autores</w:t>
      </w:r>
    </w:p>
    <w:p w14:paraId="2E47B918" w14:textId="77777777" w:rsidR="00D76F0C" w:rsidRPr="00D76F0C" w:rsidRDefault="00D76F0C" w:rsidP="00D76F0C">
      <w:pPr>
        <w:spacing w:after="0" w:line="240" w:lineRule="auto"/>
        <w:jc w:val="both"/>
        <w:rPr>
          <w:rFonts w:ascii="Times New Roman" w:eastAsia="Calibri" w:hAnsi="Times New Roman" w:cs="Times New Roman"/>
          <w:sz w:val="20"/>
          <w:szCs w:val="20"/>
        </w:rPr>
      </w:pPr>
      <w:r w:rsidRPr="00D76F0C">
        <w:rPr>
          <w:rFonts w:ascii="Times New Roman" w:eastAsia="Calibri" w:hAnsi="Times New Roman" w:cs="Times New Roman"/>
          <w:sz w:val="20"/>
          <w:szCs w:val="20"/>
        </w:rPr>
        <w:t>Nota: * Todas as variáveis estão expressas em termos médios por região imediata cearense, considerando a razão por mil habitantes.</w:t>
      </w:r>
    </w:p>
    <w:p w14:paraId="1094A5D6" w14:textId="77777777" w:rsidR="00D76F0C" w:rsidRPr="00D76F0C" w:rsidRDefault="00D76F0C" w:rsidP="00D76F0C">
      <w:pPr>
        <w:spacing w:after="0" w:line="240" w:lineRule="auto"/>
        <w:jc w:val="both"/>
        <w:rPr>
          <w:rFonts w:ascii="Times New Roman" w:eastAsia="Calibri" w:hAnsi="Times New Roman" w:cs="Times New Roman"/>
          <w:sz w:val="20"/>
          <w:szCs w:val="20"/>
        </w:rPr>
      </w:pPr>
    </w:p>
    <w:p w14:paraId="067BB881" w14:textId="63E15409" w:rsidR="00E23187" w:rsidRDefault="00D76F0C" w:rsidP="00D76F0C">
      <w:pPr>
        <w:spacing w:after="0" w:line="360" w:lineRule="auto"/>
        <w:ind w:firstLine="708"/>
        <w:jc w:val="both"/>
        <w:rPr>
          <w:rFonts w:ascii="Times New Roman" w:eastAsia="Calibri" w:hAnsi="Times New Roman" w:cs="Times New Roman"/>
          <w:sz w:val="24"/>
          <w:szCs w:val="24"/>
        </w:rPr>
      </w:pPr>
      <w:r w:rsidRPr="00D76F0C">
        <w:rPr>
          <w:rFonts w:ascii="Times New Roman" w:eastAsia="Calibri" w:hAnsi="Times New Roman" w:cs="Times New Roman"/>
          <w:sz w:val="24"/>
          <w:szCs w:val="24"/>
        </w:rPr>
        <w:t xml:space="preserve">Para que não haja diferenças expressivas das variáveis consideradas nesta pesquisa devido ao tamanho distinto das regiões imediatas, as variáveis foram divididas por mil habitantes. De acordo com Schulz </w:t>
      </w:r>
      <w:r w:rsidRPr="00D76F0C">
        <w:rPr>
          <w:rFonts w:ascii="Times New Roman" w:eastAsia="Calibri" w:hAnsi="Times New Roman" w:cs="Times New Roman"/>
          <w:i/>
          <w:iCs/>
          <w:sz w:val="24"/>
          <w:szCs w:val="24"/>
        </w:rPr>
        <w:t>et al</w:t>
      </w:r>
      <w:r w:rsidRPr="00D76F0C">
        <w:rPr>
          <w:rFonts w:ascii="Times New Roman" w:eastAsia="Calibri" w:hAnsi="Times New Roman" w:cs="Times New Roman"/>
          <w:sz w:val="24"/>
          <w:szCs w:val="24"/>
        </w:rPr>
        <w:t>. (2014), esse tipo de abordagem justifica-se em razão de a despesa em saúde ser proporcional à quantidade de habitantes.</w:t>
      </w:r>
    </w:p>
    <w:p w14:paraId="0004E477" w14:textId="7788668A" w:rsidR="005F38E0" w:rsidRPr="005549E5" w:rsidRDefault="005F38E0" w:rsidP="005F38E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3</w:t>
      </w:r>
      <w:r w:rsidRPr="005549E5">
        <w:rPr>
          <w:rFonts w:ascii="Times New Roman" w:hAnsi="Times New Roman" w:cs="Times New Roman"/>
          <w:b/>
          <w:bCs/>
          <w:sz w:val="24"/>
          <w:szCs w:val="24"/>
        </w:rPr>
        <w:t xml:space="preserve"> REVISÃO DE LITERATURA</w:t>
      </w:r>
    </w:p>
    <w:p w14:paraId="56BD5F8D" w14:textId="1E6D56F5" w:rsidR="005F38E0" w:rsidRPr="00932EC3" w:rsidRDefault="005F38E0" w:rsidP="005F38E0">
      <w:pPr>
        <w:keepNext/>
        <w:keepLines/>
        <w:spacing w:after="0" w:line="240" w:lineRule="auto"/>
        <w:outlineLvl w:val="1"/>
        <w:rPr>
          <w:rFonts w:ascii="Times New Roman" w:eastAsia="Times New Roman" w:hAnsi="Times New Roman" w:cs="Times New Roman"/>
          <w:b/>
          <w:sz w:val="24"/>
          <w:szCs w:val="26"/>
        </w:rPr>
      </w:pPr>
      <w:bookmarkStart w:id="6" w:name="_Toc82209207"/>
      <w:r>
        <w:rPr>
          <w:rFonts w:ascii="Times New Roman" w:eastAsia="Times New Roman" w:hAnsi="Times New Roman" w:cs="Times New Roman"/>
          <w:b/>
          <w:sz w:val="24"/>
          <w:szCs w:val="26"/>
        </w:rPr>
        <w:t>3</w:t>
      </w:r>
      <w:r w:rsidRPr="00932EC3">
        <w:rPr>
          <w:rFonts w:ascii="Times New Roman" w:eastAsia="Times New Roman" w:hAnsi="Times New Roman" w:cs="Times New Roman"/>
          <w:b/>
          <w:sz w:val="24"/>
          <w:szCs w:val="26"/>
        </w:rPr>
        <w:t>.1 Eficiência da alocação dos gastos de saúde: evidências empíricas</w:t>
      </w:r>
      <w:bookmarkEnd w:id="6"/>
    </w:p>
    <w:p w14:paraId="3A079883" w14:textId="77777777" w:rsidR="005F38E0" w:rsidRPr="00932EC3" w:rsidRDefault="005F38E0" w:rsidP="005F38E0">
      <w:pPr>
        <w:spacing w:after="0" w:line="240" w:lineRule="auto"/>
        <w:jc w:val="both"/>
        <w:rPr>
          <w:rFonts w:ascii="Times New Roman" w:eastAsia="Calibri" w:hAnsi="Times New Roman" w:cs="Times New Roman"/>
          <w:sz w:val="24"/>
          <w:szCs w:val="24"/>
        </w:rPr>
      </w:pPr>
      <w:r w:rsidRPr="00932EC3">
        <w:rPr>
          <w:rFonts w:ascii="Times New Roman" w:eastAsia="Calibri" w:hAnsi="Times New Roman" w:cs="Times New Roman"/>
          <w:sz w:val="24"/>
          <w:szCs w:val="24"/>
        </w:rPr>
        <w:tab/>
      </w:r>
    </w:p>
    <w:p w14:paraId="5072BDB2" w14:textId="77777777" w:rsidR="005F38E0" w:rsidRPr="00932EC3" w:rsidRDefault="005F38E0" w:rsidP="005F38E0">
      <w:pPr>
        <w:spacing w:after="0" w:line="360" w:lineRule="auto"/>
        <w:ind w:firstLine="708"/>
        <w:jc w:val="both"/>
        <w:rPr>
          <w:rFonts w:ascii="Times New Roman" w:eastAsia="Calibri" w:hAnsi="Times New Roman" w:cs="Times New Roman"/>
          <w:sz w:val="24"/>
          <w:szCs w:val="24"/>
        </w:rPr>
      </w:pPr>
      <w:r w:rsidRPr="00932EC3">
        <w:rPr>
          <w:rFonts w:ascii="Times New Roman" w:eastAsia="Calibri" w:hAnsi="Times New Roman" w:cs="Times New Roman"/>
          <w:sz w:val="24"/>
          <w:szCs w:val="24"/>
        </w:rPr>
        <w:t xml:space="preserve">Buscaram-se na literatura estudos realizados com o objetivo de analisar a alocação dos gastos públicos com saúde, que utilizaram o modelo de </w:t>
      </w:r>
      <w:r w:rsidRPr="00932EC3">
        <w:rPr>
          <w:rFonts w:ascii="Times New Roman" w:eastAsia="Calibri" w:hAnsi="Times New Roman" w:cs="Times New Roman"/>
          <w:i/>
          <w:sz w:val="24"/>
          <w:szCs w:val="24"/>
        </w:rPr>
        <w:t xml:space="preserve">Data </w:t>
      </w:r>
      <w:proofErr w:type="spellStart"/>
      <w:r w:rsidRPr="00932EC3">
        <w:rPr>
          <w:rFonts w:ascii="Times New Roman" w:eastAsia="Calibri" w:hAnsi="Times New Roman" w:cs="Times New Roman"/>
          <w:i/>
          <w:sz w:val="24"/>
          <w:szCs w:val="24"/>
        </w:rPr>
        <w:t>Envelopment</w:t>
      </w:r>
      <w:proofErr w:type="spellEnd"/>
      <w:r w:rsidRPr="00932EC3">
        <w:rPr>
          <w:rFonts w:ascii="Times New Roman" w:eastAsia="Calibri" w:hAnsi="Times New Roman" w:cs="Times New Roman"/>
          <w:i/>
          <w:sz w:val="24"/>
          <w:szCs w:val="24"/>
        </w:rPr>
        <w:t xml:space="preserve"> </w:t>
      </w:r>
      <w:proofErr w:type="spellStart"/>
      <w:r w:rsidRPr="00932EC3">
        <w:rPr>
          <w:rFonts w:ascii="Times New Roman" w:eastAsia="Calibri" w:hAnsi="Times New Roman" w:cs="Times New Roman"/>
          <w:i/>
          <w:sz w:val="24"/>
          <w:szCs w:val="24"/>
        </w:rPr>
        <w:t>Analysis</w:t>
      </w:r>
      <w:proofErr w:type="spellEnd"/>
      <w:r w:rsidRPr="00932EC3">
        <w:rPr>
          <w:rFonts w:ascii="Times New Roman" w:eastAsia="Calibri" w:hAnsi="Times New Roman" w:cs="Times New Roman"/>
          <w:sz w:val="24"/>
          <w:szCs w:val="24"/>
        </w:rPr>
        <w:t xml:space="preserve"> (DEA), em português, Análise Envoltória dos Dados.</w:t>
      </w:r>
    </w:p>
    <w:p w14:paraId="5CE422EA" w14:textId="77777777" w:rsidR="005F38E0" w:rsidRPr="00932EC3" w:rsidRDefault="005F38E0" w:rsidP="005F38E0">
      <w:pPr>
        <w:spacing w:after="0" w:line="360" w:lineRule="auto"/>
        <w:jc w:val="both"/>
        <w:rPr>
          <w:rFonts w:ascii="Times New Roman" w:eastAsia="Calibri" w:hAnsi="Times New Roman" w:cs="Times New Roman"/>
          <w:sz w:val="24"/>
          <w:szCs w:val="24"/>
        </w:rPr>
      </w:pPr>
      <w:r w:rsidRPr="00932EC3">
        <w:rPr>
          <w:rFonts w:ascii="Times New Roman" w:eastAsia="Calibri" w:hAnsi="Times New Roman" w:cs="Times New Roman"/>
          <w:sz w:val="24"/>
          <w:szCs w:val="24"/>
        </w:rPr>
        <w:tab/>
        <w:t xml:space="preserve">Em âmbito internacional, </w:t>
      </w:r>
      <w:proofErr w:type="spellStart"/>
      <w:r w:rsidRPr="00932EC3">
        <w:rPr>
          <w:rFonts w:ascii="Times New Roman" w:eastAsia="Calibri" w:hAnsi="Times New Roman" w:cs="Times New Roman"/>
          <w:sz w:val="24"/>
          <w:szCs w:val="24"/>
        </w:rPr>
        <w:t>Asandului</w:t>
      </w:r>
      <w:proofErr w:type="spellEnd"/>
      <w:r w:rsidRPr="00932EC3">
        <w:rPr>
          <w:rFonts w:ascii="Times New Roman" w:eastAsia="Calibri" w:hAnsi="Times New Roman" w:cs="Times New Roman"/>
          <w:sz w:val="24"/>
          <w:szCs w:val="24"/>
        </w:rPr>
        <w:t xml:space="preserve">, Roman e </w:t>
      </w:r>
      <w:proofErr w:type="spellStart"/>
      <w:r w:rsidRPr="00932EC3">
        <w:rPr>
          <w:rFonts w:ascii="Times New Roman" w:eastAsia="Calibri" w:hAnsi="Times New Roman" w:cs="Times New Roman"/>
          <w:sz w:val="24"/>
          <w:szCs w:val="24"/>
        </w:rPr>
        <w:t>Fatulescu</w:t>
      </w:r>
      <w:proofErr w:type="spellEnd"/>
      <w:r w:rsidRPr="00932EC3">
        <w:rPr>
          <w:rFonts w:ascii="Times New Roman" w:eastAsia="Calibri" w:hAnsi="Times New Roman" w:cs="Times New Roman"/>
          <w:sz w:val="24"/>
          <w:szCs w:val="24"/>
        </w:rPr>
        <w:t xml:space="preserve"> (2014) objetivaram analisar a eficiência dos sistemas públicos de saúde de 30 países europeus para 2010 considerando dois modelos DEA (BCC e CCR), ambos com orientação ao insumo. Os resultados mostraram que o sistema público de saúde da grande maioria dos países da amostra é ineficiente, alguns são desenvolvidos e outros estão em desenvolvimento na fronteira de eficiência. Constataram também que existem países na amostra que possuíam altos PIB </w:t>
      </w:r>
      <w:r w:rsidRPr="00932EC3">
        <w:rPr>
          <w:rFonts w:ascii="Times New Roman" w:eastAsia="Calibri" w:hAnsi="Times New Roman" w:cs="Times New Roman"/>
          <w:i/>
          <w:iCs/>
          <w:sz w:val="24"/>
          <w:szCs w:val="24"/>
        </w:rPr>
        <w:t>per capita</w:t>
      </w:r>
      <w:r w:rsidRPr="00932EC3">
        <w:rPr>
          <w:rFonts w:ascii="Times New Roman" w:eastAsia="Calibri" w:hAnsi="Times New Roman" w:cs="Times New Roman"/>
          <w:sz w:val="24"/>
          <w:szCs w:val="24"/>
        </w:rPr>
        <w:t xml:space="preserve"> e que não atingiram a plena eficiência no período de estudo.</w:t>
      </w:r>
    </w:p>
    <w:p w14:paraId="371C4F43" w14:textId="77777777" w:rsidR="005F38E0" w:rsidRPr="00932EC3" w:rsidRDefault="005F38E0" w:rsidP="005F38E0">
      <w:pPr>
        <w:spacing w:after="0" w:line="360" w:lineRule="auto"/>
        <w:jc w:val="both"/>
        <w:rPr>
          <w:rFonts w:ascii="Times New Roman" w:eastAsia="Calibri" w:hAnsi="Times New Roman" w:cs="Times New Roman"/>
          <w:sz w:val="24"/>
          <w:szCs w:val="24"/>
        </w:rPr>
      </w:pPr>
      <w:r w:rsidRPr="00932EC3">
        <w:rPr>
          <w:rFonts w:ascii="Times New Roman" w:eastAsia="Calibri" w:hAnsi="Times New Roman" w:cs="Times New Roman"/>
          <w:sz w:val="24"/>
          <w:szCs w:val="24"/>
        </w:rPr>
        <w:tab/>
        <w:t>Lee (2016) fez um comparativo entre os sistemas de saúde de 28 países com competitividade global para o ano de 2013. Rodaram dois modelos (BCC e CCR), ambos com orientação insumo. A análise mostrou que, apenas seis países se mostraram plenamente eficientes no modelo BCC, e somente três no modelo CCR e concluiu que os países classificados como ineficientes devem procurar alocar melhor seus recursos para melhorar a eficiência na saúde e, assim, gerar uma qualidade de vida melhor para suas populações.</w:t>
      </w:r>
    </w:p>
    <w:p w14:paraId="54199887" w14:textId="77777777" w:rsidR="005F38E0" w:rsidRPr="00932EC3" w:rsidRDefault="005F38E0" w:rsidP="005F38E0">
      <w:pPr>
        <w:spacing w:after="0" w:line="360" w:lineRule="auto"/>
        <w:jc w:val="both"/>
        <w:rPr>
          <w:rFonts w:ascii="Times New Roman" w:eastAsia="Calibri" w:hAnsi="Times New Roman" w:cs="Times New Roman"/>
          <w:sz w:val="24"/>
          <w:szCs w:val="24"/>
        </w:rPr>
      </w:pPr>
      <w:r w:rsidRPr="00932EC3">
        <w:rPr>
          <w:rFonts w:ascii="Times New Roman" w:eastAsia="Calibri" w:hAnsi="Times New Roman" w:cs="Times New Roman"/>
          <w:sz w:val="24"/>
          <w:szCs w:val="24"/>
        </w:rPr>
        <w:tab/>
        <w:t xml:space="preserve">Zhou </w:t>
      </w:r>
      <w:r w:rsidRPr="00932EC3">
        <w:rPr>
          <w:rFonts w:ascii="Times New Roman" w:eastAsia="Calibri" w:hAnsi="Times New Roman" w:cs="Times New Roman"/>
          <w:i/>
          <w:sz w:val="24"/>
          <w:szCs w:val="24"/>
        </w:rPr>
        <w:t>et al.</w:t>
      </w:r>
      <w:r w:rsidRPr="00932EC3">
        <w:rPr>
          <w:rFonts w:ascii="Times New Roman" w:eastAsia="Calibri" w:hAnsi="Times New Roman" w:cs="Times New Roman"/>
          <w:sz w:val="24"/>
          <w:szCs w:val="24"/>
        </w:rPr>
        <w:t xml:space="preserve"> (2020) analisaram as eficiências dos gastos públicos de saúde e seus fatores determinantes em 21 países emergentes no período de 2000 a 2018. Utilizaram três modelos no estudo (DEA, </w:t>
      </w:r>
      <w:proofErr w:type="spellStart"/>
      <w:r w:rsidRPr="00932EC3">
        <w:rPr>
          <w:rFonts w:ascii="Times New Roman" w:eastAsia="Calibri" w:hAnsi="Times New Roman" w:cs="Times New Roman"/>
          <w:sz w:val="24"/>
          <w:szCs w:val="24"/>
        </w:rPr>
        <w:t>Tobit</w:t>
      </w:r>
      <w:proofErr w:type="spellEnd"/>
      <w:r w:rsidRPr="00932EC3">
        <w:rPr>
          <w:rFonts w:ascii="Times New Roman" w:eastAsia="Calibri" w:hAnsi="Times New Roman" w:cs="Times New Roman"/>
          <w:sz w:val="24"/>
          <w:szCs w:val="24"/>
        </w:rPr>
        <w:t xml:space="preserve"> e teste de regressão de </w:t>
      </w:r>
      <w:proofErr w:type="spellStart"/>
      <w:r w:rsidRPr="00932EC3">
        <w:rPr>
          <w:rFonts w:ascii="Times New Roman" w:eastAsia="Calibri" w:hAnsi="Times New Roman" w:cs="Times New Roman"/>
          <w:sz w:val="24"/>
          <w:szCs w:val="24"/>
        </w:rPr>
        <w:t>Simar</w:t>
      </w:r>
      <w:proofErr w:type="spellEnd"/>
      <w:r w:rsidRPr="00932EC3">
        <w:rPr>
          <w:rFonts w:ascii="Times New Roman" w:eastAsia="Calibri" w:hAnsi="Times New Roman" w:cs="Times New Roman"/>
          <w:sz w:val="24"/>
          <w:szCs w:val="24"/>
        </w:rPr>
        <w:t>-Wilson). O estudo foi realizado em duas etapas, sendo que, na primeira, calcularam-se os escores de eficiência e, na segunda, identificaram-se os fatores determinantes da eficiência. Para o DEA, foram utilizados os modelos BCC e CCR Os resultados mostraram que, de modo geral, países de renda alta possuem maiores desempenhos na aplicação dos recursos em saúde. Porém, existem alguns ineficientes, e outros de renda baixa, como a Índia, mostraram-se eficientes no período. Verificaram também que a corrupção reduz a eficiência na alocação dos gastos, enquanto a educação e a interação entre P&amp;D e médicos influenciam positivamente a eficiência nos gastos públicos com a saúde.</w:t>
      </w:r>
    </w:p>
    <w:p w14:paraId="74FD4F0D" w14:textId="77777777" w:rsidR="005F38E0" w:rsidRPr="00932EC3" w:rsidRDefault="005F38E0" w:rsidP="005F38E0">
      <w:pPr>
        <w:spacing w:after="0" w:line="360" w:lineRule="auto"/>
        <w:jc w:val="both"/>
        <w:rPr>
          <w:rFonts w:ascii="Times New Roman" w:eastAsia="Calibri" w:hAnsi="Times New Roman" w:cs="Times New Roman"/>
          <w:sz w:val="24"/>
          <w:szCs w:val="24"/>
        </w:rPr>
      </w:pPr>
      <w:r w:rsidRPr="00932EC3">
        <w:rPr>
          <w:rFonts w:ascii="Times New Roman" w:eastAsia="Calibri" w:hAnsi="Times New Roman" w:cs="Times New Roman"/>
          <w:sz w:val="24"/>
          <w:szCs w:val="24"/>
        </w:rPr>
        <w:lastRenderedPageBreak/>
        <w:tab/>
        <w:t xml:space="preserve">Em escala nacional, </w:t>
      </w:r>
      <w:proofErr w:type="spellStart"/>
      <w:r w:rsidRPr="00932EC3">
        <w:rPr>
          <w:rFonts w:ascii="Times New Roman" w:eastAsia="Calibri" w:hAnsi="Times New Roman" w:cs="Times New Roman"/>
          <w:sz w:val="24"/>
          <w:szCs w:val="24"/>
        </w:rPr>
        <w:t>Andrett</w:t>
      </w:r>
      <w:proofErr w:type="spellEnd"/>
      <w:r w:rsidRPr="00932EC3">
        <w:rPr>
          <w:rFonts w:ascii="Times New Roman" w:eastAsia="Calibri" w:hAnsi="Times New Roman" w:cs="Times New Roman"/>
          <w:sz w:val="24"/>
          <w:szCs w:val="24"/>
        </w:rPr>
        <w:t xml:space="preserve"> </w:t>
      </w:r>
      <w:r w:rsidRPr="00932EC3">
        <w:rPr>
          <w:rFonts w:ascii="Times New Roman" w:eastAsia="Calibri" w:hAnsi="Times New Roman" w:cs="Times New Roman"/>
          <w:i/>
          <w:sz w:val="24"/>
          <w:szCs w:val="24"/>
        </w:rPr>
        <w:t>et al.</w:t>
      </w:r>
      <w:r w:rsidRPr="00932EC3">
        <w:rPr>
          <w:rFonts w:ascii="Times New Roman" w:eastAsia="Calibri" w:hAnsi="Times New Roman" w:cs="Times New Roman"/>
          <w:sz w:val="24"/>
          <w:szCs w:val="24"/>
        </w:rPr>
        <w:t xml:space="preserve"> (2018) analisaram a eficiência no gasto público em saúde em 27 Unidades Federativas do Brasil de 2005 a 2014, mediante DEA CCR, com orientação produto. A análise mostrou que apenas o Maranhão apresentou-se eficiente ao longo do período estudado, sendo o Ceará eficiente apenas nos anos de 2008, 2010, 2011 e 2014 e nove estados foram eficientes em pelo menos um ano da análise. </w:t>
      </w:r>
    </w:p>
    <w:p w14:paraId="34CEA806" w14:textId="77777777" w:rsidR="005F38E0" w:rsidRPr="00932EC3" w:rsidRDefault="005F38E0" w:rsidP="005F38E0">
      <w:pPr>
        <w:spacing w:after="0" w:line="360" w:lineRule="auto"/>
        <w:jc w:val="both"/>
        <w:rPr>
          <w:rFonts w:ascii="Calibri" w:eastAsia="Calibri" w:hAnsi="Calibri" w:cs="Times New Roman"/>
        </w:rPr>
      </w:pPr>
      <w:r w:rsidRPr="00932EC3">
        <w:rPr>
          <w:rFonts w:ascii="Times New Roman" w:eastAsia="Calibri" w:hAnsi="Times New Roman" w:cs="Times New Roman"/>
          <w:sz w:val="24"/>
          <w:szCs w:val="24"/>
        </w:rPr>
        <w:tab/>
      </w:r>
      <w:proofErr w:type="spellStart"/>
      <w:r w:rsidRPr="00932EC3">
        <w:rPr>
          <w:rFonts w:ascii="Times New Roman" w:eastAsia="Calibri" w:hAnsi="Times New Roman" w:cs="Times New Roman"/>
          <w:sz w:val="24"/>
          <w:szCs w:val="24"/>
        </w:rPr>
        <w:t>Portulhak</w:t>
      </w:r>
      <w:proofErr w:type="spellEnd"/>
      <w:r w:rsidRPr="00932EC3">
        <w:rPr>
          <w:rFonts w:ascii="Times New Roman" w:eastAsia="Calibri" w:hAnsi="Times New Roman" w:cs="Times New Roman"/>
          <w:sz w:val="24"/>
          <w:szCs w:val="24"/>
        </w:rPr>
        <w:t xml:space="preserve">, </w:t>
      </w:r>
      <w:proofErr w:type="spellStart"/>
      <w:r w:rsidRPr="00932EC3">
        <w:rPr>
          <w:rFonts w:ascii="Times New Roman" w:eastAsia="Calibri" w:hAnsi="Times New Roman" w:cs="Times New Roman"/>
          <w:sz w:val="24"/>
          <w:szCs w:val="24"/>
        </w:rPr>
        <w:t>Raffaelli</w:t>
      </w:r>
      <w:proofErr w:type="spellEnd"/>
      <w:r w:rsidRPr="00932EC3">
        <w:rPr>
          <w:rFonts w:ascii="Times New Roman" w:eastAsia="Calibri" w:hAnsi="Times New Roman" w:cs="Times New Roman"/>
          <w:sz w:val="24"/>
          <w:szCs w:val="24"/>
        </w:rPr>
        <w:t xml:space="preserve"> e Scarpin (2018) estudaram uma amostra de 4.598 municípios brasileiros no período de </w:t>
      </w:r>
      <w:r w:rsidRPr="00932EC3">
        <w:rPr>
          <w:rFonts w:ascii="Times New Roman" w:eastAsia="Calibri" w:hAnsi="Times New Roman" w:cs="Times New Roman"/>
        </w:rPr>
        <w:t>2006 a 2010</w:t>
      </w:r>
      <w:r w:rsidRPr="00932EC3">
        <w:rPr>
          <w:rFonts w:ascii="Times New Roman" w:eastAsia="Calibri" w:hAnsi="Times New Roman" w:cs="Times New Roman"/>
          <w:sz w:val="24"/>
          <w:szCs w:val="24"/>
        </w:rPr>
        <w:t>, considerando o modelo CCR. Os resultados revelaram que 6,1% (281) dos municípios foram eficientes na alocação de insumos. Verificaram também que possuir maior Índice de Desempenho do Sistema Único de Saúde (IDSUS) não significa ser mais eficiente em saúde que os demais municípios.</w:t>
      </w:r>
    </w:p>
    <w:p w14:paraId="7710C338" w14:textId="77777777" w:rsidR="005F38E0" w:rsidRPr="00932EC3" w:rsidRDefault="005F38E0" w:rsidP="005F38E0">
      <w:pPr>
        <w:spacing w:after="0" w:line="360" w:lineRule="auto"/>
        <w:ind w:firstLine="708"/>
        <w:jc w:val="both"/>
        <w:rPr>
          <w:rFonts w:ascii="Times New Roman" w:eastAsia="Calibri" w:hAnsi="Times New Roman" w:cs="Times New Roman"/>
          <w:sz w:val="24"/>
          <w:szCs w:val="24"/>
        </w:rPr>
      </w:pPr>
      <w:r w:rsidRPr="00932EC3">
        <w:rPr>
          <w:rFonts w:ascii="Times New Roman" w:eastAsia="Calibri" w:hAnsi="Times New Roman" w:cs="Times New Roman"/>
          <w:sz w:val="24"/>
          <w:szCs w:val="24"/>
        </w:rPr>
        <w:t xml:space="preserve">Em termos de estados brasileiros, </w:t>
      </w:r>
      <w:proofErr w:type="spellStart"/>
      <w:r w:rsidRPr="00932EC3">
        <w:rPr>
          <w:rFonts w:ascii="Times New Roman" w:eastAsia="Calibri" w:hAnsi="Times New Roman" w:cs="Times New Roman"/>
          <w:sz w:val="24"/>
          <w:szCs w:val="24"/>
        </w:rPr>
        <w:t>Mazon</w:t>
      </w:r>
      <w:proofErr w:type="spellEnd"/>
      <w:r w:rsidRPr="00932EC3">
        <w:rPr>
          <w:rFonts w:ascii="Times New Roman" w:eastAsia="Calibri" w:hAnsi="Times New Roman" w:cs="Times New Roman"/>
          <w:sz w:val="24"/>
          <w:szCs w:val="24"/>
        </w:rPr>
        <w:t xml:space="preserve">; Mascarenhas; </w:t>
      </w:r>
      <w:proofErr w:type="spellStart"/>
      <w:r w:rsidRPr="00932EC3">
        <w:rPr>
          <w:rFonts w:ascii="Times New Roman" w:eastAsia="Calibri" w:hAnsi="Times New Roman" w:cs="Times New Roman"/>
          <w:sz w:val="24"/>
          <w:szCs w:val="24"/>
        </w:rPr>
        <w:t>Dallabrida</w:t>
      </w:r>
      <w:proofErr w:type="spellEnd"/>
      <w:r w:rsidRPr="00932EC3">
        <w:rPr>
          <w:rFonts w:ascii="Times New Roman" w:eastAsia="Calibri" w:hAnsi="Times New Roman" w:cs="Times New Roman"/>
          <w:sz w:val="24"/>
          <w:szCs w:val="24"/>
        </w:rPr>
        <w:t xml:space="preserve"> (2015) direcionaram o estudo para os municípios pertencentes a 25ª região de saúde de Santa Catarina para 2010 mediante o modelo CCR com orientação insumo. Os resultados mostraram que naquele ano apenas o município Monte Castelo apresentou-se como eficiente, quando comparado aos demais municípios.</w:t>
      </w:r>
    </w:p>
    <w:p w14:paraId="591E41C4" w14:textId="77777777" w:rsidR="005F38E0" w:rsidRPr="00932EC3" w:rsidRDefault="005F38E0" w:rsidP="005F38E0">
      <w:pPr>
        <w:spacing w:after="0" w:line="360" w:lineRule="auto"/>
        <w:jc w:val="both"/>
        <w:rPr>
          <w:rFonts w:ascii="Times New Roman" w:eastAsia="Calibri" w:hAnsi="Times New Roman" w:cs="Times New Roman"/>
          <w:sz w:val="24"/>
          <w:szCs w:val="24"/>
        </w:rPr>
      </w:pPr>
      <w:r w:rsidRPr="00932EC3">
        <w:rPr>
          <w:rFonts w:ascii="Times New Roman" w:eastAsia="Calibri" w:hAnsi="Times New Roman" w:cs="Times New Roman"/>
          <w:sz w:val="24"/>
          <w:szCs w:val="24"/>
        </w:rPr>
        <w:tab/>
        <w:t xml:space="preserve">Duarte </w:t>
      </w:r>
      <w:r w:rsidRPr="00932EC3">
        <w:rPr>
          <w:rFonts w:ascii="Times New Roman" w:eastAsia="Calibri" w:hAnsi="Times New Roman" w:cs="Times New Roman"/>
          <w:i/>
          <w:sz w:val="24"/>
          <w:szCs w:val="24"/>
        </w:rPr>
        <w:t>et al</w:t>
      </w:r>
      <w:r w:rsidRPr="00932EC3">
        <w:rPr>
          <w:rFonts w:ascii="Times New Roman" w:eastAsia="Calibri" w:hAnsi="Times New Roman" w:cs="Times New Roman"/>
          <w:sz w:val="24"/>
          <w:szCs w:val="24"/>
        </w:rPr>
        <w:t xml:space="preserve"> (2016) analisaram a eficiência para os municípios do estado do Paraná em 2014 utilizando o método BCC com orientação produto. A pesquisa mostrou que 19,7% dos municípios apresentaram nível de eficiência excelente; 61,1% bons níveis e 19,2% mostraram-se fracamente eficientes no ano estudado e que os municípios menos populosos e com menores PIB podem ser os mais eficientes.</w:t>
      </w:r>
    </w:p>
    <w:p w14:paraId="78CDD0F2" w14:textId="77777777" w:rsidR="005F38E0" w:rsidRPr="00932EC3" w:rsidRDefault="005F38E0" w:rsidP="005F38E0">
      <w:pPr>
        <w:spacing w:after="0" w:line="360" w:lineRule="auto"/>
        <w:ind w:firstLine="708"/>
        <w:jc w:val="both"/>
        <w:rPr>
          <w:rFonts w:ascii="Times New Roman" w:eastAsia="Calibri" w:hAnsi="Times New Roman" w:cs="Times New Roman"/>
          <w:sz w:val="24"/>
          <w:szCs w:val="24"/>
        </w:rPr>
      </w:pPr>
      <w:r w:rsidRPr="00932EC3">
        <w:rPr>
          <w:rFonts w:ascii="Times New Roman" w:eastAsia="Calibri" w:hAnsi="Times New Roman" w:cs="Times New Roman"/>
          <w:sz w:val="24"/>
          <w:szCs w:val="24"/>
        </w:rPr>
        <w:t xml:space="preserve">Ainda em nível estadual, Lopes (2017) estudou as regiões de saúde (RS), do Estado de Minas Gerais, no período de 2010 a 2014 mediante os modelos CCR e BCC com orientação produto. Por meio da agregação em 13 regiões de saúde (RS), constatou que apenas duas delas foram eficientes em todo o período e três foram consideradas ineficientes. Em seguida, aplicou o modelo para 77 regiões de saúde e obtiveram que 28 RS apresentaram eficiência técnica em 2010; 33 RS, em 2011; 42 RS, em 2012; 29 RS, em 2013; e 22 RS, em 2014. </w:t>
      </w:r>
    </w:p>
    <w:p w14:paraId="0AD5BE77" w14:textId="77777777" w:rsidR="005F38E0" w:rsidRPr="00932EC3" w:rsidRDefault="005F38E0" w:rsidP="005F38E0">
      <w:pPr>
        <w:spacing w:after="0" w:line="360" w:lineRule="auto"/>
        <w:ind w:firstLine="708"/>
        <w:jc w:val="both"/>
        <w:rPr>
          <w:rFonts w:ascii="Times New Roman" w:eastAsia="Calibri" w:hAnsi="Times New Roman" w:cs="Times New Roman"/>
          <w:sz w:val="24"/>
          <w:szCs w:val="24"/>
        </w:rPr>
      </w:pPr>
      <w:r w:rsidRPr="00932EC3">
        <w:rPr>
          <w:rFonts w:ascii="Times New Roman" w:eastAsia="Calibri" w:hAnsi="Times New Roman" w:cs="Times New Roman"/>
          <w:sz w:val="24"/>
          <w:szCs w:val="24"/>
        </w:rPr>
        <w:t xml:space="preserve">Santos Neto </w:t>
      </w:r>
      <w:r w:rsidRPr="00932EC3">
        <w:rPr>
          <w:rFonts w:ascii="Times New Roman" w:eastAsia="Calibri" w:hAnsi="Times New Roman" w:cs="Times New Roman"/>
          <w:i/>
          <w:sz w:val="24"/>
          <w:szCs w:val="24"/>
        </w:rPr>
        <w:t>et al.</w:t>
      </w:r>
      <w:r w:rsidRPr="00932EC3">
        <w:rPr>
          <w:rFonts w:ascii="Times New Roman" w:eastAsia="Calibri" w:hAnsi="Times New Roman" w:cs="Times New Roman"/>
          <w:sz w:val="24"/>
          <w:szCs w:val="24"/>
        </w:rPr>
        <w:t xml:space="preserve"> (2019) analisaram a eficiência técnica para os municípios da região de saúde Rota dos Bandeirantes de São Paulo de 2009 a 2012 e constataram que apenas o município de Barueri atingiu eficiência técnica alta. O estudo também mostrou que os </w:t>
      </w:r>
      <w:r w:rsidRPr="00932EC3">
        <w:rPr>
          <w:rFonts w:ascii="Times New Roman" w:eastAsia="Calibri" w:hAnsi="Times New Roman" w:cs="Times New Roman"/>
          <w:sz w:val="24"/>
          <w:szCs w:val="24"/>
        </w:rPr>
        <w:lastRenderedPageBreak/>
        <w:t>municípios com maiores gastos e receitas atingiram os melhores resultados na eficiência técnica e que alguns municípios de pequena estrutura apresentaram melhores desempenhos que outros com estrutura superior.</w:t>
      </w:r>
    </w:p>
    <w:p w14:paraId="44F89A18" w14:textId="77777777" w:rsidR="005F38E0" w:rsidRPr="00932EC3" w:rsidRDefault="005F38E0" w:rsidP="005F38E0">
      <w:pPr>
        <w:spacing w:after="0" w:line="360" w:lineRule="auto"/>
        <w:jc w:val="both"/>
        <w:rPr>
          <w:rFonts w:ascii="Times New Roman" w:eastAsia="Calibri" w:hAnsi="Times New Roman" w:cs="Times New Roman"/>
          <w:sz w:val="24"/>
          <w:szCs w:val="24"/>
        </w:rPr>
      </w:pPr>
      <w:r w:rsidRPr="00932EC3">
        <w:rPr>
          <w:rFonts w:ascii="Times New Roman" w:eastAsia="Calibri" w:hAnsi="Times New Roman" w:cs="Times New Roman"/>
          <w:sz w:val="24"/>
          <w:szCs w:val="24"/>
        </w:rPr>
        <w:tab/>
      </w:r>
      <w:proofErr w:type="spellStart"/>
      <w:r w:rsidRPr="00932EC3">
        <w:rPr>
          <w:rFonts w:ascii="Times New Roman" w:eastAsia="Calibri" w:hAnsi="Times New Roman" w:cs="Times New Roman"/>
          <w:sz w:val="24"/>
          <w:szCs w:val="24"/>
        </w:rPr>
        <w:t>Brinckmann</w:t>
      </w:r>
      <w:proofErr w:type="spellEnd"/>
      <w:r w:rsidRPr="00932EC3">
        <w:rPr>
          <w:rFonts w:ascii="Times New Roman" w:eastAsia="Calibri" w:hAnsi="Times New Roman" w:cs="Times New Roman"/>
          <w:sz w:val="24"/>
          <w:szCs w:val="24"/>
        </w:rPr>
        <w:t xml:space="preserve"> </w:t>
      </w:r>
      <w:r w:rsidRPr="00932EC3">
        <w:rPr>
          <w:rFonts w:ascii="Times New Roman" w:eastAsia="Calibri" w:hAnsi="Times New Roman" w:cs="Times New Roman"/>
          <w:i/>
          <w:sz w:val="24"/>
          <w:szCs w:val="24"/>
        </w:rPr>
        <w:t>et al.</w:t>
      </w:r>
      <w:r w:rsidRPr="00932EC3">
        <w:rPr>
          <w:rFonts w:ascii="Times New Roman" w:eastAsia="Calibri" w:hAnsi="Times New Roman" w:cs="Times New Roman"/>
          <w:sz w:val="24"/>
          <w:szCs w:val="24"/>
        </w:rPr>
        <w:t xml:space="preserve"> (2019) analisaram os municípios do estado de Santa Catarina de 2008 a 2014 utilizando os modelos BCC e CCR. Os resultados apresentaram que apenas dois municípios foram eficientes em 100%, e nove de 258 se mostraram menos eficientes, o que torna o resultado insatisfatório, indicando a necessidade de melhoria na aplicação de recursos públicos na saúde em Santa Catarina.</w:t>
      </w:r>
    </w:p>
    <w:p w14:paraId="103C73C5" w14:textId="77777777" w:rsidR="005F38E0" w:rsidRPr="00932EC3" w:rsidRDefault="005F38E0" w:rsidP="005F38E0">
      <w:pPr>
        <w:spacing w:after="0" w:line="360" w:lineRule="auto"/>
        <w:ind w:firstLine="708"/>
        <w:jc w:val="both"/>
        <w:rPr>
          <w:rFonts w:ascii="Times New Roman" w:eastAsia="Calibri" w:hAnsi="Times New Roman" w:cs="Times New Roman"/>
          <w:sz w:val="24"/>
          <w:szCs w:val="24"/>
        </w:rPr>
      </w:pPr>
      <w:r w:rsidRPr="00932EC3">
        <w:rPr>
          <w:rFonts w:ascii="Times New Roman" w:eastAsia="Calibri" w:hAnsi="Times New Roman" w:cs="Times New Roman"/>
          <w:sz w:val="24"/>
          <w:szCs w:val="24"/>
        </w:rPr>
        <w:t xml:space="preserve">Silva e </w:t>
      </w:r>
      <w:proofErr w:type="spellStart"/>
      <w:r w:rsidRPr="00932EC3">
        <w:rPr>
          <w:rFonts w:ascii="Times New Roman" w:eastAsia="Calibri" w:hAnsi="Times New Roman" w:cs="Times New Roman"/>
          <w:sz w:val="24"/>
          <w:szCs w:val="24"/>
        </w:rPr>
        <w:t>Crozatti</w:t>
      </w:r>
      <w:proofErr w:type="spellEnd"/>
      <w:r w:rsidRPr="00932EC3">
        <w:rPr>
          <w:rFonts w:ascii="Times New Roman" w:eastAsia="Calibri" w:hAnsi="Times New Roman" w:cs="Times New Roman"/>
          <w:sz w:val="24"/>
          <w:szCs w:val="24"/>
        </w:rPr>
        <w:t xml:space="preserve"> (2020) fizeram o estudo para os municípios do estado de São Paulo para 2018, considerando o modelo BCC com orientação produto. Os municípios também foram agrupados em </w:t>
      </w:r>
      <w:r w:rsidRPr="00932EC3">
        <w:rPr>
          <w:rFonts w:ascii="Times New Roman" w:eastAsia="Calibri" w:hAnsi="Times New Roman" w:cs="Times New Roman"/>
          <w:i/>
          <w:iCs/>
          <w:sz w:val="24"/>
          <w:szCs w:val="24"/>
        </w:rPr>
        <w:t>clusters</w:t>
      </w:r>
      <w:r w:rsidRPr="00932EC3">
        <w:rPr>
          <w:rFonts w:ascii="Times New Roman" w:eastAsia="Calibri" w:hAnsi="Times New Roman" w:cs="Times New Roman"/>
          <w:sz w:val="24"/>
          <w:szCs w:val="24"/>
        </w:rPr>
        <w:t>, conforme a população e o PIB nominal. Os resultados revelaram que 104 municípios foram eficientes, ao passo que quatro tiveram eficiência muito baixa.</w:t>
      </w:r>
    </w:p>
    <w:p w14:paraId="7A32195D" w14:textId="77777777" w:rsidR="005F38E0" w:rsidRPr="00932EC3" w:rsidRDefault="005F38E0" w:rsidP="005F38E0">
      <w:pPr>
        <w:spacing w:after="0" w:line="360" w:lineRule="auto"/>
        <w:jc w:val="both"/>
        <w:rPr>
          <w:rFonts w:ascii="Times New Roman" w:eastAsia="Calibri" w:hAnsi="Times New Roman" w:cs="Times New Roman"/>
          <w:sz w:val="24"/>
          <w:szCs w:val="24"/>
        </w:rPr>
      </w:pPr>
      <w:r w:rsidRPr="00932EC3">
        <w:rPr>
          <w:rFonts w:ascii="Times New Roman" w:eastAsia="Calibri" w:hAnsi="Times New Roman" w:cs="Times New Roman"/>
          <w:sz w:val="24"/>
          <w:szCs w:val="24"/>
        </w:rPr>
        <w:tab/>
        <w:t xml:space="preserve">Para o estado do Ceará, Nunes e Sousa (2019) avaliaram as eficiências técnica e de escala para uma amostra de 162 municípios para 2013 por meio de DEA CCR e BCC com orientação produto. Além de procederem a análise para os municípios, os níveis de eficiência obtidos também foram agregados, segundo mesorregiões, e analisados em termos do PIB </w:t>
      </w:r>
      <w:r w:rsidRPr="00932EC3">
        <w:rPr>
          <w:rFonts w:ascii="Times New Roman" w:eastAsia="Calibri" w:hAnsi="Times New Roman" w:cs="Times New Roman"/>
          <w:i/>
          <w:iCs/>
          <w:sz w:val="24"/>
          <w:szCs w:val="24"/>
        </w:rPr>
        <w:t>per capita</w:t>
      </w:r>
      <w:r w:rsidRPr="00932EC3">
        <w:rPr>
          <w:rFonts w:ascii="Times New Roman" w:eastAsia="Calibri" w:hAnsi="Times New Roman" w:cs="Times New Roman"/>
          <w:sz w:val="24"/>
          <w:szCs w:val="24"/>
        </w:rPr>
        <w:t xml:space="preserve"> e população. Constataram que a maioria dos municípios registrou retornos decrescentes de escala e que não necessariamente os municípios localizados em mesorregiões mais desenvolvidas, com maiores </w:t>
      </w:r>
      <w:proofErr w:type="spellStart"/>
      <w:r w:rsidRPr="00932EC3">
        <w:rPr>
          <w:rFonts w:ascii="Times New Roman" w:eastAsia="Calibri" w:hAnsi="Times New Roman" w:cs="Times New Roman"/>
          <w:sz w:val="24"/>
          <w:szCs w:val="24"/>
        </w:rPr>
        <w:t>PIB’s</w:t>
      </w:r>
      <w:proofErr w:type="spellEnd"/>
      <w:r w:rsidRPr="00932EC3">
        <w:rPr>
          <w:rFonts w:ascii="Times New Roman" w:eastAsia="Calibri" w:hAnsi="Times New Roman" w:cs="Times New Roman"/>
          <w:sz w:val="24"/>
          <w:szCs w:val="24"/>
        </w:rPr>
        <w:t xml:space="preserve"> e maiores populações, apresentaram melhores níveis de eficiência na aplicação dos recursos públicos em saúde.</w:t>
      </w:r>
    </w:p>
    <w:p w14:paraId="6F040BF4" w14:textId="77777777" w:rsidR="005F38E0" w:rsidRPr="00932EC3" w:rsidRDefault="005F38E0" w:rsidP="005F38E0">
      <w:pPr>
        <w:spacing w:after="0" w:line="360" w:lineRule="auto"/>
        <w:ind w:firstLine="708"/>
        <w:jc w:val="both"/>
        <w:rPr>
          <w:rFonts w:ascii="Times New Roman" w:eastAsia="Calibri" w:hAnsi="Times New Roman" w:cs="Times New Roman"/>
          <w:sz w:val="24"/>
          <w:szCs w:val="24"/>
        </w:rPr>
      </w:pPr>
      <w:r w:rsidRPr="00932EC3">
        <w:rPr>
          <w:rFonts w:ascii="Times New Roman" w:eastAsia="Calibri" w:hAnsi="Times New Roman" w:cs="Times New Roman"/>
          <w:sz w:val="24"/>
          <w:szCs w:val="24"/>
        </w:rPr>
        <w:t xml:space="preserve">Oliveira, Mota e Vasconcelos (2020) analisaram os 35 municípios mais populosos do estado do Ceará no período de 2016 e 2017, com o modelo BCC com orientação </w:t>
      </w:r>
      <w:r w:rsidRPr="00932EC3">
        <w:rPr>
          <w:rFonts w:ascii="Times New Roman" w:eastAsia="Calibri" w:hAnsi="Times New Roman" w:cs="Times New Roman"/>
          <w:i/>
          <w:sz w:val="24"/>
          <w:szCs w:val="24"/>
        </w:rPr>
        <w:t>output</w:t>
      </w:r>
      <w:r w:rsidRPr="00932EC3">
        <w:rPr>
          <w:rFonts w:ascii="Times New Roman" w:eastAsia="Calibri" w:hAnsi="Times New Roman" w:cs="Times New Roman"/>
          <w:sz w:val="24"/>
          <w:szCs w:val="24"/>
        </w:rPr>
        <w:t xml:space="preserve">. Os resultados mostraram que 82,86% da amostra apresentaram os mais altos escores de eficiência de escala (81≤ EE ≤100) em 2016 e 77,14%, em 2017. Aplicaram também uma análise de correlação, para mostrar a relação existente entre a eficiência de escala para o ano de 2017, e o Produto Interno Bruto (PIB) </w:t>
      </w:r>
      <w:r w:rsidRPr="00932EC3">
        <w:rPr>
          <w:rFonts w:ascii="Times New Roman" w:eastAsia="Calibri" w:hAnsi="Times New Roman" w:cs="Times New Roman"/>
          <w:i/>
          <w:sz w:val="24"/>
          <w:szCs w:val="24"/>
        </w:rPr>
        <w:t>per capita</w:t>
      </w:r>
      <w:r w:rsidRPr="00932EC3">
        <w:rPr>
          <w:rFonts w:ascii="Times New Roman" w:eastAsia="Calibri" w:hAnsi="Times New Roman" w:cs="Times New Roman"/>
          <w:sz w:val="24"/>
          <w:szCs w:val="24"/>
        </w:rPr>
        <w:t xml:space="preserve"> de cada município. Constataram que os municípios mais populosos são os menos eficientes, e, dessa forma, os menos populosos possuem mais eficiência e que a eficiência obtida possui correlação negativa com o PIB </w:t>
      </w:r>
      <w:r w:rsidRPr="00932EC3">
        <w:rPr>
          <w:rFonts w:ascii="Times New Roman" w:eastAsia="Calibri" w:hAnsi="Times New Roman" w:cs="Times New Roman"/>
          <w:i/>
          <w:iCs/>
          <w:sz w:val="24"/>
          <w:szCs w:val="24"/>
        </w:rPr>
        <w:t>per capita</w:t>
      </w:r>
      <w:r w:rsidRPr="00932EC3">
        <w:rPr>
          <w:rFonts w:ascii="Times New Roman" w:eastAsia="Calibri" w:hAnsi="Times New Roman" w:cs="Times New Roman"/>
          <w:sz w:val="24"/>
          <w:szCs w:val="24"/>
        </w:rPr>
        <w:t xml:space="preserve">, indicando que não </w:t>
      </w:r>
      <w:r w:rsidRPr="00932EC3">
        <w:rPr>
          <w:rFonts w:ascii="Times New Roman" w:eastAsia="Calibri" w:hAnsi="Times New Roman" w:cs="Times New Roman"/>
          <w:sz w:val="24"/>
          <w:szCs w:val="24"/>
        </w:rPr>
        <w:lastRenderedPageBreak/>
        <w:t xml:space="preserve">necessariamente os municípios com maiores </w:t>
      </w:r>
      <w:proofErr w:type="spellStart"/>
      <w:r w:rsidRPr="00932EC3">
        <w:rPr>
          <w:rFonts w:ascii="Times New Roman" w:eastAsia="Calibri" w:hAnsi="Times New Roman" w:cs="Times New Roman"/>
          <w:sz w:val="24"/>
          <w:szCs w:val="24"/>
        </w:rPr>
        <w:t>PIBs</w:t>
      </w:r>
      <w:proofErr w:type="spellEnd"/>
      <w:r w:rsidRPr="00932EC3">
        <w:rPr>
          <w:rFonts w:ascii="Times New Roman" w:eastAsia="Calibri" w:hAnsi="Times New Roman" w:cs="Times New Roman"/>
          <w:sz w:val="24"/>
          <w:szCs w:val="24"/>
        </w:rPr>
        <w:t>, possuem mais eficiência no gerenciamento de gastos com saúde.</w:t>
      </w:r>
    </w:p>
    <w:p w14:paraId="5661C665" w14:textId="3102B86D" w:rsidR="005F38E0" w:rsidRPr="00D76F0C" w:rsidRDefault="005F38E0" w:rsidP="005F38E0">
      <w:pPr>
        <w:spacing w:after="0" w:line="360" w:lineRule="auto"/>
        <w:ind w:firstLine="708"/>
        <w:jc w:val="both"/>
        <w:rPr>
          <w:rFonts w:ascii="Times New Roman" w:eastAsia="Calibri" w:hAnsi="Times New Roman" w:cs="Times New Roman"/>
          <w:sz w:val="24"/>
          <w:szCs w:val="24"/>
        </w:rPr>
      </w:pPr>
      <w:r w:rsidRPr="00932EC3">
        <w:rPr>
          <w:rFonts w:ascii="Times New Roman" w:eastAsia="Calibri" w:hAnsi="Times New Roman" w:cs="Times New Roman"/>
          <w:sz w:val="24"/>
          <w:szCs w:val="24"/>
        </w:rPr>
        <w:t>Constata-se, diante da literatura enfatizada nesta seção, que a temática em epígrafe vem sendo amplamente discutida tanto em nível internacional, quanto em níveis nacional e local. Porém, este trabalho inova no sentido de realizar a análise utilizando a mais recente classificação do IBGE (2017), em dividir os estados brasileiros em regiões imediatas</w:t>
      </w:r>
      <w:r>
        <w:rPr>
          <w:rFonts w:ascii="Times New Roman" w:eastAsia="Calibri" w:hAnsi="Times New Roman" w:cs="Times New Roman"/>
          <w:sz w:val="24"/>
          <w:szCs w:val="24"/>
        </w:rPr>
        <w:t xml:space="preserve"> e ampliar o conjunto de variáveis de </w:t>
      </w:r>
      <w:r w:rsidRPr="00A929AC">
        <w:rPr>
          <w:rFonts w:ascii="Times New Roman" w:eastAsia="Calibri" w:hAnsi="Times New Roman" w:cs="Times New Roman"/>
          <w:i/>
          <w:iCs/>
          <w:sz w:val="24"/>
          <w:szCs w:val="24"/>
        </w:rPr>
        <w:t>outputs</w:t>
      </w:r>
      <w:r>
        <w:rPr>
          <w:rFonts w:ascii="Times New Roman" w:eastAsia="Calibri" w:hAnsi="Times New Roman" w:cs="Times New Roman"/>
          <w:sz w:val="24"/>
          <w:szCs w:val="24"/>
        </w:rPr>
        <w:t xml:space="preserve"> indicadas na literatura</w:t>
      </w:r>
      <w:r w:rsidRPr="00932EC3">
        <w:rPr>
          <w:rFonts w:ascii="Times New Roman" w:eastAsia="Calibri" w:hAnsi="Times New Roman" w:cs="Times New Roman"/>
          <w:sz w:val="24"/>
          <w:szCs w:val="24"/>
        </w:rPr>
        <w:t>.</w:t>
      </w:r>
    </w:p>
    <w:p w14:paraId="531363E7" w14:textId="77777777" w:rsidR="00E23187" w:rsidRDefault="00E23187">
      <w:pPr>
        <w:spacing w:after="0" w:line="240" w:lineRule="auto"/>
        <w:jc w:val="both"/>
        <w:rPr>
          <w:rFonts w:ascii="Times New Roman" w:hAnsi="Times New Roman" w:cs="Times New Roman"/>
          <w:sz w:val="24"/>
          <w:szCs w:val="24"/>
        </w:rPr>
      </w:pPr>
    </w:p>
    <w:p w14:paraId="29EC6864" w14:textId="77777777" w:rsidR="00E23187" w:rsidRDefault="00000000">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RESULTADOS E DISCUSSÕES </w:t>
      </w:r>
    </w:p>
    <w:p w14:paraId="3878076A" w14:textId="77777777" w:rsidR="0051667F" w:rsidRPr="0051667F" w:rsidRDefault="0051667F" w:rsidP="0051667F">
      <w:pPr>
        <w:spacing w:after="0" w:line="360" w:lineRule="auto"/>
        <w:jc w:val="both"/>
        <w:rPr>
          <w:rFonts w:ascii="Times New Roman" w:eastAsia="Calibri" w:hAnsi="Times New Roman" w:cs="Times New Roman"/>
          <w:b/>
          <w:bCs/>
          <w:sz w:val="24"/>
          <w:szCs w:val="24"/>
        </w:rPr>
      </w:pPr>
      <w:r w:rsidRPr="0051667F">
        <w:rPr>
          <w:rFonts w:ascii="Times New Roman" w:eastAsia="Calibri" w:hAnsi="Times New Roman" w:cs="Times New Roman"/>
          <w:b/>
          <w:bCs/>
          <w:sz w:val="24"/>
          <w:szCs w:val="24"/>
        </w:rPr>
        <w:t>4.1. Análise dos escores de eficiência dos gastos públicos no setor de saúde para as regiões imediatas do Ceará</w:t>
      </w:r>
    </w:p>
    <w:p w14:paraId="6FC14180" w14:textId="5ED47E4E" w:rsidR="0051667F" w:rsidRPr="0051667F" w:rsidRDefault="0051667F" w:rsidP="0051667F">
      <w:pPr>
        <w:spacing w:after="0" w:line="360" w:lineRule="auto"/>
        <w:ind w:firstLine="708"/>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t xml:space="preserve">Conforme especificado, para realização da análise dos resultados de eficiência técnica e de escala, foram selecionadas seis variáveis, destas, uma delas (despesa total média com saúde por mil habitantes) é </w:t>
      </w:r>
      <w:r w:rsidRPr="0051667F">
        <w:rPr>
          <w:rFonts w:ascii="Times New Roman" w:eastAsia="Calibri" w:hAnsi="Times New Roman" w:cs="Times New Roman"/>
          <w:i/>
          <w:sz w:val="24"/>
          <w:szCs w:val="24"/>
        </w:rPr>
        <w:t>input</w:t>
      </w:r>
      <w:r w:rsidRPr="0051667F">
        <w:rPr>
          <w:rFonts w:ascii="Times New Roman" w:eastAsia="Calibri" w:hAnsi="Times New Roman" w:cs="Times New Roman"/>
          <w:sz w:val="24"/>
          <w:szCs w:val="24"/>
        </w:rPr>
        <w:t xml:space="preserve">, e cinco são </w:t>
      </w:r>
      <w:r w:rsidRPr="0051667F">
        <w:rPr>
          <w:rFonts w:ascii="Times New Roman" w:eastAsia="Calibri" w:hAnsi="Times New Roman" w:cs="Times New Roman"/>
          <w:i/>
          <w:sz w:val="24"/>
          <w:szCs w:val="24"/>
        </w:rPr>
        <w:t>outputs</w:t>
      </w:r>
      <w:r w:rsidRPr="0051667F">
        <w:rPr>
          <w:rFonts w:ascii="Times New Roman" w:eastAsia="Calibri" w:hAnsi="Times New Roman" w:cs="Times New Roman"/>
          <w:sz w:val="24"/>
          <w:szCs w:val="24"/>
        </w:rPr>
        <w:t xml:space="preserve">, todas relacionadas ao serviço de saúde nas 18 regiões imediatas do estado do Ceará. A priori, foram apresentadas as estatísticas descritivas das variáveis consideradas (Tabela </w:t>
      </w:r>
      <w:r w:rsidR="009F7FEF">
        <w:rPr>
          <w:rFonts w:ascii="Times New Roman" w:eastAsia="Calibri" w:hAnsi="Times New Roman" w:cs="Times New Roman"/>
          <w:sz w:val="24"/>
          <w:szCs w:val="24"/>
        </w:rPr>
        <w:t>1</w:t>
      </w:r>
      <w:r w:rsidRPr="0051667F">
        <w:rPr>
          <w:rFonts w:ascii="Times New Roman" w:eastAsia="Calibri" w:hAnsi="Times New Roman" w:cs="Times New Roman"/>
          <w:sz w:val="24"/>
          <w:szCs w:val="24"/>
        </w:rPr>
        <w:t xml:space="preserve">) e das medidas de eficiência técnica e de escala (Tabela </w:t>
      </w:r>
      <w:r w:rsidR="009F7FEF">
        <w:rPr>
          <w:rFonts w:ascii="Times New Roman" w:eastAsia="Calibri" w:hAnsi="Times New Roman" w:cs="Times New Roman"/>
          <w:sz w:val="24"/>
          <w:szCs w:val="24"/>
        </w:rPr>
        <w:t>2</w:t>
      </w:r>
      <w:r w:rsidRPr="0051667F">
        <w:rPr>
          <w:rFonts w:ascii="Times New Roman" w:eastAsia="Calibri" w:hAnsi="Times New Roman" w:cs="Times New Roman"/>
          <w:sz w:val="24"/>
          <w:szCs w:val="24"/>
        </w:rPr>
        <w:t xml:space="preserve">), seguidas pela Tabela </w:t>
      </w:r>
      <w:r w:rsidR="009F7FEF">
        <w:rPr>
          <w:rFonts w:ascii="Times New Roman" w:eastAsia="Calibri" w:hAnsi="Times New Roman" w:cs="Times New Roman"/>
          <w:sz w:val="24"/>
          <w:szCs w:val="24"/>
        </w:rPr>
        <w:t>3</w:t>
      </w:r>
      <w:r w:rsidRPr="0051667F">
        <w:rPr>
          <w:rFonts w:ascii="Times New Roman" w:eastAsia="Calibri" w:hAnsi="Times New Roman" w:cs="Times New Roman"/>
          <w:sz w:val="24"/>
          <w:szCs w:val="24"/>
        </w:rPr>
        <w:t xml:space="preserve"> com a distribuição das frequências absolutas e relativas das regiões imediatas do Ceará, conforme os intervalos de medidas de eficiência técnica e de escala dos gastos públicos no setor da saúde por meio da metodologia DEA. </w:t>
      </w:r>
    </w:p>
    <w:p w14:paraId="63FABD17" w14:textId="417C68C3" w:rsidR="0051667F" w:rsidRPr="0051667F" w:rsidRDefault="0051667F" w:rsidP="0051667F">
      <w:pPr>
        <w:spacing w:after="0"/>
        <w:jc w:val="center"/>
        <w:rPr>
          <w:rFonts w:ascii="Times New Roman" w:eastAsia="Calibri" w:hAnsi="Times New Roman" w:cs="Times New Roman"/>
          <w:sz w:val="24"/>
          <w:szCs w:val="24"/>
        </w:rPr>
      </w:pPr>
      <w:r w:rsidRPr="0051667F">
        <w:rPr>
          <w:rFonts w:ascii="Times New Roman" w:eastAsia="Calibri" w:hAnsi="Times New Roman" w:cs="Times New Roman"/>
          <w:b/>
          <w:sz w:val="24"/>
          <w:szCs w:val="24"/>
        </w:rPr>
        <w:t xml:space="preserve">Tabela </w:t>
      </w:r>
      <w:r w:rsidR="00153BF8">
        <w:rPr>
          <w:rFonts w:ascii="Times New Roman" w:eastAsia="Calibri" w:hAnsi="Times New Roman" w:cs="Times New Roman"/>
          <w:b/>
          <w:sz w:val="24"/>
          <w:szCs w:val="24"/>
        </w:rPr>
        <w:t>1</w:t>
      </w:r>
      <w:r w:rsidRPr="0051667F">
        <w:rPr>
          <w:rFonts w:ascii="Times New Roman" w:eastAsia="Calibri" w:hAnsi="Times New Roman" w:cs="Times New Roman"/>
          <w:sz w:val="24"/>
          <w:szCs w:val="24"/>
        </w:rPr>
        <w:t xml:space="preserve"> – Estatísticas descritivas das variáveis consideradas no modelo DEA</w:t>
      </w:r>
    </w:p>
    <w:tbl>
      <w:tblPr>
        <w:tblStyle w:val="Tabelacomgrade2"/>
        <w:tblW w:w="8931" w:type="dxa"/>
        <w:tblBorders>
          <w:left w:val="none" w:sz="0" w:space="0" w:color="auto"/>
          <w:right w:val="none" w:sz="0" w:space="0" w:color="auto"/>
          <w:insideH w:val="none" w:sz="0" w:space="0" w:color="auto"/>
        </w:tblBorders>
        <w:tblLayout w:type="fixed"/>
        <w:tblLook w:val="04A0" w:firstRow="1" w:lastRow="0" w:firstColumn="1" w:lastColumn="0" w:noHBand="0" w:noVBand="1"/>
      </w:tblPr>
      <w:tblGrid>
        <w:gridCol w:w="3261"/>
        <w:gridCol w:w="1134"/>
        <w:gridCol w:w="1134"/>
        <w:gridCol w:w="1275"/>
        <w:gridCol w:w="1134"/>
        <w:gridCol w:w="993"/>
      </w:tblGrid>
      <w:tr w:rsidR="0051667F" w:rsidRPr="0051667F" w14:paraId="76BB075E" w14:textId="77777777" w:rsidTr="00A57DBF">
        <w:trPr>
          <w:trHeight w:val="279"/>
        </w:trPr>
        <w:tc>
          <w:tcPr>
            <w:tcW w:w="3261" w:type="dxa"/>
            <w:tcBorders>
              <w:bottom w:val="single" w:sz="4" w:space="0" w:color="auto"/>
            </w:tcBorders>
            <w:noWrap/>
            <w:hideMark/>
          </w:tcPr>
          <w:p w14:paraId="25350348" w14:textId="77777777" w:rsidR="0051667F" w:rsidRPr="0051667F" w:rsidRDefault="0051667F" w:rsidP="0051667F">
            <w:pPr>
              <w:spacing w:after="0" w:line="240" w:lineRule="auto"/>
              <w:rPr>
                <w:rFonts w:ascii="Times New Roman" w:eastAsia="Calibri" w:hAnsi="Times New Roman" w:cs="Times New Roman"/>
                <w:sz w:val="20"/>
                <w:szCs w:val="20"/>
              </w:rPr>
            </w:pPr>
            <w:r w:rsidRPr="0051667F">
              <w:rPr>
                <w:rFonts w:ascii="Times New Roman" w:eastAsia="Calibri" w:hAnsi="Times New Roman" w:cs="Times New Roman"/>
                <w:sz w:val="20"/>
                <w:szCs w:val="20"/>
              </w:rPr>
              <w:t>Variáveis</w:t>
            </w:r>
          </w:p>
        </w:tc>
        <w:tc>
          <w:tcPr>
            <w:tcW w:w="1134" w:type="dxa"/>
            <w:tcBorders>
              <w:bottom w:val="single" w:sz="4" w:space="0" w:color="auto"/>
            </w:tcBorders>
            <w:noWrap/>
            <w:hideMark/>
          </w:tcPr>
          <w:p w14:paraId="7DCBB885"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Mínimo</w:t>
            </w:r>
          </w:p>
        </w:tc>
        <w:tc>
          <w:tcPr>
            <w:tcW w:w="1134" w:type="dxa"/>
            <w:tcBorders>
              <w:bottom w:val="single" w:sz="4" w:space="0" w:color="auto"/>
            </w:tcBorders>
            <w:noWrap/>
            <w:hideMark/>
          </w:tcPr>
          <w:p w14:paraId="0B72BE94"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Média</w:t>
            </w:r>
          </w:p>
        </w:tc>
        <w:tc>
          <w:tcPr>
            <w:tcW w:w="1275" w:type="dxa"/>
            <w:tcBorders>
              <w:bottom w:val="single" w:sz="4" w:space="0" w:color="auto"/>
            </w:tcBorders>
          </w:tcPr>
          <w:p w14:paraId="4C05FBC5"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Máximo</w:t>
            </w:r>
          </w:p>
        </w:tc>
        <w:tc>
          <w:tcPr>
            <w:tcW w:w="1134" w:type="dxa"/>
            <w:tcBorders>
              <w:bottom w:val="single" w:sz="4" w:space="0" w:color="auto"/>
            </w:tcBorders>
            <w:noWrap/>
            <w:hideMark/>
          </w:tcPr>
          <w:p w14:paraId="1C98A3C3"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Desvio padrão</w:t>
            </w:r>
          </w:p>
        </w:tc>
        <w:tc>
          <w:tcPr>
            <w:tcW w:w="993" w:type="dxa"/>
            <w:tcBorders>
              <w:bottom w:val="single" w:sz="4" w:space="0" w:color="auto"/>
            </w:tcBorders>
            <w:noWrap/>
            <w:hideMark/>
          </w:tcPr>
          <w:p w14:paraId="26CF3899"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CV* (%)</w:t>
            </w:r>
          </w:p>
        </w:tc>
      </w:tr>
      <w:tr w:rsidR="0051667F" w:rsidRPr="0051667F" w14:paraId="6094292A" w14:textId="77777777" w:rsidTr="00A57DBF">
        <w:trPr>
          <w:trHeight w:val="279"/>
        </w:trPr>
        <w:tc>
          <w:tcPr>
            <w:tcW w:w="3261" w:type="dxa"/>
            <w:tcBorders>
              <w:top w:val="single" w:sz="4" w:space="0" w:color="auto"/>
            </w:tcBorders>
            <w:noWrap/>
            <w:hideMark/>
          </w:tcPr>
          <w:p w14:paraId="00168D6D" w14:textId="77777777" w:rsidR="0051667F" w:rsidRPr="0051667F" w:rsidRDefault="0051667F" w:rsidP="0051667F">
            <w:pPr>
              <w:spacing w:after="0" w:line="240" w:lineRule="auto"/>
              <w:rPr>
                <w:rFonts w:ascii="Times New Roman" w:eastAsia="Calibri" w:hAnsi="Times New Roman" w:cs="Times New Roman"/>
                <w:sz w:val="20"/>
                <w:szCs w:val="20"/>
              </w:rPr>
            </w:pPr>
            <w:r w:rsidRPr="0051667F">
              <w:rPr>
                <w:rFonts w:ascii="Times New Roman" w:eastAsia="Calibri" w:hAnsi="Times New Roman" w:cs="Times New Roman"/>
                <w:sz w:val="20"/>
                <w:szCs w:val="20"/>
              </w:rPr>
              <w:t>Despesa Total média com saúde por mil hab.</w:t>
            </w:r>
          </w:p>
        </w:tc>
        <w:tc>
          <w:tcPr>
            <w:tcW w:w="1134" w:type="dxa"/>
            <w:tcBorders>
              <w:top w:val="single" w:sz="4" w:space="0" w:color="auto"/>
            </w:tcBorders>
            <w:noWrap/>
            <w:hideMark/>
          </w:tcPr>
          <w:p w14:paraId="7C3C2DD7" w14:textId="77777777" w:rsidR="0051667F" w:rsidRPr="0051667F" w:rsidRDefault="0051667F" w:rsidP="0051667F">
            <w:pPr>
              <w:spacing w:after="0" w:line="240" w:lineRule="auto"/>
              <w:jc w:val="center"/>
              <w:rPr>
                <w:rFonts w:ascii="Times New Roman" w:eastAsia="Calibri" w:hAnsi="Times New Roman" w:cs="Times New Roman"/>
                <w:sz w:val="20"/>
                <w:szCs w:val="20"/>
              </w:rPr>
            </w:pPr>
            <w:bookmarkStart w:id="7" w:name="_Hlk104821039"/>
            <w:r w:rsidRPr="0051667F">
              <w:rPr>
                <w:rFonts w:ascii="Times New Roman" w:eastAsia="Calibri" w:hAnsi="Times New Roman" w:cs="Times New Roman"/>
                <w:sz w:val="20"/>
                <w:szCs w:val="20"/>
              </w:rPr>
              <w:t>14.801,37</w:t>
            </w:r>
            <w:bookmarkEnd w:id="7"/>
          </w:p>
        </w:tc>
        <w:tc>
          <w:tcPr>
            <w:tcW w:w="1134" w:type="dxa"/>
            <w:tcBorders>
              <w:top w:val="single" w:sz="4" w:space="0" w:color="auto"/>
            </w:tcBorders>
            <w:noWrap/>
            <w:hideMark/>
          </w:tcPr>
          <w:p w14:paraId="2BB7877F"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28.077,02</w:t>
            </w:r>
          </w:p>
        </w:tc>
        <w:tc>
          <w:tcPr>
            <w:tcW w:w="1275" w:type="dxa"/>
            <w:tcBorders>
              <w:top w:val="single" w:sz="4" w:space="0" w:color="auto"/>
            </w:tcBorders>
          </w:tcPr>
          <w:p w14:paraId="3AD5D41A"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164.703,09</w:t>
            </w:r>
          </w:p>
        </w:tc>
        <w:tc>
          <w:tcPr>
            <w:tcW w:w="1134" w:type="dxa"/>
            <w:tcBorders>
              <w:top w:val="single" w:sz="4" w:space="0" w:color="auto"/>
            </w:tcBorders>
            <w:noWrap/>
            <w:hideMark/>
          </w:tcPr>
          <w:p w14:paraId="3836AF6E"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34.276,96</w:t>
            </w:r>
          </w:p>
        </w:tc>
        <w:tc>
          <w:tcPr>
            <w:tcW w:w="993" w:type="dxa"/>
            <w:tcBorders>
              <w:top w:val="single" w:sz="4" w:space="0" w:color="auto"/>
            </w:tcBorders>
            <w:noWrap/>
            <w:hideMark/>
          </w:tcPr>
          <w:p w14:paraId="24F4DB77"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122,08</w:t>
            </w:r>
          </w:p>
        </w:tc>
      </w:tr>
      <w:tr w:rsidR="0051667F" w:rsidRPr="0051667F" w14:paraId="222B5D7D" w14:textId="77777777" w:rsidTr="00A57DBF">
        <w:trPr>
          <w:trHeight w:val="279"/>
        </w:trPr>
        <w:tc>
          <w:tcPr>
            <w:tcW w:w="3261" w:type="dxa"/>
            <w:noWrap/>
            <w:hideMark/>
          </w:tcPr>
          <w:p w14:paraId="2EFC0E4B" w14:textId="77777777" w:rsidR="0051667F" w:rsidRPr="0051667F" w:rsidRDefault="0051667F" w:rsidP="0051667F">
            <w:pPr>
              <w:spacing w:after="0" w:line="240" w:lineRule="auto"/>
              <w:rPr>
                <w:rFonts w:ascii="Times New Roman" w:eastAsia="Calibri" w:hAnsi="Times New Roman" w:cs="Times New Roman"/>
                <w:sz w:val="20"/>
                <w:szCs w:val="20"/>
              </w:rPr>
            </w:pPr>
            <w:r w:rsidRPr="0051667F">
              <w:rPr>
                <w:rFonts w:ascii="Times New Roman" w:eastAsia="Calibri" w:hAnsi="Times New Roman" w:cs="Times New Roman"/>
                <w:sz w:val="20"/>
                <w:szCs w:val="20"/>
              </w:rPr>
              <w:t>Qtde média de estabelecimentos de saúde por mil hab.</w:t>
            </w:r>
          </w:p>
        </w:tc>
        <w:tc>
          <w:tcPr>
            <w:tcW w:w="1134" w:type="dxa"/>
            <w:noWrap/>
            <w:hideMark/>
          </w:tcPr>
          <w:p w14:paraId="16BD2B84"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0,02</w:t>
            </w:r>
          </w:p>
        </w:tc>
        <w:tc>
          <w:tcPr>
            <w:tcW w:w="1134" w:type="dxa"/>
            <w:noWrap/>
            <w:hideMark/>
          </w:tcPr>
          <w:p w14:paraId="723B1961"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0,05</w:t>
            </w:r>
          </w:p>
        </w:tc>
        <w:tc>
          <w:tcPr>
            <w:tcW w:w="1275" w:type="dxa"/>
          </w:tcPr>
          <w:p w14:paraId="60498171"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0,35</w:t>
            </w:r>
          </w:p>
        </w:tc>
        <w:tc>
          <w:tcPr>
            <w:tcW w:w="1134" w:type="dxa"/>
            <w:noWrap/>
            <w:hideMark/>
          </w:tcPr>
          <w:p w14:paraId="7EF7B8C5"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0,08</w:t>
            </w:r>
          </w:p>
        </w:tc>
        <w:tc>
          <w:tcPr>
            <w:tcW w:w="993" w:type="dxa"/>
            <w:noWrap/>
            <w:hideMark/>
          </w:tcPr>
          <w:p w14:paraId="00784CEA"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158,37</w:t>
            </w:r>
          </w:p>
        </w:tc>
      </w:tr>
      <w:tr w:rsidR="0051667F" w:rsidRPr="0051667F" w14:paraId="5D1797CA" w14:textId="77777777" w:rsidTr="00A57DBF">
        <w:trPr>
          <w:trHeight w:val="279"/>
        </w:trPr>
        <w:tc>
          <w:tcPr>
            <w:tcW w:w="3261" w:type="dxa"/>
            <w:noWrap/>
            <w:hideMark/>
          </w:tcPr>
          <w:p w14:paraId="74AE4BE4" w14:textId="77777777" w:rsidR="0051667F" w:rsidRPr="0051667F" w:rsidRDefault="0051667F" w:rsidP="0051667F">
            <w:pPr>
              <w:spacing w:after="0" w:line="240" w:lineRule="auto"/>
              <w:rPr>
                <w:rFonts w:ascii="Times New Roman" w:eastAsia="Calibri" w:hAnsi="Times New Roman" w:cs="Times New Roman"/>
                <w:sz w:val="20"/>
                <w:szCs w:val="20"/>
              </w:rPr>
            </w:pPr>
            <w:r w:rsidRPr="0051667F">
              <w:rPr>
                <w:rFonts w:ascii="Times New Roman" w:eastAsia="Calibri" w:hAnsi="Times New Roman" w:cs="Times New Roman"/>
                <w:sz w:val="20"/>
                <w:szCs w:val="20"/>
              </w:rPr>
              <w:t>Qtde média de equipes de saúde por mil hab.</w:t>
            </w:r>
          </w:p>
        </w:tc>
        <w:tc>
          <w:tcPr>
            <w:tcW w:w="1134" w:type="dxa"/>
            <w:noWrap/>
            <w:hideMark/>
          </w:tcPr>
          <w:p w14:paraId="5DA25A1B"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0,01</w:t>
            </w:r>
          </w:p>
        </w:tc>
        <w:tc>
          <w:tcPr>
            <w:tcW w:w="1134" w:type="dxa"/>
            <w:noWrap/>
            <w:hideMark/>
          </w:tcPr>
          <w:p w14:paraId="3867B22C"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0,02</w:t>
            </w:r>
          </w:p>
        </w:tc>
        <w:tc>
          <w:tcPr>
            <w:tcW w:w="1275" w:type="dxa"/>
          </w:tcPr>
          <w:p w14:paraId="7D2B1F31"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0,05</w:t>
            </w:r>
          </w:p>
        </w:tc>
        <w:tc>
          <w:tcPr>
            <w:tcW w:w="1134" w:type="dxa"/>
            <w:noWrap/>
            <w:hideMark/>
          </w:tcPr>
          <w:p w14:paraId="7A589980"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0,01</w:t>
            </w:r>
          </w:p>
        </w:tc>
        <w:tc>
          <w:tcPr>
            <w:tcW w:w="993" w:type="dxa"/>
            <w:noWrap/>
            <w:hideMark/>
          </w:tcPr>
          <w:p w14:paraId="3405C9B3"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60,96</w:t>
            </w:r>
          </w:p>
        </w:tc>
      </w:tr>
      <w:tr w:rsidR="0051667F" w:rsidRPr="0051667F" w14:paraId="47170CBF" w14:textId="77777777" w:rsidTr="00A57DBF">
        <w:trPr>
          <w:trHeight w:val="279"/>
        </w:trPr>
        <w:tc>
          <w:tcPr>
            <w:tcW w:w="3261" w:type="dxa"/>
            <w:noWrap/>
            <w:hideMark/>
          </w:tcPr>
          <w:p w14:paraId="6D271053" w14:textId="77777777" w:rsidR="0051667F" w:rsidRPr="0051667F" w:rsidRDefault="0051667F" w:rsidP="0051667F">
            <w:pPr>
              <w:spacing w:after="0" w:line="240" w:lineRule="auto"/>
              <w:rPr>
                <w:rFonts w:ascii="Times New Roman" w:eastAsia="Calibri" w:hAnsi="Times New Roman" w:cs="Times New Roman"/>
                <w:sz w:val="20"/>
                <w:szCs w:val="20"/>
              </w:rPr>
            </w:pPr>
            <w:r w:rsidRPr="0051667F">
              <w:rPr>
                <w:rFonts w:ascii="Times New Roman" w:eastAsia="Calibri" w:hAnsi="Times New Roman" w:cs="Times New Roman"/>
                <w:sz w:val="20"/>
                <w:szCs w:val="20"/>
              </w:rPr>
              <w:t>Qtde média de produção ambulacional por mil hab.</w:t>
            </w:r>
          </w:p>
        </w:tc>
        <w:tc>
          <w:tcPr>
            <w:tcW w:w="1134" w:type="dxa"/>
            <w:noWrap/>
            <w:hideMark/>
          </w:tcPr>
          <w:p w14:paraId="0EAA283B"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85,45</w:t>
            </w:r>
          </w:p>
        </w:tc>
        <w:tc>
          <w:tcPr>
            <w:tcW w:w="1134" w:type="dxa"/>
            <w:noWrap/>
            <w:hideMark/>
          </w:tcPr>
          <w:p w14:paraId="30D61E73"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440,25</w:t>
            </w:r>
          </w:p>
        </w:tc>
        <w:tc>
          <w:tcPr>
            <w:tcW w:w="1275" w:type="dxa"/>
          </w:tcPr>
          <w:p w14:paraId="215AF267"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3.938,92</w:t>
            </w:r>
          </w:p>
        </w:tc>
        <w:tc>
          <w:tcPr>
            <w:tcW w:w="1134" w:type="dxa"/>
            <w:noWrap/>
            <w:hideMark/>
          </w:tcPr>
          <w:p w14:paraId="39121DFA"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877,14</w:t>
            </w:r>
          </w:p>
        </w:tc>
        <w:tc>
          <w:tcPr>
            <w:tcW w:w="993" w:type="dxa"/>
            <w:noWrap/>
            <w:hideMark/>
          </w:tcPr>
          <w:p w14:paraId="0714E161"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199,24</w:t>
            </w:r>
          </w:p>
        </w:tc>
      </w:tr>
      <w:tr w:rsidR="0051667F" w:rsidRPr="0051667F" w14:paraId="69EFB4E2" w14:textId="77777777" w:rsidTr="00A57DBF">
        <w:trPr>
          <w:trHeight w:val="181"/>
        </w:trPr>
        <w:tc>
          <w:tcPr>
            <w:tcW w:w="3261" w:type="dxa"/>
            <w:noWrap/>
            <w:hideMark/>
          </w:tcPr>
          <w:p w14:paraId="5A50D24D" w14:textId="77777777" w:rsidR="0051667F" w:rsidRPr="0051667F" w:rsidRDefault="0051667F" w:rsidP="0051667F">
            <w:pPr>
              <w:spacing w:after="0" w:line="240" w:lineRule="auto"/>
              <w:rPr>
                <w:rFonts w:ascii="Times New Roman" w:eastAsia="Calibri" w:hAnsi="Times New Roman" w:cs="Times New Roman"/>
                <w:sz w:val="20"/>
                <w:szCs w:val="20"/>
              </w:rPr>
            </w:pPr>
            <w:r w:rsidRPr="0051667F">
              <w:rPr>
                <w:rFonts w:ascii="Times New Roman" w:eastAsia="Calibri" w:hAnsi="Times New Roman" w:cs="Times New Roman"/>
                <w:sz w:val="20"/>
                <w:szCs w:val="20"/>
              </w:rPr>
              <w:t>Cobertura vacinal média</w:t>
            </w:r>
          </w:p>
        </w:tc>
        <w:tc>
          <w:tcPr>
            <w:tcW w:w="1134" w:type="dxa"/>
            <w:noWrap/>
            <w:hideMark/>
          </w:tcPr>
          <w:p w14:paraId="69A0C8C9"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64,29</w:t>
            </w:r>
          </w:p>
        </w:tc>
        <w:tc>
          <w:tcPr>
            <w:tcW w:w="1134" w:type="dxa"/>
            <w:noWrap/>
            <w:hideMark/>
          </w:tcPr>
          <w:p w14:paraId="5843A7AD"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78,63</w:t>
            </w:r>
          </w:p>
        </w:tc>
        <w:tc>
          <w:tcPr>
            <w:tcW w:w="1275" w:type="dxa"/>
          </w:tcPr>
          <w:p w14:paraId="36847DD3"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91,00</w:t>
            </w:r>
          </w:p>
        </w:tc>
        <w:tc>
          <w:tcPr>
            <w:tcW w:w="1134" w:type="dxa"/>
            <w:noWrap/>
            <w:hideMark/>
          </w:tcPr>
          <w:p w14:paraId="13DBE9A9"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7,05</w:t>
            </w:r>
          </w:p>
        </w:tc>
        <w:tc>
          <w:tcPr>
            <w:tcW w:w="993" w:type="dxa"/>
            <w:noWrap/>
            <w:hideMark/>
          </w:tcPr>
          <w:p w14:paraId="769FC259"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8,96</w:t>
            </w:r>
          </w:p>
        </w:tc>
      </w:tr>
      <w:tr w:rsidR="0051667F" w:rsidRPr="0051667F" w14:paraId="0607CF55" w14:textId="77777777" w:rsidTr="00A57DBF">
        <w:trPr>
          <w:trHeight w:val="279"/>
        </w:trPr>
        <w:tc>
          <w:tcPr>
            <w:tcW w:w="3261" w:type="dxa"/>
            <w:noWrap/>
            <w:hideMark/>
          </w:tcPr>
          <w:p w14:paraId="2BFB3950" w14:textId="77777777" w:rsidR="0051667F" w:rsidRPr="0051667F" w:rsidRDefault="0051667F" w:rsidP="0051667F">
            <w:pPr>
              <w:spacing w:after="0" w:line="240" w:lineRule="auto"/>
              <w:rPr>
                <w:rFonts w:ascii="Times New Roman" w:eastAsia="Calibri" w:hAnsi="Times New Roman" w:cs="Times New Roman"/>
                <w:sz w:val="20"/>
                <w:szCs w:val="20"/>
              </w:rPr>
            </w:pPr>
            <w:r w:rsidRPr="0051667F">
              <w:rPr>
                <w:rFonts w:ascii="Times New Roman" w:eastAsia="Calibri" w:hAnsi="Times New Roman" w:cs="Times New Roman"/>
                <w:sz w:val="20"/>
                <w:szCs w:val="20"/>
              </w:rPr>
              <w:t>Qtde média de médicos que atendem no SUS por mil hab.</w:t>
            </w:r>
          </w:p>
        </w:tc>
        <w:tc>
          <w:tcPr>
            <w:tcW w:w="1134" w:type="dxa"/>
            <w:noWrap/>
            <w:hideMark/>
          </w:tcPr>
          <w:p w14:paraId="5FD28B86"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0,008</w:t>
            </w:r>
          </w:p>
        </w:tc>
        <w:tc>
          <w:tcPr>
            <w:tcW w:w="1134" w:type="dxa"/>
            <w:noWrap/>
            <w:hideMark/>
          </w:tcPr>
          <w:p w14:paraId="2B3F8F3D"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0,078</w:t>
            </w:r>
          </w:p>
        </w:tc>
        <w:tc>
          <w:tcPr>
            <w:tcW w:w="1275" w:type="dxa"/>
          </w:tcPr>
          <w:p w14:paraId="4066DECB"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0,82</w:t>
            </w:r>
          </w:p>
        </w:tc>
        <w:tc>
          <w:tcPr>
            <w:tcW w:w="1134" w:type="dxa"/>
            <w:noWrap/>
            <w:hideMark/>
          </w:tcPr>
          <w:p w14:paraId="457DDE19"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0,19</w:t>
            </w:r>
          </w:p>
        </w:tc>
        <w:tc>
          <w:tcPr>
            <w:tcW w:w="993" w:type="dxa"/>
            <w:noWrap/>
            <w:hideMark/>
          </w:tcPr>
          <w:p w14:paraId="08BE4272"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250,44</w:t>
            </w:r>
          </w:p>
        </w:tc>
      </w:tr>
    </w:tbl>
    <w:p w14:paraId="74A9A107" w14:textId="77777777" w:rsidR="0051667F" w:rsidRPr="0051667F" w:rsidRDefault="0051667F" w:rsidP="0051667F">
      <w:pPr>
        <w:spacing w:after="0" w:line="240" w:lineRule="auto"/>
        <w:rPr>
          <w:rFonts w:ascii="Times New Roman" w:eastAsia="Calibri" w:hAnsi="Times New Roman" w:cs="Times New Roman"/>
          <w:sz w:val="20"/>
          <w:szCs w:val="20"/>
        </w:rPr>
      </w:pPr>
      <w:r w:rsidRPr="0051667F">
        <w:rPr>
          <w:rFonts w:ascii="Times New Roman" w:eastAsia="Calibri" w:hAnsi="Times New Roman" w:cs="Times New Roman"/>
          <w:sz w:val="20"/>
          <w:szCs w:val="20"/>
        </w:rPr>
        <w:t>Fonte: Elaborado pelos autores com base nos dados da pesquisa.</w:t>
      </w:r>
    </w:p>
    <w:p w14:paraId="2A938FBE" w14:textId="77777777" w:rsidR="0051667F" w:rsidRPr="0051667F" w:rsidRDefault="0051667F" w:rsidP="0051667F">
      <w:pPr>
        <w:spacing w:after="0" w:line="240" w:lineRule="auto"/>
        <w:rPr>
          <w:rFonts w:ascii="Times New Roman" w:eastAsia="Calibri" w:hAnsi="Times New Roman" w:cs="Times New Roman"/>
          <w:sz w:val="20"/>
          <w:szCs w:val="20"/>
        </w:rPr>
      </w:pPr>
      <w:r w:rsidRPr="0051667F">
        <w:rPr>
          <w:rFonts w:ascii="Times New Roman" w:eastAsia="Calibri" w:hAnsi="Times New Roman" w:cs="Times New Roman"/>
          <w:sz w:val="20"/>
          <w:szCs w:val="20"/>
        </w:rPr>
        <w:t>Nota: * refere-se ao Coeficiente de Variação.</w:t>
      </w:r>
    </w:p>
    <w:p w14:paraId="79FE2BC9" w14:textId="77777777" w:rsidR="0051667F" w:rsidRPr="0051667F" w:rsidRDefault="0051667F" w:rsidP="0051667F">
      <w:pPr>
        <w:spacing w:after="0" w:line="360" w:lineRule="auto"/>
        <w:jc w:val="both"/>
        <w:rPr>
          <w:rFonts w:ascii="Times New Roman" w:eastAsia="Calibri" w:hAnsi="Times New Roman" w:cs="Times New Roman"/>
          <w:sz w:val="24"/>
          <w:szCs w:val="24"/>
        </w:rPr>
      </w:pPr>
    </w:p>
    <w:p w14:paraId="26E2ADF7" w14:textId="6F707EDA" w:rsidR="0051667F" w:rsidRPr="0051667F" w:rsidRDefault="0051667F" w:rsidP="0051667F">
      <w:pPr>
        <w:spacing w:after="0" w:line="360" w:lineRule="auto"/>
        <w:ind w:firstLine="708"/>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lastRenderedPageBreak/>
        <w:t xml:space="preserve">Como se observa na Tabela </w:t>
      </w:r>
      <w:r w:rsidR="009F7FEF">
        <w:rPr>
          <w:rFonts w:ascii="Times New Roman" w:eastAsia="Calibri" w:hAnsi="Times New Roman" w:cs="Times New Roman"/>
          <w:sz w:val="24"/>
          <w:szCs w:val="24"/>
        </w:rPr>
        <w:t>1</w:t>
      </w:r>
      <w:r w:rsidRPr="0051667F">
        <w:rPr>
          <w:rFonts w:ascii="Times New Roman" w:eastAsia="Calibri" w:hAnsi="Times New Roman" w:cs="Times New Roman"/>
          <w:sz w:val="24"/>
          <w:szCs w:val="24"/>
        </w:rPr>
        <w:t>, todas as variáveis apresentaram elevada heterogeneidade, exceto a cobertura vacinal média. Segundo Gomes (1990), a alta heterogeneidade é identificada quando o CV for superior a 30%. Dessas variáveis consideradas, reitera-se que somente a cobertura vacinal média não possui tal classificação, já que o CV foi de 8,96%, em 2019. Em contrapartida, a maior variabilidade em torno da média ocorreu com a quantidade média de médicos que atendem no SUS por mil habitantes, em que se destaca a região imediata de São Benedito – Ipu – Guaraciaba do Norte – Tianguá, que detém, em média, cerca de 0,82 médicos para cada mil indivíduos pela rede pública, ao passo que a região imediata de Tauá dispõe, em média, de aproximadamente 0,01 médicos para atender mil habitantes pelo SUS, ficando bem abaixo da média do estado do Ceará que foi de cerca de 0,08.</w:t>
      </w:r>
    </w:p>
    <w:p w14:paraId="61389E97" w14:textId="77777777" w:rsidR="0051667F" w:rsidRPr="0051667F" w:rsidRDefault="0051667F" w:rsidP="0051667F">
      <w:pPr>
        <w:spacing w:after="0" w:line="360" w:lineRule="auto"/>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tab/>
        <w:t xml:space="preserve">A segunda maior variabilidade observada ocorreu com a variável que capta procedimentos hospitalares, onde a região imediata de Icó apresentou a menor razão média de procedimentos hospitalares por mil habitantes de </w:t>
      </w:r>
      <w:r w:rsidRPr="0051667F">
        <w:rPr>
          <w:rFonts w:ascii="Times New Roman" w:eastAsia="Calibri" w:hAnsi="Times New Roman" w:cs="Times New Roman"/>
        </w:rPr>
        <w:t xml:space="preserve">85,45, ficando bem aquém da produção </w:t>
      </w:r>
      <w:r w:rsidRPr="0051667F">
        <w:rPr>
          <w:rFonts w:ascii="Times New Roman" w:eastAsia="Calibri" w:hAnsi="Times New Roman" w:cs="Times New Roman"/>
          <w:sz w:val="24"/>
          <w:szCs w:val="24"/>
        </w:rPr>
        <w:t>ambulacional por mil habitantes no estado do Ceará, que foi 440, 25. Por outro lado, essa relação foi de 3.938,92 na região imediata de Fortaleza.</w:t>
      </w:r>
    </w:p>
    <w:p w14:paraId="5428FA18" w14:textId="77777777" w:rsidR="0051667F" w:rsidRPr="0051667F" w:rsidRDefault="0051667F" w:rsidP="0051667F">
      <w:pPr>
        <w:spacing w:after="0" w:line="360" w:lineRule="auto"/>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tab/>
        <w:t>A terceira maior variação foi registrada na quantidade média de estabelecimentos de saúde, em que a região imediata de Redenção-Acarape teve a menor relação média de estabelecimentos da rede de saúde por mil pessoas, enquanto a região imediata de Fortaleza se destacou com a maior, apresentando relação de 0,02 e 0,35, respectivamente.</w:t>
      </w:r>
    </w:p>
    <w:p w14:paraId="430F527F" w14:textId="77777777" w:rsidR="0051667F" w:rsidRPr="0051667F" w:rsidRDefault="0051667F" w:rsidP="0051667F">
      <w:pPr>
        <w:spacing w:after="0" w:line="360" w:lineRule="auto"/>
        <w:ind w:firstLine="708"/>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t>Em relação à variável concernente às equipes de saúde, verifica-se que a região imediata de Icó registrou a menor relação de 0,01 equipes de saúde para mil habitantes, e, por outro lado, a maior relação (0,05) foi obtida pela região imediata de Fortaleza.</w:t>
      </w:r>
    </w:p>
    <w:p w14:paraId="3DDC9B91" w14:textId="77777777" w:rsidR="0051667F" w:rsidRPr="0051667F" w:rsidRDefault="0051667F" w:rsidP="0051667F">
      <w:pPr>
        <w:spacing w:after="0" w:line="360" w:lineRule="auto"/>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tab/>
        <w:t xml:space="preserve">No tocante à variável </w:t>
      </w:r>
      <w:r w:rsidRPr="0051667F">
        <w:rPr>
          <w:rFonts w:ascii="Times New Roman" w:eastAsia="Calibri" w:hAnsi="Times New Roman" w:cs="Times New Roman"/>
          <w:i/>
          <w:iCs/>
          <w:sz w:val="24"/>
          <w:szCs w:val="24"/>
        </w:rPr>
        <w:t>input,</w:t>
      </w:r>
      <w:r w:rsidRPr="0051667F">
        <w:rPr>
          <w:rFonts w:ascii="Times New Roman" w:eastAsia="Calibri" w:hAnsi="Times New Roman" w:cs="Times New Roman"/>
          <w:sz w:val="24"/>
          <w:szCs w:val="24"/>
        </w:rPr>
        <w:t xml:space="preserve"> despesa total média com saúde por mil pessoas, percebe-se que a região imediata de Itapagé evidenciou a menor despesa média com saúde de R$ 14.801,37 por mil indivíduos, ao passo que a região imediata de Fortaleza obteve a maior razão de R$164.703,09, ultrapassando a média auferida pelo estado do Ceará, que foi R$28.077,02. Das 18 regiões imediatas cearenses, somente duas delas (Fortaleza e Juazeiro do Norte) se destacaram com despesas médias com saúde acima da média do Estado.</w:t>
      </w:r>
    </w:p>
    <w:p w14:paraId="5348E3D0" w14:textId="508DC674" w:rsidR="0051667F" w:rsidRPr="0051667F" w:rsidRDefault="0051667F" w:rsidP="0051667F">
      <w:pPr>
        <w:spacing w:after="0" w:line="360" w:lineRule="auto"/>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lastRenderedPageBreak/>
        <w:tab/>
        <w:t xml:space="preserve">A Tabela </w:t>
      </w:r>
      <w:r w:rsidR="009F7FEF">
        <w:rPr>
          <w:rFonts w:ascii="Times New Roman" w:eastAsia="Calibri" w:hAnsi="Times New Roman" w:cs="Times New Roman"/>
          <w:sz w:val="24"/>
          <w:szCs w:val="24"/>
        </w:rPr>
        <w:t>2</w:t>
      </w:r>
      <w:r w:rsidRPr="0051667F">
        <w:rPr>
          <w:rFonts w:ascii="Times New Roman" w:eastAsia="Calibri" w:hAnsi="Times New Roman" w:cs="Times New Roman"/>
          <w:sz w:val="24"/>
          <w:szCs w:val="24"/>
        </w:rPr>
        <w:t xml:space="preserve"> mostra as estatísticas descritivas, dos escores de eficiência padronizado (E) e o acréscimo proporcional de eficiência, que uma determinada região imediata pode ter em saúde sem modificar o insumo empregado.</w:t>
      </w:r>
    </w:p>
    <w:p w14:paraId="2E58901C" w14:textId="10B417DD" w:rsidR="0051667F" w:rsidRPr="0051667F" w:rsidRDefault="0051667F" w:rsidP="0051667F">
      <w:pPr>
        <w:spacing w:after="0"/>
        <w:jc w:val="center"/>
        <w:rPr>
          <w:rFonts w:ascii="Times New Roman" w:eastAsia="Calibri" w:hAnsi="Times New Roman" w:cs="Times New Roman"/>
          <w:sz w:val="24"/>
          <w:szCs w:val="24"/>
        </w:rPr>
      </w:pPr>
      <w:r w:rsidRPr="0051667F">
        <w:rPr>
          <w:rFonts w:ascii="Times New Roman" w:eastAsia="Calibri" w:hAnsi="Times New Roman" w:cs="Times New Roman"/>
          <w:b/>
          <w:sz w:val="24"/>
          <w:szCs w:val="24"/>
        </w:rPr>
        <w:t xml:space="preserve">Tabela </w:t>
      </w:r>
      <w:r w:rsidR="00153BF8">
        <w:rPr>
          <w:rFonts w:ascii="Times New Roman" w:eastAsia="Calibri" w:hAnsi="Times New Roman" w:cs="Times New Roman"/>
          <w:b/>
          <w:sz w:val="24"/>
          <w:szCs w:val="24"/>
        </w:rPr>
        <w:t>2</w:t>
      </w:r>
      <w:r w:rsidRPr="0051667F">
        <w:rPr>
          <w:rFonts w:ascii="Times New Roman" w:eastAsia="Calibri" w:hAnsi="Times New Roman" w:cs="Times New Roman"/>
          <w:sz w:val="24"/>
          <w:szCs w:val="24"/>
        </w:rPr>
        <w:t xml:space="preserve"> – Estatísticas descritivas das medidas de eficiência técnica e de escala das regiões geográficas imediatas do estado do Ceará</w:t>
      </w:r>
    </w:p>
    <w:tbl>
      <w:tblPr>
        <w:tblStyle w:val="Tabelacomgrade2"/>
        <w:tblW w:w="0" w:type="auto"/>
        <w:tblBorders>
          <w:left w:val="none" w:sz="0" w:space="0" w:color="auto"/>
          <w:right w:val="none" w:sz="0" w:space="0" w:color="auto"/>
          <w:insideH w:val="none" w:sz="0" w:space="0" w:color="auto"/>
        </w:tblBorders>
        <w:tblLook w:val="04A0" w:firstRow="1" w:lastRow="0" w:firstColumn="1" w:lastColumn="0" w:noHBand="0" w:noVBand="1"/>
      </w:tblPr>
      <w:tblGrid>
        <w:gridCol w:w="2268"/>
        <w:gridCol w:w="732"/>
        <w:gridCol w:w="990"/>
        <w:gridCol w:w="960"/>
        <w:gridCol w:w="1140"/>
        <w:gridCol w:w="1423"/>
        <w:gridCol w:w="992"/>
      </w:tblGrid>
      <w:tr w:rsidR="0051667F" w:rsidRPr="0051667F" w14:paraId="7CE6FE07" w14:textId="77777777" w:rsidTr="00A57DBF">
        <w:trPr>
          <w:trHeight w:val="186"/>
        </w:trPr>
        <w:tc>
          <w:tcPr>
            <w:tcW w:w="3000" w:type="dxa"/>
            <w:gridSpan w:val="2"/>
            <w:tcBorders>
              <w:bottom w:val="single" w:sz="4" w:space="0" w:color="auto"/>
            </w:tcBorders>
            <w:noWrap/>
            <w:hideMark/>
          </w:tcPr>
          <w:p w14:paraId="169D4B14"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Modelos de eficiência</w:t>
            </w:r>
          </w:p>
          <w:p w14:paraId="2B560DFE" w14:textId="77777777" w:rsidR="0051667F" w:rsidRPr="0051667F" w:rsidRDefault="0051667F" w:rsidP="0051667F">
            <w:pPr>
              <w:spacing w:after="0" w:line="240" w:lineRule="auto"/>
              <w:jc w:val="center"/>
              <w:rPr>
                <w:rFonts w:ascii="Times New Roman" w:eastAsia="Calibri" w:hAnsi="Times New Roman" w:cs="Times New Roman"/>
                <w:sz w:val="20"/>
                <w:szCs w:val="20"/>
              </w:rPr>
            </w:pPr>
          </w:p>
        </w:tc>
        <w:tc>
          <w:tcPr>
            <w:tcW w:w="990" w:type="dxa"/>
            <w:tcBorders>
              <w:bottom w:val="single" w:sz="4" w:space="0" w:color="auto"/>
            </w:tcBorders>
            <w:noWrap/>
            <w:hideMark/>
          </w:tcPr>
          <w:p w14:paraId="1F6386F1"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Mínimo</w:t>
            </w:r>
          </w:p>
        </w:tc>
        <w:tc>
          <w:tcPr>
            <w:tcW w:w="960" w:type="dxa"/>
            <w:tcBorders>
              <w:bottom w:val="single" w:sz="4" w:space="0" w:color="auto"/>
            </w:tcBorders>
            <w:noWrap/>
            <w:hideMark/>
          </w:tcPr>
          <w:p w14:paraId="483C91D5"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Média</w:t>
            </w:r>
          </w:p>
        </w:tc>
        <w:tc>
          <w:tcPr>
            <w:tcW w:w="1140" w:type="dxa"/>
            <w:tcBorders>
              <w:bottom w:val="single" w:sz="4" w:space="0" w:color="auto"/>
            </w:tcBorders>
            <w:noWrap/>
            <w:hideMark/>
          </w:tcPr>
          <w:p w14:paraId="56B380C1"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Máximo</w:t>
            </w:r>
          </w:p>
        </w:tc>
        <w:tc>
          <w:tcPr>
            <w:tcW w:w="1423" w:type="dxa"/>
            <w:tcBorders>
              <w:bottom w:val="single" w:sz="4" w:space="0" w:color="auto"/>
            </w:tcBorders>
            <w:noWrap/>
            <w:hideMark/>
          </w:tcPr>
          <w:p w14:paraId="3F5F46ED"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Desvio padrão</w:t>
            </w:r>
          </w:p>
        </w:tc>
        <w:tc>
          <w:tcPr>
            <w:tcW w:w="992" w:type="dxa"/>
            <w:tcBorders>
              <w:bottom w:val="single" w:sz="4" w:space="0" w:color="auto"/>
            </w:tcBorders>
            <w:noWrap/>
            <w:hideMark/>
          </w:tcPr>
          <w:p w14:paraId="4530D1A2"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CV (%)</w:t>
            </w:r>
          </w:p>
        </w:tc>
      </w:tr>
      <w:tr w:rsidR="0051667F" w:rsidRPr="0051667F" w14:paraId="37ADDD26" w14:textId="77777777" w:rsidTr="00A57DBF">
        <w:trPr>
          <w:trHeight w:val="300"/>
        </w:trPr>
        <w:tc>
          <w:tcPr>
            <w:tcW w:w="2268" w:type="dxa"/>
            <w:vMerge w:val="restart"/>
            <w:tcBorders>
              <w:top w:val="single" w:sz="4" w:space="0" w:color="auto"/>
            </w:tcBorders>
            <w:noWrap/>
            <w:hideMark/>
          </w:tcPr>
          <w:p w14:paraId="44AC4C00"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Eficiência técnica CRS</w:t>
            </w:r>
          </w:p>
        </w:tc>
        <w:tc>
          <w:tcPr>
            <w:tcW w:w="732" w:type="dxa"/>
            <w:tcBorders>
              <w:top w:val="single" w:sz="4" w:space="0" w:color="auto"/>
            </w:tcBorders>
            <w:noWrap/>
            <w:hideMark/>
          </w:tcPr>
          <w:p w14:paraId="20EC86C6"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noProof/>
                <w:sz w:val="20"/>
                <w:szCs w:val="20"/>
                <w:lang w:eastAsia="pt-BR"/>
              </w:rPr>
              <w:drawing>
                <wp:anchor distT="0" distB="0" distL="114300" distR="114300" simplePos="0" relativeHeight="251659264" behindDoc="0" locked="0" layoutInCell="1" allowOverlap="1" wp14:anchorId="01F08793" wp14:editId="038DC881">
                  <wp:simplePos x="0" y="0"/>
                  <wp:positionH relativeFrom="column">
                    <wp:posOffset>0</wp:posOffset>
                  </wp:positionH>
                  <wp:positionV relativeFrom="paragraph">
                    <wp:posOffset>0</wp:posOffset>
                  </wp:positionV>
                  <wp:extent cx="152400" cy="161925"/>
                  <wp:effectExtent l="0" t="0" r="0" b="9525"/>
                  <wp:wrapNone/>
                  <wp:docPr id="6" name="Imagem 6">
                    <a:extLst xmlns:a="http://schemas.openxmlformats.org/drawingml/2006/main">
                      <a:ext uri="{63B3BB69-23CF-44E3-9099-C40C66FF867C}">
                        <a14:compatExt xmlns:a14="http://schemas.microsoft.com/office/drawing/2010/main" spid="_x0000_s4097"/>
                      </a:ext>
                      <a:ext uri="{FF2B5EF4-FFF2-40B4-BE49-F238E27FC236}">
                        <a16:creationId xmlns:a16="http://schemas.microsoft.com/office/drawing/2014/main" id="{00000000-0008-0000-0600-000001100000}"/>
                      </a:ext>
                    </a:extLst>
                  </wp:docPr>
                  <wp:cNvGraphicFramePr/>
                  <a:graphic xmlns:a="http://schemas.openxmlformats.org/drawingml/2006/main">
                    <a:graphicData uri="http://schemas.openxmlformats.org/drawingml/2006/picture">
                      <pic:pic xmlns:pic="http://schemas.openxmlformats.org/drawingml/2006/picture">
                        <pic:nvPicPr>
                          <pic:cNvPr id="2" name="Object 1">
                            <a:extLst>
                              <a:ext uri="{63B3BB69-23CF-44E3-9099-C40C66FF867C}">
                                <a14:compatExt xmlns:a14="http://schemas.microsoft.com/office/drawing/2010/main" spid="_x0000_s4097"/>
                              </a:ext>
                              <a:ext uri="{FF2B5EF4-FFF2-40B4-BE49-F238E27FC236}">
                                <a16:creationId xmlns:a16="http://schemas.microsoft.com/office/drawing/2014/main" id="{00000000-0008-0000-0600-000001100000}"/>
                              </a:ext>
                            </a:extLst>
                          </pic:cNvPr>
                          <pic:cNvPicPr>
                            <a:picLocks noChangeAspect="1"/>
                          </pic:cNvPicPr>
                        </pic:nvPicPr>
                        <pic:blipFill>
                          <a:blip r:embed="rId8"/>
                          <a:stretch>
                            <a:fillRect/>
                          </a:stretch>
                        </pic:blipFill>
                        <pic:spPr>
                          <a:xfrm>
                            <a:off x="0" y="0"/>
                            <a:ext cx="152400" cy="161925"/>
                          </a:xfrm>
                          <a:prstGeom prst="rect">
                            <a:avLst/>
                          </a:prstGeom>
                        </pic:spPr>
                      </pic:pic>
                    </a:graphicData>
                  </a:graphic>
                  <wp14:sizeRelH relativeFrom="page">
                    <wp14:pctWidth>0</wp14:pctWidth>
                  </wp14:sizeRelH>
                  <wp14:sizeRelV relativeFrom="page">
                    <wp14:pctHeight>0</wp14:pctHeight>
                  </wp14:sizeRelV>
                </wp:anchor>
              </w:drawing>
            </w:r>
          </w:p>
        </w:tc>
        <w:tc>
          <w:tcPr>
            <w:tcW w:w="990" w:type="dxa"/>
            <w:tcBorders>
              <w:top w:val="single" w:sz="4" w:space="0" w:color="auto"/>
            </w:tcBorders>
            <w:noWrap/>
            <w:hideMark/>
          </w:tcPr>
          <w:p w14:paraId="2CFB2D8D"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0,75</w:t>
            </w:r>
          </w:p>
        </w:tc>
        <w:tc>
          <w:tcPr>
            <w:tcW w:w="960" w:type="dxa"/>
            <w:tcBorders>
              <w:top w:val="single" w:sz="4" w:space="0" w:color="auto"/>
            </w:tcBorders>
            <w:noWrap/>
            <w:hideMark/>
          </w:tcPr>
          <w:p w14:paraId="3B0F48F9"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0,92</w:t>
            </w:r>
          </w:p>
        </w:tc>
        <w:tc>
          <w:tcPr>
            <w:tcW w:w="1140" w:type="dxa"/>
            <w:tcBorders>
              <w:top w:val="single" w:sz="4" w:space="0" w:color="auto"/>
            </w:tcBorders>
            <w:noWrap/>
            <w:hideMark/>
          </w:tcPr>
          <w:p w14:paraId="546F4EA0"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1,00</w:t>
            </w:r>
          </w:p>
        </w:tc>
        <w:tc>
          <w:tcPr>
            <w:tcW w:w="1423" w:type="dxa"/>
            <w:tcBorders>
              <w:top w:val="single" w:sz="4" w:space="0" w:color="auto"/>
            </w:tcBorders>
            <w:noWrap/>
            <w:hideMark/>
          </w:tcPr>
          <w:p w14:paraId="4D28259E"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0,09</w:t>
            </w:r>
          </w:p>
        </w:tc>
        <w:tc>
          <w:tcPr>
            <w:tcW w:w="992" w:type="dxa"/>
            <w:tcBorders>
              <w:top w:val="single" w:sz="4" w:space="0" w:color="auto"/>
            </w:tcBorders>
            <w:noWrap/>
            <w:hideMark/>
          </w:tcPr>
          <w:p w14:paraId="183801E8"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9,35</w:t>
            </w:r>
          </w:p>
        </w:tc>
      </w:tr>
      <w:tr w:rsidR="0051667F" w:rsidRPr="0051667F" w14:paraId="3BF7CBCA" w14:textId="77777777" w:rsidTr="00A57DBF">
        <w:trPr>
          <w:trHeight w:val="300"/>
        </w:trPr>
        <w:tc>
          <w:tcPr>
            <w:tcW w:w="2268" w:type="dxa"/>
            <w:vMerge/>
            <w:noWrap/>
            <w:hideMark/>
          </w:tcPr>
          <w:p w14:paraId="2409D9AA" w14:textId="77777777" w:rsidR="0051667F" w:rsidRPr="0051667F" w:rsidRDefault="0051667F" w:rsidP="0051667F">
            <w:pPr>
              <w:spacing w:after="0" w:line="240" w:lineRule="auto"/>
              <w:jc w:val="center"/>
              <w:rPr>
                <w:rFonts w:ascii="Times New Roman" w:eastAsia="Calibri" w:hAnsi="Times New Roman" w:cs="Times New Roman"/>
                <w:sz w:val="20"/>
                <w:szCs w:val="20"/>
              </w:rPr>
            </w:pPr>
          </w:p>
        </w:tc>
        <w:tc>
          <w:tcPr>
            <w:tcW w:w="732" w:type="dxa"/>
            <w:noWrap/>
            <w:hideMark/>
          </w:tcPr>
          <w:p w14:paraId="28F026F3"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noProof/>
                <w:sz w:val="20"/>
                <w:szCs w:val="20"/>
                <w:lang w:eastAsia="pt-BR"/>
              </w:rPr>
              <w:drawing>
                <wp:anchor distT="0" distB="0" distL="114300" distR="114300" simplePos="0" relativeHeight="251661312" behindDoc="0" locked="0" layoutInCell="1" allowOverlap="1" wp14:anchorId="7151B5E2" wp14:editId="66BB98B3">
                  <wp:simplePos x="0" y="0"/>
                  <wp:positionH relativeFrom="column">
                    <wp:posOffset>0</wp:posOffset>
                  </wp:positionH>
                  <wp:positionV relativeFrom="paragraph">
                    <wp:posOffset>0</wp:posOffset>
                  </wp:positionV>
                  <wp:extent cx="314325" cy="190500"/>
                  <wp:effectExtent l="0" t="0" r="9525" b="0"/>
                  <wp:wrapNone/>
                  <wp:docPr id="4" name="Imagem 4">
                    <a:extLst xmlns:a="http://schemas.openxmlformats.org/drawingml/2006/main">
                      <a:ext uri="{63B3BB69-23CF-44E3-9099-C40C66FF867C}">
                        <a14:compatExt xmlns:a14="http://schemas.microsoft.com/office/drawing/2010/main" spid="_x0000_s4100"/>
                      </a:ext>
                      <a:ext uri="{FF2B5EF4-FFF2-40B4-BE49-F238E27FC236}">
                        <a16:creationId xmlns:a16="http://schemas.microsoft.com/office/drawing/2014/main" id="{00000000-0008-0000-0600-000004100000}"/>
                      </a:ext>
                    </a:extLst>
                  </wp:docPr>
                  <wp:cNvGraphicFramePr/>
                  <a:graphic xmlns:a="http://schemas.openxmlformats.org/drawingml/2006/main">
                    <a:graphicData uri="http://schemas.openxmlformats.org/drawingml/2006/picture">
                      <pic:pic xmlns:pic="http://schemas.openxmlformats.org/drawingml/2006/picture">
                        <pic:nvPicPr>
                          <pic:cNvPr id="2" name="Object 4">
                            <a:extLst>
                              <a:ext uri="{63B3BB69-23CF-44E3-9099-C40C66FF867C}">
                                <a14:compatExt xmlns:a14="http://schemas.microsoft.com/office/drawing/2010/main" spid="_x0000_s4100"/>
                              </a:ext>
                              <a:ext uri="{FF2B5EF4-FFF2-40B4-BE49-F238E27FC236}">
                                <a16:creationId xmlns:a16="http://schemas.microsoft.com/office/drawing/2014/main" id="{00000000-0008-0000-0600-000004100000}"/>
                              </a:ext>
                            </a:extLst>
                          </pic:cNvPr>
                          <pic:cNvPicPr>
                            <a:picLocks noChangeAspect="1"/>
                          </pic:cNvPicPr>
                        </pic:nvPicPr>
                        <pic:blipFill>
                          <a:blip r:embed="rId9"/>
                          <a:stretch>
                            <a:fillRect/>
                          </a:stretch>
                        </pic:blipFill>
                        <pic:spPr>
                          <a:xfrm>
                            <a:off x="0" y="0"/>
                            <a:ext cx="314325" cy="190500"/>
                          </a:xfrm>
                          <a:prstGeom prst="rect">
                            <a:avLst/>
                          </a:prstGeom>
                        </pic:spPr>
                      </pic:pic>
                    </a:graphicData>
                  </a:graphic>
                  <wp14:sizeRelH relativeFrom="page">
                    <wp14:pctWidth>0</wp14:pctWidth>
                  </wp14:sizeRelH>
                  <wp14:sizeRelV relativeFrom="page">
                    <wp14:pctHeight>0</wp14:pctHeight>
                  </wp14:sizeRelV>
                </wp:anchor>
              </w:drawing>
            </w:r>
          </w:p>
        </w:tc>
        <w:tc>
          <w:tcPr>
            <w:tcW w:w="990" w:type="dxa"/>
            <w:noWrap/>
            <w:hideMark/>
          </w:tcPr>
          <w:p w14:paraId="20130A1A"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0,00</w:t>
            </w:r>
          </w:p>
        </w:tc>
        <w:tc>
          <w:tcPr>
            <w:tcW w:w="960" w:type="dxa"/>
            <w:noWrap/>
            <w:hideMark/>
          </w:tcPr>
          <w:p w14:paraId="15774869"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0,10</w:t>
            </w:r>
          </w:p>
        </w:tc>
        <w:tc>
          <w:tcPr>
            <w:tcW w:w="1140" w:type="dxa"/>
            <w:noWrap/>
            <w:hideMark/>
          </w:tcPr>
          <w:p w14:paraId="1C21AA21"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0,34</w:t>
            </w:r>
          </w:p>
        </w:tc>
        <w:tc>
          <w:tcPr>
            <w:tcW w:w="1423" w:type="dxa"/>
            <w:noWrap/>
            <w:hideMark/>
          </w:tcPr>
          <w:p w14:paraId="5288807D"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0,11</w:t>
            </w:r>
          </w:p>
        </w:tc>
        <w:tc>
          <w:tcPr>
            <w:tcW w:w="992" w:type="dxa"/>
            <w:noWrap/>
            <w:hideMark/>
          </w:tcPr>
          <w:p w14:paraId="59B626B5"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115,13</w:t>
            </w:r>
          </w:p>
        </w:tc>
      </w:tr>
      <w:tr w:rsidR="0051667F" w:rsidRPr="0051667F" w14:paraId="58C3DFA4" w14:textId="77777777" w:rsidTr="00A57DBF">
        <w:trPr>
          <w:trHeight w:val="300"/>
        </w:trPr>
        <w:tc>
          <w:tcPr>
            <w:tcW w:w="2268" w:type="dxa"/>
            <w:vMerge w:val="restart"/>
            <w:noWrap/>
            <w:hideMark/>
          </w:tcPr>
          <w:p w14:paraId="2C51DCA6"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Eficiência técnica VRS</w:t>
            </w:r>
          </w:p>
        </w:tc>
        <w:tc>
          <w:tcPr>
            <w:tcW w:w="732" w:type="dxa"/>
            <w:hideMark/>
          </w:tcPr>
          <w:p w14:paraId="5B8AA518"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noProof/>
                <w:sz w:val="20"/>
                <w:szCs w:val="20"/>
                <w:lang w:eastAsia="pt-BR"/>
              </w:rPr>
              <w:drawing>
                <wp:anchor distT="0" distB="0" distL="114300" distR="114300" simplePos="0" relativeHeight="251660288" behindDoc="0" locked="0" layoutInCell="1" allowOverlap="1" wp14:anchorId="45DDF474" wp14:editId="6EF7CF6B">
                  <wp:simplePos x="0" y="0"/>
                  <wp:positionH relativeFrom="column">
                    <wp:posOffset>0</wp:posOffset>
                  </wp:positionH>
                  <wp:positionV relativeFrom="paragraph">
                    <wp:posOffset>17145</wp:posOffset>
                  </wp:positionV>
                  <wp:extent cx="152400" cy="161925"/>
                  <wp:effectExtent l="0" t="0" r="0" b="9525"/>
                  <wp:wrapNone/>
                  <wp:docPr id="9" name="Imagem 9">
                    <a:extLst xmlns:a="http://schemas.openxmlformats.org/drawingml/2006/main">
                      <a:ext uri="{63B3BB69-23CF-44E3-9099-C40C66FF867C}">
                        <a14:compatExt xmlns:a14="http://schemas.microsoft.com/office/drawing/2010/main" spid="_x0000_s4098"/>
                      </a:ext>
                      <a:ext uri="{FF2B5EF4-FFF2-40B4-BE49-F238E27FC236}">
                        <a16:creationId xmlns:a16="http://schemas.microsoft.com/office/drawing/2014/main" id="{00000000-0008-0000-0600-000002100000}"/>
                      </a:ext>
                    </a:extLst>
                  </wp:docPr>
                  <wp:cNvGraphicFramePr/>
                  <a:graphic xmlns:a="http://schemas.openxmlformats.org/drawingml/2006/main">
                    <a:graphicData uri="http://schemas.openxmlformats.org/drawingml/2006/picture">
                      <pic:pic xmlns:pic="http://schemas.openxmlformats.org/drawingml/2006/picture">
                        <pic:nvPicPr>
                          <pic:cNvPr id="2" name="Object 2">
                            <a:extLst>
                              <a:ext uri="{63B3BB69-23CF-44E3-9099-C40C66FF867C}">
                                <a14:compatExt xmlns:a14="http://schemas.microsoft.com/office/drawing/2010/main" spid="_x0000_s4098"/>
                              </a:ext>
                              <a:ext uri="{FF2B5EF4-FFF2-40B4-BE49-F238E27FC236}">
                                <a16:creationId xmlns:a16="http://schemas.microsoft.com/office/drawing/2014/main" id="{00000000-0008-0000-0600-000002100000}"/>
                              </a:ext>
                            </a:extLst>
                          </pic:cNvPr>
                          <pic:cNvPicPr>
                            <a:picLocks noChangeAspect="1"/>
                          </pic:cNvPicPr>
                        </pic:nvPicPr>
                        <pic:blipFill>
                          <a:blip r:embed="rId10"/>
                          <a:stretch>
                            <a:fillRect/>
                          </a:stretch>
                        </pic:blipFill>
                        <pic:spPr>
                          <a:xfrm>
                            <a:off x="0" y="0"/>
                            <a:ext cx="152400" cy="161925"/>
                          </a:xfrm>
                          <a:prstGeom prst="rect">
                            <a:avLst/>
                          </a:prstGeom>
                        </pic:spPr>
                      </pic:pic>
                    </a:graphicData>
                  </a:graphic>
                  <wp14:sizeRelH relativeFrom="page">
                    <wp14:pctWidth>0</wp14:pctWidth>
                  </wp14:sizeRelH>
                  <wp14:sizeRelV relativeFrom="page">
                    <wp14:pctHeight>0</wp14:pctHeight>
                  </wp14:sizeRelV>
                </wp:anchor>
              </w:drawing>
            </w:r>
          </w:p>
        </w:tc>
        <w:tc>
          <w:tcPr>
            <w:tcW w:w="990" w:type="dxa"/>
            <w:noWrap/>
            <w:hideMark/>
          </w:tcPr>
          <w:p w14:paraId="70EC6CEC"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0,77</w:t>
            </w:r>
          </w:p>
        </w:tc>
        <w:tc>
          <w:tcPr>
            <w:tcW w:w="960" w:type="dxa"/>
            <w:noWrap/>
            <w:hideMark/>
          </w:tcPr>
          <w:p w14:paraId="391B8675"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0,94</w:t>
            </w:r>
          </w:p>
        </w:tc>
        <w:tc>
          <w:tcPr>
            <w:tcW w:w="1140" w:type="dxa"/>
            <w:noWrap/>
            <w:hideMark/>
          </w:tcPr>
          <w:p w14:paraId="7001FF8E"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1,00</w:t>
            </w:r>
          </w:p>
        </w:tc>
        <w:tc>
          <w:tcPr>
            <w:tcW w:w="1423" w:type="dxa"/>
            <w:noWrap/>
            <w:hideMark/>
          </w:tcPr>
          <w:p w14:paraId="17B5EE9D"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0,07</w:t>
            </w:r>
          </w:p>
        </w:tc>
        <w:tc>
          <w:tcPr>
            <w:tcW w:w="992" w:type="dxa"/>
            <w:noWrap/>
            <w:hideMark/>
          </w:tcPr>
          <w:p w14:paraId="398FB29C"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7,09</w:t>
            </w:r>
          </w:p>
        </w:tc>
      </w:tr>
      <w:tr w:rsidR="0051667F" w:rsidRPr="0051667F" w14:paraId="2900A9F4" w14:textId="77777777" w:rsidTr="00A57DBF">
        <w:trPr>
          <w:trHeight w:val="300"/>
        </w:trPr>
        <w:tc>
          <w:tcPr>
            <w:tcW w:w="2268" w:type="dxa"/>
            <w:vMerge/>
            <w:noWrap/>
            <w:hideMark/>
          </w:tcPr>
          <w:p w14:paraId="6D676FAA" w14:textId="77777777" w:rsidR="0051667F" w:rsidRPr="0051667F" w:rsidRDefault="0051667F" w:rsidP="0051667F">
            <w:pPr>
              <w:spacing w:after="0" w:line="240" w:lineRule="auto"/>
              <w:jc w:val="center"/>
              <w:rPr>
                <w:rFonts w:ascii="Times New Roman" w:eastAsia="Calibri" w:hAnsi="Times New Roman" w:cs="Times New Roman"/>
                <w:sz w:val="20"/>
                <w:szCs w:val="20"/>
              </w:rPr>
            </w:pPr>
          </w:p>
        </w:tc>
        <w:tc>
          <w:tcPr>
            <w:tcW w:w="732" w:type="dxa"/>
            <w:noWrap/>
            <w:hideMark/>
          </w:tcPr>
          <w:p w14:paraId="3433CBD6"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noProof/>
                <w:sz w:val="20"/>
                <w:szCs w:val="20"/>
                <w:lang w:eastAsia="pt-BR"/>
              </w:rPr>
              <w:drawing>
                <wp:anchor distT="0" distB="0" distL="114300" distR="114300" simplePos="0" relativeHeight="251662336" behindDoc="0" locked="0" layoutInCell="1" allowOverlap="1" wp14:anchorId="33DD2E70" wp14:editId="474B4E30">
                  <wp:simplePos x="0" y="0"/>
                  <wp:positionH relativeFrom="column">
                    <wp:posOffset>0</wp:posOffset>
                  </wp:positionH>
                  <wp:positionV relativeFrom="paragraph">
                    <wp:posOffset>0</wp:posOffset>
                  </wp:positionV>
                  <wp:extent cx="314325" cy="190500"/>
                  <wp:effectExtent l="0" t="0" r="9525" b="0"/>
                  <wp:wrapNone/>
                  <wp:docPr id="10" name="Imagem 10">
                    <a:extLst xmlns:a="http://schemas.openxmlformats.org/drawingml/2006/main">
                      <a:ext uri="{63B3BB69-23CF-44E3-9099-C40C66FF867C}">
                        <a14:compatExt xmlns:a14="http://schemas.microsoft.com/office/drawing/2010/main" spid="_x0000_s4101"/>
                      </a:ext>
                      <a:ext uri="{FF2B5EF4-FFF2-40B4-BE49-F238E27FC236}">
                        <a16:creationId xmlns:a16="http://schemas.microsoft.com/office/drawing/2014/main" id="{00000000-0008-0000-0600-000005100000}"/>
                      </a:ext>
                    </a:extLst>
                  </wp:docPr>
                  <wp:cNvGraphicFramePr/>
                  <a:graphic xmlns:a="http://schemas.openxmlformats.org/drawingml/2006/main">
                    <a:graphicData uri="http://schemas.openxmlformats.org/drawingml/2006/picture">
                      <pic:pic xmlns:pic="http://schemas.openxmlformats.org/drawingml/2006/picture">
                        <pic:nvPicPr>
                          <pic:cNvPr id="2" name="Object 5">
                            <a:extLst>
                              <a:ext uri="{63B3BB69-23CF-44E3-9099-C40C66FF867C}">
                                <a14:compatExt xmlns:a14="http://schemas.microsoft.com/office/drawing/2010/main" spid="_x0000_s4101"/>
                              </a:ext>
                              <a:ext uri="{FF2B5EF4-FFF2-40B4-BE49-F238E27FC236}">
                                <a16:creationId xmlns:a16="http://schemas.microsoft.com/office/drawing/2014/main" id="{00000000-0008-0000-0600-000005100000}"/>
                              </a:ext>
                            </a:extLst>
                          </pic:cNvPr>
                          <pic:cNvPicPr>
                            <a:picLocks noChangeAspect="1"/>
                          </pic:cNvPicPr>
                        </pic:nvPicPr>
                        <pic:blipFill>
                          <a:blip r:embed="rId9"/>
                          <a:stretch>
                            <a:fillRect/>
                          </a:stretch>
                        </pic:blipFill>
                        <pic:spPr>
                          <a:xfrm>
                            <a:off x="0" y="0"/>
                            <a:ext cx="314325" cy="190500"/>
                          </a:xfrm>
                          <a:prstGeom prst="rect">
                            <a:avLst/>
                          </a:prstGeom>
                        </pic:spPr>
                      </pic:pic>
                    </a:graphicData>
                  </a:graphic>
                  <wp14:sizeRelH relativeFrom="page">
                    <wp14:pctWidth>0</wp14:pctWidth>
                  </wp14:sizeRelH>
                  <wp14:sizeRelV relativeFrom="page">
                    <wp14:pctHeight>0</wp14:pctHeight>
                  </wp14:sizeRelV>
                </wp:anchor>
              </w:drawing>
            </w:r>
          </w:p>
        </w:tc>
        <w:tc>
          <w:tcPr>
            <w:tcW w:w="990" w:type="dxa"/>
            <w:noWrap/>
            <w:hideMark/>
          </w:tcPr>
          <w:p w14:paraId="421FACFB"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0,00</w:t>
            </w:r>
          </w:p>
        </w:tc>
        <w:tc>
          <w:tcPr>
            <w:tcW w:w="960" w:type="dxa"/>
            <w:noWrap/>
            <w:hideMark/>
          </w:tcPr>
          <w:p w14:paraId="543BE3A9"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0,06</w:t>
            </w:r>
          </w:p>
        </w:tc>
        <w:tc>
          <w:tcPr>
            <w:tcW w:w="1140" w:type="dxa"/>
            <w:noWrap/>
            <w:hideMark/>
          </w:tcPr>
          <w:p w14:paraId="1899B95E"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0,29</w:t>
            </w:r>
          </w:p>
        </w:tc>
        <w:tc>
          <w:tcPr>
            <w:tcW w:w="1423" w:type="dxa"/>
            <w:noWrap/>
            <w:hideMark/>
          </w:tcPr>
          <w:p w14:paraId="5C68FEFF"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0,08</w:t>
            </w:r>
          </w:p>
        </w:tc>
        <w:tc>
          <w:tcPr>
            <w:tcW w:w="992" w:type="dxa"/>
            <w:noWrap/>
            <w:hideMark/>
          </w:tcPr>
          <w:p w14:paraId="430B7126"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128,83</w:t>
            </w:r>
          </w:p>
        </w:tc>
      </w:tr>
      <w:tr w:rsidR="0051667F" w:rsidRPr="0051667F" w14:paraId="4066577F" w14:textId="77777777" w:rsidTr="00A57DBF">
        <w:trPr>
          <w:trHeight w:val="300"/>
        </w:trPr>
        <w:tc>
          <w:tcPr>
            <w:tcW w:w="2268" w:type="dxa"/>
            <w:vMerge w:val="restart"/>
            <w:noWrap/>
            <w:hideMark/>
          </w:tcPr>
          <w:p w14:paraId="1984C5BE"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Eficiência de escala</w:t>
            </w:r>
          </w:p>
        </w:tc>
        <w:tc>
          <w:tcPr>
            <w:tcW w:w="732" w:type="dxa"/>
            <w:hideMark/>
          </w:tcPr>
          <w:p w14:paraId="15A2C42C"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noProof/>
                <w:sz w:val="20"/>
                <w:szCs w:val="20"/>
                <w:lang w:eastAsia="pt-BR"/>
              </w:rPr>
              <w:drawing>
                <wp:anchor distT="0" distB="0" distL="114300" distR="114300" simplePos="0" relativeHeight="251664384" behindDoc="0" locked="0" layoutInCell="1" allowOverlap="1" wp14:anchorId="2F035690" wp14:editId="2E1CA4F6">
                  <wp:simplePos x="0" y="0"/>
                  <wp:positionH relativeFrom="column">
                    <wp:posOffset>53340</wp:posOffset>
                  </wp:positionH>
                  <wp:positionV relativeFrom="paragraph">
                    <wp:posOffset>4893</wp:posOffset>
                  </wp:positionV>
                  <wp:extent cx="152400" cy="161925"/>
                  <wp:effectExtent l="0" t="0" r="0" b="9525"/>
                  <wp:wrapNone/>
                  <wp:docPr id="11" name="Imagem 11">
                    <a:extLst xmlns:a="http://schemas.openxmlformats.org/drawingml/2006/main">
                      <a:ext uri="{63B3BB69-23CF-44E3-9099-C40C66FF867C}">
                        <a14:compatExt xmlns:a14="http://schemas.microsoft.com/office/drawing/2010/main" spid="_x0000_s4099"/>
                      </a:ext>
                      <a:ext uri="{FF2B5EF4-FFF2-40B4-BE49-F238E27FC236}">
                        <a16:creationId xmlns:a16="http://schemas.microsoft.com/office/drawing/2014/main" id="{00000000-0008-0000-0600-000003100000}"/>
                      </a:ext>
                    </a:extLst>
                  </wp:docPr>
                  <wp:cNvGraphicFramePr/>
                  <a:graphic xmlns:a="http://schemas.openxmlformats.org/drawingml/2006/main">
                    <a:graphicData uri="http://schemas.openxmlformats.org/drawingml/2006/picture">
                      <pic:pic xmlns:pic="http://schemas.openxmlformats.org/drawingml/2006/picture">
                        <pic:nvPicPr>
                          <pic:cNvPr id="2" name="Object 3">
                            <a:extLst>
                              <a:ext uri="{63B3BB69-23CF-44E3-9099-C40C66FF867C}">
                                <a14:compatExt xmlns:a14="http://schemas.microsoft.com/office/drawing/2010/main" spid="_x0000_s4099"/>
                              </a:ext>
                              <a:ext uri="{FF2B5EF4-FFF2-40B4-BE49-F238E27FC236}">
                                <a16:creationId xmlns:a16="http://schemas.microsoft.com/office/drawing/2014/main" id="{00000000-0008-0000-0600-000003100000}"/>
                              </a:ext>
                            </a:extLst>
                          </pic:cNvPr>
                          <pic:cNvPicPr>
                            <a:picLocks noChangeAspect="1"/>
                          </pic:cNvPicPr>
                        </pic:nvPicPr>
                        <pic:blipFill>
                          <a:blip r:embed="rId8"/>
                          <a:stretch>
                            <a:fillRect/>
                          </a:stretch>
                        </pic:blipFill>
                        <pic:spPr>
                          <a:xfrm>
                            <a:off x="0" y="0"/>
                            <a:ext cx="152400" cy="161925"/>
                          </a:xfrm>
                          <a:prstGeom prst="rect">
                            <a:avLst/>
                          </a:prstGeom>
                        </pic:spPr>
                      </pic:pic>
                    </a:graphicData>
                  </a:graphic>
                  <wp14:sizeRelH relativeFrom="page">
                    <wp14:pctWidth>0</wp14:pctWidth>
                  </wp14:sizeRelH>
                  <wp14:sizeRelV relativeFrom="page">
                    <wp14:pctHeight>0</wp14:pctHeight>
                  </wp14:sizeRelV>
                </wp:anchor>
              </w:drawing>
            </w:r>
          </w:p>
        </w:tc>
        <w:tc>
          <w:tcPr>
            <w:tcW w:w="990" w:type="dxa"/>
            <w:noWrap/>
            <w:hideMark/>
          </w:tcPr>
          <w:p w14:paraId="204C7DAA"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0,88</w:t>
            </w:r>
          </w:p>
        </w:tc>
        <w:tc>
          <w:tcPr>
            <w:tcW w:w="960" w:type="dxa"/>
            <w:noWrap/>
            <w:hideMark/>
          </w:tcPr>
          <w:p w14:paraId="317DA6A5"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0,97</w:t>
            </w:r>
          </w:p>
        </w:tc>
        <w:tc>
          <w:tcPr>
            <w:tcW w:w="1140" w:type="dxa"/>
            <w:noWrap/>
            <w:hideMark/>
          </w:tcPr>
          <w:p w14:paraId="3C6ED126"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1,00</w:t>
            </w:r>
          </w:p>
        </w:tc>
        <w:tc>
          <w:tcPr>
            <w:tcW w:w="1423" w:type="dxa"/>
            <w:noWrap/>
            <w:hideMark/>
          </w:tcPr>
          <w:p w14:paraId="025A640B"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0,04</w:t>
            </w:r>
          </w:p>
        </w:tc>
        <w:tc>
          <w:tcPr>
            <w:tcW w:w="992" w:type="dxa"/>
            <w:noWrap/>
            <w:hideMark/>
          </w:tcPr>
          <w:p w14:paraId="60BCA72D"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4,06</w:t>
            </w:r>
          </w:p>
        </w:tc>
      </w:tr>
      <w:tr w:rsidR="0051667F" w:rsidRPr="0051667F" w14:paraId="30DF2838" w14:textId="77777777" w:rsidTr="00A57DBF">
        <w:trPr>
          <w:trHeight w:val="338"/>
        </w:trPr>
        <w:tc>
          <w:tcPr>
            <w:tcW w:w="2268" w:type="dxa"/>
            <w:vMerge/>
            <w:noWrap/>
            <w:hideMark/>
          </w:tcPr>
          <w:p w14:paraId="31376E11" w14:textId="77777777" w:rsidR="0051667F" w:rsidRPr="0051667F" w:rsidRDefault="0051667F" w:rsidP="0051667F">
            <w:pPr>
              <w:spacing w:after="0" w:line="240" w:lineRule="auto"/>
              <w:jc w:val="center"/>
              <w:rPr>
                <w:rFonts w:ascii="Times New Roman" w:eastAsia="Calibri" w:hAnsi="Times New Roman" w:cs="Times New Roman"/>
                <w:sz w:val="20"/>
                <w:szCs w:val="20"/>
              </w:rPr>
            </w:pPr>
          </w:p>
        </w:tc>
        <w:tc>
          <w:tcPr>
            <w:tcW w:w="732" w:type="dxa"/>
            <w:noWrap/>
            <w:hideMark/>
          </w:tcPr>
          <w:p w14:paraId="36864E3B"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noProof/>
                <w:sz w:val="20"/>
                <w:szCs w:val="20"/>
                <w:lang w:eastAsia="pt-BR"/>
              </w:rPr>
              <w:drawing>
                <wp:anchor distT="0" distB="0" distL="114300" distR="114300" simplePos="0" relativeHeight="251663360" behindDoc="0" locked="0" layoutInCell="1" allowOverlap="1" wp14:anchorId="1BF13242" wp14:editId="0F21CCFF">
                  <wp:simplePos x="0" y="0"/>
                  <wp:positionH relativeFrom="column">
                    <wp:posOffset>0</wp:posOffset>
                  </wp:positionH>
                  <wp:positionV relativeFrom="paragraph">
                    <wp:posOffset>0</wp:posOffset>
                  </wp:positionV>
                  <wp:extent cx="314325" cy="190500"/>
                  <wp:effectExtent l="0" t="0" r="9525" b="0"/>
                  <wp:wrapNone/>
                  <wp:docPr id="12" name="Imagem 12">
                    <a:extLst xmlns:a="http://schemas.openxmlformats.org/drawingml/2006/main">
                      <a:ext uri="{63B3BB69-23CF-44E3-9099-C40C66FF867C}">
                        <a14:compatExt xmlns:a14="http://schemas.microsoft.com/office/drawing/2010/main" spid="_x0000_s4102"/>
                      </a:ext>
                      <a:ext uri="{FF2B5EF4-FFF2-40B4-BE49-F238E27FC236}">
                        <a16:creationId xmlns:a16="http://schemas.microsoft.com/office/drawing/2014/main" id="{00000000-0008-0000-0600-000006100000}"/>
                      </a:ext>
                    </a:extLst>
                  </wp:docPr>
                  <wp:cNvGraphicFramePr/>
                  <a:graphic xmlns:a="http://schemas.openxmlformats.org/drawingml/2006/main">
                    <a:graphicData uri="http://schemas.openxmlformats.org/drawingml/2006/picture">
                      <pic:pic xmlns:pic="http://schemas.openxmlformats.org/drawingml/2006/picture">
                        <pic:nvPicPr>
                          <pic:cNvPr id="2" name="Object 6">
                            <a:extLst>
                              <a:ext uri="{63B3BB69-23CF-44E3-9099-C40C66FF867C}">
                                <a14:compatExt xmlns:a14="http://schemas.microsoft.com/office/drawing/2010/main" spid="_x0000_s4102"/>
                              </a:ext>
                              <a:ext uri="{FF2B5EF4-FFF2-40B4-BE49-F238E27FC236}">
                                <a16:creationId xmlns:a16="http://schemas.microsoft.com/office/drawing/2014/main" id="{00000000-0008-0000-0600-000006100000}"/>
                              </a:ext>
                            </a:extLst>
                          </pic:cNvPr>
                          <pic:cNvPicPr>
                            <a:picLocks noChangeAspect="1"/>
                          </pic:cNvPicPr>
                        </pic:nvPicPr>
                        <pic:blipFill>
                          <a:blip r:embed="rId9"/>
                          <a:stretch>
                            <a:fillRect/>
                          </a:stretch>
                        </pic:blipFill>
                        <pic:spPr>
                          <a:xfrm>
                            <a:off x="0" y="0"/>
                            <a:ext cx="314325" cy="190500"/>
                          </a:xfrm>
                          <a:prstGeom prst="rect">
                            <a:avLst/>
                          </a:prstGeom>
                        </pic:spPr>
                      </pic:pic>
                    </a:graphicData>
                  </a:graphic>
                  <wp14:sizeRelH relativeFrom="page">
                    <wp14:pctWidth>0</wp14:pctWidth>
                  </wp14:sizeRelH>
                  <wp14:sizeRelV relativeFrom="page">
                    <wp14:pctHeight>0</wp14:pctHeight>
                  </wp14:sizeRelV>
                </wp:anchor>
              </w:drawing>
            </w:r>
          </w:p>
        </w:tc>
        <w:tc>
          <w:tcPr>
            <w:tcW w:w="990" w:type="dxa"/>
            <w:noWrap/>
            <w:hideMark/>
          </w:tcPr>
          <w:p w14:paraId="5973EEEB"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0,00</w:t>
            </w:r>
          </w:p>
        </w:tc>
        <w:tc>
          <w:tcPr>
            <w:tcW w:w="960" w:type="dxa"/>
            <w:noWrap/>
            <w:hideMark/>
          </w:tcPr>
          <w:p w14:paraId="4FA1A422"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0,03</w:t>
            </w:r>
          </w:p>
        </w:tc>
        <w:tc>
          <w:tcPr>
            <w:tcW w:w="1140" w:type="dxa"/>
            <w:noWrap/>
            <w:hideMark/>
          </w:tcPr>
          <w:p w14:paraId="0722825F"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0,14</w:t>
            </w:r>
          </w:p>
        </w:tc>
        <w:tc>
          <w:tcPr>
            <w:tcW w:w="1423" w:type="dxa"/>
            <w:noWrap/>
            <w:hideMark/>
          </w:tcPr>
          <w:p w14:paraId="51F03E11"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0,04</w:t>
            </w:r>
          </w:p>
        </w:tc>
        <w:tc>
          <w:tcPr>
            <w:tcW w:w="992" w:type="dxa"/>
            <w:noWrap/>
            <w:hideMark/>
          </w:tcPr>
          <w:p w14:paraId="0889FDED"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151,76</w:t>
            </w:r>
          </w:p>
        </w:tc>
      </w:tr>
    </w:tbl>
    <w:p w14:paraId="7C16ABE1" w14:textId="77777777" w:rsidR="0051667F" w:rsidRPr="0051667F" w:rsidRDefault="0051667F" w:rsidP="0051667F">
      <w:pPr>
        <w:spacing w:after="0" w:line="240" w:lineRule="auto"/>
        <w:rPr>
          <w:rFonts w:ascii="Times New Roman" w:eastAsia="Calibri" w:hAnsi="Times New Roman" w:cs="Times New Roman"/>
          <w:sz w:val="20"/>
          <w:szCs w:val="20"/>
        </w:rPr>
      </w:pPr>
      <w:r w:rsidRPr="0051667F">
        <w:rPr>
          <w:rFonts w:ascii="Times New Roman" w:eastAsia="Calibri" w:hAnsi="Times New Roman" w:cs="Times New Roman"/>
          <w:sz w:val="20"/>
          <w:szCs w:val="20"/>
        </w:rPr>
        <w:t>Fonte: Elaborado pelos autores com base nos dados da pesquisa.</w:t>
      </w:r>
    </w:p>
    <w:p w14:paraId="0CCCD825" w14:textId="77777777" w:rsidR="0051667F" w:rsidRPr="0051667F" w:rsidRDefault="0051667F" w:rsidP="0051667F">
      <w:pPr>
        <w:spacing w:after="0"/>
        <w:rPr>
          <w:rFonts w:ascii="Times New Roman" w:eastAsia="Calibri" w:hAnsi="Times New Roman" w:cs="Times New Roman"/>
          <w:sz w:val="24"/>
          <w:szCs w:val="24"/>
        </w:rPr>
      </w:pPr>
    </w:p>
    <w:p w14:paraId="298CAB3B" w14:textId="1768689B" w:rsidR="0051667F" w:rsidRPr="0051667F" w:rsidRDefault="0051667F" w:rsidP="0051667F">
      <w:pPr>
        <w:spacing w:after="0" w:line="360" w:lineRule="auto"/>
        <w:ind w:firstLine="708"/>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t xml:space="preserve">Como se observa na Tabela </w:t>
      </w:r>
      <w:r w:rsidR="009F7FEF">
        <w:rPr>
          <w:rFonts w:ascii="Times New Roman" w:eastAsia="Calibri" w:hAnsi="Times New Roman" w:cs="Times New Roman"/>
          <w:sz w:val="24"/>
          <w:szCs w:val="24"/>
        </w:rPr>
        <w:t>2</w:t>
      </w:r>
      <w:r w:rsidRPr="0051667F">
        <w:rPr>
          <w:rFonts w:ascii="Times New Roman" w:eastAsia="Calibri" w:hAnsi="Times New Roman" w:cs="Times New Roman"/>
          <w:sz w:val="24"/>
          <w:szCs w:val="24"/>
        </w:rPr>
        <w:t xml:space="preserve">, o escore de eficiência  padronizado (E) revelou-se mais heterogêneo no modelo com retornos constantes à escala (CRS) do que nos modelos com retornos variáveis (VRS) e de eficiência de escala, assim como nos estudos de Barbosa e Sousa (2015), que estudaram </w:t>
      </w:r>
      <w:r w:rsidRPr="0051667F">
        <w:rPr>
          <w:rFonts w:ascii="Calibri" w:eastAsia="Calibri" w:hAnsi="Calibri" w:cs="Times New Roman"/>
        </w:rPr>
        <w:t xml:space="preserve"> </w:t>
      </w:r>
      <w:r w:rsidRPr="0051667F">
        <w:rPr>
          <w:rFonts w:ascii="Times New Roman" w:eastAsia="Calibri" w:hAnsi="Times New Roman" w:cs="Times New Roman"/>
          <w:sz w:val="24"/>
          <w:szCs w:val="24"/>
        </w:rPr>
        <w:t>a eficiência técnica e de escala do Índice de Desempenho do Sistema Único de Saúde (IDSUS) nos municípios do Nordeste brasileiro e Nunes e Sousa (2019) que avaliaram a eficiência no gerenciamento público com saúde para os municípios cearenses.</w:t>
      </w:r>
    </w:p>
    <w:p w14:paraId="1491BB39" w14:textId="5DD96724" w:rsidR="0051667F" w:rsidRPr="0051667F" w:rsidRDefault="0051667F" w:rsidP="0051667F">
      <w:pPr>
        <w:spacing w:after="0" w:line="360" w:lineRule="auto"/>
        <w:ind w:firstLine="708"/>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t xml:space="preserve">Com relação ao escore médio de eficiência técnica como se se observa na Tabela </w:t>
      </w:r>
      <w:r w:rsidR="009F7FEF">
        <w:rPr>
          <w:rFonts w:ascii="Times New Roman" w:eastAsia="Calibri" w:hAnsi="Times New Roman" w:cs="Times New Roman"/>
          <w:sz w:val="24"/>
          <w:szCs w:val="24"/>
        </w:rPr>
        <w:t>2</w:t>
      </w:r>
      <w:r w:rsidRPr="0051667F">
        <w:rPr>
          <w:rFonts w:ascii="Times New Roman" w:eastAsia="Calibri" w:hAnsi="Times New Roman" w:cs="Times New Roman"/>
          <w:sz w:val="24"/>
          <w:szCs w:val="24"/>
        </w:rPr>
        <w:t>, foi de 0,92, no modelo CRS.  Quanto às variáveis produto, as mesmas apresentaram, em média, um aumento proporcional de 0,10, mantendo inalterada a utilização da despesa média com saúde. No modelo VRS, a eficiência média foi de 0,94e o aumento proporcional médio nos produtos considerados neste trabalho foi de 0,06, mantendo inalteradas as despesas totais médias com saúde no ano considerado. Em ambos os modelos CRS e VRS, a região imediata de Aracati registrou os menores escores de eficiência, respectivamente, de 0,75 e 0,77.</w:t>
      </w:r>
    </w:p>
    <w:p w14:paraId="35C82371" w14:textId="38FDB82D" w:rsidR="0051667F" w:rsidRPr="0051667F" w:rsidRDefault="0051667F" w:rsidP="0051667F">
      <w:pPr>
        <w:spacing w:after="0" w:line="360" w:lineRule="auto"/>
        <w:ind w:firstLine="708"/>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t xml:space="preserve">Ainda na Tabela </w:t>
      </w:r>
      <w:r w:rsidR="009F7FEF">
        <w:rPr>
          <w:rFonts w:ascii="Times New Roman" w:eastAsia="Calibri" w:hAnsi="Times New Roman" w:cs="Times New Roman"/>
          <w:sz w:val="24"/>
          <w:szCs w:val="24"/>
        </w:rPr>
        <w:t>2</w:t>
      </w:r>
      <w:r w:rsidRPr="0051667F">
        <w:rPr>
          <w:rFonts w:ascii="Times New Roman" w:eastAsia="Calibri" w:hAnsi="Times New Roman" w:cs="Times New Roman"/>
          <w:sz w:val="24"/>
          <w:szCs w:val="24"/>
        </w:rPr>
        <w:t xml:space="preserve">, no que concerne à eficiência de escala, </w:t>
      </w:r>
      <w:r w:rsidR="000127BC">
        <w:rPr>
          <w:rFonts w:ascii="Times New Roman" w:eastAsia="Calibri" w:hAnsi="Times New Roman" w:cs="Times New Roman"/>
          <w:sz w:val="24"/>
          <w:szCs w:val="24"/>
        </w:rPr>
        <w:t xml:space="preserve">em termos </w:t>
      </w:r>
      <w:r w:rsidRPr="0051667F">
        <w:rPr>
          <w:rFonts w:ascii="Times New Roman" w:eastAsia="Calibri" w:hAnsi="Times New Roman" w:cs="Times New Roman"/>
          <w:sz w:val="24"/>
          <w:szCs w:val="24"/>
        </w:rPr>
        <w:t>médi</w:t>
      </w:r>
      <w:r w:rsidR="000127BC">
        <w:rPr>
          <w:rFonts w:ascii="Times New Roman" w:eastAsia="Calibri" w:hAnsi="Times New Roman" w:cs="Times New Roman"/>
          <w:sz w:val="24"/>
          <w:szCs w:val="24"/>
        </w:rPr>
        <w:t>os,</w:t>
      </w:r>
      <w:r w:rsidRPr="0051667F">
        <w:rPr>
          <w:rFonts w:ascii="Times New Roman" w:eastAsia="Calibri" w:hAnsi="Times New Roman" w:cs="Times New Roman"/>
          <w:sz w:val="24"/>
          <w:szCs w:val="24"/>
        </w:rPr>
        <w:t xml:space="preserve"> foi de 0,97, sendo Sobral a região imediata que se mostrou mais ineficiente no ano analisado, com escore de eficiência igual a 0,88. Com relação ao crescimento médio, nota-se que as regiões podem modificar sua escala de produção em 0,03, mantendo inalterado o insumo considerado. </w:t>
      </w:r>
      <w:r w:rsidRPr="0051667F">
        <w:rPr>
          <w:rFonts w:ascii="Times New Roman" w:eastAsia="Calibri" w:hAnsi="Times New Roman" w:cs="Times New Roman"/>
          <w:sz w:val="24"/>
          <w:szCs w:val="24"/>
        </w:rPr>
        <w:lastRenderedPageBreak/>
        <w:t xml:space="preserve">Dessa forma, percebe-se a necessidade de as regiões geográficas imediatas utilizarem de maneira adequada o insumo de </w:t>
      </w:r>
      <w:r w:rsidR="000127BC">
        <w:rPr>
          <w:rFonts w:ascii="Times New Roman" w:eastAsia="Calibri" w:hAnsi="Times New Roman" w:cs="Times New Roman"/>
          <w:sz w:val="24"/>
          <w:szCs w:val="24"/>
        </w:rPr>
        <w:t>modo</w:t>
      </w:r>
      <w:r w:rsidRPr="0051667F">
        <w:rPr>
          <w:rFonts w:ascii="Times New Roman" w:eastAsia="Calibri" w:hAnsi="Times New Roman" w:cs="Times New Roman"/>
          <w:sz w:val="24"/>
          <w:szCs w:val="24"/>
        </w:rPr>
        <w:t xml:space="preserve"> a melhorar a produção da saúde pública.</w:t>
      </w:r>
    </w:p>
    <w:p w14:paraId="5A04868F" w14:textId="329EA9CD" w:rsidR="0051667F" w:rsidRPr="0051667F" w:rsidRDefault="0051667F" w:rsidP="0051667F">
      <w:pPr>
        <w:spacing w:after="0" w:line="360" w:lineRule="auto"/>
        <w:ind w:firstLine="708"/>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t xml:space="preserve">Seguindo o critério de classificação estabelecido na metodologia, a Tabela </w:t>
      </w:r>
      <w:r w:rsidR="009F7FEF">
        <w:rPr>
          <w:rFonts w:ascii="Times New Roman" w:eastAsia="Calibri" w:hAnsi="Times New Roman" w:cs="Times New Roman"/>
          <w:sz w:val="24"/>
          <w:szCs w:val="24"/>
        </w:rPr>
        <w:t>3</w:t>
      </w:r>
      <w:r w:rsidRPr="0051667F">
        <w:rPr>
          <w:rFonts w:ascii="Times New Roman" w:eastAsia="Calibri" w:hAnsi="Times New Roman" w:cs="Times New Roman"/>
          <w:sz w:val="24"/>
          <w:szCs w:val="24"/>
        </w:rPr>
        <w:t xml:space="preserve"> apresenta as distribuições absolutas e relativas em classes de eficiência técnica e de escala da alocação dos gastos públicos em saúde para as regiões imediatas cearenses, em 2019. </w:t>
      </w:r>
    </w:p>
    <w:p w14:paraId="7AAAF3FD" w14:textId="05668D4C" w:rsidR="0051667F" w:rsidRPr="0051667F" w:rsidRDefault="0051667F" w:rsidP="0051667F">
      <w:pPr>
        <w:spacing w:line="240" w:lineRule="auto"/>
        <w:jc w:val="center"/>
        <w:rPr>
          <w:rFonts w:ascii="Times New Roman" w:eastAsia="Calibri" w:hAnsi="Times New Roman" w:cs="Times New Roman"/>
          <w:sz w:val="24"/>
          <w:szCs w:val="24"/>
        </w:rPr>
      </w:pPr>
      <w:r w:rsidRPr="0051667F">
        <w:rPr>
          <w:rFonts w:ascii="Times New Roman" w:eastAsia="Calibri" w:hAnsi="Times New Roman" w:cs="Times New Roman"/>
          <w:b/>
          <w:bCs/>
          <w:sz w:val="24"/>
          <w:szCs w:val="24"/>
        </w:rPr>
        <w:t xml:space="preserve">Tabela </w:t>
      </w:r>
      <w:r w:rsidR="00153BF8">
        <w:rPr>
          <w:rFonts w:ascii="Times New Roman" w:eastAsia="Calibri" w:hAnsi="Times New Roman" w:cs="Times New Roman"/>
          <w:b/>
          <w:bCs/>
          <w:sz w:val="24"/>
          <w:szCs w:val="24"/>
        </w:rPr>
        <w:t>3</w:t>
      </w:r>
      <w:r w:rsidRPr="0051667F">
        <w:rPr>
          <w:rFonts w:ascii="Times New Roman" w:eastAsia="Calibri" w:hAnsi="Times New Roman" w:cs="Times New Roman"/>
          <w:sz w:val="24"/>
          <w:szCs w:val="24"/>
        </w:rPr>
        <w:t xml:space="preserve"> - Distribuições absolutas e relativas dos gastos públicos no setor da saúde para as regiões imediatas do Ceará, conforme intervalos de medidas de eficiência técnica e de escala, em 2019.</w:t>
      </w:r>
    </w:p>
    <w:tbl>
      <w:tblPr>
        <w:tblStyle w:val="Tabelacomgrade2"/>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8"/>
        <w:gridCol w:w="2219"/>
        <w:gridCol w:w="595"/>
        <w:gridCol w:w="708"/>
        <w:gridCol w:w="709"/>
        <w:gridCol w:w="834"/>
        <w:gridCol w:w="816"/>
        <w:gridCol w:w="1042"/>
      </w:tblGrid>
      <w:tr w:rsidR="0051667F" w:rsidRPr="0051667F" w14:paraId="107033AB" w14:textId="77777777" w:rsidTr="00A57DBF">
        <w:trPr>
          <w:trHeight w:val="279"/>
          <w:jc w:val="center"/>
        </w:trPr>
        <w:tc>
          <w:tcPr>
            <w:tcW w:w="2148" w:type="dxa"/>
            <w:noWrap/>
            <w:hideMark/>
          </w:tcPr>
          <w:p w14:paraId="0B5F1B29"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Classes de eficiência</w:t>
            </w:r>
          </w:p>
        </w:tc>
        <w:tc>
          <w:tcPr>
            <w:tcW w:w="2247" w:type="dxa"/>
          </w:tcPr>
          <w:p w14:paraId="5AA1BD3F"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Grau de eficiência</w:t>
            </w:r>
          </w:p>
        </w:tc>
        <w:tc>
          <w:tcPr>
            <w:tcW w:w="2818" w:type="dxa"/>
            <w:gridSpan w:val="4"/>
            <w:tcBorders>
              <w:bottom w:val="single" w:sz="4" w:space="0" w:color="auto"/>
            </w:tcBorders>
            <w:noWrap/>
            <w:hideMark/>
          </w:tcPr>
          <w:p w14:paraId="09E6136D"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Eficiência Técnica</w:t>
            </w:r>
          </w:p>
        </w:tc>
        <w:tc>
          <w:tcPr>
            <w:tcW w:w="1858" w:type="dxa"/>
            <w:gridSpan w:val="2"/>
            <w:vMerge w:val="restart"/>
            <w:noWrap/>
            <w:hideMark/>
          </w:tcPr>
          <w:p w14:paraId="5A83E189"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Eficiência de Escala</w:t>
            </w:r>
          </w:p>
        </w:tc>
      </w:tr>
      <w:tr w:rsidR="0051667F" w:rsidRPr="0051667F" w14:paraId="2B36B918" w14:textId="77777777" w:rsidTr="00A57DBF">
        <w:trPr>
          <w:trHeight w:val="279"/>
          <w:jc w:val="center"/>
        </w:trPr>
        <w:tc>
          <w:tcPr>
            <w:tcW w:w="2148" w:type="dxa"/>
            <w:tcBorders>
              <w:bottom w:val="single" w:sz="4" w:space="0" w:color="auto"/>
            </w:tcBorders>
            <w:noWrap/>
            <w:hideMark/>
          </w:tcPr>
          <w:p w14:paraId="3B7AD401"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 </w:t>
            </w:r>
          </w:p>
        </w:tc>
        <w:tc>
          <w:tcPr>
            <w:tcW w:w="2247" w:type="dxa"/>
            <w:tcBorders>
              <w:bottom w:val="single" w:sz="4" w:space="0" w:color="auto"/>
            </w:tcBorders>
          </w:tcPr>
          <w:p w14:paraId="7223FCA2" w14:textId="77777777" w:rsidR="0051667F" w:rsidRPr="0051667F" w:rsidRDefault="0051667F" w:rsidP="0051667F">
            <w:pPr>
              <w:spacing w:after="0" w:line="240" w:lineRule="auto"/>
              <w:jc w:val="center"/>
              <w:rPr>
                <w:rFonts w:ascii="Times New Roman" w:eastAsia="Calibri" w:hAnsi="Times New Roman" w:cs="Times New Roman"/>
                <w:sz w:val="20"/>
                <w:szCs w:val="20"/>
              </w:rPr>
            </w:pPr>
          </w:p>
        </w:tc>
        <w:tc>
          <w:tcPr>
            <w:tcW w:w="567" w:type="dxa"/>
            <w:tcBorders>
              <w:top w:val="single" w:sz="4" w:space="0" w:color="auto"/>
              <w:bottom w:val="single" w:sz="4" w:space="0" w:color="auto"/>
            </w:tcBorders>
            <w:noWrap/>
            <w:hideMark/>
          </w:tcPr>
          <w:p w14:paraId="699FBD9F"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CRS</w:t>
            </w:r>
          </w:p>
        </w:tc>
        <w:tc>
          <w:tcPr>
            <w:tcW w:w="708" w:type="dxa"/>
            <w:tcBorders>
              <w:top w:val="single" w:sz="4" w:space="0" w:color="auto"/>
              <w:bottom w:val="single" w:sz="4" w:space="0" w:color="auto"/>
            </w:tcBorders>
            <w:noWrap/>
            <w:hideMark/>
          </w:tcPr>
          <w:p w14:paraId="303A76D2"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 </w:t>
            </w:r>
          </w:p>
        </w:tc>
        <w:tc>
          <w:tcPr>
            <w:tcW w:w="709" w:type="dxa"/>
            <w:tcBorders>
              <w:top w:val="single" w:sz="4" w:space="0" w:color="auto"/>
              <w:bottom w:val="single" w:sz="4" w:space="0" w:color="auto"/>
            </w:tcBorders>
            <w:noWrap/>
            <w:hideMark/>
          </w:tcPr>
          <w:p w14:paraId="4DED2C02"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VRS</w:t>
            </w:r>
          </w:p>
        </w:tc>
        <w:tc>
          <w:tcPr>
            <w:tcW w:w="834" w:type="dxa"/>
            <w:tcBorders>
              <w:top w:val="single" w:sz="4" w:space="0" w:color="auto"/>
              <w:bottom w:val="single" w:sz="4" w:space="0" w:color="auto"/>
            </w:tcBorders>
            <w:noWrap/>
            <w:hideMark/>
          </w:tcPr>
          <w:p w14:paraId="1EBE1AC7"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 </w:t>
            </w:r>
          </w:p>
        </w:tc>
        <w:tc>
          <w:tcPr>
            <w:tcW w:w="1858" w:type="dxa"/>
            <w:gridSpan w:val="2"/>
            <w:vMerge/>
            <w:tcBorders>
              <w:bottom w:val="single" w:sz="4" w:space="0" w:color="auto"/>
            </w:tcBorders>
            <w:hideMark/>
          </w:tcPr>
          <w:p w14:paraId="7E15F3CB" w14:textId="77777777" w:rsidR="0051667F" w:rsidRPr="0051667F" w:rsidRDefault="0051667F" w:rsidP="0051667F">
            <w:pPr>
              <w:spacing w:after="0" w:line="240" w:lineRule="auto"/>
              <w:jc w:val="center"/>
              <w:rPr>
                <w:rFonts w:ascii="Times New Roman" w:eastAsia="Calibri" w:hAnsi="Times New Roman" w:cs="Times New Roman"/>
                <w:sz w:val="20"/>
                <w:szCs w:val="20"/>
              </w:rPr>
            </w:pPr>
          </w:p>
        </w:tc>
      </w:tr>
      <w:tr w:rsidR="0051667F" w:rsidRPr="0051667F" w14:paraId="5889621C" w14:textId="77777777" w:rsidTr="00A57DBF">
        <w:trPr>
          <w:trHeight w:val="279"/>
          <w:jc w:val="center"/>
        </w:trPr>
        <w:tc>
          <w:tcPr>
            <w:tcW w:w="2148" w:type="dxa"/>
            <w:tcBorders>
              <w:top w:val="single" w:sz="4" w:space="0" w:color="auto"/>
            </w:tcBorders>
            <w:noWrap/>
            <w:hideMark/>
          </w:tcPr>
          <w:p w14:paraId="6D679B6B"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 </w:t>
            </w:r>
          </w:p>
        </w:tc>
        <w:tc>
          <w:tcPr>
            <w:tcW w:w="2247" w:type="dxa"/>
            <w:tcBorders>
              <w:top w:val="single" w:sz="4" w:space="0" w:color="auto"/>
            </w:tcBorders>
          </w:tcPr>
          <w:p w14:paraId="3AC23F93" w14:textId="77777777" w:rsidR="0051667F" w:rsidRPr="0051667F" w:rsidRDefault="0051667F" w:rsidP="0051667F">
            <w:pPr>
              <w:spacing w:after="0" w:line="240" w:lineRule="auto"/>
              <w:jc w:val="center"/>
              <w:rPr>
                <w:rFonts w:ascii="Times New Roman" w:eastAsia="Calibri" w:hAnsi="Times New Roman" w:cs="Times New Roman"/>
                <w:sz w:val="20"/>
                <w:szCs w:val="20"/>
              </w:rPr>
            </w:pPr>
          </w:p>
        </w:tc>
        <w:tc>
          <w:tcPr>
            <w:tcW w:w="567" w:type="dxa"/>
            <w:tcBorders>
              <w:top w:val="single" w:sz="4" w:space="0" w:color="auto"/>
            </w:tcBorders>
            <w:noWrap/>
            <w:hideMark/>
          </w:tcPr>
          <w:p w14:paraId="490DACDD" w14:textId="04251BAD" w:rsidR="0051667F" w:rsidRPr="0051667F" w:rsidRDefault="00890C6B" w:rsidP="0051667F">
            <w:pPr>
              <w:spacing w:after="0" w:line="240" w:lineRule="auto"/>
              <w:jc w:val="center"/>
              <w:rPr>
                <w:rFonts w:ascii="Times New Roman" w:eastAsia="Calibri" w:hAnsi="Times New Roman" w:cs="Times New Roman"/>
                <w:sz w:val="20"/>
                <w:szCs w:val="20"/>
              </w:rPr>
            </w:pPr>
            <w:proofErr w:type="spellStart"/>
            <w:r w:rsidRPr="0051667F">
              <w:rPr>
                <w:rFonts w:ascii="Times New Roman" w:eastAsia="Calibri" w:hAnsi="Times New Roman" w:cs="Times New Roman"/>
                <w:sz w:val="20"/>
                <w:szCs w:val="20"/>
              </w:rPr>
              <w:t>F</w:t>
            </w:r>
            <w:r w:rsidR="0051667F" w:rsidRPr="0051667F">
              <w:rPr>
                <w:rFonts w:ascii="Times New Roman" w:eastAsia="Calibri" w:hAnsi="Times New Roman" w:cs="Times New Roman"/>
                <w:sz w:val="20"/>
                <w:szCs w:val="20"/>
              </w:rPr>
              <w:t>i</w:t>
            </w:r>
            <w:proofErr w:type="spellEnd"/>
          </w:p>
        </w:tc>
        <w:tc>
          <w:tcPr>
            <w:tcW w:w="708" w:type="dxa"/>
            <w:tcBorders>
              <w:top w:val="single" w:sz="4" w:space="0" w:color="auto"/>
            </w:tcBorders>
            <w:noWrap/>
            <w:hideMark/>
          </w:tcPr>
          <w:p w14:paraId="2CAD788C"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w:t>
            </w:r>
          </w:p>
        </w:tc>
        <w:tc>
          <w:tcPr>
            <w:tcW w:w="709" w:type="dxa"/>
            <w:tcBorders>
              <w:top w:val="single" w:sz="4" w:space="0" w:color="auto"/>
            </w:tcBorders>
            <w:noWrap/>
            <w:hideMark/>
          </w:tcPr>
          <w:p w14:paraId="15F659AB" w14:textId="0CEF9F95" w:rsidR="0051667F" w:rsidRPr="0051667F" w:rsidRDefault="0033761B" w:rsidP="0051667F">
            <w:pPr>
              <w:spacing w:after="0" w:line="240" w:lineRule="auto"/>
              <w:jc w:val="center"/>
              <w:rPr>
                <w:rFonts w:ascii="Times New Roman" w:eastAsia="Calibri" w:hAnsi="Times New Roman" w:cs="Times New Roman"/>
                <w:sz w:val="20"/>
                <w:szCs w:val="20"/>
              </w:rPr>
            </w:pPr>
            <w:proofErr w:type="spellStart"/>
            <w:r w:rsidRPr="0051667F">
              <w:rPr>
                <w:rFonts w:ascii="Times New Roman" w:eastAsia="Calibri" w:hAnsi="Times New Roman" w:cs="Times New Roman"/>
                <w:sz w:val="20"/>
                <w:szCs w:val="20"/>
              </w:rPr>
              <w:t>F</w:t>
            </w:r>
            <w:r w:rsidR="0051667F" w:rsidRPr="0051667F">
              <w:rPr>
                <w:rFonts w:ascii="Times New Roman" w:eastAsia="Calibri" w:hAnsi="Times New Roman" w:cs="Times New Roman"/>
                <w:sz w:val="20"/>
                <w:szCs w:val="20"/>
              </w:rPr>
              <w:t>i</w:t>
            </w:r>
            <w:proofErr w:type="spellEnd"/>
          </w:p>
        </w:tc>
        <w:tc>
          <w:tcPr>
            <w:tcW w:w="834" w:type="dxa"/>
            <w:tcBorders>
              <w:top w:val="single" w:sz="4" w:space="0" w:color="auto"/>
            </w:tcBorders>
            <w:noWrap/>
            <w:hideMark/>
          </w:tcPr>
          <w:p w14:paraId="26DAC18D"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w:t>
            </w:r>
          </w:p>
        </w:tc>
        <w:tc>
          <w:tcPr>
            <w:tcW w:w="816" w:type="dxa"/>
            <w:tcBorders>
              <w:top w:val="single" w:sz="4" w:space="0" w:color="auto"/>
            </w:tcBorders>
            <w:noWrap/>
            <w:hideMark/>
          </w:tcPr>
          <w:p w14:paraId="313FFC31"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fi</w:t>
            </w:r>
          </w:p>
        </w:tc>
        <w:tc>
          <w:tcPr>
            <w:tcW w:w="1042" w:type="dxa"/>
            <w:tcBorders>
              <w:top w:val="single" w:sz="4" w:space="0" w:color="auto"/>
            </w:tcBorders>
            <w:noWrap/>
            <w:hideMark/>
          </w:tcPr>
          <w:p w14:paraId="7EBA9F97"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w:t>
            </w:r>
          </w:p>
        </w:tc>
      </w:tr>
      <w:tr w:rsidR="0051667F" w:rsidRPr="0051667F" w14:paraId="22D889A4" w14:textId="77777777" w:rsidTr="00A57DBF">
        <w:trPr>
          <w:trHeight w:val="279"/>
          <w:jc w:val="center"/>
        </w:trPr>
        <w:tc>
          <w:tcPr>
            <w:tcW w:w="2148" w:type="dxa"/>
            <w:noWrap/>
          </w:tcPr>
          <w:p w14:paraId="2985A88F"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E ≤ 0,25</w:t>
            </w:r>
          </w:p>
        </w:tc>
        <w:tc>
          <w:tcPr>
            <w:tcW w:w="2247" w:type="dxa"/>
          </w:tcPr>
          <w:p w14:paraId="07A04E5E"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Muito baixo</w:t>
            </w:r>
          </w:p>
        </w:tc>
        <w:tc>
          <w:tcPr>
            <w:tcW w:w="567" w:type="dxa"/>
            <w:noWrap/>
          </w:tcPr>
          <w:p w14:paraId="2BEB2C83" w14:textId="77777777" w:rsidR="0051667F" w:rsidRPr="0051667F" w:rsidRDefault="0051667F" w:rsidP="0051667F">
            <w:pPr>
              <w:spacing w:after="0" w:line="240" w:lineRule="auto"/>
              <w:jc w:val="center"/>
              <w:rPr>
                <w:rFonts w:ascii="Times New Roman" w:eastAsia="Calibri" w:hAnsi="Times New Roman" w:cs="Times New Roman"/>
                <w:sz w:val="20"/>
                <w:szCs w:val="20"/>
              </w:rPr>
            </w:pPr>
          </w:p>
        </w:tc>
        <w:tc>
          <w:tcPr>
            <w:tcW w:w="708" w:type="dxa"/>
            <w:noWrap/>
          </w:tcPr>
          <w:p w14:paraId="7817788D" w14:textId="77777777" w:rsidR="0051667F" w:rsidRPr="0051667F" w:rsidRDefault="0051667F" w:rsidP="0051667F">
            <w:pPr>
              <w:spacing w:after="0" w:line="240" w:lineRule="auto"/>
              <w:jc w:val="center"/>
              <w:rPr>
                <w:rFonts w:ascii="Times New Roman" w:eastAsia="Calibri" w:hAnsi="Times New Roman" w:cs="Times New Roman"/>
                <w:sz w:val="20"/>
                <w:szCs w:val="20"/>
              </w:rPr>
            </w:pPr>
          </w:p>
        </w:tc>
        <w:tc>
          <w:tcPr>
            <w:tcW w:w="709" w:type="dxa"/>
            <w:noWrap/>
          </w:tcPr>
          <w:p w14:paraId="3778A6B2" w14:textId="77777777" w:rsidR="0051667F" w:rsidRPr="0051667F" w:rsidRDefault="0051667F" w:rsidP="0051667F">
            <w:pPr>
              <w:spacing w:after="0" w:line="240" w:lineRule="auto"/>
              <w:jc w:val="center"/>
              <w:rPr>
                <w:rFonts w:ascii="Times New Roman" w:eastAsia="Calibri" w:hAnsi="Times New Roman" w:cs="Times New Roman"/>
                <w:sz w:val="20"/>
                <w:szCs w:val="20"/>
              </w:rPr>
            </w:pPr>
          </w:p>
        </w:tc>
        <w:tc>
          <w:tcPr>
            <w:tcW w:w="834" w:type="dxa"/>
            <w:noWrap/>
          </w:tcPr>
          <w:p w14:paraId="2A9FBCAD" w14:textId="77777777" w:rsidR="0051667F" w:rsidRPr="0051667F" w:rsidRDefault="0051667F" w:rsidP="0051667F">
            <w:pPr>
              <w:spacing w:after="0" w:line="240" w:lineRule="auto"/>
              <w:jc w:val="center"/>
              <w:rPr>
                <w:rFonts w:ascii="Times New Roman" w:eastAsia="Calibri" w:hAnsi="Times New Roman" w:cs="Times New Roman"/>
                <w:sz w:val="20"/>
                <w:szCs w:val="20"/>
              </w:rPr>
            </w:pPr>
          </w:p>
        </w:tc>
        <w:tc>
          <w:tcPr>
            <w:tcW w:w="816" w:type="dxa"/>
            <w:noWrap/>
          </w:tcPr>
          <w:p w14:paraId="4D1613A9" w14:textId="77777777" w:rsidR="0051667F" w:rsidRPr="0051667F" w:rsidRDefault="0051667F" w:rsidP="0051667F">
            <w:pPr>
              <w:spacing w:after="0" w:line="240" w:lineRule="auto"/>
              <w:jc w:val="center"/>
              <w:rPr>
                <w:rFonts w:ascii="Times New Roman" w:eastAsia="Calibri" w:hAnsi="Times New Roman" w:cs="Times New Roman"/>
                <w:sz w:val="20"/>
                <w:szCs w:val="20"/>
              </w:rPr>
            </w:pPr>
          </w:p>
        </w:tc>
        <w:tc>
          <w:tcPr>
            <w:tcW w:w="1042" w:type="dxa"/>
            <w:noWrap/>
          </w:tcPr>
          <w:p w14:paraId="62FD19ED" w14:textId="77777777" w:rsidR="0051667F" w:rsidRPr="0051667F" w:rsidRDefault="0051667F" w:rsidP="0051667F">
            <w:pPr>
              <w:spacing w:after="0" w:line="240" w:lineRule="auto"/>
              <w:jc w:val="center"/>
              <w:rPr>
                <w:rFonts w:ascii="Times New Roman" w:eastAsia="Calibri" w:hAnsi="Times New Roman" w:cs="Times New Roman"/>
                <w:sz w:val="20"/>
                <w:szCs w:val="20"/>
              </w:rPr>
            </w:pPr>
          </w:p>
        </w:tc>
      </w:tr>
      <w:tr w:rsidR="0051667F" w:rsidRPr="0051667F" w14:paraId="7C8640D8" w14:textId="77777777" w:rsidTr="00A57DBF">
        <w:trPr>
          <w:trHeight w:val="279"/>
          <w:jc w:val="center"/>
        </w:trPr>
        <w:tc>
          <w:tcPr>
            <w:tcW w:w="2148" w:type="dxa"/>
            <w:noWrap/>
            <w:hideMark/>
          </w:tcPr>
          <w:p w14:paraId="68252BAC"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0,25 &lt; E ≤ 0,50</w:t>
            </w:r>
          </w:p>
        </w:tc>
        <w:tc>
          <w:tcPr>
            <w:tcW w:w="2247" w:type="dxa"/>
          </w:tcPr>
          <w:p w14:paraId="7509502E"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Baixo</w:t>
            </w:r>
          </w:p>
        </w:tc>
        <w:tc>
          <w:tcPr>
            <w:tcW w:w="567" w:type="dxa"/>
            <w:noWrap/>
            <w:hideMark/>
          </w:tcPr>
          <w:p w14:paraId="0155E7BB"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w:t>
            </w:r>
          </w:p>
        </w:tc>
        <w:tc>
          <w:tcPr>
            <w:tcW w:w="708" w:type="dxa"/>
            <w:noWrap/>
            <w:hideMark/>
          </w:tcPr>
          <w:p w14:paraId="57A79D84"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w:t>
            </w:r>
          </w:p>
        </w:tc>
        <w:tc>
          <w:tcPr>
            <w:tcW w:w="709" w:type="dxa"/>
            <w:noWrap/>
            <w:hideMark/>
          </w:tcPr>
          <w:p w14:paraId="5452ADB7"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w:t>
            </w:r>
          </w:p>
        </w:tc>
        <w:tc>
          <w:tcPr>
            <w:tcW w:w="834" w:type="dxa"/>
            <w:noWrap/>
            <w:hideMark/>
          </w:tcPr>
          <w:p w14:paraId="02DF25D8"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w:t>
            </w:r>
          </w:p>
        </w:tc>
        <w:tc>
          <w:tcPr>
            <w:tcW w:w="816" w:type="dxa"/>
            <w:noWrap/>
            <w:hideMark/>
          </w:tcPr>
          <w:p w14:paraId="45BB7336"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w:t>
            </w:r>
          </w:p>
        </w:tc>
        <w:tc>
          <w:tcPr>
            <w:tcW w:w="1042" w:type="dxa"/>
            <w:noWrap/>
            <w:hideMark/>
          </w:tcPr>
          <w:p w14:paraId="433FAABF"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w:t>
            </w:r>
          </w:p>
        </w:tc>
      </w:tr>
      <w:tr w:rsidR="0051667F" w:rsidRPr="0051667F" w14:paraId="4A8F8E56" w14:textId="77777777" w:rsidTr="00A57DBF">
        <w:trPr>
          <w:trHeight w:val="279"/>
          <w:jc w:val="center"/>
        </w:trPr>
        <w:tc>
          <w:tcPr>
            <w:tcW w:w="2148" w:type="dxa"/>
            <w:noWrap/>
            <w:hideMark/>
          </w:tcPr>
          <w:p w14:paraId="4572880B"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0,50 &lt; E ≤ 0,75</w:t>
            </w:r>
          </w:p>
        </w:tc>
        <w:tc>
          <w:tcPr>
            <w:tcW w:w="2247" w:type="dxa"/>
          </w:tcPr>
          <w:p w14:paraId="55D9E549"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Médio</w:t>
            </w:r>
          </w:p>
        </w:tc>
        <w:tc>
          <w:tcPr>
            <w:tcW w:w="567" w:type="dxa"/>
            <w:noWrap/>
            <w:hideMark/>
          </w:tcPr>
          <w:p w14:paraId="233E12D0"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w:t>
            </w:r>
          </w:p>
        </w:tc>
        <w:tc>
          <w:tcPr>
            <w:tcW w:w="708" w:type="dxa"/>
            <w:noWrap/>
            <w:hideMark/>
          </w:tcPr>
          <w:p w14:paraId="1F64819E"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5,6</w:t>
            </w:r>
          </w:p>
        </w:tc>
        <w:tc>
          <w:tcPr>
            <w:tcW w:w="709" w:type="dxa"/>
            <w:noWrap/>
            <w:hideMark/>
          </w:tcPr>
          <w:p w14:paraId="6DCD4BE2"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w:t>
            </w:r>
          </w:p>
        </w:tc>
        <w:tc>
          <w:tcPr>
            <w:tcW w:w="834" w:type="dxa"/>
            <w:noWrap/>
            <w:hideMark/>
          </w:tcPr>
          <w:p w14:paraId="77E513DC"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w:t>
            </w:r>
          </w:p>
        </w:tc>
        <w:tc>
          <w:tcPr>
            <w:tcW w:w="816" w:type="dxa"/>
            <w:noWrap/>
            <w:hideMark/>
          </w:tcPr>
          <w:p w14:paraId="2A37DB61"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w:t>
            </w:r>
          </w:p>
        </w:tc>
        <w:tc>
          <w:tcPr>
            <w:tcW w:w="1042" w:type="dxa"/>
            <w:noWrap/>
            <w:hideMark/>
          </w:tcPr>
          <w:p w14:paraId="3BE7E6D7"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0,0</w:t>
            </w:r>
          </w:p>
        </w:tc>
      </w:tr>
      <w:tr w:rsidR="0051667F" w:rsidRPr="0051667F" w14:paraId="760A9827" w14:textId="77777777" w:rsidTr="00A57DBF">
        <w:trPr>
          <w:trHeight w:val="279"/>
          <w:jc w:val="center"/>
        </w:trPr>
        <w:tc>
          <w:tcPr>
            <w:tcW w:w="2148" w:type="dxa"/>
            <w:noWrap/>
            <w:hideMark/>
          </w:tcPr>
          <w:p w14:paraId="005456FB"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0,75&lt; E&lt; 1</w:t>
            </w:r>
          </w:p>
        </w:tc>
        <w:tc>
          <w:tcPr>
            <w:tcW w:w="2247" w:type="dxa"/>
          </w:tcPr>
          <w:p w14:paraId="3E999794"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Alto</w:t>
            </w:r>
          </w:p>
        </w:tc>
        <w:tc>
          <w:tcPr>
            <w:tcW w:w="567" w:type="dxa"/>
            <w:noWrap/>
            <w:hideMark/>
          </w:tcPr>
          <w:p w14:paraId="2558CBAE"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10</w:t>
            </w:r>
          </w:p>
        </w:tc>
        <w:tc>
          <w:tcPr>
            <w:tcW w:w="708" w:type="dxa"/>
            <w:noWrap/>
            <w:hideMark/>
          </w:tcPr>
          <w:p w14:paraId="5A8A9BF0"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55,6</w:t>
            </w:r>
          </w:p>
        </w:tc>
        <w:tc>
          <w:tcPr>
            <w:tcW w:w="709" w:type="dxa"/>
            <w:noWrap/>
            <w:hideMark/>
          </w:tcPr>
          <w:p w14:paraId="128D3C34"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11</w:t>
            </w:r>
          </w:p>
        </w:tc>
        <w:tc>
          <w:tcPr>
            <w:tcW w:w="834" w:type="dxa"/>
            <w:noWrap/>
            <w:hideMark/>
          </w:tcPr>
          <w:p w14:paraId="4F4B4D96"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61,1</w:t>
            </w:r>
          </w:p>
        </w:tc>
        <w:tc>
          <w:tcPr>
            <w:tcW w:w="816" w:type="dxa"/>
            <w:noWrap/>
            <w:hideMark/>
          </w:tcPr>
          <w:p w14:paraId="16EC6443"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11</w:t>
            </w:r>
          </w:p>
        </w:tc>
        <w:tc>
          <w:tcPr>
            <w:tcW w:w="1042" w:type="dxa"/>
            <w:noWrap/>
            <w:hideMark/>
          </w:tcPr>
          <w:p w14:paraId="05CF1FFB"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61,1</w:t>
            </w:r>
          </w:p>
        </w:tc>
      </w:tr>
      <w:tr w:rsidR="0051667F" w:rsidRPr="0051667F" w14:paraId="4E9B0C91" w14:textId="77777777" w:rsidTr="00A57DBF">
        <w:trPr>
          <w:trHeight w:val="279"/>
          <w:jc w:val="center"/>
        </w:trPr>
        <w:tc>
          <w:tcPr>
            <w:tcW w:w="2148" w:type="dxa"/>
            <w:tcBorders>
              <w:bottom w:val="single" w:sz="4" w:space="0" w:color="auto"/>
            </w:tcBorders>
            <w:noWrap/>
            <w:hideMark/>
          </w:tcPr>
          <w:p w14:paraId="0F7C044F"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E = 1,0</w:t>
            </w:r>
          </w:p>
        </w:tc>
        <w:tc>
          <w:tcPr>
            <w:tcW w:w="2247" w:type="dxa"/>
            <w:tcBorders>
              <w:bottom w:val="single" w:sz="4" w:space="0" w:color="auto"/>
            </w:tcBorders>
          </w:tcPr>
          <w:p w14:paraId="23BE1328"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Plenamente eficiente</w:t>
            </w:r>
          </w:p>
        </w:tc>
        <w:tc>
          <w:tcPr>
            <w:tcW w:w="567" w:type="dxa"/>
            <w:tcBorders>
              <w:bottom w:val="single" w:sz="4" w:space="0" w:color="auto"/>
            </w:tcBorders>
            <w:noWrap/>
            <w:hideMark/>
          </w:tcPr>
          <w:p w14:paraId="4DF1B1CF"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7</w:t>
            </w:r>
          </w:p>
        </w:tc>
        <w:tc>
          <w:tcPr>
            <w:tcW w:w="708" w:type="dxa"/>
            <w:tcBorders>
              <w:bottom w:val="single" w:sz="4" w:space="0" w:color="auto"/>
            </w:tcBorders>
            <w:noWrap/>
            <w:hideMark/>
          </w:tcPr>
          <w:p w14:paraId="4C3F2897"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38,9</w:t>
            </w:r>
          </w:p>
        </w:tc>
        <w:tc>
          <w:tcPr>
            <w:tcW w:w="709" w:type="dxa"/>
            <w:tcBorders>
              <w:bottom w:val="single" w:sz="4" w:space="0" w:color="auto"/>
            </w:tcBorders>
            <w:noWrap/>
            <w:hideMark/>
          </w:tcPr>
          <w:p w14:paraId="2E051341"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7</w:t>
            </w:r>
          </w:p>
        </w:tc>
        <w:tc>
          <w:tcPr>
            <w:tcW w:w="834" w:type="dxa"/>
            <w:tcBorders>
              <w:bottom w:val="single" w:sz="4" w:space="0" w:color="auto"/>
            </w:tcBorders>
            <w:noWrap/>
            <w:hideMark/>
          </w:tcPr>
          <w:p w14:paraId="13C07BC2"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38,9</w:t>
            </w:r>
          </w:p>
        </w:tc>
        <w:tc>
          <w:tcPr>
            <w:tcW w:w="816" w:type="dxa"/>
            <w:tcBorders>
              <w:bottom w:val="single" w:sz="4" w:space="0" w:color="auto"/>
            </w:tcBorders>
            <w:noWrap/>
            <w:hideMark/>
          </w:tcPr>
          <w:p w14:paraId="5A587E78"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7</w:t>
            </w:r>
          </w:p>
        </w:tc>
        <w:tc>
          <w:tcPr>
            <w:tcW w:w="1042" w:type="dxa"/>
            <w:tcBorders>
              <w:bottom w:val="single" w:sz="4" w:space="0" w:color="auto"/>
            </w:tcBorders>
            <w:noWrap/>
            <w:hideMark/>
          </w:tcPr>
          <w:p w14:paraId="0FF895E4"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38,9</w:t>
            </w:r>
          </w:p>
        </w:tc>
      </w:tr>
      <w:tr w:rsidR="0051667F" w:rsidRPr="0051667F" w14:paraId="3335ADE9" w14:textId="77777777" w:rsidTr="00A57DBF">
        <w:trPr>
          <w:trHeight w:val="279"/>
          <w:jc w:val="center"/>
        </w:trPr>
        <w:tc>
          <w:tcPr>
            <w:tcW w:w="2148" w:type="dxa"/>
            <w:tcBorders>
              <w:top w:val="single" w:sz="4" w:space="0" w:color="auto"/>
            </w:tcBorders>
            <w:noWrap/>
            <w:hideMark/>
          </w:tcPr>
          <w:p w14:paraId="2D3DEE1E"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Total</w:t>
            </w:r>
          </w:p>
        </w:tc>
        <w:tc>
          <w:tcPr>
            <w:tcW w:w="2247" w:type="dxa"/>
            <w:tcBorders>
              <w:top w:val="single" w:sz="4" w:space="0" w:color="auto"/>
            </w:tcBorders>
          </w:tcPr>
          <w:p w14:paraId="3BE4CDC4" w14:textId="77777777" w:rsidR="0051667F" w:rsidRPr="0051667F" w:rsidRDefault="0051667F" w:rsidP="0051667F">
            <w:pPr>
              <w:spacing w:after="0" w:line="240" w:lineRule="auto"/>
              <w:jc w:val="center"/>
              <w:rPr>
                <w:rFonts w:ascii="Times New Roman" w:eastAsia="Calibri" w:hAnsi="Times New Roman" w:cs="Times New Roman"/>
                <w:sz w:val="20"/>
                <w:szCs w:val="20"/>
              </w:rPr>
            </w:pPr>
          </w:p>
        </w:tc>
        <w:tc>
          <w:tcPr>
            <w:tcW w:w="567" w:type="dxa"/>
            <w:tcBorders>
              <w:top w:val="single" w:sz="4" w:space="0" w:color="auto"/>
            </w:tcBorders>
            <w:noWrap/>
            <w:hideMark/>
          </w:tcPr>
          <w:p w14:paraId="53B69C03"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18</w:t>
            </w:r>
          </w:p>
        </w:tc>
        <w:tc>
          <w:tcPr>
            <w:tcW w:w="708" w:type="dxa"/>
            <w:tcBorders>
              <w:top w:val="single" w:sz="4" w:space="0" w:color="auto"/>
            </w:tcBorders>
            <w:noWrap/>
            <w:hideMark/>
          </w:tcPr>
          <w:p w14:paraId="1F8C07B1"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100.0</w:t>
            </w:r>
          </w:p>
        </w:tc>
        <w:tc>
          <w:tcPr>
            <w:tcW w:w="709" w:type="dxa"/>
            <w:tcBorders>
              <w:top w:val="single" w:sz="4" w:space="0" w:color="auto"/>
            </w:tcBorders>
            <w:noWrap/>
            <w:hideMark/>
          </w:tcPr>
          <w:p w14:paraId="5A0FDAA8"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18</w:t>
            </w:r>
          </w:p>
        </w:tc>
        <w:tc>
          <w:tcPr>
            <w:tcW w:w="834" w:type="dxa"/>
            <w:tcBorders>
              <w:top w:val="single" w:sz="4" w:space="0" w:color="auto"/>
            </w:tcBorders>
            <w:noWrap/>
            <w:hideMark/>
          </w:tcPr>
          <w:p w14:paraId="2D443234"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100,0</w:t>
            </w:r>
          </w:p>
        </w:tc>
        <w:tc>
          <w:tcPr>
            <w:tcW w:w="816" w:type="dxa"/>
            <w:tcBorders>
              <w:top w:val="single" w:sz="4" w:space="0" w:color="auto"/>
            </w:tcBorders>
            <w:noWrap/>
            <w:hideMark/>
          </w:tcPr>
          <w:p w14:paraId="2C46C032"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18</w:t>
            </w:r>
          </w:p>
        </w:tc>
        <w:tc>
          <w:tcPr>
            <w:tcW w:w="1042" w:type="dxa"/>
            <w:tcBorders>
              <w:top w:val="single" w:sz="4" w:space="0" w:color="auto"/>
            </w:tcBorders>
            <w:noWrap/>
            <w:hideMark/>
          </w:tcPr>
          <w:p w14:paraId="314806B2"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100,0</w:t>
            </w:r>
          </w:p>
        </w:tc>
      </w:tr>
    </w:tbl>
    <w:p w14:paraId="2D5D95EB" w14:textId="77777777" w:rsidR="0051667F" w:rsidRPr="0051667F" w:rsidRDefault="0051667F" w:rsidP="0051667F">
      <w:pPr>
        <w:spacing w:line="240" w:lineRule="auto"/>
        <w:jc w:val="center"/>
        <w:rPr>
          <w:rFonts w:ascii="Times New Roman" w:eastAsia="Calibri" w:hAnsi="Times New Roman" w:cs="Times New Roman"/>
          <w:sz w:val="24"/>
          <w:szCs w:val="24"/>
        </w:rPr>
      </w:pPr>
      <w:r w:rsidRPr="0051667F">
        <w:rPr>
          <w:rFonts w:ascii="Times New Roman" w:eastAsia="Calibri" w:hAnsi="Times New Roman" w:cs="Times New Roman"/>
          <w:sz w:val="20"/>
          <w:szCs w:val="20"/>
        </w:rPr>
        <w:t>Fonte: Elaborado pelos autores com base nos dados da pesquisa</w:t>
      </w:r>
      <w:r w:rsidRPr="0051667F">
        <w:rPr>
          <w:rFonts w:ascii="Times New Roman" w:eastAsia="Calibri" w:hAnsi="Times New Roman" w:cs="Times New Roman"/>
          <w:sz w:val="24"/>
          <w:szCs w:val="24"/>
        </w:rPr>
        <w:t xml:space="preserve"> </w:t>
      </w:r>
    </w:p>
    <w:p w14:paraId="7A4D1CC7" w14:textId="65AC3AE0" w:rsidR="0051667F" w:rsidRPr="0051667F" w:rsidRDefault="0051667F" w:rsidP="0051667F">
      <w:pPr>
        <w:spacing w:after="0" w:line="360" w:lineRule="auto"/>
        <w:ind w:firstLine="708"/>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t xml:space="preserve">Como se verifica na Tabela </w:t>
      </w:r>
      <w:r w:rsidR="009F7FEF">
        <w:rPr>
          <w:rFonts w:ascii="Times New Roman" w:eastAsia="Calibri" w:hAnsi="Times New Roman" w:cs="Times New Roman"/>
          <w:sz w:val="24"/>
          <w:szCs w:val="24"/>
        </w:rPr>
        <w:t>3</w:t>
      </w:r>
      <w:r w:rsidRPr="0051667F">
        <w:rPr>
          <w:rFonts w:ascii="Times New Roman" w:eastAsia="Calibri" w:hAnsi="Times New Roman" w:cs="Times New Roman"/>
          <w:sz w:val="24"/>
          <w:szCs w:val="24"/>
        </w:rPr>
        <w:t xml:space="preserve">, a proporção de regiões imediatas cearenses plenamente eficientes foi semelhante tanto na mensuração da eficiência técnica nos modelos CRS e VRS, como também na eficiência de escala, mostrando ausência de regiões imediatas com escores de eficiência classificados como muito baixo e baixo. Esse resultado corrobora os obtidos por Nunes e Sousa (2019) para o modelo VRS, quando consideraram a análise realizada sobre o gerenciamento público com saúde para os municípios cearenses, porém não é ratificado nos modelos CRS e de escala, visto que encontraram, respectivamente, 41,36% e 16% dos municípios com escores de eficiência inferior a 0,5.  </w:t>
      </w:r>
    </w:p>
    <w:p w14:paraId="7B55F846" w14:textId="77777777" w:rsidR="0051667F" w:rsidRPr="0051667F" w:rsidRDefault="0051667F" w:rsidP="0051667F">
      <w:pPr>
        <w:spacing w:after="0" w:line="360" w:lineRule="auto"/>
        <w:ind w:firstLine="708"/>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t xml:space="preserve">No tocante às regiões eficientes, das 18 regiões imediatas cearenses, sete delas (Brejo Santo, Fortaleza, Itapagé, Redenção-Acarape, Russas-Limoeiro do Norte, São Benedito-Ipu-Guaraciaba do Norte-Tianguá e Tauá), que corresponde a 38,89%, mostraram-se plenamente eficientes tanto em termos técnicos, quanto em relação à escala de produção (Tabela 5). Esses resultados registraram maior participação relativa do que os obtidos por Andrett </w:t>
      </w:r>
      <w:r w:rsidRPr="0051667F">
        <w:rPr>
          <w:rFonts w:ascii="Times New Roman" w:eastAsia="Calibri" w:hAnsi="Times New Roman" w:cs="Times New Roman"/>
          <w:i/>
          <w:iCs/>
          <w:sz w:val="24"/>
          <w:szCs w:val="24"/>
        </w:rPr>
        <w:t>et al.</w:t>
      </w:r>
      <w:r w:rsidRPr="0051667F">
        <w:rPr>
          <w:rFonts w:ascii="Times New Roman" w:eastAsia="Calibri" w:hAnsi="Times New Roman" w:cs="Times New Roman"/>
          <w:sz w:val="24"/>
          <w:szCs w:val="24"/>
        </w:rPr>
        <w:t xml:space="preserve"> (2018), que analisaram a eficiência em saúde para os estados brasileiros no período de 2005 a 2014, e obtiveram frequências relativas de DMUs plenamente eficientes de 7% a 22% nos anos </w:t>
      </w:r>
      <w:r w:rsidRPr="0051667F">
        <w:rPr>
          <w:rFonts w:ascii="Times New Roman" w:eastAsia="Calibri" w:hAnsi="Times New Roman" w:cs="Times New Roman"/>
          <w:sz w:val="24"/>
          <w:szCs w:val="24"/>
        </w:rPr>
        <w:lastRenderedPageBreak/>
        <w:t xml:space="preserve">estudados. Oliveira, Mota e Vasconcelos (2020), ao procederem a pesquisa concernente à eficiência dos gastos com saúde para os municípios mais populosos do Ceará no biênio 2016 – 2017, obtiveram participação relativa para o modelo VRS de 31,42% em 2016 e 34,28% em 2017, estando bem mais próximas as verificadas no presente estudo. Por outro lado, ao se comparar com a pesquisa de Bonatto </w:t>
      </w:r>
      <w:r w:rsidRPr="0051667F">
        <w:rPr>
          <w:rFonts w:ascii="Times New Roman" w:eastAsia="Calibri" w:hAnsi="Times New Roman" w:cs="Times New Roman"/>
          <w:i/>
          <w:iCs/>
          <w:sz w:val="24"/>
          <w:szCs w:val="24"/>
        </w:rPr>
        <w:t>et al</w:t>
      </w:r>
      <w:r w:rsidRPr="0051667F">
        <w:rPr>
          <w:rFonts w:ascii="Times New Roman" w:eastAsia="Calibri" w:hAnsi="Times New Roman" w:cs="Times New Roman"/>
          <w:sz w:val="24"/>
          <w:szCs w:val="24"/>
        </w:rPr>
        <w:t xml:space="preserve"> (2022), que avaliaram a eficiência em saúde na microrregião paranaense de Paranaguá, para os anos de 2008, 2012 e 2016, constataram que as participações das DMUs eficientes foram superiores às encontradas no presente trabalho, equivalendo a 57,14% no modelo CRS; 71,43% no modelo VRS; e 71,43% também na eficiência de escala nos anos 2008 e 2012, e em todas as categorias do ano 2016. Tais inferências estão consistentes com a literatura que aponta resultados melhores para a região Sul, onde se localiza a microrregião paranaense de Paranaguá, em relação à região Nordeste, onde está sediada as regiões imediatas cearenses.</w:t>
      </w:r>
    </w:p>
    <w:p w14:paraId="2C228A8B" w14:textId="77777777" w:rsidR="0051667F" w:rsidRPr="0051667F" w:rsidRDefault="0051667F" w:rsidP="0051667F">
      <w:pPr>
        <w:spacing w:after="0" w:line="360" w:lineRule="auto"/>
        <w:jc w:val="both"/>
        <w:rPr>
          <w:rFonts w:ascii="Times New Roman" w:eastAsia="Calibri" w:hAnsi="Times New Roman" w:cs="Times New Roman"/>
          <w:b/>
          <w:bCs/>
          <w:sz w:val="24"/>
          <w:szCs w:val="24"/>
        </w:rPr>
      </w:pPr>
      <w:r w:rsidRPr="0051667F">
        <w:rPr>
          <w:rFonts w:ascii="Times New Roman" w:eastAsia="Calibri" w:hAnsi="Times New Roman" w:cs="Times New Roman"/>
          <w:b/>
          <w:bCs/>
          <w:sz w:val="24"/>
          <w:szCs w:val="24"/>
        </w:rPr>
        <w:t>4.2. Análise dos escores de eficiência média dos gastos públicos no setor de saúde para as regiões imediatas do Ceará, segundo o PIB médio per capita</w:t>
      </w:r>
    </w:p>
    <w:p w14:paraId="4429CCBD" w14:textId="77777777" w:rsidR="0051667F" w:rsidRPr="0051667F" w:rsidRDefault="0051667F" w:rsidP="0051667F">
      <w:pPr>
        <w:spacing w:after="0" w:line="360" w:lineRule="auto"/>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tab/>
        <w:t xml:space="preserve">Sendo o Produto Interno Bruto (PIB) uma medida de desempenho da economia, nesta subseção analisou-se a relação existente entre o PIB médio </w:t>
      </w:r>
      <w:r w:rsidRPr="0051667F">
        <w:rPr>
          <w:rFonts w:ascii="Times New Roman" w:eastAsia="Calibri" w:hAnsi="Times New Roman" w:cs="Times New Roman"/>
          <w:i/>
          <w:iCs/>
          <w:sz w:val="24"/>
          <w:szCs w:val="24"/>
        </w:rPr>
        <w:t>per capita</w:t>
      </w:r>
      <w:r w:rsidRPr="0051667F">
        <w:rPr>
          <w:rFonts w:ascii="Times New Roman" w:eastAsia="Calibri" w:hAnsi="Times New Roman" w:cs="Times New Roman"/>
          <w:sz w:val="24"/>
          <w:szCs w:val="24"/>
        </w:rPr>
        <w:t xml:space="preserve"> e as medidas de eficiência técnica (CRS e VRS) na alocação dos gastos em saúde nas regiões imediatas cearenses. Para tanto, adotou-se o critério proposto por Zoghbi </w:t>
      </w:r>
      <w:r w:rsidRPr="0051667F">
        <w:rPr>
          <w:rFonts w:ascii="Times New Roman" w:eastAsia="Calibri" w:hAnsi="Times New Roman" w:cs="Times New Roman"/>
          <w:i/>
          <w:iCs/>
          <w:sz w:val="24"/>
          <w:szCs w:val="24"/>
        </w:rPr>
        <w:t>et al.</w:t>
      </w:r>
      <w:r w:rsidRPr="0051667F">
        <w:rPr>
          <w:rFonts w:ascii="Times New Roman" w:eastAsia="Calibri" w:hAnsi="Times New Roman" w:cs="Times New Roman"/>
          <w:sz w:val="24"/>
          <w:szCs w:val="24"/>
        </w:rPr>
        <w:t xml:space="preserve"> (2011), que procederam a análise de eficiência para os gastos em educação fundamental nos municípios de São Paulo, distribuída em grupos equivalentes de quartis do PIB </w:t>
      </w:r>
      <w:r w:rsidRPr="0051667F">
        <w:rPr>
          <w:rFonts w:ascii="Times New Roman" w:eastAsia="Calibri" w:hAnsi="Times New Roman" w:cs="Times New Roman"/>
          <w:i/>
          <w:iCs/>
          <w:sz w:val="24"/>
          <w:szCs w:val="24"/>
        </w:rPr>
        <w:t>per capita</w:t>
      </w:r>
      <w:r w:rsidRPr="0051667F">
        <w:rPr>
          <w:rFonts w:ascii="Times New Roman" w:eastAsia="Calibri" w:hAnsi="Times New Roman" w:cs="Times New Roman"/>
          <w:sz w:val="24"/>
          <w:szCs w:val="24"/>
        </w:rPr>
        <w:t xml:space="preserve">, sendo o primeiro constituído pelo grupo de municípios com menores PIB </w:t>
      </w:r>
      <w:r w:rsidRPr="0051667F">
        <w:rPr>
          <w:rFonts w:ascii="Times New Roman" w:eastAsia="Calibri" w:hAnsi="Times New Roman" w:cs="Times New Roman"/>
          <w:i/>
          <w:iCs/>
          <w:sz w:val="24"/>
          <w:szCs w:val="24"/>
        </w:rPr>
        <w:t>per capita</w:t>
      </w:r>
      <w:r w:rsidRPr="0051667F">
        <w:rPr>
          <w:rFonts w:ascii="Times New Roman" w:eastAsia="Calibri" w:hAnsi="Times New Roman" w:cs="Times New Roman"/>
          <w:sz w:val="24"/>
          <w:szCs w:val="24"/>
        </w:rPr>
        <w:t xml:space="preserve"> e o último formado pelo grupo de municípios com maiores PIB </w:t>
      </w:r>
      <w:r w:rsidRPr="0051667F">
        <w:rPr>
          <w:rFonts w:ascii="Times New Roman" w:eastAsia="Calibri" w:hAnsi="Times New Roman" w:cs="Times New Roman"/>
          <w:i/>
          <w:iCs/>
          <w:sz w:val="24"/>
          <w:szCs w:val="24"/>
        </w:rPr>
        <w:t xml:space="preserve">per capita. </w:t>
      </w:r>
      <w:r w:rsidRPr="0051667F">
        <w:rPr>
          <w:rFonts w:ascii="Times New Roman" w:eastAsia="Calibri" w:hAnsi="Times New Roman" w:cs="Times New Roman"/>
          <w:sz w:val="24"/>
          <w:szCs w:val="24"/>
        </w:rPr>
        <w:t xml:space="preserve">Esse critério foi replicado por Nunes e Sousa (2019) para a análise da eficiência no gerenciamento público com a saúde para os municípios cearenses para o ano de 2013. Considerando este critério estabelecido, tem-se, neste presente estudo, que o primeiro quartil compreende as seis regiões imediatas com menores PIB </w:t>
      </w:r>
      <w:r w:rsidRPr="0051667F">
        <w:rPr>
          <w:rFonts w:ascii="Times New Roman" w:eastAsia="Calibri" w:hAnsi="Times New Roman" w:cs="Times New Roman"/>
          <w:i/>
          <w:iCs/>
          <w:sz w:val="24"/>
          <w:szCs w:val="24"/>
        </w:rPr>
        <w:t>per capita</w:t>
      </w:r>
      <w:r w:rsidRPr="0051667F">
        <w:rPr>
          <w:rFonts w:ascii="Times New Roman" w:eastAsia="Calibri" w:hAnsi="Times New Roman" w:cs="Times New Roman"/>
          <w:sz w:val="24"/>
          <w:szCs w:val="24"/>
        </w:rPr>
        <w:t xml:space="preserve"> médio, correspondente a R$8.639,85. O segundo quartil equivale ao grupo intermediário de seis regiões imediatas que possuem PIB </w:t>
      </w:r>
      <w:r w:rsidRPr="0051667F">
        <w:rPr>
          <w:rFonts w:ascii="Times New Roman" w:eastAsia="Calibri" w:hAnsi="Times New Roman" w:cs="Times New Roman"/>
          <w:i/>
          <w:iCs/>
          <w:sz w:val="24"/>
          <w:szCs w:val="24"/>
        </w:rPr>
        <w:t>per capita</w:t>
      </w:r>
      <w:r w:rsidRPr="0051667F">
        <w:rPr>
          <w:rFonts w:ascii="Times New Roman" w:eastAsia="Calibri" w:hAnsi="Times New Roman" w:cs="Times New Roman"/>
          <w:sz w:val="24"/>
          <w:szCs w:val="24"/>
        </w:rPr>
        <w:t xml:space="preserve"> médio de R$10.166,75. Por último, no terceiro quartil, tem-se o grupo com os seis maiores PIB </w:t>
      </w:r>
      <w:r w:rsidRPr="0051667F">
        <w:rPr>
          <w:rFonts w:ascii="Times New Roman" w:eastAsia="Calibri" w:hAnsi="Times New Roman" w:cs="Times New Roman"/>
          <w:i/>
          <w:iCs/>
          <w:sz w:val="24"/>
          <w:szCs w:val="24"/>
        </w:rPr>
        <w:t>per capita</w:t>
      </w:r>
      <w:r w:rsidRPr="0051667F">
        <w:rPr>
          <w:rFonts w:ascii="Times New Roman" w:eastAsia="Calibri" w:hAnsi="Times New Roman" w:cs="Times New Roman"/>
          <w:sz w:val="24"/>
          <w:szCs w:val="24"/>
        </w:rPr>
        <w:t xml:space="preserve"> médio, correspondente a R$14.350,90, conforme ilustrado no Gráfico 1.</w:t>
      </w:r>
    </w:p>
    <w:p w14:paraId="12A04B20" w14:textId="77777777" w:rsidR="0051667F" w:rsidRPr="0051667F" w:rsidRDefault="0051667F" w:rsidP="0051667F">
      <w:pPr>
        <w:spacing w:line="240" w:lineRule="auto"/>
        <w:jc w:val="center"/>
        <w:rPr>
          <w:rFonts w:ascii="Times New Roman" w:eastAsia="Calibri" w:hAnsi="Times New Roman" w:cs="Times New Roman"/>
          <w:sz w:val="24"/>
          <w:szCs w:val="24"/>
        </w:rPr>
      </w:pPr>
      <w:r w:rsidRPr="0051667F">
        <w:rPr>
          <w:rFonts w:ascii="Times New Roman" w:eastAsia="Calibri" w:hAnsi="Times New Roman" w:cs="Times New Roman"/>
          <w:b/>
          <w:bCs/>
          <w:sz w:val="24"/>
          <w:szCs w:val="24"/>
        </w:rPr>
        <w:lastRenderedPageBreak/>
        <w:t>Gráfico 1</w:t>
      </w:r>
      <w:r w:rsidRPr="0051667F">
        <w:rPr>
          <w:rFonts w:ascii="Times New Roman" w:eastAsia="Calibri" w:hAnsi="Times New Roman" w:cs="Times New Roman"/>
          <w:sz w:val="24"/>
          <w:szCs w:val="24"/>
        </w:rPr>
        <w:t xml:space="preserve"> – Distribuição dos escores de eficiência técnica com retornos constantes à escala (CRS) e com retornos variáveis à escala (VRS) dos gastos públicos em saúde das regiões imediatas cearenses, por PIB per capita médio, em 2019.</w:t>
      </w:r>
    </w:p>
    <w:p w14:paraId="2A6EC3A6" w14:textId="77777777" w:rsidR="0051667F" w:rsidRPr="0051667F" w:rsidRDefault="0051667F" w:rsidP="0051667F">
      <w:pPr>
        <w:jc w:val="center"/>
        <w:rPr>
          <w:rFonts w:ascii="Calibri" w:eastAsia="Calibri" w:hAnsi="Calibri" w:cs="Times New Roman"/>
        </w:rPr>
      </w:pPr>
      <w:r w:rsidRPr="0051667F">
        <w:rPr>
          <w:rFonts w:ascii="Calibri" w:eastAsia="Calibri" w:hAnsi="Calibri" w:cs="Times New Roman"/>
          <w:noProof/>
        </w:rPr>
        <w:drawing>
          <wp:inline distT="0" distB="0" distL="0" distR="0" wp14:anchorId="1EC1FCE6" wp14:editId="130FC81E">
            <wp:extent cx="4391025" cy="1838325"/>
            <wp:effectExtent l="0" t="0" r="9525" b="9525"/>
            <wp:docPr id="7" name="Gráfico 7">
              <a:extLst xmlns:a="http://schemas.openxmlformats.org/drawingml/2006/main">
                <a:ext uri="{FF2B5EF4-FFF2-40B4-BE49-F238E27FC236}">
                  <a16:creationId xmlns:a16="http://schemas.microsoft.com/office/drawing/2014/main" id="{00000000-0008-0000-09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654738B"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Fonte: Elaborado pelos autores com base nos dados da pesquisa.</w:t>
      </w:r>
    </w:p>
    <w:p w14:paraId="20E19D33" w14:textId="77777777" w:rsidR="0051667F" w:rsidRPr="0051667F" w:rsidRDefault="0051667F" w:rsidP="0051667F">
      <w:pPr>
        <w:spacing w:after="0" w:line="360" w:lineRule="auto"/>
        <w:jc w:val="both"/>
        <w:rPr>
          <w:rFonts w:ascii="Times New Roman" w:eastAsia="Calibri" w:hAnsi="Times New Roman" w:cs="Times New Roman"/>
          <w:sz w:val="24"/>
          <w:szCs w:val="24"/>
        </w:rPr>
      </w:pPr>
    </w:p>
    <w:p w14:paraId="0A587131" w14:textId="77777777" w:rsidR="0051667F" w:rsidRPr="0051667F" w:rsidRDefault="0051667F" w:rsidP="0051667F">
      <w:pPr>
        <w:spacing w:after="0" w:line="360" w:lineRule="auto"/>
        <w:ind w:firstLine="708"/>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t xml:space="preserve">Como se verifica no Gráfico 1, o agrupamento intermediário foi o que se destacou com maiores escores médios de eficiência técnica auferida pelos modelos CRS e VRS, apresentando, respectivamente, escores médios de eficiência de 0,94 e 0,96, em 2019. Neste grupo, encontram-se nesta ordem crescente de PIB médio </w:t>
      </w:r>
      <w:r w:rsidRPr="0051667F">
        <w:rPr>
          <w:rFonts w:ascii="Times New Roman" w:eastAsia="Calibri" w:hAnsi="Times New Roman" w:cs="Times New Roman"/>
          <w:i/>
          <w:iCs/>
          <w:sz w:val="24"/>
          <w:szCs w:val="24"/>
        </w:rPr>
        <w:t>per capita</w:t>
      </w:r>
      <w:r w:rsidRPr="0051667F">
        <w:rPr>
          <w:rFonts w:ascii="Times New Roman" w:eastAsia="Calibri" w:hAnsi="Times New Roman" w:cs="Times New Roman"/>
          <w:sz w:val="24"/>
          <w:szCs w:val="24"/>
        </w:rPr>
        <w:t>, as regiões imediatas de Juazeiro do Norte, Itapagé, Quixadá, Redenção-Acarape, Sobral, e Brejo Santo. Destas, Itapagé, Redenção-Acarape e Brejo Santo foram plenamente eficientes, ou seja, a metade das regiões imediatas pertencentes a este grupo tiveram tal classificação.</w:t>
      </w:r>
    </w:p>
    <w:p w14:paraId="7DFB1919" w14:textId="77777777" w:rsidR="0051667F" w:rsidRPr="0051667F" w:rsidRDefault="0051667F" w:rsidP="0051667F">
      <w:pPr>
        <w:spacing w:after="0" w:line="360" w:lineRule="auto"/>
        <w:ind w:firstLine="708"/>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t xml:space="preserve">O segundo grupo com maiores escores médios de eficiência técnica ocorreu no terceiro quartil, com 0,92 e 0,94, respectivamente, nos modelos CRS e VRS. Neste agregado, estão presentes as seis regiões imediatas com maiores valores de PIB </w:t>
      </w:r>
      <w:r w:rsidRPr="0051667F">
        <w:rPr>
          <w:rFonts w:ascii="Times New Roman" w:eastAsia="Calibri" w:hAnsi="Times New Roman" w:cs="Times New Roman"/>
          <w:i/>
          <w:iCs/>
          <w:sz w:val="24"/>
          <w:szCs w:val="24"/>
        </w:rPr>
        <w:t>per capita</w:t>
      </w:r>
      <w:r w:rsidRPr="0051667F">
        <w:rPr>
          <w:rFonts w:ascii="Times New Roman" w:eastAsia="Calibri" w:hAnsi="Times New Roman" w:cs="Times New Roman"/>
          <w:sz w:val="24"/>
          <w:szCs w:val="24"/>
        </w:rPr>
        <w:t>: Itapipoca, São Benedito-Ipu-Guaraciaba do Norte-Tianguá; Russas-Limoeiro do Norte; Acaraú; Aracati; e Fortaleza, sendo três delas (São Benedito-Ipu-Guaraciaba do Norte-Tianguá, Russas-Limoeiro do Norte e Fortaleza) classificadas como totalmente eficientes.</w:t>
      </w:r>
    </w:p>
    <w:p w14:paraId="24FECC0B" w14:textId="77777777" w:rsidR="0051667F" w:rsidRPr="0051667F" w:rsidRDefault="0051667F" w:rsidP="0051667F">
      <w:pPr>
        <w:spacing w:after="0" w:line="360" w:lineRule="auto"/>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tab/>
        <w:t xml:space="preserve">Por último, o agregado com menores escores médios de eficiência técnica refere-se ao primeiro quartil, com 0,90 e 0,93, respectivamente, para os modelos CRS e VRS.  Neste aglomerado, situam-se em ordem crescente de PIB médio </w:t>
      </w:r>
      <w:r w:rsidRPr="0051667F">
        <w:rPr>
          <w:rFonts w:ascii="Times New Roman" w:eastAsia="Calibri" w:hAnsi="Times New Roman" w:cs="Times New Roman"/>
          <w:i/>
          <w:iCs/>
          <w:sz w:val="24"/>
          <w:szCs w:val="24"/>
        </w:rPr>
        <w:t>per capita</w:t>
      </w:r>
      <w:r w:rsidRPr="0051667F">
        <w:rPr>
          <w:rFonts w:ascii="Times New Roman" w:eastAsia="Calibri" w:hAnsi="Times New Roman" w:cs="Times New Roman"/>
          <w:sz w:val="24"/>
          <w:szCs w:val="24"/>
        </w:rPr>
        <w:t>, as regiões imediatas de Canindé, Camocim, Crateús, Icó, Tauá e Iguatu. Destas, apenas Tauá mostrou-se plenamente eficiente em 2019.</w:t>
      </w:r>
    </w:p>
    <w:p w14:paraId="5DE6947E" w14:textId="77777777" w:rsidR="0051667F" w:rsidRPr="0051667F" w:rsidRDefault="0051667F" w:rsidP="0051667F">
      <w:pPr>
        <w:spacing w:after="0" w:line="360" w:lineRule="auto"/>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lastRenderedPageBreak/>
        <w:tab/>
        <w:t xml:space="preserve">Portanto, infere-se que não necessariamente as regiões com maiores PIB </w:t>
      </w:r>
      <w:r w:rsidRPr="0051667F">
        <w:rPr>
          <w:rFonts w:ascii="Times New Roman" w:eastAsia="Calibri" w:hAnsi="Times New Roman" w:cs="Times New Roman"/>
          <w:i/>
          <w:iCs/>
          <w:sz w:val="24"/>
          <w:szCs w:val="24"/>
        </w:rPr>
        <w:t>per capita</w:t>
      </w:r>
      <w:r w:rsidRPr="0051667F">
        <w:rPr>
          <w:rFonts w:ascii="Times New Roman" w:eastAsia="Calibri" w:hAnsi="Times New Roman" w:cs="Times New Roman"/>
          <w:sz w:val="24"/>
          <w:szCs w:val="24"/>
        </w:rPr>
        <w:t xml:space="preserve"> foram as que alocaram os recursos públicos destinados à saúde de maneira mais eficiente em termos técnicos, pois a distribuição mostrou a existência de regiões imediatas eficientes nos três grupos, sendo que o primeiro apresentou a menor participação relativa de regiões imediatas eficientes. Apesar de o aumento do PIB não ser um pré-requisito para se obter a eficiência técnica, como verificado nos estudos de </w:t>
      </w:r>
      <w:bookmarkStart w:id="8" w:name="_Hlk105195809"/>
      <w:r w:rsidRPr="0051667F">
        <w:rPr>
          <w:rFonts w:ascii="Times New Roman" w:eastAsia="Calibri" w:hAnsi="Times New Roman" w:cs="Times New Roman"/>
          <w:sz w:val="24"/>
          <w:szCs w:val="24"/>
        </w:rPr>
        <w:t xml:space="preserve">Zoghbi </w:t>
      </w:r>
      <w:r w:rsidRPr="0051667F">
        <w:rPr>
          <w:rFonts w:ascii="Times New Roman" w:eastAsia="Calibri" w:hAnsi="Times New Roman" w:cs="Times New Roman"/>
          <w:i/>
          <w:iCs/>
          <w:sz w:val="24"/>
          <w:szCs w:val="24"/>
        </w:rPr>
        <w:t>et al.</w:t>
      </w:r>
      <w:r w:rsidRPr="0051667F">
        <w:rPr>
          <w:rFonts w:ascii="Times New Roman" w:eastAsia="Calibri" w:hAnsi="Times New Roman" w:cs="Times New Roman"/>
          <w:sz w:val="24"/>
          <w:szCs w:val="24"/>
        </w:rPr>
        <w:t xml:space="preserve"> (2011)</w:t>
      </w:r>
      <w:bookmarkEnd w:id="8"/>
      <w:r w:rsidRPr="0051667F">
        <w:rPr>
          <w:rFonts w:ascii="Times New Roman" w:eastAsia="Calibri" w:hAnsi="Times New Roman" w:cs="Times New Roman"/>
          <w:sz w:val="24"/>
          <w:szCs w:val="24"/>
        </w:rPr>
        <w:t xml:space="preserve">, Wilbert e D’Abreu (2013), Rodrigues e Sousa (2019), Nunes e Sousa (2019) e Oliveira, Mota e Vasconcelos (2020), aplicados, respectivamente, para os setores de educação nos municípios de São Paulo, nos municípios de Alagoas, e nos municípios brasileiros, e nos dois últimos trabalhos, para o setor da saúde nos municípios cearenses, neste presente estudo, as regiões imediatas menos ineficientes se situaram no quartil com menores PIB </w:t>
      </w:r>
      <w:r w:rsidRPr="0051667F">
        <w:rPr>
          <w:rFonts w:ascii="Times New Roman" w:eastAsia="Calibri" w:hAnsi="Times New Roman" w:cs="Times New Roman"/>
          <w:i/>
          <w:iCs/>
          <w:sz w:val="24"/>
          <w:szCs w:val="24"/>
        </w:rPr>
        <w:t>per capita</w:t>
      </w:r>
      <w:r w:rsidRPr="0051667F">
        <w:rPr>
          <w:rFonts w:ascii="Times New Roman" w:eastAsia="Calibri" w:hAnsi="Times New Roman" w:cs="Times New Roman"/>
          <w:sz w:val="24"/>
          <w:szCs w:val="24"/>
        </w:rPr>
        <w:t xml:space="preserve"> médio, ao passo que as mais eficientes se localizaram, nesta ordem, no segundo e no terceiro quartil. Esses resultados corroboram com os encontrados nos estudos de Marinho (2003) e Barbosa e Sousa (2015), que identificaram relação positiva entre o PIB e a eficiência no setor da saúde.</w:t>
      </w:r>
    </w:p>
    <w:p w14:paraId="71DB7F16" w14:textId="7F504A31" w:rsidR="0051667F" w:rsidRPr="0051667F" w:rsidRDefault="0051667F" w:rsidP="0051667F">
      <w:pPr>
        <w:spacing w:after="0" w:line="360" w:lineRule="auto"/>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tab/>
        <w:t xml:space="preserve">Para averiguar se existe diferença de médias dos índices de eficiência técnica pelos pressupostos de retornos constantes de escala e de retornos variáveis de escala entre o quartil com maior PIB </w:t>
      </w:r>
      <w:r w:rsidRPr="0051667F">
        <w:rPr>
          <w:rFonts w:ascii="Times New Roman" w:eastAsia="Calibri" w:hAnsi="Times New Roman" w:cs="Times New Roman"/>
          <w:i/>
          <w:iCs/>
          <w:sz w:val="24"/>
          <w:szCs w:val="24"/>
        </w:rPr>
        <w:t>per capita</w:t>
      </w:r>
      <w:r w:rsidRPr="0051667F">
        <w:rPr>
          <w:rFonts w:ascii="Times New Roman" w:eastAsia="Calibri" w:hAnsi="Times New Roman" w:cs="Times New Roman"/>
          <w:sz w:val="24"/>
          <w:szCs w:val="24"/>
        </w:rPr>
        <w:t xml:space="preserve"> médio, representado aqui pelo terceiro quartil, e os outros grupos considerados (primeiro e segundo quartis), utilizou-se o teste t</w:t>
      </w:r>
      <w:r w:rsidRPr="0051667F">
        <w:rPr>
          <w:rFonts w:ascii="Times New Roman" w:eastAsia="Times New Roman" w:hAnsi="Times New Roman" w:cs="Times New Roman"/>
          <w:lang w:eastAsia="pt-BR"/>
        </w:rPr>
        <w:t>,</w:t>
      </w:r>
      <w:r w:rsidRPr="0051667F">
        <w:rPr>
          <w:rFonts w:ascii="Times New Roman" w:eastAsia="Calibri" w:hAnsi="Times New Roman" w:cs="Times New Roman"/>
          <w:sz w:val="24"/>
          <w:szCs w:val="24"/>
        </w:rPr>
        <w:t xml:space="preserve"> conforme mostrado na Tabela </w:t>
      </w:r>
      <w:r w:rsidR="00CC5E5D">
        <w:rPr>
          <w:rFonts w:ascii="Times New Roman" w:eastAsia="Calibri" w:hAnsi="Times New Roman" w:cs="Times New Roman"/>
          <w:sz w:val="24"/>
          <w:szCs w:val="24"/>
        </w:rPr>
        <w:t>4</w:t>
      </w:r>
      <w:r w:rsidRPr="0051667F">
        <w:rPr>
          <w:rFonts w:ascii="Times New Roman" w:eastAsia="Calibri" w:hAnsi="Times New Roman" w:cs="Times New Roman"/>
          <w:sz w:val="24"/>
          <w:szCs w:val="24"/>
        </w:rPr>
        <w:t>.</w:t>
      </w:r>
    </w:p>
    <w:p w14:paraId="0CA75C9E" w14:textId="2D148AF3" w:rsidR="0051667F" w:rsidRPr="0051667F" w:rsidRDefault="0051667F" w:rsidP="0051667F">
      <w:pPr>
        <w:spacing w:after="0" w:line="240" w:lineRule="auto"/>
        <w:jc w:val="center"/>
        <w:rPr>
          <w:rFonts w:ascii="Times New Roman" w:eastAsia="Calibri" w:hAnsi="Times New Roman" w:cs="Times New Roman"/>
          <w:sz w:val="24"/>
          <w:szCs w:val="24"/>
        </w:rPr>
      </w:pPr>
      <w:r w:rsidRPr="0051667F">
        <w:rPr>
          <w:rFonts w:ascii="Times New Roman" w:eastAsia="Calibri" w:hAnsi="Times New Roman" w:cs="Times New Roman"/>
          <w:b/>
          <w:bCs/>
          <w:sz w:val="24"/>
          <w:szCs w:val="24"/>
        </w:rPr>
        <w:t xml:space="preserve">Tabela </w:t>
      </w:r>
      <w:r w:rsidR="00153BF8">
        <w:rPr>
          <w:rFonts w:ascii="Times New Roman" w:eastAsia="Calibri" w:hAnsi="Times New Roman" w:cs="Times New Roman"/>
          <w:b/>
          <w:bCs/>
          <w:sz w:val="24"/>
          <w:szCs w:val="24"/>
        </w:rPr>
        <w:t>4</w:t>
      </w:r>
      <w:r w:rsidRPr="0051667F">
        <w:rPr>
          <w:rFonts w:ascii="Times New Roman" w:eastAsia="Calibri" w:hAnsi="Times New Roman" w:cs="Times New Roman"/>
          <w:sz w:val="24"/>
          <w:szCs w:val="24"/>
        </w:rPr>
        <w:t xml:space="preserve"> – Teste para comparação de médias dos escores de eficiência técnica (CRS e VRS) dos gastos públicos no setor da saúde para as regiões imediatas do Ceará por quartil de PIB </w:t>
      </w:r>
      <w:r w:rsidRPr="0051667F">
        <w:rPr>
          <w:rFonts w:ascii="Times New Roman" w:eastAsia="Calibri" w:hAnsi="Times New Roman" w:cs="Times New Roman"/>
          <w:i/>
          <w:iCs/>
          <w:sz w:val="24"/>
          <w:szCs w:val="24"/>
        </w:rPr>
        <w:t>per capita</w:t>
      </w:r>
    </w:p>
    <w:tbl>
      <w:tblPr>
        <w:tblW w:w="5140" w:type="dxa"/>
        <w:jc w:val="center"/>
        <w:tblCellMar>
          <w:left w:w="70" w:type="dxa"/>
          <w:right w:w="70" w:type="dxa"/>
        </w:tblCellMar>
        <w:tblLook w:val="04A0" w:firstRow="1" w:lastRow="0" w:firstColumn="1" w:lastColumn="0" w:noHBand="0" w:noVBand="1"/>
      </w:tblPr>
      <w:tblGrid>
        <w:gridCol w:w="960"/>
        <w:gridCol w:w="960"/>
        <w:gridCol w:w="960"/>
        <w:gridCol w:w="1080"/>
        <w:gridCol w:w="1180"/>
      </w:tblGrid>
      <w:tr w:rsidR="0051667F" w:rsidRPr="0051667F" w14:paraId="339584BD" w14:textId="77777777" w:rsidTr="00A57DBF">
        <w:trPr>
          <w:trHeight w:val="870"/>
          <w:jc w:val="center"/>
        </w:trPr>
        <w:tc>
          <w:tcPr>
            <w:tcW w:w="960" w:type="dxa"/>
            <w:vMerge w:val="restart"/>
            <w:tcBorders>
              <w:top w:val="single" w:sz="8" w:space="0" w:color="auto"/>
              <w:bottom w:val="single" w:sz="8" w:space="0" w:color="000000"/>
            </w:tcBorders>
            <w:shd w:val="clear" w:color="auto" w:fill="auto"/>
            <w:vAlign w:val="center"/>
            <w:hideMark/>
          </w:tcPr>
          <w:p w14:paraId="0B98C2FD"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Medidas de eficiência</w:t>
            </w:r>
          </w:p>
        </w:tc>
        <w:tc>
          <w:tcPr>
            <w:tcW w:w="960" w:type="dxa"/>
            <w:vMerge w:val="restart"/>
            <w:tcBorders>
              <w:top w:val="single" w:sz="8" w:space="0" w:color="auto"/>
              <w:bottom w:val="single" w:sz="8" w:space="0" w:color="000000"/>
            </w:tcBorders>
            <w:shd w:val="clear" w:color="auto" w:fill="auto"/>
            <w:vAlign w:val="center"/>
            <w:hideMark/>
          </w:tcPr>
          <w:p w14:paraId="7E7D101D"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Quartis</w:t>
            </w:r>
          </w:p>
        </w:tc>
        <w:tc>
          <w:tcPr>
            <w:tcW w:w="960" w:type="dxa"/>
            <w:vMerge w:val="restart"/>
            <w:tcBorders>
              <w:top w:val="single" w:sz="8" w:space="0" w:color="auto"/>
              <w:bottom w:val="single" w:sz="8" w:space="0" w:color="000000"/>
            </w:tcBorders>
            <w:shd w:val="clear" w:color="auto" w:fill="auto"/>
            <w:vAlign w:val="center"/>
            <w:hideMark/>
          </w:tcPr>
          <w:p w14:paraId="1EE02F2F"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Quartis</w:t>
            </w:r>
          </w:p>
        </w:tc>
        <w:tc>
          <w:tcPr>
            <w:tcW w:w="2260" w:type="dxa"/>
            <w:gridSpan w:val="2"/>
            <w:tcBorders>
              <w:top w:val="single" w:sz="8" w:space="0" w:color="auto"/>
              <w:bottom w:val="single" w:sz="8" w:space="0" w:color="auto"/>
            </w:tcBorders>
            <w:shd w:val="clear" w:color="auto" w:fill="auto"/>
            <w:vAlign w:val="center"/>
            <w:hideMark/>
          </w:tcPr>
          <w:p w14:paraId="197EE14A"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Teste T de comparação de médias</w:t>
            </w:r>
          </w:p>
        </w:tc>
      </w:tr>
      <w:tr w:rsidR="0051667F" w:rsidRPr="0051667F" w14:paraId="70A424B6" w14:textId="77777777" w:rsidTr="00A57DBF">
        <w:trPr>
          <w:trHeight w:val="402"/>
          <w:jc w:val="center"/>
        </w:trPr>
        <w:tc>
          <w:tcPr>
            <w:tcW w:w="960" w:type="dxa"/>
            <w:vMerge/>
            <w:tcBorders>
              <w:top w:val="single" w:sz="8" w:space="0" w:color="auto"/>
              <w:bottom w:val="single" w:sz="8" w:space="0" w:color="000000"/>
            </w:tcBorders>
            <w:vAlign w:val="center"/>
            <w:hideMark/>
          </w:tcPr>
          <w:p w14:paraId="0A120AA0" w14:textId="77777777" w:rsidR="0051667F" w:rsidRPr="0051667F" w:rsidRDefault="0051667F" w:rsidP="0051667F">
            <w:pPr>
              <w:spacing w:after="0" w:line="240" w:lineRule="auto"/>
              <w:rPr>
                <w:rFonts w:ascii="Times New Roman" w:eastAsia="Times New Roman" w:hAnsi="Times New Roman" w:cs="Times New Roman"/>
                <w:sz w:val="20"/>
                <w:szCs w:val="20"/>
                <w:lang w:eastAsia="pt-BR"/>
              </w:rPr>
            </w:pPr>
          </w:p>
        </w:tc>
        <w:tc>
          <w:tcPr>
            <w:tcW w:w="960" w:type="dxa"/>
            <w:vMerge/>
            <w:tcBorders>
              <w:top w:val="single" w:sz="8" w:space="0" w:color="auto"/>
              <w:bottom w:val="single" w:sz="8" w:space="0" w:color="000000"/>
            </w:tcBorders>
            <w:vAlign w:val="center"/>
            <w:hideMark/>
          </w:tcPr>
          <w:p w14:paraId="712E45EF" w14:textId="77777777" w:rsidR="0051667F" w:rsidRPr="0051667F" w:rsidRDefault="0051667F" w:rsidP="0051667F">
            <w:pPr>
              <w:spacing w:after="0" w:line="240" w:lineRule="auto"/>
              <w:rPr>
                <w:rFonts w:ascii="Times New Roman" w:eastAsia="Times New Roman" w:hAnsi="Times New Roman" w:cs="Times New Roman"/>
                <w:sz w:val="20"/>
                <w:szCs w:val="20"/>
                <w:lang w:eastAsia="pt-BR"/>
              </w:rPr>
            </w:pPr>
          </w:p>
        </w:tc>
        <w:tc>
          <w:tcPr>
            <w:tcW w:w="960" w:type="dxa"/>
            <w:vMerge/>
            <w:tcBorders>
              <w:top w:val="single" w:sz="8" w:space="0" w:color="auto"/>
              <w:bottom w:val="single" w:sz="8" w:space="0" w:color="000000"/>
            </w:tcBorders>
            <w:vAlign w:val="center"/>
            <w:hideMark/>
          </w:tcPr>
          <w:p w14:paraId="173DC94E" w14:textId="77777777" w:rsidR="0051667F" w:rsidRPr="0051667F" w:rsidRDefault="0051667F" w:rsidP="0051667F">
            <w:pPr>
              <w:spacing w:after="0" w:line="240" w:lineRule="auto"/>
              <w:rPr>
                <w:rFonts w:ascii="Times New Roman" w:eastAsia="Times New Roman" w:hAnsi="Times New Roman" w:cs="Times New Roman"/>
                <w:sz w:val="20"/>
                <w:szCs w:val="20"/>
                <w:lang w:eastAsia="pt-BR"/>
              </w:rPr>
            </w:pPr>
          </w:p>
        </w:tc>
        <w:tc>
          <w:tcPr>
            <w:tcW w:w="1080" w:type="dxa"/>
            <w:tcBorders>
              <w:top w:val="nil"/>
              <w:bottom w:val="single" w:sz="8" w:space="0" w:color="auto"/>
            </w:tcBorders>
            <w:shd w:val="clear" w:color="auto" w:fill="auto"/>
            <w:vAlign w:val="center"/>
            <w:hideMark/>
          </w:tcPr>
          <w:p w14:paraId="386062F8"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Estatística</w:t>
            </w:r>
          </w:p>
        </w:tc>
        <w:tc>
          <w:tcPr>
            <w:tcW w:w="1180" w:type="dxa"/>
            <w:tcBorders>
              <w:top w:val="nil"/>
              <w:bottom w:val="single" w:sz="8" w:space="0" w:color="auto"/>
            </w:tcBorders>
            <w:shd w:val="clear" w:color="auto" w:fill="auto"/>
            <w:vAlign w:val="center"/>
            <w:hideMark/>
          </w:tcPr>
          <w:p w14:paraId="64C18F52"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P-valor</w:t>
            </w:r>
          </w:p>
        </w:tc>
      </w:tr>
      <w:tr w:rsidR="0051667F" w:rsidRPr="0051667F" w14:paraId="58ECAD86" w14:textId="77777777" w:rsidTr="00A57DBF">
        <w:trPr>
          <w:trHeight w:val="315"/>
          <w:jc w:val="center"/>
        </w:trPr>
        <w:tc>
          <w:tcPr>
            <w:tcW w:w="960" w:type="dxa"/>
            <w:vMerge w:val="restart"/>
            <w:tcBorders>
              <w:top w:val="nil"/>
              <w:bottom w:val="single" w:sz="8" w:space="0" w:color="000000"/>
            </w:tcBorders>
            <w:shd w:val="clear" w:color="auto" w:fill="auto"/>
            <w:vAlign w:val="center"/>
            <w:hideMark/>
          </w:tcPr>
          <w:p w14:paraId="642157D8"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CRS</w:t>
            </w:r>
          </w:p>
        </w:tc>
        <w:tc>
          <w:tcPr>
            <w:tcW w:w="960" w:type="dxa"/>
            <w:vMerge w:val="restart"/>
            <w:tcBorders>
              <w:top w:val="nil"/>
              <w:bottom w:val="single" w:sz="8" w:space="0" w:color="000000"/>
            </w:tcBorders>
            <w:shd w:val="clear" w:color="auto" w:fill="auto"/>
            <w:vAlign w:val="center"/>
            <w:hideMark/>
          </w:tcPr>
          <w:p w14:paraId="6E33F1E0"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Terceiro</w:t>
            </w:r>
          </w:p>
        </w:tc>
        <w:tc>
          <w:tcPr>
            <w:tcW w:w="960" w:type="dxa"/>
            <w:tcBorders>
              <w:top w:val="nil"/>
              <w:bottom w:val="single" w:sz="8" w:space="0" w:color="auto"/>
            </w:tcBorders>
            <w:shd w:val="clear" w:color="auto" w:fill="auto"/>
            <w:vAlign w:val="center"/>
            <w:hideMark/>
          </w:tcPr>
          <w:p w14:paraId="59D31A9B"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Primeiro</w:t>
            </w:r>
          </w:p>
        </w:tc>
        <w:tc>
          <w:tcPr>
            <w:tcW w:w="1080" w:type="dxa"/>
            <w:tcBorders>
              <w:top w:val="nil"/>
              <w:bottom w:val="single" w:sz="8" w:space="0" w:color="auto"/>
            </w:tcBorders>
            <w:shd w:val="clear" w:color="auto" w:fill="auto"/>
            <w:vAlign w:val="center"/>
            <w:hideMark/>
          </w:tcPr>
          <w:p w14:paraId="12B08C72"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-0,353</w:t>
            </w:r>
          </w:p>
        </w:tc>
        <w:tc>
          <w:tcPr>
            <w:tcW w:w="1180" w:type="dxa"/>
            <w:tcBorders>
              <w:top w:val="nil"/>
              <w:bottom w:val="single" w:sz="8" w:space="0" w:color="auto"/>
            </w:tcBorders>
            <w:shd w:val="clear" w:color="auto" w:fill="auto"/>
            <w:vAlign w:val="center"/>
            <w:hideMark/>
          </w:tcPr>
          <w:p w14:paraId="1A08A69E"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0,731</w:t>
            </w:r>
          </w:p>
        </w:tc>
      </w:tr>
      <w:tr w:rsidR="0051667F" w:rsidRPr="0051667F" w14:paraId="387D6D1F" w14:textId="77777777" w:rsidTr="00A57DBF">
        <w:trPr>
          <w:trHeight w:val="315"/>
          <w:jc w:val="center"/>
        </w:trPr>
        <w:tc>
          <w:tcPr>
            <w:tcW w:w="960" w:type="dxa"/>
            <w:vMerge/>
            <w:tcBorders>
              <w:top w:val="nil"/>
              <w:bottom w:val="single" w:sz="8" w:space="0" w:color="000000"/>
            </w:tcBorders>
            <w:vAlign w:val="center"/>
            <w:hideMark/>
          </w:tcPr>
          <w:p w14:paraId="0AC9DB61" w14:textId="77777777" w:rsidR="0051667F" w:rsidRPr="0051667F" w:rsidRDefault="0051667F" w:rsidP="0051667F">
            <w:pPr>
              <w:spacing w:after="0" w:line="240" w:lineRule="auto"/>
              <w:rPr>
                <w:rFonts w:ascii="Times New Roman" w:eastAsia="Times New Roman" w:hAnsi="Times New Roman" w:cs="Times New Roman"/>
                <w:sz w:val="20"/>
                <w:szCs w:val="20"/>
                <w:lang w:eastAsia="pt-BR"/>
              </w:rPr>
            </w:pPr>
          </w:p>
        </w:tc>
        <w:tc>
          <w:tcPr>
            <w:tcW w:w="960" w:type="dxa"/>
            <w:vMerge/>
            <w:tcBorders>
              <w:top w:val="nil"/>
              <w:bottom w:val="single" w:sz="8" w:space="0" w:color="000000"/>
            </w:tcBorders>
            <w:vAlign w:val="center"/>
            <w:hideMark/>
          </w:tcPr>
          <w:p w14:paraId="7CF1C8B7" w14:textId="77777777" w:rsidR="0051667F" w:rsidRPr="0051667F" w:rsidRDefault="0051667F" w:rsidP="0051667F">
            <w:pPr>
              <w:spacing w:after="0" w:line="240" w:lineRule="auto"/>
              <w:rPr>
                <w:rFonts w:ascii="Times New Roman" w:eastAsia="Times New Roman" w:hAnsi="Times New Roman" w:cs="Times New Roman"/>
                <w:sz w:val="20"/>
                <w:szCs w:val="20"/>
                <w:lang w:eastAsia="pt-BR"/>
              </w:rPr>
            </w:pPr>
          </w:p>
        </w:tc>
        <w:tc>
          <w:tcPr>
            <w:tcW w:w="960" w:type="dxa"/>
            <w:tcBorders>
              <w:top w:val="nil"/>
              <w:bottom w:val="single" w:sz="8" w:space="0" w:color="auto"/>
            </w:tcBorders>
            <w:shd w:val="clear" w:color="auto" w:fill="auto"/>
            <w:vAlign w:val="center"/>
            <w:hideMark/>
          </w:tcPr>
          <w:p w14:paraId="62AE0253"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Segundo</w:t>
            </w:r>
          </w:p>
        </w:tc>
        <w:tc>
          <w:tcPr>
            <w:tcW w:w="1080" w:type="dxa"/>
            <w:tcBorders>
              <w:top w:val="nil"/>
              <w:bottom w:val="single" w:sz="8" w:space="0" w:color="auto"/>
            </w:tcBorders>
            <w:shd w:val="clear" w:color="auto" w:fill="auto"/>
            <w:vAlign w:val="center"/>
            <w:hideMark/>
          </w:tcPr>
          <w:p w14:paraId="489C0F15"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0,428</w:t>
            </w:r>
          </w:p>
        </w:tc>
        <w:tc>
          <w:tcPr>
            <w:tcW w:w="1180" w:type="dxa"/>
            <w:tcBorders>
              <w:top w:val="nil"/>
              <w:bottom w:val="single" w:sz="8" w:space="0" w:color="auto"/>
            </w:tcBorders>
            <w:shd w:val="clear" w:color="auto" w:fill="auto"/>
            <w:vAlign w:val="center"/>
            <w:hideMark/>
          </w:tcPr>
          <w:p w14:paraId="25FB65CF"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0,678</w:t>
            </w:r>
          </w:p>
        </w:tc>
      </w:tr>
      <w:tr w:rsidR="0051667F" w:rsidRPr="0051667F" w14:paraId="768A713E" w14:textId="77777777" w:rsidTr="00A57DBF">
        <w:trPr>
          <w:trHeight w:val="315"/>
          <w:jc w:val="center"/>
        </w:trPr>
        <w:tc>
          <w:tcPr>
            <w:tcW w:w="960" w:type="dxa"/>
            <w:vMerge w:val="restart"/>
            <w:tcBorders>
              <w:top w:val="nil"/>
              <w:bottom w:val="single" w:sz="8" w:space="0" w:color="000000"/>
            </w:tcBorders>
            <w:shd w:val="clear" w:color="auto" w:fill="auto"/>
            <w:vAlign w:val="center"/>
            <w:hideMark/>
          </w:tcPr>
          <w:p w14:paraId="3ED01D92"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VRS</w:t>
            </w:r>
          </w:p>
        </w:tc>
        <w:tc>
          <w:tcPr>
            <w:tcW w:w="960" w:type="dxa"/>
            <w:vMerge w:val="restart"/>
            <w:tcBorders>
              <w:top w:val="nil"/>
              <w:bottom w:val="single" w:sz="8" w:space="0" w:color="000000"/>
            </w:tcBorders>
            <w:shd w:val="clear" w:color="auto" w:fill="auto"/>
            <w:vAlign w:val="center"/>
            <w:hideMark/>
          </w:tcPr>
          <w:p w14:paraId="510B45AD"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Terceiro</w:t>
            </w:r>
          </w:p>
        </w:tc>
        <w:tc>
          <w:tcPr>
            <w:tcW w:w="960" w:type="dxa"/>
            <w:tcBorders>
              <w:top w:val="nil"/>
              <w:bottom w:val="single" w:sz="8" w:space="0" w:color="auto"/>
            </w:tcBorders>
            <w:shd w:val="clear" w:color="auto" w:fill="auto"/>
            <w:vAlign w:val="center"/>
            <w:hideMark/>
          </w:tcPr>
          <w:p w14:paraId="387CDD4F"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Primeiro</w:t>
            </w:r>
          </w:p>
        </w:tc>
        <w:tc>
          <w:tcPr>
            <w:tcW w:w="1080" w:type="dxa"/>
            <w:tcBorders>
              <w:top w:val="nil"/>
              <w:bottom w:val="single" w:sz="8" w:space="0" w:color="auto"/>
            </w:tcBorders>
            <w:shd w:val="clear" w:color="auto" w:fill="auto"/>
            <w:vAlign w:val="center"/>
            <w:hideMark/>
          </w:tcPr>
          <w:p w14:paraId="2942E2E9"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-0,375</w:t>
            </w:r>
          </w:p>
        </w:tc>
        <w:tc>
          <w:tcPr>
            <w:tcW w:w="1180" w:type="dxa"/>
            <w:tcBorders>
              <w:top w:val="nil"/>
              <w:bottom w:val="single" w:sz="8" w:space="0" w:color="auto"/>
            </w:tcBorders>
            <w:shd w:val="clear" w:color="auto" w:fill="auto"/>
            <w:vAlign w:val="center"/>
            <w:hideMark/>
          </w:tcPr>
          <w:p w14:paraId="0607DBDD"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0,716</w:t>
            </w:r>
          </w:p>
        </w:tc>
      </w:tr>
      <w:tr w:rsidR="0051667F" w:rsidRPr="0051667F" w14:paraId="2A5D9BE1" w14:textId="77777777" w:rsidTr="00A57DBF">
        <w:trPr>
          <w:trHeight w:val="315"/>
          <w:jc w:val="center"/>
        </w:trPr>
        <w:tc>
          <w:tcPr>
            <w:tcW w:w="960" w:type="dxa"/>
            <w:vMerge/>
            <w:tcBorders>
              <w:top w:val="nil"/>
              <w:bottom w:val="single" w:sz="8" w:space="0" w:color="000000"/>
            </w:tcBorders>
            <w:vAlign w:val="center"/>
            <w:hideMark/>
          </w:tcPr>
          <w:p w14:paraId="38274E10" w14:textId="77777777" w:rsidR="0051667F" w:rsidRPr="0051667F" w:rsidRDefault="0051667F" w:rsidP="0051667F">
            <w:pPr>
              <w:spacing w:after="0" w:line="240" w:lineRule="auto"/>
              <w:rPr>
                <w:rFonts w:ascii="Times New Roman" w:eastAsia="Times New Roman" w:hAnsi="Times New Roman" w:cs="Times New Roman"/>
                <w:sz w:val="20"/>
                <w:szCs w:val="20"/>
                <w:lang w:eastAsia="pt-BR"/>
              </w:rPr>
            </w:pPr>
          </w:p>
        </w:tc>
        <w:tc>
          <w:tcPr>
            <w:tcW w:w="960" w:type="dxa"/>
            <w:vMerge/>
            <w:tcBorders>
              <w:top w:val="nil"/>
              <w:bottom w:val="single" w:sz="8" w:space="0" w:color="000000"/>
            </w:tcBorders>
            <w:vAlign w:val="center"/>
            <w:hideMark/>
          </w:tcPr>
          <w:p w14:paraId="56EA7D13" w14:textId="77777777" w:rsidR="0051667F" w:rsidRPr="0051667F" w:rsidRDefault="0051667F" w:rsidP="0051667F">
            <w:pPr>
              <w:spacing w:after="0" w:line="240" w:lineRule="auto"/>
              <w:rPr>
                <w:rFonts w:ascii="Times New Roman" w:eastAsia="Times New Roman" w:hAnsi="Times New Roman" w:cs="Times New Roman"/>
                <w:sz w:val="20"/>
                <w:szCs w:val="20"/>
                <w:lang w:eastAsia="pt-BR"/>
              </w:rPr>
            </w:pPr>
          </w:p>
        </w:tc>
        <w:tc>
          <w:tcPr>
            <w:tcW w:w="960" w:type="dxa"/>
            <w:tcBorders>
              <w:top w:val="nil"/>
              <w:bottom w:val="single" w:sz="8" w:space="0" w:color="auto"/>
            </w:tcBorders>
            <w:shd w:val="clear" w:color="auto" w:fill="auto"/>
            <w:vAlign w:val="center"/>
            <w:hideMark/>
          </w:tcPr>
          <w:p w14:paraId="7CCD23C1"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Segundo</w:t>
            </w:r>
          </w:p>
        </w:tc>
        <w:tc>
          <w:tcPr>
            <w:tcW w:w="1080" w:type="dxa"/>
            <w:tcBorders>
              <w:top w:val="nil"/>
              <w:bottom w:val="single" w:sz="8" w:space="0" w:color="auto"/>
            </w:tcBorders>
            <w:shd w:val="clear" w:color="auto" w:fill="auto"/>
            <w:vAlign w:val="center"/>
            <w:hideMark/>
          </w:tcPr>
          <w:p w14:paraId="64E1ABDB"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0,467</w:t>
            </w:r>
          </w:p>
        </w:tc>
        <w:tc>
          <w:tcPr>
            <w:tcW w:w="1180" w:type="dxa"/>
            <w:tcBorders>
              <w:top w:val="nil"/>
              <w:bottom w:val="single" w:sz="8" w:space="0" w:color="auto"/>
            </w:tcBorders>
            <w:shd w:val="clear" w:color="auto" w:fill="auto"/>
            <w:vAlign w:val="center"/>
            <w:hideMark/>
          </w:tcPr>
          <w:p w14:paraId="408ADD6E" w14:textId="77777777" w:rsidR="0051667F" w:rsidRPr="0051667F" w:rsidRDefault="0051667F" w:rsidP="0051667F">
            <w:pPr>
              <w:spacing w:after="0" w:line="240" w:lineRule="auto"/>
              <w:jc w:val="center"/>
              <w:rPr>
                <w:rFonts w:ascii="Times New Roman" w:eastAsia="Times New Roman" w:hAnsi="Times New Roman" w:cs="Times New Roman"/>
                <w:sz w:val="20"/>
                <w:szCs w:val="20"/>
                <w:lang w:eastAsia="pt-BR"/>
              </w:rPr>
            </w:pPr>
            <w:r w:rsidRPr="0051667F">
              <w:rPr>
                <w:rFonts w:ascii="Times New Roman" w:eastAsia="Times New Roman" w:hAnsi="Times New Roman" w:cs="Times New Roman"/>
                <w:sz w:val="20"/>
                <w:szCs w:val="20"/>
                <w:lang w:eastAsia="pt-BR"/>
              </w:rPr>
              <w:t>0,650</w:t>
            </w:r>
          </w:p>
        </w:tc>
      </w:tr>
    </w:tbl>
    <w:p w14:paraId="6431D530" w14:textId="77777777" w:rsidR="0051667F" w:rsidRPr="0051667F" w:rsidRDefault="0051667F" w:rsidP="0051667F">
      <w:pPr>
        <w:spacing w:after="0" w:line="240" w:lineRule="auto"/>
        <w:jc w:val="both"/>
        <w:rPr>
          <w:rFonts w:ascii="Times New Roman" w:eastAsia="Calibri" w:hAnsi="Times New Roman" w:cs="Times New Roman"/>
          <w:sz w:val="20"/>
          <w:szCs w:val="20"/>
        </w:rPr>
      </w:pPr>
      <w:r w:rsidRPr="0051667F">
        <w:rPr>
          <w:rFonts w:ascii="Times New Roman" w:eastAsia="Calibri" w:hAnsi="Times New Roman" w:cs="Times New Roman"/>
          <w:sz w:val="20"/>
          <w:szCs w:val="20"/>
        </w:rPr>
        <w:t xml:space="preserve">                    Fonte: Elaborado pelos autores com base nos dados da pesquisa.</w:t>
      </w:r>
    </w:p>
    <w:p w14:paraId="66CC7318" w14:textId="77777777" w:rsidR="0051667F" w:rsidRPr="0051667F" w:rsidRDefault="0051667F" w:rsidP="0051667F">
      <w:pPr>
        <w:rPr>
          <w:rFonts w:ascii="Times New Roman" w:eastAsia="Calibri" w:hAnsi="Times New Roman" w:cs="Times New Roman"/>
          <w:sz w:val="24"/>
        </w:rPr>
      </w:pPr>
    </w:p>
    <w:p w14:paraId="4C6845B2" w14:textId="4E0BD251" w:rsidR="0051667F" w:rsidRPr="0051667F" w:rsidRDefault="0051667F" w:rsidP="0051667F">
      <w:pPr>
        <w:spacing w:after="0" w:line="360" w:lineRule="auto"/>
        <w:jc w:val="both"/>
        <w:rPr>
          <w:rFonts w:ascii="Times New Roman" w:eastAsia="Calibri" w:hAnsi="Times New Roman" w:cs="Times New Roman"/>
          <w:sz w:val="24"/>
        </w:rPr>
      </w:pPr>
      <w:r w:rsidRPr="0051667F">
        <w:rPr>
          <w:rFonts w:ascii="Times New Roman" w:eastAsia="Calibri" w:hAnsi="Times New Roman" w:cs="Times New Roman"/>
          <w:sz w:val="24"/>
        </w:rPr>
        <w:lastRenderedPageBreak/>
        <w:tab/>
        <w:t xml:space="preserve">Por meio dos resultados do Teste T apresentados na Tabela </w:t>
      </w:r>
      <w:r w:rsidR="00CC5E5D">
        <w:rPr>
          <w:rFonts w:ascii="Times New Roman" w:eastAsia="Calibri" w:hAnsi="Times New Roman" w:cs="Times New Roman"/>
          <w:sz w:val="24"/>
        </w:rPr>
        <w:t>4</w:t>
      </w:r>
      <w:r w:rsidRPr="0051667F">
        <w:rPr>
          <w:rFonts w:ascii="Times New Roman" w:eastAsia="Calibri" w:hAnsi="Times New Roman" w:cs="Times New Roman"/>
          <w:sz w:val="24"/>
        </w:rPr>
        <w:t xml:space="preserve">, deduz que não se pode rejeitar a hipótese nula de igualdade das médias entre o terceiro e os demais quartis do PIB </w:t>
      </w:r>
      <w:r w:rsidRPr="0051667F">
        <w:rPr>
          <w:rFonts w:ascii="Times New Roman" w:eastAsia="Calibri" w:hAnsi="Times New Roman" w:cs="Times New Roman"/>
          <w:i/>
          <w:iCs/>
          <w:sz w:val="24"/>
        </w:rPr>
        <w:t>per capita</w:t>
      </w:r>
      <w:r w:rsidRPr="0051667F">
        <w:rPr>
          <w:rFonts w:ascii="Times New Roman" w:eastAsia="Calibri" w:hAnsi="Times New Roman" w:cs="Times New Roman"/>
          <w:sz w:val="24"/>
        </w:rPr>
        <w:t xml:space="preserve"> para os modelos CRS e VRS, ou seja, os escores médios de eficiência técnica das regiões imediatas cearenses que fazem parte do primeiro e do segundo quartil não possuem diferenças significativas em termos médios do PIB </w:t>
      </w:r>
      <w:r w:rsidRPr="0051667F">
        <w:rPr>
          <w:rFonts w:ascii="Times New Roman" w:eastAsia="Calibri" w:hAnsi="Times New Roman" w:cs="Times New Roman"/>
          <w:i/>
          <w:iCs/>
          <w:sz w:val="24"/>
        </w:rPr>
        <w:t>per capita</w:t>
      </w:r>
      <w:r w:rsidRPr="0051667F">
        <w:rPr>
          <w:rFonts w:ascii="Times New Roman" w:eastAsia="Calibri" w:hAnsi="Times New Roman" w:cs="Times New Roman"/>
          <w:sz w:val="24"/>
        </w:rPr>
        <w:t xml:space="preserve"> quando comparados às regiões imediatas constituintes do </w:t>
      </w:r>
      <w:r w:rsidRPr="0051667F">
        <w:rPr>
          <w:rFonts w:ascii="Times New Roman" w:eastAsia="Calibri" w:hAnsi="Times New Roman" w:cs="Times New Roman"/>
          <w:sz w:val="24"/>
          <w:szCs w:val="24"/>
        </w:rPr>
        <w:t xml:space="preserve">quartil com maior PIB </w:t>
      </w:r>
      <w:r w:rsidRPr="0051667F">
        <w:rPr>
          <w:rFonts w:ascii="Times New Roman" w:eastAsia="Calibri" w:hAnsi="Times New Roman" w:cs="Times New Roman"/>
          <w:i/>
          <w:iCs/>
          <w:sz w:val="24"/>
          <w:szCs w:val="24"/>
        </w:rPr>
        <w:t>per capita</w:t>
      </w:r>
      <w:r w:rsidRPr="0051667F">
        <w:rPr>
          <w:rFonts w:ascii="Times New Roman" w:eastAsia="Calibri" w:hAnsi="Times New Roman" w:cs="Times New Roman"/>
          <w:sz w:val="24"/>
          <w:szCs w:val="24"/>
        </w:rPr>
        <w:t xml:space="preserve"> médio</w:t>
      </w:r>
      <w:r w:rsidRPr="0051667F">
        <w:rPr>
          <w:rFonts w:ascii="Times New Roman" w:eastAsia="Calibri" w:hAnsi="Times New Roman" w:cs="Times New Roman"/>
          <w:sz w:val="24"/>
        </w:rPr>
        <w:t xml:space="preserve"> (terceiro quartil). </w:t>
      </w:r>
    </w:p>
    <w:p w14:paraId="57469FAB" w14:textId="77777777" w:rsidR="0051667F" w:rsidRPr="0051667F" w:rsidRDefault="0051667F" w:rsidP="0051667F">
      <w:pPr>
        <w:spacing w:after="0" w:line="240" w:lineRule="auto"/>
        <w:jc w:val="both"/>
        <w:rPr>
          <w:rFonts w:ascii="Times New Roman" w:eastAsia="Calibri" w:hAnsi="Times New Roman" w:cs="Times New Roman"/>
          <w:b/>
          <w:bCs/>
          <w:sz w:val="24"/>
          <w:szCs w:val="24"/>
        </w:rPr>
      </w:pPr>
      <w:r w:rsidRPr="0051667F">
        <w:rPr>
          <w:rFonts w:ascii="Times New Roman" w:eastAsia="Calibri" w:hAnsi="Times New Roman" w:cs="Times New Roman"/>
          <w:b/>
          <w:bCs/>
          <w:sz w:val="24"/>
          <w:szCs w:val="24"/>
        </w:rPr>
        <w:t>4.3. Análise dos escores de eficiência média dos gastos públicos no setor de saúde para as regiões imediatas do Ceará, segundo o tamanho populacional médio</w:t>
      </w:r>
    </w:p>
    <w:p w14:paraId="4B685370" w14:textId="77777777" w:rsidR="0051667F" w:rsidRPr="0051667F" w:rsidRDefault="0051667F" w:rsidP="0051667F">
      <w:pPr>
        <w:spacing w:after="0" w:line="240" w:lineRule="auto"/>
        <w:jc w:val="both"/>
        <w:rPr>
          <w:rFonts w:ascii="Times New Roman" w:eastAsia="Calibri" w:hAnsi="Times New Roman" w:cs="Times New Roman"/>
          <w:noProof/>
          <w:sz w:val="24"/>
          <w:szCs w:val="24"/>
        </w:rPr>
      </w:pPr>
      <w:r w:rsidRPr="0051667F">
        <w:rPr>
          <w:rFonts w:ascii="Times New Roman" w:eastAsia="Calibri" w:hAnsi="Times New Roman" w:cs="Times New Roman"/>
          <w:noProof/>
          <w:sz w:val="24"/>
          <w:szCs w:val="24"/>
        </w:rPr>
        <w:tab/>
      </w:r>
    </w:p>
    <w:p w14:paraId="7C55D43D" w14:textId="77777777" w:rsidR="0051667F" w:rsidRPr="0051667F" w:rsidRDefault="0051667F" w:rsidP="0051667F">
      <w:pPr>
        <w:spacing w:after="0" w:line="360" w:lineRule="auto"/>
        <w:ind w:firstLine="708"/>
        <w:jc w:val="both"/>
        <w:rPr>
          <w:rFonts w:ascii="Times New Roman" w:eastAsia="Calibri" w:hAnsi="Times New Roman" w:cs="Times New Roman"/>
          <w:noProof/>
          <w:sz w:val="24"/>
          <w:szCs w:val="24"/>
        </w:rPr>
      </w:pPr>
      <w:r w:rsidRPr="0051667F">
        <w:rPr>
          <w:rFonts w:ascii="Times New Roman" w:eastAsia="Calibri" w:hAnsi="Times New Roman" w:cs="Times New Roman"/>
          <w:noProof/>
          <w:sz w:val="24"/>
          <w:szCs w:val="24"/>
        </w:rPr>
        <w:t xml:space="preserve">Outra maneira de agrupar os índices médios de eficiência na alocação dos gastos em saúde das regiões imediatas do Ceará foi para grupos populacionais, seguindo o mesmo critério adotado por </w:t>
      </w:r>
      <w:r w:rsidRPr="0051667F">
        <w:rPr>
          <w:rFonts w:ascii="Times New Roman" w:eastAsia="Calibri" w:hAnsi="Times New Roman" w:cs="Times New Roman"/>
          <w:sz w:val="24"/>
          <w:szCs w:val="24"/>
        </w:rPr>
        <w:t xml:space="preserve">Zoghbi </w:t>
      </w:r>
      <w:r w:rsidRPr="0051667F">
        <w:rPr>
          <w:rFonts w:ascii="Times New Roman" w:eastAsia="Calibri" w:hAnsi="Times New Roman" w:cs="Times New Roman"/>
          <w:i/>
          <w:iCs/>
          <w:sz w:val="24"/>
          <w:szCs w:val="24"/>
        </w:rPr>
        <w:t>et al.</w:t>
      </w:r>
      <w:r w:rsidRPr="0051667F">
        <w:rPr>
          <w:rFonts w:ascii="Times New Roman" w:eastAsia="Calibri" w:hAnsi="Times New Roman" w:cs="Times New Roman"/>
          <w:sz w:val="24"/>
          <w:szCs w:val="24"/>
        </w:rPr>
        <w:t xml:space="preserve"> (2011) </w:t>
      </w:r>
      <w:r w:rsidRPr="0051667F">
        <w:rPr>
          <w:rFonts w:ascii="Times New Roman" w:eastAsia="Calibri" w:hAnsi="Times New Roman" w:cs="Times New Roman"/>
          <w:noProof/>
          <w:sz w:val="24"/>
          <w:szCs w:val="24"/>
        </w:rPr>
        <w:t xml:space="preserve">para divisão do PIB por quartil. Na literatura que relaciona os escores de eficiência dos gastos públicos com o tamanho populacional, podem-se citar os estudos desenvolvidos por Nunes e Sousa (2019) e Rodrigues e Sousa (2019), que trabalharam com recortes municipais e utilizaram a classificação proposta pelo IBGE (2010) para distribuição populacional.  Entretanto, no presente estudo, não foi possível aplicar este critério, visto que, em termos populacionais médios de regiões imediatas, não se contemplam as classes inferiores (até 5.000 habitantes e de 5.001 a 20.000 habitantes) nem superiores (de 100.001 a 500.000 habitantes e mais de 500.000 habitantes) delimitadas pelo IBGE. </w:t>
      </w:r>
    </w:p>
    <w:p w14:paraId="03BC1F3A" w14:textId="77777777" w:rsidR="0051667F" w:rsidRPr="0051667F" w:rsidRDefault="0051667F" w:rsidP="0051667F">
      <w:pPr>
        <w:spacing w:after="0" w:line="360" w:lineRule="auto"/>
        <w:ind w:firstLine="708"/>
        <w:jc w:val="both"/>
        <w:rPr>
          <w:rFonts w:ascii="Times New Roman" w:eastAsia="Calibri" w:hAnsi="Times New Roman" w:cs="Times New Roman"/>
          <w:sz w:val="24"/>
          <w:szCs w:val="24"/>
        </w:rPr>
      </w:pPr>
      <w:r w:rsidRPr="0051667F">
        <w:rPr>
          <w:rFonts w:ascii="Times New Roman" w:eastAsia="Calibri" w:hAnsi="Times New Roman" w:cs="Times New Roman"/>
          <w:noProof/>
          <w:sz w:val="24"/>
          <w:szCs w:val="24"/>
        </w:rPr>
        <w:t>Neste trabalho, as regiões imediatas foram agregadas em três grupos:  no primeiro, situam-se as regiões imediatas com população média até 25.000 habitantes; no segundo, as regiões com população média de 25.001 a 50.000 habitantes;  e, por último, o agrupamento com população média constituída por mais de 50.000 habitantes. O primeiro é composto por três  regiões imediatas (</w:t>
      </w:r>
      <w:r w:rsidRPr="0051667F">
        <w:rPr>
          <w:rFonts w:ascii="Times New Roman" w:eastAsia="Calibri" w:hAnsi="Times New Roman" w:cs="Times New Roman"/>
          <w:sz w:val="24"/>
          <w:szCs w:val="24"/>
        </w:rPr>
        <w:t>Redenção-Acarape, Icó e Brejo Santo) com população média de 22.079,26 habitantes; o segundo foi constituído por 14 regiões imediatas (Itapagé, Sobral, Crateús, Russas-Limoeiro do Norte, Aracati, Quixadá, Tauá, Iguatu, Canindé, Acaraú, Camocim, São Benedito-Ipu-Guaraciaba do Norte-Tianguá,</w:t>
      </w:r>
      <w:r w:rsidRPr="0051667F">
        <w:rPr>
          <w:rFonts w:ascii="Calibri" w:eastAsia="Calibri" w:hAnsi="Calibri" w:cs="Times New Roman"/>
        </w:rPr>
        <w:t xml:space="preserve"> </w:t>
      </w:r>
      <w:r w:rsidRPr="0051667F">
        <w:rPr>
          <w:rFonts w:ascii="Times New Roman" w:eastAsia="Calibri" w:hAnsi="Times New Roman" w:cs="Times New Roman"/>
          <w:sz w:val="24"/>
          <w:szCs w:val="24"/>
        </w:rPr>
        <w:t>Juazeiro do Norte e Itapipoca) com população média de 32.538,57 habitantes; e por fim, o terceiro constituído apenas pela região imediata de  Fortaleza com população média de 204.291,50.</w:t>
      </w:r>
    </w:p>
    <w:p w14:paraId="6306994F" w14:textId="77777777" w:rsidR="0051667F" w:rsidRPr="0051667F" w:rsidRDefault="0051667F" w:rsidP="0051667F">
      <w:pPr>
        <w:spacing w:line="240" w:lineRule="auto"/>
        <w:jc w:val="center"/>
        <w:rPr>
          <w:rFonts w:ascii="Times New Roman" w:eastAsia="Calibri" w:hAnsi="Times New Roman" w:cs="Times New Roman"/>
          <w:noProof/>
          <w:sz w:val="24"/>
          <w:szCs w:val="24"/>
        </w:rPr>
      </w:pPr>
      <w:r w:rsidRPr="0051667F">
        <w:rPr>
          <w:rFonts w:ascii="Times New Roman" w:eastAsia="Calibri" w:hAnsi="Times New Roman" w:cs="Times New Roman"/>
          <w:b/>
          <w:bCs/>
          <w:noProof/>
          <w:sz w:val="24"/>
          <w:szCs w:val="24"/>
        </w:rPr>
        <w:lastRenderedPageBreak/>
        <w:t>Gráfico 2</w:t>
      </w:r>
      <w:r w:rsidRPr="0051667F">
        <w:rPr>
          <w:rFonts w:ascii="Times New Roman" w:eastAsia="Calibri" w:hAnsi="Times New Roman" w:cs="Times New Roman"/>
          <w:noProof/>
          <w:sz w:val="24"/>
          <w:szCs w:val="24"/>
        </w:rPr>
        <w:t xml:space="preserve"> – Distribuição dos escores de eficiência técnica com retornos constantes à escala (CRS) e com retornos variáveis à escala (VRS) dos gastos públicos em saúde, por tamanho da população média das regiões imediatas do Ceará, em 2019.</w:t>
      </w:r>
    </w:p>
    <w:p w14:paraId="0F34501B" w14:textId="77777777" w:rsidR="0051667F" w:rsidRPr="0051667F" w:rsidRDefault="0051667F" w:rsidP="0051667F">
      <w:pPr>
        <w:spacing w:after="0"/>
        <w:jc w:val="center"/>
        <w:rPr>
          <w:rFonts w:ascii="Calibri" w:eastAsia="Calibri" w:hAnsi="Calibri" w:cs="Times New Roman"/>
          <w:noProof/>
        </w:rPr>
      </w:pPr>
      <w:r w:rsidRPr="0051667F">
        <w:rPr>
          <w:rFonts w:ascii="Calibri" w:eastAsia="Calibri" w:hAnsi="Calibri" w:cs="Times New Roman"/>
          <w:noProof/>
        </w:rPr>
        <w:drawing>
          <wp:inline distT="0" distB="0" distL="0" distR="0" wp14:anchorId="5F7CE217" wp14:editId="54FA793A">
            <wp:extent cx="4572000" cy="1714500"/>
            <wp:effectExtent l="0" t="0" r="0" b="0"/>
            <wp:docPr id="8" name="Gráfico 8">
              <a:extLst xmlns:a="http://schemas.openxmlformats.org/drawingml/2006/main">
                <a:ext uri="{FF2B5EF4-FFF2-40B4-BE49-F238E27FC236}">
                  <a16:creationId xmlns:a16="http://schemas.microsoft.com/office/drawing/2014/main" id="{00000000-0008-0000-0A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4F1DE91" w14:textId="77777777" w:rsidR="0051667F" w:rsidRPr="0051667F" w:rsidRDefault="0051667F" w:rsidP="0051667F">
      <w:pPr>
        <w:spacing w:after="0" w:line="240" w:lineRule="auto"/>
        <w:jc w:val="center"/>
        <w:rPr>
          <w:rFonts w:ascii="Times New Roman" w:eastAsia="Calibri" w:hAnsi="Times New Roman" w:cs="Times New Roman"/>
          <w:sz w:val="20"/>
          <w:szCs w:val="20"/>
        </w:rPr>
      </w:pPr>
      <w:r w:rsidRPr="0051667F">
        <w:rPr>
          <w:rFonts w:ascii="Times New Roman" w:eastAsia="Calibri" w:hAnsi="Times New Roman" w:cs="Times New Roman"/>
          <w:sz w:val="20"/>
          <w:szCs w:val="20"/>
        </w:rPr>
        <w:t>Fonte: Elaborado pelos autores com base nos dados da pesquisa.</w:t>
      </w:r>
    </w:p>
    <w:p w14:paraId="2DF45ACF" w14:textId="77777777" w:rsidR="0051667F" w:rsidRPr="0051667F" w:rsidRDefault="0051667F" w:rsidP="0051667F">
      <w:pPr>
        <w:spacing w:after="0" w:line="360" w:lineRule="auto"/>
        <w:jc w:val="both"/>
        <w:rPr>
          <w:rFonts w:ascii="Times New Roman" w:eastAsia="Calibri" w:hAnsi="Times New Roman" w:cs="Times New Roman"/>
          <w:b/>
          <w:bCs/>
          <w:sz w:val="24"/>
          <w:szCs w:val="24"/>
        </w:rPr>
      </w:pPr>
      <w:r w:rsidRPr="0051667F">
        <w:rPr>
          <w:rFonts w:ascii="Times New Roman" w:eastAsia="Calibri" w:hAnsi="Times New Roman" w:cs="Times New Roman"/>
          <w:b/>
          <w:bCs/>
          <w:sz w:val="24"/>
          <w:szCs w:val="24"/>
        </w:rPr>
        <w:tab/>
      </w:r>
    </w:p>
    <w:p w14:paraId="124C93E3" w14:textId="77777777" w:rsidR="0051667F" w:rsidRPr="0051667F" w:rsidRDefault="0051667F" w:rsidP="0051667F">
      <w:pPr>
        <w:spacing w:after="0" w:line="360" w:lineRule="auto"/>
        <w:ind w:firstLine="708"/>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t>Como se pode constatar no Gráfico 2, dentre os três grupos populacionais analisados, os maiores escores médios de eficiência técnica ocorreram no grupo com maior tamanho populacional médio, composto pela região imediata de Fortaleza, que se destacou com a máxima eficiência média nos modelos CRS e VRS. Esse resultado foi ratificado por Alves e Costa (2013), que analisaram a eficiência na saúde nos municípios do Espírito Santo e constataram que os municípios mais populosos obtiveram maiores índices de eficiência no modelo VRS. Segundo esses autores, a eficiência nos municípios mais populosos pode estar associada à infraestrutura de saúde mais adequada, sendo confirmado neste estudo, devido a região imediata de Fortaleza ter sido responsável pela maior relação despesas, estabelecimentos, equipes de saúde e procedimentos hospitalares por mil habitantes. Barbosa e Sousa (2015) também identificaram que os municípios nordestinos com melhores condições sociais e estrutura do sistema de saúde do município registraram, em média, os melhores escores de eficiência técnica do Índice de Desempenho do Sistema Único de Saúde.</w:t>
      </w:r>
    </w:p>
    <w:p w14:paraId="19945B1B" w14:textId="307442EF" w:rsidR="00932EC3" w:rsidRDefault="0051667F" w:rsidP="0051667F">
      <w:pPr>
        <w:spacing w:after="0" w:line="360" w:lineRule="auto"/>
        <w:ind w:firstLine="708"/>
        <w:jc w:val="both"/>
        <w:rPr>
          <w:rFonts w:ascii="Times New Roman" w:eastAsia="Calibri" w:hAnsi="Times New Roman" w:cs="Times New Roman"/>
          <w:sz w:val="24"/>
          <w:szCs w:val="24"/>
        </w:rPr>
      </w:pPr>
      <w:r w:rsidRPr="0051667F">
        <w:rPr>
          <w:rFonts w:ascii="Times New Roman" w:eastAsia="Calibri" w:hAnsi="Times New Roman" w:cs="Times New Roman"/>
          <w:sz w:val="24"/>
          <w:szCs w:val="24"/>
        </w:rPr>
        <w:t xml:space="preserve">O grupo com menor tamanho populacional médio obteve, respectivamente, escores médios de eficiência de 0,97 e 1, apresentando o segundo menor gasto </w:t>
      </w:r>
      <w:r w:rsidRPr="005549E5">
        <w:rPr>
          <w:rFonts w:ascii="Times New Roman" w:eastAsia="Calibri" w:hAnsi="Times New Roman" w:cs="Times New Roman"/>
          <w:i/>
          <w:iCs/>
          <w:sz w:val="24"/>
          <w:szCs w:val="24"/>
        </w:rPr>
        <w:t>per capita</w:t>
      </w:r>
      <w:r w:rsidRPr="0051667F">
        <w:rPr>
          <w:rFonts w:ascii="Times New Roman" w:eastAsia="Calibri" w:hAnsi="Times New Roman" w:cs="Times New Roman"/>
          <w:sz w:val="24"/>
          <w:szCs w:val="24"/>
        </w:rPr>
        <w:t xml:space="preserve"> com saúde, de R$ 73,64 em 2019. Por outro lado, as regiões de tamanho médio populacional intermediário apresentaram os menores escores médios de eficiência, correspondendo, respectivamente, a 0,90 e 0,93 nos modelos CRS e VRS, o que pode ser devido a este grupo também apresentar o menor gasto per capita com saúde que foi de R$ 64,08 no período analisado. Das 14 regiões </w:t>
      </w:r>
      <w:r w:rsidRPr="0051667F">
        <w:rPr>
          <w:rFonts w:ascii="Times New Roman" w:eastAsia="Calibri" w:hAnsi="Times New Roman" w:cs="Times New Roman"/>
          <w:sz w:val="24"/>
          <w:szCs w:val="24"/>
        </w:rPr>
        <w:lastRenderedPageBreak/>
        <w:t xml:space="preserve">imediatas que compõem este agrupamento, quatro delas (Itapagé, Russas-Limoeiro do Norte, Tauá e São Benedito-Ipu-Guaraciaba do Norte-Tianguá) mostraram-se plenamente eficientes. Esses resultados foram inversos dos obtidos por Nunes e Sousa (2019), que constataram que os grupos que se mostraram mais eficientes no gerenciamento público com saúde em termos populacionais foram as classes intermediárias, ao passo que os grupos com menor e maior tamanho médio populacional foram as menos eficientes. </w:t>
      </w:r>
    </w:p>
    <w:p w14:paraId="77388B1C" w14:textId="341AAC8D" w:rsidR="00FD2CC9" w:rsidRPr="00FD2CC9" w:rsidRDefault="00FD2CC9" w:rsidP="00FD2CC9">
      <w:pPr>
        <w:spacing w:after="0" w:line="360" w:lineRule="auto"/>
        <w:ind w:firstLine="708"/>
        <w:jc w:val="both"/>
        <w:rPr>
          <w:rFonts w:ascii="Times New Roman" w:hAnsi="Times New Roman" w:cs="Times New Roman"/>
          <w:sz w:val="24"/>
          <w:szCs w:val="24"/>
        </w:rPr>
      </w:pPr>
      <w:r w:rsidRPr="0038653D">
        <w:rPr>
          <w:rFonts w:ascii="Times New Roman" w:hAnsi="Times New Roman" w:cs="Times New Roman"/>
          <w:sz w:val="24"/>
          <w:szCs w:val="24"/>
        </w:rPr>
        <w:t xml:space="preserve">Diante dessas inferências, conclui-se que a maior parte das regiões imediatas cearenses alocou os recursos destinados ao setor da saúde </w:t>
      </w:r>
      <w:r>
        <w:rPr>
          <w:rFonts w:ascii="Times New Roman" w:hAnsi="Times New Roman" w:cs="Times New Roman"/>
          <w:sz w:val="24"/>
          <w:szCs w:val="24"/>
        </w:rPr>
        <w:t xml:space="preserve">parcialmente </w:t>
      </w:r>
      <w:r w:rsidRPr="0038653D">
        <w:rPr>
          <w:rFonts w:ascii="Times New Roman" w:hAnsi="Times New Roman" w:cs="Times New Roman"/>
          <w:sz w:val="24"/>
          <w:szCs w:val="24"/>
        </w:rPr>
        <w:t xml:space="preserve">eficiente, uma vez que quase 2/3 de tais regiões mostraram-se </w:t>
      </w:r>
      <w:r>
        <w:rPr>
          <w:rFonts w:ascii="Times New Roman" w:hAnsi="Times New Roman" w:cs="Times New Roman"/>
          <w:sz w:val="24"/>
          <w:szCs w:val="24"/>
        </w:rPr>
        <w:t xml:space="preserve">parcialmente </w:t>
      </w:r>
      <w:r w:rsidRPr="0038653D">
        <w:rPr>
          <w:rFonts w:ascii="Times New Roman" w:hAnsi="Times New Roman" w:cs="Times New Roman"/>
          <w:sz w:val="24"/>
          <w:szCs w:val="24"/>
        </w:rPr>
        <w:t>eficientes em termos técnicos e na escala de produção. Portanto, torna-se imprescindível que os gestores criem estratégias para que a oferta de serviços de saúde tenha um melhor desempenho, contribuindo para melhorar a qualidade de vida da população cearense.</w:t>
      </w:r>
    </w:p>
    <w:p w14:paraId="27E25428" w14:textId="77777777" w:rsidR="00E23187" w:rsidRDefault="00E23187">
      <w:pPr>
        <w:spacing w:after="0" w:line="240" w:lineRule="auto"/>
        <w:jc w:val="both"/>
        <w:rPr>
          <w:rFonts w:ascii="Times New Roman" w:hAnsi="Times New Roman" w:cs="Times New Roman"/>
          <w:b/>
          <w:bCs/>
          <w:sz w:val="24"/>
          <w:szCs w:val="24"/>
        </w:rPr>
      </w:pPr>
    </w:p>
    <w:p w14:paraId="30C346B8" w14:textId="4B10F294" w:rsidR="00E23187" w:rsidRDefault="0000000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6436F01B" w14:textId="77777777" w:rsidR="00153BF8" w:rsidRDefault="00153BF8">
      <w:pPr>
        <w:spacing w:after="0" w:line="240" w:lineRule="auto"/>
        <w:jc w:val="both"/>
        <w:rPr>
          <w:rFonts w:ascii="Times New Roman" w:hAnsi="Times New Roman" w:cs="Times New Roman"/>
          <w:b/>
          <w:bCs/>
          <w:sz w:val="24"/>
          <w:szCs w:val="24"/>
        </w:rPr>
      </w:pPr>
    </w:p>
    <w:p w14:paraId="446F529C" w14:textId="77777777"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ALVES, L. A.; COSTA, L. D. Avaliação da eficiência na Atenção Básica à Saúde nos municípios do estado do Espírito Santo. In: Encontro da Associação Nacional de Pós-Graduação e Pesquisa em Administração, 37, 2013. Anais... Rio de Janeiro: ANPAD, 2013. Disponível em: &lt;http://anpad.org.br/eventos.php?cod_evento=&amp;cod_evento_edicao=68&amp;cod_edicao_subsecao=966&amp;cod_edicao_trabalho=16505&gt;. Acesso em: 05 jun. 2022.</w:t>
      </w:r>
    </w:p>
    <w:p w14:paraId="7DC0FA3E" w14:textId="77777777" w:rsidR="002522D6" w:rsidRPr="0038653D" w:rsidRDefault="002522D6" w:rsidP="00EA24A8">
      <w:pPr>
        <w:spacing w:after="0" w:line="240" w:lineRule="auto"/>
        <w:rPr>
          <w:rFonts w:ascii="Times New Roman" w:hAnsi="Times New Roman" w:cs="Times New Roman"/>
          <w:sz w:val="24"/>
          <w:szCs w:val="24"/>
        </w:rPr>
      </w:pPr>
    </w:p>
    <w:p w14:paraId="6F4D18FA" w14:textId="421D9C8A"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ANDRETT, M. C. S. et al. Eficiência dos gastos públicos em saúde no Brasil: estudo sobre o desempenho de estados brasileiros. </w:t>
      </w:r>
      <w:r w:rsidRPr="0038653D">
        <w:rPr>
          <w:rFonts w:ascii="Times New Roman" w:hAnsi="Times New Roman" w:cs="Times New Roman"/>
          <w:b/>
          <w:sz w:val="24"/>
          <w:szCs w:val="24"/>
        </w:rPr>
        <w:t>Revista de Gestão em Sistemas de Saúde- RGSS</w:t>
      </w:r>
      <w:r w:rsidRPr="0038653D">
        <w:rPr>
          <w:rFonts w:ascii="Times New Roman" w:hAnsi="Times New Roman" w:cs="Times New Roman"/>
          <w:sz w:val="24"/>
          <w:szCs w:val="24"/>
        </w:rPr>
        <w:t xml:space="preserve">.  </w:t>
      </w:r>
      <w:r w:rsidR="005623CA" w:rsidRPr="0038653D">
        <w:rPr>
          <w:rFonts w:ascii="Times New Roman" w:hAnsi="Times New Roman" w:cs="Times New Roman"/>
          <w:sz w:val="24"/>
          <w:szCs w:val="24"/>
        </w:rPr>
        <w:t>V</w:t>
      </w:r>
      <w:r w:rsidRPr="0038653D">
        <w:rPr>
          <w:rFonts w:ascii="Times New Roman" w:hAnsi="Times New Roman" w:cs="Times New Roman"/>
          <w:sz w:val="24"/>
          <w:szCs w:val="24"/>
        </w:rPr>
        <w:t>. 7, n. 2, p. 114-128, maio/agosto, 2018.</w:t>
      </w:r>
    </w:p>
    <w:p w14:paraId="7BC423C8" w14:textId="77777777" w:rsidR="002522D6" w:rsidRPr="0038653D" w:rsidRDefault="002522D6" w:rsidP="00EA24A8">
      <w:pPr>
        <w:spacing w:after="0" w:line="240" w:lineRule="auto"/>
        <w:rPr>
          <w:rFonts w:ascii="Times New Roman" w:hAnsi="Times New Roman" w:cs="Times New Roman"/>
          <w:sz w:val="24"/>
          <w:szCs w:val="24"/>
        </w:rPr>
      </w:pPr>
    </w:p>
    <w:p w14:paraId="2E9D9E54" w14:textId="77777777"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ASANDULUI, L; ROMAN, M; FATULESCU.P; The Efficiency of Healthcare Systems in Europe: a Data Envelopment Analysis Approach. </w:t>
      </w:r>
      <w:r w:rsidRPr="0038653D">
        <w:rPr>
          <w:rFonts w:ascii="Times New Roman" w:hAnsi="Times New Roman" w:cs="Times New Roman"/>
          <w:b/>
          <w:sz w:val="24"/>
          <w:szCs w:val="24"/>
        </w:rPr>
        <w:t>Procedia Economics and Finance</w:t>
      </w:r>
      <w:r w:rsidRPr="0038653D">
        <w:rPr>
          <w:rFonts w:ascii="Times New Roman" w:hAnsi="Times New Roman" w:cs="Times New Roman"/>
          <w:sz w:val="24"/>
          <w:szCs w:val="24"/>
        </w:rPr>
        <w:t>, v. 10, p. 261-268, 2014. Disponível em: &lt;https://www.sciencedirect.com/science/article/pii/S2212567114003013&gt;. Acesso em: 09 set. 2021.</w:t>
      </w:r>
    </w:p>
    <w:p w14:paraId="6FCFBAEE" w14:textId="77777777" w:rsidR="002522D6" w:rsidRPr="0038653D" w:rsidRDefault="002522D6" w:rsidP="00EA24A8">
      <w:pPr>
        <w:spacing w:after="0" w:line="240" w:lineRule="auto"/>
        <w:rPr>
          <w:rFonts w:ascii="Times New Roman" w:hAnsi="Times New Roman" w:cs="Times New Roman"/>
          <w:sz w:val="24"/>
          <w:szCs w:val="24"/>
        </w:rPr>
      </w:pPr>
    </w:p>
    <w:p w14:paraId="0F432211" w14:textId="77777777"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BARBOSA, W. F.; SOUSA, E. P. Eficiência técnica e de escala do Sistema Único de Saúde nos municípios do Nordeste brasileiro. Revista Econômica do Nordeste, v. 46, n. 3, p. 99-113,</w:t>
      </w:r>
    </w:p>
    <w:p w14:paraId="1D7EA558" w14:textId="77777777"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2015.</w:t>
      </w:r>
    </w:p>
    <w:p w14:paraId="1E99D92B" w14:textId="77777777" w:rsidR="002522D6" w:rsidRPr="0038653D" w:rsidRDefault="002522D6" w:rsidP="00EA24A8">
      <w:pPr>
        <w:spacing w:after="0" w:line="240" w:lineRule="auto"/>
        <w:rPr>
          <w:rFonts w:ascii="Times New Roman" w:hAnsi="Times New Roman" w:cs="Times New Roman"/>
          <w:sz w:val="24"/>
          <w:szCs w:val="24"/>
        </w:rPr>
      </w:pPr>
    </w:p>
    <w:p w14:paraId="0F2D02F1" w14:textId="77777777"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lastRenderedPageBreak/>
        <w:t xml:space="preserve">BANKER, R. D.; CHARNES, A.; COOPER, W. W. Models for the estimation of technical and scale efficiencies in data envelopment analysis. </w:t>
      </w:r>
      <w:r w:rsidRPr="0038653D">
        <w:rPr>
          <w:rFonts w:ascii="Times New Roman" w:hAnsi="Times New Roman" w:cs="Times New Roman"/>
          <w:b/>
          <w:bCs/>
          <w:sz w:val="24"/>
          <w:szCs w:val="24"/>
        </w:rPr>
        <w:t>Management Science</w:t>
      </w:r>
      <w:r w:rsidRPr="0038653D">
        <w:rPr>
          <w:rFonts w:ascii="Times New Roman" w:hAnsi="Times New Roman" w:cs="Times New Roman"/>
          <w:sz w:val="24"/>
          <w:szCs w:val="24"/>
        </w:rPr>
        <w:t>, v. 30, p. 1078-1092, 1984.</w:t>
      </w:r>
    </w:p>
    <w:p w14:paraId="4CD6937E" w14:textId="77777777" w:rsidR="002522D6" w:rsidRPr="0038653D" w:rsidRDefault="002522D6" w:rsidP="00EA24A8">
      <w:pPr>
        <w:spacing w:after="0" w:line="240" w:lineRule="auto"/>
        <w:rPr>
          <w:rFonts w:ascii="Times New Roman" w:hAnsi="Times New Roman" w:cs="Times New Roman"/>
          <w:sz w:val="24"/>
          <w:szCs w:val="24"/>
        </w:rPr>
      </w:pPr>
    </w:p>
    <w:p w14:paraId="5EE52E99" w14:textId="1AE6BCD8"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BELLONI, J. A. </w:t>
      </w:r>
      <w:r w:rsidRPr="0038653D">
        <w:rPr>
          <w:rFonts w:ascii="Times New Roman" w:hAnsi="Times New Roman" w:cs="Times New Roman"/>
          <w:b/>
          <w:sz w:val="24"/>
          <w:szCs w:val="24"/>
        </w:rPr>
        <w:t>Uma metodologia de avaliação da eficiência produtiva de Universidades Federais Brasileiras.</w:t>
      </w:r>
      <w:r w:rsidRPr="0038653D">
        <w:rPr>
          <w:rFonts w:ascii="Times New Roman" w:hAnsi="Times New Roman" w:cs="Times New Roman"/>
          <w:sz w:val="24"/>
          <w:szCs w:val="24"/>
        </w:rPr>
        <w:t xml:space="preserve"> Florianópolis, 2000, 246 p. Tese (Doutorado em Engenharia de Produção) </w:t>
      </w:r>
      <w:r w:rsidR="005623CA">
        <w:rPr>
          <w:rFonts w:ascii="Times New Roman" w:hAnsi="Times New Roman" w:cs="Times New Roman"/>
          <w:sz w:val="24"/>
          <w:szCs w:val="24"/>
        </w:rPr>
        <w:t>–</w:t>
      </w:r>
      <w:r w:rsidRPr="0038653D">
        <w:rPr>
          <w:rFonts w:ascii="Times New Roman" w:hAnsi="Times New Roman" w:cs="Times New Roman"/>
          <w:sz w:val="24"/>
          <w:szCs w:val="24"/>
        </w:rPr>
        <w:t xml:space="preserve"> Universidade Federal de Santa Catarina. Disponível em: &lt;https://repositorio.ufsc.br/xmlui/bitstream/handle/123456789/78457/153160.pdf?sequence=1&amp;isAllowed=y&gt;. Acesso em: 29 ago. 2021.</w:t>
      </w:r>
    </w:p>
    <w:p w14:paraId="19399E04" w14:textId="77777777" w:rsidR="002522D6" w:rsidRPr="0038653D" w:rsidRDefault="002522D6" w:rsidP="00EA24A8">
      <w:pPr>
        <w:spacing w:after="0" w:line="240" w:lineRule="auto"/>
        <w:rPr>
          <w:rFonts w:ascii="Times New Roman" w:hAnsi="Times New Roman" w:cs="Times New Roman"/>
          <w:sz w:val="24"/>
          <w:szCs w:val="24"/>
        </w:rPr>
      </w:pPr>
    </w:p>
    <w:p w14:paraId="526FD1A6" w14:textId="77777777"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BONATTO, H; SILVA, C.L; NOGUEIRA, S.P.S; RIBEIRO, N.A.P; LIMA, N.S. Avaliação da eficiência no sistema de saúde na microrregião de Paranaguá. </w:t>
      </w:r>
      <w:r w:rsidRPr="0038653D">
        <w:rPr>
          <w:rFonts w:ascii="Times New Roman" w:hAnsi="Times New Roman" w:cs="Times New Roman"/>
          <w:b/>
          <w:bCs/>
          <w:sz w:val="24"/>
          <w:szCs w:val="24"/>
        </w:rPr>
        <w:t>Informe GEPEC</w:t>
      </w:r>
      <w:r w:rsidRPr="0038653D">
        <w:rPr>
          <w:rFonts w:ascii="Times New Roman" w:hAnsi="Times New Roman" w:cs="Times New Roman"/>
          <w:sz w:val="24"/>
          <w:szCs w:val="24"/>
        </w:rPr>
        <w:t>, v. 26, n.2, p.161-189, jul./dez. 2022.</w:t>
      </w:r>
    </w:p>
    <w:p w14:paraId="26CAB11C" w14:textId="77777777" w:rsidR="002522D6" w:rsidRPr="0038653D" w:rsidRDefault="002522D6" w:rsidP="00EA24A8">
      <w:pPr>
        <w:spacing w:after="0" w:line="240" w:lineRule="auto"/>
        <w:rPr>
          <w:rFonts w:ascii="Times New Roman" w:hAnsi="Times New Roman" w:cs="Times New Roman"/>
          <w:sz w:val="24"/>
          <w:szCs w:val="24"/>
        </w:rPr>
      </w:pPr>
      <w:bookmarkStart w:id="9" w:name="_Hlk96335910"/>
    </w:p>
    <w:bookmarkEnd w:id="9"/>
    <w:p w14:paraId="48F956EA" w14:textId="77777777"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BRASIL. </w:t>
      </w:r>
      <w:r w:rsidRPr="0038653D">
        <w:rPr>
          <w:rFonts w:ascii="Times New Roman" w:hAnsi="Times New Roman" w:cs="Times New Roman"/>
          <w:b/>
          <w:sz w:val="24"/>
          <w:szCs w:val="24"/>
        </w:rPr>
        <w:t>Constituição da República Federativa do Brasil:</w:t>
      </w:r>
      <w:r w:rsidRPr="0038653D">
        <w:rPr>
          <w:rFonts w:ascii="Times New Roman" w:hAnsi="Times New Roman" w:cs="Times New Roman"/>
          <w:sz w:val="24"/>
          <w:szCs w:val="24"/>
        </w:rPr>
        <w:t xml:space="preserve"> texto constitucional promulgado em 5 de outubro de 1988, com as alterações determinadas pelas Emendas Constitucionais de Revisão nº 1 a 6/94, pelas Emendas Constitucionais nº 1/92 a 91/2016 e pelo Decreto Legislativo no 186/2008. – Brasília: Senado Federal, Coordenação de Edições Técnicas, 496 p., 2016</w:t>
      </w:r>
    </w:p>
    <w:p w14:paraId="20881D63" w14:textId="77777777" w:rsidR="002522D6" w:rsidRPr="0038653D" w:rsidRDefault="002522D6" w:rsidP="00EA24A8">
      <w:pPr>
        <w:spacing w:after="0" w:line="240" w:lineRule="auto"/>
        <w:rPr>
          <w:rFonts w:ascii="Times New Roman" w:hAnsi="Times New Roman" w:cs="Times New Roman"/>
          <w:sz w:val="24"/>
          <w:szCs w:val="24"/>
        </w:rPr>
      </w:pPr>
    </w:p>
    <w:p w14:paraId="20DC124B" w14:textId="7180776D" w:rsidR="002522D6" w:rsidRPr="0038653D" w:rsidRDefault="002522D6" w:rsidP="00EA24A8">
      <w:pPr>
        <w:spacing w:after="0" w:line="240" w:lineRule="auto"/>
        <w:rPr>
          <w:rFonts w:ascii="Times New Roman" w:hAnsi="Times New Roman" w:cs="Times New Roman"/>
          <w:sz w:val="24"/>
          <w:szCs w:val="24"/>
        </w:rPr>
      </w:pPr>
      <w:bookmarkStart w:id="10" w:name="_Hlk96336120"/>
      <w:r w:rsidRPr="0038653D">
        <w:rPr>
          <w:rFonts w:ascii="Times New Roman" w:hAnsi="Times New Roman" w:cs="Times New Roman"/>
          <w:sz w:val="24"/>
          <w:szCs w:val="24"/>
        </w:rPr>
        <w:t xml:space="preserve">BRINCKMANN, R.; HEINZEN, K. H.; ANDRETT, M. C. S.; PFITSCHER, E. D. Análise de eficiência dos gastos públicos com saúde dos municípios de Santa Catarina entre 2008 e 2014. </w:t>
      </w:r>
      <w:r w:rsidRPr="0038653D">
        <w:rPr>
          <w:rFonts w:ascii="Times New Roman" w:hAnsi="Times New Roman" w:cs="Times New Roman"/>
          <w:b/>
          <w:sz w:val="24"/>
          <w:szCs w:val="24"/>
        </w:rPr>
        <w:t>C</w:t>
      </w:r>
      <w:r w:rsidR="00EF014C" w:rsidRPr="0038653D">
        <w:rPr>
          <w:rFonts w:ascii="Times New Roman" w:hAnsi="Times New Roman" w:cs="Times New Roman"/>
          <w:b/>
          <w:sz w:val="24"/>
          <w:szCs w:val="24"/>
        </w:rPr>
        <w:t>ontabilometria</w:t>
      </w:r>
      <w:r w:rsidRPr="0038653D">
        <w:rPr>
          <w:rFonts w:ascii="Times New Roman" w:hAnsi="Times New Roman" w:cs="Times New Roman"/>
          <w:sz w:val="24"/>
          <w:szCs w:val="24"/>
        </w:rPr>
        <w:t xml:space="preserve"> </w:t>
      </w:r>
      <w:r w:rsidR="005623CA">
        <w:rPr>
          <w:rFonts w:ascii="Times New Roman" w:hAnsi="Times New Roman" w:cs="Times New Roman"/>
          <w:sz w:val="24"/>
          <w:szCs w:val="24"/>
        </w:rPr>
        <w:t>–</w:t>
      </w:r>
      <w:r w:rsidRPr="0038653D">
        <w:rPr>
          <w:rFonts w:ascii="Times New Roman" w:hAnsi="Times New Roman" w:cs="Times New Roman"/>
          <w:sz w:val="24"/>
          <w:szCs w:val="24"/>
        </w:rPr>
        <w:t xml:space="preserve"> Brazilian Journal of Quantitative Methods Applied to Accounting, Monte Carmelo, v. 6, n. 2, p. 77-91, jul./dez. 2019.</w:t>
      </w:r>
    </w:p>
    <w:bookmarkEnd w:id="10"/>
    <w:p w14:paraId="35B68AFB" w14:textId="77777777" w:rsidR="002522D6" w:rsidRPr="0038653D" w:rsidRDefault="002522D6" w:rsidP="00EA24A8">
      <w:pPr>
        <w:spacing w:after="0" w:line="240" w:lineRule="auto"/>
        <w:rPr>
          <w:rFonts w:ascii="Times New Roman" w:hAnsi="Times New Roman" w:cs="Times New Roman"/>
          <w:b/>
          <w:sz w:val="24"/>
          <w:szCs w:val="24"/>
        </w:rPr>
      </w:pPr>
    </w:p>
    <w:p w14:paraId="36FEA0D1" w14:textId="77777777"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CERETTA, P.S; NIEDERAUER, C.A.P. Rentabilidade e eficiência no setor bancário brasileiro. </w:t>
      </w:r>
      <w:r w:rsidRPr="0038653D">
        <w:rPr>
          <w:rFonts w:ascii="Times New Roman" w:hAnsi="Times New Roman" w:cs="Times New Roman"/>
          <w:b/>
          <w:bCs/>
          <w:sz w:val="24"/>
          <w:szCs w:val="24"/>
        </w:rPr>
        <w:t>Revista de Administração Contemporânea</w:t>
      </w:r>
      <w:r w:rsidRPr="0038653D">
        <w:rPr>
          <w:rFonts w:ascii="Times New Roman" w:hAnsi="Times New Roman" w:cs="Times New Roman"/>
          <w:sz w:val="24"/>
          <w:szCs w:val="24"/>
        </w:rPr>
        <w:t>, v. 5, n. 3, p. 7-26, set./dez. 2001.</w:t>
      </w:r>
    </w:p>
    <w:p w14:paraId="616C3F66" w14:textId="77777777" w:rsidR="002522D6" w:rsidRPr="0038653D" w:rsidRDefault="002522D6" w:rsidP="00EA24A8">
      <w:pPr>
        <w:spacing w:after="0" w:line="240" w:lineRule="auto"/>
        <w:rPr>
          <w:rFonts w:ascii="Times New Roman" w:hAnsi="Times New Roman" w:cs="Times New Roman"/>
          <w:sz w:val="24"/>
          <w:szCs w:val="24"/>
        </w:rPr>
      </w:pPr>
    </w:p>
    <w:p w14:paraId="10C92538" w14:textId="77777777"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CHARNES, A.; COOPER, W. W.; RHODES, E. Measuring efficiency of decision making units. </w:t>
      </w:r>
      <w:r w:rsidRPr="0038653D">
        <w:rPr>
          <w:rFonts w:ascii="Times New Roman" w:hAnsi="Times New Roman" w:cs="Times New Roman"/>
          <w:b/>
          <w:bCs/>
          <w:sz w:val="24"/>
          <w:szCs w:val="24"/>
        </w:rPr>
        <w:t>European Journal of Operational Research</w:t>
      </w:r>
      <w:r w:rsidRPr="0038653D">
        <w:rPr>
          <w:rFonts w:ascii="Times New Roman" w:hAnsi="Times New Roman" w:cs="Times New Roman"/>
          <w:sz w:val="24"/>
          <w:szCs w:val="24"/>
        </w:rPr>
        <w:t>, v. 2, p. 429-444, 1978.</w:t>
      </w:r>
    </w:p>
    <w:p w14:paraId="0FA57DCF" w14:textId="77777777" w:rsidR="002522D6" w:rsidRPr="0038653D" w:rsidRDefault="002522D6" w:rsidP="00EA24A8">
      <w:pPr>
        <w:spacing w:after="0" w:line="240" w:lineRule="auto"/>
        <w:rPr>
          <w:rFonts w:ascii="Times New Roman" w:hAnsi="Times New Roman" w:cs="Times New Roman"/>
          <w:sz w:val="24"/>
          <w:szCs w:val="24"/>
        </w:rPr>
      </w:pPr>
    </w:p>
    <w:p w14:paraId="5AD824F8" w14:textId="77777777" w:rsidR="002522D6"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DUARTE, J. M. S. et al.  A eficiência dos gastos públicos nos serviços de saúde municipal. In: CONGRESSO DE CONTROLADORIA E CONTABILIDADE, XVI, 2016. </w:t>
      </w:r>
      <w:r w:rsidRPr="0038653D">
        <w:rPr>
          <w:rFonts w:ascii="Times New Roman" w:hAnsi="Times New Roman" w:cs="Times New Roman"/>
          <w:b/>
          <w:sz w:val="24"/>
          <w:szCs w:val="24"/>
        </w:rPr>
        <w:t>Anais.</w:t>
      </w:r>
      <w:r w:rsidRPr="0038653D">
        <w:rPr>
          <w:rFonts w:ascii="Times New Roman" w:hAnsi="Times New Roman" w:cs="Times New Roman"/>
          <w:sz w:val="24"/>
          <w:szCs w:val="24"/>
        </w:rPr>
        <w:t>.. Disponível em: &lt;https://congressousp.fipecafi.org/anais/16UspInternational/120.pdf&gt;. Acesso em: 26 ago. 2021.</w:t>
      </w:r>
    </w:p>
    <w:p w14:paraId="310F35D5" w14:textId="77777777" w:rsidR="002522D6" w:rsidRPr="0038653D" w:rsidRDefault="002522D6" w:rsidP="00EA24A8">
      <w:pPr>
        <w:spacing w:after="0" w:line="240" w:lineRule="auto"/>
        <w:rPr>
          <w:rFonts w:ascii="Times New Roman" w:hAnsi="Times New Roman" w:cs="Times New Roman"/>
          <w:sz w:val="24"/>
          <w:szCs w:val="24"/>
        </w:rPr>
      </w:pPr>
    </w:p>
    <w:p w14:paraId="2F90E9E5" w14:textId="77777777" w:rsidR="002522D6"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GOMES, A.P; BAPTISTA, A.J.M.S. Análise Envoltória de Dados. In: SANTOS, M.L., VIEIRA, W.C., (ed.) </w:t>
      </w:r>
      <w:r w:rsidRPr="0038653D">
        <w:rPr>
          <w:rFonts w:ascii="Times New Roman" w:hAnsi="Times New Roman" w:cs="Times New Roman"/>
          <w:b/>
          <w:sz w:val="24"/>
          <w:szCs w:val="24"/>
        </w:rPr>
        <w:t>Métodos Quantitativos em Economia.</w:t>
      </w:r>
      <w:r w:rsidRPr="0038653D">
        <w:rPr>
          <w:rFonts w:ascii="Times New Roman" w:hAnsi="Times New Roman" w:cs="Times New Roman"/>
          <w:sz w:val="24"/>
          <w:szCs w:val="24"/>
        </w:rPr>
        <w:t xml:space="preserve"> Viçosa, MG: UFV, 2004.p.93-128.</w:t>
      </w:r>
    </w:p>
    <w:p w14:paraId="6569D4E6" w14:textId="77777777" w:rsidR="002522D6" w:rsidRPr="0038653D" w:rsidRDefault="002522D6" w:rsidP="00EA24A8">
      <w:pPr>
        <w:spacing w:after="0" w:line="240" w:lineRule="auto"/>
        <w:rPr>
          <w:rFonts w:ascii="Times New Roman" w:hAnsi="Times New Roman" w:cs="Times New Roman"/>
          <w:sz w:val="24"/>
          <w:szCs w:val="24"/>
        </w:rPr>
      </w:pPr>
    </w:p>
    <w:p w14:paraId="28196C2C" w14:textId="2D16C2CA"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IBGE </w:t>
      </w:r>
      <w:r w:rsidR="005623CA">
        <w:rPr>
          <w:rFonts w:ascii="Times New Roman" w:hAnsi="Times New Roman" w:cs="Times New Roman"/>
          <w:sz w:val="24"/>
          <w:szCs w:val="24"/>
        </w:rPr>
        <w:t>–</w:t>
      </w:r>
      <w:r w:rsidRPr="0038653D">
        <w:rPr>
          <w:rFonts w:ascii="Times New Roman" w:hAnsi="Times New Roman" w:cs="Times New Roman"/>
          <w:sz w:val="24"/>
          <w:szCs w:val="24"/>
        </w:rPr>
        <w:t xml:space="preserve"> INSTITUTO BRASILEIRO DE GEOGRAFIA E ESTATÍSTICA</w:t>
      </w:r>
      <w:r w:rsidRPr="0038653D">
        <w:rPr>
          <w:rFonts w:ascii="Times New Roman" w:hAnsi="Times New Roman" w:cs="Times New Roman"/>
          <w:b/>
          <w:sz w:val="24"/>
          <w:szCs w:val="24"/>
        </w:rPr>
        <w:t>. Divisão Regional do Brasil.</w:t>
      </w:r>
      <w:r w:rsidRPr="0038653D">
        <w:rPr>
          <w:rFonts w:ascii="Times New Roman" w:hAnsi="Times New Roman" w:cs="Times New Roman"/>
          <w:sz w:val="24"/>
          <w:szCs w:val="24"/>
        </w:rPr>
        <w:t xml:space="preserve"> 2017. Disponível em: &lt;https://www.ibge.gov.br/geociencias/organizacao-do-territorio/divisao-regional/15778-divisoes-regionais-do-brasil.html?=&amp;t=sobre&gt;. Acesso em: 01 mar.2022.</w:t>
      </w:r>
    </w:p>
    <w:p w14:paraId="7257AE0C" w14:textId="77777777" w:rsidR="002522D6" w:rsidRPr="0038653D" w:rsidRDefault="002522D6" w:rsidP="00EA24A8">
      <w:pPr>
        <w:spacing w:after="0" w:line="240" w:lineRule="auto"/>
        <w:rPr>
          <w:rFonts w:ascii="Times New Roman" w:hAnsi="Times New Roman" w:cs="Times New Roman"/>
          <w:sz w:val="24"/>
          <w:szCs w:val="24"/>
        </w:rPr>
      </w:pPr>
    </w:p>
    <w:p w14:paraId="28BCE8F0" w14:textId="3B6A408A" w:rsidR="002522D6" w:rsidRPr="00EF014C"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IBGE </w:t>
      </w:r>
      <w:r w:rsidR="005623CA">
        <w:rPr>
          <w:rFonts w:ascii="Times New Roman" w:hAnsi="Times New Roman" w:cs="Times New Roman"/>
          <w:sz w:val="24"/>
          <w:szCs w:val="24"/>
        </w:rPr>
        <w:t>–</w:t>
      </w:r>
      <w:r w:rsidRPr="0038653D">
        <w:rPr>
          <w:rFonts w:ascii="Times New Roman" w:hAnsi="Times New Roman" w:cs="Times New Roman"/>
          <w:sz w:val="24"/>
          <w:szCs w:val="24"/>
        </w:rPr>
        <w:t xml:space="preserve"> INSTITUTO BRASILEIRO DE GEOGRAFIA E ESTATÍSTICA</w:t>
      </w:r>
      <w:r w:rsidRPr="0038653D">
        <w:rPr>
          <w:rFonts w:ascii="Times New Roman" w:hAnsi="Times New Roman" w:cs="Times New Roman"/>
          <w:b/>
          <w:sz w:val="24"/>
          <w:szCs w:val="24"/>
        </w:rPr>
        <w:t>.</w:t>
      </w:r>
      <w:r w:rsidRPr="0038653D">
        <w:t xml:space="preserve"> </w:t>
      </w:r>
      <w:r w:rsidRPr="0038653D">
        <w:rPr>
          <w:rFonts w:ascii="Times New Roman" w:hAnsi="Times New Roman" w:cs="Times New Roman"/>
          <w:b/>
          <w:sz w:val="24"/>
          <w:szCs w:val="24"/>
        </w:rPr>
        <w:t xml:space="preserve">Projeções e estimativas da população do Brasil e das Unidades da Federação. </w:t>
      </w:r>
      <w:r w:rsidRPr="0038653D">
        <w:rPr>
          <w:rFonts w:ascii="Times New Roman" w:hAnsi="Times New Roman" w:cs="Times New Roman"/>
          <w:sz w:val="24"/>
          <w:szCs w:val="24"/>
        </w:rPr>
        <w:t>Disponível em:&lt;</w:t>
      </w:r>
      <w:r w:rsidRPr="0038653D">
        <w:t xml:space="preserve"> </w:t>
      </w:r>
      <w:hyperlink r:id="rId13" w:history="1">
        <w:r w:rsidR="005623CA" w:rsidRPr="00EF014C">
          <w:rPr>
            <w:rStyle w:val="Hyperlink"/>
            <w:rFonts w:ascii="Times New Roman" w:hAnsi="Times New Roman" w:cs="Times New Roman"/>
            <w:color w:val="auto"/>
            <w:sz w:val="24"/>
            <w:szCs w:val="24"/>
            <w:u w:val="none"/>
          </w:rPr>
          <w:t>https://www</w:t>
        </w:r>
      </w:hyperlink>
      <w:r w:rsidRPr="00EF014C">
        <w:rPr>
          <w:rFonts w:ascii="Times New Roman" w:hAnsi="Times New Roman" w:cs="Times New Roman"/>
          <w:sz w:val="24"/>
          <w:szCs w:val="24"/>
        </w:rPr>
        <w:t>.ibge.gov.br/apps//</w:t>
      </w:r>
      <w:r w:rsidR="005623CA" w:rsidRPr="00EF014C">
        <w:rPr>
          <w:rFonts w:ascii="Times New Roman" w:hAnsi="Times New Roman" w:cs="Times New Roman"/>
          <w:sz w:val="24"/>
          <w:szCs w:val="24"/>
        </w:rPr>
        <w:pgNum/>
      </w:r>
      <w:r w:rsidR="005623CA" w:rsidRPr="00EF014C">
        <w:rPr>
          <w:rFonts w:ascii="Times New Roman" w:hAnsi="Times New Roman" w:cs="Times New Roman"/>
          <w:sz w:val="24"/>
          <w:szCs w:val="24"/>
        </w:rPr>
        <w:t>leições</w:t>
      </w:r>
      <w:r w:rsidR="005623CA" w:rsidRPr="00EF014C">
        <w:rPr>
          <w:rFonts w:ascii="Times New Roman" w:hAnsi="Times New Roman" w:cs="Times New Roman"/>
          <w:sz w:val="24"/>
          <w:szCs w:val="24"/>
        </w:rPr>
        <w:pgNum/>
      </w:r>
      <w:r w:rsidRPr="00EF014C">
        <w:rPr>
          <w:rFonts w:ascii="Times New Roman" w:hAnsi="Times New Roman" w:cs="Times New Roman"/>
          <w:sz w:val="24"/>
          <w:szCs w:val="24"/>
        </w:rPr>
        <w:t>/</w:t>
      </w:r>
      <w:r w:rsidR="005623CA" w:rsidRPr="00EF014C">
        <w:rPr>
          <w:rFonts w:ascii="Times New Roman" w:hAnsi="Times New Roman" w:cs="Times New Roman"/>
          <w:sz w:val="24"/>
          <w:szCs w:val="24"/>
        </w:rPr>
        <w:pgNum/>
      </w:r>
      <w:r w:rsidR="005623CA" w:rsidRPr="00EF014C">
        <w:rPr>
          <w:rFonts w:ascii="Times New Roman" w:hAnsi="Times New Roman" w:cs="Times New Roman"/>
          <w:sz w:val="24"/>
          <w:szCs w:val="24"/>
        </w:rPr>
        <w:t>leições</w:t>
      </w:r>
      <w:r w:rsidRPr="00EF014C">
        <w:rPr>
          <w:rFonts w:ascii="Times New Roman" w:hAnsi="Times New Roman" w:cs="Times New Roman"/>
          <w:sz w:val="24"/>
          <w:szCs w:val="24"/>
        </w:rPr>
        <w:t>/&gt;. Acesso em: 01 mar.2022.</w:t>
      </w:r>
    </w:p>
    <w:p w14:paraId="72410C49" w14:textId="77777777" w:rsidR="002522D6" w:rsidRPr="0038653D" w:rsidRDefault="002522D6" w:rsidP="00EA24A8">
      <w:pPr>
        <w:spacing w:after="0" w:line="240" w:lineRule="auto"/>
        <w:rPr>
          <w:rFonts w:ascii="Times New Roman" w:hAnsi="Times New Roman" w:cs="Times New Roman"/>
          <w:sz w:val="24"/>
          <w:szCs w:val="24"/>
        </w:rPr>
      </w:pPr>
    </w:p>
    <w:p w14:paraId="44814933" w14:textId="7A04486B" w:rsidR="002522D6" w:rsidRPr="00EF014C"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IPEADATA-INSTITUTO DE PESQUISA ECONÔMICA APLICADA. Disponível em:&lt;</w:t>
      </w:r>
      <w:r w:rsidRPr="0038653D">
        <w:t xml:space="preserve"> </w:t>
      </w:r>
      <w:hyperlink r:id="rId14" w:history="1">
        <w:r w:rsidR="005623CA" w:rsidRPr="00EF014C">
          <w:rPr>
            <w:rStyle w:val="Hyperlink"/>
            <w:rFonts w:ascii="Times New Roman" w:hAnsi="Times New Roman" w:cs="Times New Roman"/>
            <w:color w:val="auto"/>
            <w:sz w:val="24"/>
            <w:szCs w:val="24"/>
            <w:u w:val="none"/>
          </w:rPr>
          <w:t>http://www</w:t>
        </w:r>
      </w:hyperlink>
      <w:r w:rsidRPr="00EF014C">
        <w:rPr>
          <w:rFonts w:ascii="Times New Roman" w:hAnsi="Times New Roman" w:cs="Times New Roman"/>
          <w:sz w:val="24"/>
          <w:szCs w:val="24"/>
        </w:rPr>
        <w:t>.ipeadata.gov.br/Default.aspx&gt;. Acesso em: 06 mar.2022.</w:t>
      </w:r>
    </w:p>
    <w:p w14:paraId="2EE20CF5" w14:textId="77777777" w:rsidR="002522D6" w:rsidRPr="0038653D" w:rsidRDefault="002522D6" w:rsidP="00EA24A8">
      <w:pPr>
        <w:spacing w:after="0" w:line="240" w:lineRule="auto"/>
        <w:rPr>
          <w:rFonts w:ascii="Times New Roman" w:hAnsi="Times New Roman" w:cs="Times New Roman"/>
          <w:sz w:val="24"/>
          <w:szCs w:val="24"/>
        </w:rPr>
      </w:pPr>
    </w:p>
    <w:p w14:paraId="3117EE45" w14:textId="6ED3218C" w:rsidR="002522D6"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IPECE </w:t>
      </w:r>
      <w:r w:rsidR="005623CA">
        <w:rPr>
          <w:rFonts w:ascii="Times New Roman" w:hAnsi="Times New Roman" w:cs="Times New Roman"/>
          <w:sz w:val="24"/>
          <w:szCs w:val="24"/>
        </w:rPr>
        <w:t>–</w:t>
      </w:r>
      <w:r w:rsidRPr="0038653D">
        <w:rPr>
          <w:rFonts w:ascii="Times New Roman" w:hAnsi="Times New Roman" w:cs="Times New Roman"/>
          <w:sz w:val="24"/>
          <w:szCs w:val="24"/>
        </w:rPr>
        <w:t xml:space="preserve"> INSTITUTO DE PESQUISA E ESTRATÉGIA ECONÔMICA DO CEARÁ. </w:t>
      </w:r>
      <w:r w:rsidRPr="0038653D">
        <w:rPr>
          <w:rFonts w:ascii="Times New Roman" w:hAnsi="Times New Roman" w:cs="Times New Roman"/>
          <w:b/>
          <w:sz w:val="24"/>
          <w:szCs w:val="24"/>
        </w:rPr>
        <w:t xml:space="preserve">Ceará em Mapas: </w:t>
      </w:r>
      <w:r w:rsidRPr="0038653D">
        <w:rPr>
          <w:rFonts w:ascii="Times New Roman" w:hAnsi="Times New Roman" w:cs="Times New Roman"/>
          <w:sz w:val="24"/>
          <w:szCs w:val="24"/>
        </w:rPr>
        <w:t>informações georreferenciadas e espacializadas para os 184 municípios cearenses. 2007. Disponível em: &lt;http://www2.ipece.ce.gov.br/atlas/capitulo1/11.htm#:~:text=O%20Cear%C3%A1%20est%C%A1%20localizado%20na,com%20o%20Estado%20do%20Piau%C3%AD.&gt;. Acesso em: 05 ago. 2021.</w:t>
      </w:r>
    </w:p>
    <w:p w14:paraId="7E1C89AE" w14:textId="77777777" w:rsidR="002522D6" w:rsidRPr="0038653D" w:rsidRDefault="002522D6" w:rsidP="00EA24A8">
      <w:pPr>
        <w:spacing w:after="0" w:line="240" w:lineRule="auto"/>
        <w:rPr>
          <w:rFonts w:ascii="Times New Roman" w:hAnsi="Times New Roman" w:cs="Times New Roman"/>
          <w:sz w:val="24"/>
          <w:szCs w:val="24"/>
        </w:rPr>
      </w:pPr>
    </w:p>
    <w:p w14:paraId="27DAD664" w14:textId="77777777" w:rsidR="002522D6" w:rsidRPr="0038653D" w:rsidRDefault="002522D6" w:rsidP="00EA24A8">
      <w:pPr>
        <w:spacing w:after="0" w:line="240" w:lineRule="auto"/>
        <w:rPr>
          <w:rFonts w:ascii="Times New Roman" w:hAnsi="Times New Roman" w:cs="Times New Roman"/>
          <w:sz w:val="24"/>
          <w:szCs w:val="24"/>
        </w:rPr>
      </w:pPr>
      <w:bookmarkStart w:id="11" w:name="_Hlk96337095"/>
      <w:r w:rsidRPr="0038653D">
        <w:rPr>
          <w:rFonts w:ascii="Times New Roman" w:hAnsi="Times New Roman" w:cs="Times New Roman"/>
          <w:sz w:val="24"/>
          <w:szCs w:val="24"/>
        </w:rPr>
        <w:t xml:space="preserve">LEE, D. Comparison of efficiency of healthcare systems of countries with global competitiveness using Data Envelopment Analysis.  </w:t>
      </w:r>
      <w:r w:rsidRPr="0038653D">
        <w:rPr>
          <w:rFonts w:ascii="Times New Roman" w:hAnsi="Times New Roman" w:cs="Times New Roman"/>
          <w:b/>
          <w:sz w:val="24"/>
          <w:szCs w:val="24"/>
        </w:rPr>
        <w:t>Global Business &amp; Finance Review (GBFR),</w:t>
      </w:r>
      <w:r w:rsidRPr="0038653D">
        <w:rPr>
          <w:rFonts w:ascii="Times New Roman" w:hAnsi="Times New Roman" w:cs="Times New Roman"/>
          <w:sz w:val="24"/>
          <w:szCs w:val="24"/>
        </w:rPr>
        <w:t xml:space="preserve"> v. 21, n. 1, p. 46-55, SPRING 2016. Disponível em: &lt;https://www.econstor.eu/bitstream/10419/224343/1/gbfr2016-21-1-046.pdf&gt;. Acesso em: 09 set. 2021.</w:t>
      </w:r>
    </w:p>
    <w:p w14:paraId="115F8FAD" w14:textId="77777777" w:rsidR="002522D6" w:rsidRPr="0038653D" w:rsidRDefault="002522D6" w:rsidP="00EA24A8">
      <w:pPr>
        <w:spacing w:after="0" w:line="240" w:lineRule="auto"/>
        <w:rPr>
          <w:rFonts w:ascii="Times New Roman" w:hAnsi="Times New Roman" w:cs="Times New Roman"/>
          <w:sz w:val="24"/>
          <w:szCs w:val="24"/>
        </w:rPr>
      </w:pPr>
    </w:p>
    <w:p w14:paraId="1A178F0E" w14:textId="77777777"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LIONEL, D. T. Determinants of health spending efficiency: a Tobit Panel Data approach based on DEA efficiency scores. Economica, v. 11, n. 4, p. 56-71, 2015.</w:t>
      </w:r>
    </w:p>
    <w:p w14:paraId="14D7D033" w14:textId="77777777" w:rsidR="002522D6" w:rsidRPr="0038653D" w:rsidRDefault="002522D6" w:rsidP="00EA24A8">
      <w:pPr>
        <w:spacing w:after="0" w:line="240" w:lineRule="auto"/>
        <w:rPr>
          <w:rFonts w:ascii="Times New Roman" w:hAnsi="Times New Roman" w:cs="Times New Roman"/>
          <w:sz w:val="24"/>
          <w:szCs w:val="24"/>
        </w:rPr>
      </w:pPr>
    </w:p>
    <w:p w14:paraId="592718AA" w14:textId="68728B67"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LEVENE, H. Robust test for equality of variances. In: I. O. et al. (ed.). </w:t>
      </w:r>
      <w:r w:rsidRPr="0038653D">
        <w:rPr>
          <w:rFonts w:ascii="Times New Roman" w:hAnsi="Times New Roman" w:cs="Times New Roman"/>
          <w:b/>
          <w:bCs/>
          <w:sz w:val="24"/>
          <w:szCs w:val="24"/>
        </w:rPr>
        <w:t>Contributions to probability and statistics</w:t>
      </w:r>
      <w:r w:rsidRPr="0038653D">
        <w:rPr>
          <w:rFonts w:ascii="Times New Roman" w:hAnsi="Times New Roman" w:cs="Times New Roman"/>
          <w:sz w:val="24"/>
          <w:szCs w:val="24"/>
        </w:rPr>
        <w:t>: essays in Honor of Harold Hotteling. Stanford University Press, California, United States, p. 278–292, 1960.</w:t>
      </w:r>
    </w:p>
    <w:p w14:paraId="4BEA066D" w14:textId="03A5F152"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LOPES, M. A. S. </w:t>
      </w:r>
      <w:r w:rsidRPr="0038653D">
        <w:rPr>
          <w:rFonts w:ascii="Times New Roman" w:hAnsi="Times New Roman" w:cs="Times New Roman"/>
          <w:b/>
          <w:sz w:val="24"/>
          <w:szCs w:val="24"/>
        </w:rPr>
        <w:t>Eficiência dos gastos públicos:</w:t>
      </w:r>
      <w:r w:rsidRPr="0038653D">
        <w:rPr>
          <w:rFonts w:ascii="Times New Roman" w:hAnsi="Times New Roman" w:cs="Times New Roman"/>
          <w:sz w:val="24"/>
          <w:szCs w:val="24"/>
        </w:rPr>
        <w:t xml:space="preserve"> análise nas regiões de saúde do estado de Minas Gerais. São Paulo, 2017. 137 p. Tese (Doutorado em Ciências) </w:t>
      </w:r>
      <w:r w:rsidR="005623CA">
        <w:rPr>
          <w:rFonts w:ascii="Times New Roman" w:hAnsi="Times New Roman" w:cs="Times New Roman"/>
          <w:sz w:val="24"/>
          <w:szCs w:val="24"/>
        </w:rPr>
        <w:t>–</w:t>
      </w:r>
      <w:r w:rsidRPr="0038653D">
        <w:rPr>
          <w:rFonts w:ascii="Times New Roman" w:hAnsi="Times New Roman" w:cs="Times New Roman"/>
          <w:sz w:val="24"/>
          <w:szCs w:val="24"/>
        </w:rPr>
        <w:t xml:space="preserve"> Universidade de São Paulo.</w:t>
      </w:r>
    </w:p>
    <w:bookmarkEnd w:id="11"/>
    <w:p w14:paraId="6C05672D" w14:textId="77777777" w:rsidR="002522D6" w:rsidRPr="0038653D" w:rsidRDefault="002522D6" w:rsidP="00EA24A8">
      <w:pPr>
        <w:spacing w:after="0" w:line="240" w:lineRule="auto"/>
        <w:rPr>
          <w:rFonts w:ascii="Times New Roman" w:hAnsi="Times New Roman" w:cs="Times New Roman"/>
          <w:sz w:val="24"/>
          <w:szCs w:val="24"/>
        </w:rPr>
      </w:pPr>
    </w:p>
    <w:p w14:paraId="2654128D" w14:textId="77777777"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LUBAMBO, C. W. </w:t>
      </w:r>
      <w:r w:rsidRPr="0038653D">
        <w:rPr>
          <w:rFonts w:ascii="Times New Roman" w:hAnsi="Times New Roman" w:cs="Times New Roman"/>
          <w:bCs/>
          <w:sz w:val="24"/>
          <w:szCs w:val="24"/>
        </w:rPr>
        <w:t>Desempenho da gestão pública: que variáveis compõem a aprovação popular em pequenos municípios?</w:t>
      </w:r>
      <w:r w:rsidRPr="0038653D">
        <w:rPr>
          <w:rFonts w:ascii="Times New Roman" w:hAnsi="Times New Roman" w:cs="Times New Roman"/>
          <w:sz w:val="24"/>
          <w:szCs w:val="24"/>
        </w:rPr>
        <w:t xml:space="preserve"> </w:t>
      </w:r>
      <w:r w:rsidRPr="0038653D">
        <w:rPr>
          <w:rFonts w:ascii="Times New Roman" w:hAnsi="Times New Roman" w:cs="Times New Roman"/>
          <w:b/>
          <w:bCs/>
          <w:sz w:val="24"/>
          <w:szCs w:val="24"/>
        </w:rPr>
        <w:t>Sociologias</w:t>
      </w:r>
      <w:r w:rsidRPr="0038653D">
        <w:rPr>
          <w:rFonts w:ascii="Times New Roman" w:hAnsi="Times New Roman" w:cs="Times New Roman"/>
          <w:sz w:val="24"/>
          <w:szCs w:val="24"/>
        </w:rPr>
        <w:t xml:space="preserve"> [online], n. 16, p. 86-125, 2006. Disponível em: &lt;https://www.scielo.br/j/soc/a/dW3MFSGK3gwdTShMLGHZsHs/?lang=pt&gt;. Acesso em: 26 ago. 2021.</w:t>
      </w:r>
    </w:p>
    <w:p w14:paraId="02585F9A" w14:textId="77777777" w:rsidR="002522D6" w:rsidRPr="0038653D" w:rsidRDefault="002522D6" w:rsidP="00EA24A8">
      <w:pPr>
        <w:spacing w:after="0" w:line="240" w:lineRule="auto"/>
        <w:rPr>
          <w:rFonts w:ascii="Times New Roman" w:hAnsi="Times New Roman" w:cs="Times New Roman"/>
          <w:sz w:val="24"/>
          <w:szCs w:val="24"/>
        </w:rPr>
      </w:pPr>
    </w:p>
    <w:p w14:paraId="13584926" w14:textId="77777777" w:rsidR="002522D6" w:rsidRPr="00505178" w:rsidRDefault="002522D6" w:rsidP="00EA24A8">
      <w:pPr>
        <w:spacing w:after="0" w:line="240" w:lineRule="auto"/>
        <w:rPr>
          <w:rFonts w:ascii="Times New Roman" w:hAnsi="Times New Roman" w:cs="Times New Roman"/>
          <w:sz w:val="24"/>
          <w:szCs w:val="24"/>
        </w:rPr>
      </w:pPr>
      <w:r w:rsidRPr="00505178">
        <w:rPr>
          <w:rFonts w:ascii="Times New Roman" w:hAnsi="Times New Roman" w:cs="Times New Roman"/>
          <w:sz w:val="24"/>
          <w:szCs w:val="24"/>
        </w:rPr>
        <w:t xml:space="preserve">MARCIEL, H.M; KHAN, A.S; ROCHA, L.A. Índice de ecoeficiência e a regressão tobit: uma análise entre os anos de 1991 a 2012. </w:t>
      </w:r>
      <w:r w:rsidRPr="00505178">
        <w:rPr>
          <w:rFonts w:ascii="Times New Roman" w:hAnsi="Times New Roman" w:cs="Times New Roman"/>
          <w:b/>
          <w:bCs/>
          <w:sz w:val="24"/>
          <w:szCs w:val="24"/>
        </w:rPr>
        <w:t>Revista Econômica do Nordeste</w:t>
      </w:r>
      <w:r w:rsidRPr="00505178">
        <w:rPr>
          <w:rFonts w:ascii="Times New Roman" w:hAnsi="Times New Roman" w:cs="Times New Roman"/>
          <w:sz w:val="24"/>
          <w:szCs w:val="24"/>
        </w:rPr>
        <w:t>, Fortaleza, v. 49, n.2, p 27 – 42, abr/jun 2018.</w:t>
      </w:r>
    </w:p>
    <w:p w14:paraId="3CFB051C" w14:textId="77777777" w:rsidR="002522D6" w:rsidRPr="0038653D" w:rsidRDefault="002522D6" w:rsidP="00EA24A8">
      <w:pPr>
        <w:spacing w:after="0" w:line="240" w:lineRule="auto"/>
        <w:rPr>
          <w:rFonts w:ascii="Times New Roman" w:hAnsi="Times New Roman" w:cs="Times New Roman"/>
          <w:sz w:val="24"/>
          <w:szCs w:val="24"/>
        </w:rPr>
      </w:pPr>
    </w:p>
    <w:p w14:paraId="04FFC689" w14:textId="77777777"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MARINHO, A. Avaliação da eficiência técnica nos serviços de saúde nos municípios do Estado do Rio de Janeiro. </w:t>
      </w:r>
      <w:r w:rsidRPr="0038653D">
        <w:rPr>
          <w:rFonts w:ascii="Times New Roman" w:hAnsi="Times New Roman" w:cs="Times New Roman"/>
          <w:b/>
          <w:bCs/>
          <w:sz w:val="24"/>
          <w:szCs w:val="24"/>
        </w:rPr>
        <w:t>Revista Brasileira de Economia</w:t>
      </w:r>
      <w:r w:rsidRPr="0038653D">
        <w:rPr>
          <w:rFonts w:ascii="Times New Roman" w:hAnsi="Times New Roman" w:cs="Times New Roman"/>
          <w:sz w:val="24"/>
          <w:szCs w:val="24"/>
        </w:rPr>
        <w:t xml:space="preserve"> [online], v. 57, n. 3, p. 515-534, 2003. Disponível em: </w:t>
      </w:r>
      <w:r w:rsidRPr="0038653D">
        <w:rPr>
          <w:rFonts w:ascii="Times New Roman" w:hAnsi="Times New Roman" w:cs="Times New Roman"/>
          <w:sz w:val="24"/>
          <w:szCs w:val="24"/>
        </w:rPr>
        <w:lastRenderedPageBreak/>
        <w:t>&lt;https://www.scielo.br/j/rbe/a/XPFyGx3JVmtCctkPn3vy8yH/?lang=pt#&gt;. Acesso em: 10 ago. 2021.</w:t>
      </w:r>
    </w:p>
    <w:p w14:paraId="6370348F" w14:textId="77777777" w:rsidR="002522D6" w:rsidRPr="0038653D" w:rsidRDefault="002522D6" w:rsidP="00EA24A8">
      <w:pPr>
        <w:spacing w:after="0" w:line="240" w:lineRule="auto"/>
        <w:rPr>
          <w:rFonts w:ascii="Times New Roman" w:hAnsi="Times New Roman" w:cs="Times New Roman"/>
          <w:sz w:val="24"/>
          <w:szCs w:val="24"/>
        </w:rPr>
      </w:pPr>
    </w:p>
    <w:p w14:paraId="629D3407" w14:textId="1C502399"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MAZON, L.M; MASCARENHAS, L. P. G. E DALLABRIDA, V. R. </w:t>
      </w:r>
      <w:r w:rsidRPr="0038653D">
        <w:rPr>
          <w:rFonts w:ascii="Times New Roman" w:hAnsi="Times New Roman" w:cs="Times New Roman"/>
          <w:bCs/>
          <w:sz w:val="24"/>
          <w:szCs w:val="24"/>
        </w:rPr>
        <w:t>Eficiência dos gastos públicos em saúde:</w:t>
      </w:r>
      <w:r w:rsidRPr="0038653D">
        <w:rPr>
          <w:rFonts w:ascii="Times New Roman" w:hAnsi="Times New Roman" w:cs="Times New Roman"/>
          <w:sz w:val="24"/>
          <w:szCs w:val="24"/>
        </w:rPr>
        <w:t xml:space="preserve"> desafio para municípios de Santa Catarina, Brasil. </w:t>
      </w:r>
      <w:r w:rsidRPr="0038653D">
        <w:rPr>
          <w:rFonts w:ascii="Times New Roman" w:hAnsi="Times New Roman" w:cs="Times New Roman"/>
          <w:b/>
          <w:bCs/>
          <w:sz w:val="24"/>
          <w:szCs w:val="24"/>
        </w:rPr>
        <w:t>Saúde e Sociedade</w:t>
      </w:r>
      <w:r w:rsidRPr="0038653D">
        <w:rPr>
          <w:rFonts w:ascii="Times New Roman" w:hAnsi="Times New Roman" w:cs="Times New Roman"/>
          <w:sz w:val="24"/>
          <w:szCs w:val="24"/>
        </w:rPr>
        <w:t xml:space="preserve"> [online], v. 24, n. 1, p. 23-33, 2015. Disponível em: </w:t>
      </w:r>
      <w:hyperlink r:id="rId15" w:history="1">
        <w:r w:rsidR="005623CA" w:rsidRPr="00EF014C">
          <w:rPr>
            <w:rStyle w:val="Hyperlink"/>
            <w:rFonts w:ascii="Times New Roman" w:hAnsi="Times New Roman" w:cs="Times New Roman"/>
            <w:color w:val="auto"/>
            <w:sz w:val="24"/>
            <w:szCs w:val="24"/>
            <w:u w:val="none"/>
          </w:rPr>
          <w:t>https://www</w:t>
        </w:r>
      </w:hyperlink>
      <w:r w:rsidRPr="00EF014C">
        <w:rPr>
          <w:rFonts w:ascii="Times New Roman" w:hAnsi="Times New Roman" w:cs="Times New Roman"/>
          <w:sz w:val="24"/>
          <w:szCs w:val="24"/>
        </w:rPr>
        <w:t xml:space="preserve">.scielo.br/j/sausoc/a/JcqH3JpTwHVRDNSHJWrcLrR/abstract/?lang=pt#. Acesso </w:t>
      </w:r>
      <w:r w:rsidRPr="0038653D">
        <w:rPr>
          <w:rFonts w:ascii="Times New Roman" w:hAnsi="Times New Roman" w:cs="Times New Roman"/>
          <w:sz w:val="24"/>
          <w:szCs w:val="24"/>
        </w:rPr>
        <w:t>em: 28 ago. 2021.</w:t>
      </w:r>
    </w:p>
    <w:p w14:paraId="43E1E7D4" w14:textId="77777777" w:rsidR="002522D6" w:rsidRPr="0038653D" w:rsidRDefault="002522D6" w:rsidP="00EA24A8">
      <w:pPr>
        <w:spacing w:after="0" w:line="240" w:lineRule="auto"/>
        <w:rPr>
          <w:rFonts w:ascii="Times New Roman" w:hAnsi="Times New Roman" w:cs="Times New Roman"/>
          <w:sz w:val="24"/>
          <w:szCs w:val="24"/>
        </w:rPr>
      </w:pPr>
    </w:p>
    <w:p w14:paraId="4C879073" w14:textId="42612C5B"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NUNES, E. S.; SOUSA, E. P. Eficiência no gerenciamento público com a saúde para os municípios cearenses. </w:t>
      </w:r>
      <w:r w:rsidRPr="0038653D">
        <w:rPr>
          <w:rFonts w:ascii="Times New Roman" w:hAnsi="Times New Roman" w:cs="Times New Roman"/>
          <w:b/>
          <w:sz w:val="24"/>
          <w:szCs w:val="24"/>
        </w:rPr>
        <w:t>Revista Brasileira de Estudos Regionais e Urbanos (RBERU)</w:t>
      </w:r>
      <w:r w:rsidRPr="0038653D">
        <w:rPr>
          <w:rFonts w:ascii="Times New Roman" w:hAnsi="Times New Roman" w:cs="Times New Roman"/>
          <w:sz w:val="24"/>
          <w:szCs w:val="24"/>
        </w:rPr>
        <w:t xml:space="preserve">. </w:t>
      </w:r>
      <w:r w:rsidR="005623CA" w:rsidRPr="0038653D">
        <w:rPr>
          <w:rFonts w:ascii="Times New Roman" w:hAnsi="Times New Roman" w:cs="Times New Roman"/>
          <w:sz w:val="24"/>
          <w:szCs w:val="24"/>
        </w:rPr>
        <w:t>V</w:t>
      </w:r>
      <w:r w:rsidRPr="0038653D">
        <w:rPr>
          <w:rFonts w:ascii="Times New Roman" w:hAnsi="Times New Roman" w:cs="Times New Roman"/>
          <w:sz w:val="24"/>
          <w:szCs w:val="24"/>
        </w:rPr>
        <w:t>. 13, n. 1, p. 98-118, fevereiro, 2019.</w:t>
      </w:r>
    </w:p>
    <w:p w14:paraId="07BD5CDB" w14:textId="77777777" w:rsidR="002522D6" w:rsidRPr="0038653D" w:rsidRDefault="002522D6" w:rsidP="00EA24A8">
      <w:pPr>
        <w:spacing w:after="0" w:line="240" w:lineRule="auto"/>
        <w:rPr>
          <w:rFonts w:ascii="Times New Roman" w:hAnsi="Times New Roman" w:cs="Times New Roman"/>
          <w:sz w:val="24"/>
          <w:szCs w:val="24"/>
        </w:rPr>
      </w:pPr>
    </w:p>
    <w:p w14:paraId="069FDF35" w14:textId="77777777" w:rsidR="002522D6" w:rsidRPr="0038653D" w:rsidRDefault="002522D6" w:rsidP="00EA24A8">
      <w:pPr>
        <w:spacing w:after="0" w:line="240" w:lineRule="auto"/>
        <w:rPr>
          <w:rFonts w:ascii="Times New Roman" w:hAnsi="Times New Roman" w:cs="Times New Roman"/>
          <w:sz w:val="24"/>
          <w:szCs w:val="24"/>
        </w:rPr>
      </w:pPr>
      <w:bookmarkStart w:id="12" w:name="_Hlk96332118"/>
      <w:r w:rsidRPr="0038653D">
        <w:rPr>
          <w:rFonts w:ascii="Times New Roman" w:hAnsi="Times New Roman" w:cs="Times New Roman"/>
          <w:sz w:val="24"/>
          <w:szCs w:val="24"/>
        </w:rPr>
        <w:t xml:space="preserve">OLIVEIRA, A. R. V; MOTA, S. C; VASCONCELOS, A. C. A eficiência da administração pública nos gastos com saúde nos municípios mais populosos do Ceará, com base na Análise Envoltória de Dados. In: INTERNATIONAL CONFERENCE IN ACCOUNTING (USP), XX, São Paulo, 2020. </w:t>
      </w:r>
      <w:r w:rsidRPr="0038653D">
        <w:rPr>
          <w:rFonts w:ascii="Times New Roman" w:hAnsi="Times New Roman" w:cs="Times New Roman"/>
          <w:b/>
          <w:sz w:val="24"/>
          <w:szCs w:val="24"/>
        </w:rPr>
        <w:t>Anais…</w:t>
      </w:r>
      <w:r w:rsidRPr="0038653D">
        <w:rPr>
          <w:rFonts w:ascii="Times New Roman" w:hAnsi="Times New Roman" w:cs="Times New Roman"/>
          <w:sz w:val="24"/>
          <w:szCs w:val="24"/>
        </w:rPr>
        <w:t>modalidade virtual.</w:t>
      </w:r>
    </w:p>
    <w:bookmarkEnd w:id="12"/>
    <w:p w14:paraId="71146884" w14:textId="77777777" w:rsidR="002522D6" w:rsidRPr="0038653D" w:rsidRDefault="002522D6" w:rsidP="00EA24A8">
      <w:pPr>
        <w:spacing w:after="0" w:line="240" w:lineRule="auto"/>
        <w:rPr>
          <w:rFonts w:ascii="Times New Roman" w:hAnsi="Times New Roman" w:cs="Times New Roman"/>
          <w:sz w:val="24"/>
          <w:szCs w:val="24"/>
        </w:rPr>
      </w:pPr>
    </w:p>
    <w:p w14:paraId="36FA7C3A" w14:textId="77777777"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PEÑA, C. R. Um modelo de avaliação da eficiência da administração pública através do método Análise Envoltória de Dados (DEA). </w:t>
      </w:r>
      <w:r w:rsidRPr="0038653D">
        <w:rPr>
          <w:rFonts w:ascii="Times New Roman" w:hAnsi="Times New Roman" w:cs="Times New Roman"/>
          <w:b/>
          <w:sz w:val="24"/>
          <w:szCs w:val="24"/>
        </w:rPr>
        <w:t>Revista de Administração Contemporânea (RAC)</w:t>
      </w:r>
      <w:r w:rsidRPr="0038653D">
        <w:rPr>
          <w:rFonts w:ascii="Times New Roman" w:hAnsi="Times New Roman" w:cs="Times New Roman"/>
          <w:sz w:val="24"/>
          <w:szCs w:val="24"/>
        </w:rPr>
        <w:t>. Curitiba, v. 12, n. 1, p. 83-106, jan./mar.  2008. Disponível em: &lt;https://rac.anpad.org.br/index.php/rac/article/view/587&gt;. Acesso em: 01 ago. 2021.</w:t>
      </w:r>
    </w:p>
    <w:p w14:paraId="427C82AE" w14:textId="77777777" w:rsidR="002522D6" w:rsidRPr="0038653D" w:rsidRDefault="002522D6" w:rsidP="00EA24A8">
      <w:pPr>
        <w:spacing w:after="0" w:line="240" w:lineRule="auto"/>
        <w:rPr>
          <w:rFonts w:ascii="Times New Roman" w:hAnsi="Times New Roman" w:cs="Times New Roman"/>
          <w:sz w:val="24"/>
          <w:szCs w:val="24"/>
        </w:rPr>
      </w:pPr>
    </w:p>
    <w:p w14:paraId="3DAE1D3C" w14:textId="77777777" w:rsidR="002522D6"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PORTULHAK, H; RAFFAELLI, S. C. D. E SCARPIN, J. E. A Eficiência da aplicação de recursos voltada à saúde pública nos municípios brasileiros. </w:t>
      </w:r>
      <w:r w:rsidRPr="0038653D">
        <w:rPr>
          <w:rFonts w:ascii="Times New Roman" w:hAnsi="Times New Roman" w:cs="Times New Roman"/>
          <w:b/>
          <w:sz w:val="24"/>
          <w:szCs w:val="24"/>
        </w:rPr>
        <w:t>Revista de Contabilidade, Gestão e Governança (JAMG)</w:t>
      </w:r>
      <w:r w:rsidRPr="0038653D">
        <w:rPr>
          <w:rFonts w:ascii="Times New Roman" w:hAnsi="Times New Roman" w:cs="Times New Roman"/>
          <w:bCs/>
          <w:sz w:val="24"/>
          <w:szCs w:val="24"/>
        </w:rPr>
        <w:t>,</w:t>
      </w:r>
      <w:r w:rsidRPr="0038653D">
        <w:rPr>
          <w:rFonts w:ascii="Times New Roman" w:hAnsi="Times New Roman" w:cs="Times New Roman"/>
          <w:b/>
          <w:sz w:val="24"/>
          <w:szCs w:val="24"/>
        </w:rPr>
        <w:t xml:space="preserve"> </w:t>
      </w:r>
      <w:r w:rsidRPr="0038653D">
        <w:rPr>
          <w:rFonts w:ascii="Times New Roman" w:hAnsi="Times New Roman" w:cs="Times New Roman"/>
          <w:sz w:val="24"/>
          <w:szCs w:val="24"/>
        </w:rPr>
        <w:t>v. 21, n. 1, p. 21-39, jan. /abr. 2018. Disponível em: &lt;https://www.revistacgg.org/contabil/article/view/1154&gt;. Acesso em: 27 ago. 2021.</w:t>
      </w:r>
    </w:p>
    <w:p w14:paraId="5BA46056" w14:textId="77777777" w:rsidR="002522D6" w:rsidRPr="0038653D" w:rsidRDefault="002522D6" w:rsidP="00EA24A8">
      <w:pPr>
        <w:spacing w:after="0" w:line="240" w:lineRule="auto"/>
        <w:rPr>
          <w:rFonts w:ascii="Times New Roman" w:hAnsi="Times New Roman" w:cs="Times New Roman"/>
          <w:sz w:val="24"/>
          <w:szCs w:val="24"/>
        </w:rPr>
      </w:pPr>
    </w:p>
    <w:p w14:paraId="4C109F67" w14:textId="77777777" w:rsidR="002522D6"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RODRIGUES, A.M.G; SOUSA, E.P. Eficiência dos gastos públicos em educação básica nos municípios brasileiros. </w:t>
      </w:r>
      <w:r w:rsidRPr="0038653D">
        <w:rPr>
          <w:rFonts w:ascii="Times New Roman" w:hAnsi="Times New Roman" w:cs="Times New Roman"/>
          <w:b/>
          <w:bCs/>
          <w:sz w:val="24"/>
          <w:szCs w:val="24"/>
        </w:rPr>
        <w:t>Economic Analysis of Law Review (EALR)</w:t>
      </w:r>
      <w:r w:rsidRPr="0038653D">
        <w:rPr>
          <w:rFonts w:ascii="Times New Roman" w:hAnsi="Times New Roman" w:cs="Times New Roman"/>
          <w:sz w:val="24"/>
          <w:szCs w:val="24"/>
        </w:rPr>
        <w:t>, Brasília- DF, v. 10, n. 1, p. 193-219, jan-abr. 2019. Disponível em: &lt;https://portalrevistas.ucb.br/index.php/EALR/article/view/9142&gt;. Acesso em: 04 jun. 2022.</w:t>
      </w:r>
    </w:p>
    <w:p w14:paraId="34C01C4B" w14:textId="77777777" w:rsidR="002522D6" w:rsidRPr="0038653D" w:rsidRDefault="002522D6" w:rsidP="00EA24A8">
      <w:pPr>
        <w:spacing w:after="0" w:line="240" w:lineRule="auto"/>
        <w:rPr>
          <w:rFonts w:ascii="Times New Roman" w:hAnsi="Times New Roman" w:cs="Times New Roman"/>
          <w:sz w:val="24"/>
          <w:szCs w:val="24"/>
        </w:rPr>
      </w:pPr>
    </w:p>
    <w:p w14:paraId="490A35F9" w14:textId="77777777"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SANTOS NETO, J. A. et al. Avaliação da eficiência técnica em saúde dos municípios da região de saúde Rota dos Bandeirantes do estado de São Paulo, Brasil. </w:t>
      </w:r>
      <w:r w:rsidRPr="0038653D">
        <w:rPr>
          <w:rFonts w:ascii="Times New Roman" w:hAnsi="Times New Roman" w:cs="Times New Roman"/>
          <w:b/>
          <w:sz w:val="24"/>
          <w:szCs w:val="24"/>
        </w:rPr>
        <w:t xml:space="preserve">Ciência &amp; Saúde Coletiva </w:t>
      </w:r>
      <w:r w:rsidRPr="0038653D">
        <w:rPr>
          <w:rFonts w:ascii="Times New Roman" w:hAnsi="Times New Roman" w:cs="Times New Roman"/>
          <w:bCs/>
          <w:sz w:val="24"/>
          <w:szCs w:val="24"/>
        </w:rPr>
        <w:t>[online]</w:t>
      </w:r>
      <w:r w:rsidRPr="0038653D">
        <w:rPr>
          <w:rFonts w:ascii="Times New Roman" w:hAnsi="Times New Roman" w:cs="Times New Roman"/>
          <w:sz w:val="24"/>
          <w:szCs w:val="24"/>
        </w:rPr>
        <w:t>, v. 24, n. 10, p. 3793-3803, 2019. Disponível em:&lt;https://www.scielo.br/j/csc/a/kFT97QGv5Jk5cPtnfS3ZqLx/?lang=pt#&gt;. Acesso em: 06 ago. 2021.</w:t>
      </w:r>
    </w:p>
    <w:p w14:paraId="27C56B4C" w14:textId="77777777" w:rsidR="002522D6" w:rsidRPr="0038653D" w:rsidRDefault="002522D6" w:rsidP="00EA24A8">
      <w:pPr>
        <w:spacing w:after="0" w:line="240" w:lineRule="auto"/>
        <w:rPr>
          <w:rFonts w:ascii="Times New Roman" w:hAnsi="Times New Roman" w:cs="Times New Roman"/>
          <w:sz w:val="24"/>
          <w:szCs w:val="24"/>
        </w:rPr>
      </w:pPr>
    </w:p>
    <w:p w14:paraId="5BB21448" w14:textId="6C17F63A"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SANTOS, E. G. F. A. </w:t>
      </w:r>
      <w:r w:rsidRPr="0038653D">
        <w:rPr>
          <w:rFonts w:ascii="Times New Roman" w:hAnsi="Times New Roman" w:cs="Times New Roman"/>
          <w:b/>
          <w:sz w:val="24"/>
          <w:szCs w:val="24"/>
        </w:rPr>
        <w:t>Uma avaliação comparativa da eficiência dos gastos públicos com saúde nos municípios brasileiros.</w:t>
      </w:r>
      <w:r w:rsidRPr="0038653D">
        <w:rPr>
          <w:rFonts w:ascii="Times New Roman" w:hAnsi="Times New Roman" w:cs="Times New Roman"/>
          <w:sz w:val="24"/>
          <w:szCs w:val="24"/>
        </w:rPr>
        <w:t xml:space="preserve"> São Paulo, 2008. 77 p. Dissertação (Mestrado em Economia) </w:t>
      </w:r>
      <w:r w:rsidR="005623CA">
        <w:rPr>
          <w:rFonts w:ascii="Times New Roman" w:hAnsi="Times New Roman" w:cs="Times New Roman"/>
          <w:sz w:val="24"/>
          <w:szCs w:val="24"/>
        </w:rPr>
        <w:t>–</w:t>
      </w:r>
      <w:r w:rsidRPr="0038653D">
        <w:rPr>
          <w:rFonts w:ascii="Times New Roman" w:hAnsi="Times New Roman" w:cs="Times New Roman"/>
          <w:sz w:val="24"/>
          <w:szCs w:val="24"/>
        </w:rPr>
        <w:t xml:space="preserve"> Universidade de São Paulo.</w:t>
      </w:r>
    </w:p>
    <w:p w14:paraId="59C0E78B" w14:textId="77777777" w:rsidR="002522D6" w:rsidRPr="0038653D" w:rsidRDefault="002522D6" w:rsidP="00EA24A8">
      <w:pPr>
        <w:spacing w:after="0" w:line="240" w:lineRule="auto"/>
        <w:rPr>
          <w:rFonts w:ascii="Times New Roman" w:hAnsi="Times New Roman" w:cs="Times New Roman"/>
          <w:sz w:val="24"/>
          <w:szCs w:val="24"/>
        </w:rPr>
      </w:pPr>
    </w:p>
    <w:p w14:paraId="587FB415" w14:textId="77777777"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lastRenderedPageBreak/>
        <w:t xml:space="preserve">SCHULZ, S. J.; GOLLO, V.; ROSA, F. S.; SCARPIN, J. E. Ranking das Unidades Federativas Brasileiras frente ao seu desempenho na gestão de recursos da saúde. </w:t>
      </w:r>
      <w:r w:rsidRPr="0038653D">
        <w:rPr>
          <w:rFonts w:ascii="Times New Roman" w:hAnsi="Times New Roman" w:cs="Times New Roman"/>
          <w:b/>
          <w:sz w:val="24"/>
          <w:szCs w:val="24"/>
        </w:rPr>
        <w:t>Revista de Gestão em Sistemas de Saúde,</w:t>
      </w:r>
      <w:r w:rsidRPr="0038653D">
        <w:rPr>
          <w:rFonts w:ascii="Times New Roman" w:hAnsi="Times New Roman" w:cs="Times New Roman"/>
          <w:sz w:val="24"/>
          <w:szCs w:val="24"/>
        </w:rPr>
        <w:t xml:space="preserve"> v. 3 n. 2, Julho/Dezembro. 2014. Disponível em: &lt;http://www.revistargss.org.br/ojs/index.php/rgss/article/view/108&gt;. Acesso em: 28 ago. 2021.</w:t>
      </w:r>
    </w:p>
    <w:p w14:paraId="362C7BBF" w14:textId="77777777" w:rsidR="002522D6" w:rsidRPr="0038653D" w:rsidRDefault="002522D6" w:rsidP="00EA24A8">
      <w:pPr>
        <w:spacing w:after="0" w:line="240" w:lineRule="auto"/>
        <w:rPr>
          <w:rFonts w:ascii="Times New Roman" w:hAnsi="Times New Roman" w:cs="Times New Roman"/>
          <w:sz w:val="24"/>
          <w:szCs w:val="24"/>
        </w:rPr>
      </w:pPr>
    </w:p>
    <w:p w14:paraId="63941A5D" w14:textId="38BDED86"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SILVA, S. P; CROZATTI, J. Eficiência dos gastos públicos com atenção básica à saúde: uma análise do desempenho dos municípios de São Paulo no ano de 2018. In: CONGRESSO BRASILEIRO DE CUSTOS, XXVII, 2020, modalidade virtual. </w:t>
      </w:r>
      <w:r w:rsidRPr="0038653D">
        <w:rPr>
          <w:rFonts w:ascii="Times New Roman" w:hAnsi="Times New Roman" w:cs="Times New Roman"/>
          <w:b/>
          <w:bCs/>
          <w:iCs/>
          <w:sz w:val="24"/>
          <w:szCs w:val="24"/>
        </w:rPr>
        <w:t>Anais</w:t>
      </w:r>
      <w:r w:rsidRPr="0038653D">
        <w:rPr>
          <w:rFonts w:ascii="Times New Roman" w:hAnsi="Times New Roman" w:cs="Times New Roman"/>
          <w:i/>
          <w:sz w:val="24"/>
          <w:szCs w:val="24"/>
        </w:rPr>
        <w:t>.</w:t>
      </w:r>
      <w:r w:rsidRPr="0038653D">
        <w:rPr>
          <w:rFonts w:ascii="Times New Roman" w:hAnsi="Times New Roman" w:cs="Times New Roman"/>
          <w:sz w:val="24"/>
          <w:szCs w:val="24"/>
        </w:rPr>
        <w:t xml:space="preserve">.. modalidade virtual. Disponível em: </w:t>
      </w:r>
      <w:hyperlink r:id="rId16" w:history="1">
        <w:r w:rsidR="005623CA" w:rsidRPr="00EF014C">
          <w:rPr>
            <w:rStyle w:val="Hyperlink"/>
            <w:rFonts w:ascii="Times New Roman" w:hAnsi="Times New Roman" w:cs="Times New Roman"/>
            <w:color w:val="auto"/>
            <w:sz w:val="24"/>
            <w:szCs w:val="24"/>
            <w:u w:val="none"/>
          </w:rPr>
          <w:t>https://anaiscbc</w:t>
        </w:r>
      </w:hyperlink>
      <w:r w:rsidRPr="00EF014C">
        <w:rPr>
          <w:rFonts w:ascii="Times New Roman" w:hAnsi="Times New Roman" w:cs="Times New Roman"/>
          <w:sz w:val="24"/>
          <w:szCs w:val="24"/>
        </w:rPr>
        <w:t xml:space="preserve">.emnuvens.com.br/anais/issue/view/53. Acesso em: 05 ago. </w:t>
      </w:r>
      <w:r w:rsidRPr="0038653D">
        <w:rPr>
          <w:rFonts w:ascii="Times New Roman" w:hAnsi="Times New Roman" w:cs="Times New Roman"/>
          <w:sz w:val="24"/>
          <w:szCs w:val="24"/>
        </w:rPr>
        <w:t>2021.</w:t>
      </w:r>
    </w:p>
    <w:p w14:paraId="43C442AB" w14:textId="77777777" w:rsidR="002522D6" w:rsidRPr="0038653D" w:rsidRDefault="002522D6" w:rsidP="00EA24A8">
      <w:pPr>
        <w:spacing w:after="0" w:line="240" w:lineRule="auto"/>
        <w:rPr>
          <w:rFonts w:ascii="Times New Roman" w:hAnsi="Times New Roman" w:cs="Times New Roman"/>
          <w:sz w:val="24"/>
          <w:szCs w:val="24"/>
        </w:rPr>
      </w:pPr>
    </w:p>
    <w:p w14:paraId="5B3E6EA4" w14:textId="77777777"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SIOPS – SISTEMA DE INFORMAÇÕES SOBRE ORÇAMENTOS PÚBLICOS EM SAÚDE. Indicadores municipais. Disponível em: &lt;http://siops-asp.datasus.gov.br/CGI/tabcgi.exe?SIOPS/serhist/municipio/indicCE.def&gt;. Acesso em: 26 fev.2022.</w:t>
      </w:r>
    </w:p>
    <w:p w14:paraId="1A957103" w14:textId="77777777" w:rsidR="002522D6" w:rsidRPr="0038653D" w:rsidRDefault="002522D6" w:rsidP="00EA24A8">
      <w:pPr>
        <w:spacing w:after="0" w:line="240" w:lineRule="auto"/>
        <w:rPr>
          <w:rFonts w:ascii="Times New Roman" w:hAnsi="Times New Roman" w:cs="Times New Roman"/>
          <w:sz w:val="24"/>
          <w:szCs w:val="24"/>
        </w:rPr>
      </w:pPr>
    </w:p>
    <w:p w14:paraId="721D3955" w14:textId="77777777" w:rsidR="002522D6" w:rsidRPr="0038653D"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TRIOLA, M F. </w:t>
      </w:r>
      <w:r w:rsidRPr="0038653D">
        <w:rPr>
          <w:rFonts w:ascii="Times New Roman" w:hAnsi="Times New Roman" w:cs="Times New Roman"/>
          <w:b/>
          <w:bCs/>
          <w:sz w:val="24"/>
          <w:szCs w:val="24"/>
        </w:rPr>
        <w:t>Introdução à Estatística</w:t>
      </w:r>
      <w:r w:rsidRPr="0038653D">
        <w:rPr>
          <w:rFonts w:ascii="Times New Roman" w:hAnsi="Times New Roman" w:cs="Times New Roman"/>
          <w:sz w:val="24"/>
          <w:szCs w:val="24"/>
        </w:rPr>
        <w:t>. 11 ed. Rio de Janeiro: LTC, 2013.</w:t>
      </w:r>
    </w:p>
    <w:p w14:paraId="662D6963" w14:textId="77777777" w:rsidR="002522D6" w:rsidRPr="0038653D" w:rsidRDefault="002522D6" w:rsidP="00EA24A8">
      <w:pPr>
        <w:spacing w:after="0" w:line="240" w:lineRule="auto"/>
        <w:rPr>
          <w:rFonts w:ascii="Times New Roman" w:hAnsi="Times New Roman" w:cs="Times New Roman"/>
          <w:sz w:val="24"/>
          <w:szCs w:val="24"/>
        </w:rPr>
      </w:pPr>
    </w:p>
    <w:p w14:paraId="7730F060" w14:textId="77777777" w:rsidR="002522D6"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ZOGHBI, A. C.; MATTOS, E. M.; ROCHA, F. R. R.; ARVATE, P. A. Uma análise da eficiência nos gastos em educação fundamental para os municípios paulistas. </w:t>
      </w:r>
      <w:r w:rsidRPr="0038653D">
        <w:rPr>
          <w:rFonts w:ascii="Times New Roman" w:hAnsi="Times New Roman" w:cs="Times New Roman"/>
          <w:b/>
          <w:bCs/>
          <w:sz w:val="24"/>
          <w:szCs w:val="24"/>
        </w:rPr>
        <w:t>Planejamento e Políticas Públicas</w:t>
      </w:r>
      <w:r w:rsidRPr="0038653D">
        <w:rPr>
          <w:rFonts w:ascii="Times New Roman" w:hAnsi="Times New Roman" w:cs="Times New Roman"/>
          <w:sz w:val="24"/>
          <w:szCs w:val="24"/>
        </w:rPr>
        <w:t>, </w:t>
      </w:r>
      <w:r w:rsidRPr="0038653D">
        <w:rPr>
          <w:rFonts w:ascii="Times New Roman" w:hAnsi="Times New Roman" w:cs="Times New Roman"/>
          <w:i/>
          <w:iCs/>
          <w:sz w:val="24"/>
          <w:szCs w:val="24"/>
        </w:rPr>
        <w:t>[S. l.]</w:t>
      </w:r>
      <w:r w:rsidRPr="0038653D">
        <w:rPr>
          <w:rFonts w:ascii="Times New Roman" w:hAnsi="Times New Roman" w:cs="Times New Roman"/>
          <w:sz w:val="24"/>
          <w:szCs w:val="24"/>
        </w:rPr>
        <w:t>, n. 36, 2022. Disponível em: //www.ipea.gov.br/</w:t>
      </w:r>
      <w:proofErr w:type="spellStart"/>
      <w:r w:rsidRPr="0038653D">
        <w:rPr>
          <w:rFonts w:ascii="Times New Roman" w:hAnsi="Times New Roman" w:cs="Times New Roman"/>
          <w:sz w:val="24"/>
          <w:szCs w:val="24"/>
        </w:rPr>
        <w:t>ppp</w:t>
      </w:r>
      <w:proofErr w:type="spellEnd"/>
      <w:r w:rsidRPr="0038653D">
        <w:rPr>
          <w:rFonts w:ascii="Times New Roman" w:hAnsi="Times New Roman" w:cs="Times New Roman"/>
          <w:sz w:val="24"/>
          <w:szCs w:val="24"/>
        </w:rPr>
        <w:t>/</w:t>
      </w:r>
      <w:proofErr w:type="spellStart"/>
      <w:r w:rsidRPr="0038653D">
        <w:rPr>
          <w:rFonts w:ascii="Times New Roman" w:hAnsi="Times New Roman" w:cs="Times New Roman"/>
          <w:sz w:val="24"/>
          <w:szCs w:val="24"/>
        </w:rPr>
        <w:t>index.php</w:t>
      </w:r>
      <w:proofErr w:type="spellEnd"/>
      <w:r w:rsidRPr="0038653D">
        <w:rPr>
          <w:rFonts w:ascii="Times New Roman" w:hAnsi="Times New Roman" w:cs="Times New Roman"/>
          <w:sz w:val="24"/>
          <w:szCs w:val="24"/>
        </w:rPr>
        <w:t>/PPP/</w:t>
      </w:r>
      <w:proofErr w:type="spellStart"/>
      <w:r w:rsidRPr="0038653D">
        <w:rPr>
          <w:rFonts w:ascii="Times New Roman" w:hAnsi="Times New Roman" w:cs="Times New Roman"/>
          <w:sz w:val="24"/>
          <w:szCs w:val="24"/>
        </w:rPr>
        <w:t>article</w:t>
      </w:r>
      <w:proofErr w:type="spellEnd"/>
      <w:r w:rsidRPr="0038653D">
        <w:rPr>
          <w:rFonts w:ascii="Times New Roman" w:hAnsi="Times New Roman" w:cs="Times New Roman"/>
          <w:sz w:val="24"/>
          <w:szCs w:val="24"/>
        </w:rPr>
        <w:t>/</w:t>
      </w:r>
      <w:proofErr w:type="spellStart"/>
      <w:r w:rsidRPr="0038653D">
        <w:rPr>
          <w:rFonts w:ascii="Times New Roman" w:hAnsi="Times New Roman" w:cs="Times New Roman"/>
          <w:sz w:val="24"/>
          <w:szCs w:val="24"/>
        </w:rPr>
        <w:t>view</w:t>
      </w:r>
      <w:proofErr w:type="spellEnd"/>
      <w:r w:rsidRPr="0038653D">
        <w:rPr>
          <w:rFonts w:ascii="Times New Roman" w:hAnsi="Times New Roman" w:cs="Times New Roman"/>
          <w:sz w:val="24"/>
          <w:szCs w:val="24"/>
        </w:rPr>
        <w:t>/221. Acesso em: 4 jun. 2022.</w:t>
      </w:r>
    </w:p>
    <w:p w14:paraId="2B8284EB" w14:textId="77777777" w:rsidR="002522D6" w:rsidRPr="0038653D" w:rsidRDefault="002522D6" w:rsidP="00EA24A8">
      <w:pPr>
        <w:spacing w:after="0" w:line="240" w:lineRule="auto"/>
        <w:rPr>
          <w:rFonts w:ascii="Times New Roman" w:hAnsi="Times New Roman" w:cs="Times New Roman"/>
          <w:sz w:val="24"/>
          <w:szCs w:val="24"/>
        </w:rPr>
      </w:pPr>
    </w:p>
    <w:p w14:paraId="4931F088" w14:textId="177544D2" w:rsidR="002522D6"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WILBERT, M. D.; D’ABREU, E. C. C. F.</w:t>
      </w:r>
      <w:r w:rsidR="005623CA">
        <w:rPr>
          <w:rFonts w:ascii="Times New Roman" w:hAnsi="Times New Roman" w:cs="Times New Roman"/>
          <w:sz w:val="24"/>
          <w:szCs w:val="24"/>
        </w:rPr>
        <w:t xml:space="preserve"> </w:t>
      </w:r>
      <w:r w:rsidRPr="0038653D">
        <w:rPr>
          <w:rFonts w:ascii="Times New Roman" w:hAnsi="Times New Roman" w:cs="Times New Roman"/>
          <w:sz w:val="24"/>
          <w:szCs w:val="24"/>
        </w:rPr>
        <w:t xml:space="preserve">Eficiência dos gastos públicos na educação: análise dos municípios do estado de Alagoas. </w:t>
      </w:r>
      <w:r w:rsidRPr="0038653D">
        <w:rPr>
          <w:rFonts w:ascii="Times New Roman" w:hAnsi="Times New Roman" w:cs="Times New Roman"/>
          <w:b/>
          <w:bCs/>
          <w:sz w:val="24"/>
          <w:szCs w:val="24"/>
        </w:rPr>
        <w:t>Advances in Scientific and Applied Accounting.</w:t>
      </w:r>
      <w:r w:rsidRPr="0038653D">
        <w:rPr>
          <w:rFonts w:ascii="Times New Roman" w:hAnsi="Times New Roman" w:cs="Times New Roman"/>
          <w:sz w:val="24"/>
          <w:szCs w:val="24"/>
        </w:rPr>
        <w:t xml:space="preserve"> São Paulo, SP, v.6, n.3, p. 348-372</w:t>
      </w:r>
      <w:r w:rsidR="007C4D86">
        <w:rPr>
          <w:rFonts w:ascii="Times New Roman" w:hAnsi="Times New Roman" w:cs="Times New Roman"/>
          <w:sz w:val="24"/>
          <w:szCs w:val="24"/>
        </w:rPr>
        <w:t xml:space="preserve">, </w:t>
      </w:r>
      <w:r w:rsidR="007C4D86" w:rsidRPr="0038653D">
        <w:rPr>
          <w:rFonts w:ascii="Times New Roman" w:hAnsi="Times New Roman" w:cs="Times New Roman"/>
          <w:sz w:val="24"/>
          <w:szCs w:val="24"/>
        </w:rPr>
        <w:t>2013</w:t>
      </w:r>
      <w:r w:rsidR="007C4D86">
        <w:rPr>
          <w:rFonts w:ascii="Times New Roman" w:hAnsi="Times New Roman" w:cs="Times New Roman"/>
          <w:sz w:val="24"/>
          <w:szCs w:val="24"/>
        </w:rPr>
        <w:t>.</w:t>
      </w:r>
      <w:r w:rsidRPr="0038653D">
        <w:rPr>
          <w:rFonts w:ascii="Times New Roman" w:hAnsi="Times New Roman" w:cs="Times New Roman"/>
          <w:sz w:val="24"/>
          <w:szCs w:val="24"/>
        </w:rPr>
        <w:t xml:space="preserve"> Disponível em: &lt;http://www.spell.org.br/documentos/ver/18180/eficiencia-dos-gastos-publicos-na-educacao--ana---&gt;. Acesso em: 04 jun. 2022.</w:t>
      </w:r>
    </w:p>
    <w:p w14:paraId="1BE55DFC" w14:textId="77777777" w:rsidR="002522D6" w:rsidRPr="0038653D" w:rsidRDefault="002522D6" w:rsidP="00EA24A8">
      <w:pPr>
        <w:spacing w:after="0" w:line="240" w:lineRule="auto"/>
        <w:rPr>
          <w:rFonts w:ascii="Times New Roman" w:hAnsi="Times New Roman" w:cs="Times New Roman"/>
          <w:sz w:val="24"/>
          <w:szCs w:val="24"/>
        </w:rPr>
      </w:pPr>
    </w:p>
    <w:p w14:paraId="57C33E6D" w14:textId="5F0597E0" w:rsidR="00E23187" w:rsidRDefault="002522D6" w:rsidP="00EA24A8">
      <w:pPr>
        <w:spacing w:after="0" w:line="240" w:lineRule="auto"/>
        <w:rPr>
          <w:rFonts w:ascii="Times New Roman" w:hAnsi="Times New Roman" w:cs="Times New Roman"/>
          <w:sz w:val="24"/>
          <w:szCs w:val="24"/>
        </w:rPr>
      </w:pPr>
      <w:r w:rsidRPr="0038653D">
        <w:rPr>
          <w:rFonts w:ascii="Times New Roman" w:hAnsi="Times New Roman" w:cs="Times New Roman"/>
          <w:sz w:val="24"/>
          <w:szCs w:val="24"/>
        </w:rPr>
        <w:t xml:space="preserve">ZHOU, L. et al. Empirical Analysis of Factors influencing healthcare efficiency among emerging countries. </w:t>
      </w:r>
      <w:r w:rsidRPr="0038653D">
        <w:rPr>
          <w:rFonts w:ascii="Times New Roman" w:hAnsi="Times New Roman" w:cs="Times New Roman"/>
          <w:b/>
          <w:sz w:val="24"/>
          <w:szCs w:val="24"/>
        </w:rPr>
        <w:t>Healthcare</w:t>
      </w:r>
      <w:r w:rsidRPr="0038653D">
        <w:rPr>
          <w:rFonts w:ascii="Times New Roman" w:hAnsi="Times New Roman" w:cs="Times New Roman"/>
          <w:sz w:val="24"/>
          <w:szCs w:val="24"/>
        </w:rPr>
        <w:t>, v.9, n. 31, p. 1-16, 2020. Disponível em: &lt;https://www.mdpi.com/2227-9032/9/1/31&gt;. Acesso: 09 set.2021.</w:t>
      </w:r>
    </w:p>
    <w:sectPr w:rsidR="00E23187">
      <w:headerReference w:type="default" r:id="rId17"/>
      <w:footerReference w:type="default" r:id="rId18"/>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BB62F" w14:textId="77777777" w:rsidR="007F53CE" w:rsidRDefault="007F53CE">
      <w:pPr>
        <w:spacing w:line="240" w:lineRule="auto"/>
      </w:pPr>
      <w:r>
        <w:separator/>
      </w:r>
    </w:p>
  </w:endnote>
  <w:endnote w:type="continuationSeparator" w:id="0">
    <w:p w14:paraId="3E833D54" w14:textId="77777777" w:rsidR="007F53CE" w:rsidRDefault="007F53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6163E" w14:textId="77777777" w:rsidR="00E23187" w:rsidRDefault="00000000">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6B19A5CE" wp14:editId="51FAC3C0">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421021B0" w14:textId="77777777" w:rsidR="00E23187" w:rsidRDefault="00E23187">
    <w:pPr>
      <w:pStyle w:val="Rodap"/>
      <w:jc w:val="both"/>
      <w:rPr>
        <w:rFonts w:ascii="Times New Roman" w:hAnsi="Times New Roman" w:cs="Times New Roman"/>
        <w:sz w:val="20"/>
        <w:szCs w:val="20"/>
      </w:rPr>
    </w:pPr>
  </w:p>
  <w:p w14:paraId="7FE93C9E" w14:textId="77777777" w:rsidR="00E23187" w:rsidRDefault="00000000">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31C777E1" w14:textId="77777777" w:rsidR="00E23187" w:rsidRDefault="00E23187">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83547" w14:textId="77777777" w:rsidR="007F53CE" w:rsidRDefault="007F53CE">
      <w:pPr>
        <w:spacing w:after="0"/>
      </w:pPr>
      <w:r>
        <w:separator/>
      </w:r>
    </w:p>
  </w:footnote>
  <w:footnote w:type="continuationSeparator" w:id="0">
    <w:p w14:paraId="78423D9D" w14:textId="77777777" w:rsidR="007F53CE" w:rsidRDefault="007F53CE">
      <w:pPr>
        <w:spacing w:after="0"/>
      </w:pPr>
      <w:r>
        <w:continuationSeparator/>
      </w:r>
    </w:p>
  </w:footnote>
  <w:footnote w:id="1">
    <w:p w14:paraId="7BAB9279" w14:textId="77777777" w:rsidR="00670B8A" w:rsidRPr="00642533" w:rsidRDefault="00670B8A" w:rsidP="00670B8A">
      <w:pPr>
        <w:spacing w:after="0" w:line="240" w:lineRule="auto"/>
        <w:jc w:val="both"/>
        <w:rPr>
          <w:rFonts w:ascii="Times New Roman" w:hAnsi="Times New Roman" w:cs="Times New Roman"/>
          <w:sz w:val="20"/>
          <w:szCs w:val="20"/>
        </w:rPr>
      </w:pPr>
      <w:r w:rsidRPr="00642533">
        <w:rPr>
          <w:rStyle w:val="Refdenotaderodap"/>
          <w:rFonts w:ascii="Times New Roman" w:hAnsi="Times New Roman" w:cs="Times New Roman"/>
          <w:sz w:val="20"/>
          <w:szCs w:val="20"/>
        </w:rPr>
        <w:footnoteRef/>
      </w:r>
      <w:r w:rsidRPr="00642533">
        <w:rPr>
          <w:rFonts w:ascii="Times New Roman" w:hAnsi="Times New Roman" w:cs="Times New Roman"/>
          <w:sz w:val="20"/>
          <w:szCs w:val="20"/>
        </w:rPr>
        <w:t xml:space="preserve"> </w:t>
      </w:r>
      <w:r w:rsidRPr="00BD62AE">
        <w:rPr>
          <w:rFonts w:ascii="Times New Roman" w:hAnsi="Times New Roman" w:cs="Times New Roman"/>
          <w:sz w:val="20"/>
          <w:szCs w:val="20"/>
        </w:rPr>
        <w:t>Constituem agrupamentos de municípios, que são organizad</w:t>
      </w:r>
      <w:r>
        <w:rPr>
          <w:rFonts w:ascii="Times New Roman" w:hAnsi="Times New Roman" w:cs="Times New Roman"/>
          <w:sz w:val="20"/>
          <w:szCs w:val="20"/>
        </w:rPr>
        <w:t>o</w:t>
      </w:r>
      <w:r w:rsidRPr="00BD62AE">
        <w:rPr>
          <w:rFonts w:ascii="Times New Roman" w:hAnsi="Times New Roman" w:cs="Times New Roman"/>
          <w:sz w:val="20"/>
          <w:szCs w:val="20"/>
        </w:rPr>
        <w:t>s a partir de um ponto central de referência, onde os indivíduos satisfazem suas necessidades imediatas (IBGE, 2017).</w:t>
      </w:r>
    </w:p>
    <w:p w14:paraId="001F2FFC" w14:textId="77777777" w:rsidR="00670B8A" w:rsidRDefault="00670B8A" w:rsidP="00670B8A">
      <w:pPr>
        <w:pStyle w:val="Textodenotaderodap"/>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45084" w14:textId="77777777" w:rsidR="00E23187" w:rsidRDefault="00000000">
    <w:pPr>
      <w:pStyle w:val="Cabealho"/>
      <w:jc w:val="center"/>
    </w:pPr>
    <w:r>
      <w:rPr>
        <w:noProof/>
      </w:rPr>
      <mc:AlternateContent>
        <mc:Choice Requires="wps">
          <w:drawing>
            <wp:anchor distT="0" distB="0" distL="114300" distR="114300" simplePos="0" relativeHeight="251660288" behindDoc="1" locked="0" layoutInCell="1" allowOverlap="1" wp14:anchorId="4C25B6F2" wp14:editId="5DE831F0">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2FD09DBA" wp14:editId="713FC4BB">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366B23CF" wp14:editId="47498900">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50B1A3A1" w14:textId="77777777" w:rsidR="00E23187" w:rsidRDefault="00E23187">
    <w:pPr>
      <w:pStyle w:val="Cabealho"/>
      <w:jc w:val="center"/>
    </w:pPr>
  </w:p>
  <w:p w14:paraId="49DF42DC" w14:textId="77777777" w:rsidR="00E23187" w:rsidRDefault="00E23187">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127BC"/>
    <w:rsid w:val="0001516A"/>
    <w:rsid w:val="0002797D"/>
    <w:rsid w:val="00036C01"/>
    <w:rsid w:val="000F2C33"/>
    <w:rsid w:val="00153BF8"/>
    <w:rsid w:val="0017619A"/>
    <w:rsid w:val="00187688"/>
    <w:rsid w:val="001A1967"/>
    <w:rsid w:val="00206A92"/>
    <w:rsid w:val="00241841"/>
    <w:rsid w:val="002522D6"/>
    <w:rsid w:val="00255C43"/>
    <w:rsid w:val="002940AB"/>
    <w:rsid w:val="0032033B"/>
    <w:rsid w:val="0033761B"/>
    <w:rsid w:val="003A32CD"/>
    <w:rsid w:val="0042645C"/>
    <w:rsid w:val="00450359"/>
    <w:rsid w:val="00466F5A"/>
    <w:rsid w:val="00491776"/>
    <w:rsid w:val="004D292A"/>
    <w:rsid w:val="00507F7E"/>
    <w:rsid w:val="00510F45"/>
    <w:rsid w:val="0051667F"/>
    <w:rsid w:val="005549E5"/>
    <w:rsid w:val="005623CA"/>
    <w:rsid w:val="005A58C6"/>
    <w:rsid w:val="005C35E7"/>
    <w:rsid w:val="005F38E0"/>
    <w:rsid w:val="00637991"/>
    <w:rsid w:val="00670B8A"/>
    <w:rsid w:val="00780F61"/>
    <w:rsid w:val="0078608C"/>
    <w:rsid w:val="007A3A8D"/>
    <w:rsid w:val="007B2A9B"/>
    <w:rsid w:val="007C3EAC"/>
    <w:rsid w:val="007C4D86"/>
    <w:rsid w:val="007D78C6"/>
    <w:rsid w:val="007F53CE"/>
    <w:rsid w:val="007F6683"/>
    <w:rsid w:val="00827375"/>
    <w:rsid w:val="0085799B"/>
    <w:rsid w:val="008777DD"/>
    <w:rsid w:val="00890C6B"/>
    <w:rsid w:val="00927D3E"/>
    <w:rsid w:val="00932EC3"/>
    <w:rsid w:val="009762D5"/>
    <w:rsid w:val="009F167A"/>
    <w:rsid w:val="009F7FEF"/>
    <w:rsid w:val="00A12BDF"/>
    <w:rsid w:val="00A929AC"/>
    <w:rsid w:val="00B23FFB"/>
    <w:rsid w:val="00B3519D"/>
    <w:rsid w:val="00B37E07"/>
    <w:rsid w:val="00B525B6"/>
    <w:rsid w:val="00B57D06"/>
    <w:rsid w:val="00BA2FB9"/>
    <w:rsid w:val="00BC6D50"/>
    <w:rsid w:val="00BD279B"/>
    <w:rsid w:val="00C14084"/>
    <w:rsid w:val="00C81D71"/>
    <w:rsid w:val="00C87F92"/>
    <w:rsid w:val="00CC5E5D"/>
    <w:rsid w:val="00D76F0C"/>
    <w:rsid w:val="00DC718B"/>
    <w:rsid w:val="00E208C5"/>
    <w:rsid w:val="00E23187"/>
    <w:rsid w:val="00E50039"/>
    <w:rsid w:val="00E874E8"/>
    <w:rsid w:val="00EA24A8"/>
    <w:rsid w:val="00EF014C"/>
    <w:rsid w:val="00EF75DB"/>
    <w:rsid w:val="00F45D8C"/>
    <w:rsid w:val="00F77ACA"/>
    <w:rsid w:val="00FA5FA3"/>
    <w:rsid w:val="00FB61B9"/>
    <w:rsid w:val="00FC4F7E"/>
    <w:rsid w:val="00FD2CC9"/>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5088"/>
  <w15:docId w15:val="{016DA0C0-DAB9-4DC1-92D5-80CAF2DDE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Textodenotaderodap">
    <w:name w:val="footnote text"/>
    <w:basedOn w:val="Normal"/>
    <w:link w:val="TextodenotaderodapChar"/>
    <w:uiPriority w:val="99"/>
    <w:semiHidden/>
    <w:unhideWhenUsed/>
    <w:rsid w:val="00670B8A"/>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670B8A"/>
    <w:rPr>
      <w:lang w:eastAsia="en-US"/>
    </w:rPr>
  </w:style>
  <w:style w:type="character" w:styleId="Refdenotaderodap">
    <w:name w:val="footnote reference"/>
    <w:basedOn w:val="Fontepargpadro"/>
    <w:uiPriority w:val="99"/>
    <w:semiHidden/>
    <w:unhideWhenUsed/>
    <w:rsid w:val="00670B8A"/>
    <w:rPr>
      <w:vertAlign w:val="superscript"/>
    </w:rPr>
  </w:style>
  <w:style w:type="table" w:customStyle="1" w:styleId="Tabelacomgrade1">
    <w:name w:val="Tabela com grade1"/>
    <w:basedOn w:val="Tabelanormal"/>
    <w:next w:val="Tabelacomgrade"/>
    <w:uiPriority w:val="39"/>
    <w:rsid w:val="00D76F0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39"/>
    <w:rsid w:val="00D76F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51667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o">
    <w:name w:val="Revision"/>
    <w:hidden/>
    <w:uiPriority w:val="99"/>
    <w:semiHidden/>
    <w:rsid w:val="007F6683"/>
    <w:rPr>
      <w:sz w:val="22"/>
      <w:szCs w:val="22"/>
      <w:lang w:eastAsia="en-US"/>
    </w:rPr>
  </w:style>
  <w:style w:type="character" w:styleId="Hyperlink">
    <w:name w:val="Hyperlink"/>
    <w:basedOn w:val="Fontepargpadro"/>
    <w:uiPriority w:val="99"/>
    <w:unhideWhenUsed/>
    <w:rsid w:val="005623CA"/>
    <w:rPr>
      <w:color w:val="0563C1" w:themeColor="hyperlink"/>
      <w:u w:val="single"/>
    </w:rPr>
  </w:style>
  <w:style w:type="character" w:styleId="MenoPendente">
    <w:name w:val="Unresolved Mention"/>
    <w:basedOn w:val="Fontepargpadro"/>
    <w:uiPriority w:val="99"/>
    <w:semiHidden/>
    <w:unhideWhenUsed/>
    <w:rsid w:val="005623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naiscb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yperlink" Target="https://www"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Eliane\Desktop\2022%20-%20Laura\Vers&#227;o%20atual%20dos%20dados\Tabelas%20DEA%20sa&#250;de%20regi&#245;es%20imediatas%20CE.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Eliane\Desktop\2022%20-%20Laura\Vers&#227;o%20atual%20dos%20dados\Tabelas%20DEA%20sa&#250;de%20regi&#245;es%20imediatas%20C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'Gráfico por PIB pc'!$J$1</c:f>
              <c:strCache>
                <c:ptCount val="1"/>
                <c:pt idx="0">
                  <c:v>CRS</c:v>
                </c:pt>
              </c:strCache>
            </c:strRef>
          </c:tx>
          <c:spPr>
            <a:solidFill>
              <a:schemeClr val="dk1">
                <a:tint val="885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'Gráfico por PIB pc'!$I$2:$I$4</c:f>
              <c:strCache>
                <c:ptCount val="3"/>
                <c:pt idx="0">
                  <c:v>Primeiro quartil</c:v>
                </c:pt>
                <c:pt idx="1">
                  <c:v>Segundo quartil</c:v>
                </c:pt>
                <c:pt idx="2">
                  <c:v>Terceiro quartil</c:v>
                </c:pt>
              </c:strCache>
            </c:strRef>
          </c:cat>
          <c:val>
            <c:numRef>
              <c:f>'Gráfico por PIB pc'!$J$2:$J$4</c:f>
              <c:numCache>
                <c:formatCode>0.00</c:formatCode>
                <c:ptCount val="3"/>
                <c:pt idx="0">
                  <c:v>0.90015816030134632</c:v>
                </c:pt>
                <c:pt idx="1">
                  <c:v>0.94229426268655025</c:v>
                </c:pt>
                <c:pt idx="2">
                  <c:v>0.91854708528088158</c:v>
                </c:pt>
              </c:numCache>
            </c:numRef>
          </c:val>
          <c:extLst>
            <c:ext xmlns:c16="http://schemas.microsoft.com/office/drawing/2014/chart" uri="{C3380CC4-5D6E-409C-BE32-E72D297353CC}">
              <c16:uniqueId val="{00000000-DDFD-4E36-BE63-11F348690094}"/>
            </c:ext>
          </c:extLst>
        </c:ser>
        <c:ser>
          <c:idx val="1"/>
          <c:order val="1"/>
          <c:tx>
            <c:strRef>
              <c:f>'Gráfico por PIB pc'!$K$1</c:f>
              <c:strCache>
                <c:ptCount val="1"/>
                <c:pt idx="0">
                  <c:v>VRS</c:v>
                </c:pt>
              </c:strCache>
            </c:strRef>
          </c:tx>
          <c:spPr>
            <a:solidFill>
              <a:schemeClr val="dk1">
                <a:tint val="5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'Gráfico por PIB pc'!$I$2:$I$4</c:f>
              <c:strCache>
                <c:ptCount val="3"/>
                <c:pt idx="0">
                  <c:v>Primeiro quartil</c:v>
                </c:pt>
                <c:pt idx="1">
                  <c:v>Segundo quartil</c:v>
                </c:pt>
                <c:pt idx="2">
                  <c:v>Terceiro quartil</c:v>
                </c:pt>
              </c:strCache>
            </c:strRef>
          </c:cat>
          <c:val>
            <c:numRef>
              <c:f>'Gráfico por PIB pc'!$K$2:$K$4</c:f>
              <c:numCache>
                <c:formatCode>0.00</c:formatCode>
                <c:ptCount val="3"/>
                <c:pt idx="0">
                  <c:v>0.92701285236027742</c:v>
                </c:pt>
                <c:pt idx="1">
                  <c:v>0.96291052530756627</c:v>
                </c:pt>
                <c:pt idx="2">
                  <c:v>0.94385085521523948</c:v>
                </c:pt>
              </c:numCache>
            </c:numRef>
          </c:val>
          <c:extLst>
            <c:ext xmlns:c16="http://schemas.microsoft.com/office/drawing/2014/chart" uri="{C3380CC4-5D6E-409C-BE32-E72D297353CC}">
              <c16:uniqueId val="{00000001-DDFD-4E36-BE63-11F348690094}"/>
            </c:ext>
          </c:extLst>
        </c:ser>
        <c:dLbls>
          <c:showLegendKey val="0"/>
          <c:showVal val="0"/>
          <c:showCatName val="0"/>
          <c:showSerName val="0"/>
          <c:showPercent val="0"/>
          <c:showBubbleSize val="0"/>
        </c:dLbls>
        <c:gapWidth val="219"/>
        <c:overlap val="-27"/>
        <c:axId val="1027255007"/>
        <c:axId val="1014521231"/>
      </c:barChart>
      <c:catAx>
        <c:axId val="10272550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014521231"/>
        <c:crosses val="autoZero"/>
        <c:auto val="1"/>
        <c:lblAlgn val="ctr"/>
        <c:lblOffset val="100"/>
        <c:noMultiLvlLbl val="0"/>
      </c:catAx>
      <c:valAx>
        <c:axId val="1014521231"/>
        <c:scaling>
          <c:orientation val="minMax"/>
        </c:scaling>
        <c:delete val="1"/>
        <c:axPos val="l"/>
        <c:numFmt formatCode="0.00" sourceLinked="1"/>
        <c:majorTickMark val="none"/>
        <c:minorTickMark val="none"/>
        <c:tickLblPos val="nextTo"/>
        <c:crossAx val="10272550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'Gráfico em termos populacionais'!$K$1</c:f>
              <c:strCache>
                <c:ptCount val="1"/>
                <c:pt idx="0">
                  <c:v>CRS</c:v>
                </c:pt>
              </c:strCache>
            </c:strRef>
          </c:tx>
          <c:spPr>
            <a:solidFill>
              <a:schemeClr val="dk1">
                <a:tint val="885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'Gráfico em termos populacionais'!$J$2:$J$4</c:f>
              <c:strCache>
                <c:ptCount val="3"/>
                <c:pt idx="0">
                  <c:v>Até 25.000 hab.</c:v>
                </c:pt>
                <c:pt idx="1">
                  <c:v>De 25.001 a 50.000 hab.</c:v>
                </c:pt>
                <c:pt idx="2">
                  <c:v>Mais de 50.000 hab.</c:v>
                </c:pt>
              </c:strCache>
            </c:strRef>
          </c:cat>
          <c:val>
            <c:numRef>
              <c:f>'Gráfico em termos populacionais'!$K$2:$K$4</c:f>
              <c:numCache>
                <c:formatCode>0.00</c:formatCode>
                <c:ptCount val="3"/>
                <c:pt idx="0">
                  <c:v>0.96656170340380865</c:v>
                </c:pt>
                <c:pt idx="1">
                  <c:v>0.90473656710008876</c:v>
                </c:pt>
                <c:pt idx="2">
                  <c:v>1</c:v>
                </c:pt>
              </c:numCache>
            </c:numRef>
          </c:val>
          <c:extLst>
            <c:ext xmlns:c16="http://schemas.microsoft.com/office/drawing/2014/chart" uri="{C3380CC4-5D6E-409C-BE32-E72D297353CC}">
              <c16:uniqueId val="{00000000-0242-4E8E-9229-0DC271127293}"/>
            </c:ext>
          </c:extLst>
        </c:ser>
        <c:ser>
          <c:idx val="1"/>
          <c:order val="1"/>
          <c:tx>
            <c:strRef>
              <c:f>'Gráfico em termos populacionais'!$L$1</c:f>
              <c:strCache>
                <c:ptCount val="1"/>
                <c:pt idx="0">
                  <c:v>VRS</c:v>
                </c:pt>
              </c:strCache>
            </c:strRef>
          </c:tx>
          <c:spPr>
            <a:solidFill>
              <a:schemeClr val="dk1">
                <a:tint val="5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'Gráfico em termos populacionais'!$J$2:$J$4</c:f>
              <c:strCache>
                <c:ptCount val="3"/>
                <c:pt idx="0">
                  <c:v>Até 25.000 hab.</c:v>
                </c:pt>
                <c:pt idx="1">
                  <c:v>De 25.001 a 50.000 hab.</c:v>
                </c:pt>
                <c:pt idx="2">
                  <c:v>Mais de 50.000 hab.</c:v>
                </c:pt>
              </c:strCache>
            </c:strRef>
          </c:cat>
          <c:val>
            <c:numRef>
              <c:f>'Gráfico em termos populacionais'!$L$2:$L$4</c:f>
              <c:numCache>
                <c:formatCode>0.00</c:formatCode>
                <c:ptCount val="3"/>
                <c:pt idx="0">
                  <c:v>0.99781442479634419</c:v>
                </c:pt>
                <c:pt idx="1">
                  <c:v>0.92922872306496196</c:v>
                </c:pt>
                <c:pt idx="2">
                  <c:v>1</c:v>
                </c:pt>
              </c:numCache>
            </c:numRef>
          </c:val>
          <c:extLst>
            <c:ext xmlns:c16="http://schemas.microsoft.com/office/drawing/2014/chart" uri="{C3380CC4-5D6E-409C-BE32-E72D297353CC}">
              <c16:uniqueId val="{00000001-0242-4E8E-9229-0DC271127293}"/>
            </c:ext>
          </c:extLst>
        </c:ser>
        <c:dLbls>
          <c:showLegendKey val="0"/>
          <c:showVal val="0"/>
          <c:showCatName val="0"/>
          <c:showSerName val="0"/>
          <c:showPercent val="0"/>
          <c:showBubbleSize val="0"/>
        </c:dLbls>
        <c:gapWidth val="219"/>
        <c:overlap val="-27"/>
        <c:axId val="523782192"/>
        <c:axId val="523783856"/>
      </c:barChart>
      <c:catAx>
        <c:axId val="523782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crossAx val="523783856"/>
        <c:crosses val="autoZero"/>
        <c:auto val="1"/>
        <c:lblAlgn val="ctr"/>
        <c:lblOffset val="100"/>
        <c:noMultiLvlLbl val="0"/>
      </c:catAx>
      <c:valAx>
        <c:axId val="523783856"/>
        <c:scaling>
          <c:orientation val="minMax"/>
        </c:scaling>
        <c:delete val="1"/>
        <c:axPos val="l"/>
        <c:numFmt formatCode="0.00" sourceLinked="1"/>
        <c:majorTickMark val="none"/>
        <c:minorTickMark val="none"/>
        <c:tickLblPos val="nextTo"/>
        <c:crossAx val="523782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4">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24</Pages>
  <Words>8343</Words>
  <Characters>45055</Characters>
  <DocSecurity>0</DocSecurity>
  <Lines>375</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2022-07-30T20:58:00Z</dcterms:created>
  <dcterms:modified xsi:type="dcterms:W3CDTF">2022-07-31T21:15:00Z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