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2" w14:textId="4AF8C75E" w:rsidR="006F379A" w:rsidRPr="009520A5" w:rsidRDefault="00150FD6" w:rsidP="007205DA">
      <w:pPr>
        <w:pBdr>
          <w:top w:val="nil"/>
          <w:left w:val="nil"/>
          <w:bottom w:val="nil"/>
          <w:right w:val="nil"/>
          <w:between w:val="nil"/>
        </w:pBdr>
        <w:spacing w:after="0" w:line="360" w:lineRule="auto"/>
        <w:jc w:val="center"/>
        <w:rPr>
          <w:rFonts w:ascii="Times New Roman" w:eastAsia="Times New Roman" w:hAnsi="Times New Roman" w:cs="Times New Roman"/>
          <w:b/>
          <w:sz w:val="28"/>
          <w:szCs w:val="28"/>
        </w:rPr>
      </w:pPr>
      <w:r w:rsidRPr="009520A5">
        <w:rPr>
          <w:rFonts w:ascii="Times New Roman" w:eastAsia="Times New Roman" w:hAnsi="Times New Roman" w:cs="Times New Roman"/>
          <w:b/>
          <w:sz w:val="28"/>
          <w:szCs w:val="28"/>
        </w:rPr>
        <w:t>BALANÇO DO PLANEJAMENTO REGIONAL ENTRE 2014 E 2022:</w:t>
      </w:r>
    </w:p>
    <w:p w14:paraId="00000003" w14:textId="77777777" w:rsidR="006F379A" w:rsidRPr="009520A5" w:rsidRDefault="00150FD6" w:rsidP="009520A5">
      <w:pPr>
        <w:pBdr>
          <w:top w:val="nil"/>
          <w:left w:val="nil"/>
          <w:bottom w:val="nil"/>
          <w:right w:val="nil"/>
          <w:between w:val="nil"/>
        </w:pBdr>
        <w:spacing w:after="0" w:line="360" w:lineRule="auto"/>
        <w:jc w:val="center"/>
        <w:rPr>
          <w:rFonts w:ascii="Times New Roman" w:eastAsia="Times New Roman" w:hAnsi="Times New Roman" w:cs="Times New Roman"/>
          <w:b/>
          <w:sz w:val="28"/>
          <w:szCs w:val="28"/>
        </w:rPr>
      </w:pPr>
      <w:r w:rsidRPr="009520A5">
        <w:rPr>
          <w:rFonts w:ascii="Times New Roman" w:eastAsia="Times New Roman" w:hAnsi="Times New Roman" w:cs="Times New Roman"/>
          <w:b/>
          <w:sz w:val="28"/>
          <w:szCs w:val="28"/>
        </w:rPr>
        <w:t xml:space="preserve">inflexões e mudanças nas instituições e políticas regionais </w:t>
      </w:r>
    </w:p>
    <w:p w14:paraId="188BE368" w14:textId="77777777" w:rsidR="007205DA" w:rsidRDefault="007205DA" w:rsidP="009520A5">
      <w:pPr>
        <w:pStyle w:val="Ttulo"/>
        <w:spacing w:line="360" w:lineRule="auto"/>
        <w:jc w:val="both"/>
        <w:rPr>
          <w:rFonts w:ascii="Times New Roman" w:hAnsi="Times New Roman"/>
          <w:sz w:val="24"/>
          <w:lang w:val="pt-BR"/>
        </w:rPr>
      </w:pPr>
    </w:p>
    <w:p w14:paraId="00000005" w14:textId="2D650C0C" w:rsidR="006F379A" w:rsidRPr="009520A5" w:rsidRDefault="00150FD6" w:rsidP="009520A5">
      <w:pPr>
        <w:pStyle w:val="Ttulo"/>
        <w:spacing w:line="360" w:lineRule="auto"/>
        <w:jc w:val="both"/>
        <w:rPr>
          <w:rFonts w:ascii="Times New Roman" w:hAnsi="Times New Roman"/>
          <w:sz w:val="24"/>
          <w:lang w:val="pt-BR"/>
        </w:rPr>
      </w:pPr>
      <w:r w:rsidRPr="009520A5">
        <w:rPr>
          <w:rFonts w:ascii="Times New Roman" w:hAnsi="Times New Roman"/>
          <w:sz w:val="24"/>
          <w:lang w:val="pt-BR"/>
        </w:rPr>
        <w:t>RESUMO</w:t>
      </w:r>
    </w:p>
    <w:p w14:paraId="11CA7016" w14:textId="1EE4E423" w:rsidR="007205DA" w:rsidRDefault="008E35AF" w:rsidP="009520A5">
      <w:pPr>
        <w:spacing w:after="0" w:line="360" w:lineRule="auto"/>
        <w:jc w:val="both"/>
        <w:rPr>
          <w:rFonts w:ascii="Times New Roman" w:eastAsia="Times New Roman" w:hAnsi="Times New Roman" w:cs="Times New Roman"/>
          <w:b/>
          <w:sz w:val="24"/>
          <w:szCs w:val="24"/>
        </w:rPr>
      </w:pPr>
      <w:r w:rsidRPr="008E35AF">
        <w:rPr>
          <w:rFonts w:ascii="Times New Roman" w:eastAsia="Times New Roman" w:hAnsi="Times New Roman" w:cs="Times New Roman"/>
          <w:sz w:val="24"/>
          <w:szCs w:val="24"/>
        </w:rPr>
        <w:t xml:space="preserve">O texto aborda as mudanças recentes na Política Nacional de Desenvolvimento Regional (PNDR) entre 2014 e 2022, fase de inflexões neoliberais sobre a condução do Estado nacional. A análise cotejou as alterações normativas que impactaram o planejamento e a execução da política. A criação do Ministério do Desenvolvimento Regional (MDR), a partir da fusão entre as pastas que gerenciavam a política urbana e regional e a edição de um novo decreto para a PNDR se destacam neste balanço. Ademais, os instrumentos de financiamento sofreram modificações legais flexibilizando a operacionalização dos recursos conforme o mercado, contudo, enfrentaram barreiras, vide as alterações sobre os encargos financeiros dos fundos. </w:t>
      </w:r>
      <w:proofErr w:type="gramStart"/>
      <w:r w:rsidRPr="008E35AF">
        <w:rPr>
          <w:rFonts w:ascii="Times New Roman" w:eastAsia="Times New Roman" w:hAnsi="Times New Roman" w:cs="Times New Roman"/>
          <w:sz w:val="24"/>
          <w:szCs w:val="24"/>
        </w:rPr>
        <w:t>O mesmo</w:t>
      </w:r>
      <w:proofErr w:type="gramEnd"/>
      <w:r w:rsidRPr="008E35AF">
        <w:rPr>
          <w:rFonts w:ascii="Times New Roman" w:eastAsia="Times New Roman" w:hAnsi="Times New Roman" w:cs="Times New Roman"/>
          <w:sz w:val="24"/>
          <w:szCs w:val="24"/>
        </w:rPr>
        <w:t xml:space="preserve"> não se pode dizer dos incentivos fiscais, que mantém características de inércia. Na análise dos dados dos fundos constitucionais, foram identificadas características distintas, de elevação dos recursos orçamentários do FNE, FNO, favorecendo o Pará, e redução do volume do FCO.</w:t>
      </w:r>
    </w:p>
    <w:p w14:paraId="00000009" w14:textId="56FBB7E3" w:rsidR="006F379A" w:rsidRPr="009520A5" w:rsidRDefault="00150FD6" w:rsidP="009520A5">
      <w:pPr>
        <w:spacing w:after="0" w:line="360" w:lineRule="auto"/>
        <w:jc w:val="both"/>
        <w:rPr>
          <w:rFonts w:ascii="Times New Roman" w:eastAsia="Times New Roman" w:hAnsi="Times New Roman" w:cs="Times New Roman"/>
          <w:sz w:val="24"/>
          <w:szCs w:val="24"/>
        </w:rPr>
      </w:pPr>
      <w:r w:rsidRPr="009520A5">
        <w:rPr>
          <w:rFonts w:ascii="Times New Roman" w:eastAsia="Times New Roman" w:hAnsi="Times New Roman" w:cs="Times New Roman"/>
          <w:b/>
          <w:sz w:val="24"/>
          <w:szCs w:val="24"/>
        </w:rPr>
        <w:t>Palavras- chave</w:t>
      </w:r>
      <w:r w:rsidRPr="009520A5">
        <w:rPr>
          <w:rFonts w:ascii="Times New Roman" w:eastAsia="Times New Roman" w:hAnsi="Times New Roman" w:cs="Times New Roman"/>
          <w:sz w:val="24"/>
          <w:szCs w:val="24"/>
        </w:rPr>
        <w:t xml:space="preserve">: </w:t>
      </w:r>
      <w:r w:rsidR="006D7F87" w:rsidRPr="009520A5">
        <w:rPr>
          <w:rFonts w:ascii="Times New Roman" w:eastAsia="Times New Roman" w:hAnsi="Times New Roman" w:cs="Times New Roman"/>
          <w:sz w:val="24"/>
          <w:szCs w:val="24"/>
        </w:rPr>
        <w:t xml:space="preserve">PNDR; Planejamento Regional; </w:t>
      </w:r>
      <w:r w:rsidR="00E97E09" w:rsidRPr="009520A5">
        <w:rPr>
          <w:rFonts w:ascii="Times New Roman" w:eastAsia="Times New Roman" w:hAnsi="Times New Roman" w:cs="Times New Roman"/>
          <w:sz w:val="24"/>
          <w:szCs w:val="24"/>
        </w:rPr>
        <w:t>Mudanças institucionais</w:t>
      </w:r>
      <w:r w:rsidR="006D7F87" w:rsidRPr="009520A5">
        <w:rPr>
          <w:rFonts w:ascii="Times New Roman" w:eastAsia="Times New Roman" w:hAnsi="Times New Roman" w:cs="Times New Roman"/>
          <w:sz w:val="24"/>
          <w:szCs w:val="24"/>
        </w:rPr>
        <w:t xml:space="preserve">; Fundos </w:t>
      </w:r>
      <w:r w:rsidR="00E97E09" w:rsidRPr="009520A5">
        <w:rPr>
          <w:rFonts w:ascii="Times New Roman" w:eastAsia="Times New Roman" w:hAnsi="Times New Roman" w:cs="Times New Roman"/>
          <w:sz w:val="24"/>
          <w:szCs w:val="24"/>
        </w:rPr>
        <w:t>Regionais</w:t>
      </w:r>
      <w:r w:rsidR="00FE49A2" w:rsidRPr="009520A5">
        <w:rPr>
          <w:rFonts w:ascii="Times New Roman" w:eastAsia="Times New Roman" w:hAnsi="Times New Roman" w:cs="Times New Roman"/>
          <w:sz w:val="24"/>
          <w:szCs w:val="24"/>
        </w:rPr>
        <w:t xml:space="preserve">. </w:t>
      </w:r>
      <w:r w:rsidRPr="009520A5">
        <w:rPr>
          <w:rFonts w:ascii="Times New Roman" w:eastAsia="Times New Roman" w:hAnsi="Times New Roman" w:cs="Times New Roman"/>
          <w:b/>
          <w:sz w:val="24"/>
          <w:szCs w:val="24"/>
        </w:rPr>
        <w:t>GT No 4</w:t>
      </w:r>
      <w:r w:rsidRPr="009520A5">
        <w:rPr>
          <w:rFonts w:ascii="Times New Roman" w:eastAsia="Times New Roman" w:hAnsi="Times New Roman" w:cs="Times New Roman"/>
          <w:sz w:val="24"/>
          <w:szCs w:val="24"/>
        </w:rPr>
        <w:t>: Instituições, Governança Territorial e Desenvolvimento</w:t>
      </w:r>
    </w:p>
    <w:p w14:paraId="0000000A" w14:textId="77777777" w:rsidR="006F379A" w:rsidRPr="009520A5" w:rsidRDefault="006F379A" w:rsidP="009520A5">
      <w:pPr>
        <w:spacing w:after="0" w:line="360" w:lineRule="auto"/>
        <w:jc w:val="both"/>
        <w:rPr>
          <w:rFonts w:ascii="Times New Roman" w:eastAsia="Times New Roman" w:hAnsi="Times New Roman" w:cs="Times New Roman"/>
          <w:sz w:val="24"/>
          <w:szCs w:val="24"/>
        </w:rPr>
      </w:pPr>
    </w:p>
    <w:p w14:paraId="0000000B" w14:textId="77777777" w:rsidR="006F379A" w:rsidRPr="009520A5" w:rsidRDefault="00000000" w:rsidP="009520A5">
      <w:pPr>
        <w:spacing w:after="0" w:line="360" w:lineRule="auto"/>
        <w:jc w:val="both"/>
        <w:rPr>
          <w:rFonts w:ascii="Times New Roman" w:eastAsia="Times New Roman" w:hAnsi="Times New Roman" w:cs="Times New Roman"/>
          <w:b/>
          <w:sz w:val="24"/>
          <w:szCs w:val="24"/>
        </w:rPr>
      </w:pPr>
      <w:sdt>
        <w:sdtPr>
          <w:tag w:val="goog_rdk_0"/>
          <w:id w:val="-1977135817"/>
        </w:sdtPr>
        <w:sdtContent/>
      </w:sdt>
      <w:r w:rsidR="00150FD6" w:rsidRPr="009520A5">
        <w:rPr>
          <w:rFonts w:ascii="Times New Roman" w:eastAsia="Times New Roman" w:hAnsi="Times New Roman" w:cs="Times New Roman"/>
          <w:b/>
          <w:sz w:val="24"/>
          <w:szCs w:val="24"/>
        </w:rPr>
        <w:t>1 INTRODUÇÃO</w:t>
      </w:r>
    </w:p>
    <w:p w14:paraId="0000000C" w14:textId="77777777" w:rsidR="006F379A" w:rsidRPr="009520A5" w:rsidRDefault="00150FD6" w:rsidP="009520A5">
      <w:pPr>
        <w:spacing w:after="0" w:line="360" w:lineRule="auto"/>
        <w:ind w:firstLine="709"/>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As experiências de planejamento para o desenvolvimento regional foram bastante profícuas no que concerne às proposições e à implementação de ações no âmbito dos dois mandatos presidenciais de Luís Inácio Lula da Silva (2003-2006 e 2007-2010) e do primeiro mandato de Dilma Rousseff (2010-2014). Cabe destacar que a retomada do planejamento regional, ocorrida no período de 2003 a 2014, foi ancorada na ascensão de um governo </w:t>
      </w:r>
      <w:sdt>
        <w:sdtPr>
          <w:tag w:val="goog_rdk_1"/>
          <w:id w:val="-1820718487"/>
        </w:sdtPr>
        <w:sdtContent/>
      </w:sdt>
      <w:r w:rsidRPr="009520A5">
        <w:rPr>
          <w:rFonts w:ascii="Times New Roman" w:eastAsia="Times New Roman" w:hAnsi="Times New Roman" w:cs="Times New Roman"/>
          <w:sz w:val="24"/>
          <w:szCs w:val="24"/>
        </w:rPr>
        <w:t xml:space="preserve">de esquerda no âmbito federal, o qual reintroduziu na agenda governamental a problemática das desigualdades regionais no Brasil (SILVA, 2017). </w:t>
      </w:r>
    </w:p>
    <w:p w14:paraId="0000000D" w14:textId="4619F94F"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Assim, após um período mais acentuado de crise do planejamento regional,</w:t>
      </w:r>
      <w:r w:rsidR="006D7F87" w:rsidRPr="009520A5">
        <w:rPr>
          <w:rFonts w:ascii="Times New Roman" w:eastAsia="Times New Roman" w:hAnsi="Times New Roman" w:cs="Times New Roman"/>
          <w:sz w:val="24"/>
          <w:szCs w:val="24"/>
        </w:rPr>
        <w:t xml:space="preserve"> entre os anos 1980 e 1990</w:t>
      </w:r>
      <w:r w:rsidRPr="009520A5">
        <w:rPr>
          <w:rFonts w:ascii="Times New Roman" w:eastAsia="Times New Roman" w:hAnsi="Times New Roman" w:cs="Times New Roman"/>
          <w:sz w:val="24"/>
          <w:szCs w:val="24"/>
        </w:rPr>
        <w:t xml:space="preserve">, a questão regional brasileira passou a ser abordada sob novos paradigmas – </w:t>
      </w:r>
      <w:r w:rsidRPr="009520A5">
        <w:rPr>
          <w:rFonts w:ascii="Times New Roman" w:eastAsia="Times New Roman" w:hAnsi="Times New Roman" w:cs="Times New Roman"/>
          <w:sz w:val="24"/>
          <w:szCs w:val="24"/>
        </w:rPr>
        <w:lastRenderedPageBreak/>
        <w:t xml:space="preserve">a </w:t>
      </w:r>
      <w:proofErr w:type="spellStart"/>
      <w:r w:rsidRPr="009520A5">
        <w:rPr>
          <w:rFonts w:ascii="Times New Roman" w:eastAsia="Times New Roman" w:hAnsi="Times New Roman" w:cs="Times New Roman"/>
          <w:sz w:val="24"/>
          <w:szCs w:val="24"/>
        </w:rPr>
        <w:t>multiescalaridade</w:t>
      </w:r>
      <w:proofErr w:type="spellEnd"/>
      <w:r w:rsidRPr="009520A5">
        <w:rPr>
          <w:rFonts w:ascii="Times New Roman" w:eastAsia="Times New Roman" w:hAnsi="Times New Roman" w:cs="Times New Roman"/>
          <w:sz w:val="24"/>
          <w:szCs w:val="24"/>
        </w:rPr>
        <w:t>, a transversalidade e a multidimensionalidade das desigualdades e do desenvolvimento regional –, embora também tenha ocorrido a manutenção de paradigmas anteriores</w:t>
      </w:r>
      <w:r w:rsidR="006D7F87" w:rsidRPr="009520A5">
        <w:rPr>
          <w:rFonts w:ascii="Times New Roman" w:eastAsia="Times New Roman" w:hAnsi="Times New Roman" w:cs="Times New Roman"/>
          <w:sz w:val="24"/>
          <w:szCs w:val="24"/>
        </w:rPr>
        <w:t xml:space="preserve"> </w:t>
      </w:r>
      <w:r w:rsidRPr="009520A5">
        <w:rPr>
          <w:rFonts w:ascii="Times New Roman" w:eastAsia="Times New Roman" w:hAnsi="Times New Roman" w:cs="Times New Roman"/>
          <w:sz w:val="24"/>
          <w:szCs w:val="24"/>
        </w:rPr>
        <w:t xml:space="preserve">– em especial a promoção do desenvolvimento a partir do agronegócio e da polarização econômica; o resgate das Superintendências de Desenvolvimento Regional, dos recortes macrorregionais e do modelo de incentivos fiscais que pautaram as políticas regionais nas décadas anteriores –, mesclados com a ressignificação de leituras paradigmáticas sobre o tema – principalmente, a complexificação da noção de desenvolvimento; o arrefecimento do neoliberalismo e da administração </w:t>
      </w:r>
      <w:proofErr w:type="spellStart"/>
      <w:r w:rsidRPr="009520A5">
        <w:rPr>
          <w:rFonts w:ascii="Times New Roman" w:eastAsia="Times New Roman" w:hAnsi="Times New Roman" w:cs="Times New Roman"/>
          <w:sz w:val="24"/>
          <w:szCs w:val="24"/>
        </w:rPr>
        <w:t>gerencialista</w:t>
      </w:r>
      <w:proofErr w:type="spellEnd"/>
      <w:r w:rsidRPr="009520A5">
        <w:rPr>
          <w:rFonts w:ascii="Times New Roman" w:eastAsia="Times New Roman" w:hAnsi="Times New Roman" w:cs="Times New Roman"/>
          <w:sz w:val="24"/>
          <w:szCs w:val="24"/>
        </w:rPr>
        <w:t xml:space="preserve">, além da emergência do </w:t>
      </w:r>
      <w:proofErr w:type="spellStart"/>
      <w:r w:rsidRPr="009520A5">
        <w:rPr>
          <w:rFonts w:ascii="Times New Roman" w:eastAsia="Times New Roman" w:hAnsi="Times New Roman" w:cs="Times New Roman"/>
          <w:sz w:val="24"/>
          <w:szCs w:val="24"/>
        </w:rPr>
        <w:t>neodesenvolvimentismo</w:t>
      </w:r>
      <w:proofErr w:type="spellEnd"/>
      <w:r w:rsidRPr="009520A5">
        <w:rPr>
          <w:rFonts w:ascii="Times New Roman" w:eastAsia="Times New Roman" w:hAnsi="Times New Roman" w:cs="Times New Roman"/>
          <w:sz w:val="24"/>
          <w:szCs w:val="24"/>
        </w:rPr>
        <w:t xml:space="preserve">; a busca por um hibridismo entre os modelos </w:t>
      </w:r>
      <w:r w:rsidRPr="009520A5">
        <w:rPr>
          <w:rFonts w:ascii="Times New Roman" w:eastAsia="Times New Roman" w:hAnsi="Times New Roman" w:cs="Times New Roman"/>
          <w:i/>
          <w:sz w:val="24"/>
          <w:szCs w:val="24"/>
        </w:rPr>
        <w:t>top-</w:t>
      </w:r>
      <w:proofErr w:type="spellStart"/>
      <w:r w:rsidRPr="009520A5">
        <w:rPr>
          <w:rFonts w:ascii="Times New Roman" w:eastAsia="Times New Roman" w:hAnsi="Times New Roman" w:cs="Times New Roman"/>
          <w:i/>
          <w:sz w:val="24"/>
          <w:szCs w:val="24"/>
        </w:rPr>
        <w:t>down</w:t>
      </w:r>
      <w:proofErr w:type="spellEnd"/>
      <w:r w:rsidRPr="009520A5">
        <w:rPr>
          <w:rFonts w:ascii="Times New Roman" w:eastAsia="Times New Roman" w:hAnsi="Times New Roman" w:cs="Times New Roman"/>
          <w:sz w:val="24"/>
          <w:szCs w:val="24"/>
        </w:rPr>
        <w:t xml:space="preserve"> e </w:t>
      </w:r>
      <w:proofErr w:type="spellStart"/>
      <w:r w:rsidRPr="009520A5">
        <w:rPr>
          <w:rFonts w:ascii="Times New Roman" w:eastAsia="Times New Roman" w:hAnsi="Times New Roman" w:cs="Times New Roman"/>
          <w:i/>
          <w:sz w:val="24"/>
          <w:szCs w:val="24"/>
        </w:rPr>
        <w:t>bottom-up</w:t>
      </w:r>
      <w:proofErr w:type="spellEnd"/>
      <w:r w:rsidRPr="009520A5">
        <w:rPr>
          <w:rFonts w:ascii="Times New Roman" w:eastAsia="Times New Roman" w:hAnsi="Times New Roman" w:cs="Times New Roman"/>
          <w:sz w:val="24"/>
          <w:szCs w:val="24"/>
        </w:rPr>
        <w:t xml:space="preserve"> no planejamento governamental (SILVA, 2017). </w:t>
      </w:r>
    </w:p>
    <w:p w14:paraId="0000000E" w14:textId="77777777" w:rsidR="006F379A" w:rsidRPr="009520A5" w:rsidRDefault="00150FD6" w:rsidP="009520A5">
      <w:pPr>
        <w:spacing w:after="0" w:line="360" w:lineRule="auto"/>
        <w:ind w:firstLine="708"/>
        <w:jc w:val="both"/>
        <w:rPr>
          <w:rFonts w:ascii="Arial" w:eastAsia="Arial" w:hAnsi="Arial" w:cs="Arial"/>
        </w:rPr>
      </w:pPr>
      <w:r w:rsidRPr="009520A5">
        <w:rPr>
          <w:rFonts w:ascii="Times New Roman" w:eastAsia="Times New Roman" w:hAnsi="Times New Roman" w:cs="Times New Roman"/>
          <w:sz w:val="24"/>
          <w:szCs w:val="24"/>
        </w:rPr>
        <w:t>Algumas das principais políticas que marcaram o período de 2003 a 2014, de reintrodução da questão regional na agenda política, foram elaboradas, implementadas e executadas no âmbito do Ministério de Integração Nacional (MI) e suas autarquias vinculadas, destacadamente a Política Nacional de Desenvolvimento Regional (PNDR), instituída pelo Decreto nº 6.047/2007, além de diversos planos macrorregionais, mesorregionais e de regiões-programa especiais, coadunados com a PNDR.</w:t>
      </w:r>
      <w:r w:rsidRPr="009520A5">
        <w:t xml:space="preserve">                                                            </w:t>
      </w:r>
    </w:p>
    <w:p w14:paraId="0000000F"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Porém, a partir do processo de </w:t>
      </w:r>
      <w:r w:rsidRPr="009520A5">
        <w:rPr>
          <w:rFonts w:ascii="Times New Roman" w:eastAsia="Times New Roman" w:hAnsi="Times New Roman" w:cs="Times New Roman"/>
          <w:i/>
          <w:sz w:val="24"/>
          <w:szCs w:val="24"/>
        </w:rPr>
        <w:t>impeachment</w:t>
      </w:r>
      <w:r w:rsidRPr="009520A5">
        <w:rPr>
          <w:rFonts w:ascii="Times New Roman" w:eastAsia="Times New Roman" w:hAnsi="Times New Roman" w:cs="Times New Roman"/>
          <w:sz w:val="24"/>
          <w:szCs w:val="24"/>
        </w:rPr>
        <w:t xml:space="preserve"> da </w:t>
      </w:r>
      <w:proofErr w:type="spellStart"/>
      <w:r w:rsidRPr="009520A5">
        <w:rPr>
          <w:rFonts w:ascii="Times New Roman" w:eastAsia="Times New Roman" w:hAnsi="Times New Roman" w:cs="Times New Roman"/>
          <w:sz w:val="24"/>
          <w:szCs w:val="24"/>
        </w:rPr>
        <w:t>ex-presidenta</w:t>
      </w:r>
      <w:proofErr w:type="spellEnd"/>
      <w:r w:rsidRPr="009520A5">
        <w:rPr>
          <w:rFonts w:ascii="Times New Roman" w:eastAsia="Times New Roman" w:hAnsi="Times New Roman" w:cs="Times New Roman"/>
          <w:sz w:val="24"/>
          <w:szCs w:val="24"/>
        </w:rPr>
        <w:t xml:space="preserve"> Dilma Rousseff, ocorrido em 2016, podemos notar a descontinuidade das políticas regionais, marcada por certo retrocesso do planejamento governamental derivado da conjuntura política e econômica brasileira.</w:t>
      </w:r>
    </w:p>
    <w:p w14:paraId="5F0EB368" w14:textId="77777777" w:rsidR="008A374E"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Por conseguinte, objetivamos neste artigo apresentar um balanço que considere o enfraquecimento das instituições e políticas regionais, processo que se faz presente desde 2014, e exibir notas sobre seu quadro atual, identificado pelas permanências e inflexões que ocorreram no governo interino de Michel Temer (2016-2018) e no atual governo de Jair Bolsonaro frente à Presidência da República (2018 até o presente momento). </w:t>
      </w:r>
    </w:p>
    <w:p w14:paraId="00000010" w14:textId="0CA6336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As rupturas e retrocessos realizados durante esse período na arena de políticas regionais, em parte, fundamentaram o desmonte da </w:t>
      </w:r>
      <w:r w:rsidRPr="009520A5">
        <w:rPr>
          <w:rFonts w:ascii="Times New Roman" w:eastAsia="Times New Roman" w:hAnsi="Times New Roman" w:cs="Times New Roman"/>
          <w:i/>
          <w:sz w:val="24"/>
          <w:szCs w:val="24"/>
        </w:rPr>
        <w:t>expertise</w:t>
      </w:r>
      <w:r w:rsidRPr="009520A5">
        <w:rPr>
          <w:rFonts w:ascii="Times New Roman" w:eastAsia="Times New Roman" w:hAnsi="Times New Roman" w:cs="Times New Roman"/>
          <w:sz w:val="24"/>
          <w:szCs w:val="24"/>
        </w:rPr>
        <w:t xml:space="preserve"> do planejamento territorial, o qual abarca, dentre outras políticas, aquelas de caráter regional. Algumas das ações efetivadas podem ser citadas, como as mudanças nos instrumentos de planejamento regional, a exemplo dos fundos </w:t>
      </w:r>
      <w:r w:rsidRPr="009520A5">
        <w:rPr>
          <w:rFonts w:ascii="Times New Roman" w:eastAsia="Times New Roman" w:hAnsi="Times New Roman" w:cs="Times New Roman"/>
          <w:sz w:val="24"/>
          <w:szCs w:val="24"/>
        </w:rPr>
        <w:lastRenderedPageBreak/>
        <w:t xml:space="preserve">constitucionais e os fundos de desenvolvimento regional, conforme apresentado e discutido adiante. </w:t>
      </w:r>
    </w:p>
    <w:p w14:paraId="00000011" w14:textId="5E38C2AE" w:rsidR="006F379A" w:rsidRPr="009520A5" w:rsidRDefault="00150FD6" w:rsidP="009520A5">
      <w:pPr>
        <w:spacing w:after="0" w:line="360" w:lineRule="auto"/>
        <w:ind w:firstLine="709"/>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Ainda considerando a interface institucional do planejamento, foram extintos nos governos de Michel Temer e de Jair Bolsonaro os Ministérios de Desenvolvimento Agrário, o das Cidades e o do Desenvolvimento Social, o que colaborou para desalinhar os planos e programas que mobilizaram o planejamento territorial balizado pela inclusão social e pelas especificidades territoriais nas gestões anteriores. A própria fragilização do atual Ministério do Desenvolvimento Regional (MDR), que substituiu o Ministério da Integração Nacional (MI) e das Cidades (</w:t>
      </w:r>
      <w:proofErr w:type="spellStart"/>
      <w:r w:rsidRPr="009520A5">
        <w:rPr>
          <w:rFonts w:ascii="Times New Roman" w:eastAsia="Times New Roman" w:hAnsi="Times New Roman" w:cs="Times New Roman"/>
          <w:sz w:val="24"/>
          <w:szCs w:val="24"/>
        </w:rPr>
        <w:t>MCidades</w:t>
      </w:r>
      <w:proofErr w:type="spellEnd"/>
      <w:r w:rsidRPr="009520A5">
        <w:rPr>
          <w:rFonts w:ascii="Times New Roman" w:eastAsia="Times New Roman" w:hAnsi="Times New Roman" w:cs="Times New Roman"/>
          <w:sz w:val="24"/>
          <w:szCs w:val="24"/>
        </w:rPr>
        <w:t>) em 2019, tem sido marcada pela debandada de quadros técnicos importantes e pela falta de recursos financeiros para implementar programas e ações associados à PNDR, indícios relevantes para examinarmos a perda de visibilidade política da questão regional brasileira no contexto atual.</w:t>
      </w:r>
    </w:p>
    <w:p w14:paraId="00000012"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Este breve texto sinaliza para um diagnóstico nada promissor e retrógrado na forma de gestar o planejamento dos governos Temer e Bolsonaro, reverberados em impactos regionais que replicam e amplificam o quadro de assimetrias econômicas e sociais no Brasil. Portanto, o artigo busca contribuir ao debater importantes questões que podem vir a colaborar na formulação de um diagnóstico mais aprofundado sobre o tema, nos indicando importantes pistas para avaliarmos as perspectivas e horizontes das políticas regionais no Brasil nos próximos anos, caso as tendências atuais permaneçam.  </w:t>
      </w:r>
    </w:p>
    <w:p w14:paraId="00000013" w14:textId="77777777" w:rsidR="006F379A" w:rsidRPr="009520A5" w:rsidRDefault="006F379A" w:rsidP="009520A5">
      <w:pPr>
        <w:spacing w:after="0" w:line="360" w:lineRule="auto"/>
        <w:jc w:val="both"/>
        <w:rPr>
          <w:rFonts w:ascii="Times New Roman" w:eastAsia="Times New Roman" w:hAnsi="Times New Roman" w:cs="Times New Roman"/>
          <w:b/>
          <w:sz w:val="24"/>
          <w:szCs w:val="24"/>
        </w:rPr>
      </w:pPr>
    </w:p>
    <w:p w14:paraId="00000014" w14:textId="77777777" w:rsidR="006F379A" w:rsidRPr="009520A5" w:rsidRDefault="00150FD6" w:rsidP="009520A5">
      <w:pPr>
        <w:spacing w:after="0" w:line="360" w:lineRule="auto"/>
        <w:jc w:val="both"/>
        <w:rPr>
          <w:rFonts w:ascii="Times New Roman" w:eastAsia="Times New Roman" w:hAnsi="Times New Roman" w:cs="Times New Roman"/>
          <w:sz w:val="24"/>
          <w:szCs w:val="24"/>
        </w:rPr>
      </w:pPr>
      <w:r w:rsidRPr="009520A5">
        <w:rPr>
          <w:rFonts w:ascii="Times New Roman" w:eastAsia="Times New Roman" w:hAnsi="Times New Roman" w:cs="Times New Roman"/>
          <w:b/>
          <w:sz w:val="24"/>
          <w:szCs w:val="24"/>
        </w:rPr>
        <w:t>2 ASPECTOS METODOLÓGICOS</w:t>
      </w:r>
    </w:p>
    <w:p w14:paraId="00000015"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O artigo busca dar prioridade para o debate plural sobre a questão regional brasileira no atual panorama de desmonte das instituições e instrumentos de planejamento regional, combinando um quadro metodológico diverso composto por revisão bibliográfica, análise documental e levantamento e análise de dados orçamentários de algumas instituições. </w:t>
      </w:r>
    </w:p>
    <w:p w14:paraId="00000016"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Assim, nossas análises partem da leitura crítica, sobretudo, da legislação pertinente ao tema e de relatórios técnicos, mas também, de artigos, livros e políticas, planos e programas governamentais. Acrescenta-se à análise do acervo bibliográfico e documental a consulta a repositórios e bancos de dados institucionais, que deram subsídios ao balanço dos dados </w:t>
      </w:r>
      <w:r w:rsidRPr="009520A5">
        <w:rPr>
          <w:rFonts w:ascii="Times New Roman" w:eastAsia="Times New Roman" w:hAnsi="Times New Roman" w:cs="Times New Roman"/>
          <w:sz w:val="24"/>
          <w:szCs w:val="24"/>
        </w:rPr>
        <w:lastRenderedPageBreak/>
        <w:t xml:space="preserve">referentes aos investimentos dos Fundos Constitucionais de Financiamento para as regiões Centro-Oeste, Nordeste e Norte (FCO, FNE e FNO) analisado pelo valor total e por unidades federativas. Esses dados foram examinados considerando-se os gastos do MI e do </w:t>
      </w:r>
      <w:proofErr w:type="spellStart"/>
      <w:proofErr w:type="gramStart"/>
      <w:r w:rsidRPr="009520A5">
        <w:rPr>
          <w:rFonts w:ascii="Times New Roman" w:eastAsia="Times New Roman" w:hAnsi="Times New Roman" w:cs="Times New Roman"/>
          <w:sz w:val="24"/>
          <w:szCs w:val="24"/>
        </w:rPr>
        <w:t>MCidades</w:t>
      </w:r>
      <w:proofErr w:type="spellEnd"/>
      <w:r w:rsidRPr="009520A5">
        <w:rPr>
          <w:rFonts w:ascii="Times New Roman" w:eastAsia="Times New Roman" w:hAnsi="Times New Roman" w:cs="Times New Roman"/>
          <w:sz w:val="24"/>
          <w:szCs w:val="24"/>
        </w:rPr>
        <w:t xml:space="preserve">  e</w:t>
      </w:r>
      <w:proofErr w:type="gramEnd"/>
      <w:r w:rsidRPr="009520A5">
        <w:rPr>
          <w:rFonts w:ascii="Times New Roman" w:eastAsia="Times New Roman" w:hAnsi="Times New Roman" w:cs="Times New Roman"/>
          <w:sz w:val="24"/>
          <w:szCs w:val="24"/>
        </w:rPr>
        <w:t xml:space="preserve">, posteriormente, do MDR, sendo que eles foram obtidos por meio de consulta ao Painel de Orçamento Federal, referente aos anos 2015 até 2021.  </w:t>
      </w:r>
    </w:p>
    <w:p w14:paraId="00000017" w14:textId="77777777" w:rsidR="006F379A" w:rsidRPr="009520A5" w:rsidRDefault="00150FD6" w:rsidP="009520A5">
      <w:pPr>
        <w:spacing w:after="0" w:line="360" w:lineRule="auto"/>
        <w:jc w:val="both"/>
        <w:rPr>
          <w:rFonts w:ascii="Times New Roman" w:eastAsia="Times New Roman" w:hAnsi="Times New Roman" w:cs="Times New Roman"/>
          <w:b/>
          <w:sz w:val="24"/>
          <w:szCs w:val="24"/>
        </w:rPr>
      </w:pPr>
      <w:r w:rsidRPr="009520A5">
        <w:rPr>
          <w:rFonts w:ascii="Times New Roman" w:eastAsia="Times New Roman" w:hAnsi="Times New Roman" w:cs="Times New Roman"/>
          <w:b/>
          <w:sz w:val="24"/>
          <w:szCs w:val="24"/>
        </w:rPr>
        <w:t>3 REFERENCIAL TEÓRICO</w:t>
      </w:r>
    </w:p>
    <w:p w14:paraId="00000018" w14:textId="1D97F81B" w:rsidR="006F379A" w:rsidRPr="009520A5" w:rsidRDefault="00150FD6" w:rsidP="009520A5">
      <w:pPr>
        <w:spacing w:after="0" w:line="360" w:lineRule="auto"/>
        <w:ind w:firstLine="708"/>
        <w:jc w:val="both"/>
      </w:pPr>
      <w:r w:rsidRPr="009520A5">
        <w:rPr>
          <w:rFonts w:ascii="Times New Roman" w:eastAsia="Times New Roman" w:hAnsi="Times New Roman" w:cs="Times New Roman"/>
          <w:sz w:val="24"/>
          <w:szCs w:val="24"/>
        </w:rPr>
        <w:t xml:space="preserve">A pesquisa utilizará metodologias e teorias de diversos campos disciplinares, em especial o método da Análise de Política, as teorias do Estado e as teorizações sobre planejamento governamental e desenvolvimento regional, envolvendo sobretudo as contribuições advindas do Planejamento Urbano e Regional, da Economia, da Geografia, da Ciência Política e da Administração Pública. </w:t>
      </w:r>
    </w:p>
    <w:p w14:paraId="0000001C" w14:textId="77777777" w:rsidR="006F379A" w:rsidRPr="009520A5" w:rsidRDefault="00150FD6" w:rsidP="009520A5">
      <w:pPr>
        <w:spacing w:after="0" w:line="360" w:lineRule="auto"/>
        <w:jc w:val="both"/>
        <w:rPr>
          <w:rFonts w:ascii="Times New Roman" w:eastAsia="Times New Roman" w:hAnsi="Times New Roman" w:cs="Times New Roman"/>
          <w:sz w:val="24"/>
          <w:szCs w:val="24"/>
        </w:rPr>
      </w:pPr>
      <w:r w:rsidRPr="009520A5">
        <w:rPr>
          <w:rFonts w:ascii="Times New Roman" w:eastAsia="Times New Roman" w:hAnsi="Times New Roman" w:cs="Times New Roman"/>
          <w:b/>
          <w:sz w:val="24"/>
          <w:szCs w:val="24"/>
        </w:rPr>
        <w:t xml:space="preserve">4 RESULTADOS E DISCUSSÕES </w:t>
      </w:r>
    </w:p>
    <w:p w14:paraId="0000001E" w14:textId="27CCC0EC"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Apresentaremos a seguir uma breve síntese da PNDR instituída pelo Decreto nº 6.047/2007, e as principais alterações promovidas pelo Decreto nº 9.810/2019. Em seguida, o foco da análise recairá sobre as mudanças mais relevantes nos instrumentos de financiamento das políticas regionais a partir de 2014. Por fim, examinaremos a execução orçamentária dos ministérios responsáveis pelas políticas regionais entre 2014 e 2021.  </w:t>
      </w:r>
    </w:p>
    <w:p w14:paraId="0000001F" w14:textId="77777777" w:rsidR="006F379A" w:rsidRPr="009520A5" w:rsidRDefault="00150FD6" w:rsidP="009520A5">
      <w:pPr>
        <w:spacing w:after="0" w:line="360" w:lineRule="auto"/>
        <w:jc w:val="both"/>
        <w:rPr>
          <w:rFonts w:ascii="Times New Roman" w:eastAsia="Times New Roman" w:hAnsi="Times New Roman" w:cs="Times New Roman"/>
          <w:b/>
          <w:sz w:val="24"/>
          <w:szCs w:val="24"/>
        </w:rPr>
      </w:pPr>
      <w:r w:rsidRPr="009520A5">
        <w:rPr>
          <w:rFonts w:ascii="Times New Roman" w:eastAsia="Times New Roman" w:hAnsi="Times New Roman" w:cs="Times New Roman"/>
          <w:b/>
          <w:sz w:val="24"/>
          <w:szCs w:val="24"/>
        </w:rPr>
        <w:t>4.1 MUDANÇAS NA POLÍTICA REGIONAL E NA ESTRUTURA INSTITUCIONAL</w:t>
      </w:r>
    </w:p>
    <w:p w14:paraId="00000020" w14:textId="77777777" w:rsidR="006F379A" w:rsidRPr="009520A5" w:rsidRDefault="00150FD6" w:rsidP="009520A5">
      <w:pPr>
        <w:spacing w:after="0" w:line="360" w:lineRule="auto"/>
        <w:jc w:val="both"/>
        <w:rPr>
          <w:rFonts w:ascii="Times New Roman" w:eastAsia="Times New Roman" w:hAnsi="Times New Roman" w:cs="Times New Roman"/>
          <w:sz w:val="24"/>
          <w:szCs w:val="24"/>
        </w:rPr>
      </w:pPr>
      <w:r w:rsidRPr="009520A5">
        <w:rPr>
          <w:rFonts w:ascii="Times New Roman" w:eastAsia="Times New Roman" w:hAnsi="Times New Roman" w:cs="Times New Roman"/>
          <w:b/>
          <w:sz w:val="24"/>
          <w:szCs w:val="24"/>
        </w:rPr>
        <w:tab/>
      </w:r>
      <w:sdt>
        <w:sdtPr>
          <w:tag w:val="goog_rdk_2"/>
          <w:id w:val="-1050223882"/>
        </w:sdtPr>
        <w:sdtContent/>
      </w:sdt>
      <w:sdt>
        <w:sdtPr>
          <w:tag w:val="goog_rdk_3"/>
          <w:id w:val="-2081901948"/>
        </w:sdtPr>
        <w:sdtContent/>
      </w:sdt>
      <w:sdt>
        <w:sdtPr>
          <w:tag w:val="goog_rdk_4"/>
          <w:id w:val="-396280179"/>
        </w:sdtPr>
        <w:sdtContent/>
      </w:sdt>
      <w:r w:rsidRPr="009520A5">
        <w:rPr>
          <w:rFonts w:ascii="Times New Roman" w:eastAsia="Times New Roman" w:hAnsi="Times New Roman" w:cs="Times New Roman"/>
          <w:sz w:val="24"/>
          <w:szCs w:val="24"/>
        </w:rPr>
        <w:t xml:space="preserve">Conforme pontua Silva (2019, p.340), a Política Nacional de Desenvolvimento Regional (PNDR), em sua primeira versão (Decreto nº 6.047/2007), aponta em seu diagnóstico a existência de contrastes entre o litoral e o interior e entre as porções norte e sul do país, a persistência de disparidades socioeconômicas no âmbito macrorregional, a coexistência de sub-regiões dinâmicas e competitivas, com elevados rendimentos médios, com sub-regiões marcadas por precárias condições de vida e traços de estagnação. </w:t>
      </w:r>
    </w:p>
    <w:p w14:paraId="00000021"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Por conseguinte, as principais estratégias adotadas foram a recriação das Superintendências de Desenvolvimento Regional (SUDAM, SUDENE E SUDECO), a reorientação dos Fundos Constitucionais de Financiamento, a elaboração de planos nas escalas macro e mesorregionais, a criação de uma tipologia regional na escala microrregional e a seleção de regiões prioritárias para focar a atuação das instituições, pontua a autora. </w:t>
      </w:r>
    </w:p>
    <w:p w14:paraId="00000022"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lastRenderedPageBreak/>
        <w:t>Dentre as principais proposições da PNDR, destacavam-se a busca por aprimoramentos: na competitividade econômica das regiões, na qualificação de mão de obra no âmbito regional, na geração de conhecimentos e tecnologias correlacionadas às especificidades regionais, na geração de emprego e renda, na provisão de infraestruturas econômicas e sociais, nas relações das regiões com os mercados nacional e internacional, na sustentabilidade ambiental, na configuração da rede urbana e na distribuição de renda, ressalta Silva (Idem).</w:t>
      </w:r>
    </w:p>
    <w:p w14:paraId="00000024" w14:textId="1F6FE7B1"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No âmbito dos recortes regionais, se sobressaiu a criação da Tipologia da PNDR, formulada para nortear as ações de cunho regional do governo federal, sobretudo no âmbito do PPA 2008-2011. Esta tipologia fundamentou-se na classificação das microrregiões utilizadas pelo Instituto Brasileiro de Geografia e Estatística (IBGE), a partir do cruzamento dos dados referentes ao rendimento domiciliar </w:t>
      </w:r>
      <w:r w:rsidRPr="009520A5">
        <w:rPr>
          <w:rFonts w:ascii="Times New Roman" w:eastAsia="Times New Roman" w:hAnsi="Times New Roman" w:cs="Times New Roman"/>
          <w:i/>
          <w:sz w:val="24"/>
          <w:szCs w:val="24"/>
        </w:rPr>
        <w:t>per capita</w:t>
      </w:r>
      <w:r w:rsidRPr="009520A5">
        <w:rPr>
          <w:rFonts w:ascii="Times New Roman" w:eastAsia="Times New Roman" w:hAnsi="Times New Roman" w:cs="Times New Roman"/>
          <w:sz w:val="24"/>
          <w:szCs w:val="24"/>
        </w:rPr>
        <w:t xml:space="preserve"> extraídos dos censos demográficos do IBGE (1991 e 2000) e das estimativas de PIB municipais realizadas pelo Ipea, culminando na classificação exibida no Mapa 1 (BRASIL/MI/IICA, [2006 ou 2007], p.14-15).</w:t>
      </w:r>
      <w:bookmarkStart w:id="0" w:name="_heading=h.gjdgxs" w:colFirst="0" w:colLast="0"/>
      <w:bookmarkEnd w:id="0"/>
    </w:p>
    <w:p w14:paraId="00000025" w14:textId="77777777" w:rsidR="006F379A" w:rsidRPr="009520A5" w:rsidRDefault="00150FD6" w:rsidP="009520A5">
      <w:pPr>
        <w:pBdr>
          <w:top w:val="nil"/>
          <w:left w:val="nil"/>
          <w:bottom w:val="nil"/>
          <w:right w:val="nil"/>
          <w:between w:val="nil"/>
        </w:pBdr>
        <w:spacing w:after="0" w:line="360" w:lineRule="auto"/>
        <w:jc w:val="center"/>
        <w:rPr>
          <w:rFonts w:ascii="Times New Roman" w:eastAsia="Times New Roman" w:hAnsi="Times New Roman" w:cs="Times New Roman"/>
        </w:rPr>
      </w:pPr>
      <w:r w:rsidRPr="009520A5">
        <w:rPr>
          <w:rFonts w:ascii="Times New Roman" w:eastAsia="Times New Roman" w:hAnsi="Times New Roman" w:cs="Times New Roman"/>
          <w:b/>
        </w:rPr>
        <w:t>Mapa 1</w:t>
      </w:r>
      <w:r w:rsidRPr="009520A5">
        <w:rPr>
          <w:rFonts w:ascii="Times New Roman" w:eastAsia="Times New Roman" w:hAnsi="Times New Roman" w:cs="Times New Roman"/>
        </w:rPr>
        <w:t xml:space="preserve"> - Tipologia da PNDR (2007)</w:t>
      </w:r>
    </w:p>
    <w:p w14:paraId="00000026" w14:textId="77777777" w:rsidR="006F379A" w:rsidRPr="009520A5" w:rsidRDefault="00150FD6" w:rsidP="009520A5">
      <w:pPr>
        <w:spacing w:after="0" w:line="360" w:lineRule="auto"/>
        <w:jc w:val="center"/>
      </w:pPr>
      <w:r w:rsidRPr="009520A5">
        <w:rPr>
          <w:noProof/>
        </w:rPr>
        <w:drawing>
          <wp:inline distT="0" distB="0" distL="0" distR="0" wp14:anchorId="7E55B793" wp14:editId="4D49B349">
            <wp:extent cx="3338110" cy="2820318"/>
            <wp:effectExtent l="0" t="0" r="2540" b="0"/>
            <wp:docPr id="18926" name="image1.jpg" descr="tipologia PNDR"/>
            <wp:cNvGraphicFramePr/>
            <a:graphic xmlns:a="http://schemas.openxmlformats.org/drawingml/2006/main">
              <a:graphicData uri="http://schemas.openxmlformats.org/drawingml/2006/picture">
                <pic:pic xmlns:pic="http://schemas.openxmlformats.org/drawingml/2006/picture">
                  <pic:nvPicPr>
                    <pic:cNvPr id="0" name="image1.jpg" descr="tipologia PNDR"/>
                    <pic:cNvPicPr preferRelativeResize="0"/>
                  </pic:nvPicPr>
                  <pic:blipFill>
                    <a:blip r:embed="rId9"/>
                    <a:srcRect r="12326"/>
                    <a:stretch>
                      <a:fillRect/>
                    </a:stretch>
                  </pic:blipFill>
                  <pic:spPr>
                    <a:xfrm>
                      <a:off x="0" y="0"/>
                      <a:ext cx="3343229" cy="2824643"/>
                    </a:xfrm>
                    <a:prstGeom prst="rect">
                      <a:avLst/>
                    </a:prstGeom>
                    <a:ln/>
                  </pic:spPr>
                </pic:pic>
              </a:graphicData>
            </a:graphic>
          </wp:inline>
        </w:drawing>
      </w:r>
    </w:p>
    <w:p w14:paraId="00000027" w14:textId="77777777" w:rsidR="006F379A" w:rsidRPr="009520A5" w:rsidRDefault="00150FD6" w:rsidP="009520A5">
      <w:pPr>
        <w:spacing w:after="0" w:line="360" w:lineRule="auto"/>
        <w:jc w:val="both"/>
        <w:rPr>
          <w:rFonts w:ascii="Times New Roman" w:eastAsia="Times New Roman" w:hAnsi="Times New Roman" w:cs="Times New Roman"/>
          <w:sz w:val="20"/>
          <w:szCs w:val="20"/>
        </w:rPr>
      </w:pPr>
      <w:r w:rsidRPr="009520A5">
        <w:rPr>
          <w:rFonts w:ascii="Times New Roman" w:eastAsia="Times New Roman" w:hAnsi="Times New Roman" w:cs="Times New Roman"/>
          <w:sz w:val="20"/>
          <w:szCs w:val="20"/>
        </w:rPr>
        <w:t>Fonte: Adaptado de BRASIL/MI/IICA [2006 ou 2007].</w:t>
      </w:r>
    </w:p>
    <w:p w14:paraId="00000028"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As microrregiões prioritárias seriam aquelas classificadas como baixa renda, dinâmicas e estagnadas. As microrregiões de alta renda não seriam prioritárias para a PNDR, pois elas </w:t>
      </w:r>
      <w:r w:rsidRPr="009520A5">
        <w:rPr>
          <w:rFonts w:ascii="Times New Roman" w:eastAsia="Times New Roman" w:hAnsi="Times New Roman" w:cs="Times New Roman"/>
          <w:sz w:val="24"/>
          <w:szCs w:val="24"/>
        </w:rPr>
        <w:lastRenderedPageBreak/>
        <w:t>disporiam de recursos suficientes para reverter concentrações de pobreza, advoga o documento (BRASIL/MI/IICA, [2006 ou 2007], p.14-15).</w:t>
      </w:r>
    </w:p>
    <w:p w14:paraId="00000029"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A PNDR elencou outros recortes regionais prioritários (Mapa 2): (i) na escala macrorregional: as áreas de atuação da SUDAM, SUDENE E SUDECO; (</w:t>
      </w:r>
      <w:proofErr w:type="spellStart"/>
      <w:r w:rsidRPr="009520A5">
        <w:rPr>
          <w:rFonts w:ascii="Times New Roman" w:eastAsia="Times New Roman" w:hAnsi="Times New Roman" w:cs="Times New Roman"/>
          <w:sz w:val="24"/>
          <w:szCs w:val="24"/>
        </w:rPr>
        <w:t>ii</w:t>
      </w:r>
      <w:proofErr w:type="spellEnd"/>
      <w:r w:rsidRPr="009520A5">
        <w:rPr>
          <w:rFonts w:ascii="Times New Roman" w:eastAsia="Times New Roman" w:hAnsi="Times New Roman" w:cs="Times New Roman"/>
          <w:sz w:val="24"/>
          <w:szCs w:val="24"/>
        </w:rPr>
        <w:t>) na escala intermediária: a Faixa de Fronteira, o Semiárido e as Regiões Integradas de Desenvolvimento (Rides); (</w:t>
      </w:r>
      <w:proofErr w:type="spellStart"/>
      <w:r w:rsidRPr="009520A5">
        <w:rPr>
          <w:rFonts w:ascii="Times New Roman" w:eastAsia="Times New Roman" w:hAnsi="Times New Roman" w:cs="Times New Roman"/>
          <w:sz w:val="24"/>
          <w:szCs w:val="24"/>
        </w:rPr>
        <w:t>iii</w:t>
      </w:r>
      <w:proofErr w:type="spellEnd"/>
      <w:r w:rsidRPr="009520A5">
        <w:rPr>
          <w:rFonts w:ascii="Times New Roman" w:eastAsia="Times New Roman" w:hAnsi="Times New Roman" w:cs="Times New Roman"/>
          <w:sz w:val="24"/>
          <w:szCs w:val="24"/>
        </w:rPr>
        <w:t xml:space="preserve">) na escala sub-regional: as mesorregiões diferenciadas, bem como a possibilidade de incluir Regiões-Programa Especiais, associadas a grandes projetos de investimentos. </w:t>
      </w:r>
    </w:p>
    <w:p w14:paraId="0000002B" w14:textId="2318218F"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Além disso, a PNDR buscaria interlocução com os Territórios Rurais e os Territórios da Cidadania, ambos vinculados ao Ministério do Desenvolvimento Agrário (MDA). </w:t>
      </w:r>
      <w:bookmarkStart w:id="1" w:name="_heading=h.30j0zll" w:colFirst="0" w:colLast="0"/>
      <w:bookmarkEnd w:id="1"/>
    </w:p>
    <w:p w14:paraId="0000002C" w14:textId="77777777" w:rsidR="006F379A" w:rsidRPr="009520A5" w:rsidRDefault="00150FD6" w:rsidP="009520A5">
      <w:pPr>
        <w:pBdr>
          <w:top w:val="nil"/>
          <w:left w:val="nil"/>
          <w:bottom w:val="nil"/>
          <w:right w:val="nil"/>
          <w:between w:val="nil"/>
        </w:pBdr>
        <w:spacing w:after="0" w:line="360" w:lineRule="auto"/>
        <w:jc w:val="center"/>
        <w:rPr>
          <w:rFonts w:ascii="Times New Roman" w:eastAsia="Times New Roman" w:hAnsi="Times New Roman" w:cs="Times New Roman"/>
        </w:rPr>
      </w:pPr>
      <w:r w:rsidRPr="009520A5">
        <w:rPr>
          <w:rFonts w:ascii="Times New Roman" w:eastAsia="Times New Roman" w:hAnsi="Times New Roman" w:cs="Times New Roman"/>
          <w:b/>
        </w:rPr>
        <w:t>Mapa 2</w:t>
      </w:r>
      <w:r w:rsidRPr="009520A5">
        <w:rPr>
          <w:rFonts w:ascii="Times New Roman" w:eastAsia="Times New Roman" w:hAnsi="Times New Roman" w:cs="Times New Roman"/>
        </w:rPr>
        <w:t xml:space="preserve"> - Espaços Prioritários da PNDR (2008-2011)</w:t>
      </w:r>
    </w:p>
    <w:p w14:paraId="0000002D" w14:textId="77777777" w:rsidR="006F379A" w:rsidRPr="009520A5" w:rsidRDefault="00150FD6" w:rsidP="009520A5">
      <w:pPr>
        <w:spacing w:after="0" w:line="360" w:lineRule="auto"/>
        <w:jc w:val="center"/>
      </w:pPr>
      <w:r w:rsidRPr="009520A5">
        <w:rPr>
          <w:noProof/>
        </w:rPr>
        <w:drawing>
          <wp:inline distT="0" distB="0" distL="0" distR="0" wp14:anchorId="2B6F1025" wp14:editId="7367ECA3">
            <wp:extent cx="4477407" cy="2979683"/>
            <wp:effectExtent l="0" t="0" r="5715" b="5080"/>
            <wp:docPr id="18928" name="image9.png" descr="Nova Imagem"/>
            <wp:cNvGraphicFramePr/>
            <a:graphic xmlns:a="http://schemas.openxmlformats.org/drawingml/2006/main">
              <a:graphicData uri="http://schemas.openxmlformats.org/drawingml/2006/picture">
                <pic:pic xmlns:pic="http://schemas.openxmlformats.org/drawingml/2006/picture">
                  <pic:nvPicPr>
                    <pic:cNvPr id="0" name="image9.png" descr="Nova Imagem"/>
                    <pic:cNvPicPr preferRelativeResize="0"/>
                  </pic:nvPicPr>
                  <pic:blipFill>
                    <a:blip r:embed="rId10"/>
                    <a:srcRect t="2266"/>
                    <a:stretch>
                      <a:fillRect/>
                    </a:stretch>
                  </pic:blipFill>
                  <pic:spPr>
                    <a:xfrm>
                      <a:off x="0" y="0"/>
                      <a:ext cx="4504253" cy="2997549"/>
                    </a:xfrm>
                    <a:prstGeom prst="rect">
                      <a:avLst/>
                    </a:prstGeom>
                    <a:ln/>
                  </pic:spPr>
                </pic:pic>
              </a:graphicData>
            </a:graphic>
          </wp:inline>
        </w:drawing>
      </w:r>
    </w:p>
    <w:p w14:paraId="0000002E" w14:textId="77777777" w:rsidR="006F379A" w:rsidRPr="009520A5" w:rsidRDefault="00150FD6" w:rsidP="009520A5">
      <w:pPr>
        <w:spacing w:after="0" w:line="360" w:lineRule="auto"/>
        <w:jc w:val="both"/>
        <w:rPr>
          <w:rFonts w:ascii="Times New Roman" w:eastAsia="Times New Roman" w:hAnsi="Times New Roman" w:cs="Times New Roman"/>
          <w:sz w:val="20"/>
          <w:szCs w:val="20"/>
        </w:rPr>
      </w:pPr>
      <w:r w:rsidRPr="009520A5">
        <w:rPr>
          <w:rFonts w:ascii="Times New Roman" w:eastAsia="Times New Roman" w:hAnsi="Times New Roman" w:cs="Times New Roman"/>
          <w:sz w:val="20"/>
          <w:szCs w:val="20"/>
        </w:rPr>
        <w:t>Fonte: BRASIL/MI (2012).</w:t>
      </w:r>
    </w:p>
    <w:p w14:paraId="0000002F" w14:textId="6E62946F"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Portugal e Silva (2020, p.105) apresentam um balanço crítico da implementação e execução da PNDR no período de 2007 a 2018, destacando </w:t>
      </w:r>
      <w:r w:rsidR="009520A5">
        <w:rPr>
          <w:rFonts w:ascii="Times New Roman" w:eastAsia="Times New Roman" w:hAnsi="Times New Roman" w:cs="Times New Roman"/>
          <w:sz w:val="24"/>
          <w:szCs w:val="24"/>
        </w:rPr>
        <w:t>os limites para a implementação</w:t>
      </w:r>
      <w:r w:rsidRPr="009520A5">
        <w:rPr>
          <w:rFonts w:ascii="Times New Roman" w:eastAsia="Times New Roman" w:hAnsi="Times New Roman" w:cs="Times New Roman"/>
          <w:sz w:val="24"/>
          <w:szCs w:val="24"/>
        </w:rPr>
        <w:t xml:space="preserve"> dos objetivos da política: problemas referentes ao marco normativo, já que a política</w:t>
      </w:r>
      <w:r w:rsidR="002E002D" w:rsidRPr="009520A5">
        <w:rPr>
          <w:rFonts w:ascii="Times New Roman" w:eastAsia="Times New Roman" w:hAnsi="Times New Roman" w:cs="Times New Roman"/>
          <w:sz w:val="24"/>
          <w:szCs w:val="24"/>
        </w:rPr>
        <w:t xml:space="preserve"> foi</w:t>
      </w:r>
      <w:r w:rsidRPr="009520A5">
        <w:rPr>
          <w:rFonts w:ascii="Times New Roman" w:eastAsia="Times New Roman" w:hAnsi="Times New Roman" w:cs="Times New Roman"/>
          <w:sz w:val="24"/>
          <w:szCs w:val="24"/>
        </w:rPr>
        <w:t xml:space="preserve"> instituída por meio de decreto; reduzido escopo de atuação, dada a incipiente governança constituída em um ambiente de competição, baixa coordenação e falta de cooperação </w:t>
      </w:r>
      <w:proofErr w:type="spellStart"/>
      <w:r w:rsidRPr="009520A5">
        <w:rPr>
          <w:rFonts w:ascii="Times New Roman" w:eastAsia="Times New Roman" w:hAnsi="Times New Roman" w:cs="Times New Roman"/>
          <w:sz w:val="24"/>
          <w:szCs w:val="24"/>
        </w:rPr>
        <w:t>intra</w:t>
      </w:r>
      <w:proofErr w:type="spellEnd"/>
      <w:r w:rsidRPr="009520A5">
        <w:rPr>
          <w:rFonts w:ascii="Times New Roman" w:eastAsia="Times New Roman" w:hAnsi="Times New Roman" w:cs="Times New Roman"/>
          <w:sz w:val="24"/>
          <w:szCs w:val="24"/>
        </w:rPr>
        <w:t xml:space="preserve"> e intergovernamental; e, baixa prioridade da questão regional na agenda governamental, fato evidenciado, por exemplo, pelos planos regionais de desenvolvimento não terem sido </w:t>
      </w:r>
      <w:r w:rsidRPr="009520A5">
        <w:rPr>
          <w:rFonts w:ascii="Times New Roman" w:eastAsia="Times New Roman" w:hAnsi="Times New Roman" w:cs="Times New Roman"/>
          <w:sz w:val="24"/>
          <w:szCs w:val="24"/>
        </w:rPr>
        <w:lastRenderedPageBreak/>
        <w:t>legalmente instituídos, uma vez que os documentos elaborados não percorreram os caminhos determinados pelas leis complementares, deixando de ser tramitados no Congresso Nacional.</w:t>
      </w:r>
    </w:p>
    <w:p w14:paraId="00000030"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Note-se que, desde 2012, após a chamada “primeira fase da PNDR” – 2008 a 2011 –, havia a demanda pela revisão da política e seus instrumentos. A expectativa é que um projeto de lei fosse enviado ao Congresso Nacional e uma nova versão da PNDR fosse instituída, adquirindo o </w:t>
      </w:r>
      <w:r w:rsidRPr="009520A5">
        <w:rPr>
          <w:rFonts w:ascii="Times New Roman" w:eastAsia="Times New Roman" w:hAnsi="Times New Roman" w:cs="Times New Roman"/>
          <w:i/>
          <w:sz w:val="24"/>
          <w:szCs w:val="24"/>
        </w:rPr>
        <w:t>status</w:t>
      </w:r>
      <w:r w:rsidRPr="009520A5">
        <w:rPr>
          <w:rFonts w:ascii="Times New Roman" w:eastAsia="Times New Roman" w:hAnsi="Times New Roman" w:cs="Times New Roman"/>
          <w:sz w:val="24"/>
          <w:szCs w:val="24"/>
        </w:rPr>
        <w:t xml:space="preserve"> de política de Estado ao ter maior peso no âmbito normativo e um caráter estratégico de médio e longo prazos. Assim, a PNDR se tornaria uma política estruturante com fortes implicações na (</w:t>
      </w:r>
      <w:proofErr w:type="spellStart"/>
      <w:r w:rsidRPr="009520A5">
        <w:rPr>
          <w:rFonts w:ascii="Times New Roman" w:eastAsia="Times New Roman" w:hAnsi="Times New Roman" w:cs="Times New Roman"/>
          <w:sz w:val="24"/>
          <w:szCs w:val="24"/>
        </w:rPr>
        <w:t>re</w:t>
      </w:r>
      <w:proofErr w:type="spellEnd"/>
      <w:r w:rsidRPr="009520A5">
        <w:rPr>
          <w:rFonts w:ascii="Times New Roman" w:eastAsia="Times New Roman" w:hAnsi="Times New Roman" w:cs="Times New Roman"/>
          <w:sz w:val="24"/>
          <w:szCs w:val="24"/>
        </w:rPr>
        <w:t>)distribuição de riquezas e no (</w:t>
      </w:r>
      <w:proofErr w:type="spellStart"/>
      <w:r w:rsidRPr="009520A5">
        <w:rPr>
          <w:rFonts w:ascii="Times New Roman" w:eastAsia="Times New Roman" w:hAnsi="Times New Roman" w:cs="Times New Roman"/>
          <w:sz w:val="24"/>
          <w:szCs w:val="24"/>
        </w:rPr>
        <w:t>re</w:t>
      </w:r>
      <w:proofErr w:type="spellEnd"/>
      <w:r w:rsidRPr="009520A5">
        <w:rPr>
          <w:rFonts w:ascii="Times New Roman" w:eastAsia="Times New Roman" w:hAnsi="Times New Roman" w:cs="Times New Roman"/>
          <w:sz w:val="24"/>
          <w:szCs w:val="24"/>
        </w:rPr>
        <w:t xml:space="preserve">)ordenamento territorial. </w:t>
      </w:r>
    </w:p>
    <w:p w14:paraId="00000031"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No entanto, além da baixa visibilidade, a conjuntura política e econômica nos anos seguintes foi desfavorável à revisão e consolidação da PNDR. A crise econômica mundial de 2008 passou a ter maiores rebatimentos no Brasil por volta de 2011, fragilizando a economia do país. Suas implicações foram somadas à instabilidade interna decorrente do processo de </w:t>
      </w:r>
      <w:r w:rsidRPr="009520A5">
        <w:rPr>
          <w:rFonts w:ascii="Times New Roman" w:eastAsia="Times New Roman" w:hAnsi="Times New Roman" w:cs="Times New Roman"/>
          <w:i/>
          <w:sz w:val="24"/>
          <w:szCs w:val="24"/>
        </w:rPr>
        <w:t>impeachment</w:t>
      </w:r>
      <w:r w:rsidRPr="009520A5">
        <w:rPr>
          <w:rFonts w:ascii="Times New Roman" w:eastAsia="Times New Roman" w:hAnsi="Times New Roman" w:cs="Times New Roman"/>
          <w:sz w:val="24"/>
          <w:szCs w:val="24"/>
        </w:rPr>
        <w:t xml:space="preserve"> da presidenta Dilma Rousseff em 2016, culminando em sua destituição e consequente ascensão do vice, Michel Temer, à Presidência da República. Note-se que logo em seguida diversas políticas públicas foram descontinuadas e instituições extintas ou realocadas na estrutura governamental, processo que se intensificou no governo de Jair Bolsonaro, eleito em 2018 em torno de um quadro de elevada polarização político-ideológica no país. </w:t>
      </w:r>
    </w:p>
    <w:p w14:paraId="00000032"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Neste panorama, o Ministério da Integração Nacional (MI) e as Superintendências de Desenvolvimento Regional vinculadas (SUDAM, SUDENE e SUDECO) foram perdendo visibilidade política e recursos financeiros e humanos. Isso porque as políticas redistributivas e estruturantes tem sido cada vez mais relegadas e o próprio planejamento governamental, função primordial do Estado, vem sofrendo um rápido e intenso processo de desmonte desde 2016. Por conseguinte, as políticas regionais foram sendo abandonadas, reduzidas ou esvaziadas, sobretudo no atual governo de Jair Bolsonaro. As alterações nos instrumentos de planejamento, como os fundos e mecanismos que regulam os incentivos fiscais, também vêm sofrendo modificações relevantes, conforme veremos na próxima seção. </w:t>
      </w:r>
    </w:p>
    <w:p w14:paraId="00000033"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Neste contexto, cabe ressaltar a revisão da tipologia microrregional da PNDR, definida pela Portaria MI nº 34/2018, que seguiu a proposta exibida na Nota Técnica nº 52/2017 (BRASIL/MI, 2017). Segundo este documento, a atualização da tipologia da PNDR (Mapa 3) </w:t>
      </w:r>
      <w:r w:rsidRPr="009520A5">
        <w:rPr>
          <w:rFonts w:ascii="Times New Roman" w:eastAsia="Times New Roman" w:hAnsi="Times New Roman" w:cs="Times New Roman"/>
          <w:sz w:val="24"/>
          <w:szCs w:val="24"/>
        </w:rPr>
        <w:lastRenderedPageBreak/>
        <w:t xml:space="preserve">com dados mais recentes disponibilizados pelo IBGE permitiria à mesma servir de parâmetro para os diversos instrumentos de planejamento voltados à redução das desigualdades, a exemplo dos fundos constitucionais e os fundos de desenvolvimento regional. </w:t>
      </w:r>
    </w:p>
    <w:p w14:paraId="00000034"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A nova tipologia foi construída a partir do cruzamento de duas variáveis no escopo das microrregiões geográficas do IBGE: (i) rendimento domiciliar monetário mensal </w:t>
      </w:r>
      <w:r w:rsidRPr="009520A5">
        <w:rPr>
          <w:rFonts w:ascii="Times New Roman" w:eastAsia="Times New Roman" w:hAnsi="Times New Roman" w:cs="Times New Roman"/>
          <w:i/>
          <w:sz w:val="24"/>
          <w:szCs w:val="24"/>
        </w:rPr>
        <w:t>per capita</w:t>
      </w:r>
      <w:r w:rsidRPr="009520A5">
        <w:rPr>
          <w:rFonts w:ascii="Times New Roman" w:eastAsia="Times New Roman" w:hAnsi="Times New Roman" w:cs="Times New Roman"/>
          <w:sz w:val="24"/>
          <w:szCs w:val="24"/>
        </w:rPr>
        <w:t>, obtido do Atlas do Desenvolvimento Humano no Brasil 2010; (</w:t>
      </w:r>
      <w:proofErr w:type="spellStart"/>
      <w:r w:rsidRPr="009520A5">
        <w:rPr>
          <w:rFonts w:ascii="Times New Roman" w:eastAsia="Times New Roman" w:hAnsi="Times New Roman" w:cs="Times New Roman"/>
          <w:sz w:val="24"/>
          <w:szCs w:val="24"/>
        </w:rPr>
        <w:t>ii</w:t>
      </w:r>
      <w:proofErr w:type="spellEnd"/>
      <w:r w:rsidRPr="009520A5">
        <w:rPr>
          <w:rFonts w:ascii="Times New Roman" w:eastAsia="Times New Roman" w:hAnsi="Times New Roman" w:cs="Times New Roman"/>
          <w:sz w:val="24"/>
          <w:szCs w:val="24"/>
        </w:rPr>
        <w:t xml:space="preserve">) taxa de variação geométrica do PIB </w:t>
      </w:r>
      <w:r w:rsidRPr="009520A5">
        <w:rPr>
          <w:rFonts w:ascii="Times New Roman" w:eastAsia="Times New Roman" w:hAnsi="Times New Roman" w:cs="Times New Roman"/>
          <w:i/>
          <w:sz w:val="24"/>
          <w:szCs w:val="24"/>
        </w:rPr>
        <w:t>per capita</w:t>
      </w:r>
      <w:r w:rsidRPr="009520A5">
        <w:rPr>
          <w:rFonts w:ascii="Times New Roman" w:eastAsia="Times New Roman" w:hAnsi="Times New Roman" w:cs="Times New Roman"/>
          <w:sz w:val="24"/>
          <w:szCs w:val="24"/>
        </w:rPr>
        <w:t>, obtida segundo médias trienais dos períodos 2002-2004 e 2012-2014, conforme dados do IBGE e do Diário Oficial da União – DOU (BRASIL/MI, 2017).</w:t>
      </w:r>
    </w:p>
    <w:p w14:paraId="00000035"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Conforme o Art. 2º da Portaria MI nº 34/2018, as ações e iniciativas da PNDR seriam direcionadas, prioritariamente, às microrregiões classificadas como de baixa e média renda, ambos com baixo, médio e alto dinamismo. Embora as microrregiões de alta renda também não tenham sido abarcadas na versão anterior da tipologia, elas abrangiam uma menor extensão territorial do país, conforme podemos notar na comparação entre o </w:t>
      </w:r>
      <w:r w:rsidRPr="009520A5">
        <w:rPr>
          <w:rFonts w:ascii="Times New Roman" w:eastAsia="Times New Roman" w:hAnsi="Times New Roman" w:cs="Times New Roman"/>
          <w:i/>
          <w:sz w:val="24"/>
          <w:szCs w:val="24"/>
        </w:rPr>
        <w:t xml:space="preserve">Mapa 1 - Tipologia da PNDR (2007) </w:t>
      </w:r>
      <w:r w:rsidRPr="009520A5">
        <w:rPr>
          <w:rFonts w:ascii="Times New Roman" w:eastAsia="Times New Roman" w:hAnsi="Times New Roman" w:cs="Times New Roman"/>
          <w:sz w:val="24"/>
          <w:szCs w:val="24"/>
        </w:rPr>
        <w:t>e o</w:t>
      </w:r>
      <w:r w:rsidRPr="009520A5">
        <w:rPr>
          <w:rFonts w:ascii="Times New Roman" w:eastAsia="Times New Roman" w:hAnsi="Times New Roman" w:cs="Times New Roman"/>
          <w:i/>
          <w:sz w:val="24"/>
          <w:szCs w:val="24"/>
        </w:rPr>
        <w:t xml:space="preserve"> Mapa 3 – Tipologia da PNDR (2017)</w:t>
      </w:r>
      <w:r w:rsidRPr="009520A5">
        <w:rPr>
          <w:rFonts w:ascii="Times New Roman" w:eastAsia="Times New Roman" w:hAnsi="Times New Roman" w:cs="Times New Roman"/>
          <w:sz w:val="24"/>
          <w:szCs w:val="24"/>
        </w:rPr>
        <w:t xml:space="preserve">. Portanto, podemos inferir que as ações da PNDR a partir de 2018 tendem a se tornar mais focalizadas e concentradas espacialmente em decorrência da revisão da tipologia microrregional, já que uma proporção maior do território brasileiro não teria políticas regionais específicas para lidar com suas demandas. </w:t>
      </w:r>
    </w:p>
    <w:p w14:paraId="00000036" w14:textId="77777777" w:rsidR="006F379A" w:rsidRPr="009520A5" w:rsidRDefault="00150FD6" w:rsidP="009520A5">
      <w:pPr>
        <w:pBdr>
          <w:top w:val="nil"/>
          <w:left w:val="nil"/>
          <w:bottom w:val="nil"/>
          <w:right w:val="nil"/>
          <w:between w:val="nil"/>
        </w:pBdr>
        <w:spacing w:after="0" w:line="360" w:lineRule="auto"/>
        <w:jc w:val="both"/>
        <w:rPr>
          <w:rFonts w:ascii="Times New Roman" w:eastAsia="Times New Roman" w:hAnsi="Times New Roman" w:cs="Times New Roman"/>
          <w:b/>
          <w:sz w:val="24"/>
          <w:szCs w:val="24"/>
        </w:rPr>
      </w:pPr>
      <w:r w:rsidRPr="009520A5">
        <w:rPr>
          <w:rFonts w:ascii="Times New Roman" w:eastAsia="Times New Roman" w:hAnsi="Times New Roman" w:cs="Times New Roman"/>
          <w:sz w:val="24"/>
          <w:szCs w:val="24"/>
        </w:rPr>
        <w:tab/>
      </w:r>
      <w:sdt>
        <w:sdtPr>
          <w:tag w:val="goog_rdk_5"/>
          <w:id w:val="808523482"/>
        </w:sdtPr>
        <w:sdtContent/>
      </w:sdt>
      <w:sdt>
        <w:sdtPr>
          <w:tag w:val="goog_rdk_6"/>
          <w:id w:val="113872221"/>
        </w:sdtPr>
        <w:sdtContent/>
      </w:sdt>
      <w:sdt>
        <w:sdtPr>
          <w:tag w:val="goog_rdk_7"/>
          <w:id w:val="2028439709"/>
        </w:sdtPr>
        <w:sdtContent/>
      </w:sdt>
      <w:r w:rsidRPr="009520A5">
        <w:rPr>
          <w:rFonts w:ascii="Times New Roman" w:eastAsia="Times New Roman" w:hAnsi="Times New Roman" w:cs="Times New Roman"/>
          <w:sz w:val="24"/>
          <w:szCs w:val="24"/>
        </w:rPr>
        <w:t xml:space="preserve">Para analisar os impactos de tal mudança, seria necessário acompanhar o processo de implementação e execução da política nos anos subsequentes. No entanto, isso foi dificultado devido aos déficits de transparência na gestão atual do Governo Federal e pela descontinuidade ou alterações metodológicas nos levantamentos estatísticos realizados por órgãos oficiais.  </w:t>
      </w:r>
    </w:p>
    <w:p w14:paraId="00000037" w14:textId="77777777" w:rsidR="006F379A" w:rsidRPr="009520A5" w:rsidRDefault="00150FD6" w:rsidP="009520A5">
      <w:pPr>
        <w:pBdr>
          <w:top w:val="nil"/>
          <w:left w:val="nil"/>
          <w:bottom w:val="nil"/>
          <w:right w:val="nil"/>
          <w:between w:val="nil"/>
        </w:pBdr>
        <w:spacing w:after="0" w:line="360" w:lineRule="auto"/>
        <w:jc w:val="center"/>
        <w:rPr>
          <w:rFonts w:ascii="Times New Roman" w:eastAsia="Times New Roman" w:hAnsi="Times New Roman" w:cs="Times New Roman"/>
        </w:rPr>
      </w:pPr>
      <w:r w:rsidRPr="009520A5">
        <w:rPr>
          <w:rFonts w:ascii="Times New Roman" w:eastAsia="Times New Roman" w:hAnsi="Times New Roman" w:cs="Times New Roman"/>
          <w:b/>
        </w:rPr>
        <w:t>Mapa 3</w:t>
      </w:r>
      <w:r w:rsidRPr="009520A5">
        <w:rPr>
          <w:rFonts w:ascii="Times New Roman" w:eastAsia="Times New Roman" w:hAnsi="Times New Roman" w:cs="Times New Roman"/>
        </w:rPr>
        <w:t xml:space="preserve"> – Tipologia da PNDR (2017)</w:t>
      </w:r>
    </w:p>
    <w:p w14:paraId="00000038" w14:textId="77777777" w:rsidR="006F379A" w:rsidRPr="009520A5" w:rsidRDefault="00150FD6" w:rsidP="009520A5">
      <w:pPr>
        <w:spacing w:after="0" w:line="360" w:lineRule="auto"/>
        <w:jc w:val="both"/>
        <w:rPr>
          <w:rFonts w:ascii="Times New Roman" w:eastAsia="Times New Roman" w:hAnsi="Times New Roman" w:cs="Times New Roman"/>
          <w:sz w:val="24"/>
          <w:szCs w:val="24"/>
        </w:rPr>
      </w:pPr>
      <w:r w:rsidRPr="009520A5">
        <w:rPr>
          <w:noProof/>
        </w:rPr>
        <w:lastRenderedPageBreak/>
        <w:drawing>
          <wp:inline distT="0" distB="0" distL="0" distR="0" wp14:anchorId="322FDAB4" wp14:editId="70970932">
            <wp:extent cx="4383536" cy="3137338"/>
            <wp:effectExtent l="0" t="0" r="0" b="0"/>
            <wp:docPr id="18927" name="image2.png" descr="Map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2.png" descr="Mapa&#10;&#10;Descrição gerada automaticamente"/>
                    <pic:cNvPicPr preferRelativeResize="0"/>
                  </pic:nvPicPr>
                  <pic:blipFill>
                    <a:blip r:embed="rId11"/>
                    <a:srcRect/>
                    <a:stretch>
                      <a:fillRect/>
                    </a:stretch>
                  </pic:blipFill>
                  <pic:spPr>
                    <a:xfrm>
                      <a:off x="0" y="0"/>
                      <a:ext cx="4435567" cy="3174577"/>
                    </a:xfrm>
                    <a:prstGeom prst="rect">
                      <a:avLst/>
                    </a:prstGeom>
                    <a:ln/>
                  </pic:spPr>
                </pic:pic>
              </a:graphicData>
            </a:graphic>
          </wp:inline>
        </w:drawing>
      </w:r>
    </w:p>
    <w:tbl>
      <w:tblPr>
        <w:tblStyle w:val="a0"/>
        <w:tblW w:w="6613" w:type="dxa"/>
        <w:tblInd w:w="137" w:type="dxa"/>
        <w:tblLayout w:type="fixed"/>
        <w:tblLook w:val="0400" w:firstRow="0" w:lastRow="0" w:firstColumn="0" w:lastColumn="0" w:noHBand="0" w:noVBand="1"/>
      </w:tblPr>
      <w:tblGrid>
        <w:gridCol w:w="1157"/>
        <w:gridCol w:w="1050"/>
        <w:gridCol w:w="1471"/>
        <w:gridCol w:w="1471"/>
        <w:gridCol w:w="1464"/>
      </w:tblGrid>
      <w:tr w:rsidR="009520A5" w:rsidRPr="009520A5" w14:paraId="146F3E5F" w14:textId="77777777">
        <w:trPr>
          <w:trHeight w:val="227"/>
        </w:trPr>
        <w:tc>
          <w:tcPr>
            <w:tcW w:w="2207" w:type="dxa"/>
            <w:gridSpan w:val="2"/>
            <w:vMerge w:val="restart"/>
            <w:tcBorders>
              <w:top w:val="single" w:sz="4" w:space="0" w:color="000000"/>
              <w:left w:val="single" w:sz="4" w:space="0" w:color="000000"/>
              <w:bottom w:val="single" w:sz="4" w:space="0" w:color="000000"/>
              <w:right w:val="single" w:sz="4" w:space="0" w:color="000000"/>
            </w:tcBorders>
            <w:shd w:val="clear" w:color="auto" w:fill="D9E2F3"/>
            <w:vAlign w:val="center"/>
          </w:tcPr>
          <w:p w14:paraId="00000039" w14:textId="77777777" w:rsidR="006F379A" w:rsidRPr="009520A5" w:rsidRDefault="00150FD6" w:rsidP="009520A5">
            <w:pPr>
              <w:spacing w:after="0" w:line="360" w:lineRule="auto"/>
              <w:jc w:val="center"/>
              <w:rPr>
                <w:rFonts w:ascii="Times New Roman" w:eastAsia="Times New Roman" w:hAnsi="Times New Roman" w:cs="Times New Roman"/>
                <w:b/>
                <w:sz w:val="18"/>
                <w:szCs w:val="18"/>
              </w:rPr>
            </w:pPr>
            <w:r w:rsidRPr="009520A5">
              <w:rPr>
                <w:rFonts w:ascii="Times New Roman" w:eastAsia="Times New Roman" w:hAnsi="Times New Roman" w:cs="Times New Roman"/>
                <w:b/>
                <w:sz w:val="18"/>
                <w:szCs w:val="18"/>
              </w:rPr>
              <w:t xml:space="preserve">Tipologia </w:t>
            </w:r>
            <w:r w:rsidRPr="009520A5">
              <w:rPr>
                <w:rFonts w:ascii="Times New Roman" w:eastAsia="Times New Roman" w:hAnsi="Times New Roman" w:cs="Times New Roman"/>
                <w:b/>
                <w:sz w:val="18"/>
                <w:szCs w:val="18"/>
              </w:rPr>
              <w:br/>
              <w:t>Sub-Regional</w:t>
            </w:r>
          </w:p>
        </w:tc>
        <w:tc>
          <w:tcPr>
            <w:tcW w:w="4406" w:type="dxa"/>
            <w:gridSpan w:val="3"/>
            <w:tcBorders>
              <w:top w:val="single" w:sz="4" w:space="0" w:color="000000"/>
              <w:left w:val="nil"/>
              <w:bottom w:val="single" w:sz="4" w:space="0" w:color="000000"/>
              <w:right w:val="single" w:sz="4" w:space="0" w:color="000000"/>
            </w:tcBorders>
            <w:shd w:val="clear" w:color="auto" w:fill="D9E2F3"/>
            <w:vAlign w:val="center"/>
          </w:tcPr>
          <w:p w14:paraId="0000003B" w14:textId="77777777" w:rsidR="006F379A" w:rsidRPr="009520A5" w:rsidRDefault="00150FD6" w:rsidP="009520A5">
            <w:pPr>
              <w:spacing w:after="0" w:line="360" w:lineRule="auto"/>
              <w:jc w:val="center"/>
              <w:rPr>
                <w:rFonts w:ascii="Times New Roman" w:eastAsia="Times New Roman" w:hAnsi="Times New Roman" w:cs="Times New Roman"/>
                <w:b/>
                <w:sz w:val="18"/>
                <w:szCs w:val="18"/>
              </w:rPr>
            </w:pPr>
            <w:r w:rsidRPr="009520A5">
              <w:rPr>
                <w:rFonts w:ascii="Times New Roman" w:eastAsia="Times New Roman" w:hAnsi="Times New Roman" w:cs="Times New Roman"/>
                <w:b/>
                <w:sz w:val="18"/>
                <w:szCs w:val="18"/>
              </w:rPr>
              <w:t>Rendimento/hab.</w:t>
            </w:r>
          </w:p>
        </w:tc>
      </w:tr>
      <w:tr w:rsidR="009520A5" w:rsidRPr="009520A5" w14:paraId="0AB88713" w14:textId="77777777">
        <w:trPr>
          <w:trHeight w:val="227"/>
        </w:trPr>
        <w:tc>
          <w:tcPr>
            <w:tcW w:w="2207" w:type="dxa"/>
            <w:gridSpan w:val="2"/>
            <w:vMerge/>
            <w:tcBorders>
              <w:top w:val="single" w:sz="4" w:space="0" w:color="000000"/>
              <w:left w:val="single" w:sz="4" w:space="0" w:color="000000"/>
              <w:bottom w:val="single" w:sz="4" w:space="0" w:color="000000"/>
              <w:right w:val="single" w:sz="4" w:space="0" w:color="000000"/>
            </w:tcBorders>
            <w:shd w:val="clear" w:color="auto" w:fill="D9E2F3"/>
            <w:vAlign w:val="center"/>
          </w:tcPr>
          <w:p w14:paraId="0000003E" w14:textId="77777777" w:rsidR="006F379A" w:rsidRPr="009520A5" w:rsidRDefault="006F379A" w:rsidP="009520A5">
            <w:pPr>
              <w:widowControl w:val="0"/>
              <w:pBdr>
                <w:top w:val="nil"/>
                <w:left w:val="nil"/>
                <w:bottom w:val="nil"/>
                <w:right w:val="nil"/>
                <w:between w:val="nil"/>
              </w:pBdr>
              <w:spacing w:after="0" w:line="360" w:lineRule="auto"/>
              <w:rPr>
                <w:rFonts w:ascii="Times New Roman" w:eastAsia="Times New Roman" w:hAnsi="Times New Roman" w:cs="Times New Roman"/>
                <w:b/>
                <w:sz w:val="18"/>
                <w:szCs w:val="18"/>
              </w:rPr>
            </w:pPr>
          </w:p>
        </w:tc>
        <w:tc>
          <w:tcPr>
            <w:tcW w:w="1471" w:type="dxa"/>
            <w:tcBorders>
              <w:top w:val="nil"/>
              <w:left w:val="nil"/>
              <w:bottom w:val="single" w:sz="4" w:space="0" w:color="000000"/>
              <w:right w:val="single" w:sz="4" w:space="0" w:color="000000"/>
            </w:tcBorders>
            <w:shd w:val="clear" w:color="auto" w:fill="D9E2F3"/>
            <w:vAlign w:val="center"/>
          </w:tcPr>
          <w:p w14:paraId="00000040" w14:textId="77777777" w:rsidR="006F379A" w:rsidRPr="009520A5" w:rsidRDefault="00150FD6" w:rsidP="009520A5">
            <w:pPr>
              <w:spacing w:after="0" w:line="360" w:lineRule="auto"/>
              <w:jc w:val="center"/>
              <w:rPr>
                <w:rFonts w:ascii="Times New Roman" w:eastAsia="Times New Roman" w:hAnsi="Times New Roman" w:cs="Times New Roman"/>
                <w:b/>
                <w:sz w:val="18"/>
                <w:szCs w:val="18"/>
              </w:rPr>
            </w:pPr>
            <w:r w:rsidRPr="009520A5">
              <w:rPr>
                <w:rFonts w:ascii="Times New Roman" w:eastAsia="Times New Roman" w:hAnsi="Times New Roman" w:cs="Times New Roman"/>
                <w:b/>
                <w:sz w:val="18"/>
                <w:szCs w:val="18"/>
              </w:rPr>
              <w:t>Alto</w:t>
            </w:r>
          </w:p>
        </w:tc>
        <w:tc>
          <w:tcPr>
            <w:tcW w:w="1471" w:type="dxa"/>
            <w:tcBorders>
              <w:top w:val="nil"/>
              <w:left w:val="nil"/>
              <w:bottom w:val="single" w:sz="4" w:space="0" w:color="000000"/>
              <w:right w:val="single" w:sz="4" w:space="0" w:color="000000"/>
            </w:tcBorders>
            <w:shd w:val="clear" w:color="auto" w:fill="D9E2F3"/>
            <w:vAlign w:val="center"/>
          </w:tcPr>
          <w:p w14:paraId="00000041" w14:textId="77777777" w:rsidR="006F379A" w:rsidRPr="009520A5" w:rsidRDefault="00150FD6" w:rsidP="009520A5">
            <w:pPr>
              <w:spacing w:after="0" w:line="360" w:lineRule="auto"/>
              <w:jc w:val="center"/>
              <w:rPr>
                <w:rFonts w:ascii="Times New Roman" w:eastAsia="Times New Roman" w:hAnsi="Times New Roman" w:cs="Times New Roman"/>
                <w:b/>
                <w:sz w:val="18"/>
                <w:szCs w:val="18"/>
              </w:rPr>
            </w:pPr>
            <w:r w:rsidRPr="009520A5">
              <w:rPr>
                <w:rFonts w:ascii="Times New Roman" w:eastAsia="Times New Roman" w:hAnsi="Times New Roman" w:cs="Times New Roman"/>
                <w:b/>
                <w:sz w:val="18"/>
                <w:szCs w:val="18"/>
              </w:rPr>
              <w:t>Médio</w:t>
            </w:r>
          </w:p>
        </w:tc>
        <w:tc>
          <w:tcPr>
            <w:tcW w:w="1464" w:type="dxa"/>
            <w:tcBorders>
              <w:top w:val="nil"/>
              <w:left w:val="nil"/>
              <w:bottom w:val="single" w:sz="4" w:space="0" w:color="000000"/>
              <w:right w:val="single" w:sz="4" w:space="0" w:color="000000"/>
            </w:tcBorders>
            <w:shd w:val="clear" w:color="auto" w:fill="D9E2F3"/>
            <w:vAlign w:val="center"/>
          </w:tcPr>
          <w:p w14:paraId="00000042" w14:textId="77777777" w:rsidR="006F379A" w:rsidRPr="009520A5" w:rsidRDefault="00150FD6" w:rsidP="009520A5">
            <w:pPr>
              <w:spacing w:after="0" w:line="360" w:lineRule="auto"/>
              <w:jc w:val="center"/>
              <w:rPr>
                <w:rFonts w:ascii="Times New Roman" w:eastAsia="Times New Roman" w:hAnsi="Times New Roman" w:cs="Times New Roman"/>
                <w:b/>
                <w:sz w:val="18"/>
                <w:szCs w:val="18"/>
              </w:rPr>
            </w:pPr>
            <w:r w:rsidRPr="009520A5">
              <w:rPr>
                <w:rFonts w:ascii="Times New Roman" w:eastAsia="Times New Roman" w:hAnsi="Times New Roman" w:cs="Times New Roman"/>
                <w:b/>
                <w:sz w:val="18"/>
                <w:szCs w:val="18"/>
              </w:rPr>
              <w:t>Baixo</w:t>
            </w:r>
          </w:p>
        </w:tc>
      </w:tr>
      <w:tr w:rsidR="009520A5" w:rsidRPr="009520A5" w14:paraId="64229F18" w14:textId="77777777">
        <w:trPr>
          <w:trHeight w:val="515"/>
        </w:trPr>
        <w:tc>
          <w:tcPr>
            <w:tcW w:w="1157" w:type="dxa"/>
            <w:vMerge w:val="restart"/>
            <w:tcBorders>
              <w:top w:val="nil"/>
              <w:left w:val="single" w:sz="4" w:space="0" w:color="000000"/>
              <w:bottom w:val="single" w:sz="4" w:space="0" w:color="000000"/>
              <w:right w:val="single" w:sz="4" w:space="0" w:color="000000"/>
            </w:tcBorders>
            <w:shd w:val="clear" w:color="auto" w:fill="D9E2F3"/>
            <w:vAlign w:val="center"/>
          </w:tcPr>
          <w:p w14:paraId="00000043" w14:textId="77777777" w:rsidR="006F379A" w:rsidRPr="009520A5" w:rsidRDefault="00150FD6" w:rsidP="009520A5">
            <w:pPr>
              <w:spacing w:after="0" w:line="360" w:lineRule="auto"/>
              <w:jc w:val="center"/>
              <w:rPr>
                <w:rFonts w:ascii="Times New Roman" w:eastAsia="Times New Roman" w:hAnsi="Times New Roman" w:cs="Times New Roman"/>
                <w:b/>
                <w:sz w:val="18"/>
                <w:szCs w:val="18"/>
              </w:rPr>
            </w:pPr>
            <w:r w:rsidRPr="009520A5">
              <w:rPr>
                <w:rFonts w:ascii="Times New Roman" w:eastAsia="Times New Roman" w:hAnsi="Times New Roman" w:cs="Times New Roman"/>
                <w:b/>
                <w:sz w:val="18"/>
                <w:szCs w:val="18"/>
              </w:rPr>
              <w:t>Variação do PIB/hab.</w:t>
            </w:r>
          </w:p>
        </w:tc>
        <w:tc>
          <w:tcPr>
            <w:tcW w:w="1050" w:type="dxa"/>
            <w:tcBorders>
              <w:top w:val="nil"/>
              <w:left w:val="nil"/>
              <w:bottom w:val="single" w:sz="4" w:space="0" w:color="000000"/>
              <w:right w:val="single" w:sz="4" w:space="0" w:color="000000"/>
            </w:tcBorders>
            <w:shd w:val="clear" w:color="auto" w:fill="D9E2F3"/>
            <w:vAlign w:val="center"/>
          </w:tcPr>
          <w:p w14:paraId="00000044" w14:textId="77777777" w:rsidR="006F379A" w:rsidRPr="009520A5" w:rsidRDefault="00150FD6" w:rsidP="009520A5">
            <w:pPr>
              <w:spacing w:after="0" w:line="360" w:lineRule="auto"/>
              <w:jc w:val="center"/>
              <w:rPr>
                <w:rFonts w:ascii="Times New Roman" w:eastAsia="Times New Roman" w:hAnsi="Times New Roman" w:cs="Times New Roman"/>
                <w:b/>
                <w:sz w:val="18"/>
                <w:szCs w:val="18"/>
              </w:rPr>
            </w:pPr>
            <w:r w:rsidRPr="009520A5">
              <w:rPr>
                <w:rFonts w:ascii="Times New Roman" w:eastAsia="Times New Roman" w:hAnsi="Times New Roman" w:cs="Times New Roman"/>
                <w:b/>
                <w:sz w:val="18"/>
                <w:szCs w:val="18"/>
              </w:rPr>
              <w:t>Alta</w:t>
            </w:r>
          </w:p>
        </w:tc>
        <w:tc>
          <w:tcPr>
            <w:tcW w:w="1471" w:type="dxa"/>
            <w:tcBorders>
              <w:top w:val="nil"/>
              <w:left w:val="nil"/>
              <w:bottom w:val="single" w:sz="4" w:space="0" w:color="000000"/>
              <w:right w:val="single" w:sz="4" w:space="0" w:color="000000"/>
            </w:tcBorders>
            <w:shd w:val="clear" w:color="auto" w:fill="auto"/>
            <w:vAlign w:val="center"/>
          </w:tcPr>
          <w:p w14:paraId="00000045" w14:textId="77777777" w:rsidR="006F379A" w:rsidRPr="009520A5" w:rsidRDefault="00150FD6" w:rsidP="009520A5">
            <w:pPr>
              <w:spacing w:after="0" w:line="360" w:lineRule="auto"/>
              <w:jc w:val="center"/>
              <w:rPr>
                <w:rFonts w:ascii="Times New Roman" w:eastAsia="Times New Roman" w:hAnsi="Times New Roman" w:cs="Times New Roman"/>
                <w:sz w:val="18"/>
                <w:szCs w:val="18"/>
              </w:rPr>
            </w:pPr>
            <w:r w:rsidRPr="009520A5">
              <w:rPr>
                <w:rFonts w:ascii="Times New Roman" w:eastAsia="Times New Roman" w:hAnsi="Times New Roman" w:cs="Times New Roman"/>
                <w:sz w:val="18"/>
                <w:szCs w:val="18"/>
              </w:rPr>
              <w:t>Alta renda e Alto dinamismo</w:t>
            </w:r>
          </w:p>
        </w:tc>
        <w:tc>
          <w:tcPr>
            <w:tcW w:w="1471" w:type="dxa"/>
            <w:tcBorders>
              <w:top w:val="nil"/>
              <w:left w:val="nil"/>
              <w:bottom w:val="single" w:sz="4" w:space="0" w:color="000000"/>
              <w:right w:val="single" w:sz="4" w:space="0" w:color="000000"/>
            </w:tcBorders>
            <w:shd w:val="clear" w:color="auto" w:fill="FFC000"/>
            <w:vAlign w:val="center"/>
          </w:tcPr>
          <w:p w14:paraId="00000046" w14:textId="77777777" w:rsidR="006F379A" w:rsidRPr="009520A5" w:rsidRDefault="00150FD6" w:rsidP="009520A5">
            <w:pPr>
              <w:spacing w:after="0" w:line="360" w:lineRule="auto"/>
              <w:jc w:val="center"/>
              <w:rPr>
                <w:rFonts w:ascii="Times New Roman" w:eastAsia="Times New Roman" w:hAnsi="Times New Roman" w:cs="Times New Roman"/>
                <w:sz w:val="18"/>
                <w:szCs w:val="18"/>
              </w:rPr>
            </w:pPr>
            <w:r w:rsidRPr="009520A5">
              <w:rPr>
                <w:rFonts w:ascii="Times New Roman" w:eastAsia="Times New Roman" w:hAnsi="Times New Roman" w:cs="Times New Roman"/>
                <w:sz w:val="18"/>
                <w:szCs w:val="18"/>
              </w:rPr>
              <w:t>Média renda e Alto dinamismo</w:t>
            </w:r>
          </w:p>
        </w:tc>
        <w:tc>
          <w:tcPr>
            <w:tcW w:w="1464" w:type="dxa"/>
            <w:tcBorders>
              <w:top w:val="nil"/>
              <w:left w:val="nil"/>
              <w:bottom w:val="single" w:sz="4" w:space="0" w:color="000000"/>
              <w:right w:val="single" w:sz="4" w:space="0" w:color="000000"/>
            </w:tcBorders>
            <w:shd w:val="clear" w:color="auto" w:fill="FFE599"/>
            <w:vAlign w:val="center"/>
          </w:tcPr>
          <w:p w14:paraId="00000047" w14:textId="77777777" w:rsidR="006F379A" w:rsidRPr="009520A5" w:rsidRDefault="00150FD6" w:rsidP="009520A5">
            <w:pPr>
              <w:spacing w:after="0" w:line="360" w:lineRule="auto"/>
              <w:jc w:val="center"/>
              <w:rPr>
                <w:rFonts w:ascii="Times New Roman" w:eastAsia="Times New Roman" w:hAnsi="Times New Roman" w:cs="Times New Roman"/>
                <w:sz w:val="18"/>
                <w:szCs w:val="18"/>
              </w:rPr>
            </w:pPr>
            <w:r w:rsidRPr="009520A5">
              <w:rPr>
                <w:rFonts w:ascii="Times New Roman" w:eastAsia="Times New Roman" w:hAnsi="Times New Roman" w:cs="Times New Roman"/>
                <w:sz w:val="18"/>
                <w:szCs w:val="18"/>
              </w:rPr>
              <w:t>Baixa renda e Alto dinamismo</w:t>
            </w:r>
          </w:p>
        </w:tc>
      </w:tr>
      <w:tr w:rsidR="009520A5" w:rsidRPr="009520A5" w14:paraId="1F3E4898" w14:textId="77777777">
        <w:trPr>
          <w:trHeight w:val="515"/>
        </w:trPr>
        <w:tc>
          <w:tcPr>
            <w:tcW w:w="1157" w:type="dxa"/>
            <w:vMerge/>
            <w:tcBorders>
              <w:top w:val="nil"/>
              <w:left w:val="single" w:sz="4" w:space="0" w:color="000000"/>
              <w:bottom w:val="single" w:sz="4" w:space="0" w:color="000000"/>
              <w:right w:val="single" w:sz="4" w:space="0" w:color="000000"/>
            </w:tcBorders>
            <w:shd w:val="clear" w:color="auto" w:fill="D9E2F3"/>
            <w:vAlign w:val="center"/>
          </w:tcPr>
          <w:p w14:paraId="00000048" w14:textId="77777777" w:rsidR="006F379A" w:rsidRPr="009520A5" w:rsidRDefault="006F379A" w:rsidP="009520A5">
            <w:pPr>
              <w:widowControl w:val="0"/>
              <w:pBdr>
                <w:top w:val="nil"/>
                <w:left w:val="nil"/>
                <w:bottom w:val="nil"/>
                <w:right w:val="nil"/>
                <w:between w:val="nil"/>
              </w:pBdr>
              <w:spacing w:after="0" w:line="360" w:lineRule="auto"/>
              <w:rPr>
                <w:rFonts w:ascii="Times New Roman" w:eastAsia="Times New Roman" w:hAnsi="Times New Roman" w:cs="Times New Roman"/>
                <w:sz w:val="18"/>
                <w:szCs w:val="18"/>
              </w:rPr>
            </w:pPr>
          </w:p>
        </w:tc>
        <w:tc>
          <w:tcPr>
            <w:tcW w:w="1050" w:type="dxa"/>
            <w:tcBorders>
              <w:top w:val="nil"/>
              <w:left w:val="nil"/>
              <w:bottom w:val="single" w:sz="4" w:space="0" w:color="000000"/>
              <w:right w:val="single" w:sz="4" w:space="0" w:color="000000"/>
            </w:tcBorders>
            <w:shd w:val="clear" w:color="auto" w:fill="D9E2F3"/>
            <w:vAlign w:val="center"/>
          </w:tcPr>
          <w:p w14:paraId="00000049" w14:textId="77777777" w:rsidR="006F379A" w:rsidRPr="009520A5" w:rsidRDefault="00150FD6" w:rsidP="009520A5">
            <w:pPr>
              <w:spacing w:after="0" w:line="360" w:lineRule="auto"/>
              <w:jc w:val="center"/>
              <w:rPr>
                <w:rFonts w:ascii="Times New Roman" w:eastAsia="Times New Roman" w:hAnsi="Times New Roman" w:cs="Times New Roman"/>
                <w:b/>
                <w:sz w:val="18"/>
                <w:szCs w:val="18"/>
              </w:rPr>
            </w:pPr>
            <w:r w:rsidRPr="009520A5">
              <w:rPr>
                <w:rFonts w:ascii="Times New Roman" w:eastAsia="Times New Roman" w:hAnsi="Times New Roman" w:cs="Times New Roman"/>
                <w:b/>
                <w:sz w:val="18"/>
                <w:szCs w:val="18"/>
              </w:rPr>
              <w:t>Média</w:t>
            </w:r>
          </w:p>
        </w:tc>
        <w:tc>
          <w:tcPr>
            <w:tcW w:w="1471" w:type="dxa"/>
            <w:tcBorders>
              <w:top w:val="nil"/>
              <w:left w:val="nil"/>
              <w:bottom w:val="single" w:sz="4" w:space="0" w:color="000000"/>
              <w:right w:val="single" w:sz="4" w:space="0" w:color="000000"/>
            </w:tcBorders>
            <w:shd w:val="clear" w:color="auto" w:fill="767171"/>
            <w:vAlign w:val="center"/>
          </w:tcPr>
          <w:p w14:paraId="0000004A" w14:textId="77777777" w:rsidR="006F379A" w:rsidRPr="009520A5" w:rsidRDefault="00150FD6" w:rsidP="009520A5">
            <w:pPr>
              <w:spacing w:after="0" w:line="360" w:lineRule="auto"/>
              <w:jc w:val="center"/>
              <w:rPr>
                <w:rFonts w:ascii="Times New Roman" w:eastAsia="Times New Roman" w:hAnsi="Times New Roman" w:cs="Times New Roman"/>
                <w:sz w:val="18"/>
                <w:szCs w:val="18"/>
              </w:rPr>
            </w:pPr>
            <w:r w:rsidRPr="009520A5">
              <w:rPr>
                <w:rFonts w:ascii="Times New Roman" w:eastAsia="Times New Roman" w:hAnsi="Times New Roman" w:cs="Times New Roman"/>
                <w:sz w:val="18"/>
                <w:szCs w:val="18"/>
              </w:rPr>
              <w:t xml:space="preserve">Alta renda </w:t>
            </w:r>
            <w:proofErr w:type="gramStart"/>
            <w:r w:rsidRPr="009520A5">
              <w:rPr>
                <w:rFonts w:ascii="Times New Roman" w:eastAsia="Times New Roman" w:hAnsi="Times New Roman" w:cs="Times New Roman"/>
                <w:sz w:val="18"/>
                <w:szCs w:val="18"/>
              </w:rPr>
              <w:t>e Médio</w:t>
            </w:r>
            <w:proofErr w:type="gramEnd"/>
            <w:r w:rsidRPr="009520A5">
              <w:rPr>
                <w:rFonts w:ascii="Times New Roman" w:eastAsia="Times New Roman" w:hAnsi="Times New Roman" w:cs="Times New Roman"/>
                <w:sz w:val="18"/>
                <w:szCs w:val="18"/>
              </w:rPr>
              <w:t xml:space="preserve"> dinamismo</w:t>
            </w:r>
          </w:p>
        </w:tc>
        <w:tc>
          <w:tcPr>
            <w:tcW w:w="1471" w:type="dxa"/>
            <w:tcBorders>
              <w:top w:val="nil"/>
              <w:left w:val="nil"/>
              <w:bottom w:val="single" w:sz="4" w:space="0" w:color="000000"/>
              <w:right w:val="single" w:sz="4" w:space="0" w:color="000000"/>
            </w:tcBorders>
            <w:shd w:val="clear" w:color="auto" w:fill="006600"/>
            <w:vAlign w:val="center"/>
          </w:tcPr>
          <w:p w14:paraId="0000004B" w14:textId="77777777" w:rsidR="006F379A" w:rsidRPr="009520A5" w:rsidRDefault="00150FD6" w:rsidP="009520A5">
            <w:pPr>
              <w:spacing w:after="0" w:line="360" w:lineRule="auto"/>
              <w:jc w:val="center"/>
              <w:rPr>
                <w:rFonts w:ascii="Times New Roman" w:eastAsia="Times New Roman" w:hAnsi="Times New Roman" w:cs="Times New Roman"/>
                <w:sz w:val="18"/>
                <w:szCs w:val="18"/>
              </w:rPr>
            </w:pPr>
            <w:r w:rsidRPr="009520A5">
              <w:rPr>
                <w:rFonts w:ascii="Times New Roman" w:eastAsia="Times New Roman" w:hAnsi="Times New Roman" w:cs="Times New Roman"/>
                <w:sz w:val="18"/>
                <w:szCs w:val="18"/>
              </w:rPr>
              <w:t xml:space="preserve">Média renda </w:t>
            </w:r>
            <w:proofErr w:type="gramStart"/>
            <w:r w:rsidRPr="009520A5">
              <w:rPr>
                <w:rFonts w:ascii="Times New Roman" w:eastAsia="Times New Roman" w:hAnsi="Times New Roman" w:cs="Times New Roman"/>
                <w:sz w:val="18"/>
                <w:szCs w:val="18"/>
              </w:rPr>
              <w:t>e Médio</w:t>
            </w:r>
            <w:proofErr w:type="gramEnd"/>
            <w:r w:rsidRPr="009520A5">
              <w:rPr>
                <w:rFonts w:ascii="Times New Roman" w:eastAsia="Times New Roman" w:hAnsi="Times New Roman" w:cs="Times New Roman"/>
                <w:sz w:val="18"/>
                <w:szCs w:val="18"/>
              </w:rPr>
              <w:t xml:space="preserve"> dinamismo</w:t>
            </w:r>
          </w:p>
        </w:tc>
        <w:tc>
          <w:tcPr>
            <w:tcW w:w="1464" w:type="dxa"/>
            <w:tcBorders>
              <w:top w:val="nil"/>
              <w:left w:val="nil"/>
              <w:bottom w:val="single" w:sz="4" w:space="0" w:color="000000"/>
              <w:right w:val="single" w:sz="4" w:space="0" w:color="000000"/>
            </w:tcBorders>
            <w:shd w:val="clear" w:color="auto" w:fill="EE6000"/>
            <w:vAlign w:val="center"/>
          </w:tcPr>
          <w:p w14:paraId="0000004C" w14:textId="77777777" w:rsidR="006F379A" w:rsidRPr="009520A5" w:rsidRDefault="00150FD6" w:rsidP="009520A5">
            <w:pPr>
              <w:spacing w:after="0" w:line="360" w:lineRule="auto"/>
              <w:jc w:val="center"/>
              <w:rPr>
                <w:rFonts w:ascii="Times New Roman" w:eastAsia="Times New Roman" w:hAnsi="Times New Roman" w:cs="Times New Roman"/>
                <w:sz w:val="18"/>
                <w:szCs w:val="18"/>
              </w:rPr>
            </w:pPr>
            <w:r w:rsidRPr="009520A5">
              <w:rPr>
                <w:rFonts w:ascii="Times New Roman" w:eastAsia="Times New Roman" w:hAnsi="Times New Roman" w:cs="Times New Roman"/>
                <w:sz w:val="18"/>
                <w:szCs w:val="18"/>
              </w:rPr>
              <w:t xml:space="preserve">Baixa renda </w:t>
            </w:r>
            <w:proofErr w:type="gramStart"/>
            <w:r w:rsidRPr="009520A5">
              <w:rPr>
                <w:rFonts w:ascii="Times New Roman" w:eastAsia="Times New Roman" w:hAnsi="Times New Roman" w:cs="Times New Roman"/>
                <w:sz w:val="18"/>
                <w:szCs w:val="18"/>
              </w:rPr>
              <w:t>e Médio</w:t>
            </w:r>
            <w:proofErr w:type="gramEnd"/>
            <w:r w:rsidRPr="009520A5">
              <w:rPr>
                <w:rFonts w:ascii="Times New Roman" w:eastAsia="Times New Roman" w:hAnsi="Times New Roman" w:cs="Times New Roman"/>
                <w:sz w:val="18"/>
                <w:szCs w:val="18"/>
              </w:rPr>
              <w:t xml:space="preserve"> dinamismo</w:t>
            </w:r>
          </w:p>
        </w:tc>
      </w:tr>
      <w:tr w:rsidR="009520A5" w:rsidRPr="009520A5" w14:paraId="33739FC6" w14:textId="77777777">
        <w:trPr>
          <w:trHeight w:val="515"/>
        </w:trPr>
        <w:tc>
          <w:tcPr>
            <w:tcW w:w="1157" w:type="dxa"/>
            <w:vMerge/>
            <w:tcBorders>
              <w:top w:val="nil"/>
              <w:left w:val="single" w:sz="4" w:space="0" w:color="000000"/>
              <w:bottom w:val="single" w:sz="4" w:space="0" w:color="000000"/>
              <w:right w:val="single" w:sz="4" w:space="0" w:color="000000"/>
            </w:tcBorders>
            <w:shd w:val="clear" w:color="auto" w:fill="D9E2F3"/>
            <w:vAlign w:val="center"/>
          </w:tcPr>
          <w:p w14:paraId="0000004D" w14:textId="77777777" w:rsidR="006F379A" w:rsidRPr="009520A5" w:rsidRDefault="006F379A" w:rsidP="009520A5">
            <w:pPr>
              <w:widowControl w:val="0"/>
              <w:pBdr>
                <w:top w:val="nil"/>
                <w:left w:val="nil"/>
                <w:bottom w:val="nil"/>
                <w:right w:val="nil"/>
                <w:between w:val="nil"/>
              </w:pBdr>
              <w:spacing w:after="0" w:line="360" w:lineRule="auto"/>
              <w:rPr>
                <w:rFonts w:ascii="Times New Roman" w:eastAsia="Times New Roman" w:hAnsi="Times New Roman" w:cs="Times New Roman"/>
                <w:sz w:val="18"/>
                <w:szCs w:val="18"/>
              </w:rPr>
            </w:pPr>
          </w:p>
        </w:tc>
        <w:tc>
          <w:tcPr>
            <w:tcW w:w="1050" w:type="dxa"/>
            <w:tcBorders>
              <w:top w:val="nil"/>
              <w:left w:val="nil"/>
              <w:bottom w:val="single" w:sz="4" w:space="0" w:color="000000"/>
              <w:right w:val="single" w:sz="4" w:space="0" w:color="000000"/>
            </w:tcBorders>
            <w:shd w:val="clear" w:color="auto" w:fill="D9E2F3"/>
            <w:vAlign w:val="center"/>
          </w:tcPr>
          <w:p w14:paraId="0000004E" w14:textId="77777777" w:rsidR="006F379A" w:rsidRPr="009520A5" w:rsidRDefault="00150FD6" w:rsidP="009520A5">
            <w:pPr>
              <w:spacing w:after="0" w:line="360" w:lineRule="auto"/>
              <w:jc w:val="center"/>
              <w:rPr>
                <w:rFonts w:ascii="Times New Roman" w:eastAsia="Times New Roman" w:hAnsi="Times New Roman" w:cs="Times New Roman"/>
                <w:b/>
                <w:sz w:val="18"/>
                <w:szCs w:val="18"/>
              </w:rPr>
            </w:pPr>
            <w:r w:rsidRPr="009520A5">
              <w:rPr>
                <w:rFonts w:ascii="Times New Roman" w:eastAsia="Times New Roman" w:hAnsi="Times New Roman" w:cs="Times New Roman"/>
                <w:b/>
                <w:sz w:val="18"/>
                <w:szCs w:val="18"/>
              </w:rPr>
              <w:t>Baixa</w:t>
            </w:r>
          </w:p>
        </w:tc>
        <w:tc>
          <w:tcPr>
            <w:tcW w:w="1471" w:type="dxa"/>
            <w:tcBorders>
              <w:top w:val="nil"/>
              <w:left w:val="nil"/>
              <w:bottom w:val="single" w:sz="4" w:space="0" w:color="000000"/>
              <w:right w:val="single" w:sz="4" w:space="0" w:color="000000"/>
            </w:tcBorders>
            <w:shd w:val="clear" w:color="auto" w:fill="AEAAAA"/>
            <w:vAlign w:val="center"/>
          </w:tcPr>
          <w:p w14:paraId="0000004F" w14:textId="77777777" w:rsidR="006F379A" w:rsidRPr="009520A5" w:rsidRDefault="00150FD6" w:rsidP="009520A5">
            <w:pPr>
              <w:spacing w:after="0" w:line="360" w:lineRule="auto"/>
              <w:jc w:val="center"/>
              <w:rPr>
                <w:rFonts w:ascii="Times New Roman" w:eastAsia="Times New Roman" w:hAnsi="Times New Roman" w:cs="Times New Roman"/>
                <w:sz w:val="18"/>
                <w:szCs w:val="18"/>
              </w:rPr>
            </w:pPr>
            <w:r w:rsidRPr="009520A5">
              <w:rPr>
                <w:rFonts w:ascii="Times New Roman" w:eastAsia="Times New Roman" w:hAnsi="Times New Roman" w:cs="Times New Roman"/>
                <w:sz w:val="18"/>
                <w:szCs w:val="18"/>
              </w:rPr>
              <w:t>Alta renda e Baixo dinamismo</w:t>
            </w:r>
          </w:p>
        </w:tc>
        <w:tc>
          <w:tcPr>
            <w:tcW w:w="1471" w:type="dxa"/>
            <w:tcBorders>
              <w:top w:val="nil"/>
              <w:left w:val="nil"/>
              <w:bottom w:val="single" w:sz="4" w:space="0" w:color="000000"/>
              <w:right w:val="single" w:sz="4" w:space="0" w:color="000000"/>
            </w:tcBorders>
            <w:shd w:val="clear" w:color="auto" w:fill="66FF33"/>
            <w:vAlign w:val="center"/>
          </w:tcPr>
          <w:p w14:paraId="00000050" w14:textId="77777777" w:rsidR="006F379A" w:rsidRPr="009520A5" w:rsidRDefault="00150FD6" w:rsidP="009520A5">
            <w:pPr>
              <w:spacing w:after="0" w:line="360" w:lineRule="auto"/>
              <w:jc w:val="center"/>
              <w:rPr>
                <w:rFonts w:ascii="Times New Roman" w:eastAsia="Times New Roman" w:hAnsi="Times New Roman" w:cs="Times New Roman"/>
                <w:sz w:val="18"/>
                <w:szCs w:val="18"/>
              </w:rPr>
            </w:pPr>
            <w:r w:rsidRPr="009520A5">
              <w:rPr>
                <w:rFonts w:ascii="Times New Roman" w:eastAsia="Times New Roman" w:hAnsi="Times New Roman" w:cs="Times New Roman"/>
                <w:sz w:val="18"/>
                <w:szCs w:val="18"/>
              </w:rPr>
              <w:t>Média renda e Baixo dinamismo</w:t>
            </w:r>
          </w:p>
        </w:tc>
        <w:tc>
          <w:tcPr>
            <w:tcW w:w="1464" w:type="dxa"/>
            <w:tcBorders>
              <w:top w:val="nil"/>
              <w:left w:val="nil"/>
              <w:bottom w:val="single" w:sz="4" w:space="0" w:color="000000"/>
              <w:right w:val="single" w:sz="4" w:space="0" w:color="000000"/>
            </w:tcBorders>
            <w:shd w:val="clear" w:color="auto" w:fill="FF0000"/>
            <w:vAlign w:val="center"/>
          </w:tcPr>
          <w:p w14:paraId="00000051" w14:textId="77777777" w:rsidR="006F379A" w:rsidRPr="009520A5" w:rsidRDefault="00150FD6" w:rsidP="009520A5">
            <w:pPr>
              <w:spacing w:after="0" w:line="360" w:lineRule="auto"/>
              <w:jc w:val="center"/>
              <w:rPr>
                <w:rFonts w:ascii="Times New Roman" w:eastAsia="Times New Roman" w:hAnsi="Times New Roman" w:cs="Times New Roman"/>
                <w:sz w:val="18"/>
                <w:szCs w:val="18"/>
              </w:rPr>
            </w:pPr>
            <w:r w:rsidRPr="009520A5">
              <w:rPr>
                <w:rFonts w:ascii="Times New Roman" w:eastAsia="Times New Roman" w:hAnsi="Times New Roman" w:cs="Times New Roman"/>
                <w:sz w:val="18"/>
                <w:szCs w:val="18"/>
              </w:rPr>
              <w:t>Baixa renda e Baixo dinamismo</w:t>
            </w:r>
          </w:p>
        </w:tc>
      </w:tr>
    </w:tbl>
    <w:p w14:paraId="1B2B4285" w14:textId="77777777" w:rsidR="009520A5" w:rsidRDefault="00150FD6" w:rsidP="009520A5">
      <w:pPr>
        <w:spacing w:after="0" w:line="360" w:lineRule="auto"/>
        <w:ind w:firstLine="708"/>
        <w:jc w:val="both"/>
        <w:rPr>
          <w:rFonts w:ascii="Times New Roman" w:eastAsia="Times New Roman" w:hAnsi="Times New Roman" w:cs="Times New Roman"/>
          <w:sz w:val="20"/>
          <w:szCs w:val="20"/>
        </w:rPr>
      </w:pPr>
      <w:r w:rsidRPr="009520A5">
        <w:rPr>
          <w:rFonts w:ascii="Times New Roman" w:eastAsia="Times New Roman" w:hAnsi="Times New Roman" w:cs="Times New Roman"/>
          <w:sz w:val="20"/>
          <w:szCs w:val="20"/>
        </w:rPr>
        <w:t>Fonte: Adaptado de BRASIL/MI (2017).</w:t>
      </w:r>
    </w:p>
    <w:p w14:paraId="00000055" w14:textId="6D48C144"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Ainda sobre a tipologia microrregional, o documento “A PNDR em dois tempos: a experiência apreendida e o olhar pós 2010” (BRASIL/MI, 2010, p.79) havia proposto que PNDR abrangesse as microrregiões de alta renda, o que modificaria a abordagem da própria política, que passaria a prezar diretamente pela coesão territorial. De acordo com o referido documento, mesmo as regiões com alta renda necessitam de políticas voltadas “(...) à manutenção e ampliação da capacidade regional de competitividade, de consolidação da base industrial, de ampliação do acesso ao crédito e de complementaridade à infraestrutura de entrega de serviços à população”. A diferença é que tais regiões contariam com maior contrapartida dos parceiros regionais, recebendo, portanto, menos inversões financeiras do que </w:t>
      </w:r>
      <w:r w:rsidRPr="009520A5">
        <w:rPr>
          <w:rFonts w:ascii="Times New Roman" w:eastAsia="Times New Roman" w:hAnsi="Times New Roman" w:cs="Times New Roman"/>
          <w:sz w:val="24"/>
          <w:szCs w:val="24"/>
        </w:rPr>
        <w:lastRenderedPageBreak/>
        <w:t>as demais microrregiões. Esta mudança estaria ancorada no seguinte princípio: “tratar os desiguais de forma desigual, mas tratar de todos”, conforme anuncia o documento.</w:t>
      </w:r>
    </w:p>
    <w:p w14:paraId="00000056"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Diversas sugestões de revisão foram apresentadas no documento e também no âmbito da Conferência Nacional de Desenvolvimento Regional, realizada em 2012 com o intuito de aprimorar e consolidar a PNDR. Mas, o Decreto nº 9.810/2019, que instituiu uma nova versão da Política, contemplou apenas alguns tópicos que estavam em discussão nos anos anteriores. </w:t>
      </w:r>
    </w:p>
    <w:p w14:paraId="00000057"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Por um lado, a tipologia microrregional passaria a ser atualizada a cada 10 anos, a partir de dados do Censo Demográfico e de estudo técnico elaborado pelo Núcleo de Inteligência Regional, com a colaboração técnica do IBGE e contribuições das entidades representativas dos entes federados com atribuições correlatas. Excepcionalmente, sua primeira revisão ocorreria após o Censo de 2020, mas até o momento ele não foi realizado, devido à cortes orçamentários e, num segundo momento, às restrições impostas pela pandemia de covid-19 à atuação dos agentes censitários. A nosso ver, a inclusão do IBGE e das entidades de pesquisa estatística estaduais no processo de revisão da regionalização da PNDR teria o objetivo de melhorar os aportes técnico-operacionais da política e aprimorar a interlocução entre os entes federados. </w:t>
      </w:r>
    </w:p>
    <w:p w14:paraId="00000058" w14:textId="7398405A"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 A</w:t>
      </w:r>
      <w:sdt>
        <w:sdtPr>
          <w:tag w:val="goog_rdk_8"/>
          <w:id w:val="-343321184"/>
        </w:sdtPr>
        <w:sdtContent/>
      </w:sdt>
      <w:sdt>
        <w:sdtPr>
          <w:tag w:val="goog_rdk_9"/>
          <w:id w:val="1027607021"/>
        </w:sdtPr>
        <w:sdtContent/>
      </w:sdt>
      <w:r w:rsidRPr="009520A5">
        <w:rPr>
          <w:rFonts w:ascii="Times New Roman" w:eastAsia="Times New Roman" w:hAnsi="Times New Roman" w:cs="Times New Roman"/>
          <w:sz w:val="24"/>
          <w:szCs w:val="24"/>
        </w:rPr>
        <w:t xml:space="preserve"> criação do Núcleo de Inteligência Regional abarcando a SUDAM, SUDENE e SUDECO e o Ministério do Desenvolvimento Regional (MDR) – que veio a substituir o Ministério da Integração Nacional (MI) em 2019, conforme abordaremos adiante –, visa atender à demanda por maior coordenação e cooperação entre tais instituições. Inclusive, o monitoramento e avaliação da PNDR, foram atribuídos a este Núcleo.</w:t>
      </w:r>
    </w:p>
    <w:p w14:paraId="00000059"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Ademais, a busca por melhor articulação entre os entes federados no âmbito da PNDR partiria da inclusão de agentes públicos e privados, por meio do estabelecimento de programas e investimentos que estimulassem e apoiassem processos de desenvolvimento na escala regional (Art. 1º, parágrafo único). Também foram incluídos como princípios (Art. 2ª): transparência e participação social; solidariedade regional e cooperação federativa; planejamento integrado e transversalidade da política pública; e, sustentabilidade dos processos produtivos. Note-se que uma das grandes críticas feitas à versão anterior da PNDR foi sua grande centralização no âmbito federal e a reduzida participação de estados e municípios desde </w:t>
      </w:r>
      <w:r w:rsidRPr="009520A5">
        <w:rPr>
          <w:rFonts w:ascii="Times New Roman" w:eastAsia="Times New Roman" w:hAnsi="Times New Roman" w:cs="Times New Roman"/>
          <w:sz w:val="24"/>
          <w:szCs w:val="24"/>
        </w:rPr>
        <w:lastRenderedPageBreak/>
        <w:t xml:space="preserve">a elaboração, passando pela formulação, implementação, execução e monitoramento, até a avaliação das ações (SILVA, 2017, p.372). </w:t>
      </w:r>
    </w:p>
    <w:p w14:paraId="0000005A"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No que concerne aos objetivos da PNDR, sua nova versão absorveu algumas críticas que vinham sendo feitas pelo próprio MI, como o imperativo de: consolidar uma rede </w:t>
      </w:r>
      <w:proofErr w:type="spellStart"/>
      <w:r w:rsidRPr="009520A5">
        <w:rPr>
          <w:rFonts w:ascii="Times New Roman" w:eastAsia="Times New Roman" w:hAnsi="Times New Roman" w:cs="Times New Roman"/>
          <w:sz w:val="24"/>
          <w:szCs w:val="24"/>
        </w:rPr>
        <w:t>policêntrica</w:t>
      </w:r>
      <w:proofErr w:type="spellEnd"/>
      <w:r w:rsidRPr="009520A5">
        <w:rPr>
          <w:rFonts w:ascii="Times New Roman" w:eastAsia="Times New Roman" w:hAnsi="Times New Roman" w:cs="Times New Roman"/>
          <w:sz w:val="24"/>
          <w:szCs w:val="24"/>
        </w:rPr>
        <w:t xml:space="preserve"> de cidades em apoio à desconcentração e à interiorização do desenvolvimento regional e nacional; estimular ganhos de produtividade e aumentos da competitividade regional, sobretudo em regiões com declínio populacional e elevadas taxas de emigração; fomentar a agregação de valor e a diversificação produtiva regional, considerando critérios como geração de renda e sustentabilidade, sobretudo em regiões com forte especialização na produção de </w:t>
      </w:r>
      <w:r w:rsidRPr="009520A5">
        <w:rPr>
          <w:rFonts w:ascii="Times New Roman" w:eastAsia="Times New Roman" w:hAnsi="Times New Roman" w:cs="Times New Roman"/>
          <w:i/>
          <w:sz w:val="24"/>
          <w:szCs w:val="24"/>
        </w:rPr>
        <w:t>commodities</w:t>
      </w:r>
      <w:r w:rsidRPr="009520A5">
        <w:rPr>
          <w:rFonts w:ascii="Times New Roman" w:eastAsia="Times New Roman" w:hAnsi="Times New Roman" w:cs="Times New Roman"/>
          <w:sz w:val="24"/>
          <w:szCs w:val="24"/>
        </w:rPr>
        <w:t xml:space="preserve"> agrícolas ou minerais (Decreto nº 9.810/2019, Art. 3º). </w:t>
      </w:r>
    </w:p>
    <w:p w14:paraId="0000005B"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Essas questões estariam ligadas, em parte, às falhas nas etapas de formulação, implementação e execução da política, como a falta de “cidades âncoras” nas mesorregiões diferenciadas – já que a inexistência de localidades com agentes econômicos capazes de mobilizar recursos e liderar projetos estruturantes nos recortes regionais atuou como um fator limitante para o próprio desenvolvimento das mesorregiões –, ou mesmo a inobservância da perda de dinamismo econômico e de população nas sub-regiões de alta renda, o que poderia resultar em problemas regionais no futuro (SILVA, 2017, p.240-241, 244-245).</w:t>
      </w:r>
    </w:p>
    <w:p w14:paraId="0000005C"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No âmbito das estratégias, a PNDR instituída em 2019 formaliza algumas práticas que já vinham sendo realizadas, a exemplo da estruturação de um modelo de planejamento integrado, incluindo, além da elaboração de planos regionais e sub-regionais de desenvolvimento, pactos de metas e carteiras de projetos em diferentes escalas geográficas, envolvendo e diferentes órgãos governamentais. No caso do pacto de metas, a lógica seria selecionar ações já disponíveis em outras áreas de atuação do governo (ministérios setoriais) que tenham potencial de promover o desenvolvimento regional e possam alcançar certo nível de cooperação com as políticas regionais (SILVA, 2017, p.243-244). </w:t>
      </w:r>
    </w:p>
    <w:p w14:paraId="0000005D"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u w:val="single"/>
        </w:rPr>
      </w:pPr>
      <w:r w:rsidRPr="009520A5">
        <w:rPr>
          <w:rFonts w:ascii="Times New Roman" w:eastAsia="Times New Roman" w:hAnsi="Times New Roman" w:cs="Times New Roman"/>
          <w:sz w:val="24"/>
          <w:szCs w:val="24"/>
        </w:rPr>
        <w:t xml:space="preserve">Outras estratégias se referem ao estímulo ao empreendedorismo, ao cooperativismo e à inclusão produtiva, por meio do fortalecimento de redes de sistemas produtivos e inovativos locais, existentes ou potenciais, de forma a integrá-los a sistemas regionais, nacionais ou globais. Possivelmente, esta estratégia se relaciona com o Programa Rotas da Integração </w:t>
      </w:r>
      <w:r w:rsidRPr="009520A5">
        <w:rPr>
          <w:rFonts w:ascii="Times New Roman" w:eastAsia="Times New Roman" w:hAnsi="Times New Roman" w:cs="Times New Roman"/>
          <w:sz w:val="24"/>
          <w:szCs w:val="24"/>
        </w:rPr>
        <w:lastRenderedPageBreak/>
        <w:t>Nacional, criado no âmbito da PNDR em 2014 e em vigência desde então, com o objetivo de identificar, estruturar e fomentar arranjos produtivos locais. Este programa se tornou uma das principais estratégias da PNDR nos últimos anos, já que houve graves falhas de implementação e execução de planos, programas e ações de cunho mais estruturantes.</w:t>
      </w:r>
    </w:p>
    <w:p w14:paraId="0000005E"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No que concerne a regionalização do espaço, a nova versão da PNDR manteve na escala macrorregional os recortes do IBGE, definindo como prioritárias as regiões Norte, Nordeste e Centro-Oeste e na escala sub-regional a Faixa de Fronteira, as Regiões Integradas de Desenvolvimento (Rides) e o Semiárido. Igualmente, foram destacadas como elegíveis sub-regiões especiais conforme critérios e interesses da própria Política. Note-se, portanto, que as Mesorregiões Diferenciadas não foram mencionadas, já que o Programa foi descontinuado. </w:t>
      </w:r>
    </w:p>
    <w:p w14:paraId="0000005F"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Por outro lado, a nova PNDR reforça alguns princípios já delineados no Decreto 6.047/2007, em especial: atuação multiescalar no território nacional; desenvolvimento sustentável; competitividade e equidade no desenvolvimento produtivo; e, reconhecimento e valorização da diversidade ambiental, social, cultural e econômica das regiões. </w:t>
      </w:r>
    </w:p>
    <w:p w14:paraId="00000060"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No âmbito da governança, a estrutura, o funcionamento e o escopo de atuação da Câmara de Políticas de Integração Nacional e Desenvolvimento Regional foram melhor definidos no Decreto nº 9.810/2019, de maneira a conferir centralidade à esta instância, esvaziada no período anterior. Assim, diversas atribuições que antes eram do MI passaram para a Câmara, composta pelo: Chefe da Casa Civil da Presidência da República (que a presidirá), Ministro da Economia, Ministro do Desenvolvimento Regional, Chefe da </w:t>
      </w:r>
      <w:proofErr w:type="spellStart"/>
      <w:r w:rsidRPr="009520A5">
        <w:rPr>
          <w:rFonts w:ascii="Times New Roman" w:eastAsia="Times New Roman" w:hAnsi="Times New Roman" w:cs="Times New Roman"/>
          <w:sz w:val="24"/>
          <w:szCs w:val="24"/>
        </w:rPr>
        <w:t>Secretaria-Geral</w:t>
      </w:r>
      <w:proofErr w:type="spellEnd"/>
      <w:r w:rsidRPr="009520A5">
        <w:rPr>
          <w:rFonts w:ascii="Times New Roman" w:eastAsia="Times New Roman" w:hAnsi="Times New Roman" w:cs="Times New Roman"/>
          <w:sz w:val="24"/>
          <w:szCs w:val="24"/>
        </w:rPr>
        <w:t xml:space="preserve"> da Presidência da República, Chefe da Secretaria de Governo da Presidência da República e Chefe do Gabinete de Segurança Institucional da Presidência da República. No comitê executivo, além destes, participariam também os superintendentes da SUDAM, SUDENE e SUDECO. </w:t>
      </w:r>
    </w:p>
    <w:p w14:paraId="00000061" w14:textId="77777777" w:rsidR="006F379A" w:rsidRPr="009520A5" w:rsidRDefault="00000000" w:rsidP="009520A5">
      <w:pPr>
        <w:spacing w:after="0" w:line="360" w:lineRule="auto"/>
        <w:ind w:firstLine="708"/>
        <w:jc w:val="both"/>
        <w:rPr>
          <w:rFonts w:ascii="Times New Roman" w:eastAsia="Times New Roman" w:hAnsi="Times New Roman" w:cs="Times New Roman"/>
          <w:sz w:val="24"/>
          <w:szCs w:val="24"/>
        </w:rPr>
      </w:pPr>
      <w:sdt>
        <w:sdtPr>
          <w:tag w:val="goog_rdk_10"/>
          <w:id w:val="1962911522"/>
        </w:sdtPr>
        <w:sdtContent/>
      </w:sdt>
      <w:sdt>
        <w:sdtPr>
          <w:tag w:val="goog_rdk_11"/>
          <w:id w:val="906190585"/>
        </w:sdtPr>
        <w:sdtContent/>
      </w:sdt>
      <w:sdt>
        <w:sdtPr>
          <w:tag w:val="goog_rdk_12"/>
          <w:id w:val="-1045749769"/>
        </w:sdtPr>
        <w:sdtContent/>
      </w:sdt>
      <w:sdt>
        <w:sdtPr>
          <w:tag w:val="goog_rdk_13"/>
          <w:id w:val="-1599556220"/>
        </w:sdtPr>
        <w:sdtContent/>
      </w:sdt>
      <w:r w:rsidR="00150FD6" w:rsidRPr="009520A5">
        <w:rPr>
          <w:rFonts w:ascii="Times New Roman" w:eastAsia="Times New Roman" w:hAnsi="Times New Roman" w:cs="Times New Roman"/>
          <w:sz w:val="24"/>
          <w:szCs w:val="24"/>
        </w:rPr>
        <w:t xml:space="preserve">A nosso ver, esse reposicionamento da política regional é importante para que ela tenha maior de capacidade de orientar as políticas setoriais, atribuídas a outros ministérios, problema de ordem institucional que contribuiu sobremaneira com os déficits de implementação e execução da PNDR desde a sua criação, em 2007. </w:t>
      </w:r>
    </w:p>
    <w:p w14:paraId="00000062" w14:textId="77777777" w:rsidR="006F379A" w:rsidRPr="009520A5" w:rsidRDefault="006F379A" w:rsidP="009520A5">
      <w:pPr>
        <w:spacing w:after="0" w:line="360" w:lineRule="auto"/>
        <w:ind w:firstLine="708"/>
        <w:jc w:val="both"/>
        <w:rPr>
          <w:rFonts w:ascii="Times New Roman" w:eastAsia="Times New Roman" w:hAnsi="Times New Roman" w:cs="Times New Roman"/>
          <w:sz w:val="24"/>
          <w:szCs w:val="24"/>
        </w:rPr>
      </w:pPr>
    </w:p>
    <w:p w14:paraId="00000064" w14:textId="6537FC20" w:rsidR="006F379A" w:rsidRPr="009520A5" w:rsidRDefault="006802C9"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lastRenderedPageBreak/>
        <w:t xml:space="preserve">A experiência dos consórcios de governadores da Amazônia Legal, do Nordeste e do Brasil Central mostra a articulação subnacional em oposição à centralização da governança no nível federal. Com isso, a implementação efetiva da Câmara </w:t>
      </w:r>
      <w:r w:rsidR="002E002D" w:rsidRPr="009520A5">
        <w:rPr>
          <w:rFonts w:ascii="Times New Roman" w:eastAsia="Times New Roman" w:hAnsi="Times New Roman" w:cs="Times New Roman"/>
          <w:sz w:val="24"/>
          <w:szCs w:val="24"/>
        </w:rPr>
        <w:t>foi</w:t>
      </w:r>
      <w:r w:rsidRPr="009520A5">
        <w:rPr>
          <w:rFonts w:ascii="Times New Roman" w:eastAsia="Times New Roman" w:hAnsi="Times New Roman" w:cs="Times New Roman"/>
          <w:sz w:val="24"/>
          <w:szCs w:val="24"/>
        </w:rPr>
        <w:t xml:space="preserve"> fragilizada.  </w:t>
      </w:r>
    </w:p>
    <w:p w14:paraId="00000065"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O Decreto nº 9.810/2019 estabelece os planos regionais de desenvolvimento da Amazônia, do Nordeste e do Centro-Oeste, os planos sub-regionais, os pactos de metas e as carteiras de projetos prioritários como instrumentos de planejamento da PNDR. Por sua vez, se manteriam como instrumentos de financiamento: o Orçamento Geral da União; os Fundos Constitucionais de Financiamento do Norte, do Nordeste e do Centro-Oeste; e, os Fundos de Desenvolvimento da Amazônia, do Nordeste e do Centro-Oeste. Foram incluídos de maneira mais objetiva: os programas de desenvolvimento regional de bancos públicos federais existentes ou que venham a ser instituídos; os incentivos e benefícios de natureza financeira, tributária ou creditícia; e outras fontes de recursos nacionais e internacionais.</w:t>
      </w:r>
    </w:p>
    <w:p w14:paraId="00000069" w14:textId="274CBBFF" w:rsidR="006F379A" w:rsidRPr="009520A5" w:rsidRDefault="006802C9" w:rsidP="009520A5">
      <w:pPr>
        <w:spacing w:after="0" w:line="360" w:lineRule="auto"/>
        <w:ind w:firstLine="708"/>
        <w:jc w:val="both"/>
        <w:rPr>
          <w:rFonts w:ascii="Times New Roman" w:hAnsi="Times New Roman" w:cs="Times New Roman"/>
          <w:sz w:val="24"/>
          <w:szCs w:val="24"/>
        </w:rPr>
      </w:pPr>
      <w:r w:rsidRPr="009520A5">
        <w:rPr>
          <w:rFonts w:ascii="Times New Roman" w:hAnsi="Times New Roman" w:cs="Times New Roman"/>
          <w:sz w:val="24"/>
          <w:szCs w:val="24"/>
        </w:rPr>
        <w:t xml:space="preserve">Destaca-se que os planos de desenvolvimento regional </w:t>
      </w:r>
      <w:r w:rsidR="002E002D" w:rsidRPr="009520A5">
        <w:rPr>
          <w:rFonts w:ascii="Times New Roman" w:hAnsi="Times New Roman" w:cs="Times New Roman"/>
          <w:sz w:val="24"/>
          <w:szCs w:val="24"/>
        </w:rPr>
        <w:t xml:space="preserve">mais recentes </w:t>
      </w:r>
      <w:r w:rsidRPr="009520A5">
        <w:rPr>
          <w:rFonts w:ascii="Times New Roman" w:hAnsi="Times New Roman" w:cs="Times New Roman"/>
          <w:sz w:val="24"/>
          <w:szCs w:val="24"/>
        </w:rPr>
        <w:t xml:space="preserve">foram elaborados em 2018, conforme o relato realizado por Monteiro </w:t>
      </w:r>
      <w:r w:rsidR="00BC5B81" w:rsidRPr="009520A5">
        <w:rPr>
          <w:rFonts w:ascii="Times New Roman" w:hAnsi="Times New Roman" w:cs="Times New Roman"/>
          <w:sz w:val="24"/>
          <w:szCs w:val="24"/>
        </w:rPr>
        <w:t>Neto e Pego (2019), inclusive com ensaios de avaliação sobre o processo, como suscitou Colombo (2021).</w:t>
      </w:r>
    </w:p>
    <w:p w14:paraId="0000006A" w14:textId="4725310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A nova tipologia microrregional (Portaria MI nº 34/2018) e a nova versão da PNDR (Decreto nº 9.810/2019) foram instituídas num contexto de profundas alterações na estrutura da administração pública federal. No que se refere às políticas regionais, houve a criação do Ministério do Desenvolvimento Regional (MDR) a partir da fusão do Ministério da Integração Nacional (MI) e do Ministério das Cidades (</w:t>
      </w:r>
      <w:proofErr w:type="spellStart"/>
      <w:r w:rsidRPr="009520A5">
        <w:rPr>
          <w:rFonts w:ascii="Times New Roman" w:eastAsia="Times New Roman" w:hAnsi="Times New Roman" w:cs="Times New Roman"/>
          <w:sz w:val="24"/>
          <w:szCs w:val="24"/>
        </w:rPr>
        <w:t>MCidades</w:t>
      </w:r>
      <w:proofErr w:type="spellEnd"/>
      <w:r w:rsidRPr="009520A5">
        <w:rPr>
          <w:rFonts w:ascii="Times New Roman" w:eastAsia="Times New Roman" w:hAnsi="Times New Roman" w:cs="Times New Roman"/>
          <w:sz w:val="24"/>
          <w:szCs w:val="24"/>
        </w:rPr>
        <w:t>) na reforma ministerial realizada logo no início do mandato de Jair Bolsonaro frente à Presidência da República (Medida Provisória nº 870/2019, convertida na Lei nº 13.844/2019). Diversas alterações foram feitas na estrutura regimental do novo Ministério desde então, vigorando, atualmente, o Decreto nº 11.065/2022</w:t>
      </w:r>
    </w:p>
    <w:p w14:paraId="00000071" w14:textId="55EA6991" w:rsidR="006F379A" w:rsidRPr="009520A5" w:rsidRDefault="00BC5B81"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F</w:t>
      </w:r>
      <w:r w:rsidR="00150FD6" w:rsidRPr="009520A5">
        <w:rPr>
          <w:rFonts w:ascii="Times New Roman" w:eastAsia="Times New Roman" w:hAnsi="Times New Roman" w:cs="Times New Roman"/>
          <w:sz w:val="24"/>
          <w:szCs w:val="24"/>
        </w:rPr>
        <w:t>ormou-se um “</w:t>
      </w:r>
      <w:proofErr w:type="spellStart"/>
      <w:proofErr w:type="gramStart"/>
      <w:r w:rsidR="00150FD6" w:rsidRPr="009520A5">
        <w:rPr>
          <w:rFonts w:ascii="Times New Roman" w:eastAsia="Times New Roman" w:hAnsi="Times New Roman" w:cs="Times New Roman"/>
          <w:sz w:val="24"/>
          <w:szCs w:val="24"/>
        </w:rPr>
        <w:t>super-ministério</w:t>
      </w:r>
      <w:proofErr w:type="spellEnd"/>
      <w:proofErr w:type="gramEnd"/>
      <w:r w:rsidR="00150FD6" w:rsidRPr="009520A5">
        <w:rPr>
          <w:rFonts w:ascii="Times New Roman" w:eastAsia="Times New Roman" w:hAnsi="Times New Roman" w:cs="Times New Roman"/>
          <w:sz w:val="24"/>
          <w:szCs w:val="24"/>
        </w:rPr>
        <w:t xml:space="preserve">”, responsável pela promoção do desenvolvimento territorial em diversas escalas geográficas e setores governamentais e pela gestão de importantes fundos públicos. Note-se que o MDR passou a se organizar em: Secretaria Executiva; Secretaria de Coordenação e Gestão; Secretaria Nacional de Segurança Hídrica; Secretaria de Fomento e Parcerias com o Setor Privado; Secretaria Nacional de Saneamento; </w:t>
      </w:r>
      <w:r w:rsidR="00150FD6" w:rsidRPr="009520A5">
        <w:rPr>
          <w:rFonts w:ascii="Times New Roman" w:eastAsia="Times New Roman" w:hAnsi="Times New Roman" w:cs="Times New Roman"/>
          <w:sz w:val="24"/>
          <w:szCs w:val="24"/>
        </w:rPr>
        <w:lastRenderedPageBreak/>
        <w:t xml:space="preserve">Secretaria Nacional de Habitação; Secretaria Nacional de Mobilidade e Desenvolvimento Regional e Urbano; e, Secretaria Nacional de Proteção e Defesa Civil. </w:t>
      </w:r>
    </w:p>
    <w:p w14:paraId="00000073" w14:textId="388D24E3" w:rsidR="006F379A" w:rsidRPr="003038ED" w:rsidRDefault="00150FD6" w:rsidP="003038ED">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Embora essa nova estrutura ministerial oportunize a necessária aproximação entre as políticas regionais e urbanas – historicamente concebidas, implementadas e executadas de maneira apartada –, ela pode também indicar a perda de visibilidade, poder e recursos das políticas urbanas, já que elas passaram para um nível inferior na estrutura político-administrativa, ou seja, deixaram de ser responsabilidade exclusiva de um ministério foram atribuídas à uma secretaria dentro de outro ministério. Além disso, possivelmente o MDR trouxe as marcas da desintegração e concorrência entre as secretarias responsáveis pelas políticas regionais, hídricas e de defesa civil do antigo MI (SILVA, 2017, p.376-378). Portanto, o contexto geral no qual as políticas regionais e urbanas passaram a conviver dentro de um mesmo órgão, talvez não tenha sido tão favorável. </w:t>
      </w:r>
    </w:p>
    <w:p w14:paraId="00000074" w14:textId="77777777" w:rsidR="006F379A" w:rsidRPr="009520A5" w:rsidRDefault="00150FD6" w:rsidP="009520A5">
      <w:pPr>
        <w:spacing w:after="0" w:line="360" w:lineRule="auto"/>
        <w:jc w:val="both"/>
        <w:rPr>
          <w:rFonts w:ascii="Times New Roman" w:eastAsia="Times New Roman" w:hAnsi="Times New Roman" w:cs="Times New Roman"/>
          <w:b/>
          <w:sz w:val="24"/>
          <w:szCs w:val="24"/>
        </w:rPr>
      </w:pPr>
      <w:r w:rsidRPr="009520A5">
        <w:rPr>
          <w:rFonts w:ascii="Times New Roman" w:eastAsia="Times New Roman" w:hAnsi="Times New Roman" w:cs="Times New Roman"/>
          <w:b/>
          <w:sz w:val="24"/>
          <w:szCs w:val="24"/>
        </w:rPr>
        <w:t>4.2 MUDANÇAS NORMATIVAS NOS INSTRUMENTOS DE FINANCIAMENTO DA PNDR</w:t>
      </w:r>
    </w:p>
    <w:p w14:paraId="00000075"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Após o </w:t>
      </w:r>
      <w:r w:rsidRPr="009520A5">
        <w:rPr>
          <w:rFonts w:ascii="Times New Roman" w:eastAsia="Times New Roman" w:hAnsi="Times New Roman" w:cs="Times New Roman"/>
          <w:i/>
          <w:sz w:val="24"/>
          <w:szCs w:val="24"/>
        </w:rPr>
        <w:t>impeachment</w:t>
      </w:r>
      <w:r w:rsidRPr="009520A5">
        <w:rPr>
          <w:rFonts w:ascii="Times New Roman" w:eastAsia="Times New Roman" w:hAnsi="Times New Roman" w:cs="Times New Roman"/>
          <w:sz w:val="24"/>
          <w:szCs w:val="24"/>
        </w:rPr>
        <w:t xml:space="preserve"> de Dilma Rousseff e ascensão do vice, Michel Temer, na Presidência da República, em 2016, mudanças normativas foram realizadas com o objetivo de modificar os rumos da política de desenvolvimento regional no Brasil. </w:t>
      </w:r>
    </w:p>
    <w:p w14:paraId="00000076"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Em relação aos recursos não reembolsáveis do Ministério da Integração Nacional (MI) e das Superintendências de Desenvolvimento Regional, as emendas parlamentares foram uma fonte importante de aplicação na década de 2010, em que a articulação com deputados e senadores se tornou relevante para aplicação em projetos enquadrados no orçamento como ações de desenvolvimento regional, a exemplo das elencadas no programa 2029 – Desenvolvimento Regional e Territorial presentes no </w:t>
      </w:r>
      <w:proofErr w:type="spellStart"/>
      <w:r w:rsidRPr="009520A5">
        <w:rPr>
          <w:rFonts w:ascii="Times New Roman" w:eastAsia="Times New Roman" w:hAnsi="Times New Roman" w:cs="Times New Roman"/>
          <w:sz w:val="24"/>
          <w:szCs w:val="24"/>
        </w:rPr>
        <w:t>PPAs</w:t>
      </w:r>
      <w:proofErr w:type="spellEnd"/>
      <w:r w:rsidRPr="009520A5">
        <w:rPr>
          <w:rFonts w:ascii="Times New Roman" w:eastAsia="Times New Roman" w:hAnsi="Times New Roman" w:cs="Times New Roman"/>
          <w:sz w:val="24"/>
          <w:szCs w:val="24"/>
        </w:rPr>
        <w:t xml:space="preserve"> do Governo Federal. </w:t>
      </w:r>
    </w:p>
    <w:p w14:paraId="00000077" w14:textId="3C6AC5EE"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No entanto, a Emenda Constitucional nº 105/2019, autorizou a chamada transferência especial, permitindo o repasse das emendas individuais impositivas diretamente aos estados e municípios, independente de convênios. Com isso, a função de intermediação, controle e, de certo ponto, </w:t>
      </w:r>
      <w:r w:rsidR="00BC5B81" w:rsidRPr="009520A5">
        <w:rPr>
          <w:rFonts w:ascii="Times New Roman" w:eastAsia="Times New Roman" w:hAnsi="Times New Roman" w:cs="Times New Roman"/>
          <w:sz w:val="24"/>
          <w:szCs w:val="24"/>
        </w:rPr>
        <w:t xml:space="preserve">possibilidade de </w:t>
      </w:r>
      <w:r w:rsidRPr="009520A5">
        <w:rPr>
          <w:rFonts w:ascii="Times New Roman" w:eastAsia="Times New Roman" w:hAnsi="Times New Roman" w:cs="Times New Roman"/>
          <w:sz w:val="24"/>
          <w:szCs w:val="24"/>
        </w:rPr>
        <w:t xml:space="preserve">orientação dos recursos públicos realizados pelas instituições envolvidas com a PNDR, torna-se menos possível. </w:t>
      </w:r>
      <w:sdt>
        <w:sdtPr>
          <w:tag w:val="goog_rdk_16"/>
          <w:id w:val="-1978221215"/>
        </w:sdtPr>
        <w:sdtContent/>
      </w:sdt>
      <w:sdt>
        <w:sdtPr>
          <w:tag w:val="goog_rdk_17"/>
          <w:id w:val="-1679571817"/>
        </w:sdtPr>
        <w:sdtContent/>
      </w:sdt>
    </w:p>
    <w:p w14:paraId="00000078" w14:textId="43D4D271" w:rsidR="006F379A" w:rsidRPr="009520A5" w:rsidRDefault="00BC5B81" w:rsidP="009520A5">
      <w:pPr>
        <w:spacing w:after="0" w:line="360" w:lineRule="auto"/>
        <w:ind w:firstLine="708"/>
        <w:jc w:val="both"/>
      </w:pPr>
      <w:r w:rsidRPr="009520A5">
        <w:rPr>
          <w:rFonts w:ascii="Times New Roman" w:eastAsia="Times New Roman" w:hAnsi="Times New Roman" w:cs="Times New Roman"/>
          <w:sz w:val="24"/>
          <w:szCs w:val="24"/>
        </w:rPr>
        <w:lastRenderedPageBreak/>
        <w:t xml:space="preserve">Outrossim, ganhou visibilidade as emendas do relator, o chamado “orçamento secreto”, </w:t>
      </w:r>
      <w:r w:rsidR="00D06CDF" w:rsidRPr="009520A5">
        <w:rPr>
          <w:rFonts w:ascii="Times New Roman" w:eastAsia="Times New Roman" w:hAnsi="Times New Roman" w:cs="Times New Roman"/>
          <w:sz w:val="24"/>
          <w:szCs w:val="24"/>
        </w:rPr>
        <w:t xml:space="preserve">no qual não são </w:t>
      </w:r>
      <w:proofErr w:type="gramStart"/>
      <w:r w:rsidR="00047028" w:rsidRPr="009520A5">
        <w:rPr>
          <w:rFonts w:ascii="Times New Roman" w:eastAsia="Times New Roman" w:hAnsi="Times New Roman" w:cs="Times New Roman"/>
          <w:sz w:val="24"/>
          <w:szCs w:val="24"/>
        </w:rPr>
        <w:t>descriminadas</w:t>
      </w:r>
      <w:proofErr w:type="gramEnd"/>
      <w:r w:rsidR="00047028" w:rsidRPr="009520A5">
        <w:rPr>
          <w:rFonts w:ascii="Times New Roman" w:eastAsia="Times New Roman" w:hAnsi="Times New Roman" w:cs="Times New Roman"/>
          <w:sz w:val="24"/>
          <w:szCs w:val="24"/>
        </w:rPr>
        <w:t xml:space="preserve"> os propositores das emendas parlamentares, um instrumento utilizado por </w:t>
      </w:r>
      <w:r w:rsidR="002E002D" w:rsidRPr="009520A5">
        <w:rPr>
          <w:rFonts w:ascii="Times New Roman" w:eastAsia="Times New Roman" w:hAnsi="Times New Roman" w:cs="Times New Roman"/>
          <w:sz w:val="24"/>
          <w:szCs w:val="24"/>
        </w:rPr>
        <w:t>instituições</w:t>
      </w:r>
      <w:r w:rsidR="00047028" w:rsidRPr="009520A5">
        <w:rPr>
          <w:rFonts w:ascii="Times New Roman" w:eastAsia="Times New Roman" w:hAnsi="Times New Roman" w:cs="Times New Roman"/>
          <w:sz w:val="24"/>
          <w:szCs w:val="24"/>
        </w:rPr>
        <w:t xml:space="preserve"> federais </w:t>
      </w:r>
      <w:r w:rsidR="002E002D" w:rsidRPr="009520A5">
        <w:rPr>
          <w:rFonts w:ascii="Times New Roman" w:eastAsia="Times New Roman" w:hAnsi="Times New Roman" w:cs="Times New Roman"/>
          <w:sz w:val="24"/>
          <w:szCs w:val="24"/>
        </w:rPr>
        <w:t xml:space="preserve">relacionadas a política de desenvolvimento regional </w:t>
      </w:r>
      <w:r w:rsidR="00047028" w:rsidRPr="009520A5">
        <w:rPr>
          <w:rFonts w:ascii="Times New Roman" w:eastAsia="Times New Roman" w:hAnsi="Times New Roman" w:cs="Times New Roman"/>
          <w:sz w:val="24"/>
          <w:szCs w:val="24"/>
        </w:rPr>
        <w:t>para financiar as ações orçamentários</w:t>
      </w:r>
      <w:r w:rsidR="002E002D" w:rsidRPr="009520A5">
        <w:rPr>
          <w:rFonts w:ascii="Times New Roman" w:eastAsia="Times New Roman" w:hAnsi="Times New Roman" w:cs="Times New Roman"/>
          <w:sz w:val="24"/>
          <w:szCs w:val="24"/>
        </w:rPr>
        <w:t xml:space="preserve">. </w:t>
      </w:r>
    </w:p>
    <w:p w14:paraId="0000007C" w14:textId="05FC7726"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Quanto aos incentivos fiscais administrados pelas superintendências, os mesmos foram estendidos até 2023, em um processo que encontrou resistências na base do governo de Jair Bolsonaro, eleito em 2018, culminando no veto pela Câmara dos Deputados acerca da adição dos estabelecimentos situados na área de abrangência da SUDECO como beneficiários dos incentivos, que permaneceram restritos às áreas da SUDAM e da SUDENE. A prorrogação até 31 de dezembro de </w:t>
      </w:r>
      <w:proofErr w:type="gramStart"/>
      <w:r w:rsidRPr="009520A5">
        <w:rPr>
          <w:rFonts w:ascii="Times New Roman" w:eastAsia="Times New Roman" w:hAnsi="Times New Roman" w:cs="Times New Roman"/>
          <w:sz w:val="24"/>
          <w:szCs w:val="24"/>
        </w:rPr>
        <w:t>2023  somente</w:t>
      </w:r>
      <w:proofErr w:type="gramEnd"/>
      <w:r w:rsidRPr="009520A5">
        <w:rPr>
          <w:rFonts w:ascii="Times New Roman" w:eastAsia="Times New Roman" w:hAnsi="Times New Roman" w:cs="Times New Roman"/>
          <w:sz w:val="24"/>
          <w:szCs w:val="24"/>
        </w:rPr>
        <w:t xml:space="preserve"> foi instituída pela Lei nº 13.799/2019, no entanto, um novo projeto de lei (PL nº 4.416/2021) objetiva estender os incentivos até 2028, </w:t>
      </w:r>
      <w:r w:rsidR="00047028" w:rsidRPr="009520A5">
        <w:rPr>
          <w:rFonts w:ascii="Times New Roman" w:eastAsia="Times New Roman" w:hAnsi="Times New Roman" w:cs="Times New Roman"/>
          <w:sz w:val="24"/>
          <w:szCs w:val="24"/>
        </w:rPr>
        <w:t xml:space="preserve">o que faz </w:t>
      </w:r>
      <w:proofErr w:type="spellStart"/>
      <w:r w:rsidRPr="009520A5">
        <w:rPr>
          <w:rFonts w:ascii="Times New Roman" w:eastAsia="Times New Roman" w:hAnsi="Times New Roman" w:cs="Times New Roman"/>
          <w:sz w:val="24"/>
          <w:szCs w:val="24"/>
        </w:rPr>
        <w:t>ressurg</w:t>
      </w:r>
      <w:r w:rsidR="00047028" w:rsidRPr="009520A5">
        <w:rPr>
          <w:rFonts w:ascii="Times New Roman" w:eastAsia="Times New Roman" w:hAnsi="Times New Roman" w:cs="Times New Roman"/>
          <w:sz w:val="24"/>
          <w:szCs w:val="24"/>
        </w:rPr>
        <w:t>ir</w:t>
      </w:r>
      <w:r w:rsidRPr="009520A5">
        <w:rPr>
          <w:rFonts w:ascii="Times New Roman" w:eastAsia="Times New Roman" w:hAnsi="Times New Roman" w:cs="Times New Roman"/>
          <w:sz w:val="24"/>
          <w:szCs w:val="24"/>
        </w:rPr>
        <w:t>o</w:t>
      </w:r>
      <w:proofErr w:type="spellEnd"/>
      <w:r w:rsidRPr="009520A5">
        <w:rPr>
          <w:rFonts w:ascii="Times New Roman" w:eastAsia="Times New Roman" w:hAnsi="Times New Roman" w:cs="Times New Roman"/>
          <w:sz w:val="24"/>
          <w:szCs w:val="24"/>
        </w:rPr>
        <w:t xml:space="preserve"> objetivo da renovação adicional.</w:t>
      </w:r>
    </w:p>
    <w:p w14:paraId="0000007D" w14:textId="4173A7A0"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As discussões recentes remetem ao prazo de duração do benefício, contudo, desde o início dos anos 2000, a legislação é rígida quanto aos setores prioritários do desenvolvimento regional (Decretos nº 4.212/2002 e 4.213/2002) e desde os anos 1960, é rígida normativamente quanto aos objetivos da política (vide o art. 3º do Decreto n° 60.296/1967, que aprovou o I Plano Diretor da SUDAM e definiu os objetivos em atração de investimentos e elevação da taxa de inversão na região). Com isso, o sistema de governança dos incentivos não se alinhou a PNDR instituída em 2007 e</w:t>
      </w:r>
      <w:r w:rsidR="00047028" w:rsidRPr="009520A5">
        <w:rPr>
          <w:rFonts w:ascii="Times New Roman" w:eastAsia="Times New Roman" w:hAnsi="Times New Roman" w:cs="Times New Roman"/>
          <w:sz w:val="24"/>
          <w:szCs w:val="24"/>
        </w:rPr>
        <w:t xml:space="preserve"> tampouco na </w:t>
      </w:r>
      <w:r w:rsidRPr="009520A5">
        <w:rPr>
          <w:rFonts w:ascii="Times New Roman" w:eastAsia="Times New Roman" w:hAnsi="Times New Roman" w:cs="Times New Roman"/>
          <w:sz w:val="24"/>
          <w:szCs w:val="24"/>
        </w:rPr>
        <w:t xml:space="preserve">nova versão aprovada em 2019. </w:t>
      </w:r>
    </w:p>
    <w:p w14:paraId="0000007E"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Quanto aos recursos reembolsáveis da PNDR, os Fundos de Desenvolvimento Regional (</w:t>
      </w:r>
      <w:proofErr w:type="spellStart"/>
      <w:r w:rsidRPr="009520A5">
        <w:rPr>
          <w:rFonts w:ascii="Times New Roman" w:eastAsia="Times New Roman" w:hAnsi="Times New Roman" w:cs="Times New Roman"/>
          <w:sz w:val="24"/>
          <w:szCs w:val="24"/>
        </w:rPr>
        <w:t>FDRs</w:t>
      </w:r>
      <w:proofErr w:type="spellEnd"/>
      <w:r w:rsidRPr="009520A5">
        <w:rPr>
          <w:rFonts w:ascii="Times New Roman" w:eastAsia="Times New Roman" w:hAnsi="Times New Roman" w:cs="Times New Roman"/>
          <w:sz w:val="24"/>
          <w:szCs w:val="24"/>
        </w:rPr>
        <w:t xml:space="preserve">), criados no início da década de 2000 para aplicação em projetos de infraestrutura, continuaram em processo de fragilização, apesar das tentativas de modificação. </w:t>
      </w:r>
    </w:p>
    <w:p w14:paraId="0000007F"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 A Lei nº 12.712/2012 e a Resolução CMN nº 4.171/2012 haviam “</w:t>
      </w:r>
      <w:proofErr w:type="spellStart"/>
      <w:r w:rsidRPr="009520A5">
        <w:rPr>
          <w:rFonts w:ascii="Times New Roman" w:eastAsia="Times New Roman" w:hAnsi="Times New Roman" w:cs="Times New Roman"/>
          <w:sz w:val="24"/>
          <w:szCs w:val="24"/>
        </w:rPr>
        <w:t>financeirizado</w:t>
      </w:r>
      <w:proofErr w:type="spellEnd"/>
      <w:r w:rsidRPr="009520A5">
        <w:rPr>
          <w:rFonts w:ascii="Times New Roman" w:eastAsia="Times New Roman" w:hAnsi="Times New Roman" w:cs="Times New Roman"/>
          <w:sz w:val="24"/>
          <w:szCs w:val="24"/>
        </w:rPr>
        <w:t xml:space="preserve">” os fundos, possibilitando a constituição de um patrimônio resultante do retorno das aplicações de empréstimos e juros, o que tornaria os fundos menos dependentes do Tesouro Nacional e dos processos orçamentários, como anteriormente no modelo de fundos contábeis. </w:t>
      </w:r>
    </w:p>
    <w:p w14:paraId="00000080"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Esperava-se da mudança a elevação do nível de aplicação de recursos, o que não foi alcançado. Em 2018, foram realizadas outras iniciativas, como a mudança na fórmula de definição dos encargos financeiros, que podem ser entendidos como a taxa de juros cobrada das </w:t>
      </w:r>
      <w:r w:rsidRPr="009520A5">
        <w:rPr>
          <w:rFonts w:ascii="Times New Roman" w:eastAsia="Times New Roman" w:hAnsi="Times New Roman" w:cs="Times New Roman"/>
          <w:sz w:val="24"/>
          <w:szCs w:val="24"/>
        </w:rPr>
        <w:lastRenderedPageBreak/>
        <w:t xml:space="preserve">aplicações. Foi inserido o Coeficiente de Desequilíbrio Regional (CDR) (Resolução CMN/BACEN nº 4.623/2018), uma espécie de redutor que altera o percentual de acordo com a macrorregião selecionada. Do mesmo modo, também foi inserido o Fator Programa (FP), que diferencia os percentuais de acordo com as prioridades espaciais e setoriais definidas pela governança dos fundos (Bancos de Desenvolvimento Regional, Superintendências e MI). </w:t>
      </w:r>
    </w:p>
    <w:p w14:paraId="00000081" w14:textId="0CF26F28"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Na governança, as mudanças de 2018 reduziram a centralização no CMN/BACEN (critérios financeiros) causada pelas Lei nº 12.712/2012 e Resolução CMN nº 4.171/2012 e inseriram na definição da taxa de juros critérios de política regional, o mesmo ocorrendo com os Fundos Constitucionais de Financiamento (</w:t>
      </w:r>
      <w:proofErr w:type="spellStart"/>
      <w:r w:rsidRPr="009520A5">
        <w:rPr>
          <w:rFonts w:ascii="Times New Roman" w:eastAsia="Times New Roman" w:hAnsi="Times New Roman" w:cs="Times New Roman"/>
          <w:sz w:val="24"/>
          <w:szCs w:val="24"/>
        </w:rPr>
        <w:t>FCFs</w:t>
      </w:r>
      <w:proofErr w:type="spellEnd"/>
      <w:r w:rsidRPr="009520A5">
        <w:rPr>
          <w:rFonts w:ascii="Times New Roman" w:eastAsia="Times New Roman" w:hAnsi="Times New Roman" w:cs="Times New Roman"/>
          <w:sz w:val="24"/>
          <w:szCs w:val="24"/>
        </w:rPr>
        <w:t xml:space="preserve">). Trata-se de um movimento contraditório, uma vez que se buscava reduzir a participação do Estado sobre a economia a partir do </w:t>
      </w:r>
      <w:r w:rsidRPr="009520A5">
        <w:rPr>
          <w:rFonts w:ascii="Times New Roman" w:eastAsia="Times New Roman" w:hAnsi="Times New Roman" w:cs="Times New Roman"/>
          <w:i/>
          <w:sz w:val="24"/>
          <w:szCs w:val="24"/>
        </w:rPr>
        <w:t>impeachment</w:t>
      </w:r>
      <w:r w:rsidRPr="009520A5">
        <w:rPr>
          <w:rFonts w:ascii="Times New Roman" w:eastAsia="Times New Roman" w:hAnsi="Times New Roman" w:cs="Times New Roman"/>
          <w:sz w:val="24"/>
          <w:szCs w:val="24"/>
        </w:rPr>
        <w:t xml:space="preserve"> e a alteração nos mecanismos de governança veio no sentido de fortalecimento das decisões da política regional, ao menos, em relação aos encargos financeiros dos fundos.  </w:t>
      </w:r>
    </w:p>
    <w:p w14:paraId="00000082"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No mesmo ano também foi aprovada a abertura para instituições financeiras privadas, extinguindo o monopólio dos bancos públicos federais (Lei nº 13.682/2018).  </w:t>
      </w:r>
    </w:p>
    <w:p w14:paraId="00000083"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No início do governo Bolsonaro, foi aprovada nova regulamentação dos fundos (Decreto nº 10.053/2019) que deu mais autonomia às superintendências, ao estabelecê-las como gestoras e regulamentadoras da participação em projetos de investimentos, o que as torna instâncias de regulamentação operacional dos fundos. Não obstante, vale destacar que o Ministério da Economia detinha atribuições sobre os fundos e surgia como centro de decisões na estrutura federal, por vezes, adotando ações desestabilizadoras sobre fundos não constitucionais, vide a tentativa de extinção dos fundos públicos pela PEC nº 187/2019.</w:t>
      </w:r>
    </w:p>
    <w:p w14:paraId="00000084" w14:textId="77777777" w:rsidR="006F379A" w:rsidRPr="009520A5" w:rsidRDefault="00150FD6"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A permanência da pandemia de covid-19, doença causada pelo novo coronavírus SARS-CoV-2, dificultou a averiguação dos resultados das mudanças sobre as aplicações dos fundos de desenvolvimento regional entre os anos de 2020 e 2021, contudo, os mesmos continuam com o mesmo patamar de poucos projetos aprovados. Isto é, modificaram-se normativos e legalmente fortaleceram-se instituições envolvidas com a PNDR, porém, foi um poder no vazio, em virtude do baixo nível de operação dos recursos. </w:t>
      </w:r>
    </w:p>
    <w:p w14:paraId="00000085" w14:textId="77777777" w:rsidR="006F379A" w:rsidRPr="009520A5" w:rsidRDefault="00150FD6" w:rsidP="009520A5">
      <w:pPr>
        <w:pBdr>
          <w:top w:val="nil"/>
          <w:left w:val="nil"/>
          <w:bottom w:val="nil"/>
          <w:right w:val="nil"/>
          <w:between w:val="nil"/>
        </w:pBdr>
        <w:spacing w:after="0" w:line="360" w:lineRule="auto"/>
        <w:ind w:firstLine="697"/>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Em relação aos Fundos Constitucionais de Financiamento (</w:t>
      </w:r>
      <w:proofErr w:type="spellStart"/>
      <w:r w:rsidRPr="009520A5">
        <w:rPr>
          <w:rFonts w:ascii="Times New Roman" w:eastAsia="Times New Roman" w:hAnsi="Times New Roman" w:cs="Times New Roman"/>
          <w:sz w:val="24"/>
          <w:szCs w:val="24"/>
        </w:rPr>
        <w:t>FCFs</w:t>
      </w:r>
      <w:proofErr w:type="spellEnd"/>
      <w:r w:rsidRPr="009520A5">
        <w:rPr>
          <w:rFonts w:ascii="Times New Roman" w:eastAsia="Times New Roman" w:hAnsi="Times New Roman" w:cs="Times New Roman"/>
          <w:sz w:val="24"/>
          <w:szCs w:val="24"/>
        </w:rPr>
        <w:t>), que representam o maior volume de recursos orientados pela PNDR, o panorama se difere dos demais.</w:t>
      </w:r>
    </w:p>
    <w:p w14:paraId="00000086" w14:textId="77777777" w:rsidR="006F379A" w:rsidRPr="009520A5" w:rsidRDefault="00150FD6" w:rsidP="009520A5">
      <w:pPr>
        <w:pBdr>
          <w:top w:val="nil"/>
          <w:left w:val="nil"/>
          <w:bottom w:val="nil"/>
          <w:right w:val="nil"/>
          <w:between w:val="nil"/>
        </w:pBdr>
        <w:spacing w:after="0" w:line="360" w:lineRule="auto"/>
        <w:ind w:firstLine="697"/>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lastRenderedPageBreak/>
        <w:t xml:space="preserve">Os </w:t>
      </w:r>
      <w:proofErr w:type="spellStart"/>
      <w:r w:rsidRPr="009520A5">
        <w:rPr>
          <w:rFonts w:ascii="Times New Roman" w:eastAsia="Times New Roman" w:hAnsi="Times New Roman" w:cs="Times New Roman"/>
          <w:sz w:val="24"/>
          <w:szCs w:val="24"/>
        </w:rPr>
        <w:t>FCFs</w:t>
      </w:r>
      <w:proofErr w:type="spellEnd"/>
      <w:r w:rsidRPr="009520A5">
        <w:rPr>
          <w:rFonts w:ascii="Times New Roman" w:eastAsia="Times New Roman" w:hAnsi="Times New Roman" w:cs="Times New Roman"/>
          <w:sz w:val="24"/>
          <w:szCs w:val="24"/>
        </w:rPr>
        <w:t xml:space="preserve"> são fundos de elevada execução orçamentárias desde 2003 e possuem recursos constitucionalmente garantidos pelo art. 159, inciso I, alínea c da Constituição de 1988, por meio das transferências de 3% do produto da arrecadação do IR e IPI para financiamento de setores produtivos nas regiões Norte, Nordeste e Centro-Oeste. Foi uma forma de institucionalizar fontes de financiamento para políticas de desenvolvimento regional, que não ficariam suscetíveis a contingenciamentos e conjunturas econômicas desfavoráveis.</w:t>
      </w:r>
    </w:p>
    <w:p w14:paraId="00000087" w14:textId="313650E1" w:rsidR="006F379A" w:rsidRPr="009520A5" w:rsidRDefault="00150FD6" w:rsidP="009520A5">
      <w:pPr>
        <w:pBdr>
          <w:top w:val="nil"/>
          <w:left w:val="nil"/>
          <w:bottom w:val="nil"/>
          <w:right w:val="nil"/>
          <w:between w:val="nil"/>
        </w:pBdr>
        <w:spacing w:after="0" w:line="360" w:lineRule="auto"/>
        <w:ind w:firstLine="697"/>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Em um cenário de crise fiscal e financeira ocorrido a partir de meados da década de 2010, diversos projetos de lei foram apresentados no congresso nacional com o intuito de desvincular os recursos e financiar demais grupos de interesses. Foram propostas para direcionamento ao Fundo de Manutenção e Desenvolvimento da Educação Básica (Fundeb), aos governos estaduais e a projetos de infraestrutura, como apontaram Lopes, Macedo e Monteiro Neto (2021).   </w:t>
      </w:r>
    </w:p>
    <w:p w14:paraId="00000088" w14:textId="77777777" w:rsidR="006F379A" w:rsidRPr="009520A5" w:rsidRDefault="00150FD6" w:rsidP="009520A5">
      <w:pPr>
        <w:pBdr>
          <w:top w:val="nil"/>
          <w:left w:val="nil"/>
          <w:bottom w:val="nil"/>
          <w:right w:val="nil"/>
          <w:between w:val="nil"/>
        </w:pBdr>
        <w:spacing w:after="0" w:line="360" w:lineRule="auto"/>
        <w:ind w:firstLine="697"/>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A iniciativa que obteve êxito foi aprovada pela Lei nº 13. 530/2017, que autorizou a concessão de financiamento para alunos inscritos no Fundo de Financiamento ao Estudante do Ensino Superior (FIES) nas regiões abrangidas. Destaca-se também que, desde a Lei nº 12.716/2012, as atividades produtivas beneficiadas foram ampliadas para os setores de comércio e serviços, que antes se restringiam a agropecuária, mineração, indústria e agroindústria. Nessas alterações, se mantiveram as vinculações às prioridades estabelecidas nos planos regionais de desenvolvimento, algo que os incentivos fiscais e as emendas parlamentares pouco se conectam normativamente.</w:t>
      </w:r>
    </w:p>
    <w:p w14:paraId="00000089" w14:textId="77777777" w:rsidR="006F379A" w:rsidRPr="009520A5" w:rsidRDefault="00150FD6" w:rsidP="009520A5">
      <w:pPr>
        <w:pBdr>
          <w:top w:val="nil"/>
          <w:left w:val="nil"/>
          <w:bottom w:val="nil"/>
          <w:right w:val="nil"/>
          <w:between w:val="nil"/>
        </w:pBdr>
        <w:spacing w:after="0" w:line="360" w:lineRule="auto"/>
        <w:ind w:firstLine="697"/>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Do mesmo modo, alterações normativas passadas foram mais usadas em financiamentos recentes. A Lei nº 11.775/2008 possibilitou o financiamento de empreendimentos de infraestrutura nas regiões-alvo, com o intuito de complementariedade aos desembolsos dos Fundos de Desenvolvimento Regional e do Banco Nacional de Desenvolvimento Econômico e Social (BNDES). Neste contexto, os fundos de desenvolvimento regional detinham determinada carteira de desembolsos, como averiguaram Portugal et al (2017) e o BNDES era um importante </w:t>
      </w:r>
      <w:proofErr w:type="spellStart"/>
      <w:r w:rsidRPr="009520A5">
        <w:rPr>
          <w:rFonts w:ascii="Times New Roman" w:eastAsia="Times New Roman" w:hAnsi="Times New Roman" w:cs="Times New Roman"/>
          <w:i/>
          <w:sz w:val="24"/>
          <w:szCs w:val="24"/>
        </w:rPr>
        <w:t>funding</w:t>
      </w:r>
      <w:proofErr w:type="spellEnd"/>
      <w:r w:rsidRPr="009520A5">
        <w:rPr>
          <w:rFonts w:ascii="Times New Roman" w:eastAsia="Times New Roman" w:hAnsi="Times New Roman" w:cs="Times New Roman"/>
          <w:i/>
          <w:sz w:val="24"/>
          <w:szCs w:val="24"/>
        </w:rPr>
        <w:t xml:space="preserve"> </w:t>
      </w:r>
      <w:r w:rsidRPr="009520A5">
        <w:rPr>
          <w:rFonts w:ascii="Times New Roman" w:eastAsia="Times New Roman" w:hAnsi="Times New Roman" w:cs="Times New Roman"/>
          <w:sz w:val="24"/>
          <w:szCs w:val="24"/>
        </w:rPr>
        <w:t>de recursos ao setor produtivo, visto os aportes do Tesouro Nacional e o Programa de Aceleração do Crescimento (PAC) (MITTENHOFF, 2018).</w:t>
      </w:r>
    </w:p>
    <w:p w14:paraId="0000008A" w14:textId="77777777" w:rsidR="006F379A" w:rsidRPr="009520A5" w:rsidRDefault="00150FD6" w:rsidP="009520A5">
      <w:pPr>
        <w:pBdr>
          <w:top w:val="nil"/>
          <w:left w:val="nil"/>
          <w:bottom w:val="nil"/>
          <w:right w:val="nil"/>
          <w:between w:val="nil"/>
        </w:pBdr>
        <w:spacing w:after="0" w:line="360" w:lineRule="auto"/>
        <w:ind w:firstLine="697"/>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lastRenderedPageBreak/>
        <w:t xml:space="preserve">Contudo, com a mudança de cenário após o </w:t>
      </w:r>
      <w:r w:rsidRPr="009520A5">
        <w:rPr>
          <w:rFonts w:ascii="Times New Roman" w:eastAsia="Times New Roman" w:hAnsi="Times New Roman" w:cs="Times New Roman"/>
          <w:i/>
          <w:sz w:val="24"/>
          <w:szCs w:val="24"/>
        </w:rPr>
        <w:t>impeachment</w:t>
      </w:r>
      <w:r w:rsidRPr="009520A5">
        <w:rPr>
          <w:rFonts w:ascii="Times New Roman" w:eastAsia="Times New Roman" w:hAnsi="Times New Roman" w:cs="Times New Roman"/>
          <w:sz w:val="24"/>
          <w:szCs w:val="24"/>
        </w:rPr>
        <w:t xml:space="preserve">, os </w:t>
      </w:r>
      <w:proofErr w:type="spellStart"/>
      <w:r w:rsidRPr="009520A5">
        <w:rPr>
          <w:rFonts w:ascii="Times New Roman" w:eastAsia="Times New Roman" w:hAnsi="Times New Roman" w:cs="Times New Roman"/>
          <w:sz w:val="24"/>
          <w:szCs w:val="24"/>
        </w:rPr>
        <w:t>FCFs</w:t>
      </w:r>
      <w:proofErr w:type="spellEnd"/>
      <w:r w:rsidRPr="009520A5">
        <w:rPr>
          <w:rFonts w:ascii="Times New Roman" w:eastAsia="Times New Roman" w:hAnsi="Times New Roman" w:cs="Times New Roman"/>
          <w:sz w:val="24"/>
          <w:szCs w:val="24"/>
        </w:rPr>
        <w:t xml:space="preserve"> foram cada vez mais utilizados para financiar setores de infraestrutura. O </w:t>
      </w:r>
      <w:r w:rsidRPr="009520A5">
        <w:rPr>
          <w:rFonts w:ascii="Times New Roman" w:eastAsia="Times New Roman" w:hAnsi="Times New Roman" w:cs="Times New Roman"/>
          <w:i/>
          <w:sz w:val="24"/>
          <w:szCs w:val="24"/>
        </w:rPr>
        <w:t>boom</w:t>
      </w:r>
      <w:r w:rsidRPr="009520A5">
        <w:rPr>
          <w:rFonts w:ascii="Times New Roman" w:eastAsia="Times New Roman" w:hAnsi="Times New Roman" w:cs="Times New Roman"/>
          <w:sz w:val="24"/>
          <w:szCs w:val="24"/>
        </w:rPr>
        <w:t xml:space="preserve"> ocorreu durante a pandemia, sobretudo em 2020, quando o setor exibiu uma elevação no nível de concessões em relação aos períodos anteriores. A principal hipótese para explicar este cenário foi a restrição das linhas de crédito público e privado que antes cumpriam este papel, ocasionada pela situação de calamidade sanitária e a necessidade </w:t>
      </w:r>
      <w:proofErr w:type="gramStart"/>
      <w:r w:rsidRPr="009520A5">
        <w:rPr>
          <w:rFonts w:ascii="Times New Roman" w:eastAsia="Times New Roman" w:hAnsi="Times New Roman" w:cs="Times New Roman"/>
          <w:sz w:val="24"/>
          <w:szCs w:val="24"/>
        </w:rPr>
        <w:t>dos</w:t>
      </w:r>
      <w:proofErr w:type="gramEnd"/>
      <w:r w:rsidRPr="009520A5">
        <w:rPr>
          <w:rFonts w:ascii="Times New Roman" w:eastAsia="Times New Roman" w:hAnsi="Times New Roman" w:cs="Times New Roman"/>
          <w:sz w:val="24"/>
          <w:szCs w:val="24"/>
        </w:rPr>
        <w:t xml:space="preserve"> bancos de desenvolvimento regional cumprirem metas de alocação de recursos, aferindo aumento na destinação para projetos de infraestrutura.</w:t>
      </w:r>
    </w:p>
    <w:p w14:paraId="0000008B" w14:textId="77777777" w:rsidR="006F379A" w:rsidRPr="009520A5" w:rsidRDefault="00150FD6" w:rsidP="009520A5">
      <w:pPr>
        <w:pBdr>
          <w:top w:val="nil"/>
          <w:left w:val="nil"/>
          <w:bottom w:val="nil"/>
          <w:right w:val="nil"/>
          <w:between w:val="nil"/>
        </w:pBdr>
        <w:spacing w:after="0" w:line="360" w:lineRule="auto"/>
        <w:ind w:firstLine="697"/>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Os </w:t>
      </w:r>
      <w:proofErr w:type="spellStart"/>
      <w:r w:rsidRPr="009520A5">
        <w:rPr>
          <w:rFonts w:ascii="Times New Roman" w:eastAsia="Times New Roman" w:hAnsi="Times New Roman" w:cs="Times New Roman"/>
          <w:sz w:val="24"/>
          <w:szCs w:val="24"/>
        </w:rPr>
        <w:t>FCFs</w:t>
      </w:r>
      <w:proofErr w:type="spellEnd"/>
      <w:r w:rsidRPr="009520A5">
        <w:rPr>
          <w:rFonts w:ascii="Times New Roman" w:eastAsia="Times New Roman" w:hAnsi="Times New Roman" w:cs="Times New Roman"/>
          <w:sz w:val="24"/>
          <w:szCs w:val="24"/>
        </w:rPr>
        <w:t xml:space="preserve"> também tiveram modificações nas formas de aplicação e nos encargos financeiros. Nas formas de aplicação, buscou-se ampliar o número de agentes operadores, a nosso ver, na intenção de reduzir a participação dos bancos públicos no financiamento da economia. Inclusive, foi fixado o percentual de 10% de repasse para cooperativas de crédito nas regiões Norte (FNO) e Centro-Oeste (FCO), conforme alteração no art. 9, </w:t>
      </w:r>
      <w:r w:rsidRPr="009520A5">
        <w:rPr>
          <w:rFonts w:ascii="Times New Roman" w:eastAsia="Times New Roman" w:hAnsi="Times New Roman" w:cs="Times New Roman"/>
        </w:rPr>
        <w:t>§ 3º da Lei nº 7827/1989</w:t>
      </w:r>
      <w:r w:rsidRPr="009520A5">
        <w:rPr>
          <w:rFonts w:ascii="Times New Roman" w:eastAsia="Times New Roman" w:hAnsi="Times New Roman" w:cs="Times New Roman"/>
          <w:sz w:val="24"/>
          <w:szCs w:val="24"/>
        </w:rPr>
        <w:t xml:space="preserve">. Porém, este foi um processo mais longo e complexo que nos </w:t>
      </w:r>
      <w:proofErr w:type="spellStart"/>
      <w:r w:rsidRPr="009520A5">
        <w:rPr>
          <w:rFonts w:ascii="Times New Roman" w:eastAsia="Times New Roman" w:hAnsi="Times New Roman" w:cs="Times New Roman"/>
          <w:sz w:val="24"/>
          <w:szCs w:val="24"/>
        </w:rPr>
        <w:t>FDRs</w:t>
      </w:r>
      <w:proofErr w:type="spellEnd"/>
      <w:r w:rsidRPr="009520A5">
        <w:rPr>
          <w:rFonts w:ascii="Times New Roman" w:eastAsia="Times New Roman" w:hAnsi="Times New Roman" w:cs="Times New Roman"/>
          <w:sz w:val="24"/>
          <w:szCs w:val="24"/>
        </w:rPr>
        <w:t>.</w:t>
      </w:r>
    </w:p>
    <w:p w14:paraId="0000008C" w14:textId="77777777" w:rsidR="006F379A" w:rsidRPr="009520A5" w:rsidRDefault="00150FD6" w:rsidP="009520A5">
      <w:pPr>
        <w:pBdr>
          <w:top w:val="nil"/>
          <w:left w:val="nil"/>
          <w:bottom w:val="nil"/>
          <w:right w:val="nil"/>
          <w:between w:val="nil"/>
        </w:pBdr>
        <w:spacing w:after="0" w:line="360" w:lineRule="auto"/>
        <w:ind w:firstLine="697"/>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No texto original da Lei nº 7.827/1989, era autorizado o repasse de recursos dos </w:t>
      </w:r>
      <w:proofErr w:type="spellStart"/>
      <w:r w:rsidRPr="009520A5">
        <w:rPr>
          <w:rFonts w:ascii="Times New Roman" w:eastAsia="Times New Roman" w:hAnsi="Times New Roman" w:cs="Times New Roman"/>
          <w:sz w:val="24"/>
          <w:szCs w:val="24"/>
        </w:rPr>
        <w:t>FCFs</w:t>
      </w:r>
      <w:proofErr w:type="spellEnd"/>
      <w:r w:rsidRPr="009520A5">
        <w:rPr>
          <w:rFonts w:ascii="Times New Roman" w:eastAsia="Times New Roman" w:hAnsi="Times New Roman" w:cs="Times New Roman"/>
          <w:sz w:val="24"/>
          <w:szCs w:val="24"/>
        </w:rPr>
        <w:t xml:space="preserve"> para bancos estaduais. Com a Lei nº 10.177/2001), o artigo 9º foi ampliado para instituições financeiras autorizadas a funcionar pelo Banco Central do Brasil (Bacen), apesar de na prática, os bancos de desenvolvimento regional continuarem com o monopólio das aplicações.</w:t>
      </w:r>
    </w:p>
    <w:p w14:paraId="0000008D" w14:textId="77777777" w:rsidR="006F379A" w:rsidRPr="009520A5" w:rsidRDefault="00150FD6" w:rsidP="009520A5">
      <w:pPr>
        <w:pBdr>
          <w:top w:val="nil"/>
          <w:left w:val="nil"/>
          <w:bottom w:val="nil"/>
          <w:right w:val="nil"/>
          <w:between w:val="nil"/>
        </w:pBdr>
        <w:spacing w:after="0" w:line="360" w:lineRule="auto"/>
        <w:ind w:firstLine="697"/>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A partir da Lei nº 14.227/2021, foi regulamentado que as instituições financeiras beneficiárias dos repasses deveriam assumir integralmente o risco da operação perante o respectivo Fundo. Isso significou que os </w:t>
      </w:r>
      <w:proofErr w:type="spellStart"/>
      <w:r w:rsidRPr="009520A5">
        <w:rPr>
          <w:rFonts w:ascii="Times New Roman" w:eastAsia="Times New Roman" w:hAnsi="Times New Roman" w:cs="Times New Roman"/>
          <w:sz w:val="24"/>
          <w:szCs w:val="24"/>
        </w:rPr>
        <w:t>FCFs</w:t>
      </w:r>
      <w:proofErr w:type="spellEnd"/>
      <w:r w:rsidRPr="009520A5">
        <w:rPr>
          <w:rFonts w:ascii="Times New Roman" w:eastAsia="Times New Roman" w:hAnsi="Times New Roman" w:cs="Times New Roman"/>
          <w:sz w:val="24"/>
          <w:szCs w:val="24"/>
        </w:rPr>
        <w:t xml:space="preserve"> poderiam ser operados por instituições financeiras privadas, desde que elas assumam o risco total da operação, algo que não limita os bancos administradores dos </w:t>
      </w:r>
      <w:proofErr w:type="spellStart"/>
      <w:r w:rsidRPr="009520A5">
        <w:rPr>
          <w:rFonts w:ascii="Times New Roman" w:eastAsia="Times New Roman" w:hAnsi="Times New Roman" w:cs="Times New Roman"/>
          <w:sz w:val="24"/>
          <w:szCs w:val="24"/>
        </w:rPr>
        <w:t>FCFs</w:t>
      </w:r>
      <w:proofErr w:type="spellEnd"/>
      <w:r w:rsidRPr="009520A5">
        <w:rPr>
          <w:rFonts w:ascii="Times New Roman" w:eastAsia="Times New Roman" w:hAnsi="Times New Roman" w:cs="Times New Roman"/>
          <w:sz w:val="24"/>
          <w:szCs w:val="24"/>
        </w:rPr>
        <w:t xml:space="preserve">. O Banco do Nordeste (BNB), Banco da Amazônia S.A (Basa) e Banco do Brasil (BB) podem optar pela assunção integral do risco nas operações, pelo risco compartilhado em 50% e pelo risco integral dos </w:t>
      </w:r>
      <w:proofErr w:type="spellStart"/>
      <w:r w:rsidRPr="009520A5">
        <w:rPr>
          <w:rFonts w:ascii="Times New Roman" w:eastAsia="Times New Roman" w:hAnsi="Times New Roman" w:cs="Times New Roman"/>
          <w:sz w:val="24"/>
          <w:szCs w:val="24"/>
        </w:rPr>
        <w:t>FCFs</w:t>
      </w:r>
      <w:proofErr w:type="spellEnd"/>
      <w:r w:rsidRPr="009520A5">
        <w:rPr>
          <w:rFonts w:ascii="Times New Roman" w:eastAsia="Times New Roman" w:hAnsi="Times New Roman" w:cs="Times New Roman"/>
          <w:sz w:val="24"/>
          <w:szCs w:val="24"/>
        </w:rPr>
        <w:t xml:space="preserve"> (Lei nº 10.177/2001). Ou seja, ampliaram-se os agentes, mas não muito, resguardando os bancos públicos.</w:t>
      </w:r>
    </w:p>
    <w:p w14:paraId="0000008E" w14:textId="77777777" w:rsidR="006F379A" w:rsidRPr="009520A5" w:rsidRDefault="00150FD6" w:rsidP="009520A5">
      <w:pPr>
        <w:pBdr>
          <w:top w:val="nil"/>
          <w:left w:val="nil"/>
          <w:bottom w:val="nil"/>
          <w:right w:val="nil"/>
          <w:between w:val="nil"/>
        </w:pBdr>
        <w:spacing w:after="0" w:line="360" w:lineRule="auto"/>
        <w:ind w:firstLine="697"/>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A lei estabelece critérios para cada possibilidade, mas a maioria das operações no Norte e Nordeste possuem risco compartilhado. Desde a Medida Provisória n° 2.196-3/2001, os bancos podem optar por ganhar 6% de Del </w:t>
      </w:r>
      <w:proofErr w:type="spellStart"/>
      <w:r w:rsidRPr="009520A5">
        <w:rPr>
          <w:rFonts w:ascii="Times New Roman" w:eastAsia="Times New Roman" w:hAnsi="Times New Roman" w:cs="Times New Roman"/>
          <w:sz w:val="24"/>
          <w:szCs w:val="24"/>
        </w:rPr>
        <w:t>Credere</w:t>
      </w:r>
      <w:proofErr w:type="spellEnd"/>
      <w:r w:rsidRPr="009520A5">
        <w:rPr>
          <w:rFonts w:ascii="Times New Roman" w:eastAsia="Times New Roman" w:hAnsi="Times New Roman" w:cs="Times New Roman"/>
          <w:sz w:val="24"/>
          <w:szCs w:val="24"/>
        </w:rPr>
        <w:t xml:space="preserve"> – uma espécie de comissão pelo serviço </w:t>
      </w:r>
      <w:r w:rsidRPr="009520A5">
        <w:rPr>
          <w:rFonts w:ascii="Times New Roman" w:eastAsia="Times New Roman" w:hAnsi="Times New Roman" w:cs="Times New Roman"/>
          <w:sz w:val="24"/>
          <w:szCs w:val="24"/>
        </w:rPr>
        <w:lastRenderedPageBreak/>
        <w:t>prestado – se assumirem o risco integral e 3% se assumirem risco compartilhado. O BNB e o Basa são mais conservadores enquanto o BB assume risco integral na maioria das operações.</w:t>
      </w:r>
    </w:p>
    <w:p w14:paraId="0000008F" w14:textId="77777777" w:rsidR="006F379A" w:rsidRPr="009520A5" w:rsidRDefault="00150FD6" w:rsidP="009520A5">
      <w:pPr>
        <w:pBdr>
          <w:top w:val="nil"/>
          <w:left w:val="nil"/>
          <w:bottom w:val="nil"/>
          <w:right w:val="nil"/>
          <w:between w:val="nil"/>
        </w:pBdr>
        <w:spacing w:after="0" w:line="360" w:lineRule="auto"/>
        <w:ind w:firstLine="697"/>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 As leis do período recente que buscaram reduzir a participação dos bancos públicos brasileiros de desenvolvimento regional enfrentam barreiras, como a permanência do risco compartilhado, mas em outros pontos obtiveram êxito. A taxa de administração dos </w:t>
      </w:r>
      <w:proofErr w:type="spellStart"/>
      <w:r w:rsidRPr="009520A5">
        <w:rPr>
          <w:rFonts w:ascii="Times New Roman" w:eastAsia="Times New Roman" w:hAnsi="Times New Roman" w:cs="Times New Roman"/>
          <w:sz w:val="24"/>
          <w:szCs w:val="24"/>
        </w:rPr>
        <w:t>FCFs</w:t>
      </w:r>
      <w:proofErr w:type="spellEnd"/>
      <w:r w:rsidRPr="009520A5">
        <w:rPr>
          <w:rFonts w:ascii="Times New Roman" w:eastAsia="Times New Roman" w:hAnsi="Times New Roman" w:cs="Times New Roman"/>
          <w:sz w:val="24"/>
          <w:szCs w:val="24"/>
        </w:rPr>
        <w:t xml:space="preserve"> cobrada pelos bancos se reduziu de 3% em 2018 para uma previsão de 1,5% sobre o patrimônio líquido em 2023, conforme alteração dada pela lei nº 13.682/2018. </w:t>
      </w:r>
    </w:p>
    <w:p w14:paraId="00000090" w14:textId="77777777" w:rsidR="006F379A" w:rsidRPr="009520A5" w:rsidRDefault="00150FD6" w:rsidP="009520A5">
      <w:pPr>
        <w:pBdr>
          <w:top w:val="nil"/>
          <w:left w:val="nil"/>
          <w:bottom w:val="nil"/>
          <w:right w:val="nil"/>
          <w:between w:val="nil"/>
        </w:pBdr>
        <w:spacing w:after="0" w:line="360" w:lineRule="auto"/>
        <w:ind w:firstLine="697"/>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Alterações semelhantes ocorreram com os encargos financeiros dos </w:t>
      </w:r>
      <w:proofErr w:type="spellStart"/>
      <w:r w:rsidRPr="009520A5">
        <w:rPr>
          <w:rFonts w:ascii="Times New Roman" w:eastAsia="Times New Roman" w:hAnsi="Times New Roman" w:cs="Times New Roman"/>
          <w:sz w:val="24"/>
          <w:szCs w:val="24"/>
        </w:rPr>
        <w:t>FCFs</w:t>
      </w:r>
      <w:proofErr w:type="spellEnd"/>
      <w:r w:rsidRPr="009520A5">
        <w:rPr>
          <w:rFonts w:ascii="Times New Roman" w:eastAsia="Times New Roman" w:hAnsi="Times New Roman" w:cs="Times New Roman"/>
          <w:sz w:val="24"/>
          <w:szCs w:val="24"/>
        </w:rPr>
        <w:t>. A rigor, regiões alvo de políticas de desenvolvimento regionais deveriam apresentar taxas de juros inferiores em créditos de fomento produtivo. </w:t>
      </w:r>
    </w:p>
    <w:p w14:paraId="00000091" w14:textId="77777777" w:rsidR="006F379A" w:rsidRPr="009520A5" w:rsidRDefault="00150FD6" w:rsidP="009520A5">
      <w:pPr>
        <w:pBdr>
          <w:top w:val="nil"/>
          <w:left w:val="nil"/>
          <w:bottom w:val="nil"/>
          <w:right w:val="nil"/>
          <w:between w:val="nil"/>
        </w:pBdr>
        <w:spacing w:after="0" w:line="360" w:lineRule="auto"/>
        <w:ind w:firstLine="697"/>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Até 2017, os encargos financeiros dos </w:t>
      </w:r>
      <w:proofErr w:type="spellStart"/>
      <w:r w:rsidRPr="009520A5">
        <w:rPr>
          <w:rFonts w:ascii="Times New Roman" w:eastAsia="Times New Roman" w:hAnsi="Times New Roman" w:cs="Times New Roman"/>
          <w:sz w:val="24"/>
          <w:szCs w:val="24"/>
        </w:rPr>
        <w:t>FCFs</w:t>
      </w:r>
      <w:proofErr w:type="spellEnd"/>
      <w:r w:rsidRPr="009520A5">
        <w:rPr>
          <w:rFonts w:ascii="Times New Roman" w:eastAsia="Times New Roman" w:hAnsi="Times New Roman" w:cs="Times New Roman"/>
          <w:sz w:val="24"/>
          <w:szCs w:val="24"/>
        </w:rPr>
        <w:t xml:space="preserve"> eram calculados com base na Taxa de Juros a Longo Prazo (TJLP), geralmente inferior a taxa de juros SELIC, configurando um subsídio implícito aos </w:t>
      </w:r>
      <w:proofErr w:type="spellStart"/>
      <w:r w:rsidRPr="009520A5">
        <w:rPr>
          <w:rFonts w:ascii="Times New Roman" w:eastAsia="Times New Roman" w:hAnsi="Times New Roman" w:cs="Times New Roman"/>
          <w:sz w:val="24"/>
          <w:szCs w:val="24"/>
        </w:rPr>
        <w:t>FCFs</w:t>
      </w:r>
      <w:proofErr w:type="spellEnd"/>
      <w:r w:rsidRPr="009520A5">
        <w:rPr>
          <w:rFonts w:ascii="Times New Roman" w:eastAsia="Times New Roman" w:hAnsi="Times New Roman" w:cs="Times New Roman"/>
          <w:sz w:val="24"/>
          <w:szCs w:val="24"/>
        </w:rPr>
        <w:t xml:space="preserve">, isto é, os ganhos dos empréstimos públicos para o desenvolvimento regional eram inferiores à taxa de referência dos encargos financeiros no Brasil. Com isso, a União cobria a diferença entre as taxas de juros, uma forma de subsídio recorrente aos bancos públicos federais, não somente aos regionais. </w:t>
      </w:r>
    </w:p>
    <w:p w14:paraId="00000092" w14:textId="77777777" w:rsidR="006F379A" w:rsidRPr="009520A5" w:rsidRDefault="00150FD6" w:rsidP="009520A5">
      <w:pPr>
        <w:pBdr>
          <w:top w:val="nil"/>
          <w:left w:val="nil"/>
          <w:bottom w:val="nil"/>
          <w:right w:val="nil"/>
          <w:between w:val="nil"/>
        </w:pBdr>
        <w:spacing w:after="0" w:line="360" w:lineRule="auto"/>
        <w:ind w:firstLine="697"/>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A partir da Lei nº 13.483/2017, a TJLP foi substituída pela Taxa de Longo Prazo (TLP), que de acordo com a nova </w:t>
      </w:r>
      <w:proofErr w:type="gramStart"/>
      <w:r w:rsidRPr="009520A5">
        <w:rPr>
          <w:rFonts w:ascii="Times New Roman" w:eastAsia="Times New Roman" w:hAnsi="Times New Roman" w:cs="Times New Roman"/>
          <w:sz w:val="24"/>
          <w:szCs w:val="24"/>
        </w:rPr>
        <w:t>metodologia  se</w:t>
      </w:r>
      <w:proofErr w:type="gramEnd"/>
      <w:r w:rsidRPr="009520A5">
        <w:rPr>
          <w:rFonts w:ascii="Times New Roman" w:eastAsia="Times New Roman" w:hAnsi="Times New Roman" w:cs="Times New Roman"/>
          <w:sz w:val="24"/>
          <w:szCs w:val="24"/>
        </w:rPr>
        <w:t xml:space="preserve"> aproximou da taxa SELIC, o que reduziu o subsídio e tendeu a elevar a taxa de juros dos </w:t>
      </w:r>
      <w:proofErr w:type="spellStart"/>
      <w:r w:rsidRPr="009520A5">
        <w:rPr>
          <w:rFonts w:ascii="Times New Roman" w:eastAsia="Times New Roman" w:hAnsi="Times New Roman" w:cs="Times New Roman"/>
          <w:sz w:val="24"/>
          <w:szCs w:val="24"/>
        </w:rPr>
        <w:t>FCFs</w:t>
      </w:r>
      <w:proofErr w:type="spellEnd"/>
      <w:r w:rsidRPr="009520A5">
        <w:rPr>
          <w:rFonts w:ascii="Times New Roman" w:eastAsia="Times New Roman" w:hAnsi="Times New Roman" w:cs="Times New Roman"/>
          <w:sz w:val="24"/>
          <w:szCs w:val="24"/>
        </w:rPr>
        <w:t>.</w:t>
      </w:r>
    </w:p>
    <w:p w14:paraId="00000093" w14:textId="77777777" w:rsidR="006F379A" w:rsidRPr="009520A5" w:rsidRDefault="00150FD6" w:rsidP="009520A5">
      <w:pPr>
        <w:pBdr>
          <w:top w:val="nil"/>
          <w:left w:val="nil"/>
          <w:bottom w:val="nil"/>
          <w:right w:val="nil"/>
          <w:between w:val="nil"/>
        </w:pBdr>
        <w:spacing w:after="0" w:line="360" w:lineRule="auto"/>
        <w:ind w:firstLine="697"/>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Entretanto, a mudança foi além e forçou uma nova metodologia de cálculo sobre os encargos financeiros que levasse em conta a premissa das desigualdades regionais e do mesmo modo que nos </w:t>
      </w:r>
      <w:proofErr w:type="spellStart"/>
      <w:r w:rsidRPr="009520A5">
        <w:rPr>
          <w:rFonts w:ascii="Times New Roman" w:eastAsia="Times New Roman" w:hAnsi="Times New Roman" w:cs="Times New Roman"/>
          <w:sz w:val="24"/>
          <w:szCs w:val="24"/>
        </w:rPr>
        <w:t>FDRs</w:t>
      </w:r>
      <w:proofErr w:type="spellEnd"/>
      <w:r w:rsidRPr="009520A5">
        <w:rPr>
          <w:rFonts w:ascii="Times New Roman" w:eastAsia="Times New Roman" w:hAnsi="Times New Roman" w:cs="Times New Roman"/>
          <w:sz w:val="24"/>
          <w:szCs w:val="24"/>
        </w:rPr>
        <w:t>, foi aplicado um redutor. A Resolução Bacen nº 4.622/2018 incluiu o Coeficiente de Desequilíbrio Regional (CDR</w:t>
      </w:r>
      <w:proofErr w:type="gramStart"/>
      <w:r w:rsidRPr="009520A5">
        <w:rPr>
          <w:rFonts w:ascii="Times New Roman" w:eastAsia="Times New Roman" w:hAnsi="Times New Roman" w:cs="Times New Roman"/>
          <w:sz w:val="24"/>
          <w:szCs w:val="24"/>
        </w:rPr>
        <w:t>)</w:t>
      </w:r>
      <w:r w:rsidRPr="009520A5">
        <w:rPr>
          <w:rFonts w:ascii="Times New Roman" w:eastAsia="Times New Roman" w:hAnsi="Times New Roman" w:cs="Times New Roman"/>
          <w:sz w:val="24"/>
          <w:szCs w:val="24"/>
          <w:vertAlign w:val="superscript"/>
        </w:rPr>
        <w:t>[</w:t>
      </w:r>
      <w:proofErr w:type="gramEnd"/>
      <w:r w:rsidRPr="009520A5">
        <w:rPr>
          <w:rFonts w:ascii="Times New Roman" w:eastAsia="Times New Roman" w:hAnsi="Times New Roman" w:cs="Times New Roman"/>
          <w:sz w:val="24"/>
          <w:szCs w:val="24"/>
          <w:vertAlign w:val="superscript"/>
        </w:rPr>
        <w:t xml:space="preserve">1] </w:t>
      </w:r>
      <w:r w:rsidRPr="009520A5">
        <w:rPr>
          <w:rFonts w:ascii="Times New Roman" w:eastAsia="Times New Roman" w:hAnsi="Times New Roman" w:cs="Times New Roman"/>
          <w:sz w:val="24"/>
          <w:szCs w:val="24"/>
        </w:rPr>
        <w:t>e o Fator de Programa (FP), que diferencia o fator de acordo com a operação e a finalidade do crédito, como exemplo, uma operação de investimento em infraestrutura de água e esgoto tem fator menor que os investimentos dos empreendedores de grande porte.</w:t>
      </w:r>
    </w:p>
    <w:p w14:paraId="00000094" w14:textId="77777777" w:rsidR="006F379A" w:rsidRPr="009520A5" w:rsidRDefault="00150FD6" w:rsidP="009520A5">
      <w:pPr>
        <w:pBdr>
          <w:top w:val="nil"/>
          <w:left w:val="nil"/>
          <w:bottom w:val="nil"/>
          <w:right w:val="nil"/>
          <w:between w:val="nil"/>
        </w:pBdr>
        <w:spacing w:after="0" w:line="360" w:lineRule="auto"/>
        <w:ind w:firstLine="697"/>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Assim, definições oriundas do planejamento do desenvolvimento regional adentraram o cálculo da taxa de juros dos </w:t>
      </w:r>
      <w:proofErr w:type="spellStart"/>
      <w:r w:rsidRPr="009520A5">
        <w:rPr>
          <w:rFonts w:ascii="Times New Roman" w:eastAsia="Times New Roman" w:hAnsi="Times New Roman" w:cs="Times New Roman"/>
          <w:sz w:val="24"/>
          <w:szCs w:val="24"/>
        </w:rPr>
        <w:t>FCFs</w:t>
      </w:r>
      <w:proofErr w:type="spellEnd"/>
      <w:r w:rsidRPr="009520A5">
        <w:rPr>
          <w:rFonts w:ascii="Times New Roman" w:eastAsia="Times New Roman" w:hAnsi="Times New Roman" w:cs="Times New Roman"/>
          <w:sz w:val="24"/>
          <w:szCs w:val="24"/>
        </w:rPr>
        <w:t xml:space="preserve">, o que antes não era tangível. A atual normatização, (Resolução CMN n° 5.013/2022) manteve os indicadores e a Lei nº 14.227/2021 assegurou que </w:t>
      </w:r>
      <w:r w:rsidRPr="009520A5">
        <w:rPr>
          <w:rFonts w:ascii="Times New Roman" w:eastAsia="Times New Roman" w:hAnsi="Times New Roman" w:cs="Times New Roman"/>
          <w:sz w:val="24"/>
          <w:szCs w:val="24"/>
        </w:rPr>
        <w:lastRenderedPageBreak/>
        <w:t>os encargos financeiros das operações de crédito não rural seriam definidos pelo CMN, mas orientados pelo MDR, observada a PNDR e os planos regionais de desenvolvimento.  </w:t>
      </w:r>
    </w:p>
    <w:p w14:paraId="00000095" w14:textId="77777777" w:rsidR="006F379A" w:rsidRPr="009520A5" w:rsidRDefault="00150FD6" w:rsidP="009520A5">
      <w:pPr>
        <w:pBdr>
          <w:top w:val="nil"/>
          <w:left w:val="nil"/>
          <w:bottom w:val="nil"/>
          <w:right w:val="nil"/>
          <w:between w:val="nil"/>
        </w:pBdr>
        <w:spacing w:after="0" w:line="360" w:lineRule="auto"/>
        <w:ind w:firstLine="697"/>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Com isso, nota-se mais uma contradição entre as atitudes que fragilizaram os instrumentos normativos da PNDR, sobretudo de ordem fiscal e de mecanismos que surgiram para articular o planejamento com o financiamento.</w:t>
      </w:r>
    </w:p>
    <w:p w14:paraId="00000096" w14:textId="77777777" w:rsidR="006F379A" w:rsidRPr="009520A5" w:rsidRDefault="00150FD6" w:rsidP="009520A5">
      <w:pPr>
        <w:spacing w:after="0" w:line="360" w:lineRule="auto"/>
        <w:jc w:val="both"/>
        <w:rPr>
          <w:rFonts w:ascii="Times New Roman" w:eastAsia="Times New Roman" w:hAnsi="Times New Roman" w:cs="Times New Roman"/>
          <w:b/>
          <w:sz w:val="24"/>
          <w:szCs w:val="24"/>
        </w:rPr>
      </w:pPr>
      <w:r w:rsidRPr="009520A5">
        <w:rPr>
          <w:rFonts w:ascii="Times New Roman" w:eastAsia="Times New Roman" w:hAnsi="Times New Roman" w:cs="Times New Roman"/>
          <w:b/>
          <w:sz w:val="24"/>
          <w:szCs w:val="24"/>
        </w:rPr>
        <w:t xml:space="preserve">4.3 A INSTRUMENTALIZAÇÃO DAS FONTES DE FINANCIAMENTO PARA O DESENVOLVIMENTO REGIONAL: BALANÇO DO MDR E DOS </w:t>
      </w:r>
      <w:proofErr w:type="spellStart"/>
      <w:r w:rsidRPr="009520A5">
        <w:rPr>
          <w:rFonts w:ascii="Times New Roman" w:eastAsia="Times New Roman" w:hAnsi="Times New Roman" w:cs="Times New Roman"/>
          <w:b/>
          <w:sz w:val="24"/>
          <w:szCs w:val="24"/>
        </w:rPr>
        <w:t>FCs</w:t>
      </w:r>
      <w:proofErr w:type="spellEnd"/>
    </w:p>
    <w:p w14:paraId="00000097" w14:textId="7EF376D9" w:rsidR="006F379A" w:rsidRPr="009520A5" w:rsidRDefault="00150FD6" w:rsidP="009520A5">
      <w:pPr>
        <w:spacing w:after="0" w:line="360" w:lineRule="auto"/>
        <w:ind w:firstLine="720"/>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Este tópico complementa os anteriores ao apresentar </w:t>
      </w:r>
      <w:r w:rsidR="00E152EB" w:rsidRPr="009520A5">
        <w:rPr>
          <w:rFonts w:ascii="Times New Roman" w:eastAsia="Times New Roman" w:hAnsi="Times New Roman" w:cs="Times New Roman"/>
          <w:sz w:val="24"/>
          <w:szCs w:val="24"/>
        </w:rPr>
        <w:t xml:space="preserve">dados preliminares para tecer </w:t>
      </w:r>
      <w:r w:rsidRPr="009520A5">
        <w:rPr>
          <w:rFonts w:ascii="Times New Roman" w:eastAsia="Times New Roman" w:hAnsi="Times New Roman" w:cs="Times New Roman"/>
          <w:sz w:val="24"/>
          <w:szCs w:val="24"/>
        </w:rPr>
        <w:t xml:space="preserve">um breve balanço dos instrumentos de </w:t>
      </w:r>
      <w:proofErr w:type="gramStart"/>
      <w:r w:rsidRPr="009520A5">
        <w:rPr>
          <w:rFonts w:ascii="Times New Roman" w:eastAsia="Times New Roman" w:hAnsi="Times New Roman" w:cs="Times New Roman"/>
          <w:sz w:val="24"/>
          <w:szCs w:val="24"/>
        </w:rPr>
        <w:t>financiamento ,</w:t>
      </w:r>
      <w:proofErr w:type="gramEnd"/>
      <w:r w:rsidRPr="009520A5">
        <w:rPr>
          <w:rFonts w:ascii="Times New Roman" w:eastAsia="Times New Roman" w:hAnsi="Times New Roman" w:cs="Times New Roman"/>
          <w:sz w:val="24"/>
          <w:szCs w:val="24"/>
        </w:rPr>
        <w:t xml:space="preserve"> com enfoque nos dispêndios dos Fundos Constitucionais de Financiamento (</w:t>
      </w:r>
      <w:proofErr w:type="spellStart"/>
      <w:r w:rsidRPr="009520A5">
        <w:rPr>
          <w:rFonts w:ascii="Times New Roman" w:eastAsia="Times New Roman" w:hAnsi="Times New Roman" w:cs="Times New Roman"/>
          <w:sz w:val="24"/>
          <w:szCs w:val="24"/>
        </w:rPr>
        <w:t>FC</w:t>
      </w:r>
      <w:r w:rsidR="00FE49A2" w:rsidRPr="009520A5">
        <w:rPr>
          <w:rFonts w:ascii="Times New Roman" w:eastAsia="Times New Roman" w:hAnsi="Times New Roman" w:cs="Times New Roman"/>
          <w:sz w:val="24"/>
          <w:szCs w:val="24"/>
        </w:rPr>
        <w:t>F</w:t>
      </w:r>
      <w:r w:rsidRPr="009520A5">
        <w:rPr>
          <w:rFonts w:ascii="Times New Roman" w:eastAsia="Times New Roman" w:hAnsi="Times New Roman" w:cs="Times New Roman"/>
          <w:sz w:val="24"/>
          <w:szCs w:val="24"/>
        </w:rPr>
        <w:t>s</w:t>
      </w:r>
      <w:proofErr w:type="spellEnd"/>
      <w:r w:rsidRPr="009520A5">
        <w:rPr>
          <w:rFonts w:ascii="Times New Roman" w:eastAsia="Times New Roman" w:hAnsi="Times New Roman" w:cs="Times New Roman"/>
          <w:sz w:val="24"/>
          <w:szCs w:val="24"/>
        </w:rPr>
        <w:t>) , considerando o período de 2015 a 2022.</w:t>
      </w:r>
    </w:p>
    <w:p w14:paraId="0000009E" w14:textId="774E3D47" w:rsidR="006F379A" w:rsidRPr="009520A5" w:rsidRDefault="00150FD6" w:rsidP="009520A5">
      <w:pPr>
        <w:spacing w:after="0" w:line="360" w:lineRule="auto"/>
        <w:jc w:val="both"/>
        <w:rPr>
          <w:rFonts w:ascii="Times New Roman" w:eastAsia="Times New Roman" w:hAnsi="Times New Roman" w:cs="Times New Roman"/>
          <w:sz w:val="24"/>
          <w:szCs w:val="24"/>
        </w:rPr>
      </w:pPr>
      <w:r w:rsidRPr="009520A5">
        <w:rPr>
          <w:rFonts w:ascii="Times New Roman" w:eastAsia="Times New Roman" w:hAnsi="Times New Roman" w:cs="Times New Roman"/>
          <w:b/>
          <w:sz w:val="24"/>
          <w:szCs w:val="24"/>
        </w:rPr>
        <w:tab/>
      </w:r>
      <w:r w:rsidRPr="009520A5">
        <w:rPr>
          <w:rFonts w:ascii="Times New Roman" w:eastAsia="Times New Roman" w:hAnsi="Times New Roman" w:cs="Times New Roman"/>
          <w:sz w:val="24"/>
          <w:szCs w:val="24"/>
        </w:rPr>
        <w:t xml:space="preserve">Na Figura 2 </w:t>
      </w:r>
      <w:r w:rsidR="00FE49A2" w:rsidRPr="009520A5">
        <w:rPr>
          <w:rFonts w:ascii="Times New Roman" w:eastAsia="Times New Roman" w:hAnsi="Times New Roman" w:cs="Times New Roman"/>
          <w:sz w:val="24"/>
          <w:szCs w:val="24"/>
        </w:rPr>
        <w:t xml:space="preserve">é </w:t>
      </w:r>
      <w:r w:rsidRPr="009520A5">
        <w:rPr>
          <w:rFonts w:ascii="Times New Roman" w:eastAsia="Times New Roman" w:hAnsi="Times New Roman" w:cs="Times New Roman"/>
          <w:sz w:val="24"/>
          <w:szCs w:val="24"/>
        </w:rPr>
        <w:t>cotejad</w:t>
      </w:r>
      <w:r w:rsidR="00FE49A2" w:rsidRPr="009520A5">
        <w:rPr>
          <w:rFonts w:ascii="Times New Roman" w:eastAsia="Times New Roman" w:hAnsi="Times New Roman" w:cs="Times New Roman"/>
          <w:sz w:val="24"/>
          <w:szCs w:val="24"/>
        </w:rPr>
        <w:t>a</w:t>
      </w:r>
      <w:r w:rsidRPr="009520A5">
        <w:rPr>
          <w:rFonts w:ascii="Times New Roman" w:eastAsia="Times New Roman" w:hAnsi="Times New Roman" w:cs="Times New Roman"/>
          <w:sz w:val="24"/>
          <w:szCs w:val="24"/>
        </w:rPr>
        <w:t xml:space="preserve"> a comparação dos </w:t>
      </w:r>
      <w:r w:rsidR="00FE49A2" w:rsidRPr="009520A5">
        <w:rPr>
          <w:rFonts w:ascii="Times New Roman" w:eastAsia="Times New Roman" w:hAnsi="Times New Roman" w:cs="Times New Roman"/>
          <w:sz w:val="24"/>
          <w:szCs w:val="24"/>
        </w:rPr>
        <w:t xml:space="preserve">recursos sob supervisão dos </w:t>
      </w:r>
      <w:proofErr w:type="spellStart"/>
      <w:r w:rsidR="00FE49A2" w:rsidRPr="009520A5">
        <w:rPr>
          <w:rFonts w:ascii="Times New Roman" w:eastAsia="Times New Roman" w:hAnsi="Times New Roman" w:cs="Times New Roman"/>
          <w:sz w:val="24"/>
          <w:szCs w:val="24"/>
        </w:rPr>
        <w:t>FCFs</w:t>
      </w:r>
      <w:proofErr w:type="spellEnd"/>
      <w:r w:rsidR="00FE49A2" w:rsidRPr="009520A5">
        <w:rPr>
          <w:rFonts w:ascii="Times New Roman" w:eastAsia="Times New Roman" w:hAnsi="Times New Roman" w:cs="Times New Roman"/>
          <w:sz w:val="24"/>
          <w:szCs w:val="24"/>
        </w:rPr>
        <w:t xml:space="preserve">, extraídas do Sistema Integrado de Planejamento e Orçamento (SIOP) entre 2015 e 2022. </w:t>
      </w:r>
      <w:r w:rsidRPr="009520A5">
        <w:rPr>
          <w:rFonts w:ascii="Times New Roman" w:eastAsia="Times New Roman" w:hAnsi="Times New Roman" w:cs="Times New Roman"/>
          <w:sz w:val="24"/>
          <w:szCs w:val="24"/>
        </w:rPr>
        <w:t xml:space="preserve">Neste comparativo é possível dirimir que o FNE possui o maior recurso em comparação aos demais, e ao longo da seriação histórica apresentou um acréscimo de R$ </w:t>
      </w:r>
      <w:proofErr w:type="gramStart"/>
      <w:r w:rsidRPr="009520A5">
        <w:rPr>
          <w:rFonts w:ascii="Times New Roman" w:eastAsia="Times New Roman" w:hAnsi="Times New Roman" w:cs="Times New Roman"/>
          <w:sz w:val="24"/>
          <w:szCs w:val="24"/>
        </w:rPr>
        <w:t>4.265.000 ,</w:t>
      </w:r>
      <w:proofErr w:type="gramEnd"/>
      <w:r w:rsidRPr="009520A5">
        <w:rPr>
          <w:rFonts w:ascii="Times New Roman" w:eastAsia="Times New Roman" w:hAnsi="Times New Roman" w:cs="Times New Roman"/>
          <w:sz w:val="24"/>
          <w:szCs w:val="24"/>
        </w:rPr>
        <w:t xml:space="preserve"> em 2015, para R$ 17.300.000 , em 2020</w:t>
      </w:r>
      <w:r w:rsidR="00A5799F" w:rsidRPr="009520A5">
        <w:rPr>
          <w:rFonts w:ascii="Times New Roman" w:eastAsia="Times New Roman" w:hAnsi="Times New Roman" w:cs="Times New Roman"/>
          <w:sz w:val="24"/>
          <w:szCs w:val="24"/>
        </w:rPr>
        <w:t>, em dados não deflacionados</w:t>
      </w:r>
      <w:r w:rsidRPr="009520A5">
        <w:rPr>
          <w:rFonts w:ascii="Times New Roman" w:eastAsia="Times New Roman" w:hAnsi="Times New Roman" w:cs="Times New Roman"/>
          <w:sz w:val="24"/>
          <w:szCs w:val="24"/>
        </w:rPr>
        <w:t>. Ao passo que, no caso do FCO foi reduzido o</w:t>
      </w:r>
      <w:r w:rsidR="00A5799F" w:rsidRPr="009520A5">
        <w:rPr>
          <w:rFonts w:ascii="Times New Roman" w:eastAsia="Times New Roman" w:hAnsi="Times New Roman" w:cs="Times New Roman"/>
          <w:sz w:val="24"/>
          <w:szCs w:val="24"/>
        </w:rPr>
        <w:t>s recursos</w:t>
      </w:r>
      <w:r w:rsidR="009520A5" w:rsidRPr="009520A5">
        <w:rPr>
          <w:rFonts w:ascii="Times New Roman" w:eastAsia="Times New Roman" w:hAnsi="Times New Roman" w:cs="Times New Roman"/>
          <w:sz w:val="24"/>
          <w:szCs w:val="24"/>
        </w:rPr>
        <w:t>,</w:t>
      </w:r>
      <w:r w:rsidR="009520A5">
        <w:rPr>
          <w:rFonts w:ascii="Times New Roman" w:eastAsia="Times New Roman" w:hAnsi="Times New Roman" w:cs="Times New Roman"/>
          <w:sz w:val="24"/>
          <w:szCs w:val="24"/>
        </w:rPr>
        <w:t xml:space="preserve"> </w:t>
      </w:r>
      <w:r w:rsidRPr="009520A5">
        <w:rPr>
          <w:rFonts w:ascii="Times New Roman" w:eastAsia="Times New Roman" w:hAnsi="Times New Roman" w:cs="Times New Roman"/>
          <w:sz w:val="24"/>
          <w:szCs w:val="24"/>
        </w:rPr>
        <w:t xml:space="preserve">que passou de R$ </w:t>
      </w:r>
      <w:proofErr w:type="gramStart"/>
      <w:r w:rsidRPr="009520A5">
        <w:rPr>
          <w:rFonts w:ascii="Times New Roman" w:eastAsia="Times New Roman" w:hAnsi="Times New Roman" w:cs="Times New Roman"/>
          <w:sz w:val="24"/>
          <w:szCs w:val="24"/>
        </w:rPr>
        <w:t>10.167.249  em</w:t>
      </w:r>
      <w:proofErr w:type="gramEnd"/>
      <w:r w:rsidRPr="009520A5">
        <w:rPr>
          <w:rFonts w:ascii="Times New Roman" w:eastAsia="Times New Roman" w:hAnsi="Times New Roman" w:cs="Times New Roman"/>
          <w:sz w:val="24"/>
          <w:szCs w:val="24"/>
        </w:rPr>
        <w:t xml:space="preserve"> 2017</w:t>
      </w:r>
      <w:r w:rsidR="00A5799F" w:rsidRPr="009520A5">
        <w:rPr>
          <w:rFonts w:ascii="Times New Roman" w:eastAsia="Times New Roman" w:hAnsi="Times New Roman" w:cs="Times New Roman"/>
          <w:sz w:val="24"/>
          <w:szCs w:val="24"/>
        </w:rPr>
        <w:t>,</w:t>
      </w:r>
      <w:r w:rsidRPr="009520A5">
        <w:rPr>
          <w:rFonts w:ascii="Times New Roman" w:eastAsia="Times New Roman" w:hAnsi="Times New Roman" w:cs="Times New Roman"/>
          <w:sz w:val="24"/>
          <w:szCs w:val="24"/>
        </w:rPr>
        <w:t xml:space="preserve"> o maior valor alcançado, para R$ 6.513.537  em 2020, </w:t>
      </w:r>
      <w:r w:rsidR="00A5799F" w:rsidRPr="009520A5">
        <w:rPr>
          <w:rFonts w:ascii="Times New Roman" w:eastAsia="Times New Roman" w:hAnsi="Times New Roman" w:cs="Times New Roman"/>
          <w:sz w:val="24"/>
          <w:szCs w:val="24"/>
        </w:rPr>
        <w:t xml:space="preserve">resultando </w:t>
      </w:r>
      <w:r w:rsidRPr="009520A5">
        <w:rPr>
          <w:rFonts w:ascii="Times New Roman" w:eastAsia="Times New Roman" w:hAnsi="Times New Roman" w:cs="Times New Roman"/>
          <w:sz w:val="24"/>
          <w:szCs w:val="24"/>
        </w:rPr>
        <w:t xml:space="preserve"> na superação do FNO em termos comparativos</w:t>
      </w:r>
      <w:r w:rsidR="00A5799F" w:rsidRPr="009520A5">
        <w:rPr>
          <w:rFonts w:ascii="Times New Roman" w:eastAsia="Times New Roman" w:hAnsi="Times New Roman" w:cs="Times New Roman"/>
          <w:sz w:val="24"/>
          <w:szCs w:val="24"/>
        </w:rPr>
        <w:t xml:space="preserve">. </w:t>
      </w:r>
      <w:r w:rsidRPr="009520A5">
        <w:rPr>
          <w:rFonts w:ascii="Times New Roman" w:eastAsia="Times New Roman" w:hAnsi="Times New Roman" w:cs="Times New Roman"/>
          <w:sz w:val="24"/>
          <w:szCs w:val="24"/>
        </w:rPr>
        <w:t xml:space="preserve"> O avanço do FNO foi de R$ </w:t>
      </w:r>
      <w:r w:rsidR="009520A5" w:rsidRPr="009520A5">
        <w:rPr>
          <w:rFonts w:ascii="Times New Roman" w:eastAsia="Times New Roman" w:hAnsi="Times New Roman" w:cs="Times New Roman"/>
          <w:sz w:val="24"/>
          <w:szCs w:val="24"/>
        </w:rPr>
        <w:t>5.141.000 em</w:t>
      </w:r>
      <w:r w:rsidRPr="009520A5">
        <w:rPr>
          <w:rFonts w:ascii="Times New Roman" w:eastAsia="Times New Roman" w:hAnsi="Times New Roman" w:cs="Times New Roman"/>
          <w:sz w:val="24"/>
          <w:szCs w:val="24"/>
        </w:rPr>
        <w:t xml:space="preserve"> 2018 para R$ </w:t>
      </w:r>
      <w:proofErr w:type="gramStart"/>
      <w:r w:rsidRPr="009520A5">
        <w:rPr>
          <w:rFonts w:ascii="Times New Roman" w:eastAsia="Times New Roman" w:hAnsi="Times New Roman" w:cs="Times New Roman"/>
          <w:sz w:val="24"/>
          <w:szCs w:val="24"/>
        </w:rPr>
        <w:t>9.111.900  em</w:t>
      </w:r>
      <w:proofErr w:type="gramEnd"/>
      <w:r w:rsidRPr="009520A5">
        <w:rPr>
          <w:rFonts w:ascii="Times New Roman" w:eastAsia="Times New Roman" w:hAnsi="Times New Roman" w:cs="Times New Roman"/>
          <w:sz w:val="24"/>
          <w:szCs w:val="24"/>
        </w:rPr>
        <w:t xml:space="preserve"> 2019. </w:t>
      </w:r>
    </w:p>
    <w:p w14:paraId="0000009F" w14:textId="2E7EF1EF" w:rsidR="006F379A" w:rsidRPr="009520A5" w:rsidRDefault="00150FD6" w:rsidP="009520A5">
      <w:pPr>
        <w:spacing w:after="0" w:line="360" w:lineRule="auto"/>
        <w:jc w:val="center"/>
        <w:rPr>
          <w:rFonts w:ascii="Times New Roman" w:eastAsia="Times New Roman" w:hAnsi="Times New Roman" w:cs="Times New Roman"/>
          <w:b/>
        </w:rPr>
      </w:pPr>
      <w:r w:rsidRPr="009520A5">
        <w:rPr>
          <w:rFonts w:ascii="Times New Roman" w:eastAsia="Times New Roman" w:hAnsi="Times New Roman" w:cs="Times New Roman"/>
          <w:b/>
        </w:rPr>
        <w:t xml:space="preserve">Figura 2 </w:t>
      </w:r>
      <w:r w:rsidR="00A5799F" w:rsidRPr="009520A5">
        <w:rPr>
          <w:rFonts w:ascii="Times New Roman" w:eastAsia="Times New Roman" w:hAnsi="Times New Roman" w:cs="Times New Roman"/>
          <w:b/>
        </w:rPr>
        <w:t>–</w:t>
      </w:r>
      <w:r w:rsidRPr="009520A5">
        <w:rPr>
          <w:rFonts w:ascii="Times New Roman" w:eastAsia="Times New Roman" w:hAnsi="Times New Roman" w:cs="Times New Roman"/>
        </w:rPr>
        <w:t xml:space="preserve"> </w:t>
      </w:r>
      <w:r w:rsidR="00A5799F" w:rsidRPr="009520A5">
        <w:rPr>
          <w:rFonts w:ascii="Times New Roman" w:eastAsia="Times New Roman" w:hAnsi="Times New Roman" w:cs="Times New Roman"/>
        </w:rPr>
        <w:t xml:space="preserve">Recursos sob supervisão do </w:t>
      </w:r>
      <w:r w:rsidRPr="009520A5">
        <w:rPr>
          <w:rFonts w:ascii="Times New Roman" w:eastAsia="Times New Roman" w:hAnsi="Times New Roman" w:cs="Times New Roman"/>
        </w:rPr>
        <w:t xml:space="preserve">FCO, FNE e FCO, 2015 - 2021 </w:t>
      </w:r>
    </w:p>
    <w:p w14:paraId="000000A0" w14:textId="77777777" w:rsidR="006F379A" w:rsidRPr="009520A5" w:rsidRDefault="00150FD6" w:rsidP="009520A5">
      <w:pPr>
        <w:spacing w:after="0" w:line="360" w:lineRule="auto"/>
        <w:rPr>
          <w:rFonts w:ascii="Times New Roman" w:eastAsia="Times New Roman" w:hAnsi="Times New Roman" w:cs="Times New Roman"/>
          <w:b/>
          <w:sz w:val="24"/>
          <w:szCs w:val="24"/>
        </w:rPr>
      </w:pPr>
      <w:r w:rsidRPr="009520A5">
        <w:rPr>
          <w:rFonts w:ascii="Times New Roman" w:eastAsia="Times New Roman" w:hAnsi="Times New Roman" w:cs="Times New Roman"/>
          <w:b/>
          <w:noProof/>
          <w:sz w:val="24"/>
          <w:szCs w:val="24"/>
        </w:rPr>
        <w:drawing>
          <wp:inline distT="114300" distB="114300" distL="114300" distR="114300" wp14:anchorId="0549A926" wp14:editId="75EAC27C">
            <wp:extent cx="5759775" cy="2501900"/>
            <wp:effectExtent l="0" t="0" r="0" b="0"/>
            <wp:docPr id="1892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5759775" cy="2501900"/>
                    </a:xfrm>
                    <a:prstGeom prst="rect">
                      <a:avLst/>
                    </a:prstGeom>
                    <a:ln/>
                  </pic:spPr>
                </pic:pic>
              </a:graphicData>
            </a:graphic>
          </wp:inline>
        </w:drawing>
      </w:r>
    </w:p>
    <w:p w14:paraId="000000A2" w14:textId="0F91BEFD" w:rsidR="006F379A" w:rsidRPr="009520A5" w:rsidRDefault="00150FD6" w:rsidP="009520A5">
      <w:pPr>
        <w:spacing w:after="0" w:line="360" w:lineRule="auto"/>
        <w:rPr>
          <w:rFonts w:ascii="Times New Roman" w:eastAsia="Times New Roman" w:hAnsi="Times New Roman" w:cs="Times New Roman"/>
          <w:b/>
          <w:sz w:val="24"/>
          <w:szCs w:val="24"/>
        </w:rPr>
      </w:pPr>
      <w:r w:rsidRPr="009520A5">
        <w:rPr>
          <w:rFonts w:ascii="Times New Roman" w:eastAsia="Times New Roman" w:hAnsi="Times New Roman" w:cs="Times New Roman"/>
          <w:sz w:val="20"/>
          <w:szCs w:val="20"/>
        </w:rPr>
        <w:lastRenderedPageBreak/>
        <w:t>Fonte: Sudam (2015;2016;2017;2018;2019;2020;2021); BNB (2015;2016;2017;2018;2019.2020); e BB (2015; 2016;2017;2018;2019.2020;2021).</w:t>
      </w:r>
      <w:r w:rsidRPr="009520A5">
        <w:rPr>
          <w:rFonts w:ascii="Times New Roman" w:eastAsia="Times New Roman" w:hAnsi="Times New Roman" w:cs="Times New Roman"/>
          <w:b/>
          <w:sz w:val="24"/>
          <w:szCs w:val="24"/>
        </w:rPr>
        <w:t xml:space="preserve"> </w:t>
      </w:r>
    </w:p>
    <w:p w14:paraId="000000A6" w14:textId="50E3DD2C" w:rsidR="006F379A" w:rsidRPr="009520A5" w:rsidRDefault="00150FD6" w:rsidP="009520A5">
      <w:pPr>
        <w:spacing w:after="0" w:line="360" w:lineRule="auto"/>
        <w:ind w:firstLine="720"/>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Na Figura 3, a análise pautou a distribuição de recursos do FC</w:t>
      </w:r>
      <w:r w:rsidR="00A5799F" w:rsidRPr="009520A5">
        <w:rPr>
          <w:rFonts w:ascii="Times New Roman" w:eastAsia="Times New Roman" w:hAnsi="Times New Roman" w:cs="Times New Roman"/>
          <w:sz w:val="24"/>
          <w:szCs w:val="24"/>
        </w:rPr>
        <w:t>O</w:t>
      </w:r>
      <w:r w:rsidRPr="009520A5">
        <w:rPr>
          <w:rFonts w:ascii="Times New Roman" w:eastAsia="Times New Roman" w:hAnsi="Times New Roman" w:cs="Times New Roman"/>
          <w:sz w:val="24"/>
          <w:szCs w:val="24"/>
        </w:rPr>
        <w:t xml:space="preserve"> de acordo com as unidades federativas (</w:t>
      </w:r>
      <w:proofErr w:type="spellStart"/>
      <w:r w:rsidRPr="009520A5">
        <w:rPr>
          <w:rFonts w:ascii="Times New Roman" w:eastAsia="Times New Roman" w:hAnsi="Times New Roman" w:cs="Times New Roman"/>
          <w:sz w:val="24"/>
          <w:szCs w:val="24"/>
        </w:rPr>
        <w:t>UFs</w:t>
      </w:r>
      <w:proofErr w:type="spellEnd"/>
      <w:r w:rsidRPr="009520A5">
        <w:rPr>
          <w:rFonts w:ascii="Times New Roman" w:eastAsia="Times New Roman" w:hAnsi="Times New Roman" w:cs="Times New Roman"/>
          <w:sz w:val="24"/>
          <w:szCs w:val="24"/>
        </w:rPr>
        <w:t xml:space="preserve">), analisando espacialmente na escala estadual e a configuração que os resultados recentes da distribuição dos fundos apresentaram. Esse balanço para as </w:t>
      </w:r>
      <w:proofErr w:type="spellStart"/>
      <w:r w:rsidRPr="009520A5">
        <w:rPr>
          <w:rFonts w:ascii="Times New Roman" w:eastAsia="Times New Roman" w:hAnsi="Times New Roman" w:cs="Times New Roman"/>
          <w:sz w:val="24"/>
          <w:szCs w:val="24"/>
        </w:rPr>
        <w:t>UFs</w:t>
      </w:r>
      <w:proofErr w:type="spellEnd"/>
      <w:r w:rsidRPr="009520A5">
        <w:rPr>
          <w:rFonts w:ascii="Times New Roman" w:eastAsia="Times New Roman" w:hAnsi="Times New Roman" w:cs="Times New Roman"/>
          <w:sz w:val="24"/>
          <w:szCs w:val="24"/>
        </w:rPr>
        <w:t xml:space="preserve"> demonstrou que houve queda no dispêndio do recurso a partir de 2017, mantendo a tendência de queda nos anos subsequentes, com exceção de 2021 com pequena recuperação. Os estados de Goiás e Mato Grosso estão alinhados no mesmo valor de recursos a partir de 2018 e lideraram como os maiores receptores desses recursos no comparativo com as </w:t>
      </w:r>
      <w:proofErr w:type="spellStart"/>
      <w:r w:rsidRPr="009520A5">
        <w:rPr>
          <w:rFonts w:ascii="Times New Roman" w:eastAsia="Times New Roman" w:hAnsi="Times New Roman" w:cs="Times New Roman"/>
          <w:sz w:val="24"/>
          <w:szCs w:val="24"/>
        </w:rPr>
        <w:t>UFs</w:t>
      </w:r>
      <w:proofErr w:type="spellEnd"/>
      <w:r w:rsidRPr="009520A5">
        <w:rPr>
          <w:rFonts w:ascii="Times New Roman" w:eastAsia="Times New Roman" w:hAnsi="Times New Roman" w:cs="Times New Roman"/>
          <w:sz w:val="24"/>
          <w:szCs w:val="24"/>
        </w:rPr>
        <w:t xml:space="preserve"> do Centro-Oeste. </w:t>
      </w:r>
    </w:p>
    <w:p w14:paraId="000000A7" w14:textId="68BCF7D1" w:rsidR="006F379A" w:rsidRPr="009520A5" w:rsidRDefault="00150FD6" w:rsidP="009520A5">
      <w:pPr>
        <w:spacing w:after="0" w:line="360" w:lineRule="auto"/>
        <w:jc w:val="center"/>
        <w:rPr>
          <w:rFonts w:ascii="Times New Roman" w:eastAsia="Times New Roman" w:hAnsi="Times New Roman" w:cs="Times New Roman"/>
          <w:b/>
        </w:rPr>
      </w:pPr>
      <w:r w:rsidRPr="009520A5">
        <w:rPr>
          <w:rFonts w:ascii="Times New Roman" w:eastAsia="Times New Roman" w:hAnsi="Times New Roman" w:cs="Times New Roman"/>
          <w:b/>
        </w:rPr>
        <w:t xml:space="preserve">Figura 3 - </w:t>
      </w:r>
      <w:r w:rsidR="00A5799F" w:rsidRPr="009520A5">
        <w:rPr>
          <w:rFonts w:ascii="Times New Roman" w:eastAsia="Times New Roman" w:hAnsi="Times New Roman" w:cs="Times New Roman"/>
        </w:rPr>
        <w:t>Recursos sob supervisão</w:t>
      </w:r>
      <w:r w:rsidRPr="009520A5">
        <w:rPr>
          <w:rFonts w:ascii="Times New Roman" w:eastAsia="Times New Roman" w:hAnsi="Times New Roman" w:cs="Times New Roman"/>
        </w:rPr>
        <w:t xml:space="preserve"> do FCO por </w:t>
      </w:r>
      <w:proofErr w:type="spellStart"/>
      <w:r w:rsidRPr="009520A5">
        <w:rPr>
          <w:rFonts w:ascii="Times New Roman" w:eastAsia="Times New Roman" w:hAnsi="Times New Roman" w:cs="Times New Roman"/>
        </w:rPr>
        <w:t>UFs</w:t>
      </w:r>
      <w:proofErr w:type="spellEnd"/>
      <w:r w:rsidRPr="009520A5">
        <w:rPr>
          <w:rFonts w:ascii="Times New Roman" w:eastAsia="Times New Roman" w:hAnsi="Times New Roman" w:cs="Times New Roman"/>
        </w:rPr>
        <w:t xml:space="preserve"> </w:t>
      </w:r>
    </w:p>
    <w:p w14:paraId="000000A8" w14:textId="77777777" w:rsidR="006F379A" w:rsidRPr="009520A5" w:rsidRDefault="00150FD6" w:rsidP="009520A5">
      <w:pPr>
        <w:spacing w:after="0" w:line="360" w:lineRule="auto"/>
        <w:jc w:val="both"/>
        <w:rPr>
          <w:rFonts w:ascii="Times New Roman" w:eastAsia="Times New Roman" w:hAnsi="Times New Roman" w:cs="Times New Roman"/>
          <w:b/>
          <w:sz w:val="24"/>
          <w:szCs w:val="24"/>
        </w:rPr>
      </w:pPr>
      <w:r w:rsidRPr="009520A5">
        <w:rPr>
          <w:rFonts w:ascii="Times New Roman" w:eastAsia="Times New Roman" w:hAnsi="Times New Roman" w:cs="Times New Roman"/>
          <w:b/>
          <w:noProof/>
          <w:sz w:val="24"/>
          <w:szCs w:val="24"/>
        </w:rPr>
        <w:drawing>
          <wp:inline distT="114300" distB="114300" distL="114300" distR="114300" wp14:anchorId="4A340B47" wp14:editId="49A182ED">
            <wp:extent cx="5667696" cy="2724304"/>
            <wp:effectExtent l="0" t="0" r="0" b="0"/>
            <wp:docPr id="1893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5667696" cy="2724304"/>
                    </a:xfrm>
                    <a:prstGeom prst="rect">
                      <a:avLst/>
                    </a:prstGeom>
                    <a:ln/>
                  </pic:spPr>
                </pic:pic>
              </a:graphicData>
            </a:graphic>
          </wp:inline>
        </w:drawing>
      </w:r>
    </w:p>
    <w:p w14:paraId="000000AA" w14:textId="65589C7E" w:rsidR="006F379A" w:rsidRPr="009520A5" w:rsidRDefault="00150FD6" w:rsidP="009520A5">
      <w:pPr>
        <w:spacing w:after="0" w:line="360" w:lineRule="auto"/>
        <w:jc w:val="both"/>
        <w:rPr>
          <w:rFonts w:ascii="Times New Roman" w:eastAsia="Times New Roman" w:hAnsi="Times New Roman" w:cs="Times New Roman"/>
          <w:sz w:val="20"/>
          <w:szCs w:val="20"/>
        </w:rPr>
      </w:pPr>
      <w:r w:rsidRPr="009520A5">
        <w:rPr>
          <w:rFonts w:ascii="Times New Roman" w:eastAsia="Times New Roman" w:hAnsi="Times New Roman" w:cs="Times New Roman"/>
          <w:sz w:val="20"/>
          <w:szCs w:val="20"/>
        </w:rPr>
        <w:t xml:space="preserve">Fonte:  BB (2015; 2016;2017;2018;2019.2020;2021). </w:t>
      </w:r>
    </w:p>
    <w:p w14:paraId="000000AB" w14:textId="0C40B430" w:rsidR="006F379A" w:rsidRPr="009520A5" w:rsidRDefault="00A5799F" w:rsidP="009520A5">
      <w:pPr>
        <w:spacing w:after="0" w:line="360" w:lineRule="auto"/>
        <w:ind w:firstLine="720"/>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Os desembolsos do FNE apresentados na Figura 4 demonstraram uma regularidade dos recursos disponíveis ao longo do período, porém, com alguns detalhes nesta configuração que alertam para a permanência de concentração desses recursos. O primeiro é referente ao crescimento dos recursos obtidos pelo estado da Bahia e Ceará, posicionados como os dois maiores receptores desses recursos. O caso de Pernambuco apresentou leve queda na obtenção de recursos de 2018 para 2019, sucedida com um crescimento em 2020. </w:t>
      </w:r>
    </w:p>
    <w:p w14:paraId="000000AC" w14:textId="13759AAB" w:rsidR="006F379A" w:rsidRPr="009520A5" w:rsidRDefault="00150FD6" w:rsidP="009520A5">
      <w:pPr>
        <w:spacing w:after="0" w:line="360" w:lineRule="auto"/>
        <w:jc w:val="center"/>
        <w:rPr>
          <w:rFonts w:ascii="Times New Roman" w:eastAsia="Times New Roman" w:hAnsi="Times New Roman" w:cs="Times New Roman"/>
          <w:b/>
        </w:rPr>
      </w:pPr>
      <w:r w:rsidRPr="009520A5">
        <w:rPr>
          <w:rFonts w:ascii="Times New Roman" w:eastAsia="Times New Roman" w:hAnsi="Times New Roman" w:cs="Times New Roman"/>
          <w:b/>
        </w:rPr>
        <w:t xml:space="preserve">Figura 4 - </w:t>
      </w:r>
      <w:r w:rsidR="00A5799F" w:rsidRPr="009520A5">
        <w:rPr>
          <w:rFonts w:ascii="Times New Roman" w:eastAsia="Times New Roman" w:hAnsi="Times New Roman" w:cs="Times New Roman"/>
        </w:rPr>
        <w:t>Recursos sob supervisão do</w:t>
      </w:r>
      <w:r w:rsidRPr="009520A5">
        <w:rPr>
          <w:rFonts w:ascii="Times New Roman" w:eastAsia="Times New Roman" w:hAnsi="Times New Roman" w:cs="Times New Roman"/>
        </w:rPr>
        <w:t xml:space="preserve"> FNE por </w:t>
      </w:r>
      <w:proofErr w:type="spellStart"/>
      <w:r w:rsidRPr="009520A5">
        <w:rPr>
          <w:rFonts w:ascii="Times New Roman" w:eastAsia="Times New Roman" w:hAnsi="Times New Roman" w:cs="Times New Roman"/>
        </w:rPr>
        <w:t>UFs</w:t>
      </w:r>
      <w:proofErr w:type="spellEnd"/>
      <w:r w:rsidRPr="009520A5">
        <w:rPr>
          <w:rFonts w:ascii="Times New Roman" w:eastAsia="Times New Roman" w:hAnsi="Times New Roman" w:cs="Times New Roman"/>
        </w:rPr>
        <w:t xml:space="preserve"> </w:t>
      </w:r>
    </w:p>
    <w:p w14:paraId="000000AD" w14:textId="77777777" w:rsidR="006F379A" w:rsidRPr="009520A5" w:rsidRDefault="00150FD6" w:rsidP="009520A5">
      <w:pPr>
        <w:spacing w:after="0" w:line="360" w:lineRule="auto"/>
        <w:jc w:val="both"/>
        <w:rPr>
          <w:rFonts w:ascii="Times New Roman" w:eastAsia="Times New Roman" w:hAnsi="Times New Roman" w:cs="Times New Roman"/>
          <w:b/>
          <w:sz w:val="24"/>
          <w:szCs w:val="24"/>
        </w:rPr>
      </w:pPr>
      <w:r w:rsidRPr="009520A5">
        <w:rPr>
          <w:rFonts w:ascii="Times New Roman" w:eastAsia="Times New Roman" w:hAnsi="Times New Roman" w:cs="Times New Roman"/>
          <w:b/>
          <w:noProof/>
          <w:sz w:val="24"/>
          <w:szCs w:val="24"/>
        </w:rPr>
        <w:lastRenderedPageBreak/>
        <w:drawing>
          <wp:inline distT="114300" distB="114300" distL="114300" distR="114300" wp14:anchorId="542899A9" wp14:editId="5C6BA0F8">
            <wp:extent cx="5394960" cy="2487168"/>
            <wp:effectExtent l="0" t="0" r="2540" b="2540"/>
            <wp:docPr id="1893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5403332" cy="2491028"/>
                    </a:xfrm>
                    <a:prstGeom prst="rect">
                      <a:avLst/>
                    </a:prstGeom>
                    <a:ln/>
                  </pic:spPr>
                </pic:pic>
              </a:graphicData>
            </a:graphic>
          </wp:inline>
        </w:drawing>
      </w:r>
    </w:p>
    <w:p w14:paraId="000000AF" w14:textId="13786A8A" w:rsidR="006F379A" w:rsidRPr="009520A5" w:rsidRDefault="00150FD6" w:rsidP="009520A5">
      <w:pPr>
        <w:spacing w:after="0" w:line="360" w:lineRule="auto"/>
        <w:rPr>
          <w:rFonts w:ascii="Times New Roman" w:eastAsia="Times New Roman" w:hAnsi="Times New Roman" w:cs="Times New Roman"/>
          <w:b/>
          <w:sz w:val="24"/>
          <w:szCs w:val="24"/>
        </w:rPr>
      </w:pPr>
      <w:r w:rsidRPr="009520A5">
        <w:rPr>
          <w:rFonts w:ascii="Times New Roman" w:eastAsia="Times New Roman" w:hAnsi="Times New Roman" w:cs="Times New Roman"/>
          <w:sz w:val="20"/>
          <w:szCs w:val="20"/>
        </w:rPr>
        <w:t>Fonte: BNB (2015;2016;2017;2018;2019.2020).</w:t>
      </w:r>
    </w:p>
    <w:p w14:paraId="48E274A7" w14:textId="294D3BE1" w:rsidR="00A5799F" w:rsidRPr="009520A5" w:rsidRDefault="00A5799F" w:rsidP="009520A5">
      <w:pPr>
        <w:spacing w:after="0" w:line="360" w:lineRule="auto"/>
        <w:ind w:firstLine="720"/>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Na Figura 5 é possível observar que os desembolsos do FNO para as unidades federativas na Amazônia apresentaram crescimento, do qual o estado do Pará se destacou, passou de R$ 1.436 milhões em 2018, para R$ 2.733 milhões em 2019. A maior queda de recursos foi para o estado do Amazonas, de R$ 1.731 milhões em 2019, para R$ 1.126 milhões em 2020. Sendo ultrapassado pelos estados de Tocantins e Rondônia, representando respectivamente R$ 1.914 milhões e R$ 1.808 milhões em 2021. </w:t>
      </w:r>
    </w:p>
    <w:p w14:paraId="000000B0" w14:textId="050B59A5" w:rsidR="006F379A" w:rsidRPr="009520A5" w:rsidRDefault="00150FD6" w:rsidP="009520A5">
      <w:pPr>
        <w:spacing w:after="0" w:line="360" w:lineRule="auto"/>
        <w:jc w:val="center"/>
        <w:rPr>
          <w:rFonts w:ascii="Times New Roman" w:eastAsia="Times New Roman" w:hAnsi="Times New Roman" w:cs="Times New Roman"/>
          <w:b/>
        </w:rPr>
      </w:pPr>
      <w:r w:rsidRPr="009520A5">
        <w:rPr>
          <w:rFonts w:ascii="Times New Roman" w:eastAsia="Times New Roman" w:hAnsi="Times New Roman" w:cs="Times New Roman"/>
          <w:b/>
        </w:rPr>
        <w:t xml:space="preserve">Figura 5 - </w:t>
      </w:r>
      <w:r w:rsidRPr="009520A5">
        <w:rPr>
          <w:rFonts w:ascii="Times New Roman" w:eastAsia="Times New Roman" w:hAnsi="Times New Roman" w:cs="Times New Roman"/>
        </w:rPr>
        <w:t xml:space="preserve">Desembolsos do FNO por </w:t>
      </w:r>
      <w:proofErr w:type="spellStart"/>
      <w:r w:rsidRPr="009520A5">
        <w:rPr>
          <w:rFonts w:ascii="Times New Roman" w:eastAsia="Times New Roman" w:hAnsi="Times New Roman" w:cs="Times New Roman"/>
        </w:rPr>
        <w:t>UFs</w:t>
      </w:r>
      <w:proofErr w:type="spellEnd"/>
      <w:r w:rsidRPr="009520A5">
        <w:rPr>
          <w:rFonts w:ascii="Times New Roman" w:eastAsia="Times New Roman" w:hAnsi="Times New Roman" w:cs="Times New Roman"/>
        </w:rPr>
        <w:t xml:space="preserve"> (em R$ milhões)</w:t>
      </w:r>
    </w:p>
    <w:p w14:paraId="000000B1" w14:textId="77777777" w:rsidR="006F379A" w:rsidRPr="009520A5" w:rsidRDefault="00150FD6" w:rsidP="009520A5">
      <w:pPr>
        <w:spacing w:after="0" w:line="360" w:lineRule="auto"/>
        <w:jc w:val="both"/>
        <w:rPr>
          <w:rFonts w:ascii="Times New Roman" w:eastAsia="Times New Roman" w:hAnsi="Times New Roman" w:cs="Times New Roman"/>
          <w:b/>
          <w:sz w:val="24"/>
          <w:szCs w:val="24"/>
        </w:rPr>
      </w:pPr>
      <w:r w:rsidRPr="009520A5">
        <w:rPr>
          <w:rFonts w:ascii="Times New Roman" w:eastAsia="Times New Roman" w:hAnsi="Times New Roman" w:cs="Times New Roman"/>
          <w:b/>
          <w:noProof/>
          <w:sz w:val="24"/>
          <w:szCs w:val="24"/>
        </w:rPr>
        <w:drawing>
          <wp:inline distT="114300" distB="114300" distL="114300" distR="114300" wp14:anchorId="56438BCC" wp14:editId="7856E7F3">
            <wp:extent cx="5696276" cy="2800510"/>
            <wp:effectExtent l="0" t="0" r="0" b="0"/>
            <wp:docPr id="189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5696276" cy="2800510"/>
                    </a:xfrm>
                    <a:prstGeom prst="rect">
                      <a:avLst/>
                    </a:prstGeom>
                    <a:ln/>
                  </pic:spPr>
                </pic:pic>
              </a:graphicData>
            </a:graphic>
          </wp:inline>
        </w:drawing>
      </w:r>
    </w:p>
    <w:p w14:paraId="000000B2" w14:textId="77777777" w:rsidR="006F379A" w:rsidRPr="009520A5" w:rsidRDefault="00150FD6" w:rsidP="009520A5">
      <w:pPr>
        <w:spacing w:after="0" w:line="360" w:lineRule="auto"/>
        <w:rPr>
          <w:rFonts w:ascii="Times New Roman" w:eastAsia="Times New Roman" w:hAnsi="Times New Roman" w:cs="Times New Roman"/>
          <w:sz w:val="20"/>
          <w:szCs w:val="20"/>
        </w:rPr>
      </w:pPr>
      <w:r w:rsidRPr="009520A5">
        <w:rPr>
          <w:rFonts w:ascii="Times New Roman" w:eastAsia="Times New Roman" w:hAnsi="Times New Roman" w:cs="Times New Roman"/>
          <w:sz w:val="20"/>
          <w:szCs w:val="20"/>
        </w:rPr>
        <w:t>Sudam (2015;2016;2017;2018;2019;2020;2021).</w:t>
      </w:r>
    </w:p>
    <w:p w14:paraId="000000B3" w14:textId="77777777" w:rsidR="006F379A" w:rsidRPr="009520A5" w:rsidRDefault="00150FD6" w:rsidP="009520A5">
      <w:pPr>
        <w:spacing w:after="0" w:line="360" w:lineRule="auto"/>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lastRenderedPageBreak/>
        <w:tab/>
      </w:r>
    </w:p>
    <w:p w14:paraId="000000B5" w14:textId="57D223B2" w:rsidR="006F379A" w:rsidRPr="009520A5" w:rsidRDefault="00D738DE" w:rsidP="009520A5">
      <w:pPr>
        <w:spacing w:after="0" w:line="360" w:lineRule="auto"/>
        <w:ind w:firstLine="720"/>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O balanço dos dados referentes aos </w:t>
      </w:r>
      <w:proofErr w:type="spellStart"/>
      <w:r w:rsidRPr="009520A5">
        <w:rPr>
          <w:rFonts w:ascii="Times New Roman" w:eastAsia="Times New Roman" w:hAnsi="Times New Roman" w:cs="Times New Roman"/>
          <w:sz w:val="24"/>
          <w:szCs w:val="24"/>
        </w:rPr>
        <w:t>FCs</w:t>
      </w:r>
      <w:proofErr w:type="spellEnd"/>
      <w:r w:rsidRPr="009520A5">
        <w:rPr>
          <w:rFonts w:ascii="Times New Roman" w:eastAsia="Times New Roman" w:hAnsi="Times New Roman" w:cs="Times New Roman"/>
          <w:sz w:val="24"/>
          <w:szCs w:val="24"/>
        </w:rPr>
        <w:t xml:space="preserve"> apresentou</w:t>
      </w:r>
      <w:r w:rsidR="008573AB" w:rsidRPr="009520A5">
        <w:rPr>
          <w:rFonts w:ascii="Times New Roman" w:eastAsia="Times New Roman" w:hAnsi="Times New Roman" w:cs="Times New Roman"/>
          <w:sz w:val="24"/>
          <w:szCs w:val="24"/>
        </w:rPr>
        <w:t xml:space="preserve"> duas percepções acerca da política nacional de desenvolvimento regional. A primeira é o enfraquecimento da institucionalidade que formulou a PNDR, balizada pelo MI</w:t>
      </w:r>
      <w:r w:rsidRPr="009520A5">
        <w:rPr>
          <w:rFonts w:ascii="Times New Roman" w:eastAsia="Times New Roman" w:hAnsi="Times New Roman" w:cs="Times New Roman"/>
          <w:sz w:val="24"/>
          <w:szCs w:val="24"/>
        </w:rPr>
        <w:t xml:space="preserve"> e do pacto federativo</w:t>
      </w:r>
      <w:r w:rsidR="008573AB" w:rsidRPr="009520A5">
        <w:rPr>
          <w:rFonts w:ascii="Times New Roman" w:eastAsia="Times New Roman" w:hAnsi="Times New Roman" w:cs="Times New Roman"/>
          <w:sz w:val="24"/>
          <w:szCs w:val="24"/>
        </w:rPr>
        <w:t xml:space="preserve">, subjacente à frente de atuação do </w:t>
      </w:r>
      <w:proofErr w:type="spellStart"/>
      <w:r w:rsidR="008573AB" w:rsidRPr="009520A5">
        <w:rPr>
          <w:rFonts w:ascii="Times New Roman" w:eastAsia="Times New Roman" w:hAnsi="Times New Roman" w:cs="Times New Roman"/>
          <w:sz w:val="24"/>
          <w:szCs w:val="24"/>
        </w:rPr>
        <w:t>MCidades</w:t>
      </w:r>
      <w:proofErr w:type="spellEnd"/>
      <w:r w:rsidR="008573AB" w:rsidRPr="009520A5">
        <w:rPr>
          <w:rFonts w:ascii="Times New Roman" w:eastAsia="Times New Roman" w:hAnsi="Times New Roman" w:cs="Times New Roman"/>
          <w:sz w:val="24"/>
          <w:szCs w:val="24"/>
        </w:rPr>
        <w:t xml:space="preserve"> para o planejamento urbano. Apesar da inclusão das atribuições antes delegadas aos referidos ministérios ao MDR, houve</w:t>
      </w:r>
      <w:r w:rsidRPr="009520A5">
        <w:rPr>
          <w:rFonts w:ascii="Times New Roman" w:eastAsia="Times New Roman" w:hAnsi="Times New Roman" w:cs="Times New Roman"/>
          <w:sz w:val="24"/>
          <w:szCs w:val="24"/>
        </w:rPr>
        <w:t xml:space="preserve"> as prioridades elencadas pela </w:t>
      </w:r>
      <w:r w:rsidR="008573AB" w:rsidRPr="009520A5">
        <w:rPr>
          <w:rFonts w:ascii="Times New Roman" w:eastAsia="Times New Roman" w:hAnsi="Times New Roman" w:cs="Times New Roman"/>
          <w:sz w:val="24"/>
          <w:szCs w:val="24"/>
        </w:rPr>
        <w:t>PNDR</w:t>
      </w:r>
      <w:r w:rsidRPr="009520A5">
        <w:rPr>
          <w:rFonts w:ascii="Times New Roman" w:eastAsia="Times New Roman" w:hAnsi="Times New Roman" w:cs="Times New Roman"/>
          <w:sz w:val="24"/>
          <w:szCs w:val="24"/>
        </w:rPr>
        <w:t xml:space="preserve"> foram marginalizadas</w:t>
      </w:r>
      <w:r w:rsidR="008573AB" w:rsidRPr="009520A5">
        <w:rPr>
          <w:rFonts w:ascii="Times New Roman" w:eastAsia="Times New Roman" w:hAnsi="Times New Roman" w:cs="Times New Roman"/>
          <w:sz w:val="24"/>
          <w:szCs w:val="24"/>
        </w:rPr>
        <w:t xml:space="preserve">, principalmente no que diz respeito a extinção de ações organizadas pelos planos mesorregionais e sub-regionais para os territórios de renda estagnada e baixa. A segunda é a de que a </w:t>
      </w:r>
      <w:r w:rsidRPr="009520A5">
        <w:rPr>
          <w:rFonts w:ascii="Times New Roman" w:eastAsia="Times New Roman" w:hAnsi="Times New Roman" w:cs="Times New Roman"/>
          <w:sz w:val="24"/>
          <w:szCs w:val="24"/>
        </w:rPr>
        <w:t>permanência</w:t>
      </w:r>
      <w:r w:rsidR="008573AB" w:rsidRPr="009520A5">
        <w:rPr>
          <w:rFonts w:ascii="Times New Roman" w:eastAsia="Times New Roman" w:hAnsi="Times New Roman" w:cs="Times New Roman"/>
          <w:sz w:val="24"/>
          <w:szCs w:val="24"/>
        </w:rPr>
        <w:t xml:space="preserve"> dos recursos financeiros direcionados pelos </w:t>
      </w:r>
      <w:proofErr w:type="spellStart"/>
      <w:r w:rsidR="008573AB" w:rsidRPr="009520A5">
        <w:rPr>
          <w:rFonts w:ascii="Times New Roman" w:eastAsia="Times New Roman" w:hAnsi="Times New Roman" w:cs="Times New Roman"/>
          <w:sz w:val="24"/>
          <w:szCs w:val="24"/>
        </w:rPr>
        <w:t>FCs</w:t>
      </w:r>
      <w:proofErr w:type="spellEnd"/>
      <w:r w:rsidR="008573AB" w:rsidRPr="009520A5">
        <w:rPr>
          <w:rFonts w:ascii="Times New Roman" w:eastAsia="Times New Roman" w:hAnsi="Times New Roman" w:cs="Times New Roman"/>
          <w:sz w:val="24"/>
          <w:szCs w:val="24"/>
        </w:rPr>
        <w:t xml:space="preserve"> </w:t>
      </w:r>
      <w:r w:rsidRPr="009520A5">
        <w:rPr>
          <w:rFonts w:ascii="Times New Roman" w:eastAsia="Times New Roman" w:hAnsi="Times New Roman" w:cs="Times New Roman"/>
          <w:sz w:val="24"/>
          <w:szCs w:val="24"/>
        </w:rPr>
        <w:t xml:space="preserve">sem a orientação institucional promovida pela PNDR, os conduziu para investimentos em projetos que estão alinhavados às atividades econômicas relacionadas às </w:t>
      </w:r>
      <w:r w:rsidRPr="009520A5">
        <w:rPr>
          <w:rFonts w:ascii="Times New Roman" w:eastAsia="Times New Roman" w:hAnsi="Times New Roman" w:cs="Times New Roman"/>
          <w:i/>
          <w:iCs/>
          <w:sz w:val="24"/>
          <w:szCs w:val="24"/>
        </w:rPr>
        <w:t>commodities</w:t>
      </w:r>
      <w:r w:rsidRPr="009520A5">
        <w:rPr>
          <w:rFonts w:ascii="Times New Roman" w:eastAsia="Times New Roman" w:hAnsi="Times New Roman" w:cs="Times New Roman"/>
          <w:sz w:val="24"/>
          <w:szCs w:val="24"/>
        </w:rPr>
        <w:t xml:space="preserve">, exemplo da produção agropecuária promovida pela soja e a pecuária bovina, em áreas de expansão produtiva, como o Sudeste do Pará, do qual teve forte aumento de recursos via FNO. </w:t>
      </w:r>
      <w:r w:rsidR="008573AB" w:rsidRPr="009520A5">
        <w:rPr>
          <w:rFonts w:ascii="Times New Roman" w:eastAsia="Times New Roman" w:hAnsi="Times New Roman" w:cs="Times New Roman"/>
          <w:sz w:val="24"/>
          <w:szCs w:val="24"/>
        </w:rPr>
        <w:t xml:space="preserve">  </w:t>
      </w:r>
    </w:p>
    <w:p w14:paraId="2FB9F1E1" w14:textId="67D7AB43" w:rsidR="009520A5" w:rsidRPr="009520A5" w:rsidRDefault="009520A5" w:rsidP="009520A5">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Considerações finais </w:t>
      </w:r>
    </w:p>
    <w:p w14:paraId="18C60A48" w14:textId="7700DDB8" w:rsidR="00274B9C" w:rsidRPr="009520A5" w:rsidRDefault="00E152EB" w:rsidP="009520A5">
      <w:pPr>
        <w:spacing w:after="0" w:line="360" w:lineRule="auto"/>
        <w:jc w:val="both"/>
        <w:rPr>
          <w:rFonts w:ascii="Times New Roman" w:hAnsi="Times New Roman" w:cs="Times New Roman"/>
          <w:sz w:val="24"/>
          <w:szCs w:val="24"/>
        </w:rPr>
      </w:pPr>
      <w:r w:rsidRPr="009520A5">
        <w:tab/>
      </w:r>
      <w:r w:rsidR="00274B9C" w:rsidRPr="009520A5">
        <w:rPr>
          <w:rFonts w:ascii="Times New Roman" w:hAnsi="Times New Roman" w:cs="Times New Roman"/>
          <w:sz w:val="24"/>
          <w:szCs w:val="24"/>
        </w:rPr>
        <w:t xml:space="preserve">O texto buscou </w:t>
      </w:r>
      <w:r w:rsidR="003038ED">
        <w:rPr>
          <w:rFonts w:ascii="Times New Roman" w:hAnsi="Times New Roman" w:cs="Times New Roman"/>
          <w:sz w:val="24"/>
          <w:szCs w:val="24"/>
        </w:rPr>
        <w:t>apresentar</w:t>
      </w:r>
      <w:r w:rsidR="00274B9C" w:rsidRPr="009520A5">
        <w:rPr>
          <w:rFonts w:ascii="Times New Roman" w:hAnsi="Times New Roman" w:cs="Times New Roman"/>
          <w:sz w:val="24"/>
          <w:szCs w:val="24"/>
        </w:rPr>
        <w:t xml:space="preserve"> as mudanças institucionais ocorridas na PNDR após o </w:t>
      </w:r>
      <w:r w:rsidR="00274B9C" w:rsidRPr="009520A5">
        <w:rPr>
          <w:rFonts w:ascii="Times New Roman" w:hAnsi="Times New Roman" w:cs="Times New Roman"/>
          <w:i/>
          <w:sz w:val="24"/>
          <w:szCs w:val="24"/>
        </w:rPr>
        <w:t>impeachment</w:t>
      </w:r>
      <w:r w:rsidR="00274B9C" w:rsidRPr="009520A5">
        <w:rPr>
          <w:rFonts w:ascii="Times New Roman" w:hAnsi="Times New Roman" w:cs="Times New Roman"/>
          <w:sz w:val="24"/>
          <w:szCs w:val="24"/>
        </w:rPr>
        <w:t xml:space="preserve"> da ex-presidente Dilma </w:t>
      </w:r>
      <w:proofErr w:type="spellStart"/>
      <w:r w:rsidR="00274B9C" w:rsidRPr="009520A5">
        <w:rPr>
          <w:rFonts w:ascii="Times New Roman" w:hAnsi="Times New Roman" w:cs="Times New Roman"/>
          <w:sz w:val="24"/>
          <w:szCs w:val="24"/>
        </w:rPr>
        <w:t>Roussef</w:t>
      </w:r>
      <w:proofErr w:type="spellEnd"/>
      <w:r w:rsidR="00274B9C" w:rsidRPr="009520A5">
        <w:rPr>
          <w:rFonts w:ascii="Times New Roman" w:hAnsi="Times New Roman" w:cs="Times New Roman"/>
          <w:sz w:val="24"/>
          <w:szCs w:val="24"/>
        </w:rPr>
        <w:t xml:space="preserve"> em 201</w:t>
      </w:r>
      <w:r w:rsidR="00B64F5D" w:rsidRPr="009520A5">
        <w:rPr>
          <w:rFonts w:ascii="Times New Roman" w:hAnsi="Times New Roman" w:cs="Times New Roman"/>
          <w:sz w:val="24"/>
          <w:szCs w:val="24"/>
        </w:rPr>
        <w:t>6</w:t>
      </w:r>
      <w:r w:rsidR="00274B9C" w:rsidRPr="009520A5">
        <w:rPr>
          <w:rFonts w:ascii="Times New Roman" w:hAnsi="Times New Roman" w:cs="Times New Roman"/>
          <w:sz w:val="24"/>
          <w:szCs w:val="24"/>
        </w:rPr>
        <w:t>. O foco foram as alterações normativas n</w:t>
      </w:r>
      <w:r w:rsidR="00B64F5D" w:rsidRPr="009520A5">
        <w:rPr>
          <w:rFonts w:ascii="Times New Roman" w:hAnsi="Times New Roman" w:cs="Times New Roman"/>
          <w:sz w:val="24"/>
          <w:szCs w:val="24"/>
        </w:rPr>
        <w:t>as instituições, no</w:t>
      </w:r>
      <w:r w:rsidR="00274B9C" w:rsidRPr="009520A5">
        <w:rPr>
          <w:rFonts w:ascii="Times New Roman" w:hAnsi="Times New Roman" w:cs="Times New Roman"/>
          <w:sz w:val="24"/>
          <w:szCs w:val="24"/>
        </w:rPr>
        <w:t xml:space="preserve"> planejamento e nos instrumentos da política. A investigação mostrou processos contraditórios, como as modificações nos </w:t>
      </w:r>
      <w:proofErr w:type="spellStart"/>
      <w:r w:rsidR="00274B9C" w:rsidRPr="009520A5">
        <w:rPr>
          <w:rFonts w:ascii="Times New Roman" w:hAnsi="Times New Roman" w:cs="Times New Roman"/>
          <w:sz w:val="24"/>
          <w:szCs w:val="24"/>
        </w:rPr>
        <w:t>FCFs</w:t>
      </w:r>
      <w:proofErr w:type="spellEnd"/>
      <w:r w:rsidR="00274B9C" w:rsidRPr="009520A5">
        <w:rPr>
          <w:rFonts w:ascii="Times New Roman" w:hAnsi="Times New Roman" w:cs="Times New Roman"/>
          <w:sz w:val="24"/>
          <w:szCs w:val="24"/>
        </w:rPr>
        <w:t xml:space="preserve"> e nos </w:t>
      </w:r>
      <w:proofErr w:type="spellStart"/>
      <w:r w:rsidR="00274B9C" w:rsidRPr="009520A5">
        <w:rPr>
          <w:rFonts w:ascii="Times New Roman" w:hAnsi="Times New Roman" w:cs="Times New Roman"/>
          <w:sz w:val="24"/>
          <w:szCs w:val="24"/>
        </w:rPr>
        <w:t>FDRs</w:t>
      </w:r>
      <w:proofErr w:type="spellEnd"/>
      <w:r w:rsidR="00274B9C" w:rsidRPr="009520A5">
        <w:rPr>
          <w:rFonts w:ascii="Times New Roman" w:hAnsi="Times New Roman" w:cs="Times New Roman"/>
          <w:sz w:val="24"/>
          <w:szCs w:val="24"/>
        </w:rPr>
        <w:t xml:space="preserve">, que visavam a redução da participação do Estado, mas </w:t>
      </w:r>
      <w:r w:rsidR="003038ED">
        <w:rPr>
          <w:rFonts w:ascii="Times New Roman" w:hAnsi="Times New Roman" w:cs="Times New Roman"/>
          <w:sz w:val="24"/>
          <w:szCs w:val="24"/>
        </w:rPr>
        <w:t>se acomodaram conforme</w:t>
      </w:r>
      <w:r w:rsidR="00274B9C" w:rsidRPr="009520A5">
        <w:rPr>
          <w:rFonts w:ascii="Times New Roman" w:hAnsi="Times New Roman" w:cs="Times New Roman"/>
          <w:sz w:val="24"/>
          <w:szCs w:val="24"/>
        </w:rPr>
        <w:t xml:space="preserve"> disputas</w:t>
      </w:r>
      <w:r w:rsidR="003038ED">
        <w:rPr>
          <w:rFonts w:ascii="Times New Roman" w:hAnsi="Times New Roman" w:cs="Times New Roman"/>
          <w:sz w:val="24"/>
          <w:szCs w:val="24"/>
        </w:rPr>
        <w:t xml:space="preserve"> relacionadas a conjuntura</w:t>
      </w:r>
      <w:r w:rsidR="00274B9C" w:rsidRPr="009520A5">
        <w:rPr>
          <w:rFonts w:ascii="Times New Roman" w:hAnsi="Times New Roman" w:cs="Times New Roman"/>
          <w:sz w:val="24"/>
          <w:szCs w:val="24"/>
        </w:rPr>
        <w:t xml:space="preserve">.  </w:t>
      </w:r>
    </w:p>
    <w:p w14:paraId="48C7D877" w14:textId="16D65BD1" w:rsidR="00B64F5D" w:rsidRPr="009520A5" w:rsidRDefault="00274B9C" w:rsidP="009520A5">
      <w:pPr>
        <w:spacing w:after="0" w:line="360" w:lineRule="auto"/>
        <w:jc w:val="both"/>
        <w:rPr>
          <w:rFonts w:ascii="Times New Roman" w:eastAsia="Times New Roman" w:hAnsi="Times New Roman" w:cs="Times New Roman"/>
          <w:sz w:val="24"/>
          <w:szCs w:val="24"/>
        </w:rPr>
      </w:pPr>
      <w:r w:rsidRPr="009520A5">
        <w:rPr>
          <w:rFonts w:ascii="Times New Roman" w:hAnsi="Times New Roman" w:cs="Times New Roman"/>
          <w:sz w:val="24"/>
          <w:szCs w:val="24"/>
        </w:rPr>
        <w:tab/>
        <w:t xml:space="preserve">De outro modo, verificaram-se </w:t>
      </w:r>
      <w:r w:rsidR="003038ED" w:rsidRPr="009520A5">
        <w:rPr>
          <w:rFonts w:ascii="Times New Roman" w:hAnsi="Times New Roman" w:cs="Times New Roman"/>
          <w:sz w:val="24"/>
          <w:szCs w:val="24"/>
        </w:rPr>
        <w:t>transformações no</w:t>
      </w:r>
      <w:r w:rsidRPr="009520A5">
        <w:rPr>
          <w:rFonts w:ascii="Times New Roman" w:hAnsi="Times New Roman" w:cs="Times New Roman"/>
          <w:sz w:val="24"/>
          <w:szCs w:val="24"/>
        </w:rPr>
        <w:t xml:space="preserve"> planejamento e nas instituições, com a edição do novo decreto da PNDR (</w:t>
      </w:r>
      <w:r w:rsidRPr="009520A5">
        <w:rPr>
          <w:rFonts w:ascii="Times New Roman" w:eastAsia="Times New Roman" w:hAnsi="Times New Roman" w:cs="Times New Roman"/>
          <w:sz w:val="24"/>
          <w:szCs w:val="24"/>
        </w:rPr>
        <w:t xml:space="preserve">Decreto nº 9.810/2019), além de ações complementares. Criou-se a necessidade da revisão periódica da tipologia da PNDR, a formação de um núcleo de inteligência regional, a inclusão de novos princípios norteadores, como a transparência, e a absorção de críticas quanto ao decreto anterior, como a consolidação de uma rede </w:t>
      </w:r>
      <w:proofErr w:type="spellStart"/>
      <w:r w:rsidRPr="009520A5">
        <w:rPr>
          <w:rFonts w:ascii="Times New Roman" w:eastAsia="Times New Roman" w:hAnsi="Times New Roman" w:cs="Times New Roman"/>
          <w:sz w:val="24"/>
          <w:szCs w:val="24"/>
        </w:rPr>
        <w:t>policêntrica</w:t>
      </w:r>
      <w:proofErr w:type="spellEnd"/>
      <w:r w:rsidRPr="009520A5">
        <w:rPr>
          <w:rFonts w:ascii="Times New Roman" w:eastAsia="Times New Roman" w:hAnsi="Times New Roman" w:cs="Times New Roman"/>
          <w:sz w:val="24"/>
          <w:szCs w:val="24"/>
        </w:rPr>
        <w:t>.</w:t>
      </w:r>
      <w:r w:rsidR="00B64F5D" w:rsidRPr="009520A5">
        <w:rPr>
          <w:rFonts w:ascii="Times New Roman" w:eastAsia="Times New Roman" w:hAnsi="Times New Roman" w:cs="Times New Roman"/>
          <w:sz w:val="24"/>
          <w:szCs w:val="24"/>
        </w:rPr>
        <w:t xml:space="preserve"> </w:t>
      </w:r>
      <w:r w:rsidRPr="009520A5">
        <w:rPr>
          <w:rFonts w:ascii="Times New Roman" w:eastAsia="Times New Roman" w:hAnsi="Times New Roman" w:cs="Times New Roman"/>
          <w:sz w:val="24"/>
          <w:szCs w:val="24"/>
        </w:rPr>
        <w:t xml:space="preserve">No âmbito institucional a principal modificação ocorreu pela fusão do </w:t>
      </w:r>
      <w:proofErr w:type="spellStart"/>
      <w:r w:rsidRPr="009520A5">
        <w:rPr>
          <w:rFonts w:ascii="Times New Roman" w:eastAsia="Times New Roman" w:hAnsi="Times New Roman" w:cs="Times New Roman"/>
          <w:sz w:val="24"/>
          <w:szCs w:val="24"/>
        </w:rPr>
        <w:t>MCidades</w:t>
      </w:r>
      <w:proofErr w:type="spellEnd"/>
      <w:r w:rsidRPr="009520A5">
        <w:rPr>
          <w:rFonts w:ascii="Times New Roman" w:eastAsia="Times New Roman" w:hAnsi="Times New Roman" w:cs="Times New Roman"/>
          <w:sz w:val="24"/>
          <w:szCs w:val="24"/>
        </w:rPr>
        <w:t xml:space="preserve"> e MI para a formação do MDR em 2019, buscando agregar pautas urbanas e regionais sobre a mesma pasta. </w:t>
      </w:r>
    </w:p>
    <w:p w14:paraId="284AE77F" w14:textId="74EE1E2D" w:rsidR="00274B9C" w:rsidRPr="009520A5" w:rsidRDefault="00274B9C" w:rsidP="009520A5">
      <w:pPr>
        <w:spacing w:after="0" w:line="360" w:lineRule="auto"/>
        <w:ind w:firstLine="708"/>
        <w:jc w:val="both"/>
        <w:rPr>
          <w:rFonts w:ascii="Times New Roman" w:eastAsia="Times New Roman" w:hAnsi="Times New Roman" w:cs="Times New Roman"/>
          <w:sz w:val="24"/>
          <w:szCs w:val="24"/>
        </w:rPr>
      </w:pPr>
      <w:r w:rsidRPr="009520A5">
        <w:rPr>
          <w:rFonts w:ascii="Times New Roman" w:hAnsi="Times New Roman" w:cs="Times New Roman"/>
          <w:sz w:val="24"/>
          <w:szCs w:val="24"/>
        </w:rPr>
        <w:t xml:space="preserve">No campo das despesas, a análise mostrou que os </w:t>
      </w:r>
      <w:proofErr w:type="spellStart"/>
      <w:r w:rsidRPr="009520A5">
        <w:rPr>
          <w:rFonts w:ascii="Times New Roman" w:hAnsi="Times New Roman" w:cs="Times New Roman"/>
          <w:sz w:val="24"/>
          <w:szCs w:val="24"/>
        </w:rPr>
        <w:t>FCFs</w:t>
      </w:r>
      <w:proofErr w:type="spellEnd"/>
      <w:r w:rsidRPr="009520A5">
        <w:rPr>
          <w:rFonts w:ascii="Times New Roman" w:hAnsi="Times New Roman" w:cs="Times New Roman"/>
          <w:sz w:val="24"/>
          <w:szCs w:val="24"/>
        </w:rPr>
        <w:t xml:space="preserve">, os principais instrumentos da PNDR, tiveram comportamento diferente para cada região. No FNE, houve um acréscimo nos aportes, segundo dados do SIOP, com certa estabilidade nas operações dos estados entre 2015 </w:t>
      </w:r>
      <w:r w:rsidRPr="009520A5">
        <w:rPr>
          <w:rFonts w:ascii="Times New Roman" w:hAnsi="Times New Roman" w:cs="Times New Roman"/>
          <w:sz w:val="24"/>
          <w:szCs w:val="24"/>
        </w:rPr>
        <w:lastRenderedPageBreak/>
        <w:t>e 2022. O mesmo padrão não foi seguido pelos demais fundos. O FNO elev</w:t>
      </w:r>
      <w:r w:rsidR="00B64F5D" w:rsidRPr="009520A5">
        <w:rPr>
          <w:rFonts w:ascii="Times New Roman" w:hAnsi="Times New Roman" w:cs="Times New Roman"/>
          <w:sz w:val="24"/>
          <w:szCs w:val="24"/>
        </w:rPr>
        <w:t>ou a sua dotação de recursos</w:t>
      </w:r>
      <w:r w:rsidRPr="009520A5">
        <w:rPr>
          <w:rFonts w:ascii="Times New Roman" w:hAnsi="Times New Roman" w:cs="Times New Roman"/>
          <w:sz w:val="24"/>
          <w:szCs w:val="24"/>
        </w:rPr>
        <w:t xml:space="preserve">, com destaque para o aumento exponencial </w:t>
      </w:r>
      <w:r w:rsidR="00B64F5D" w:rsidRPr="009520A5">
        <w:rPr>
          <w:rFonts w:ascii="Times New Roman" w:hAnsi="Times New Roman" w:cs="Times New Roman"/>
          <w:sz w:val="24"/>
          <w:szCs w:val="24"/>
        </w:rPr>
        <w:t>n</w:t>
      </w:r>
      <w:r w:rsidRPr="009520A5">
        <w:rPr>
          <w:rFonts w:ascii="Times New Roman" w:hAnsi="Times New Roman" w:cs="Times New Roman"/>
          <w:sz w:val="24"/>
          <w:szCs w:val="24"/>
        </w:rPr>
        <w:t xml:space="preserve">o estado do Pará a partir de 2018. Por outro lado, o FCO se mostrou menos pujante, com a redução </w:t>
      </w:r>
      <w:r w:rsidR="00B64F5D" w:rsidRPr="009520A5">
        <w:rPr>
          <w:rFonts w:ascii="Times New Roman" w:hAnsi="Times New Roman" w:cs="Times New Roman"/>
          <w:sz w:val="24"/>
          <w:szCs w:val="24"/>
        </w:rPr>
        <w:t>d</w:t>
      </w:r>
      <w:r w:rsidRPr="009520A5">
        <w:rPr>
          <w:rFonts w:ascii="Times New Roman" w:hAnsi="Times New Roman" w:cs="Times New Roman"/>
          <w:sz w:val="24"/>
          <w:szCs w:val="24"/>
        </w:rPr>
        <w:t>o orçamento, principalmente para os estados de Mato Grosso e Mato Grosso do Sul, cuja hipótese é o arrefecimento da demanda por grãos</w:t>
      </w:r>
      <w:r w:rsidR="00B64F5D" w:rsidRPr="009520A5">
        <w:rPr>
          <w:rFonts w:ascii="Times New Roman" w:hAnsi="Times New Roman" w:cs="Times New Roman"/>
          <w:sz w:val="24"/>
          <w:szCs w:val="24"/>
        </w:rPr>
        <w:t>, uma vez que o agronegócio se destaca na economia regional</w:t>
      </w:r>
      <w:r w:rsidRPr="009520A5">
        <w:rPr>
          <w:rFonts w:ascii="Times New Roman" w:hAnsi="Times New Roman" w:cs="Times New Roman"/>
          <w:sz w:val="24"/>
          <w:szCs w:val="24"/>
        </w:rPr>
        <w:t xml:space="preserve">. </w:t>
      </w:r>
    </w:p>
    <w:p w14:paraId="2573A56C" w14:textId="1E7E2722" w:rsidR="00050728" w:rsidRPr="009520A5" w:rsidRDefault="00274B9C" w:rsidP="009520A5">
      <w:pPr>
        <w:spacing w:after="0" w:line="360" w:lineRule="auto"/>
        <w:jc w:val="both"/>
        <w:rPr>
          <w:rFonts w:ascii="Times New Roman" w:eastAsia="Times New Roman" w:hAnsi="Times New Roman" w:cs="Times New Roman"/>
          <w:b/>
          <w:sz w:val="24"/>
          <w:szCs w:val="24"/>
        </w:rPr>
      </w:pPr>
      <w:r w:rsidRPr="009520A5">
        <w:rPr>
          <w:rFonts w:ascii="Times New Roman" w:hAnsi="Times New Roman" w:cs="Times New Roman"/>
          <w:sz w:val="24"/>
          <w:szCs w:val="24"/>
        </w:rPr>
        <w:tab/>
        <w:t>Diante do exposto, verificou-se mudanças que cristalizaram conflitos internos</w:t>
      </w:r>
      <w:r w:rsidR="00B64F5D" w:rsidRPr="009520A5">
        <w:rPr>
          <w:rFonts w:ascii="Times New Roman" w:hAnsi="Times New Roman" w:cs="Times New Roman"/>
          <w:sz w:val="24"/>
          <w:szCs w:val="24"/>
        </w:rPr>
        <w:t xml:space="preserve"> envolvendo </w:t>
      </w:r>
      <w:r w:rsidRPr="009520A5">
        <w:rPr>
          <w:rFonts w:ascii="Times New Roman" w:hAnsi="Times New Roman" w:cs="Times New Roman"/>
          <w:sz w:val="24"/>
          <w:szCs w:val="24"/>
        </w:rPr>
        <w:t xml:space="preserve">um viés </w:t>
      </w:r>
      <w:r w:rsidR="00B64F5D" w:rsidRPr="009520A5">
        <w:rPr>
          <w:rFonts w:ascii="Times New Roman" w:hAnsi="Times New Roman" w:cs="Times New Roman"/>
          <w:sz w:val="24"/>
          <w:szCs w:val="24"/>
        </w:rPr>
        <w:t>neo</w:t>
      </w:r>
      <w:r w:rsidRPr="009520A5">
        <w:rPr>
          <w:rFonts w:ascii="Times New Roman" w:hAnsi="Times New Roman" w:cs="Times New Roman"/>
          <w:sz w:val="24"/>
          <w:szCs w:val="24"/>
        </w:rPr>
        <w:t>liberal d</w:t>
      </w:r>
      <w:r w:rsidR="00B64F5D" w:rsidRPr="009520A5">
        <w:rPr>
          <w:rFonts w:ascii="Times New Roman" w:hAnsi="Times New Roman" w:cs="Times New Roman"/>
          <w:sz w:val="24"/>
          <w:szCs w:val="24"/>
        </w:rPr>
        <w:t>e desmonte e esvaziamento de politicas capitaneadas pelo Estado Nacional</w:t>
      </w:r>
      <w:r w:rsidR="00E97E09" w:rsidRPr="009520A5">
        <w:rPr>
          <w:rFonts w:ascii="Times New Roman" w:hAnsi="Times New Roman" w:cs="Times New Roman"/>
          <w:sz w:val="24"/>
          <w:szCs w:val="24"/>
        </w:rPr>
        <w:t xml:space="preserve">. </w:t>
      </w:r>
      <w:r w:rsidRPr="009520A5">
        <w:rPr>
          <w:rFonts w:ascii="Times New Roman" w:hAnsi="Times New Roman" w:cs="Times New Roman"/>
          <w:sz w:val="24"/>
          <w:szCs w:val="24"/>
        </w:rPr>
        <w:t xml:space="preserve">Contudo, não se pode dizer que a PNDR anterior desempenhava papel relevante na redução das desigualdades regionais do país, mas havia avançado em temas como o planejamento e a </w:t>
      </w:r>
      <w:r w:rsidR="00E97E09" w:rsidRPr="009520A5">
        <w:rPr>
          <w:rFonts w:ascii="Times New Roman" w:hAnsi="Times New Roman" w:cs="Times New Roman"/>
          <w:sz w:val="24"/>
          <w:szCs w:val="24"/>
        </w:rPr>
        <w:t xml:space="preserve">execução </w:t>
      </w:r>
      <w:r w:rsidRPr="009520A5">
        <w:rPr>
          <w:rFonts w:ascii="Times New Roman" w:hAnsi="Times New Roman" w:cs="Times New Roman"/>
          <w:sz w:val="24"/>
          <w:szCs w:val="24"/>
        </w:rPr>
        <w:t xml:space="preserve">dos </w:t>
      </w:r>
      <w:proofErr w:type="spellStart"/>
      <w:r w:rsidRPr="009520A5">
        <w:rPr>
          <w:rFonts w:ascii="Times New Roman" w:hAnsi="Times New Roman" w:cs="Times New Roman"/>
          <w:sz w:val="24"/>
          <w:szCs w:val="24"/>
        </w:rPr>
        <w:t>FCFs</w:t>
      </w:r>
      <w:proofErr w:type="spellEnd"/>
      <w:r w:rsidRPr="009520A5">
        <w:rPr>
          <w:rFonts w:ascii="Times New Roman" w:hAnsi="Times New Roman" w:cs="Times New Roman"/>
          <w:sz w:val="24"/>
          <w:szCs w:val="24"/>
        </w:rPr>
        <w:t>.</w:t>
      </w:r>
      <w:r w:rsidRPr="009520A5">
        <w:t xml:space="preserve"> </w:t>
      </w:r>
      <w:bookmarkStart w:id="2" w:name="_Hlk110007181"/>
    </w:p>
    <w:p w14:paraId="5F88B91B" w14:textId="33B05542" w:rsidR="00DF6403" w:rsidRPr="009520A5" w:rsidRDefault="00050728" w:rsidP="009520A5">
      <w:pPr>
        <w:spacing w:after="0" w:line="360" w:lineRule="auto"/>
        <w:rPr>
          <w:rFonts w:ascii="Times New Roman" w:eastAsia="Times New Roman" w:hAnsi="Times New Roman" w:cs="Times New Roman"/>
          <w:b/>
          <w:sz w:val="24"/>
          <w:szCs w:val="24"/>
        </w:rPr>
      </w:pPr>
      <w:r w:rsidRPr="009520A5">
        <w:rPr>
          <w:rFonts w:ascii="Times New Roman" w:eastAsia="Times New Roman" w:hAnsi="Times New Roman" w:cs="Times New Roman"/>
          <w:b/>
          <w:sz w:val="24"/>
          <w:szCs w:val="24"/>
        </w:rPr>
        <w:t>REFERÊNCIAS</w:t>
      </w:r>
    </w:p>
    <w:p w14:paraId="367EFDEB" w14:textId="7DE24E1D" w:rsidR="00DF6403" w:rsidRPr="009520A5" w:rsidRDefault="00DF6403" w:rsidP="009520A5">
      <w:pPr>
        <w:spacing w:after="0" w:line="360" w:lineRule="auto"/>
        <w:ind w:right="-6"/>
        <w:jc w:val="both"/>
        <w:rPr>
          <w:rFonts w:ascii="Times" w:hAnsi="Times"/>
          <w:sz w:val="24"/>
          <w:szCs w:val="24"/>
        </w:rPr>
      </w:pPr>
      <w:r w:rsidRPr="009520A5">
        <w:rPr>
          <w:rFonts w:ascii="Times" w:hAnsi="Times" w:cs="Arial"/>
          <w:sz w:val="24"/>
          <w:szCs w:val="24"/>
        </w:rPr>
        <w:t xml:space="preserve">BANCO </w:t>
      </w:r>
      <w:r w:rsidR="006979E4" w:rsidRPr="009520A5">
        <w:rPr>
          <w:rFonts w:ascii="Times" w:hAnsi="Times" w:cs="Arial"/>
          <w:sz w:val="24"/>
          <w:szCs w:val="24"/>
        </w:rPr>
        <w:t xml:space="preserve">DA </w:t>
      </w:r>
      <w:r w:rsidRPr="009520A5">
        <w:rPr>
          <w:rFonts w:ascii="Times" w:hAnsi="Times" w:cs="Arial"/>
          <w:sz w:val="24"/>
          <w:szCs w:val="24"/>
        </w:rPr>
        <w:t xml:space="preserve">AMAZÔNIA. </w:t>
      </w:r>
      <w:r w:rsidRPr="009520A5">
        <w:rPr>
          <w:rFonts w:ascii="Times" w:hAnsi="Times" w:cs="Arial"/>
          <w:b/>
          <w:bCs/>
          <w:sz w:val="24"/>
          <w:szCs w:val="24"/>
        </w:rPr>
        <w:t>FNO Relatório das Atividades desenvolvidas e dos resultados obtidos</w:t>
      </w:r>
      <w:r w:rsidR="006979E4" w:rsidRPr="009520A5">
        <w:rPr>
          <w:rFonts w:ascii="Times" w:hAnsi="Times" w:cs="Arial"/>
          <w:i/>
          <w:iCs/>
          <w:sz w:val="24"/>
          <w:szCs w:val="24"/>
        </w:rPr>
        <w:t>:</w:t>
      </w:r>
      <w:r w:rsidRPr="009520A5">
        <w:rPr>
          <w:rFonts w:ascii="Times" w:hAnsi="Times" w:cs="Arial"/>
          <w:i/>
          <w:iCs/>
          <w:sz w:val="24"/>
          <w:szCs w:val="24"/>
        </w:rPr>
        <w:t xml:space="preserve"> </w:t>
      </w:r>
      <w:r w:rsidRPr="009520A5">
        <w:rPr>
          <w:rFonts w:ascii="Times" w:hAnsi="Times" w:cs="Arial"/>
          <w:sz w:val="24"/>
          <w:szCs w:val="24"/>
        </w:rPr>
        <w:t>no exercício de 201</w:t>
      </w:r>
      <w:r w:rsidR="006979E4" w:rsidRPr="009520A5">
        <w:rPr>
          <w:rFonts w:ascii="Times" w:hAnsi="Times" w:cs="Arial"/>
          <w:sz w:val="24"/>
          <w:szCs w:val="24"/>
        </w:rPr>
        <w:t>5</w:t>
      </w:r>
      <w:r w:rsidRPr="009520A5">
        <w:rPr>
          <w:rFonts w:ascii="Times" w:hAnsi="Times" w:cs="Arial"/>
          <w:sz w:val="24"/>
          <w:szCs w:val="24"/>
        </w:rPr>
        <w:t xml:space="preserve"> até 202</w:t>
      </w:r>
      <w:r w:rsidR="006979E4" w:rsidRPr="009520A5">
        <w:rPr>
          <w:rFonts w:ascii="Times" w:hAnsi="Times" w:cs="Arial"/>
          <w:sz w:val="24"/>
          <w:szCs w:val="24"/>
        </w:rPr>
        <w:t>1</w:t>
      </w:r>
      <w:r w:rsidRPr="009520A5">
        <w:rPr>
          <w:rFonts w:ascii="Times" w:hAnsi="Times" w:cs="Arial"/>
          <w:sz w:val="24"/>
          <w:szCs w:val="24"/>
        </w:rPr>
        <w:t xml:space="preserve">. Belém, 2019. Consultado em: </w:t>
      </w:r>
      <w:hyperlink r:id="rId16" w:history="1">
        <w:r w:rsidR="006979E4" w:rsidRPr="009520A5">
          <w:rPr>
            <w:rStyle w:val="Hyperlink"/>
            <w:rFonts w:ascii="Times" w:hAnsi="Times"/>
            <w:color w:val="auto"/>
            <w:sz w:val="24"/>
            <w:szCs w:val="24"/>
            <w:u w:val="none"/>
          </w:rPr>
          <w:t>https://www.bancoamazonia.com.br/index.php/fno/relatorios-do-fno</w:t>
        </w:r>
      </w:hyperlink>
    </w:p>
    <w:p w14:paraId="13120877" w14:textId="234CBC47" w:rsidR="006979E4" w:rsidRPr="009520A5" w:rsidRDefault="006979E4" w:rsidP="009520A5">
      <w:pPr>
        <w:spacing w:after="0" w:line="360" w:lineRule="auto"/>
        <w:ind w:right="-6"/>
        <w:jc w:val="both"/>
        <w:rPr>
          <w:rFonts w:ascii="Times" w:hAnsi="Times" w:cs="Arial"/>
          <w:sz w:val="24"/>
          <w:szCs w:val="24"/>
        </w:rPr>
      </w:pPr>
      <w:r w:rsidRPr="009520A5">
        <w:rPr>
          <w:rFonts w:ascii="Times" w:hAnsi="Times" w:cs="Arial"/>
          <w:sz w:val="24"/>
          <w:szCs w:val="24"/>
        </w:rPr>
        <w:t xml:space="preserve">BANCO DO BRASIL. </w:t>
      </w:r>
      <w:r w:rsidRPr="009520A5">
        <w:rPr>
          <w:rFonts w:ascii="Times" w:hAnsi="Times" w:cs="Arial"/>
          <w:b/>
          <w:bCs/>
          <w:sz w:val="24"/>
          <w:szCs w:val="24"/>
        </w:rPr>
        <w:t>FCO</w:t>
      </w:r>
      <w:r w:rsidRPr="009520A5">
        <w:rPr>
          <w:rFonts w:ascii="Times" w:hAnsi="Times" w:cs="Arial"/>
          <w:sz w:val="24"/>
          <w:szCs w:val="24"/>
        </w:rPr>
        <w:t xml:space="preserve"> </w:t>
      </w:r>
      <w:r w:rsidRPr="009520A5">
        <w:rPr>
          <w:rFonts w:ascii="Times" w:hAnsi="Times" w:cs="Arial"/>
          <w:b/>
          <w:bCs/>
          <w:sz w:val="24"/>
          <w:szCs w:val="24"/>
        </w:rPr>
        <w:t>Relatório Circunstanciado sobre as Atividades Desenvolvidas e os Resultados Obtidos</w:t>
      </w:r>
      <w:r w:rsidRPr="009520A5">
        <w:rPr>
          <w:rFonts w:ascii="Times" w:hAnsi="Times" w:cs="Arial"/>
          <w:sz w:val="24"/>
          <w:szCs w:val="24"/>
        </w:rPr>
        <w:t>: no Exercício de 2015 até 2021. Consultado em: https://www.bb.com.br/pbb/pagina-inicial/setor-publico/governo-federal/desenvolvimento-socioeconomico/fundo-constitucional-de-financiamento-do-centro-oeste/relatorios-fco#/</w:t>
      </w:r>
    </w:p>
    <w:p w14:paraId="269C730A" w14:textId="3E6F4438" w:rsidR="006979E4" w:rsidRPr="009520A5" w:rsidRDefault="006979E4" w:rsidP="009520A5">
      <w:pPr>
        <w:spacing w:after="0" w:line="360" w:lineRule="auto"/>
        <w:ind w:right="-6"/>
        <w:jc w:val="both"/>
        <w:rPr>
          <w:rFonts w:ascii="Times" w:hAnsi="Times" w:cs="Arial"/>
          <w:sz w:val="24"/>
          <w:szCs w:val="24"/>
        </w:rPr>
      </w:pPr>
      <w:r w:rsidRPr="009520A5">
        <w:rPr>
          <w:rFonts w:ascii="Times" w:hAnsi="Times" w:cs="Arial"/>
          <w:sz w:val="24"/>
          <w:szCs w:val="24"/>
        </w:rPr>
        <w:t xml:space="preserve">BANCO DO NORDESTE. </w:t>
      </w:r>
      <w:r w:rsidRPr="009520A5">
        <w:rPr>
          <w:rFonts w:ascii="Times" w:hAnsi="Times" w:cs="Arial"/>
          <w:b/>
          <w:bCs/>
          <w:sz w:val="24"/>
          <w:szCs w:val="24"/>
        </w:rPr>
        <w:t>FNE</w:t>
      </w:r>
      <w:r w:rsidRPr="009520A5">
        <w:rPr>
          <w:rFonts w:ascii="Times" w:hAnsi="Times" w:cs="Arial"/>
          <w:sz w:val="24"/>
          <w:szCs w:val="24"/>
        </w:rPr>
        <w:t xml:space="preserve"> </w:t>
      </w:r>
      <w:r w:rsidRPr="009520A5">
        <w:rPr>
          <w:rFonts w:ascii="Times" w:hAnsi="Times" w:cs="Arial"/>
          <w:b/>
          <w:bCs/>
          <w:sz w:val="24"/>
          <w:szCs w:val="24"/>
        </w:rPr>
        <w:t>Relatório de atividades e impactos</w:t>
      </w:r>
      <w:r w:rsidRPr="009520A5">
        <w:rPr>
          <w:rFonts w:ascii="Times" w:hAnsi="Times" w:cs="Arial"/>
          <w:sz w:val="24"/>
          <w:szCs w:val="24"/>
        </w:rPr>
        <w:t>: no exercício de 2015 até 2021. Consultado em: https://www.bnb.gov.br/etene/relatorios-fne</w:t>
      </w:r>
    </w:p>
    <w:p w14:paraId="5C20F417" w14:textId="42AB08D7" w:rsidR="00050728" w:rsidRPr="009520A5" w:rsidRDefault="00050728" w:rsidP="009520A5">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BRASIL. Ministério da Integração Nacional – MI. Instituto Interamericano de Cooperação para a Agricultura – IICA. </w:t>
      </w:r>
      <w:r w:rsidRPr="009520A5">
        <w:rPr>
          <w:rFonts w:ascii="Times New Roman" w:eastAsia="Times New Roman" w:hAnsi="Times New Roman" w:cs="Times New Roman"/>
          <w:b/>
          <w:sz w:val="24"/>
          <w:szCs w:val="24"/>
        </w:rPr>
        <w:t>Política Nacional de Desenvolvimento Regional</w:t>
      </w:r>
      <w:r w:rsidRPr="009520A5">
        <w:rPr>
          <w:rFonts w:ascii="Times New Roman" w:eastAsia="Times New Roman" w:hAnsi="Times New Roman" w:cs="Times New Roman"/>
          <w:sz w:val="24"/>
          <w:szCs w:val="24"/>
        </w:rPr>
        <w:t xml:space="preserve">. Sumário Executivo. Brasília: BRASIL/MI/IICA, [2006 ou 2007]. </w:t>
      </w:r>
    </w:p>
    <w:p w14:paraId="5A015AA4" w14:textId="77777777" w:rsidR="009520A5" w:rsidRDefault="00050728" w:rsidP="009520A5">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______. Ministério da Integração Nacional. </w:t>
      </w:r>
      <w:r w:rsidRPr="009520A5">
        <w:rPr>
          <w:rFonts w:ascii="Times New Roman" w:eastAsia="Times New Roman" w:hAnsi="Times New Roman" w:cs="Times New Roman"/>
          <w:b/>
          <w:sz w:val="24"/>
          <w:szCs w:val="24"/>
        </w:rPr>
        <w:t>A PNDR em dois tempos: a experiência apreendida e o olhar pós 2010</w:t>
      </w:r>
      <w:r w:rsidRPr="009520A5">
        <w:rPr>
          <w:rFonts w:ascii="Times New Roman" w:eastAsia="Times New Roman" w:hAnsi="Times New Roman" w:cs="Times New Roman"/>
          <w:sz w:val="24"/>
          <w:szCs w:val="24"/>
        </w:rPr>
        <w:t>. Brasília: BRASIL/MI, 2010.</w:t>
      </w:r>
    </w:p>
    <w:p w14:paraId="6FD54F44" w14:textId="79C01C0F" w:rsidR="00050728" w:rsidRPr="009520A5" w:rsidRDefault="00050728" w:rsidP="009520A5">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______. Ministério da Integração Nacional – MI.</w:t>
      </w:r>
      <w:r w:rsidRPr="009520A5">
        <w:rPr>
          <w:rFonts w:ascii="Times New Roman" w:eastAsia="Times New Roman" w:hAnsi="Times New Roman" w:cs="Times New Roman"/>
          <w:b/>
          <w:sz w:val="24"/>
          <w:szCs w:val="24"/>
        </w:rPr>
        <w:t xml:space="preserve"> I Conferência Nacional de Desenvolvimento Regional</w:t>
      </w:r>
      <w:r w:rsidRPr="009520A5">
        <w:rPr>
          <w:rFonts w:ascii="Times New Roman" w:eastAsia="Times New Roman" w:hAnsi="Times New Roman" w:cs="Times New Roman"/>
          <w:sz w:val="24"/>
          <w:szCs w:val="24"/>
        </w:rPr>
        <w:t>: texto de referência. Brasília: BRASIL/MI, 2012.</w:t>
      </w:r>
    </w:p>
    <w:p w14:paraId="1CB861FB" w14:textId="77777777" w:rsidR="00050728" w:rsidRPr="009520A5" w:rsidRDefault="00050728" w:rsidP="009520A5">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______. Ministério da Integração Nacional – MI. </w:t>
      </w:r>
      <w:r w:rsidRPr="009520A5">
        <w:rPr>
          <w:rFonts w:ascii="Times New Roman" w:eastAsia="Times New Roman" w:hAnsi="Times New Roman" w:cs="Times New Roman"/>
          <w:b/>
          <w:sz w:val="24"/>
          <w:szCs w:val="24"/>
        </w:rPr>
        <w:t>Nota Técnica n° 52</w:t>
      </w:r>
      <w:r w:rsidRPr="009520A5">
        <w:rPr>
          <w:rFonts w:ascii="Times New Roman" w:eastAsia="Times New Roman" w:hAnsi="Times New Roman" w:cs="Times New Roman"/>
          <w:sz w:val="24"/>
          <w:szCs w:val="24"/>
        </w:rPr>
        <w:t xml:space="preserve"> – CGMA/DPDR/SDR/MI. Brasília: BRASIL/MI, 30 nov. 2017. Disponível em: </w:t>
      </w:r>
      <w:r w:rsidRPr="009520A5">
        <w:rPr>
          <w:rFonts w:ascii="Times New Roman" w:eastAsia="Times New Roman" w:hAnsi="Times New Roman" w:cs="Times New Roman"/>
          <w:sz w:val="24"/>
          <w:szCs w:val="24"/>
        </w:rPr>
        <w:lastRenderedPageBreak/>
        <w:t>&lt;</w:t>
      </w:r>
      <w:hyperlink r:id="rId17">
        <w:r w:rsidRPr="009520A5">
          <w:rPr>
            <w:rFonts w:ascii="Times New Roman" w:eastAsia="Times New Roman" w:hAnsi="Times New Roman" w:cs="Times New Roman"/>
            <w:sz w:val="24"/>
            <w:szCs w:val="24"/>
            <w:u w:val="single"/>
          </w:rPr>
          <w:t>https://www.gov.br/sudene/pt-br/centrais-de-conteudo/nt522017-pdf</w:t>
        </w:r>
      </w:hyperlink>
      <w:r w:rsidRPr="009520A5">
        <w:rPr>
          <w:rFonts w:ascii="Times New Roman" w:eastAsia="Times New Roman" w:hAnsi="Times New Roman" w:cs="Times New Roman"/>
          <w:sz w:val="24"/>
          <w:szCs w:val="24"/>
        </w:rPr>
        <w:t>&gt;. Acesso em: 28 jun. 2022.</w:t>
      </w:r>
    </w:p>
    <w:p w14:paraId="02F8982E" w14:textId="77777777" w:rsidR="00050728" w:rsidRPr="009520A5" w:rsidRDefault="00050728" w:rsidP="009520A5">
      <w:pPr>
        <w:spacing w:after="0" w:line="360" w:lineRule="auto"/>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COLOMBO, </w:t>
      </w:r>
      <w:proofErr w:type="spellStart"/>
      <w:r w:rsidRPr="009520A5">
        <w:rPr>
          <w:rFonts w:ascii="Times New Roman" w:eastAsia="Times New Roman" w:hAnsi="Times New Roman" w:cs="Times New Roman"/>
          <w:sz w:val="24"/>
          <w:szCs w:val="24"/>
        </w:rPr>
        <w:t>Lucileia</w:t>
      </w:r>
      <w:proofErr w:type="spellEnd"/>
      <w:r w:rsidRPr="009520A5">
        <w:rPr>
          <w:rFonts w:ascii="Times New Roman" w:eastAsia="Times New Roman" w:hAnsi="Times New Roman" w:cs="Times New Roman"/>
          <w:sz w:val="24"/>
          <w:szCs w:val="24"/>
        </w:rPr>
        <w:t xml:space="preserve">. </w:t>
      </w:r>
      <w:r w:rsidRPr="009520A5">
        <w:rPr>
          <w:rFonts w:ascii="Times New Roman" w:eastAsia="Times New Roman" w:hAnsi="Times New Roman" w:cs="Times New Roman"/>
          <w:b/>
          <w:sz w:val="24"/>
          <w:szCs w:val="24"/>
        </w:rPr>
        <w:t>Quando as janelas estão abertas:</w:t>
      </w:r>
      <w:r w:rsidRPr="009520A5">
        <w:rPr>
          <w:rFonts w:ascii="Times New Roman" w:eastAsia="Times New Roman" w:hAnsi="Times New Roman" w:cs="Times New Roman"/>
          <w:sz w:val="24"/>
          <w:szCs w:val="24"/>
        </w:rPr>
        <w:t xml:space="preserve"> capacidade institucional da Sudene, </w:t>
      </w:r>
      <w:proofErr w:type="spellStart"/>
      <w:r w:rsidRPr="009520A5">
        <w:rPr>
          <w:rFonts w:ascii="Times New Roman" w:eastAsia="Times New Roman" w:hAnsi="Times New Roman" w:cs="Times New Roman"/>
          <w:sz w:val="24"/>
          <w:szCs w:val="24"/>
        </w:rPr>
        <w:t>Sudeco</w:t>
      </w:r>
      <w:proofErr w:type="spellEnd"/>
      <w:r w:rsidRPr="009520A5">
        <w:rPr>
          <w:rFonts w:ascii="Times New Roman" w:eastAsia="Times New Roman" w:hAnsi="Times New Roman" w:cs="Times New Roman"/>
          <w:sz w:val="24"/>
          <w:szCs w:val="24"/>
        </w:rPr>
        <w:t xml:space="preserve"> e Sudam na elaboração dos planos de desenvolvimento. IPEA, Texto De Discussão 2.665, junho de 2021. </w:t>
      </w:r>
    </w:p>
    <w:p w14:paraId="1C5DD351" w14:textId="77777777" w:rsidR="00050728" w:rsidRPr="009520A5" w:rsidRDefault="00050728" w:rsidP="009520A5">
      <w:pPr>
        <w:spacing w:after="0" w:line="360" w:lineRule="auto"/>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LOPES, Guilherme; MACEDO, Fernando Cezar; MONTEIRO NETO, Aristides. Propostas recentes de mudanças nos fundos constitucionais de financiamento: em curso a desfiguração progressiva da Política Nacional de Desenvolvimento Regional (PNDR). </w:t>
      </w:r>
      <w:r w:rsidRPr="009520A5">
        <w:rPr>
          <w:rFonts w:ascii="Times New Roman" w:eastAsia="Times New Roman" w:hAnsi="Times New Roman" w:cs="Times New Roman"/>
          <w:b/>
          <w:sz w:val="24"/>
          <w:szCs w:val="24"/>
        </w:rPr>
        <w:t>Revista Brasileira de Gestão e Desenvolvimento Regional</w:t>
      </w:r>
      <w:r w:rsidRPr="009520A5">
        <w:rPr>
          <w:rFonts w:ascii="Times New Roman" w:eastAsia="Times New Roman" w:hAnsi="Times New Roman" w:cs="Times New Roman"/>
          <w:sz w:val="24"/>
          <w:szCs w:val="24"/>
        </w:rPr>
        <w:t xml:space="preserve">, v. 17, n. 3, p. 411-423, 2021. </w:t>
      </w:r>
    </w:p>
    <w:p w14:paraId="1C594259" w14:textId="77777777" w:rsidR="00050728" w:rsidRPr="009520A5" w:rsidRDefault="00050728" w:rsidP="009520A5">
      <w:pPr>
        <w:spacing w:after="0" w:line="360" w:lineRule="auto"/>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MONTEIRO NETO, Aristides. PEGO, Bolivar. </w:t>
      </w:r>
      <w:r w:rsidRPr="009520A5">
        <w:rPr>
          <w:rFonts w:ascii="Times New Roman" w:eastAsia="Times New Roman" w:hAnsi="Times New Roman" w:cs="Times New Roman"/>
          <w:b/>
          <w:sz w:val="24"/>
          <w:szCs w:val="24"/>
        </w:rPr>
        <w:t>A proposta de revisão da Política Nacional de Desenvolvimento Regional (PNDR):</w:t>
      </w:r>
      <w:r w:rsidRPr="009520A5">
        <w:rPr>
          <w:rFonts w:ascii="Times New Roman" w:eastAsia="Times New Roman" w:hAnsi="Times New Roman" w:cs="Times New Roman"/>
          <w:sz w:val="24"/>
          <w:szCs w:val="24"/>
        </w:rPr>
        <w:t xml:space="preserve"> Memória de um grupo de trabalho. Boletim Regional, Urbano e Ambiental. Brasília: IPEA, julho/dezembro 2019. </w:t>
      </w:r>
    </w:p>
    <w:p w14:paraId="39B70BFD" w14:textId="77777777" w:rsidR="00050728" w:rsidRPr="009520A5" w:rsidRDefault="00050728" w:rsidP="009520A5">
      <w:pPr>
        <w:spacing w:after="0" w:line="360" w:lineRule="auto"/>
        <w:jc w:val="both"/>
        <w:rPr>
          <w:rFonts w:ascii="Times New Roman" w:eastAsia="Times New Roman" w:hAnsi="Times New Roman" w:cs="Times New Roman"/>
          <w:sz w:val="24"/>
          <w:szCs w:val="24"/>
        </w:rPr>
      </w:pPr>
      <w:r w:rsidRPr="009520A5">
        <w:rPr>
          <w:rFonts w:ascii="Times New Roman" w:hAnsi="Times New Roman" w:cs="Times New Roman"/>
          <w:sz w:val="24"/>
          <w:szCs w:val="24"/>
        </w:rPr>
        <w:t>PEREIRA, Thiago Rabelo; MITERHOF, Marcelo Trindade. O Papel do BNDES e o financiamento do desenvolvimento: considerações sobre a antecipação dos empréstimos do Tesouro Nacional e a criação da TLP. Econ. soc., v. 27, n. 3, p. 875-908, 2018.</w:t>
      </w:r>
    </w:p>
    <w:p w14:paraId="2D7D1BC5" w14:textId="77777777" w:rsidR="00050728" w:rsidRPr="009520A5" w:rsidRDefault="00050728" w:rsidP="009520A5">
      <w:pPr>
        <w:spacing w:after="0" w:line="360" w:lineRule="auto"/>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PORTUGAL, Rodrigo; SILVA, Simone Affonso da. </w:t>
      </w:r>
      <w:r w:rsidRPr="009520A5">
        <w:rPr>
          <w:rFonts w:ascii="Times New Roman" w:eastAsia="Times New Roman" w:hAnsi="Times New Roman" w:cs="Times New Roman"/>
          <w:b/>
          <w:sz w:val="24"/>
          <w:szCs w:val="24"/>
        </w:rPr>
        <w:t>História das Políticas Regionais no Brasil</w:t>
      </w:r>
      <w:r w:rsidRPr="009520A5">
        <w:rPr>
          <w:rFonts w:ascii="Times New Roman" w:eastAsia="Times New Roman" w:hAnsi="Times New Roman" w:cs="Times New Roman"/>
          <w:sz w:val="24"/>
          <w:szCs w:val="24"/>
        </w:rPr>
        <w:t>. Brasília: IPEA, 2020. Disponível em: &lt;</w:t>
      </w:r>
      <w:hyperlink r:id="rId18">
        <w:r w:rsidRPr="009520A5">
          <w:rPr>
            <w:rFonts w:ascii="Times New Roman" w:eastAsia="Times New Roman" w:hAnsi="Times New Roman" w:cs="Times New Roman"/>
            <w:sz w:val="24"/>
            <w:szCs w:val="24"/>
            <w:u w:val="single"/>
          </w:rPr>
          <w:t>https://www.ipea.gov.br/portal/index.php?option=com_content&amp;view=article&amp;id=36834</w:t>
        </w:r>
      </w:hyperlink>
      <w:r w:rsidRPr="009520A5">
        <w:rPr>
          <w:rFonts w:ascii="Times New Roman" w:eastAsia="Times New Roman" w:hAnsi="Times New Roman" w:cs="Times New Roman"/>
          <w:sz w:val="24"/>
          <w:szCs w:val="24"/>
        </w:rPr>
        <w:t>&gt;. Acesso em: 28 jun. 2022.</w:t>
      </w:r>
    </w:p>
    <w:p w14:paraId="7A5CF920" w14:textId="77777777" w:rsidR="00050728" w:rsidRPr="009520A5" w:rsidRDefault="00050728" w:rsidP="009520A5">
      <w:pPr>
        <w:spacing w:after="0" w:line="360" w:lineRule="auto"/>
        <w:jc w:val="both"/>
        <w:rPr>
          <w:rFonts w:ascii="Times New Roman" w:eastAsia="Times New Roman" w:hAnsi="Times New Roman" w:cs="Times New Roman"/>
          <w:b/>
          <w:bCs/>
        </w:rPr>
      </w:pPr>
      <w:r w:rsidRPr="009520A5">
        <w:rPr>
          <w:rFonts w:ascii="Times New Roman" w:eastAsia="Times New Roman" w:hAnsi="Times New Roman" w:cs="Times New Roman"/>
          <w:sz w:val="24"/>
          <w:szCs w:val="24"/>
        </w:rPr>
        <w:t xml:space="preserve">PORTUGAL, Rodrigo; SILVA, Sergio Felipe Melo da; MOURÃO, Kleber </w:t>
      </w:r>
      <w:proofErr w:type="spellStart"/>
      <w:r w:rsidRPr="009520A5">
        <w:rPr>
          <w:rFonts w:ascii="Times New Roman" w:eastAsia="Times New Roman" w:hAnsi="Times New Roman" w:cs="Times New Roman"/>
          <w:sz w:val="24"/>
          <w:szCs w:val="24"/>
        </w:rPr>
        <w:t>Antonio</w:t>
      </w:r>
      <w:proofErr w:type="spellEnd"/>
      <w:r w:rsidRPr="009520A5">
        <w:rPr>
          <w:rFonts w:ascii="Times New Roman" w:eastAsia="Times New Roman" w:hAnsi="Times New Roman" w:cs="Times New Roman"/>
          <w:sz w:val="24"/>
          <w:szCs w:val="24"/>
        </w:rPr>
        <w:t xml:space="preserve"> da Costa. </w:t>
      </w:r>
      <w:r w:rsidRPr="009520A5">
        <w:rPr>
          <w:rFonts w:ascii="Times New Roman" w:eastAsia="Times New Roman" w:hAnsi="Times New Roman" w:cs="Times New Roman"/>
          <w:bCs/>
        </w:rPr>
        <w:t xml:space="preserve">FUNDO DE DESENVOLVIMENTO DA AMAZÔNIA </w:t>
      </w:r>
      <w:proofErr w:type="gramStart"/>
      <w:r w:rsidRPr="009520A5">
        <w:rPr>
          <w:rFonts w:ascii="Times New Roman" w:eastAsia="Times New Roman" w:hAnsi="Times New Roman" w:cs="Times New Roman"/>
          <w:bCs/>
        </w:rPr>
        <w:t>( FDA</w:t>
      </w:r>
      <w:proofErr w:type="gramEnd"/>
      <w:r w:rsidRPr="009520A5">
        <w:rPr>
          <w:rFonts w:ascii="Times New Roman" w:eastAsia="Times New Roman" w:hAnsi="Times New Roman" w:cs="Times New Roman"/>
          <w:bCs/>
        </w:rPr>
        <w:t>): Análise de esforço fiscal por meio de indicadores de desempenho.</w:t>
      </w:r>
      <w:r w:rsidRPr="009520A5">
        <w:rPr>
          <w:rFonts w:ascii="Times New Roman" w:eastAsia="Times New Roman" w:hAnsi="Times New Roman" w:cs="Times New Roman"/>
          <w:b/>
          <w:bCs/>
        </w:rPr>
        <w:t xml:space="preserve"> CEPEC,</w:t>
      </w:r>
      <w:r w:rsidRPr="009520A5">
        <w:rPr>
          <w:rFonts w:ascii="Times New Roman" w:eastAsia="Times New Roman" w:hAnsi="Times New Roman" w:cs="Times New Roman"/>
          <w:bCs/>
        </w:rPr>
        <w:t xml:space="preserve"> v. 4, n. 7-12, 2015.</w:t>
      </w:r>
      <w:r w:rsidRPr="009520A5">
        <w:rPr>
          <w:rFonts w:ascii="Times New Roman" w:eastAsia="Times New Roman" w:hAnsi="Times New Roman" w:cs="Times New Roman"/>
          <w:b/>
          <w:bCs/>
        </w:rPr>
        <w:t xml:space="preserve"> </w:t>
      </w:r>
    </w:p>
    <w:p w14:paraId="0783E083" w14:textId="19CCE8A4" w:rsidR="00050728" w:rsidRPr="009520A5" w:rsidRDefault="00050728" w:rsidP="009520A5">
      <w:pPr>
        <w:spacing w:after="0" w:line="360" w:lineRule="auto"/>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SILVA, Simone Affonso da. </w:t>
      </w:r>
      <w:r w:rsidRPr="009520A5">
        <w:rPr>
          <w:rFonts w:ascii="Times New Roman" w:eastAsia="Times New Roman" w:hAnsi="Times New Roman" w:cs="Times New Roman"/>
          <w:b/>
          <w:sz w:val="24"/>
          <w:szCs w:val="24"/>
        </w:rPr>
        <w:t>O planejamento regional brasileiro pós-Constituição Federal de 1988</w:t>
      </w:r>
      <w:r w:rsidRPr="009520A5">
        <w:rPr>
          <w:rFonts w:ascii="Times New Roman" w:eastAsia="Times New Roman" w:hAnsi="Times New Roman" w:cs="Times New Roman"/>
          <w:sz w:val="24"/>
          <w:szCs w:val="24"/>
        </w:rPr>
        <w:t xml:space="preserve">: instituições, políticas e atores. São Paulo: </w:t>
      </w:r>
      <w:proofErr w:type="spellStart"/>
      <w:r w:rsidRPr="009520A5">
        <w:rPr>
          <w:rFonts w:ascii="Times New Roman" w:eastAsia="Times New Roman" w:hAnsi="Times New Roman" w:cs="Times New Roman"/>
          <w:sz w:val="24"/>
          <w:szCs w:val="24"/>
        </w:rPr>
        <w:t>Annablume</w:t>
      </w:r>
      <w:proofErr w:type="spellEnd"/>
      <w:r w:rsidRPr="009520A5">
        <w:rPr>
          <w:rFonts w:ascii="Times New Roman" w:eastAsia="Times New Roman" w:hAnsi="Times New Roman" w:cs="Times New Roman"/>
          <w:sz w:val="24"/>
          <w:szCs w:val="24"/>
        </w:rPr>
        <w:t xml:space="preserve">: 2017.  </w:t>
      </w:r>
    </w:p>
    <w:p w14:paraId="000000C7" w14:textId="74B88A9D" w:rsidR="006F379A" w:rsidRPr="009520A5" w:rsidRDefault="00050728" w:rsidP="009520A5">
      <w:pPr>
        <w:spacing w:after="0" w:line="360" w:lineRule="auto"/>
        <w:jc w:val="both"/>
        <w:rPr>
          <w:rFonts w:ascii="Times New Roman" w:eastAsia="Times New Roman" w:hAnsi="Times New Roman" w:cs="Times New Roman"/>
          <w:sz w:val="24"/>
          <w:szCs w:val="24"/>
        </w:rPr>
      </w:pPr>
      <w:r w:rsidRPr="009520A5">
        <w:rPr>
          <w:rFonts w:ascii="Times New Roman" w:eastAsia="Times New Roman" w:hAnsi="Times New Roman" w:cs="Times New Roman"/>
          <w:sz w:val="24"/>
          <w:szCs w:val="24"/>
        </w:rPr>
        <w:t xml:space="preserve">______. SILVA, Simone Affonso da. </w:t>
      </w:r>
      <w:r w:rsidRPr="009520A5">
        <w:rPr>
          <w:rFonts w:ascii="Times New Roman" w:eastAsia="Times New Roman" w:hAnsi="Times New Roman" w:cs="Times New Roman"/>
          <w:b/>
          <w:sz w:val="24"/>
          <w:szCs w:val="24"/>
        </w:rPr>
        <w:t>A questão regional no âmbito das políticas públicas federais</w:t>
      </w:r>
      <w:r w:rsidRPr="009520A5">
        <w:rPr>
          <w:rFonts w:ascii="Times New Roman" w:eastAsia="Times New Roman" w:hAnsi="Times New Roman" w:cs="Times New Roman"/>
          <w:sz w:val="24"/>
          <w:szCs w:val="24"/>
        </w:rPr>
        <w:t>. 2019. Tese (Doutorado em Geografia Humana) - Faculdade de Filosofia, Letras e Ciências Humanas, Universidade de São Paulo, São Paulo, 2019. Disponível em: &lt;</w:t>
      </w:r>
      <w:hyperlink r:id="rId19">
        <w:r w:rsidRPr="009520A5">
          <w:rPr>
            <w:rFonts w:ascii="Times New Roman" w:eastAsia="Times New Roman" w:hAnsi="Times New Roman" w:cs="Times New Roman"/>
            <w:sz w:val="24"/>
            <w:szCs w:val="24"/>
            <w:u w:val="single"/>
          </w:rPr>
          <w:t>https://www.teses.usp.br/teses/disponiveis/8/8136/tde-12122019-185117/pt-br.php</w:t>
        </w:r>
      </w:hyperlink>
      <w:r w:rsidRPr="009520A5">
        <w:rPr>
          <w:rFonts w:ascii="Times New Roman" w:eastAsia="Times New Roman" w:hAnsi="Times New Roman" w:cs="Times New Roman"/>
          <w:sz w:val="24"/>
          <w:szCs w:val="24"/>
        </w:rPr>
        <w:t>&gt;. Acesso em: 28 jun. 2022.</w:t>
      </w:r>
      <w:bookmarkEnd w:id="2"/>
    </w:p>
    <w:sectPr w:rsidR="006F379A" w:rsidRPr="009520A5">
      <w:headerReference w:type="default" r:id="rId20"/>
      <w:footerReference w:type="even" r:id="rId21"/>
      <w:footerReference w:type="default" r:id="rId22"/>
      <w:pgSz w:w="11906" w:h="16838"/>
      <w:pgMar w:top="1701" w:right="1134" w:bottom="1134" w:left="1701" w:header="851"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38CB6" w14:textId="77777777" w:rsidR="0010553E" w:rsidRDefault="0010553E">
      <w:pPr>
        <w:spacing w:after="0" w:line="240" w:lineRule="auto"/>
      </w:pPr>
      <w:r>
        <w:separator/>
      </w:r>
    </w:p>
  </w:endnote>
  <w:endnote w:type="continuationSeparator" w:id="0">
    <w:p w14:paraId="39660036" w14:textId="77777777" w:rsidR="0010553E" w:rsidRDefault="00105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panose1 w:val="020B0604020202020204"/>
    <w:charset w:val="00"/>
    <w:family w:val="roman"/>
    <w:notTrueType/>
    <w:pitch w:val="default"/>
  </w:font>
  <w:font w:name="Georgia">
    <w:altName w:val="Georgia"/>
    <w:panose1 w:val="02040502050405020303"/>
    <w:charset w:val="00"/>
    <w:family w:val="roman"/>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650941393"/>
      <w:docPartObj>
        <w:docPartGallery w:val="Page Numbers (Bottom of Page)"/>
        <w:docPartUnique/>
      </w:docPartObj>
    </w:sdtPr>
    <w:sdtContent>
      <w:p w14:paraId="4607EA23" w14:textId="7D9AFB9C" w:rsidR="003038ED" w:rsidRDefault="003038ED" w:rsidP="005C5B83">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21</w:t>
        </w:r>
        <w:r>
          <w:rPr>
            <w:rStyle w:val="Nmerodepgina"/>
          </w:rPr>
          <w:fldChar w:fldCharType="end"/>
        </w:r>
      </w:p>
    </w:sdtContent>
  </w:sdt>
  <w:p w14:paraId="5FE74326" w14:textId="77777777" w:rsidR="003038ED" w:rsidRDefault="003038ED" w:rsidP="003038ED">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708637575"/>
      <w:docPartObj>
        <w:docPartGallery w:val="Page Numbers (Bottom of Page)"/>
        <w:docPartUnique/>
      </w:docPartObj>
    </w:sdtPr>
    <w:sdtContent>
      <w:p w14:paraId="36321667" w14:textId="519307AA" w:rsidR="003038ED" w:rsidRDefault="003038ED" w:rsidP="005C5B83">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26</w:t>
        </w:r>
        <w:r>
          <w:rPr>
            <w:rStyle w:val="Nmerodepgina"/>
          </w:rPr>
          <w:fldChar w:fldCharType="end"/>
        </w:r>
      </w:p>
    </w:sdtContent>
  </w:sdt>
  <w:p w14:paraId="000000CB" w14:textId="77777777" w:rsidR="006F379A" w:rsidRDefault="00150FD6" w:rsidP="003038ED">
    <w:pPr>
      <w:pBdr>
        <w:top w:val="nil"/>
        <w:left w:val="nil"/>
        <w:bottom w:val="nil"/>
        <w:right w:val="nil"/>
        <w:between w:val="nil"/>
      </w:pBdr>
      <w:tabs>
        <w:tab w:val="center" w:pos="4252"/>
        <w:tab w:val="right" w:pos="8504"/>
      </w:tabs>
      <w:spacing w:after="0" w:line="240" w:lineRule="auto"/>
      <w:ind w:right="360"/>
      <w:jc w:val="both"/>
      <w:rPr>
        <w:rFonts w:ascii="Times New Roman" w:eastAsia="Times New Roman" w:hAnsi="Times New Roman" w:cs="Times New Roman"/>
        <w:color w:val="000000"/>
        <w:sz w:val="20"/>
        <w:szCs w:val="20"/>
      </w:rPr>
    </w:pPr>
    <w:r>
      <w:rPr>
        <w:noProof/>
      </w:rPr>
      <mc:AlternateContent>
        <mc:Choice Requires="wps">
          <w:drawing>
            <wp:anchor distT="0" distB="0" distL="0" distR="0" simplePos="0" relativeHeight="251659264" behindDoc="1" locked="0" layoutInCell="1" hidden="0" allowOverlap="1" wp14:anchorId="466BF13A" wp14:editId="361227A5">
              <wp:simplePos x="0" y="0"/>
              <wp:positionH relativeFrom="column">
                <wp:posOffset>-546099</wp:posOffset>
              </wp:positionH>
              <wp:positionV relativeFrom="paragraph">
                <wp:posOffset>139700</wp:posOffset>
              </wp:positionV>
              <wp:extent cx="9525" cy="12700"/>
              <wp:effectExtent l="0" t="0" r="0" b="0"/>
              <wp:wrapNone/>
              <wp:docPr id="18923" name="Conector de Seta Reta 18923"/>
              <wp:cNvGraphicFramePr/>
              <a:graphic xmlns:a="http://schemas.openxmlformats.org/drawingml/2006/main">
                <a:graphicData uri="http://schemas.microsoft.com/office/word/2010/wordprocessingShape">
                  <wps:wsp>
                    <wps:cNvCnPr/>
                    <wps:spPr>
                      <a:xfrm>
                        <a:off x="2093213" y="3775238"/>
                        <a:ext cx="6505575" cy="9525"/>
                      </a:xfrm>
                      <a:prstGeom prst="straightConnector1">
                        <a:avLst/>
                      </a:prstGeom>
                      <a:noFill/>
                      <a:ln w="9525" cap="flat" cmpd="sng">
                        <a:solidFill>
                          <a:srgbClr val="00B05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-546099</wp:posOffset>
              </wp:positionH>
              <wp:positionV relativeFrom="paragraph">
                <wp:posOffset>139700</wp:posOffset>
              </wp:positionV>
              <wp:extent cx="9525" cy="12700"/>
              <wp:effectExtent b="0" l="0" r="0" t="0"/>
              <wp:wrapNone/>
              <wp:docPr id="18923"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9525" cy="12700"/>
                      </a:xfrm>
                      <a:prstGeom prst="rect"/>
                      <a:ln/>
                    </pic:spPr>
                  </pic:pic>
                </a:graphicData>
              </a:graphic>
            </wp:anchor>
          </w:drawing>
        </mc:Fallback>
      </mc:AlternateContent>
    </w:r>
  </w:p>
  <w:p w14:paraId="000000CC" w14:textId="77777777" w:rsidR="006F379A" w:rsidRDefault="006F379A">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p>
  <w:p w14:paraId="000000CD" w14:textId="77777777" w:rsidR="006F379A" w:rsidRDefault="00150FD6">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 SEDRES. Seminário de Desenvolvimento Regional, Estado e Sociedade. Crato - CE, 06 a 08 de dezembro de 2022. ISSN 2358-4408.</w:t>
    </w:r>
  </w:p>
  <w:p w14:paraId="000000CE" w14:textId="77777777" w:rsidR="006F379A" w:rsidRDefault="006F379A">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E9548" w14:textId="77777777" w:rsidR="0010553E" w:rsidRDefault="0010553E">
      <w:pPr>
        <w:spacing w:after="0" w:line="240" w:lineRule="auto"/>
      </w:pPr>
      <w:r>
        <w:separator/>
      </w:r>
    </w:p>
  </w:footnote>
  <w:footnote w:type="continuationSeparator" w:id="0">
    <w:p w14:paraId="41A4D4CB" w14:textId="77777777" w:rsidR="0010553E" w:rsidRDefault="001055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C8" w14:textId="77777777" w:rsidR="006F379A" w:rsidRDefault="00150FD6">
    <w:pPr>
      <w:pBdr>
        <w:top w:val="nil"/>
        <w:left w:val="nil"/>
        <w:bottom w:val="nil"/>
        <w:right w:val="nil"/>
        <w:between w:val="nil"/>
      </w:pBdr>
      <w:tabs>
        <w:tab w:val="center" w:pos="4252"/>
        <w:tab w:val="right" w:pos="8504"/>
      </w:tabs>
      <w:spacing w:after="0" w:line="240" w:lineRule="auto"/>
      <w:jc w:val="center"/>
      <w:rPr>
        <w:color w:val="000000"/>
      </w:rPr>
    </w:pPr>
    <w:r>
      <w:rPr>
        <w:noProof/>
        <w:color w:val="000000"/>
      </w:rPr>
      <mc:AlternateContent>
        <mc:Choice Requires="wpg">
          <w:drawing>
            <wp:inline distT="0" distB="0" distL="0" distR="0" wp14:anchorId="390D431F" wp14:editId="4CD4E131">
              <wp:extent cx="323850" cy="323850"/>
              <wp:effectExtent l="0" t="0" r="0" b="0"/>
              <wp:docPr id="18922" name="Retângulo 18922"/>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6042BBA0" w14:textId="77777777" w:rsidR="006F379A" w:rsidRDefault="006F379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inline distB="0" distT="0" distL="0" distR="0">
              <wp:extent cx="323850" cy="323850"/>
              <wp:effectExtent b="0" l="0" r="0" t="0"/>
              <wp:docPr id="18922"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323850" cy="323850"/>
                      </a:xfrm>
                      <a:prstGeom prst="rect"/>
                      <a:ln/>
                    </pic:spPr>
                  </pic:pic>
                </a:graphicData>
              </a:graphic>
            </wp:inline>
          </w:drawing>
        </mc:Fallback>
      </mc:AlternateContent>
    </w:r>
    <w:r>
      <w:rPr>
        <w:color w:val="000000"/>
      </w:rPr>
      <w:t xml:space="preserve"> </w:t>
    </w:r>
    <w:r>
      <w:rPr>
        <w:noProof/>
        <w:color w:val="000000"/>
      </w:rPr>
      <w:drawing>
        <wp:inline distT="0" distB="0" distL="0" distR="0" wp14:anchorId="1DCFE1FB" wp14:editId="4B1D111B">
          <wp:extent cx="2665150" cy="910425"/>
          <wp:effectExtent l="0" t="0" r="0" b="0"/>
          <wp:docPr id="1893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2665150" cy="910425"/>
                  </a:xfrm>
                  <a:prstGeom prst="rect">
                    <a:avLst/>
                  </a:prstGeom>
                  <a:ln/>
                </pic:spPr>
              </pic:pic>
            </a:graphicData>
          </a:graphic>
        </wp:inline>
      </w:drawing>
    </w:r>
    <w:r>
      <w:rPr>
        <w:noProof/>
      </w:rPr>
      <mc:AlternateContent>
        <mc:Choice Requires="wps">
          <w:drawing>
            <wp:anchor distT="0" distB="0" distL="0" distR="0" simplePos="0" relativeHeight="251658240" behindDoc="1" locked="0" layoutInCell="1" hidden="0" allowOverlap="1" wp14:anchorId="3526181E" wp14:editId="1178128A">
              <wp:simplePos x="0" y="0"/>
              <wp:positionH relativeFrom="column">
                <wp:posOffset>-495299</wp:posOffset>
              </wp:positionH>
              <wp:positionV relativeFrom="paragraph">
                <wp:posOffset>952500</wp:posOffset>
              </wp:positionV>
              <wp:extent cx="9525" cy="12700"/>
              <wp:effectExtent l="0" t="0" r="0" b="0"/>
              <wp:wrapNone/>
              <wp:docPr id="18924" name="Conector de Seta Reta 18924"/>
              <wp:cNvGraphicFramePr/>
              <a:graphic xmlns:a="http://schemas.openxmlformats.org/drawingml/2006/main">
                <a:graphicData uri="http://schemas.microsoft.com/office/word/2010/wordprocessingShape">
                  <wps:wsp>
                    <wps:cNvCnPr/>
                    <wps:spPr>
                      <a:xfrm>
                        <a:off x="2093213" y="3775238"/>
                        <a:ext cx="6505575" cy="9525"/>
                      </a:xfrm>
                      <a:prstGeom prst="straightConnector1">
                        <a:avLst/>
                      </a:prstGeom>
                      <a:noFill/>
                      <a:ln w="9525" cap="flat" cmpd="sng">
                        <a:solidFill>
                          <a:srgbClr val="00B05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-495299</wp:posOffset>
              </wp:positionH>
              <wp:positionV relativeFrom="paragraph">
                <wp:posOffset>952500</wp:posOffset>
              </wp:positionV>
              <wp:extent cx="9525" cy="12700"/>
              <wp:effectExtent b="0" l="0" r="0" t="0"/>
              <wp:wrapNone/>
              <wp:docPr id="18924" name="image12.png"/>
              <a:graphic>
                <a:graphicData uri="http://schemas.openxmlformats.org/drawingml/2006/picture">
                  <pic:pic>
                    <pic:nvPicPr>
                      <pic:cNvPr id="0" name="image12.png"/>
                      <pic:cNvPicPr preferRelativeResize="0"/>
                    </pic:nvPicPr>
                    <pic:blipFill>
                      <a:blip r:embed="rId3"/>
                      <a:srcRect/>
                      <a:stretch>
                        <a:fillRect/>
                      </a:stretch>
                    </pic:blipFill>
                    <pic:spPr>
                      <a:xfrm>
                        <a:off x="0" y="0"/>
                        <a:ext cx="9525" cy="12700"/>
                      </a:xfrm>
                      <a:prstGeom prst="rect"/>
                      <a:ln/>
                    </pic:spPr>
                  </pic:pic>
                </a:graphicData>
              </a:graphic>
            </wp:anchor>
          </w:drawing>
        </mc:Fallback>
      </mc:AlternateContent>
    </w:r>
  </w:p>
  <w:p w14:paraId="000000C9" w14:textId="77777777" w:rsidR="006F379A" w:rsidRDefault="006F379A">
    <w:pPr>
      <w:pBdr>
        <w:top w:val="nil"/>
        <w:left w:val="nil"/>
        <w:bottom w:val="nil"/>
        <w:right w:val="nil"/>
        <w:between w:val="nil"/>
      </w:pBdr>
      <w:tabs>
        <w:tab w:val="center" w:pos="4252"/>
        <w:tab w:val="right" w:pos="8504"/>
      </w:tabs>
      <w:spacing w:after="0" w:line="240" w:lineRule="auto"/>
      <w:jc w:val="center"/>
      <w:rPr>
        <w:color w:val="000000"/>
      </w:rPr>
    </w:pPr>
  </w:p>
  <w:p w14:paraId="000000CA" w14:textId="77777777" w:rsidR="006F379A" w:rsidRDefault="006F379A">
    <w:pPr>
      <w:pBdr>
        <w:top w:val="nil"/>
        <w:left w:val="nil"/>
        <w:bottom w:val="nil"/>
        <w:right w:val="nil"/>
        <w:between w:val="nil"/>
      </w:pBdr>
      <w:tabs>
        <w:tab w:val="center" w:pos="4252"/>
        <w:tab w:val="right" w:pos="8504"/>
      </w:tabs>
      <w:spacing w:after="0" w:line="240" w:lineRule="auto"/>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9E62C9"/>
    <w:multiLevelType w:val="multilevel"/>
    <w:tmpl w:val="24C605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25920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79A"/>
    <w:rsid w:val="00047028"/>
    <w:rsid w:val="00050728"/>
    <w:rsid w:val="000657CD"/>
    <w:rsid w:val="0010553E"/>
    <w:rsid w:val="00150FD6"/>
    <w:rsid w:val="001713E2"/>
    <w:rsid w:val="00180BA9"/>
    <w:rsid w:val="001B153E"/>
    <w:rsid w:val="002668BA"/>
    <w:rsid w:val="00274B9C"/>
    <w:rsid w:val="002E002D"/>
    <w:rsid w:val="003038ED"/>
    <w:rsid w:val="00303DB2"/>
    <w:rsid w:val="00305093"/>
    <w:rsid w:val="005626BB"/>
    <w:rsid w:val="00673EDA"/>
    <w:rsid w:val="006802C9"/>
    <w:rsid w:val="006979E4"/>
    <w:rsid w:val="006D7F87"/>
    <w:rsid w:val="006F379A"/>
    <w:rsid w:val="007205DA"/>
    <w:rsid w:val="00821CF1"/>
    <w:rsid w:val="008573AB"/>
    <w:rsid w:val="00867F49"/>
    <w:rsid w:val="008A374E"/>
    <w:rsid w:val="008E35AF"/>
    <w:rsid w:val="009520A5"/>
    <w:rsid w:val="00A5799F"/>
    <w:rsid w:val="00B64F5D"/>
    <w:rsid w:val="00BB6A92"/>
    <w:rsid w:val="00BC5B81"/>
    <w:rsid w:val="00D06CDF"/>
    <w:rsid w:val="00D218C1"/>
    <w:rsid w:val="00D738DE"/>
    <w:rsid w:val="00DF6403"/>
    <w:rsid w:val="00E152EB"/>
    <w:rsid w:val="00E97E09"/>
    <w:rsid w:val="00FB4961"/>
    <w:rsid w:val="00FE49A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8494A"/>
  <w15:docId w15:val="{B219DC8A-1876-4ACD-B811-9CFA4545D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link w:val="TtuloChar"/>
    <w:uiPriority w:val="10"/>
    <w:qFormat/>
    <w:pPr>
      <w:spacing w:after="0" w:line="240" w:lineRule="auto"/>
      <w:jc w:val="center"/>
    </w:pPr>
    <w:rPr>
      <w:rFonts w:ascii="Arial" w:eastAsia="Times New Roman" w:hAnsi="Arial" w:cs="Times New Roman"/>
      <w:b/>
      <w:sz w:val="28"/>
      <w:szCs w:val="24"/>
      <w:lang w:val="en-GB" w:eastAsia="pt-BR"/>
    </w:rPr>
  </w:style>
  <w:style w:type="table" w:customStyle="1" w:styleId="TableNormal0">
    <w:name w:val="Table Normal"/>
    <w:tblPr>
      <w:tblCellMar>
        <w:top w:w="0" w:type="dxa"/>
        <w:left w:w="0" w:type="dxa"/>
        <w:bottom w:w="0" w:type="dxa"/>
        <w:right w:w="0" w:type="dxa"/>
      </w:tblCellMar>
    </w:tbl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PargrafodaLista">
    <w:name w:val="List Paragraph"/>
    <w:basedOn w:val="Normal"/>
    <w:uiPriority w:val="99"/>
    <w:rsid w:val="00523C43"/>
    <w:pPr>
      <w:ind w:left="720"/>
      <w:contextualSpacing/>
    </w:pPr>
  </w:style>
  <w:style w:type="paragraph" w:styleId="Reviso">
    <w:name w:val="Revision"/>
    <w:hidden/>
    <w:uiPriority w:val="99"/>
    <w:semiHidden/>
    <w:rsid w:val="004F2CED"/>
    <w:rPr>
      <w:lang w:eastAsia="en-US"/>
    </w:rPr>
  </w:style>
  <w:style w:type="character" w:styleId="Refdecomentrio">
    <w:name w:val="annotation reference"/>
    <w:basedOn w:val="Fontepargpadro"/>
    <w:uiPriority w:val="99"/>
    <w:semiHidden/>
    <w:unhideWhenUsed/>
    <w:rsid w:val="004F2CED"/>
    <w:rPr>
      <w:sz w:val="16"/>
      <w:szCs w:val="16"/>
    </w:rPr>
  </w:style>
  <w:style w:type="paragraph" w:styleId="Textodecomentrio">
    <w:name w:val="annotation text"/>
    <w:basedOn w:val="Normal"/>
    <w:link w:val="TextodecomentrioChar"/>
    <w:uiPriority w:val="99"/>
    <w:unhideWhenUsed/>
    <w:rsid w:val="004F2CED"/>
    <w:pPr>
      <w:spacing w:line="240" w:lineRule="auto"/>
    </w:pPr>
    <w:rPr>
      <w:sz w:val="20"/>
      <w:szCs w:val="20"/>
    </w:rPr>
  </w:style>
  <w:style w:type="character" w:customStyle="1" w:styleId="TextodecomentrioChar">
    <w:name w:val="Texto de comentário Char"/>
    <w:basedOn w:val="Fontepargpadro"/>
    <w:link w:val="Textodecomentrio"/>
    <w:uiPriority w:val="99"/>
    <w:rsid w:val="004F2CED"/>
    <w:rPr>
      <w:lang w:eastAsia="en-US"/>
    </w:rPr>
  </w:style>
  <w:style w:type="paragraph" w:styleId="Assuntodocomentrio">
    <w:name w:val="annotation subject"/>
    <w:basedOn w:val="Textodecomentrio"/>
    <w:next w:val="Textodecomentrio"/>
    <w:link w:val="AssuntodocomentrioChar"/>
    <w:uiPriority w:val="99"/>
    <w:semiHidden/>
    <w:unhideWhenUsed/>
    <w:rsid w:val="004F2CED"/>
    <w:rPr>
      <w:b/>
      <w:bCs/>
    </w:rPr>
  </w:style>
  <w:style w:type="character" w:customStyle="1" w:styleId="AssuntodocomentrioChar">
    <w:name w:val="Assunto do comentário Char"/>
    <w:basedOn w:val="TextodecomentrioChar"/>
    <w:link w:val="Assuntodocomentrio"/>
    <w:uiPriority w:val="99"/>
    <w:semiHidden/>
    <w:rsid w:val="004F2CED"/>
    <w:rPr>
      <w:b/>
      <w:bCs/>
      <w:lang w:eastAsia="en-US"/>
    </w:rPr>
  </w:style>
  <w:style w:type="character" w:styleId="Hyperlink">
    <w:name w:val="Hyperlink"/>
    <w:basedOn w:val="Fontepargpadro"/>
    <w:uiPriority w:val="99"/>
    <w:unhideWhenUsed/>
    <w:rsid w:val="00EB0519"/>
    <w:rPr>
      <w:color w:val="0563C1" w:themeColor="hyperlink"/>
      <w:u w:val="single"/>
    </w:rPr>
  </w:style>
  <w:style w:type="character" w:styleId="MenoPendente">
    <w:name w:val="Unresolved Mention"/>
    <w:basedOn w:val="Fontepargpadro"/>
    <w:uiPriority w:val="99"/>
    <w:semiHidden/>
    <w:unhideWhenUsed/>
    <w:rsid w:val="00EB0519"/>
    <w:rPr>
      <w:color w:val="605E5C"/>
      <w:shd w:val="clear" w:color="auto" w:fill="E1DFDD"/>
    </w:rPr>
  </w:style>
  <w:style w:type="paragraph" w:styleId="Legenda">
    <w:name w:val="caption"/>
    <w:basedOn w:val="Normal"/>
    <w:next w:val="Normal"/>
    <w:uiPriority w:val="35"/>
    <w:unhideWhenUsed/>
    <w:qFormat/>
    <w:rsid w:val="004000B0"/>
    <w:pPr>
      <w:spacing w:after="200" w:line="240" w:lineRule="auto"/>
    </w:pPr>
    <w:rPr>
      <w:rFonts w:ascii="Times New Roman" w:hAnsi="Times New Roman" w:cs="Times New Roman"/>
      <w:i/>
      <w:iCs/>
      <w:color w:val="44546A" w:themeColor="text2"/>
      <w:sz w:val="18"/>
      <w:szCs w:val="18"/>
    </w:rPr>
  </w:style>
  <w:style w:type="paragraph" w:customStyle="1" w:styleId="Default">
    <w:name w:val="Default"/>
    <w:rsid w:val="002E5D82"/>
    <w:pPr>
      <w:autoSpaceDE w:val="0"/>
      <w:autoSpaceDN w:val="0"/>
      <w:adjustRightInd w:val="0"/>
    </w:pPr>
    <w:rPr>
      <w:rFonts w:ascii="Times New Roman" w:hAnsi="Times New Roman" w:cs="Times New Roman"/>
      <w:color w:val="000000"/>
      <w:sz w:val="24"/>
      <w:szCs w:val="24"/>
    </w:rPr>
  </w:style>
  <w:style w:type="paragraph" w:styleId="NormalWeb">
    <w:name w:val="Normal (Web)"/>
    <w:basedOn w:val="Normal"/>
    <w:uiPriority w:val="99"/>
    <w:semiHidden/>
    <w:unhideWhenUsed/>
    <w:rsid w:val="00CB5D0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70" w:type="dxa"/>
        <w:right w:w="70" w:type="dxa"/>
      </w:tblCellMar>
    </w:tblPr>
  </w:style>
  <w:style w:type="paragraph" w:styleId="Textodebalo">
    <w:name w:val="Balloon Text"/>
    <w:basedOn w:val="Normal"/>
    <w:link w:val="TextodebaloChar"/>
    <w:uiPriority w:val="99"/>
    <w:semiHidden/>
    <w:unhideWhenUsed/>
    <w:rsid w:val="008A374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A374E"/>
    <w:rPr>
      <w:rFonts w:ascii="Segoe UI" w:hAnsi="Segoe UI" w:cs="Segoe UI"/>
      <w:sz w:val="18"/>
      <w:szCs w:val="18"/>
      <w:lang w:eastAsia="en-US"/>
    </w:rPr>
  </w:style>
  <w:style w:type="character" w:styleId="HiperlinkVisitado">
    <w:name w:val="FollowedHyperlink"/>
    <w:basedOn w:val="Fontepargpadro"/>
    <w:uiPriority w:val="99"/>
    <w:semiHidden/>
    <w:unhideWhenUsed/>
    <w:rsid w:val="00DF6403"/>
    <w:rPr>
      <w:color w:val="954F72" w:themeColor="followedHyperlink"/>
      <w:u w:val="single"/>
    </w:rPr>
  </w:style>
  <w:style w:type="character" w:styleId="Nmerodepgina">
    <w:name w:val="page number"/>
    <w:basedOn w:val="Fontepargpadro"/>
    <w:uiPriority w:val="99"/>
    <w:semiHidden/>
    <w:unhideWhenUsed/>
    <w:rsid w:val="00303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www.ipea.gov.br/portal/index.php?option=com_content&amp;view=article&amp;id=36834"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www.gov.br/sudene/pt-br/centrais-de-conteudo/nt522017-pdf" TargetMode="External"/><Relationship Id="rId2" Type="http://schemas.openxmlformats.org/officeDocument/2006/relationships/customXml" Target="../customXml/item2.xml"/><Relationship Id="rId16" Type="http://schemas.openxmlformats.org/officeDocument/2006/relationships/hyperlink" Target="https://www.bancoamazonia.com.br/index.php/fno/relatorios-do-fn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teses.usp.br/teses/disponiveis/8/8136/tde-12122019-185117/pt-br.php"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8.png"/><Relationship Id="rId1" Type="http://schemas.openxmlformats.org/officeDocument/2006/relationships/image" Target="media/image10.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2f2H/gT/OXZWbkMYYFqnHKtrxzQ==">AMUW2mWus4mV8po3BSEk1Z6XZusHAkNTGfCZJKyscRjfN4X1LxVnbyzy2MU2f0l9rFaVpMWVzScvqOUtRx2QQDHCmSMuqu4pvnbetqsgYsjH8fSSySoLdhb1Uv7+3PZS75A2yHNki6LMA3lyDrZp9xdCMhiyjsPCAnAami7DCHHDId/k0ymDQ0XAEXnUakHOy3bFrEkEw9VeUC6kZ/CYz/SjPVUC0xsqyVWBxGEPinDZQPh8TXyvfNCuwnFaoBqEf/1kXV2XEYZmK86xiGnTEpmDwtg42Yt8YbSyBO6JzHfiShJc3cNBAJxaEEWrjnTFoI2SmbCxUXIPfzrp6JrC8Eqwu5Isg4yxGYU9dCKf3SeeUeJg/gA814CBV9vcEDadwhc6vkEuymy83m8tlvZcBRBRphsIkpoltEcx67lXfKdsr3tAGhMirQzU/c1aWdkooEWGwrelydngNkdjJh7aysIk/o9MMPjBynJueuOld7eVPQ+FCVcF6KSg92RT2Au+2dkTvXhwd05mp7yTZcZqMO3EvBF0O2NITP7qnS5qLZzeh2FNWQj1wYHYXCoMZF7/+yz4mi2bvy9KoDIf+jc3qyTwSOrKSxoax5gF/rZES0a8u2BDNtiHKxLc4lPbUlmGPQPk+UNdQB4FyEawFaU6JdDk6xw3GsblkNLMU3+2Wn9xY+7dSAXvU/NkAAvjKZMFwCRPi8pcdKIpbW85y5DBoYFr3P+0E1X5wRlvfP6O7hZpq3CubbBT8WYBXZSzAEMxdw8fICwb+gQEfzbHTZgJOq5+zjogB60Dt+FiTexnYdkiKR9XOiW3W6QhxqdwHUQwtdCIqAyhHVCznV7JGDahutOoH14s6AjKWONXNj3GBG5IWAqArtS+AZfPy4eRyR1iAUgVzCOLxLIAyfaV5KZrTFj43vAGia0hrzYO5TrVJORbSgOW5Psj9ttWzAac+NGRg4lXriZZh1a8aQPwSJj50OfhpjGXVghwqXo2IF1Ny2US8zEn2TitzXHNohkdWRWsHoG/NTxFM5fxfAsrioaCMpsJwRuvaf7WcoGfb/5V7zHDSBIOP9RIAbovoNfwdplXTB8aW6XOXTNzs9Z56QxpbTdOD3Ke1LDoas7d5m8qEdQoOibqYaCm5SOG14OChlVvobZXEyPQWpx7VkZIZIWzxBwMA/9a3jDrTqJPLT4W5f295ikj9rrvTezu4HhY1shpRGSLBcHl2jraJEuoTy/Q6pZl4OzEU+c7uKkea0P2Jna0bgJplz6v37zMtvagtTFkdcQiIGajK9A8JyMi7qu2gBLPoW9KLjOlQJTq/sABzYeBVKYkWSISESGby2rmmuZcDOqylHp2sWPBlmDxNei/YWoffW9MSG3g22AvUB/SlQQh2q89jwnQODv8v1FLB98nVQ1SvT0xX4A9QoebdcRgJaCI/xJ/SxetBrpIWOeayA3SLBbj15111l2NVQl46GrPETrUIjmMm5KD3BgrjDZWC1RVsUiDv+dKP7LfLwB8GPW5mb5G2dZ8eOBQY8HwI2eavT/lmx8UMXGKXWfM3ch6BQbGuuM1VywIr3/EhRBwpvGIafyOYIYEelqemc94qOZsU7ePAwCAgIm/6V0eKNL7ujjw3j4GcQSZYqBZrmAmeFJGZZtumKBv5s7WNeFwEjutWpLnRCizpCOInLpvEg+DY/dOWSb4KnDRcvb9DYMUTFjt9ZHV6ryuSjvczPxKtAut2PakohNAp7GaJCGZqbrPP+Uy6FTkc7NGl96jruPZ1pXY8xsEICIu9CVTnVuEgl1LpXfFXiicyKgNlaGl1NfOYW4/If9DvjPzQSjv/c7Km2zpORVCyUe2sPXv0/hBo8jZCpWOWKbbYXBcHdNDb9l++IMUgsJmfg6XAehReWfC3hW5lThpqRWQexl5ZwAUUVM+2jtZ37BYVpklYc+1Pjk6imwdbLGIBslyq32ThXjZNkeIHdrjE1wuKmh49eMdTg7w0yVsb4ss3fq2t/klMXtJQqYI1+Tg6QyDCpZMF3XEAcjEaVUAR/fLIMKMKhR8yJd+Bv917Ve2KDEVlwnMontRTTYycLKFNLrGre1PVZ2WAkRuJJtFYGF8PpotBtaThxBbtuqyOUUYB53mlgM/jRAg5UUl1TF8fN/BhXXTQDcI+0x3i0omosLKBFWsESEtljqNMNRs7qAnoretp/EUEOiWE6ELkHKNeICQKVapJNzUE7KBAqC1YnQceCMHsCU2wgw7kVHlXCTykB7rfnzoy7SSqvW6JlVbnqJAAn4Bu3wGRdE27mdiDj4rzikK716s5hrBPOVjYvIFfhpllLpfknyfFHLUNx2iSecq5O6AedQ0aQgPvhrQK9KgfP79pNtlAX26YP7Wm3uye0W9QDBD4zhvDcV5DuSafD4QLarvSpIM2K2iKVkZNySlGUTiNB9T2fNAIFnps1Bxg6RcLcM1M+wptatgpY3jZbchLWadJnJMfq1gXtaCrlJyz5Jz/yCxLMPxoLmToOdBs9hOjmOYfwyVuuf7qT6g+KC0b31ZNvucHPMA1Qhtirh6vvxdafVKuCWP4to7aBS+MUYDVR+NwACsvOuNUssYRi0EUKYvMq5TmGRh9Rx6WePxRUc3MQEohkIUPCG1lnaN/XmqEim/TieNrfsVZM4Xc5GYV1wvkYNiwnTlM1VnZ2BmL/sMUpzYT3k/L9yML801X4kpWe+S5NjS9IUt0kNndhzrnkkWTsQeOaGbnDPAM2q4cJYFNrCDV2Wb2ae1VvU7AkDGtiqfEdnvFs+8G9LgaJRXWJMijoxjPXY5DCTI7apqa+QkpKUvTNLXYnN7Tpku9E/fxeIQhOH31+YNl3BMnl85jvZDcW4JKjbySt1+qCLBBsASycowSlKYDRp1O3qjCNBNeZfT8r3Y+IGK4jko8smzCnF7ihYFpzAL1Aqur3mn5evq37phn/wJEKRYc1qvmFfuo4erJEX/bJbskyH4CO+SRxeaSMyGC17XqPBoW3ozYC7dOH41GlF9UPAZW/PGDOPwC0uVBIxMpMEDkPWo58J52a2Vvr/czHkKY0iihylZc7cgq/nSGGSyTnTzhVeCblgtaA+3t3JoAUinwuBt4WYzUftyJ/RXTyNKe4/4MqEoMUpkXE9qRAqA1XcoT4rhF5f0nWiutSGD0+8EJaeN6n9St5R455xtA9+3iSXZ+OCcz4aSgaqw6Y1Z2ubKSIOZpu1He1TusXJBy+n8crZwDCqhTka//r2RyYNdZLUZ8wsxJgpo1VZHR/BzZ1Ra7taWLjON4k3JHXdZdl2hFjstaif50sx2CRTa0FeCtXZqja0BK6KTEXJLBSU9hiDjVrna7AN6p4I/u1s96odPcvMmC/b8reNv30UcncmnFsHlWKAlaAeggX8c5DMWvQ8ci2zFRiOabOV4HzZJNsb+VbS8St4NwXnRiKG7anFvhX6/2LDEPaRKK01v/2HoDJAnmxhBRNE7Fa9aw0zep7bgYP4wggjrtpsA8xFmSUJJvBzwrsAuZFbDHBbz32QVfq6nmhojxVPXqxHWNBBigslP4sRQq8eAFY3AhChYKOmHhydCO7Yze76JGLWwtbjW9cXJiZNdrMgaOGVwfrn7adgPIfbtEzbT7rXURy4B4k4mYyXlRgDK9Bx03933vIjNzOZIhH3/1/jV/BhmvBBHPqW/8DG05hQG4SiT4V6EnQdTBOfgM2SbjHissXr7d9qTReDgsYzt1QI12jxHNERNTPqthloPq0Uh2yv9DQSRV08PrioOH3WKuZCHiHvClOekpClipELu3tK0fYgQw46VlgT4D/lt3jW6Ix85L3inoWtBjEPbg5bjHZt5FD0ZRKNgf/L1nqtcG8ivRXcLSdfamdpCq7Q0JlTBxAfzJdp8YPycOib6E4iW1Mz1enhNEsad5jkndekYCErIaM1H4zDp+IfvjDIXbrpU1iStxZoMuw62Mf986Vkav8QGzrFlfSIJ5KmE7Og3aUcvtkxQripnMAhYLxbC0mlIJN1uWuM8TpxGVvGrUlV7cDS6DwhPMLkDU+/nx3N24nivJ8hOWqALHkjj8MXqd9oY1xZIdRjjnyi1IdonhbLPjNYlruLqs+sNJy8eiEYn9iDJGawwYIiWuHmZJrrafRKihJAPU8TP3VdNWRMtdGCoSo45zQ8KKeQF1fLjA08WPh0JPZPP+2oicUaxfGZOl3w4Llk8vwKuI2V1croJ/8t5xBus+32Dvssn68M2Ozmc6pmmtasGW8pgDg8CA/q0a57rYWa/Oq5E710b3DMGzcZK289D50OAbROEtf05/IkS2MAOK0RIz28/brsFnUEuBKFtRlKRkR46FFZ1511D8IwuQ+Xww3eKUYExxkbJSjTIQR1Tig0SMM/Lvo1Bs4SqZ0VB453RWuR6ayT8S072veK86kDsCNqKjmGBSD7OWjL6sySioh/54eB3bcnLEL13CSocQULOrTx/n1ucNU0EV8mBzhzoNEinPPFwXX2v68exl2G6UFDWJm1H7dWT/eDil2XiymU1sV+DiUyZcnbKN7ss9wDVj2S4S/9govvttZmP5xHdJRlAYTe9B6FS9VNjJ7ggweb047ev5BDCOFMm/Q2phw3OmfsZ8JJ5Vzqp3PjvE0zFlR3SRM6MKBWB9qi3I1vh0ef8rhbgQsh9ALds5fPr8zaTk0G5ChMCSz7eAqpJaANMCzaCdpyW7WzLxcuuPyiSqd0ubD80IINCcgjEb1C6O3P4ok6vZORZXTqo0otpBa1nyK5Cx+Ha7BdMRAyeqAFmmYZm1HmLTyUwD4/s7zYXT/ISlWyD8ww8CzPeSXo2Y09vZslXvsbVo7waYjPegkJKo1CqTgUA2sw5Zmx4qWOBfQvzxVeVOyQ8/NoUe39lkofIEbE3Zt37ITX0FFXpqo9Bsb9ZyeiRS6LC8CUeGlqqOLhR8b0hAdJd2myToSRkd3CADhwDQ72RYS9NP2z0oxq3z7ry4hs9PppPufvZNT4VZQOemmgoARd4ovGeTWJ0V7KZQX+dtgMYl6r0/CVRxyCq1FILvbHPdqMvsSyvegQX0RHVvfq5pOhDUL+powzyj7OB8q7sf1GaDWiHyLpDuph9qbh1+NACxGKCt055DUcZd2i8SnJq03ABH2gmSD0aE8Iwwdqcp1lq+kwebQ+6uZcCnhYfxX/6Sz/jSSeX+2hwxpOGqUfJPXzWILUyTFZNIB805oGSm0FgBvvSEHWWoRsxZGpSOfEFk4XJ7QeWvcqPXZCvB7K/lJWtoAHWl1AsN1m3uRzdoLDN0eDXpEwENIFtFWSFatd1BoIQUlhF6lpSH1afJ4EfnplWI+hdVlsjni9/D5FYm3aOXXXn0yeiGXtYiDc3phoTp+52H80Vxd27vsJzyBsuuwH7qDZJprIkOwqm78DwGqh5RW8cGiOsariImLgf4UdtsuSpXbGAkUcQ6dhVRnN4y8jgxiBuHssQ9WjkNhIwzKRVms3ejkAkIrCWgcpCz8m0looJIA6L1cwTKHbvxG9br/KIfSLIuKS94gQL+YP5Wu4HfbHB3Vm/bUI0biXyERYbIDzxEgNiH9qY/UzZOwnOZimwawDeQzpxF/eml07EXdNyufpZ157ee20326wHaUNvqaM9Ymaf+HkjFpzR635tkaIhJTPAWsi7Q5pSIJtSXQELr6ftX0E3nuQUECfkhOunuBiCYXNisRbCOLsHHeGs/U3Hebn/1o3RXPN1AKVHHw96iinzRi47e2db8Y6Ha0eRFmaPofO0+Ym2Zc5Vq0S2QcRHbGRvu2sNwlSeS1uJVpcM8kwDR0kY1kOLh0UXaPe2fRIP1ZYGoYwaLl8L8hhwdvcDJsa8zOzbr8cljfPznbNw1mQpQAXmvWzCsSRxA+/ShaxfNtLzzThlHZJ+93+qJQVQMvekL/m1pCTDyVovfMbp2mdtyfxWO0D3YdRNALqPOYVbBzBNjO+VvrLu5ifYI0FdhEVGmNnaq4SoN2ROmRDn1IniI3icKCsw5KeNDIyZdh2bsK3Cd9ecFuxARh0hEBB4dhxHs/Zhza2ZqqGVPBkjTMHBLnqD8nLXtmLEmgvlo8tHcxdvc5M4GCBo3rxvv+pFRHfqM/NRLfy/PhCvPfHQ5sWEPhCZE/UyvBCNTtwkZ96bxRuc4allGQFZyDXm5X9pe//ctVj+hRUh2QFW5+HxapFoxliOb/SdBFn/5MzLtHkotjy60GMUM7/6a5ESFn1KjzL4DGGxL28ODxILHoijveL0US8hBEdG4Com/ct9rbGWHJN1FxywJogWtkDdeHmuhANt9X7BY0yJZGQ8F8wtYnMebg2uk2EL7SQ7R/qQ8gpL+r+ejs3sJtE9t4k3gC2xvmaOTqnsrAQhjuKWtYkWenkf1xDxZEFf47ixdcwDH/ieIhoxWLta0h4okt2FMJBPWi/dw7gTMeAp3NRvuSxFk3zaGHBPm07azWrYp+oatfpEUIHUqdBbYcAYp5UTT7f3yk9WpYwCeoyn1xpUD7ErEE+4tL1fhGr4ldMfq+fYQ8VNXiDjXgSOz7RgVaqpgNB7ovpHu/BHRGKRmy4HFGGgzM/jccF/mevEHvP3W16WIvXsuUd31AqZipiSwLtLDbZ1Xe0BMRoXhRBkNuV6QML4OPsBzJM6yQ/A6UfhRPTWYRIY5LKy9pYFn5/Ck5QUPwocJ5NGae20hPow1dEYyoS2AVU33EaoOq1ww1yx8WHLKDrNl3c2gEEyRqZCiB59BcUXwEsKvIA7NEFhBimRYMWqqGLfG/VDY2mVeuZGGS8yepO9tXcXIH1DZdnssZBT/8v+UWFAEE7GBda/qGOayuxyh2iGoK5UZpWaIAx7rZWfZeKLAsXUwzLlOfB37LP5Ghd7q1XqRe2FIczdWlodTgxOX6KM+nBBNW7hKEZ6IwgxAAKkbmqfha7oUsOhB29o+zj5Q5duCwrUB/MHcgS4M8G1rV1yl5dZPD3YF7n8iedIw3/uuJUarnGKR3ajuijpEnfBSJNQwxjapk+PG3fDQjPApzbs4d5q4GLetw0FrTtavM+gjgm/ScLGDMDDTafeQivbtdQG7x3da0pMIDSYpds3lt/XGPfHxe/BmW1cOKs6YdIaCXWZNLWc6XDRywNd0oQ2ZM1bHUPAf0+Efbsdk+q42ZSnPX9KbzsVqPhh2tRLHYSq3B7WBQG9iUwcY+mbMYhpP+0pwzUzdyf11Ehi8Y/ZwQeKW6XX/nc4d5NtkS1N4YASfvMspmWfkzU7F/DfW9sCoO2MBnltJZXDS99zBvSjyIBafursz3mFpN1525KWoVj26FVH5g8dyZ0SWOYtcXXq/feP1Fz5lOICOco8hGH9+8d6hYlXPRBzHiLok9pXedb0BJ5kZlKcxU7NE2HTFy+cVsT1edzxsSna+/jEEUy/hcrbZrsRF7RV7P1ib5I46cWav9fyC333HL93wagxUHDdoGXc1Vm59k4xCaZwXK1/9Jwxje4aSTqoAVbcppCTgES+dBdE0NQQoTpxW5y0PgZ3gTRETkL345vKcUkyw/QksjNp7MRXmMVBo9A5qlRe91gyqKD1StPrPEOOS/oOKP80bUCWBhNaINJh2ocqZNrWAIMUH8CTx8VgdaCxtCCULD1P2gz/rO2kB4iycIFRkwxfIXYncMrsto0y4bqyX7sIblVhjc4v88kEbYfndXjLiwamJzNiFrUbvdXEzIeulJhZ3B3lpdhNAdJlVBJ5eutO2Q6R/Xtgyuj63//C/DhKGb0mIku5PMlZKARGOnL5s2Su7z+xTdI5amQX+pu0edZWPfeewkRbsHQFrtxC9O7ZoYyOX7FK0T+YOQVvPSSNWnWk+MYbvtENJ6dNh/JzqOAxQTt/Rkp2Cd24L+4z8iHMuZI3bb/DOiezcXFYMRz5m7hO7ZwUoC+OxQuqzutUU7XRb9rYvGZg0/u295GLjhpgBUwlqYRZpiPWw/PV8Q5Sx8vCTZ7Z/E78mbMMJemTyhlKRGatBfAOwMlOhXj6zw26UWc9/o1VF9kL6zQ4WEZZCbBXYwVE3CfqWdV/qws88DC/c1z+mJ2Uc0l/m0wieFa2w5tYOSoBhd9tChAGgMo1yAMuHmNc9edFx/uXlBt6vz8X1IkHmP0EFuPAG3KkNjE9CaLjjz+RKVBQe580XJHfxbjGNuHw0ptU+I6Nsoztrg26AutPs8WQfxOmgSsXFP4fWO7RyTFmqFleiOkc/yuDi0qpBhZEQorKa2uTAC/TMFgR9F2fUFWhaGZZ3xp9kl3Kde0ccQQTMH3KyeFNQXKm+jAQCVIg2/+HvPNVW+3YwM2uVYjQTU5fIAgquV1JDhhXJ1xJeU1Z8oL7EqZCva0BAPKi6cdLIzPOmGnJCB/5eDG6keL4ztTKPo02MZ4aZWMuMHR8G/DA+ItdHcX8eVMeov6NaSA4q3Owpqm/uwFs9j15XPn4ApQDI5dluQKGfHC2Vs364ONsW59hBWBIYFVdfLJ85eN2ZvaHvSO+tLsUf+V6sUzTFJgl6lYxP/DwhMyVTChkG2D9K/+/3FnK/zTK6dF5cC5DOOisHMtJ/d5jzbiP/8x1RydQuOgOAnp0kcoBrx8dF/kq7vpoH++IK08laCitP46JCEw3nj5ckYAzKe6J7lYEQoCThpdxVrwkyVKkMaqffFvLTxZT+cu0BwoR5cKpqWmH1iwVC+SpPEmv1q2el1AyX72kvSYc/cVbti2kWX+gwbLXoqJ9JoATOhoG89LQUE+IPZZkFstPRS73GFff1rw9ot6/hnQaaC3RvV5DeSc86vvqWJXC0hHq/g7xCFLBxoothpJJE1L6W1IBnnmHlmfADPo/tTd9GZewnPTSBNb52yhpuVOUKLPCf1uXFOU+bOndAD4PDbgv3Oo7HmBGGuP9MpghcQON+coQRrIh0T+K+ANP8zqETDP+u6CR9za+XpYLGg+qLA5OCuy4tmEo3A3weA/A2GyJ82gJE8n0dEoqyllyDAq8MllGzVW7EqvkxbPHjivSPCs/dZSjZ26TqzfVKfH/SvQvOUo3S4lDWTBL0kPh/AeF2cJk7uUUhCmelPsMt7ut8OQDYQrPblcOZaU79R2jMG/+vaupyo33QJq+/4ifeq9FGehHRZAWyDfQSuNUVIKNYQDbwb2Ckt3/AciUnxN6zAKcAvGyrTvX++3fd9hOXam8+vx0qcAf50legDMndhExabnF+dKfgzw3E02aRB9gX25KUKGOFfzFX10CWF0TyK6ZbsF3qHXwdMLBz7uv2E+UowdWZU+pf0PWzz0CmnIRhfoWbd3d7GaNRYY6HcX0HqrHHat+28OufZoV91a02j2G/VpuP6ybe6yK4dRZaCxi5fVAIQVq5O+ehputiD2580LTli+cj+RIEAHtOVD2PMX6uelzvTPO8UlK4rNUuMNc5yLrkcBnuwBpWzYygn24Otk1k3LdlgsryyWhLiRUaLC61WU7vWGIyT/t2ooDzxc+4Jgp0+7mawAdvn81XeF9kumizYIX8HlFEDr5XLwrjEaxJv9i/gddTjwZFDp26qsVS65Uhgd1m1skpE72Nhf+UoDWD9bfuEftyfuG5RdOi25ehv5wB32nAlj6/2wxIqvcNU7lq6MJ8LVJQDyJRmwgTINTfDCsjlyviTN+wOJFFOG9NygvfSvtwc+T8CmM1i43iVmgwmiIhDoiFPDmL3xvqO36vD7NvHa1YkcrGUUIh5CoBfFwo8a+hwbFUKR4OyxZaceIQBgMpu8A2PnU194dKgBV9BVt4pjwomz0ta5vIXRkyNERppnezx10aBPY0nQ1NCdWbylKakUlVvXPTEmUsvdDFFFNz+KpY5OuAZLY4mK3R70EyrsfCnXV4c+hmLa3gYyeP+mV4dOZjb1TUWmY4wBthnQ4RvhqP6SIobeexASUIH6PgH50RecbMNtR0p9saDvgtB8epXy4bDYKt+TgGv9bmh9Z7mpiICKyGNZ7USDSN17UvpwoZ8IU4zsKW/mkJ5HxVuOFbLm0XZM4PZiJdocp2u00Bu6m7F1/dZrv2I+CI/WYs3Cg4+CZEVBwQtjC0r984nvBGXR4WekL5QH5luivopTtUaN5TmjeYDtx0nKer95Yte2/TnX4Gs7FItJhrO9u5L55Fq7c8WB67TD4SoLqp1Cv6xWyYeGg+I8MgPBVojBrBfc8iYTMZSeJgUmHwI704itklA12PsFzZQMXfrjFaMkWV2sI5TiwQmOD9U5Sflfe+XIcwbGa/VlYfSdPwu8ihaZvz1vf3Lm0z/1EdTvytlV248F78a6avBqm1+/VmJM0K5OxMqjOAslmrK+ldP+FvtWqRoci8S44+GQqxQrIGBgEHhebkc8Shrl0p4/lvNr5DCAV2KioSdvEAOxgyyB0ZK5JHjtsr/8YgNIdUCAwkGE4JRmeVBA/LEUN0ZertBoTJizcAiiOV9zzudbwkZQPDZmQ8G5FwquF4pUqvZzBtiS2sPAoagr1adKvetLivzmQ//DK5EWnaSTlQ6xHMNrI7luWMhd6QmGEOUDAWIJJjwdv2yMkcciC5dzP+EjPb/YPuJsCOmNVNalJ0/2UdZ1HrHE7InVbH+0mIe/wUk8OX/e1QWpDRpkYgONUbzNW4dR6f9ppxjG8KP0+2DZBlmLs7TM8dxIf5aleKsFvzCTkodffqmHnkiIfVIeST56xNB20C/YRzqkXXPQmWlgMSa7nqzJGvPlQgcVkaMMAbiqjgb20OIYJDlGlznnfRE3kx/Y0cFLKbBll0yHJ2V+fIhe1zJ6zq/s0BgtvI94ydIt5/OQIRKYFoo6h5fGUZxm3avfJ3Gnj+UFx0Lpui/tTqS4Gv2NduauaS1I+Z1mGXi+8cExKVHFYlT2RxRsp3AvP9XsfSBAIfSxcut6jtCo9sVecoGsu4pNZDF9/WBlWL9UQmFBhH018FCGIXZWJjL5VaqWYgpv175BhDcJU50RYwe6whAi/rEhD+O5ClyFub4ntFu+fcOS4nD0rShGFESGTDpCDtpdIVHizoVo+2gasADrjsOz6R+uJ+NZc07mgZpdv6MMbheJMYUnbh2jvzcmk80D97t9LZvPMKZfRNq/M0IGngEpbm+JhWDZEXMBg053LXKOByy/frC62xMWahChDuMiNQgTjEHs+ZMLVw8eQFioRk/5uUYFJ9HMIkCzMYLOrCL+/mjZAYzX4OwIAAIpKHZtHl5YlRhs6L9Nw0u/O90rpQD9McB4hJwNi1rFTPVHlHGmzy+quqewhBDcy/n1473meOYwamT4LbiV4LlYSNXCeRBJtxQoyhuY/Pr1G50OTZA1OvHr+PFTLCsILeYEFok97GJoEJlNcZwh4wrSoWR4TiksvaDc6vySKj4QMDMF/U9cVazAOO+sRDg49rSr5chAl7krPVFWugydV5b2qbyVcl69MzljA6qNJ5P2S7CrmaWKWTUozLF4rbmeucXqLEFB02bCJGvphJVmeKJsu1ps70I+Bh3rUsHj3l6BAa9NGOX23+csKPJuUkKoaIa2xzWfVaj9z9RwjmfB+bB4rHWnLnvV29gScu00iS/IEl4t7Hm3zffqzyOcixrdiBygQ9rD0T98CZ5MFmUEXeNYWbOd4bilUY9SoaoFd4GMK2BXTvJvG0R+t2frlVoWf/Dyyq+ORqhZ+VXfhFiFyfVEGlNbt9Z85pmcPa7qs2UVbsYxf/KecfQvzOhzposM61tKf+jvYauAnc7fZaf+itczvv1v5CSnbS6GnCSp9ZS3BEP+LVA1MgQ1eJEJBhz3demA3vWL2hViUuUa+k8FrdI9TL3J7f+0C+kOYxTzrCiU+ZbFWBppmjohUDPGwHX3GL5CWh82iiEflZ+IpeaKrBQIQlqYhJpA7F3O9Lstc56CydB1HFfnu2or12Qxx8eVTiM6GY8hxRsIoothzmiTM/Jgd7aBD/uIkIC7aO8u381W8Q0wgq5fjvirhJDr+KzmBPkgABesdz4qex/lq7O7hTdaV3erUx1wuwZPNkKYReMmvCnWh40UjdP0pJJjFBdksFyQkhoytgOz9eCWuydtjvpmpcSAgtAYqZ6XjETRgdY/3I+aw07tyHU3N0Ek1nRy24Dp95ZiEwOOybRIKbzbLcnWooFRxzGm9aNuBQuKwugiHbWuOL70EyJtWwvNNQXG/APkWQFBDg4LCQRiJ5wel5RDZiRJth9FY8OCZKI0g56cIvLM1o4sZ8OUfrXnHB+LF70ajS8iOqZl9i4X1jEo/Wzg7sgnA77QvzK9lSAO0932rBWAvYB1fw3r4wvg6aSzvlr1XbsOgvkvNaYbC3ZxMr+7Ud0IiGJYR+NREKyH21l/4liSkcJnjP/z0mw4s4bDifRvGkT3iPAa6k9juthSihvnR6rvQYEb2EpIQQTvi2Qbm6sDl4kM0PGs8SMW2LoeyiWSCpquVk06wZ0cA3h/mRKVJ4bvpEglf2MQZV7NcQ0KRzhm98WyN1IMlrrJv6Rg0QrVx2SOPcPTTWlZbGsobduyKJOC1pEcY2jVY9cgHO+XDkgDkG7P1xG8dmzT4MPbUYwFKj3s1UEE0MhbFWHkvBmZ7XaupdGpHSwIpWiMnNezeqp+U8Lkyzb6d/OfT+/GsbB6X0e2q5qHaIE85k9sBvUkbpC+JnhQb5aM1ra5TQmCo3IJ8S3JwmvzbmW9Ruvi2DnEuz+05eMpbEPvUHV7lU8tsWF11txe4ERoUbDbNVBxDn2S44wK4E+NjL/3+8CqKt9lJ5D7G9iNaX68We/VsuVcjmFFiirJHbKxu1/bESVglq86FEOG4jDQ4+8Pjdz/Y2DLkxR9loSsVCB942swjCqFWp4MFnr6zmyVPJV69GO7QeOdAplIleT2s9Rw8jcrMbVGMi4CiRvSKLF53SO6DaamyqqW2CHkdxZsAfRVT3prlUYv8eE53f0+/sBXKlPvRPE4qulTre48HXQZ09UxmRNuV1bd9EAK/ERcRf7qgHrSZalR1MW61UTsWSr4itlSiox9OMByP4xhRr/uFvWxpuZQK2T9i4XucMKR51r1SOG604A6btxgi4m2bZvkNDkpnUMgjdgDCQ73c2aAok9O4EkOvQjQqpz/UYmUFRubbHdaG1vpxykXCejJcPHP34oOHSG++aR7zy8x1n9kEfLYZyJDlFkBnmMGPcZCfUUXXXvxeJIdKxl8K1zCmzeRsnt037/6jB1Phwh3BSjLpeXNvzbYTycbuU0nu8gzc0UOeCDEZZFWciV7+YJdStldD1RqIAxIwfeN7404HyaXHoi2c6O6np62Ilkt1sZa+hpzvYbeTO0UuCoA2OAyXEkQ0K2X/PuY+Vy3x+qbe5xn+3i9qMwu8wpUivwXjf+Jy+stQVLtP4WhH51udUxzZu2JTd7EezDjsbVnXLW2zMBUlOtZ5QkD2HHXMuC/8Ct4NM/K36cCTlN3FDJsC2BF0gUk/1RJmUkMD4j/U8qK6nyhkvrzAbU4VaHsQR5u+sFY773zEgsNKeb11r7Sa/g0J9L7sfVuCuAoiwBSY/SX/2v/KkfyrCA+xBMpf1sE4nV6D2qA901ZlT1Nhp+Jgjx+JBEsauMKrZ05uWu51+hYldXi/b7n/xoG+/b58+OQ6iLPh9tZQUvQmES6nhto4bQLWGBopKdKLXuuVcaHf5AtOgI3jCFVVuo/Uaw0KA5FKwQK/6suoTMcAyBWEd14Y443b+7ujqwOs7vh81Q2EsB/4pAXMKMScmzn7CkY8IbiU74do2XPBOQkK9P6dNUkM2/e/2UElhKDDGM+RGdnvZ2PrxMCvW8z3pDnH51h+ni63g+Hy8PoDYwFVNdvqgBTETgvuCes9jKi32gzJAtgegcaXNgFPY7MDlcsAmi7jDdgg+ora3X22YKQP2Rg1USjsOzkqoeeYKEGFKYUknO2SGH3T+REMr7/zUgaiVTRIfwjLJGU72dlp91DDjt82juoTy0xYQeP41C9NimprsstsFfmOiGVybzBvGY0klWUCqOtjU6r4YxNjBQFk9jsvWXLTgQpP8hOy5W5PbjeVE1yXSV4KV5suG6d0XlV49NsOgWRT2E9mxPk2EXVxHR0Sc1GUU1HK+AI05rAHqtSVP2A98lXtS3q7z3jBvD4fNmk35W4BPE1nVP5dtEksyWIJoAIBDGxbf1Ns7MprpLJ8PaW3lVFYb9c8c5Ek34CvJtm1TgJsAAbgHHvLUj9Wf6ct8s3LyUwzrrqIFKOenGybGAUFteiP1m+aFbZe+6uwOPXACSL79WARkMCu+pZ2iniuISlF98DNaxhXFmPPhbt6hRGa/91JUhPqXnm6afuLFstOLdrSj6ZRuSQz37m6VXV8GPsgbVkDA8a0LhDJGfc9OBnemj+I6KIzbVKhK7UrvnQaEsGdjy0GVZawPsdjiVEyLuDHU4I0CmNSUnThqgDKSIT+aGaEVIAAMObcNVfiInjcXKOKQvgkTZod+bwbfmQSK4q2bpEqo5PIMU6CfBDSPyVN0czQkAXmpX/hFlvuDYOnL7PFaXMqZ1ukrdlLB1YcEG9AapBjotzaDk5Un/7Bc706x+Z/ut5GZFlOH9zQy8znKbPR0l2CO2Yzh/51KKR7bh4EGB74AoMNm8rc2fb80Ko2Jwsipvrg176gPO/3uYf1eoq6946uGB3b5ZkoMDqBhHRBeLcuH5E2n2Y0yaI01cIya6+Iu3pGOOxTnpx3EB9GFlXb5Bsmz+QN6zecZ+aYTqF0OQJLLFMY4GmnPX0jcoqx+bdyrshq6jWtFKSszp7aFeK9OMJLdewpJuzVUlkvB8h+4MqAJodeJKeWF7uSiSIk06chstRYQxqNdjpZ9HkWTcjXhiPtJe2XcO69aSitURTr3shsa6luzeSL/6U6OyGz2WuZMjwjMJPnPjif91RgvVebrDGMod8BSFbTtJFPc9wk7ofpWaEcNbRznWQbYx5zUDjB6iekCje1CoOx0ZhMwZ7mPFG2ItphR22E0M39fN/twPDC5pjs1G0mCeFkhGDuO+Lw8Cb3IGzu7ziryFFUO6w10Bca9cq9d451HyhPhCDLN9i1iZbAo5hvkzrQ27iyDnXELHDZWAIwbJmwmiDjxODav1X+oxEsgNvEOTYxivbAn3/JVh0Nx+U49S104l6f77HFf5zdhen+HS5q44J+j/N6Uv7YwVdMNfr++1sQ1w5DwPMdX1VehF3QIwYClMX2QJCVz1N2lRY9uV+Rbr7sbEVQeBwuMah2+zuHZ/1MLce3PLr7e5aSdymtfIF++1uJD6iQrI4AqwRUissI2mTlWXS5U/iU0iEjpjZardLFcq3/q2iJsbURvW0SfmOTogbYmp9fDLhIIO5eKPk5oo/2xUEE6dhykkxRoMPwXM2dMi9bkxYb4UauhCudr96aBK18ZMVsLeaFSAftuPW4A7Mt5eblQEqIpq4y9Oavh4ZRWLyXRjSmpqRSGzRpAufZk0QCcRiRoDmHY+POCU1UA75C9LbKSotHU4W+7Xx2PP58MtCCZbdYZbF5U+NrjiQo0OJehg73mORjKUTUXKb9XF9HGe/FIrHc2J5k4t1IxJOgyjHApeEfSMEl6TJtw6EyBNl5ExnRTnj5EPJ9XcNIxqe+jZCa0uPiUYIhQ6IgUIDHVkjFi3wE1h/TidzzFplR8ENCwrpa60KSE/CDwCan2ZM+CKY9v2O8d+zONhPZdaDft809IfqGHMvAziTqEUiOBRE4fxhPtzOIaZBoDXBA/6T119ld7tQbAbC4ZS8RFpExnsPPE9zXuFgOQOdTvVUe20Io3VqnbqUvdtqpE0MX40rQve45hatNs5UgLvR1j9VsTrsARtmQ+nO6ZCxpoEyONuYcfBKSg5lIwqBs/TKcPNFPGk1hgcXf9X2CGA0aq5Sr9EoZh5nGFezBQ8/dtJsgL99Z/pnK+ITALwAeZoJmIMiFmAfkfhqMbeDef9pVDt31QDkivyGSOUwMoDNPFIphzLbECD8yof6CJHA5Z9yUvlwMoXMrjgHaeeZ2Z2+olbyKgEw2XfpMQ5btrEgeimNvf4ghbzYfAR1tUdXuSHYjWtSIYEjuu/hzwwfSWBJWVUqS0nmh0IkL2AuG6dk8bQ1TFj4f+uUNG1H7e+uiM8ofjfcMAtBSu93HITCowTN3Fimgvz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0590D4C-6805-4C63-94C3-BEE52C3C3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25</Pages>
  <Words>8108</Words>
  <Characters>43788</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Rafael Gumiero</cp:lastModifiedBy>
  <cp:revision>5</cp:revision>
  <dcterms:created xsi:type="dcterms:W3CDTF">2022-07-30T14:53:00Z</dcterms:created>
  <dcterms:modified xsi:type="dcterms:W3CDTF">2022-07-30T20:01:00Z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