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1E0C77" w14:textId="6741DA7D" w:rsidR="00CA75C3" w:rsidRPr="00CA75C3" w:rsidRDefault="00CA75C3" w:rsidP="00CA75C3">
      <w:pPr>
        <w:jc w:val="center"/>
        <w:rPr>
          <w:rFonts w:ascii="Times New Roman" w:eastAsia="Georgia" w:hAnsi="Times New Roman" w:cs="Times New Roman"/>
          <w:b/>
          <w:sz w:val="28"/>
          <w:szCs w:val="28"/>
        </w:rPr>
      </w:pPr>
      <w:r w:rsidRPr="00CA75C3">
        <w:rPr>
          <w:rFonts w:ascii="Times New Roman" w:eastAsia="Georgia" w:hAnsi="Times New Roman" w:cs="Times New Roman"/>
          <w:b/>
          <w:sz w:val="28"/>
          <w:szCs w:val="28"/>
        </w:rPr>
        <w:t xml:space="preserve">A ECONOMIA POLÍTICA DO TERRITÓRIO: Interpretando </w:t>
      </w:r>
      <w:r>
        <w:rPr>
          <w:rFonts w:ascii="Times New Roman" w:eastAsia="Georgia" w:hAnsi="Times New Roman" w:cs="Times New Roman"/>
          <w:b/>
          <w:sz w:val="28"/>
          <w:szCs w:val="28"/>
        </w:rPr>
        <w:t>a</w:t>
      </w:r>
      <w:r w:rsidRPr="00CA75C3">
        <w:rPr>
          <w:rFonts w:ascii="Times New Roman" w:eastAsia="Georgia" w:hAnsi="Times New Roman" w:cs="Times New Roman"/>
          <w:b/>
          <w:sz w:val="28"/>
          <w:szCs w:val="28"/>
        </w:rPr>
        <w:t xml:space="preserve"> </w:t>
      </w:r>
      <w:r>
        <w:rPr>
          <w:rFonts w:ascii="Times New Roman" w:eastAsia="Georgia" w:hAnsi="Times New Roman" w:cs="Times New Roman"/>
          <w:b/>
          <w:sz w:val="28"/>
          <w:szCs w:val="28"/>
        </w:rPr>
        <w:t>a</w:t>
      </w:r>
      <w:r w:rsidRPr="00CA75C3">
        <w:rPr>
          <w:rFonts w:ascii="Times New Roman" w:eastAsia="Georgia" w:hAnsi="Times New Roman" w:cs="Times New Roman"/>
          <w:b/>
          <w:sz w:val="28"/>
          <w:szCs w:val="28"/>
        </w:rPr>
        <w:t xml:space="preserve">tuação </w:t>
      </w:r>
      <w:r>
        <w:rPr>
          <w:rFonts w:ascii="Times New Roman" w:eastAsia="Georgia" w:hAnsi="Times New Roman" w:cs="Times New Roman"/>
          <w:b/>
          <w:sz w:val="28"/>
          <w:szCs w:val="28"/>
        </w:rPr>
        <w:t>d</w:t>
      </w:r>
      <w:r w:rsidRPr="00CA75C3">
        <w:rPr>
          <w:rFonts w:ascii="Times New Roman" w:eastAsia="Georgia" w:hAnsi="Times New Roman" w:cs="Times New Roman"/>
          <w:b/>
          <w:sz w:val="28"/>
          <w:szCs w:val="28"/>
        </w:rPr>
        <w:t xml:space="preserve">a Vale S.A. </w:t>
      </w:r>
      <w:r>
        <w:rPr>
          <w:rFonts w:ascii="Times New Roman" w:eastAsia="Georgia" w:hAnsi="Times New Roman" w:cs="Times New Roman"/>
          <w:b/>
          <w:sz w:val="28"/>
          <w:szCs w:val="28"/>
        </w:rPr>
        <w:t>e</w:t>
      </w:r>
      <w:r w:rsidRPr="00CA75C3">
        <w:rPr>
          <w:rFonts w:ascii="Times New Roman" w:eastAsia="Georgia" w:hAnsi="Times New Roman" w:cs="Times New Roman"/>
          <w:b/>
          <w:sz w:val="28"/>
          <w:szCs w:val="28"/>
        </w:rPr>
        <w:t xml:space="preserve">m </w:t>
      </w:r>
      <w:r>
        <w:rPr>
          <w:rFonts w:ascii="Times New Roman" w:eastAsia="Georgia" w:hAnsi="Times New Roman" w:cs="Times New Roman"/>
          <w:b/>
          <w:sz w:val="28"/>
          <w:szCs w:val="28"/>
        </w:rPr>
        <w:t>m</w:t>
      </w:r>
      <w:r w:rsidRPr="00CA75C3">
        <w:rPr>
          <w:rFonts w:ascii="Times New Roman" w:eastAsia="Georgia" w:hAnsi="Times New Roman" w:cs="Times New Roman"/>
          <w:b/>
          <w:sz w:val="28"/>
          <w:szCs w:val="28"/>
        </w:rPr>
        <w:t xml:space="preserve">unicípios </w:t>
      </w:r>
      <w:r>
        <w:rPr>
          <w:rFonts w:ascii="Times New Roman" w:eastAsia="Georgia" w:hAnsi="Times New Roman" w:cs="Times New Roman"/>
          <w:b/>
          <w:sz w:val="28"/>
          <w:szCs w:val="28"/>
        </w:rPr>
        <w:t>m</w:t>
      </w:r>
      <w:r w:rsidRPr="00CA75C3">
        <w:rPr>
          <w:rFonts w:ascii="Times New Roman" w:eastAsia="Georgia" w:hAnsi="Times New Roman" w:cs="Times New Roman"/>
          <w:b/>
          <w:sz w:val="28"/>
          <w:szCs w:val="28"/>
        </w:rPr>
        <w:t xml:space="preserve">inerais </w:t>
      </w:r>
      <w:r>
        <w:rPr>
          <w:rFonts w:ascii="Times New Roman" w:eastAsia="Georgia" w:hAnsi="Times New Roman" w:cs="Times New Roman"/>
          <w:b/>
          <w:sz w:val="28"/>
          <w:szCs w:val="28"/>
        </w:rPr>
        <w:t>d</w:t>
      </w:r>
      <w:r w:rsidRPr="00CA75C3">
        <w:rPr>
          <w:rFonts w:ascii="Times New Roman" w:eastAsia="Georgia" w:hAnsi="Times New Roman" w:cs="Times New Roman"/>
          <w:b/>
          <w:sz w:val="28"/>
          <w:szCs w:val="28"/>
        </w:rPr>
        <w:t xml:space="preserve">o Pará </w:t>
      </w:r>
      <w:r>
        <w:rPr>
          <w:rFonts w:ascii="Times New Roman" w:eastAsia="Georgia" w:hAnsi="Times New Roman" w:cs="Times New Roman"/>
          <w:b/>
          <w:sz w:val="28"/>
          <w:szCs w:val="28"/>
        </w:rPr>
        <w:t>a</w:t>
      </w:r>
      <w:r w:rsidRPr="00CA75C3">
        <w:rPr>
          <w:rFonts w:ascii="Times New Roman" w:eastAsia="Georgia" w:hAnsi="Times New Roman" w:cs="Times New Roman"/>
          <w:b/>
          <w:sz w:val="28"/>
          <w:szCs w:val="28"/>
        </w:rPr>
        <w:t xml:space="preserve"> </w:t>
      </w:r>
      <w:r>
        <w:rPr>
          <w:rFonts w:ascii="Times New Roman" w:eastAsia="Georgia" w:hAnsi="Times New Roman" w:cs="Times New Roman"/>
          <w:b/>
          <w:sz w:val="28"/>
          <w:szCs w:val="28"/>
        </w:rPr>
        <w:t>p</w:t>
      </w:r>
      <w:r w:rsidRPr="00CA75C3">
        <w:rPr>
          <w:rFonts w:ascii="Times New Roman" w:eastAsia="Georgia" w:hAnsi="Times New Roman" w:cs="Times New Roman"/>
          <w:b/>
          <w:sz w:val="28"/>
          <w:szCs w:val="28"/>
        </w:rPr>
        <w:t xml:space="preserve">artir </w:t>
      </w:r>
      <w:r>
        <w:rPr>
          <w:rFonts w:ascii="Times New Roman" w:eastAsia="Georgia" w:hAnsi="Times New Roman" w:cs="Times New Roman"/>
          <w:b/>
          <w:sz w:val="28"/>
          <w:szCs w:val="28"/>
        </w:rPr>
        <w:t>d</w:t>
      </w:r>
      <w:r w:rsidRPr="00CA75C3">
        <w:rPr>
          <w:rFonts w:ascii="Times New Roman" w:eastAsia="Georgia" w:hAnsi="Times New Roman" w:cs="Times New Roman"/>
          <w:b/>
          <w:sz w:val="28"/>
          <w:szCs w:val="28"/>
        </w:rPr>
        <w:t>e Milton Santos</w:t>
      </w:r>
    </w:p>
    <w:p w14:paraId="722CB726" w14:textId="77777777" w:rsidR="00371537" w:rsidRDefault="00371537">
      <w:pPr>
        <w:spacing w:after="0" w:line="360" w:lineRule="auto"/>
        <w:jc w:val="center"/>
        <w:rPr>
          <w:rFonts w:ascii="Times New Roman" w:hAnsi="Times New Roman" w:cs="Times New Roman"/>
          <w:sz w:val="28"/>
          <w:szCs w:val="28"/>
        </w:rPr>
      </w:pPr>
    </w:p>
    <w:p w14:paraId="387B31E1" w14:textId="77777777" w:rsidR="00371537" w:rsidRPr="00B56DE9" w:rsidRDefault="00000000">
      <w:pPr>
        <w:pStyle w:val="Ttulo"/>
        <w:jc w:val="both"/>
        <w:rPr>
          <w:rFonts w:ascii="Times New Roman" w:hAnsi="Times New Roman"/>
          <w:sz w:val="24"/>
          <w:lang w:val="pt-BR"/>
        </w:rPr>
      </w:pPr>
      <w:r w:rsidRPr="00B56DE9">
        <w:rPr>
          <w:rFonts w:ascii="Times New Roman" w:hAnsi="Times New Roman"/>
          <w:sz w:val="24"/>
          <w:lang w:val="pt-BR"/>
        </w:rPr>
        <w:t>RESUMO</w:t>
      </w:r>
    </w:p>
    <w:p w14:paraId="794D9EE8" w14:textId="1EE1D28E" w:rsidR="001F742F" w:rsidRPr="001F742F" w:rsidRDefault="001F742F" w:rsidP="001F742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 mineração tem um papel central na formação econômica do estado do Pará</w:t>
      </w:r>
      <w:r w:rsidR="008B0F2A">
        <w:rPr>
          <w:rFonts w:ascii="Times New Roman" w:hAnsi="Times New Roman" w:cs="Times New Roman"/>
          <w:sz w:val="24"/>
          <w:szCs w:val="24"/>
        </w:rPr>
        <w:t xml:space="preserve"> (PA)</w:t>
      </w:r>
      <w:r>
        <w:rPr>
          <w:rFonts w:ascii="Times New Roman" w:hAnsi="Times New Roman" w:cs="Times New Roman"/>
          <w:sz w:val="24"/>
          <w:szCs w:val="24"/>
        </w:rPr>
        <w:t xml:space="preserve">. Diante disso, o objetivo deste texto é </w:t>
      </w:r>
      <w:r w:rsidRPr="000D173F">
        <w:rPr>
          <w:rFonts w:ascii="Times New Roman" w:eastAsia="Georgia" w:hAnsi="Times New Roman" w:cs="Times New Roman"/>
          <w:sz w:val="24"/>
          <w:szCs w:val="24"/>
        </w:rPr>
        <w:t xml:space="preserve">analisar como a </w:t>
      </w:r>
      <w:r>
        <w:rPr>
          <w:rFonts w:ascii="Times New Roman" w:eastAsia="Georgia" w:hAnsi="Times New Roman" w:cs="Times New Roman"/>
          <w:sz w:val="24"/>
          <w:szCs w:val="24"/>
        </w:rPr>
        <w:t>e</w:t>
      </w:r>
      <w:r w:rsidRPr="000D173F">
        <w:rPr>
          <w:rFonts w:ascii="Times New Roman" w:eastAsia="Georgia" w:hAnsi="Times New Roman" w:cs="Times New Roman"/>
          <w:sz w:val="24"/>
          <w:szCs w:val="24"/>
        </w:rPr>
        <w:t xml:space="preserve">mpresa Vale S.A., e consequentemente o setor da mineração, atua na divisão territorial do trabalho na </w:t>
      </w:r>
      <w:r w:rsidR="008B0F2A">
        <w:rPr>
          <w:rFonts w:ascii="Times New Roman" w:eastAsia="Georgia" w:hAnsi="Times New Roman" w:cs="Times New Roman"/>
          <w:sz w:val="24"/>
          <w:szCs w:val="24"/>
        </w:rPr>
        <w:t>R</w:t>
      </w:r>
      <w:r w:rsidRPr="000D173F">
        <w:rPr>
          <w:rFonts w:ascii="Times New Roman" w:eastAsia="Georgia" w:hAnsi="Times New Roman" w:cs="Times New Roman"/>
          <w:sz w:val="24"/>
          <w:szCs w:val="24"/>
        </w:rPr>
        <w:t>egião de Carajás</w:t>
      </w:r>
      <w:r w:rsidR="008B0F2A">
        <w:rPr>
          <w:rFonts w:ascii="Times New Roman" w:eastAsia="Georgia" w:hAnsi="Times New Roman" w:cs="Times New Roman"/>
          <w:sz w:val="24"/>
          <w:szCs w:val="24"/>
        </w:rPr>
        <w:t xml:space="preserve"> (PA)</w:t>
      </w:r>
      <w:r w:rsidRPr="000D173F">
        <w:rPr>
          <w:rFonts w:ascii="Times New Roman" w:eastAsia="Georgia" w:hAnsi="Times New Roman" w:cs="Times New Roman"/>
          <w:sz w:val="24"/>
          <w:szCs w:val="24"/>
        </w:rPr>
        <w:t>. Para isso, além de analisar os argumentos teóricos apresentados p</w:t>
      </w:r>
      <w:r>
        <w:rPr>
          <w:rFonts w:ascii="Times New Roman" w:eastAsia="Georgia" w:hAnsi="Times New Roman" w:cs="Times New Roman"/>
          <w:sz w:val="24"/>
          <w:szCs w:val="24"/>
        </w:rPr>
        <w:t>elo geógrafo brasileiro</w:t>
      </w:r>
      <w:r w:rsidRPr="000D173F">
        <w:rPr>
          <w:rFonts w:ascii="Times New Roman" w:eastAsia="Georgia" w:hAnsi="Times New Roman" w:cs="Times New Roman"/>
          <w:sz w:val="24"/>
          <w:szCs w:val="24"/>
        </w:rPr>
        <w:t xml:space="preserve"> </w:t>
      </w:r>
      <w:r>
        <w:rPr>
          <w:rFonts w:ascii="Times New Roman" w:eastAsia="Georgia" w:hAnsi="Times New Roman" w:cs="Times New Roman"/>
          <w:sz w:val="24"/>
          <w:szCs w:val="24"/>
        </w:rPr>
        <w:t xml:space="preserve">Milton </w:t>
      </w:r>
      <w:r w:rsidRPr="000D173F">
        <w:rPr>
          <w:rFonts w:ascii="Times New Roman" w:eastAsia="Georgia" w:hAnsi="Times New Roman" w:cs="Times New Roman"/>
          <w:sz w:val="24"/>
          <w:szCs w:val="24"/>
        </w:rPr>
        <w:t>Santos, também é trazido dados secundários e estatísticas oficiais que ajudam a desenhar a dinâmica que se manifesta nesse espaço a partir da influência da referida mineradora.</w:t>
      </w:r>
      <w:r>
        <w:rPr>
          <w:rFonts w:ascii="Times New Roman" w:eastAsia="Georgia" w:hAnsi="Times New Roman" w:cs="Times New Roman"/>
          <w:sz w:val="24"/>
          <w:szCs w:val="24"/>
        </w:rPr>
        <w:t xml:space="preserve"> </w:t>
      </w:r>
    </w:p>
    <w:p w14:paraId="51B3C9B2" w14:textId="77777777" w:rsidR="001F742F" w:rsidRDefault="001F742F">
      <w:pPr>
        <w:spacing w:after="0" w:line="240" w:lineRule="auto"/>
        <w:jc w:val="both"/>
        <w:rPr>
          <w:rFonts w:ascii="Times New Roman" w:hAnsi="Times New Roman" w:cs="Times New Roman"/>
          <w:sz w:val="24"/>
          <w:szCs w:val="24"/>
        </w:rPr>
      </w:pPr>
    </w:p>
    <w:p w14:paraId="3D244056" w14:textId="7516FF08" w:rsidR="00371537" w:rsidRDefault="00000000">
      <w:pPr>
        <w:spacing w:after="0" w:line="360" w:lineRule="auto"/>
        <w:jc w:val="both"/>
        <w:rPr>
          <w:rFonts w:ascii="Times New Roman" w:hAnsi="Times New Roman" w:cs="Times New Roman"/>
          <w:sz w:val="24"/>
          <w:szCs w:val="24"/>
        </w:rPr>
      </w:pPr>
      <w:r>
        <w:rPr>
          <w:rFonts w:ascii="Times New Roman" w:hAnsi="Times New Roman" w:cs="Times New Roman"/>
          <w:b/>
          <w:bCs/>
          <w:sz w:val="24"/>
          <w:szCs w:val="24"/>
        </w:rPr>
        <w:t>Palavras- chave</w:t>
      </w:r>
      <w:r>
        <w:rPr>
          <w:rFonts w:ascii="Times New Roman" w:hAnsi="Times New Roman" w:cs="Times New Roman"/>
          <w:sz w:val="24"/>
          <w:szCs w:val="24"/>
        </w:rPr>
        <w:t xml:space="preserve">: </w:t>
      </w:r>
      <w:r w:rsidR="00CA75C3">
        <w:rPr>
          <w:rFonts w:ascii="Times New Roman" w:hAnsi="Times New Roman" w:cs="Times New Roman"/>
          <w:sz w:val="24"/>
          <w:szCs w:val="24"/>
        </w:rPr>
        <w:t>Mineração</w:t>
      </w:r>
      <w:r>
        <w:rPr>
          <w:rFonts w:ascii="Times New Roman" w:hAnsi="Times New Roman" w:cs="Times New Roman"/>
          <w:sz w:val="24"/>
          <w:szCs w:val="24"/>
        </w:rPr>
        <w:t xml:space="preserve">; </w:t>
      </w:r>
      <w:r w:rsidR="00CA75C3">
        <w:rPr>
          <w:rFonts w:ascii="Times New Roman" w:hAnsi="Times New Roman" w:cs="Times New Roman"/>
          <w:sz w:val="24"/>
          <w:szCs w:val="24"/>
        </w:rPr>
        <w:t>Vale S.A.; Territórios Minerados</w:t>
      </w:r>
      <w:r>
        <w:rPr>
          <w:rFonts w:ascii="Times New Roman" w:hAnsi="Times New Roman" w:cs="Times New Roman"/>
          <w:sz w:val="24"/>
          <w:szCs w:val="24"/>
        </w:rPr>
        <w:t xml:space="preserve">; </w:t>
      </w:r>
      <w:r w:rsidR="00CA75C3">
        <w:rPr>
          <w:rFonts w:ascii="Times New Roman" w:hAnsi="Times New Roman" w:cs="Times New Roman"/>
          <w:sz w:val="24"/>
          <w:szCs w:val="24"/>
        </w:rPr>
        <w:t>Milton Santos</w:t>
      </w:r>
      <w:r>
        <w:rPr>
          <w:rFonts w:ascii="Times New Roman" w:hAnsi="Times New Roman" w:cs="Times New Roman"/>
          <w:sz w:val="24"/>
          <w:szCs w:val="24"/>
        </w:rPr>
        <w:t xml:space="preserve">; </w:t>
      </w:r>
    </w:p>
    <w:p w14:paraId="6BCB5598" w14:textId="77777777" w:rsidR="00BC015C" w:rsidRDefault="00BC015C" w:rsidP="00BC015C">
      <w:pPr>
        <w:spacing w:after="0" w:line="360" w:lineRule="auto"/>
        <w:jc w:val="both"/>
        <w:rPr>
          <w:rFonts w:ascii="Times New Roman" w:hAnsi="Times New Roman" w:cs="Times New Roman"/>
          <w:sz w:val="24"/>
          <w:szCs w:val="24"/>
        </w:rPr>
      </w:pPr>
      <w:r>
        <w:rPr>
          <w:rFonts w:ascii="Times New Roman" w:hAnsi="Times New Roman" w:cs="Times New Roman"/>
          <w:b/>
          <w:bCs/>
          <w:sz w:val="24"/>
          <w:szCs w:val="24"/>
        </w:rPr>
        <w:t>GT No 3</w:t>
      </w:r>
      <w:r>
        <w:rPr>
          <w:rFonts w:ascii="Times New Roman" w:hAnsi="Times New Roman" w:cs="Times New Roman"/>
          <w:sz w:val="24"/>
          <w:szCs w:val="24"/>
        </w:rPr>
        <w:t>: Dinâmicas socioeconômicas do Território</w:t>
      </w:r>
    </w:p>
    <w:p w14:paraId="729FAB57" w14:textId="77777777" w:rsidR="00BC015C" w:rsidRPr="000D173F" w:rsidRDefault="00BC015C" w:rsidP="00BC015C">
      <w:pPr>
        <w:pStyle w:val="Ttulo1"/>
        <w:numPr>
          <w:ilvl w:val="0"/>
          <w:numId w:val="6"/>
        </w:numPr>
        <w:tabs>
          <w:tab w:val="num" w:pos="360"/>
        </w:tabs>
        <w:spacing w:line="360" w:lineRule="auto"/>
        <w:ind w:left="0" w:firstLine="0"/>
        <w:rPr>
          <w:rFonts w:cs="Times New Roman"/>
        </w:rPr>
      </w:pPr>
      <w:r w:rsidRPr="000D173F">
        <w:rPr>
          <w:rFonts w:cs="Times New Roman"/>
        </w:rPr>
        <w:t>INTRODUÇÃO</w:t>
      </w:r>
    </w:p>
    <w:p w14:paraId="727D2402" w14:textId="77777777" w:rsidR="00BC015C" w:rsidRPr="000D173F" w:rsidRDefault="00BC015C" w:rsidP="00BC015C">
      <w:pPr>
        <w:spacing w:line="360" w:lineRule="auto"/>
        <w:jc w:val="both"/>
        <w:rPr>
          <w:rFonts w:ascii="Times New Roman" w:eastAsia="Georgia" w:hAnsi="Times New Roman" w:cs="Times New Roman"/>
          <w:sz w:val="24"/>
          <w:szCs w:val="24"/>
        </w:rPr>
      </w:pPr>
      <w:r w:rsidRPr="000D173F">
        <w:rPr>
          <w:rFonts w:ascii="Times New Roman" w:eastAsia="Georgia" w:hAnsi="Times New Roman" w:cs="Times New Roman"/>
          <w:sz w:val="24"/>
          <w:szCs w:val="24"/>
        </w:rPr>
        <w:t>Desde 2019 o estado do Pará ultrapassou Minas Gerais como o principal produtor de recursos minerais do Brasil. Segundo a agência nacional de mineração (ANM) o total da produção mineral no estado para os anos de 2019, 2020 e 2021 foi de R$ 66,91 bilhões, R$ 97,01 bilhões e R$ 146,57 bilhões, gerando uma arrecadação de Compensação Financeira pela Exploração de Recursos Minerais (CFEM) de R$ 2,19 bilhões, R$ 3,11 bilhões e R$ 4,81 bilhões, respectivamente, sendo a produção concentrada principalmente nas substâncias de ferro, cobre e bauxita. Os elevados valores da produção mineral e da arrecadação fiscal do Estado intensificam a influência da mineração na dinâmica econômica, social e cultural dos territórios envolvidos direto e indiretamente com a atividade econômica.</w:t>
      </w:r>
    </w:p>
    <w:p w14:paraId="45DB6739" w14:textId="77777777" w:rsidR="00BC015C" w:rsidRPr="000D173F" w:rsidRDefault="00BC015C" w:rsidP="00BC015C">
      <w:pPr>
        <w:spacing w:line="360" w:lineRule="auto"/>
        <w:jc w:val="both"/>
        <w:rPr>
          <w:rFonts w:ascii="Times New Roman" w:eastAsia="Georgia" w:hAnsi="Times New Roman" w:cs="Times New Roman"/>
          <w:sz w:val="24"/>
          <w:szCs w:val="24"/>
        </w:rPr>
      </w:pPr>
      <w:r w:rsidRPr="000D173F">
        <w:rPr>
          <w:rFonts w:ascii="Times New Roman" w:eastAsia="Georgia" w:hAnsi="Times New Roman" w:cs="Times New Roman"/>
          <w:sz w:val="24"/>
          <w:szCs w:val="24"/>
        </w:rPr>
        <w:t xml:space="preserve">Apesar de ter se tornado o principal estado minerador apenas recentemente, a relevância que a mineração possui na dinâmica interna do estado paraense não é nova, já que desde os anos de 1950 se tinha evidências do potencial mineral do estado (TRINDADE, OLIVEIRA, 2014). Ainda na década de 1970 um conjunto de ações ligadas à prospecção e exploração iniciaram de forma mais sistemática na Região de Carajás (MONTEIRO, SILVA, 2021), em especial, nos atuais municípios de Canaã dos Carajás, Parauapebas e Marabá, o que alterou a dinâmica econômica desse território, ao mesmo tempo em que criou um conjunto diverso de efeitos sociais, ambientais e culturais. </w:t>
      </w:r>
    </w:p>
    <w:p w14:paraId="0D13D159" w14:textId="77777777" w:rsidR="00BC015C" w:rsidRPr="000D173F" w:rsidRDefault="00BC015C" w:rsidP="00BC015C">
      <w:pPr>
        <w:spacing w:line="360" w:lineRule="auto"/>
        <w:jc w:val="both"/>
        <w:rPr>
          <w:rFonts w:ascii="Times New Roman" w:eastAsia="Georgia" w:hAnsi="Times New Roman" w:cs="Times New Roman"/>
          <w:sz w:val="24"/>
          <w:szCs w:val="24"/>
        </w:rPr>
      </w:pPr>
      <w:r w:rsidRPr="000D173F">
        <w:rPr>
          <w:rFonts w:ascii="Times New Roman" w:eastAsia="Georgia" w:hAnsi="Times New Roman" w:cs="Times New Roman"/>
          <w:sz w:val="24"/>
          <w:szCs w:val="24"/>
        </w:rPr>
        <w:lastRenderedPageBreak/>
        <w:t>Atualmente, a principal empresa responsável por essa produção é a companhia multinacional de mineração Vale S.A, respondendo por cerca de 86,19% da produção mineral paraense no ano de 2021. Criada em 1942 pelo então presidente Getúlio Vargas, a Vale S.A. era inicialmente uma empresa estatal (Companhia Vale do Rio Doce - CVRD), e se tornou uma das maiores empresas no ramo da mineração e logística do mundo, além de também atuar nas áreas de energia e siderurgia. Com a sua privatização em 1997, a empresa ampliou a sua inserção global, consolidando-se como um dos principais players internacionais no setor da mineração. Essa atividade econômica associada a uma empresa com as características corporativas da Vale S.A. provoca diversos efeitos onde ocorre a atividade econômica e se espalha para outros locais, atingindo um conjunto amplo de atores sociais. Uma das questões que surgem nesse processo é compreender como ocorre essas relações de causalidade e de que forma o território é impactado com a presença dessas empresas em seu espaço.</w:t>
      </w:r>
    </w:p>
    <w:p w14:paraId="4C52FC6D" w14:textId="77777777" w:rsidR="00BC015C" w:rsidRPr="000D173F" w:rsidRDefault="00BC015C" w:rsidP="00BC015C">
      <w:pPr>
        <w:spacing w:line="360" w:lineRule="auto"/>
        <w:jc w:val="both"/>
        <w:rPr>
          <w:rFonts w:ascii="Times New Roman" w:eastAsia="Georgia" w:hAnsi="Times New Roman" w:cs="Times New Roman"/>
          <w:sz w:val="24"/>
          <w:szCs w:val="24"/>
        </w:rPr>
      </w:pPr>
      <w:r w:rsidRPr="000D173F">
        <w:rPr>
          <w:rFonts w:ascii="Times New Roman" w:eastAsia="Georgia" w:hAnsi="Times New Roman" w:cs="Times New Roman"/>
          <w:sz w:val="24"/>
          <w:szCs w:val="24"/>
        </w:rPr>
        <w:t xml:space="preserve">De maneira geral, o efeito que empresas multinacionais produzem no território vem sendo explorada em diversos trabalhos que analisam o Brasil, como Oliveira (2018), </w:t>
      </w:r>
      <w:proofErr w:type="spellStart"/>
      <w:r w:rsidRPr="000D173F">
        <w:rPr>
          <w:rFonts w:ascii="Times New Roman" w:eastAsia="Georgia" w:hAnsi="Times New Roman" w:cs="Times New Roman"/>
          <w:sz w:val="24"/>
          <w:szCs w:val="24"/>
        </w:rPr>
        <w:t>Bedoya</w:t>
      </w:r>
      <w:proofErr w:type="spellEnd"/>
      <w:r w:rsidRPr="000D173F">
        <w:rPr>
          <w:rFonts w:ascii="Times New Roman" w:eastAsia="Georgia" w:hAnsi="Times New Roman" w:cs="Times New Roman"/>
          <w:sz w:val="24"/>
          <w:szCs w:val="24"/>
        </w:rPr>
        <w:t xml:space="preserve"> (2018), Felix (2020), e em estudos internacionais, como em </w:t>
      </w:r>
      <w:proofErr w:type="spellStart"/>
      <w:r w:rsidRPr="000D173F">
        <w:rPr>
          <w:rFonts w:ascii="Times New Roman" w:eastAsia="Georgia" w:hAnsi="Times New Roman" w:cs="Times New Roman"/>
          <w:sz w:val="24"/>
          <w:szCs w:val="24"/>
        </w:rPr>
        <w:t>Bournakis</w:t>
      </w:r>
      <w:proofErr w:type="spellEnd"/>
      <w:r w:rsidRPr="000D173F">
        <w:rPr>
          <w:rFonts w:ascii="Times New Roman" w:eastAsia="Georgia" w:hAnsi="Times New Roman" w:cs="Times New Roman"/>
          <w:sz w:val="24"/>
          <w:szCs w:val="24"/>
        </w:rPr>
        <w:t xml:space="preserve"> </w:t>
      </w:r>
      <w:r w:rsidRPr="000D173F">
        <w:rPr>
          <w:rFonts w:ascii="Times New Roman" w:eastAsia="Georgia" w:hAnsi="Times New Roman" w:cs="Times New Roman"/>
          <w:i/>
          <w:sz w:val="24"/>
          <w:szCs w:val="24"/>
        </w:rPr>
        <w:t xml:space="preserve">et al. </w:t>
      </w:r>
      <w:r w:rsidRPr="000D173F">
        <w:rPr>
          <w:rFonts w:ascii="Times New Roman" w:eastAsia="Georgia" w:hAnsi="Times New Roman" w:cs="Times New Roman"/>
          <w:sz w:val="24"/>
          <w:szCs w:val="24"/>
        </w:rPr>
        <w:t xml:space="preserve">(2019) e </w:t>
      </w:r>
      <w:proofErr w:type="spellStart"/>
      <w:r w:rsidRPr="000D173F">
        <w:rPr>
          <w:rFonts w:ascii="Times New Roman" w:eastAsia="Georgia" w:hAnsi="Times New Roman" w:cs="Times New Roman"/>
          <w:sz w:val="24"/>
          <w:szCs w:val="24"/>
        </w:rPr>
        <w:t>Yeganeh</w:t>
      </w:r>
      <w:proofErr w:type="spellEnd"/>
      <w:r w:rsidRPr="000D173F">
        <w:rPr>
          <w:rFonts w:ascii="Times New Roman" w:eastAsia="Georgia" w:hAnsi="Times New Roman" w:cs="Times New Roman"/>
          <w:sz w:val="24"/>
          <w:szCs w:val="24"/>
        </w:rPr>
        <w:t xml:space="preserve"> (2020). Nesse sentido, buscando ampliar a reflexão entre a mineração e a dinâmica territorial, o objetivo desse texto é analisar a atuação da mineradora Vale S.A. na região de Carajás no estado do Pará com base nos apontamentos trazidos por Milton Santos, no texto em que ele trata da economia política do território (SANTOS, 2001). </w:t>
      </w:r>
    </w:p>
    <w:p w14:paraId="26AACB2C" w14:textId="77777777" w:rsidR="00BC015C" w:rsidRPr="000D173F" w:rsidRDefault="00BC015C" w:rsidP="00BC015C">
      <w:pPr>
        <w:spacing w:line="360" w:lineRule="auto"/>
        <w:jc w:val="both"/>
        <w:rPr>
          <w:rFonts w:ascii="Times New Roman" w:eastAsia="Georgia" w:hAnsi="Times New Roman" w:cs="Times New Roman"/>
          <w:sz w:val="24"/>
          <w:szCs w:val="24"/>
        </w:rPr>
      </w:pPr>
      <w:r w:rsidRPr="000D173F">
        <w:rPr>
          <w:rFonts w:ascii="Times New Roman" w:eastAsia="Georgia" w:hAnsi="Times New Roman" w:cs="Times New Roman"/>
          <w:sz w:val="24"/>
          <w:szCs w:val="24"/>
        </w:rPr>
        <w:t>Milton Santos é um dos principais intelectuais brasileiros com uma vasta obra e contribuições centrais para entender o desenvolvimento brasileiro a partir de uma ótica espacial. No caso específico do seu texto de 2001, a riqueza da argumentação produzida por este autor traz luz a diversos elementos econômicos, sociais e espaciais que ajudam a entender as relações que grandes mineradoras vêm produzindo no território brasileiro, em especial na Amazônia.</w:t>
      </w:r>
    </w:p>
    <w:p w14:paraId="01412E34" w14:textId="77777777" w:rsidR="00BC015C" w:rsidRPr="000D173F" w:rsidRDefault="00BC015C" w:rsidP="00BC015C">
      <w:pPr>
        <w:spacing w:line="360" w:lineRule="auto"/>
        <w:jc w:val="both"/>
        <w:rPr>
          <w:rFonts w:ascii="Times New Roman" w:eastAsia="Georgia" w:hAnsi="Times New Roman" w:cs="Times New Roman"/>
          <w:sz w:val="24"/>
          <w:szCs w:val="24"/>
        </w:rPr>
      </w:pPr>
      <w:r w:rsidRPr="000D173F">
        <w:rPr>
          <w:rFonts w:ascii="Times New Roman" w:eastAsia="Georgia" w:hAnsi="Times New Roman" w:cs="Times New Roman"/>
          <w:sz w:val="24"/>
          <w:szCs w:val="24"/>
        </w:rPr>
        <w:t xml:space="preserve">Entendendo que a dinâmica que forma a totalidade é em muitas circunstâncias concorrencial e não apenas cooperativa, o objetivo deste trabalho é analisar como a Empresa Vale S.A., e consequentemente o setor da mineração, atua na divisão territorial do trabalho na região de Carajás. Para isso, além de analisar os argumentos teóricos apresentados por Santos (2001), </w:t>
      </w:r>
      <w:r w:rsidRPr="000D173F">
        <w:rPr>
          <w:rFonts w:ascii="Times New Roman" w:eastAsia="Georgia" w:hAnsi="Times New Roman" w:cs="Times New Roman"/>
          <w:sz w:val="24"/>
          <w:szCs w:val="24"/>
        </w:rPr>
        <w:lastRenderedPageBreak/>
        <w:t>também é trazido dados secundários e estatísticas oficiais que ajudam a desenhar a dinâmica que se manifesta nesse espaço a partir da influência da referida mineradora.</w:t>
      </w:r>
    </w:p>
    <w:p w14:paraId="3C9644DA" w14:textId="688F6904" w:rsidR="00BC015C" w:rsidRPr="000D173F" w:rsidRDefault="00BC015C" w:rsidP="00BC015C">
      <w:pPr>
        <w:spacing w:line="360" w:lineRule="auto"/>
        <w:jc w:val="both"/>
        <w:rPr>
          <w:rFonts w:ascii="Times New Roman" w:eastAsia="Georgia" w:hAnsi="Times New Roman" w:cs="Times New Roman"/>
          <w:sz w:val="24"/>
          <w:szCs w:val="24"/>
        </w:rPr>
      </w:pPr>
      <w:r w:rsidRPr="000D173F">
        <w:rPr>
          <w:rFonts w:ascii="Times New Roman" w:eastAsia="Georgia" w:hAnsi="Times New Roman" w:cs="Times New Roman"/>
          <w:sz w:val="24"/>
          <w:szCs w:val="24"/>
        </w:rPr>
        <w:t>Para alcançar esse objetivo, o texto está organizado da seguinte forma, além desta introdução e da conclusão, na segunda seção é apresentado alguns apontamentos teóricos iniciais que permitem situar os principais aspectos da economia política do território proposta por Milton Santos</w:t>
      </w:r>
      <w:r w:rsidR="00D61D6E">
        <w:rPr>
          <w:rFonts w:ascii="Times New Roman" w:eastAsia="Georgia" w:hAnsi="Times New Roman" w:cs="Times New Roman"/>
          <w:sz w:val="24"/>
          <w:szCs w:val="24"/>
        </w:rPr>
        <w:t xml:space="preserve">, em especial </w:t>
      </w:r>
      <w:r w:rsidRPr="000D173F">
        <w:rPr>
          <w:rFonts w:ascii="Times New Roman" w:eastAsia="Georgia" w:hAnsi="Times New Roman" w:cs="Times New Roman"/>
          <w:sz w:val="24"/>
          <w:szCs w:val="24"/>
        </w:rPr>
        <w:t>o conceito de divisão de trabalho superpostos</w:t>
      </w:r>
      <w:r w:rsidR="00D61D6E">
        <w:rPr>
          <w:rFonts w:ascii="Times New Roman" w:eastAsia="Georgia" w:hAnsi="Times New Roman" w:cs="Times New Roman"/>
          <w:sz w:val="24"/>
          <w:szCs w:val="24"/>
        </w:rPr>
        <w:t>. Na terceira seção</w:t>
      </w:r>
      <w:r w:rsidRPr="000D173F">
        <w:rPr>
          <w:rFonts w:ascii="Times New Roman" w:eastAsia="Georgia" w:hAnsi="Times New Roman" w:cs="Times New Roman"/>
          <w:sz w:val="24"/>
          <w:szCs w:val="24"/>
        </w:rPr>
        <w:t xml:space="preserve"> </w:t>
      </w:r>
      <w:r w:rsidR="00D61D6E">
        <w:rPr>
          <w:rFonts w:ascii="Times New Roman" w:eastAsia="Georgia" w:hAnsi="Times New Roman" w:cs="Times New Roman"/>
          <w:sz w:val="24"/>
          <w:szCs w:val="24"/>
        </w:rPr>
        <w:t>foca-se especificamente na atuação da Vale S.A. em uma escala global e nacional. Por fim, os conceitos elaborados por Santos (2001) são</w:t>
      </w:r>
      <w:r w:rsidRPr="000D173F">
        <w:rPr>
          <w:rFonts w:ascii="Times New Roman" w:eastAsia="Georgia" w:hAnsi="Times New Roman" w:cs="Times New Roman"/>
          <w:sz w:val="24"/>
          <w:szCs w:val="24"/>
        </w:rPr>
        <w:t xml:space="preserve"> aplicado</w:t>
      </w:r>
      <w:r w:rsidR="00D61D6E">
        <w:rPr>
          <w:rFonts w:ascii="Times New Roman" w:eastAsia="Georgia" w:hAnsi="Times New Roman" w:cs="Times New Roman"/>
          <w:sz w:val="24"/>
          <w:szCs w:val="24"/>
        </w:rPr>
        <w:t>s</w:t>
      </w:r>
      <w:r w:rsidRPr="000D173F">
        <w:rPr>
          <w:rFonts w:ascii="Times New Roman" w:eastAsia="Georgia" w:hAnsi="Times New Roman" w:cs="Times New Roman"/>
          <w:sz w:val="24"/>
          <w:szCs w:val="24"/>
        </w:rPr>
        <w:t xml:space="preserve"> ao contexto específico da Região de Carajás no Pará, </w:t>
      </w:r>
      <w:r w:rsidR="00D61D6E">
        <w:rPr>
          <w:rFonts w:ascii="Times New Roman" w:eastAsia="Georgia" w:hAnsi="Times New Roman" w:cs="Times New Roman"/>
          <w:sz w:val="24"/>
          <w:szCs w:val="24"/>
        </w:rPr>
        <w:t>de modo a entender</w:t>
      </w:r>
      <w:r w:rsidRPr="000D173F">
        <w:rPr>
          <w:rFonts w:ascii="Times New Roman" w:eastAsia="Georgia" w:hAnsi="Times New Roman" w:cs="Times New Roman"/>
          <w:sz w:val="24"/>
          <w:szCs w:val="24"/>
        </w:rPr>
        <w:t xml:space="preserve">as interações produzidas pela mineradora no território em que ela ocupa. </w:t>
      </w:r>
    </w:p>
    <w:p w14:paraId="6BDC2F5E" w14:textId="77777777" w:rsidR="00BC015C" w:rsidRPr="000D173F" w:rsidRDefault="00BC015C" w:rsidP="00BC015C">
      <w:pPr>
        <w:pStyle w:val="Ttulo1"/>
        <w:numPr>
          <w:ilvl w:val="0"/>
          <w:numId w:val="5"/>
        </w:numPr>
        <w:spacing w:line="360" w:lineRule="auto"/>
        <w:rPr>
          <w:rFonts w:cs="Times New Roman"/>
        </w:rPr>
      </w:pPr>
      <w:r w:rsidRPr="000D173F">
        <w:rPr>
          <w:rFonts w:cs="Times New Roman"/>
        </w:rPr>
        <w:t>A ECONOMIA POLÍTICA DO TERRITÓRIO: APONTAMENTOS INICIAIS</w:t>
      </w:r>
    </w:p>
    <w:p w14:paraId="79121C16" w14:textId="77777777" w:rsidR="00BC015C" w:rsidRPr="000D173F" w:rsidRDefault="00BC015C" w:rsidP="00BC015C">
      <w:pPr>
        <w:spacing w:line="360" w:lineRule="auto"/>
        <w:jc w:val="both"/>
        <w:rPr>
          <w:rFonts w:ascii="Times New Roman" w:eastAsia="Georgia" w:hAnsi="Times New Roman" w:cs="Times New Roman"/>
          <w:sz w:val="24"/>
          <w:szCs w:val="24"/>
        </w:rPr>
      </w:pPr>
      <w:r w:rsidRPr="000D173F">
        <w:rPr>
          <w:rFonts w:ascii="Times New Roman" w:eastAsia="Georgia" w:hAnsi="Times New Roman" w:cs="Times New Roman"/>
          <w:sz w:val="24"/>
          <w:szCs w:val="24"/>
        </w:rPr>
        <w:t xml:space="preserve">O primeiro passo para compreender a Economia Política do Território é entender como cada uma dessas categorias é apresentada por Milton Santos em seu trabalho. Sobre a Economia Política, o autor não apresenta uma definição objetiva para essa categoria, mas considerando a influência do pensamento marxista em sua obra (MACHADO, 2016), é possível entendê-la a partir da contribuição dos autores dessa vertente. </w:t>
      </w:r>
    </w:p>
    <w:p w14:paraId="46CC6A68" w14:textId="77777777" w:rsidR="00BC015C" w:rsidRPr="000D173F" w:rsidRDefault="00BC015C" w:rsidP="00BC015C">
      <w:pPr>
        <w:spacing w:line="360" w:lineRule="auto"/>
        <w:jc w:val="both"/>
        <w:rPr>
          <w:rFonts w:ascii="Times New Roman" w:eastAsia="Georgia" w:hAnsi="Times New Roman" w:cs="Times New Roman"/>
          <w:sz w:val="24"/>
          <w:szCs w:val="24"/>
        </w:rPr>
      </w:pPr>
      <w:r w:rsidRPr="000D173F">
        <w:rPr>
          <w:rFonts w:ascii="Times New Roman" w:eastAsia="Georgia" w:hAnsi="Times New Roman" w:cs="Times New Roman"/>
          <w:sz w:val="24"/>
          <w:szCs w:val="24"/>
        </w:rPr>
        <w:t xml:space="preserve">Teixeira (2000) oferece uma minuciosa análise do conceito de economia política a partir de diferentes contribuições dos autores clássicos que primeiro utilizaram essa expressão. Dialogando com Schumpeter (1987), o autor destaca que a definição contemporânea dessa categoria depende do paradigma teórico utilizado, o que dificulta a unificação do conceito. Tentando superar essa limitação, o autor reconstrói historicamente o uso dessa categoria e conclui que para os autores anteriores a Marx, a economia política pode ser entendida de maneira sintética pelo seu inverso, a “política econômica”. Para Teixeira (2000), os autores da Economia Política que Marx direciona a sua crítica, como Jean Baptiste Say, Adam Smith, David Ricardo e John Stuart Mill, estavam preocupados com elementos práticos da economia. </w:t>
      </w:r>
    </w:p>
    <w:p w14:paraId="2B1AFFB5" w14:textId="77777777" w:rsidR="00BC015C" w:rsidRPr="000D173F" w:rsidRDefault="00BC015C" w:rsidP="00BC015C">
      <w:pPr>
        <w:spacing w:line="360" w:lineRule="auto"/>
        <w:jc w:val="both"/>
        <w:rPr>
          <w:rFonts w:ascii="Times New Roman" w:eastAsia="Georgia" w:hAnsi="Times New Roman" w:cs="Times New Roman"/>
          <w:sz w:val="24"/>
          <w:szCs w:val="24"/>
        </w:rPr>
      </w:pPr>
      <w:r w:rsidRPr="000D173F">
        <w:rPr>
          <w:rFonts w:ascii="Times New Roman" w:eastAsia="Georgia" w:hAnsi="Times New Roman" w:cs="Times New Roman"/>
          <w:sz w:val="24"/>
          <w:szCs w:val="24"/>
        </w:rPr>
        <w:t xml:space="preserve">Como apontado em diversas passagens nas obras desses autores, a economia política era comumente associada “a processos e decisões que envolvem atores reais no campo da política” (TEIXEIRA, 2000, p. 93) e por isso estava mais preocupada com as formulações que tivessem </w:t>
      </w:r>
      <w:r w:rsidRPr="000D173F">
        <w:rPr>
          <w:rFonts w:ascii="Times New Roman" w:eastAsia="Georgia" w:hAnsi="Times New Roman" w:cs="Times New Roman"/>
          <w:sz w:val="24"/>
          <w:szCs w:val="24"/>
        </w:rPr>
        <w:lastRenderedPageBreak/>
        <w:t>a capacidade de incidir sobre as questões concretas, como o comércio, a tributação, os preços. As reflexões teóricas iam surgindo a partir dessas questões, na medida que era necessário fundamentar teoricamente a ação política. A teoria quantitativa da moeda (TQM), a teoria das vantagens comparativas e relativas são exemplos de teorias que foram desenvolvidas a partir de questões práticas que estavam postas para os Estados Nacionais daquela época.</w:t>
      </w:r>
    </w:p>
    <w:p w14:paraId="45D09A1F" w14:textId="77777777" w:rsidR="00BC015C" w:rsidRPr="000D173F" w:rsidRDefault="00BC015C" w:rsidP="00BC015C">
      <w:pPr>
        <w:spacing w:line="360" w:lineRule="auto"/>
        <w:jc w:val="both"/>
        <w:rPr>
          <w:rFonts w:ascii="Times New Roman" w:eastAsia="Georgia" w:hAnsi="Times New Roman" w:cs="Times New Roman"/>
          <w:sz w:val="24"/>
          <w:szCs w:val="24"/>
        </w:rPr>
      </w:pPr>
      <w:r w:rsidRPr="000D173F">
        <w:rPr>
          <w:rFonts w:ascii="Times New Roman" w:eastAsia="Georgia" w:hAnsi="Times New Roman" w:cs="Times New Roman"/>
          <w:sz w:val="24"/>
          <w:szCs w:val="24"/>
        </w:rPr>
        <w:t>Em Marx, precisamente na obra O Capital, há uma ruptura com essa definição de Economia Política</w:t>
      </w:r>
      <w:r>
        <w:rPr>
          <w:rFonts w:ascii="Times New Roman" w:eastAsia="Georgia" w:hAnsi="Times New Roman" w:cs="Times New Roman"/>
          <w:sz w:val="24"/>
          <w:szCs w:val="24"/>
        </w:rPr>
        <w:t xml:space="preserve"> (MARX, 1996)</w:t>
      </w:r>
      <w:r w:rsidRPr="000D173F">
        <w:rPr>
          <w:rFonts w:ascii="Times New Roman" w:eastAsia="Georgia" w:hAnsi="Times New Roman" w:cs="Times New Roman"/>
          <w:sz w:val="24"/>
          <w:szCs w:val="24"/>
        </w:rPr>
        <w:t>. Segundo Teixeira (2000, p. 98), Marx com a sua crítica reconfigura o conceito de economia política dando a ele “um novo objeto, um novo método e um novo programa de pesquisa”. De maneira resumida, a economia política em Marx pode ser definida como a ciência que estuda um conjunto de regularidades econômicas que regem o movimento do capital e, consequentemente, os processos de acumulação, distribuição e progresso tecnológico. A preocupação deixa de estar nas manifestações aparentes que se expressam nos fenômenos concretos, como a Política Econômica, e passa a estar focada em aspectos mais abstratos que permitem identificar os elementos essenciais dos fenômenos econômicos estudados.</w:t>
      </w:r>
    </w:p>
    <w:p w14:paraId="6EB56928" w14:textId="77777777" w:rsidR="00BC015C" w:rsidRPr="000D173F" w:rsidRDefault="00BC015C" w:rsidP="00BC015C">
      <w:pPr>
        <w:spacing w:line="360" w:lineRule="auto"/>
        <w:jc w:val="both"/>
        <w:rPr>
          <w:rFonts w:ascii="Times New Roman" w:eastAsia="Georgia" w:hAnsi="Times New Roman" w:cs="Times New Roman"/>
          <w:sz w:val="24"/>
          <w:szCs w:val="24"/>
        </w:rPr>
      </w:pPr>
      <w:r w:rsidRPr="000D173F">
        <w:rPr>
          <w:rFonts w:ascii="Times New Roman" w:eastAsia="Georgia" w:hAnsi="Times New Roman" w:cs="Times New Roman"/>
          <w:sz w:val="24"/>
          <w:szCs w:val="24"/>
        </w:rPr>
        <w:t>Obviamente, entender todas as repercussões que essa mudança no método proposta por Marx produz para a reflexão econômica fogem do objetivo deste texto. O que é necessário ser enfatizado aqui é que a forma como Marx entende a economia política, focando nos elementos que são regulares no capitalismo, é o esforço que também aparece no trabalho de Milton Santos (2001). Ao propor uma Economia Política do Território, ele não está interessado em analisar as “políticas econômicas” que incidem sobre o território. Diferente disso, ele busca identificar os determinantes e condicionantes econômicos que estruturam a forma como o território é usado. Nesse ponto, também é importante fazer algumas qualificações sobre a definição de território utilizada por esse autor.</w:t>
      </w:r>
    </w:p>
    <w:p w14:paraId="409011D3" w14:textId="77777777" w:rsidR="00BC015C" w:rsidRPr="000D173F" w:rsidRDefault="00BC015C" w:rsidP="00BC015C">
      <w:pPr>
        <w:spacing w:line="360" w:lineRule="auto"/>
        <w:jc w:val="both"/>
        <w:rPr>
          <w:rFonts w:ascii="Times New Roman" w:eastAsia="Georgia" w:hAnsi="Times New Roman" w:cs="Times New Roman"/>
          <w:sz w:val="24"/>
          <w:szCs w:val="24"/>
        </w:rPr>
      </w:pPr>
      <w:r w:rsidRPr="000D173F">
        <w:rPr>
          <w:rFonts w:ascii="Times New Roman" w:eastAsia="Georgia" w:hAnsi="Times New Roman" w:cs="Times New Roman"/>
          <w:sz w:val="24"/>
          <w:szCs w:val="24"/>
        </w:rPr>
        <w:t xml:space="preserve">Diferente do conceito de Economia Política que não aparece diretamente na obra de Milton Santos, o conceito de território é explorado por ele em diversos momentos. Em Santos e Silveira (2006, p. 19), o território pode ser definido como “a extensão apropriada e usada”. Os autores avançam nesse conceito e argumentam que em um sentido mais restrito, “o território é um nome político para o espaço de um país” (p. 19), sendo que na análise espacial o que “interessa discutir </w:t>
      </w:r>
      <w:r w:rsidRPr="000D173F">
        <w:rPr>
          <w:rFonts w:ascii="Times New Roman" w:eastAsia="Georgia" w:hAnsi="Times New Roman" w:cs="Times New Roman"/>
          <w:sz w:val="24"/>
          <w:szCs w:val="24"/>
        </w:rPr>
        <w:lastRenderedPageBreak/>
        <w:t xml:space="preserve">é o território usado, sinônimo de espaço geográfico”. Por isso, o mais correto seria falar de “espaço territorial”, que mesmo estando sujeito a transformações, representa uma dada espacialidade, já que segundo Santos (2001), “o que interessa discutir é o território usado, sinônimo de espaço geográfico” (p. 20). </w:t>
      </w:r>
    </w:p>
    <w:p w14:paraId="7208B3E0" w14:textId="77777777" w:rsidR="00BC015C" w:rsidRPr="000D173F" w:rsidRDefault="00BC015C" w:rsidP="00BC015C">
      <w:pPr>
        <w:spacing w:line="360" w:lineRule="auto"/>
        <w:jc w:val="both"/>
        <w:rPr>
          <w:rFonts w:ascii="Times New Roman" w:eastAsia="Georgia" w:hAnsi="Times New Roman" w:cs="Times New Roman"/>
          <w:sz w:val="24"/>
          <w:szCs w:val="24"/>
        </w:rPr>
      </w:pPr>
      <w:r w:rsidRPr="000D173F">
        <w:rPr>
          <w:rFonts w:ascii="Times New Roman" w:eastAsia="Georgia" w:hAnsi="Times New Roman" w:cs="Times New Roman"/>
          <w:sz w:val="24"/>
          <w:szCs w:val="24"/>
        </w:rPr>
        <w:t>O uso do território é definido tanto pelos chamados sistemas de engenharia quanto pela dinâmica da economia e da sociedade. As configurações do espaço geográfico são, assim, influenciadas por um conjunto complexo de fatores: a distribuição das atividades econômicas, as instituições, o arcabouço legal, os movimentos das pessoas, mercadorias e produtos, entre outros fatores.</w:t>
      </w:r>
      <w:r>
        <w:rPr>
          <w:rFonts w:ascii="Times New Roman" w:eastAsia="Georgia" w:hAnsi="Times New Roman" w:cs="Times New Roman"/>
          <w:sz w:val="24"/>
          <w:szCs w:val="24"/>
        </w:rPr>
        <w:t xml:space="preserve"> </w:t>
      </w:r>
      <w:r w:rsidRPr="000D173F">
        <w:rPr>
          <w:rFonts w:ascii="Times New Roman" w:eastAsia="Georgia" w:hAnsi="Times New Roman" w:cs="Times New Roman"/>
          <w:sz w:val="24"/>
          <w:szCs w:val="24"/>
        </w:rPr>
        <w:t xml:space="preserve">Nesse sentido, para entender o território usado, torna-se fundamental analisar historicamente a constituição do território. Aqui a teoria e empiria se aproximam, sendo essa última uma ferramenta para o enriquecimento da primeira. Santos e Silveira (2006), contudo, argumentam que não é possível essa análise histórica do território sem periodizá-lo de alguma forma. Essa periodização é importante porque ao longo da história são feitos usos diferentes para o território, que é caracterizada por: i. Extensões das formas de uso; </w:t>
      </w:r>
      <w:proofErr w:type="spellStart"/>
      <w:r w:rsidRPr="000D173F">
        <w:rPr>
          <w:rFonts w:ascii="Times New Roman" w:eastAsia="Georgia" w:hAnsi="Times New Roman" w:cs="Times New Roman"/>
          <w:sz w:val="24"/>
          <w:szCs w:val="24"/>
        </w:rPr>
        <w:t>ii</w:t>
      </w:r>
      <w:proofErr w:type="spellEnd"/>
      <w:r w:rsidRPr="000D173F">
        <w:rPr>
          <w:rFonts w:ascii="Times New Roman" w:eastAsia="Georgia" w:hAnsi="Times New Roman" w:cs="Times New Roman"/>
          <w:sz w:val="24"/>
          <w:szCs w:val="24"/>
        </w:rPr>
        <w:t xml:space="preserve">. Manifestações particulares interligadas; </w:t>
      </w:r>
      <w:proofErr w:type="spellStart"/>
      <w:r w:rsidRPr="000D173F">
        <w:rPr>
          <w:rFonts w:ascii="Times New Roman" w:eastAsia="Georgia" w:hAnsi="Times New Roman" w:cs="Times New Roman"/>
          <w:sz w:val="24"/>
          <w:szCs w:val="24"/>
        </w:rPr>
        <w:t>iii</w:t>
      </w:r>
      <w:proofErr w:type="spellEnd"/>
      <w:r w:rsidRPr="000D173F">
        <w:rPr>
          <w:rFonts w:ascii="Times New Roman" w:eastAsia="Georgia" w:hAnsi="Times New Roman" w:cs="Times New Roman"/>
          <w:sz w:val="24"/>
          <w:szCs w:val="24"/>
        </w:rPr>
        <w:t>. Comportamento do Estado e da Nação. Esse esforço de periodização busca, assim, identificar no território aquilo que é novidade e a herança, a ruptura e a continuidade.</w:t>
      </w:r>
    </w:p>
    <w:p w14:paraId="52E98B9D" w14:textId="77777777" w:rsidR="00BC015C" w:rsidRPr="000D173F" w:rsidRDefault="00BC015C" w:rsidP="00BC015C">
      <w:pPr>
        <w:spacing w:line="360" w:lineRule="auto"/>
        <w:jc w:val="both"/>
        <w:rPr>
          <w:rFonts w:ascii="Times New Roman" w:eastAsia="Georgia" w:hAnsi="Times New Roman" w:cs="Times New Roman"/>
          <w:sz w:val="24"/>
          <w:szCs w:val="24"/>
        </w:rPr>
      </w:pPr>
      <w:r w:rsidRPr="000D173F">
        <w:rPr>
          <w:rFonts w:ascii="Times New Roman" w:eastAsia="Georgia" w:hAnsi="Times New Roman" w:cs="Times New Roman"/>
          <w:sz w:val="24"/>
          <w:szCs w:val="24"/>
        </w:rPr>
        <w:t>Cada época histórica tem as suas próprias técnicas, que se trata de estruturas que articulam de um lado a materialidade e de outro os “modos de organização e regulação” (SANTOS, SILVEIRA, 2006, p. 20), não se confundindo com as tecnologias. Eles são os responsáveis por dar uma forma e distribuir o trabalho, de forma que “a divisão territorial do trabalho cria uma hierarquia entre lugares” (SANTOS, SILVEIRA, 2006, p. 21). A economia política do território estaria, portanto, interessada em entender como as dinâmicas estruturais do capitalismo influenciam a dinâmica do território a partir do uso e a apropriação dada a esse território analisado</w:t>
      </w:r>
      <w:r>
        <w:rPr>
          <w:rFonts w:ascii="Times New Roman" w:eastAsia="Georgia" w:hAnsi="Times New Roman" w:cs="Times New Roman"/>
          <w:sz w:val="24"/>
          <w:szCs w:val="24"/>
        </w:rPr>
        <w:t xml:space="preserve"> em um dado momento do tempo</w:t>
      </w:r>
      <w:r w:rsidRPr="000D173F">
        <w:rPr>
          <w:rFonts w:ascii="Times New Roman" w:eastAsia="Georgia" w:hAnsi="Times New Roman" w:cs="Times New Roman"/>
          <w:sz w:val="24"/>
          <w:szCs w:val="24"/>
        </w:rPr>
        <w:t>.</w:t>
      </w:r>
    </w:p>
    <w:p w14:paraId="649DEDF5" w14:textId="77777777" w:rsidR="00BC015C" w:rsidRPr="000D173F" w:rsidRDefault="00BC015C" w:rsidP="00BC015C">
      <w:pPr>
        <w:spacing w:line="360" w:lineRule="auto"/>
        <w:jc w:val="both"/>
        <w:rPr>
          <w:rFonts w:ascii="Times New Roman" w:eastAsia="Georgia" w:hAnsi="Times New Roman" w:cs="Times New Roman"/>
          <w:sz w:val="24"/>
          <w:szCs w:val="24"/>
        </w:rPr>
      </w:pPr>
      <w:r w:rsidRPr="000D173F">
        <w:rPr>
          <w:rFonts w:ascii="Times New Roman" w:eastAsia="Georgia" w:hAnsi="Times New Roman" w:cs="Times New Roman"/>
          <w:sz w:val="24"/>
          <w:szCs w:val="24"/>
        </w:rPr>
        <w:t xml:space="preserve">Uma das principais categorias teóricas utilizadas para entender a economia política do território em Milton Santos é o da divisão do trabalho. Em termos gerais, essa categoria se refere às atribuições produtivas que os diferentes atores sociais (individuais e coletivos) possuem em uma dada sociedade e momento histórico e tem na obra de Émile Durkheim a principal base </w:t>
      </w:r>
      <w:r w:rsidRPr="000D173F">
        <w:rPr>
          <w:rFonts w:ascii="Times New Roman" w:eastAsia="Georgia" w:hAnsi="Times New Roman" w:cs="Times New Roman"/>
          <w:sz w:val="24"/>
          <w:szCs w:val="24"/>
        </w:rPr>
        <w:lastRenderedPageBreak/>
        <w:t xml:space="preserve">para entender o seu papel na estruturação da ordem social (MONIZ, 1982). Apesar de ser um conceito comum nas ciências sociais, algumas qualificações sobre essa categoria precisam ser feitas para entender a forma como Santos (2001) a incorpora em sua discussão. </w:t>
      </w:r>
    </w:p>
    <w:p w14:paraId="19BECDBC" w14:textId="77777777" w:rsidR="00BC015C" w:rsidRDefault="00BC015C" w:rsidP="00BC015C">
      <w:pPr>
        <w:spacing w:line="360" w:lineRule="auto"/>
        <w:jc w:val="both"/>
        <w:rPr>
          <w:rFonts w:ascii="Times New Roman" w:eastAsia="Georgia" w:hAnsi="Times New Roman" w:cs="Times New Roman"/>
          <w:sz w:val="24"/>
          <w:szCs w:val="24"/>
        </w:rPr>
      </w:pPr>
      <w:r w:rsidRPr="000D173F">
        <w:rPr>
          <w:rFonts w:ascii="Times New Roman" w:eastAsia="Georgia" w:hAnsi="Times New Roman" w:cs="Times New Roman"/>
          <w:sz w:val="24"/>
          <w:szCs w:val="24"/>
        </w:rPr>
        <w:t xml:space="preserve">Um dos primeiros autores a tratar teoricamente de forma sistemática da divisão do trabalho foi Adam Smith (1723 - 1790). Smith (2017) vai focar essa divisão principalmente no âmbito microeconômico (o exemplo clássico da fábrica de alfinetes) e mostrar como o capitalismo gerou uma divisão de trabalho mais complexa e ampliou a produtividade como em nenhum outro momento da história. A divisão do trabalho seria a responsável pelo progresso e aumento da riqueza das nações. </w:t>
      </w:r>
    </w:p>
    <w:p w14:paraId="47E77731" w14:textId="77777777" w:rsidR="00BC015C" w:rsidRPr="000D173F" w:rsidRDefault="00BC015C" w:rsidP="00BC015C">
      <w:pPr>
        <w:spacing w:line="360" w:lineRule="auto"/>
        <w:jc w:val="both"/>
        <w:rPr>
          <w:rFonts w:ascii="Times New Roman" w:eastAsia="Georgia" w:hAnsi="Times New Roman" w:cs="Times New Roman"/>
          <w:sz w:val="24"/>
          <w:szCs w:val="24"/>
        </w:rPr>
      </w:pPr>
      <w:r w:rsidRPr="000D173F">
        <w:rPr>
          <w:rFonts w:ascii="Times New Roman" w:eastAsia="Georgia" w:hAnsi="Times New Roman" w:cs="Times New Roman"/>
          <w:sz w:val="24"/>
          <w:szCs w:val="24"/>
        </w:rPr>
        <w:t>Ainda na economia clássica, mas ampliando o escopo da análise</w:t>
      </w:r>
      <w:r>
        <w:rPr>
          <w:rFonts w:ascii="Times New Roman" w:eastAsia="Georgia" w:hAnsi="Times New Roman" w:cs="Times New Roman"/>
          <w:sz w:val="24"/>
          <w:szCs w:val="24"/>
        </w:rPr>
        <w:t xml:space="preserve"> de Smith (2017)</w:t>
      </w:r>
      <w:r w:rsidRPr="000D173F">
        <w:rPr>
          <w:rFonts w:ascii="Times New Roman" w:eastAsia="Georgia" w:hAnsi="Times New Roman" w:cs="Times New Roman"/>
          <w:sz w:val="24"/>
          <w:szCs w:val="24"/>
        </w:rPr>
        <w:t xml:space="preserve">, David Ricardo (1772 – 1823) utiliza essa categoria para complexificar a compreensão de como ocorre a inserção dos países na dinâmica global da produção da riqueza (RICARDO, 2018). O foco dele era entender como diferentes especializações de trabalho em nível nacional são capazes de criar vantagens comparativas relativas para os países. </w:t>
      </w:r>
      <w:r>
        <w:rPr>
          <w:rFonts w:ascii="Times New Roman" w:eastAsia="Georgia" w:hAnsi="Times New Roman" w:cs="Times New Roman"/>
          <w:sz w:val="24"/>
          <w:szCs w:val="24"/>
        </w:rPr>
        <w:t>A escala deixa de ser no nível das empresas, como Smith, e passa a ser no nível das nações.</w:t>
      </w:r>
    </w:p>
    <w:p w14:paraId="15D48119" w14:textId="77777777" w:rsidR="00BC015C" w:rsidRPr="000D173F" w:rsidRDefault="00BC015C" w:rsidP="00BC015C">
      <w:pPr>
        <w:spacing w:line="360" w:lineRule="auto"/>
        <w:jc w:val="both"/>
        <w:rPr>
          <w:rFonts w:ascii="Times New Roman" w:eastAsia="Georgia" w:hAnsi="Times New Roman" w:cs="Times New Roman"/>
          <w:sz w:val="24"/>
          <w:szCs w:val="24"/>
        </w:rPr>
      </w:pPr>
      <w:r w:rsidRPr="000D173F">
        <w:rPr>
          <w:rFonts w:ascii="Times New Roman" w:eastAsia="Georgia" w:hAnsi="Times New Roman" w:cs="Times New Roman"/>
          <w:sz w:val="24"/>
          <w:szCs w:val="24"/>
        </w:rPr>
        <w:t>Marx problematiza a discussão desenvolvida por Smith e Ricardo (e de outros autores da economia política) ao apontar que para além dos efeitos na produtividade, a divisão do trabalho gera hierarquias sociais, criando tensões e conflitos de classe. Segundo ele, a divisão do trabalho era uma “expressão econômica do caráter social do trabalho no interior da alienação” (MONIZ, 1982, p. 25). Ao mesmo tempo, na Ideologia Alemã, Marx (2014, p. 60) argumenta que</w:t>
      </w:r>
      <w:r>
        <w:rPr>
          <w:rFonts w:ascii="Times New Roman" w:eastAsia="Georgia" w:hAnsi="Times New Roman" w:cs="Times New Roman"/>
          <w:sz w:val="24"/>
          <w:szCs w:val="24"/>
        </w:rPr>
        <w:t>:</w:t>
      </w:r>
      <w:r w:rsidRPr="000D173F">
        <w:rPr>
          <w:rFonts w:ascii="Times New Roman" w:eastAsia="Georgia" w:hAnsi="Times New Roman" w:cs="Times New Roman"/>
          <w:sz w:val="24"/>
          <w:szCs w:val="24"/>
        </w:rPr>
        <w:t xml:space="preserve"> “A divisão do trabalho entre as diferentes cidades teve como consequência imediata o nascimento das manufaturas” (MARX, 2014, p. 60). Sendo assim, para além dos efeitos nas relações de classe, é possível identificar que há também um efeito que a divisão do trabalho em um nível regional (diferentes cidades) pode gerar no desenvolvimento industrial de diferentes lugares.</w:t>
      </w:r>
    </w:p>
    <w:p w14:paraId="14695DF2" w14:textId="77777777" w:rsidR="00BC015C" w:rsidRPr="000D173F" w:rsidRDefault="00BC015C" w:rsidP="00BC015C">
      <w:pPr>
        <w:spacing w:line="360" w:lineRule="auto"/>
        <w:jc w:val="both"/>
        <w:rPr>
          <w:rFonts w:ascii="Times New Roman" w:eastAsia="Georgia" w:hAnsi="Times New Roman" w:cs="Times New Roman"/>
          <w:sz w:val="24"/>
          <w:szCs w:val="24"/>
        </w:rPr>
      </w:pPr>
      <w:r w:rsidRPr="000D173F">
        <w:rPr>
          <w:rFonts w:ascii="Times New Roman" w:eastAsia="Georgia" w:hAnsi="Times New Roman" w:cs="Times New Roman"/>
          <w:sz w:val="24"/>
          <w:szCs w:val="24"/>
        </w:rPr>
        <w:t xml:space="preserve">Partindo dessas reflexões teóricas sobre a Divisão do Trabalho e sua relação com o desenvolvimento capitalista é que Santos (2001) aplica o conceito em sua análise. Segundo ele, o território usado é objeto de divisões de trabalho superpostas e </w:t>
      </w:r>
      <w:r>
        <w:rPr>
          <w:rFonts w:ascii="Times New Roman" w:eastAsia="Georgia" w:hAnsi="Times New Roman" w:cs="Times New Roman"/>
          <w:sz w:val="24"/>
          <w:szCs w:val="24"/>
        </w:rPr>
        <w:t xml:space="preserve">sendo </w:t>
      </w:r>
      <w:r w:rsidRPr="000D173F">
        <w:rPr>
          <w:rFonts w:ascii="Times New Roman" w:eastAsia="Georgia" w:hAnsi="Times New Roman" w:cs="Times New Roman"/>
          <w:sz w:val="24"/>
          <w:szCs w:val="24"/>
        </w:rPr>
        <w:t>a empresa capitalista</w:t>
      </w:r>
      <w:r>
        <w:rPr>
          <w:rFonts w:ascii="Times New Roman" w:eastAsia="Georgia" w:hAnsi="Times New Roman" w:cs="Times New Roman"/>
          <w:sz w:val="24"/>
          <w:szCs w:val="24"/>
        </w:rPr>
        <w:t xml:space="preserve"> </w:t>
      </w:r>
      <w:r w:rsidRPr="000D173F">
        <w:rPr>
          <w:rFonts w:ascii="Times New Roman" w:eastAsia="Georgia" w:hAnsi="Times New Roman" w:cs="Times New Roman"/>
          <w:sz w:val="24"/>
          <w:szCs w:val="24"/>
        </w:rPr>
        <w:t xml:space="preserve">um elemento chave </w:t>
      </w:r>
      <w:r>
        <w:rPr>
          <w:rFonts w:ascii="Times New Roman" w:eastAsia="Georgia" w:hAnsi="Times New Roman" w:cs="Times New Roman"/>
          <w:sz w:val="24"/>
          <w:szCs w:val="24"/>
        </w:rPr>
        <w:t>para entendê-la</w:t>
      </w:r>
      <w:r w:rsidRPr="000D173F">
        <w:rPr>
          <w:rFonts w:ascii="Times New Roman" w:eastAsia="Georgia" w:hAnsi="Times New Roman" w:cs="Times New Roman"/>
          <w:sz w:val="24"/>
          <w:szCs w:val="24"/>
        </w:rPr>
        <w:t xml:space="preserve">. </w:t>
      </w:r>
      <w:r>
        <w:rPr>
          <w:rFonts w:ascii="Times New Roman" w:eastAsia="Georgia" w:hAnsi="Times New Roman" w:cs="Times New Roman"/>
          <w:sz w:val="24"/>
          <w:szCs w:val="24"/>
        </w:rPr>
        <w:t>Compre</w:t>
      </w:r>
      <w:r w:rsidRPr="000D173F">
        <w:rPr>
          <w:rFonts w:ascii="Times New Roman" w:eastAsia="Georgia" w:hAnsi="Times New Roman" w:cs="Times New Roman"/>
          <w:sz w:val="24"/>
          <w:szCs w:val="24"/>
        </w:rPr>
        <w:t>ender a atuação dessa instituição em suas diferentes escalas ajudaria a compreender a forma como a divisão do trabalho se manifesta no espaço.</w:t>
      </w:r>
    </w:p>
    <w:p w14:paraId="2945D9CB" w14:textId="77777777" w:rsidR="00BC015C" w:rsidRPr="000D173F" w:rsidRDefault="00BC015C" w:rsidP="00BC015C">
      <w:pPr>
        <w:spacing w:line="360" w:lineRule="auto"/>
        <w:jc w:val="both"/>
        <w:rPr>
          <w:rFonts w:ascii="Times New Roman" w:eastAsia="Georgia" w:hAnsi="Times New Roman" w:cs="Times New Roman"/>
          <w:sz w:val="24"/>
          <w:szCs w:val="24"/>
        </w:rPr>
      </w:pPr>
      <w:r w:rsidRPr="000D173F">
        <w:rPr>
          <w:rFonts w:ascii="Times New Roman" w:eastAsia="Georgia" w:hAnsi="Times New Roman" w:cs="Times New Roman"/>
          <w:sz w:val="24"/>
          <w:szCs w:val="24"/>
        </w:rPr>
        <w:lastRenderedPageBreak/>
        <w:t>Segundo Santos (2001)</w:t>
      </w:r>
      <w:r>
        <w:rPr>
          <w:rFonts w:ascii="Times New Roman" w:eastAsia="Georgia" w:hAnsi="Times New Roman" w:cs="Times New Roman"/>
          <w:sz w:val="24"/>
          <w:szCs w:val="24"/>
        </w:rPr>
        <w:t>,</w:t>
      </w:r>
      <w:r w:rsidRPr="000D173F">
        <w:rPr>
          <w:rFonts w:ascii="Times New Roman" w:eastAsia="Georgia" w:hAnsi="Times New Roman" w:cs="Times New Roman"/>
          <w:sz w:val="24"/>
          <w:szCs w:val="24"/>
        </w:rPr>
        <w:t xml:space="preserve"> a divisão de trabalho pode ser entendida tanto do ponto de vista de cada empresa quanto em um nível escalar. No primeiro caso, elas aparecem como complementares, já que a teia de relações produtivas construídas internamente a empresa busca como objetivo final a ampliação da produtividade. Em um âmbito escalar, a divisão de trabalho deixa de ser apenas complementar e passa a ser também concorrente, já que as empresas e atividades que ocupam o território possuem necessidades diferentes. </w:t>
      </w:r>
      <w:r>
        <w:rPr>
          <w:rFonts w:ascii="Times New Roman" w:eastAsia="Georgia" w:hAnsi="Times New Roman" w:cs="Times New Roman"/>
          <w:sz w:val="24"/>
          <w:szCs w:val="24"/>
        </w:rPr>
        <w:t xml:space="preserve">Para </w:t>
      </w:r>
      <w:r w:rsidRPr="000D173F">
        <w:rPr>
          <w:rFonts w:ascii="Times New Roman" w:eastAsia="Georgia" w:hAnsi="Times New Roman" w:cs="Times New Roman"/>
          <w:sz w:val="24"/>
          <w:szCs w:val="24"/>
        </w:rPr>
        <w:t>Santos (2001</w:t>
      </w:r>
      <w:r>
        <w:rPr>
          <w:rFonts w:ascii="Times New Roman" w:eastAsia="Georgia" w:hAnsi="Times New Roman" w:cs="Times New Roman"/>
          <w:sz w:val="24"/>
          <w:szCs w:val="24"/>
        </w:rPr>
        <w:t>, p. 34</w:t>
      </w:r>
      <w:r w:rsidRPr="000D173F">
        <w:rPr>
          <w:rFonts w:ascii="Times New Roman" w:eastAsia="Georgia" w:hAnsi="Times New Roman" w:cs="Times New Roman"/>
          <w:sz w:val="24"/>
          <w:szCs w:val="24"/>
        </w:rPr>
        <w:t>), o caminho para entender essa relação entre divisões de trabalho concorrentes e complementares é entender o “conjunto do fenômeno como um trabalho “coletivo” no território [...] que demarcam as conexões entre divisões do trabalho concorrentes e complementares”. Entender esse fenômeno na sua totalidade exige entender quem regula os circuitos de cooperação e de competição. Nesse ponto, Santos (2001) traz o conceito de espaço corporativo, que se refere ao contexto econômico e desenvolvimento das forças produtivas em que a empresa capitalista passa a ter centralidade na definição da dinâmica do território.</w:t>
      </w:r>
    </w:p>
    <w:p w14:paraId="77C10228" w14:textId="77777777" w:rsidR="00BC015C" w:rsidRPr="000D173F" w:rsidRDefault="00BC015C" w:rsidP="00BC015C">
      <w:pPr>
        <w:spacing w:line="360" w:lineRule="auto"/>
        <w:jc w:val="both"/>
        <w:rPr>
          <w:rFonts w:ascii="Times New Roman" w:eastAsia="Georgia" w:hAnsi="Times New Roman" w:cs="Times New Roman"/>
          <w:sz w:val="24"/>
          <w:szCs w:val="24"/>
        </w:rPr>
      </w:pPr>
      <w:r w:rsidRPr="000D173F">
        <w:rPr>
          <w:rFonts w:ascii="Times New Roman" w:eastAsia="Georgia" w:hAnsi="Times New Roman" w:cs="Times New Roman"/>
          <w:sz w:val="24"/>
          <w:szCs w:val="24"/>
        </w:rPr>
        <w:t>Segundo Santos (2001), cada empresa “necessita de pontos e áreas” para atuar e é aqui que se revela a manifestação geográfica da divisão do trabalho, já que cada empresa produz a sua própria divisão de trabalho (internamente) ao mesmo tempo que também participa de uma. O papel de comando do território tende a pertencer a empresa com o maior poder econômico e político.</w:t>
      </w:r>
      <w:r>
        <w:rPr>
          <w:rFonts w:ascii="Times New Roman" w:eastAsia="Georgia" w:hAnsi="Times New Roman" w:cs="Times New Roman"/>
          <w:sz w:val="24"/>
          <w:szCs w:val="24"/>
        </w:rPr>
        <w:t xml:space="preserve"> </w:t>
      </w:r>
      <w:r w:rsidRPr="000D173F">
        <w:rPr>
          <w:rFonts w:ascii="Times New Roman" w:eastAsia="Georgia" w:hAnsi="Times New Roman" w:cs="Times New Roman"/>
          <w:sz w:val="24"/>
          <w:szCs w:val="24"/>
        </w:rPr>
        <w:t xml:space="preserve">Por estarem preocupados com questões que estão para além do território específico em que se instala, o conceito de </w:t>
      </w:r>
      <w:proofErr w:type="spellStart"/>
      <w:r w:rsidRPr="000D173F">
        <w:rPr>
          <w:rFonts w:ascii="Times New Roman" w:eastAsia="Georgia" w:hAnsi="Times New Roman" w:cs="Times New Roman"/>
          <w:sz w:val="24"/>
          <w:szCs w:val="24"/>
        </w:rPr>
        <w:t>multiescalaridade</w:t>
      </w:r>
      <w:proofErr w:type="spellEnd"/>
      <w:r w:rsidRPr="000D173F">
        <w:rPr>
          <w:rFonts w:ascii="Times New Roman" w:eastAsia="Georgia" w:hAnsi="Times New Roman" w:cs="Times New Roman"/>
          <w:sz w:val="24"/>
          <w:szCs w:val="24"/>
        </w:rPr>
        <w:t xml:space="preserve"> torna-se central para entender como os parâmetros planetários interferem na dinâmica do território. Recuperando a reflexão de Brandão (2012) esse aspecto torna-se mais claro. Segundo o autor, muitos estudos no campo regional buscam explicar a dinâmica econômica por fatores exclusivamente internos ao território, deixando de lado fatores estruturais que incidem sobre ele. Esse excesso de localismo impede identificar macroprocessos e macro determinantes que ajudam a explicar as dinâmicas próprias de um dado espaço. Resgatar essas determinações estruturais torna-se um passo central para refletir sobre a dimensão espacial do desenvolvimento capitalista. </w:t>
      </w:r>
    </w:p>
    <w:p w14:paraId="427CA853" w14:textId="77777777" w:rsidR="00BC015C" w:rsidRPr="000D173F" w:rsidRDefault="00BC015C" w:rsidP="00BC015C">
      <w:pPr>
        <w:spacing w:line="360" w:lineRule="auto"/>
        <w:jc w:val="both"/>
        <w:rPr>
          <w:rFonts w:ascii="Times New Roman" w:eastAsia="Georgia" w:hAnsi="Times New Roman" w:cs="Times New Roman"/>
          <w:sz w:val="24"/>
          <w:szCs w:val="24"/>
        </w:rPr>
      </w:pPr>
      <w:r w:rsidRPr="000D173F">
        <w:rPr>
          <w:rFonts w:ascii="Times New Roman" w:eastAsia="Georgia" w:hAnsi="Times New Roman" w:cs="Times New Roman"/>
          <w:sz w:val="24"/>
          <w:szCs w:val="24"/>
        </w:rPr>
        <w:t xml:space="preserve">Tratando do caso particular da atuação da Vale S.A. na região de Carajás é possível entender de forma mais precisa essas categorias teóricas desenvolvidas por Santos (2001) ao tratar das divisões de trabalho superpostas. Segundo Monteiro e Silva (2021), a região de Carajás </w:t>
      </w:r>
      <w:r w:rsidRPr="000D173F">
        <w:rPr>
          <w:rFonts w:ascii="Times New Roman" w:eastAsia="Georgia" w:hAnsi="Times New Roman" w:cs="Times New Roman"/>
          <w:sz w:val="24"/>
          <w:szCs w:val="24"/>
        </w:rPr>
        <w:lastRenderedPageBreak/>
        <w:t xml:space="preserve">corresponde a um território no Pará que pela sua formação histórica compartilha características particulares </w:t>
      </w:r>
      <w:r>
        <w:rPr>
          <w:rFonts w:ascii="Times New Roman" w:eastAsia="Georgia" w:hAnsi="Times New Roman" w:cs="Times New Roman"/>
          <w:sz w:val="24"/>
          <w:szCs w:val="24"/>
        </w:rPr>
        <w:t>e que, portanto, precisam ser analisadas separadas de outros territórios que compõem o estado do Pará</w:t>
      </w:r>
      <w:r w:rsidRPr="000D173F">
        <w:rPr>
          <w:rFonts w:ascii="Times New Roman" w:eastAsia="Georgia" w:hAnsi="Times New Roman" w:cs="Times New Roman"/>
          <w:sz w:val="24"/>
          <w:szCs w:val="24"/>
        </w:rPr>
        <w:t xml:space="preserve">. </w:t>
      </w:r>
    </w:p>
    <w:p w14:paraId="4352524B" w14:textId="77777777" w:rsidR="00BC015C" w:rsidRDefault="00BC015C" w:rsidP="00BC015C">
      <w:pPr>
        <w:spacing w:line="360" w:lineRule="auto"/>
        <w:jc w:val="both"/>
        <w:rPr>
          <w:rFonts w:ascii="Times New Roman" w:eastAsia="Georgia" w:hAnsi="Times New Roman" w:cs="Times New Roman"/>
          <w:sz w:val="24"/>
          <w:szCs w:val="24"/>
        </w:rPr>
      </w:pPr>
      <w:r w:rsidRPr="000D173F">
        <w:rPr>
          <w:rFonts w:ascii="Times New Roman" w:eastAsia="Georgia" w:hAnsi="Times New Roman" w:cs="Times New Roman"/>
          <w:sz w:val="24"/>
          <w:szCs w:val="24"/>
        </w:rPr>
        <w:t xml:space="preserve">Na região de Carajás fica evidente que diferentes divisões de trabalho se materializam no espaço construído. Essas atividades econômicas desenvolvidas na região cumprem um papel diferente na produção do valor. Essa divisão se integra a outras de maneira complexa e dinâmica. Assim, ao mesmo tempo em que a atividade mineradora realizada na região está localizada em um ponto da divisão do trabalho específica do setor, ao influenciar outras atividades econômicas, ela interfere em diversos elementos do território. </w:t>
      </w:r>
      <w:proofErr w:type="spellStart"/>
      <w:r w:rsidRPr="000D173F">
        <w:rPr>
          <w:rFonts w:ascii="Times New Roman" w:eastAsia="Georgia" w:hAnsi="Times New Roman" w:cs="Times New Roman"/>
          <w:sz w:val="24"/>
          <w:szCs w:val="24"/>
        </w:rPr>
        <w:t>Michelotti</w:t>
      </w:r>
      <w:proofErr w:type="spellEnd"/>
      <w:r w:rsidRPr="000D173F">
        <w:rPr>
          <w:rFonts w:ascii="Times New Roman" w:eastAsia="Georgia" w:hAnsi="Times New Roman" w:cs="Times New Roman"/>
          <w:sz w:val="24"/>
          <w:szCs w:val="24"/>
        </w:rPr>
        <w:t xml:space="preserve"> (</w:t>
      </w:r>
      <w:r>
        <w:rPr>
          <w:rFonts w:ascii="Times New Roman" w:eastAsia="Georgia" w:hAnsi="Times New Roman" w:cs="Times New Roman"/>
          <w:sz w:val="24"/>
          <w:szCs w:val="24"/>
        </w:rPr>
        <w:t>2019</w:t>
      </w:r>
      <w:r w:rsidRPr="000D173F">
        <w:rPr>
          <w:rFonts w:ascii="Times New Roman" w:eastAsia="Georgia" w:hAnsi="Times New Roman" w:cs="Times New Roman"/>
          <w:sz w:val="24"/>
          <w:szCs w:val="24"/>
        </w:rPr>
        <w:t>) aponta, por exemplo, como a presença da grande mineradora interfere no preço da terra, influenciando diretamente setores ligados à agricultura e à pecuária.</w:t>
      </w:r>
      <w:r>
        <w:rPr>
          <w:rFonts w:ascii="Times New Roman" w:eastAsia="Georgia" w:hAnsi="Times New Roman" w:cs="Times New Roman"/>
          <w:sz w:val="24"/>
          <w:szCs w:val="24"/>
        </w:rPr>
        <w:t xml:space="preserve"> Segundo esse autor, a presença de grandes projetos minerais no estado do Pará, ao intensificar a dinâmica econômica termina por atrair grandes redes varejistas e atacadistas, desestruturando as redes de comercialização ligadas a produção local, produzindo efeitos negativos indiretos em setores como a agricultura familiar. </w:t>
      </w:r>
    </w:p>
    <w:p w14:paraId="482BCE6E" w14:textId="77777777" w:rsidR="00BC015C" w:rsidRPr="000D173F" w:rsidRDefault="00BC015C" w:rsidP="00BC015C">
      <w:pPr>
        <w:pStyle w:val="Ttulo1"/>
        <w:numPr>
          <w:ilvl w:val="0"/>
          <w:numId w:val="4"/>
        </w:numPr>
        <w:spacing w:line="360" w:lineRule="auto"/>
      </w:pPr>
      <w:r>
        <w:t>A ATUAÇÃO DA VALE S.A. NA ESCALA GLOBAL E NACIONAL</w:t>
      </w:r>
    </w:p>
    <w:p w14:paraId="539B1ADE" w14:textId="4494831D" w:rsidR="00BC015C" w:rsidRDefault="00BC015C" w:rsidP="00BC015C">
      <w:pPr>
        <w:spacing w:line="360" w:lineRule="auto"/>
        <w:jc w:val="both"/>
        <w:rPr>
          <w:rFonts w:ascii="Times New Roman" w:eastAsia="Georgia" w:hAnsi="Times New Roman" w:cs="Times New Roman"/>
          <w:sz w:val="24"/>
          <w:szCs w:val="24"/>
        </w:rPr>
      </w:pPr>
      <w:r w:rsidRPr="000D173F">
        <w:rPr>
          <w:rFonts w:ascii="Times New Roman" w:eastAsia="Georgia" w:hAnsi="Times New Roman" w:cs="Times New Roman"/>
          <w:sz w:val="24"/>
          <w:szCs w:val="24"/>
        </w:rPr>
        <w:t xml:space="preserve">Em uma análise </w:t>
      </w:r>
      <w:proofErr w:type="spellStart"/>
      <w:r w:rsidRPr="000D173F">
        <w:rPr>
          <w:rFonts w:ascii="Times New Roman" w:eastAsia="Georgia" w:hAnsi="Times New Roman" w:cs="Times New Roman"/>
          <w:sz w:val="24"/>
          <w:szCs w:val="24"/>
        </w:rPr>
        <w:t>multiescalar</w:t>
      </w:r>
      <w:proofErr w:type="spellEnd"/>
      <w:r w:rsidRPr="000D173F">
        <w:rPr>
          <w:rFonts w:ascii="Times New Roman" w:eastAsia="Georgia" w:hAnsi="Times New Roman" w:cs="Times New Roman"/>
          <w:sz w:val="24"/>
          <w:szCs w:val="24"/>
        </w:rPr>
        <w:t>,</w:t>
      </w:r>
      <w:r>
        <w:rPr>
          <w:rFonts w:ascii="Times New Roman" w:eastAsia="Georgia" w:hAnsi="Times New Roman" w:cs="Times New Roman"/>
          <w:sz w:val="24"/>
          <w:szCs w:val="24"/>
        </w:rPr>
        <w:t xml:space="preserve"> é possível identificar </w:t>
      </w:r>
      <w:r w:rsidRPr="000D173F">
        <w:rPr>
          <w:rFonts w:ascii="Times New Roman" w:eastAsia="Georgia" w:hAnsi="Times New Roman" w:cs="Times New Roman"/>
          <w:sz w:val="24"/>
          <w:szCs w:val="24"/>
        </w:rPr>
        <w:t xml:space="preserve">a estratégia da Vale S.A. </w:t>
      </w:r>
      <w:r>
        <w:rPr>
          <w:rFonts w:ascii="Times New Roman" w:eastAsia="Georgia" w:hAnsi="Times New Roman" w:cs="Times New Roman"/>
          <w:sz w:val="24"/>
          <w:szCs w:val="24"/>
        </w:rPr>
        <w:t>inicialmente em duas</w:t>
      </w:r>
      <w:r w:rsidRPr="000D173F">
        <w:rPr>
          <w:rFonts w:ascii="Times New Roman" w:eastAsia="Georgia" w:hAnsi="Times New Roman" w:cs="Times New Roman"/>
          <w:sz w:val="24"/>
          <w:szCs w:val="24"/>
        </w:rPr>
        <w:t xml:space="preserve"> escalas: o nível global</w:t>
      </w:r>
      <w:r>
        <w:rPr>
          <w:rFonts w:ascii="Times New Roman" w:eastAsia="Georgia" w:hAnsi="Times New Roman" w:cs="Times New Roman"/>
          <w:sz w:val="24"/>
          <w:szCs w:val="24"/>
        </w:rPr>
        <w:t xml:space="preserve"> e</w:t>
      </w:r>
      <w:r w:rsidRPr="000D173F">
        <w:rPr>
          <w:rFonts w:ascii="Times New Roman" w:eastAsia="Georgia" w:hAnsi="Times New Roman" w:cs="Times New Roman"/>
          <w:sz w:val="24"/>
          <w:szCs w:val="24"/>
        </w:rPr>
        <w:t xml:space="preserve"> o nacional, com contínuas e complexas interações que refletem as divisões de trabalho superpostas. Em um primeiro nível, o global, as estratégias concorrenciais, entendidas aqui no sentido marxista</w:t>
      </w:r>
      <w:r w:rsidRPr="000D173F">
        <w:rPr>
          <w:rFonts w:ascii="Times New Roman" w:eastAsia="Georgia" w:hAnsi="Times New Roman" w:cs="Times New Roman"/>
          <w:sz w:val="24"/>
          <w:szCs w:val="24"/>
          <w:vertAlign w:val="superscript"/>
        </w:rPr>
        <w:footnoteReference w:id="1"/>
      </w:r>
      <w:r w:rsidRPr="000D173F">
        <w:rPr>
          <w:rFonts w:ascii="Times New Roman" w:eastAsia="Georgia" w:hAnsi="Times New Roman" w:cs="Times New Roman"/>
          <w:sz w:val="24"/>
          <w:szCs w:val="24"/>
        </w:rPr>
        <w:t>, objetivam garantir que os capitais presentes na empresa alcancem agregadamente a maior rentabilidade possível. Isso envolve estratégias de logística marítima, transporte ferroviário, centros de distribuição e atividades no campo financeiro (BORGES, 2021). Esse último aspecto, em especial, é central para os objetivos globais da empresa.</w:t>
      </w:r>
    </w:p>
    <w:p w14:paraId="06E18B61" w14:textId="77777777" w:rsidR="005F1485" w:rsidRPr="000D173F" w:rsidRDefault="005F1485" w:rsidP="005F1485">
      <w:pPr>
        <w:spacing w:line="360" w:lineRule="auto"/>
        <w:jc w:val="both"/>
        <w:rPr>
          <w:rFonts w:ascii="Times New Roman" w:eastAsia="Georgia" w:hAnsi="Times New Roman" w:cs="Times New Roman"/>
          <w:sz w:val="24"/>
          <w:szCs w:val="24"/>
        </w:rPr>
      </w:pPr>
      <w:r w:rsidRPr="000D173F">
        <w:rPr>
          <w:rFonts w:ascii="Times New Roman" w:eastAsia="Georgia" w:hAnsi="Times New Roman" w:cs="Times New Roman"/>
          <w:sz w:val="24"/>
          <w:szCs w:val="24"/>
        </w:rPr>
        <w:lastRenderedPageBreak/>
        <w:t xml:space="preserve">A Vale S.A. tem ações negociadas </w:t>
      </w:r>
      <w:r>
        <w:rPr>
          <w:rFonts w:ascii="Times New Roman" w:eastAsia="Georgia" w:hAnsi="Times New Roman" w:cs="Times New Roman"/>
          <w:sz w:val="24"/>
          <w:szCs w:val="24"/>
        </w:rPr>
        <w:t>em diversas Bolsas de Valores ao redor do mundo, sendo as principais delas a</w:t>
      </w:r>
      <w:r w:rsidRPr="000D173F">
        <w:rPr>
          <w:rFonts w:ascii="Times New Roman" w:eastAsia="Georgia" w:hAnsi="Times New Roman" w:cs="Times New Roman"/>
          <w:sz w:val="24"/>
          <w:szCs w:val="24"/>
        </w:rPr>
        <w:t xml:space="preserve"> Bolsa de Valores de São Paulo (B3), </w:t>
      </w:r>
      <w:r>
        <w:rPr>
          <w:rFonts w:ascii="Times New Roman" w:eastAsia="Georgia" w:hAnsi="Times New Roman" w:cs="Times New Roman"/>
          <w:sz w:val="24"/>
          <w:szCs w:val="24"/>
        </w:rPr>
        <w:t xml:space="preserve">a </w:t>
      </w:r>
      <w:r w:rsidRPr="000D173F">
        <w:rPr>
          <w:rFonts w:ascii="Times New Roman" w:eastAsia="Georgia" w:hAnsi="Times New Roman" w:cs="Times New Roman"/>
          <w:sz w:val="24"/>
          <w:szCs w:val="24"/>
        </w:rPr>
        <w:t xml:space="preserve">de Madrid (L17) e </w:t>
      </w:r>
      <w:r>
        <w:rPr>
          <w:rFonts w:ascii="Times New Roman" w:eastAsia="Georgia" w:hAnsi="Times New Roman" w:cs="Times New Roman"/>
          <w:sz w:val="24"/>
          <w:szCs w:val="24"/>
        </w:rPr>
        <w:t xml:space="preserve">a </w:t>
      </w:r>
      <w:r w:rsidRPr="000D173F">
        <w:rPr>
          <w:rFonts w:ascii="Times New Roman" w:eastAsia="Georgia" w:hAnsi="Times New Roman" w:cs="Times New Roman"/>
          <w:sz w:val="24"/>
          <w:szCs w:val="24"/>
        </w:rPr>
        <w:t xml:space="preserve">de Nova York (NYSE), </w:t>
      </w:r>
      <w:r>
        <w:rPr>
          <w:rFonts w:ascii="Times New Roman" w:eastAsia="Georgia" w:hAnsi="Times New Roman" w:cs="Times New Roman"/>
          <w:sz w:val="24"/>
          <w:szCs w:val="24"/>
        </w:rPr>
        <w:t>essa última a</w:t>
      </w:r>
      <w:r w:rsidRPr="000D173F">
        <w:rPr>
          <w:rFonts w:ascii="Times New Roman" w:eastAsia="Georgia" w:hAnsi="Times New Roman" w:cs="Times New Roman"/>
          <w:sz w:val="24"/>
          <w:szCs w:val="24"/>
        </w:rPr>
        <w:t xml:space="preserve"> torna ela integrada ao índice </w:t>
      </w:r>
      <w:r w:rsidRPr="000D173F">
        <w:rPr>
          <w:rFonts w:ascii="Times New Roman" w:eastAsia="Georgia" w:hAnsi="Times New Roman" w:cs="Times New Roman"/>
          <w:i/>
          <w:sz w:val="24"/>
          <w:szCs w:val="24"/>
        </w:rPr>
        <w:t xml:space="preserve">Dow Jones Sector </w:t>
      </w:r>
      <w:proofErr w:type="spellStart"/>
      <w:r w:rsidRPr="000D173F">
        <w:rPr>
          <w:rFonts w:ascii="Times New Roman" w:eastAsia="Georgia" w:hAnsi="Times New Roman" w:cs="Times New Roman"/>
          <w:i/>
          <w:sz w:val="24"/>
          <w:szCs w:val="24"/>
        </w:rPr>
        <w:t>Tittans</w:t>
      </w:r>
      <w:proofErr w:type="spellEnd"/>
      <w:r w:rsidRPr="000D173F">
        <w:rPr>
          <w:rFonts w:ascii="Times New Roman" w:eastAsia="Georgia" w:hAnsi="Times New Roman" w:cs="Times New Roman"/>
          <w:i/>
          <w:sz w:val="24"/>
          <w:szCs w:val="24"/>
        </w:rPr>
        <w:t xml:space="preserve"> </w:t>
      </w:r>
      <w:proofErr w:type="spellStart"/>
      <w:r w:rsidRPr="000D173F">
        <w:rPr>
          <w:rFonts w:ascii="Times New Roman" w:eastAsia="Georgia" w:hAnsi="Times New Roman" w:cs="Times New Roman"/>
          <w:i/>
          <w:sz w:val="24"/>
          <w:szCs w:val="24"/>
        </w:rPr>
        <w:t>Composite</w:t>
      </w:r>
      <w:proofErr w:type="spellEnd"/>
      <w:r w:rsidRPr="000D173F">
        <w:rPr>
          <w:rFonts w:ascii="Times New Roman" w:eastAsia="Georgia" w:hAnsi="Times New Roman" w:cs="Times New Roman"/>
          <w:i/>
          <w:sz w:val="24"/>
          <w:szCs w:val="24"/>
        </w:rPr>
        <w:t xml:space="preserve"> Index</w:t>
      </w:r>
      <w:r w:rsidRPr="000D173F">
        <w:rPr>
          <w:rFonts w:ascii="Times New Roman" w:eastAsia="Georgia" w:hAnsi="Times New Roman" w:cs="Times New Roman"/>
          <w:sz w:val="24"/>
          <w:szCs w:val="24"/>
        </w:rPr>
        <w:t xml:space="preserve">. A participação no mercado acionário </w:t>
      </w:r>
      <w:r>
        <w:rPr>
          <w:rFonts w:ascii="Times New Roman" w:eastAsia="Georgia" w:hAnsi="Times New Roman" w:cs="Times New Roman"/>
          <w:sz w:val="24"/>
          <w:szCs w:val="24"/>
        </w:rPr>
        <w:t>faz com que</w:t>
      </w:r>
      <w:r w:rsidRPr="000D173F">
        <w:rPr>
          <w:rFonts w:ascii="Times New Roman" w:eastAsia="Georgia" w:hAnsi="Times New Roman" w:cs="Times New Roman"/>
          <w:sz w:val="24"/>
          <w:szCs w:val="24"/>
        </w:rPr>
        <w:t xml:space="preserve"> o contexto da globalização e da financeirização </w:t>
      </w:r>
      <w:r>
        <w:rPr>
          <w:rFonts w:ascii="Times New Roman" w:eastAsia="Georgia" w:hAnsi="Times New Roman" w:cs="Times New Roman"/>
          <w:sz w:val="24"/>
          <w:szCs w:val="24"/>
        </w:rPr>
        <w:t xml:space="preserve">se tornem ainda mais </w:t>
      </w:r>
      <w:r w:rsidRPr="000D173F">
        <w:rPr>
          <w:rFonts w:ascii="Times New Roman" w:eastAsia="Georgia" w:hAnsi="Times New Roman" w:cs="Times New Roman"/>
          <w:sz w:val="24"/>
          <w:szCs w:val="24"/>
        </w:rPr>
        <w:t>centra</w:t>
      </w:r>
      <w:r>
        <w:rPr>
          <w:rFonts w:ascii="Times New Roman" w:eastAsia="Georgia" w:hAnsi="Times New Roman" w:cs="Times New Roman"/>
          <w:sz w:val="24"/>
          <w:szCs w:val="24"/>
        </w:rPr>
        <w:t>is</w:t>
      </w:r>
      <w:r w:rsidRPr="000D173F">
        <w:rPr>
          <w:rFonts w:ascii="Times New Roman" w:eastAsia="Georgia" w:hAnsi="Times New Roman" w:cs="Times New Roman"/>
          <w:sz w:val="24"/>
          <w:szCs w:val="24"/>
        </w:rPr>
        <w:t xml:space="preserve"> para entender as estratégias corporativas da empresa. Dada a profundidade e extensão desses dois conceitos, foge de o objetivo deste trabalho apresentar com detalhe como essas relações ocorrem</w:t>
      </w:r>
      <w:r>
        <w:rPr>
          <w:rFonts w:ascii="Times New Roman" w:eastAsia="Georgia" w:hAnsi="Times New Roman" w:cs="Times New Roman"/>
          <w:sz w:val="24"/>
          <w:szCs w:val="24"/>
        </w:rPr>
        <w:t>.</w:t>
      </w:r>
      <w:r w:rsidRPr="000D173F">
        <w:rPr>
          <w:rFonts w:ascii="Times New Roman" w:eastAsia="Georgia" w:hAnsi="Times New Roman" w:cs="Times New Roman"/>
          <w:sz w:val="24"/>
          <w:szCs w:val="24"/>
        </w:rPr>
        <w:t xml:space="preserve"> </w:t>
      </w:r>
      <w:r>
        <w:rPr>
          <w:rFonts w:ascii="Times New Roman" w:eastAsia="Georgia" w:hAnsi="Times New Roman" w:cs="Times New Roman"/>
          <w:sz w:val="24"/>
          <w:szCs w:val="24"/>
        </w:rPr>
        <w:t>Contudo,</w:t>
      </w:r>
      <w:r w:rsidRPr="000D173F">
        <w:rPr>
          <w:rFonts w:ascii="Times New Roman" w:eastAsia="Georgia" w:hAnsi="Times New Roman" w:cs="Times New Roman"/>
          <w:sz w:val="24"/>
          <w:szCs w:val="24"/>
        </w:rPr>
        <w:t xml:space="preserve"> é possível resumir que as estratégias de atuação da empresa Vale S.A. em um contexto de globalização visam, </w:t>
      </w:r>
      <w:r>
        <w:rPr>
          <w:rFonts w:ascii="Times New Roman" w:eastAsia="Georgia" w:hAnsi="Times New Roman" w:cs="Times New Roman"/>
          <w:sz w:val="24"/>
          <w:szCs w:val="24"/>
        </w:rPr>
        <w:t>principalmente</w:t>
      </w:r>
      <w:r w:rsidRPr="000D173F">
        <w:rPr>
          <w:rFonts w:ascii="Times New Roman" w:eastAsia="Georgia" w:hAnsi="Times New Roman" w:cs="Times New Roman"/>
          <w:sz w:val="24"/>
          <w:szCs w:val="24"/>
        </w:rPr>
        <w:t>, garantir rentabilidade para os acionistas que investem na empresa. Essa necessidade, como argumentado por Borges (2021)</w:t>
      </w:r>
      <w:r w:rsidRPr="000D173F">
        <w:rPr>
          <w:rFonts w:ascii="Times New Roman" w:eastAsia="Georgia" w:hAnsi="Times New Roman" w:cs="Times New Roman"/>
          <w:i/>
          <w:sz w:val="24"/>
          <w:szCs w:val="24"/>
        </w:rPr>
        <w:t>,</w:t>
      </w:r>
      <w:r w:rsidRPr="000D173F">
        <w:rPr>
          <w:rFonts w:ascii="Times New Roman" w:eastAsia="Georgia" w:hAnsi="Times New Roman" w:cs="Times New Roman"/>
          <w:sz w:val="24"/>
          <w:szCs w:val="24"/>
        </w:rPr>
        <w:t xml:space="preserve"> cria um conjunto de estratégias corporativas que não estão focadas em apenas ampliar a capacidade produtiva, mas auferir lucros financeiros a partir dessa atuação. </w:t>
      </w:r>
    </w:p>
    <w:p w14:paraId="2EBBF1E3" w14:textId="504DF5C4" w:rsidR="00BC015C" w:rsidRDefault="00BC015C" w:rsidP="00BC015C">
      <w:pPr>
        <w:spacing w:line="360" w:lineRule="auto"/>
        <w:jc w:val="both"/>
        <w:rPr>
          <w:rFonts w:ascii="Times New Roman" w:eastAsia="Georgia" w:hAnsi="Times New Roman" w:cs="Times New Roman"/>
          <w:sz w:val="24"/>
          <w:szCs w:val="24"/>
        </w:rPr>
      </w:pPr>
    </w:p>
    <w:p w14:paraId="26F9A6C0" w14:textId="77777777" w:rsidR="005F1485" w:rsidRPr="000D173F" w:rsidRDefault="005F1485" w:rsidP="005F1485">
      <w:pPr>
        <w:spacing w:line="360" w:lineRule="auto"/>
        <w:jc w:val="center"/>
        <w:rPr>
          <w:rFonts w:ascii="Times New Roman" w:eastAsia="Georgia" w:hAnsi="Times New Roman" w:cs="Times New Roman"/>
          <w:sz w:val="24"/>
          <w:szCs w:val="24"/>
        </w:rPr>
      </w:pPr>
      <w:r w:rsidRPr="000D173F">
        <w:rPr>
          <w:rFonts w:ascii="Times New Roman" w:eastAsia="Georgia" w:hAnsi="Times New Roman" w:cs="Times New Roman"/>
          <w:sz w:val="24"/>
          <w:szCs w:val="24"/>
        </w:rPr>
        <w:t>Gráfico 1 – Participação Acionistas com Voto na Vale S.A. - 2022 (%)</w:t>
      </w:r>
    </w:p>
    <w:p w14:paraId="527EECFD" w14:textId="77777777" w:rsidR="005F1485" w:rsidRPr="000D173F" w:rsidRDefault="005F1485" w:rsidP="005F1485">
      <w:pPr>
        <w:spacing w:line="360" w:lineRule="auto"/>
        <w:jc w:val="center"/>
        <w:rPr>
          <w:rFonts w:ascii="Times New Roman" w:eastAsia="Georgia" w:hAnsi="Times New Roman" w:cs="Times New Roman"/>
          <w:sz w:val="24"/>
          <w:szCs w:val="24"/>
        </w:rPr>
      </w:pPr>
      <w:r w:rsidRPr="000D173F">
        <w:rPr>
          <w:rFonts w:ascii="Times New Roman" w:hAnsi="Times New Roman" w:cs="Times New Roman"/>
          <w:noProof/>
        </w:rPr>
        <w:drawing>
          <wp:inline distT="0" distB="0" distL="0" distR="0" wp14:anchorId="155B444F" wp14:editId="695855ED">
            <wp:extent cx="5448300" cy="2381250"/>
            <wp:effectExtent l="0" t="0" r="0" b="0"/>
            <wp:docPr id="56" name="image2.png" descr="Gráfico, Gráfico de mapa de árvore&#10;&#10;Descrição gerada automaticamente"/>
            <wp:cNvGraphicFramePr/>
            <a:graphic xmlns:a="http://schemas.openxmlformats.org/drawingml/2006/main">
              <a:graphicData uri="http://schemas.openxmlformats.org/drawingml/2006/picture">
                <pic:pic xmlns:pic="http://schemas.openxmlformats.org/drawingml/2006/picture">
                  <pic:nvPicPr>
                    <pic:cNvPr id="56" name="image2.png" descr="Gráfico, Gráfico de mapa de árvore&#10;&#10;Descrição gerada automaticamente"/>
                    <pic:cNvPicPr preferRelativeResize="0"/>
                  </pic:nvPicPr>
                  <pic:blipFill>
                    <a:blip r:embed="rId9"/>
                    <a:srcRect/>
                    <a:stretch>
                      <a:fillRect/>
                    </a:stretch>
                  </pic:blipFill>
                  <pic:spPr>
                    <a:xfrm>
                      <a:off x="0" y="0"/>
                      <a:ext cx="5448300" cy="2381250"/>
                    </a:xfrm>
                    <a:prstGeom prst="rect">
                      <a:avLst/>
                    </a:prstGeom>
                    <a:ln/>
                  </pic:spPr>
                </pic:pic>
              </a:graphicData>
            </a:graphic>
          </wp:inline>
        </w:drawing>
      </w:r>
    </w:p>
    <w:p w14:paraId="6A568C8F" w14:textId="77777777" w:rsidR="005F1485" w:rsidRPr="000D173F" w:rsidRDefault="005F1485" w:rsidP="005F1485">
      <w:pPr>
        <w:spacing w:line="360" w:lineRule="auto"/>
        <w:jc w:val="both"/>
        <w:rPr>
          <w:rFonts w:ascii="Times New Roman" w:eastAsia="Georgia" w:hAnsi="Times New Roman" w:cs="Times New Roman"/>
          <w:sz w:val="20"/>
          <w:szCs w:val="20"/>
        </w:rPr>
      </w:pPr>
      <w:r w:rsidRPr="000D173F">
        <w:rPr>
          <w:rFonts w:ascii="Times New Roman" w:eastAsia="Georgia" w:hAnsi="Times New Roman" w:cs="Times New Roman"/>
          <w:sz w:val="20"/>
          <w:szCs w:val="20"/>
        </w:rPr>
        <w:t xml:space="preserve"> Fonte: Elaboração Própria com base no </w:t>
      </w:r>
      <w:proofErr w:type="spellStart"/>
      <w:r w:rsidRPr="000D173F">
        <w:rPr>
          <w:rFonts w:ascii="Times New Roman" w:eastAsia="Georgia" w:hAnsi="Times New Roman" w:cs="Times New Roman"/>
          <w:sz w:val="20"/>
          <w:szCs w:val="20"/>
        </w:rPr>
        <w:t>Economática</w:t>
      </w:r>
      <w:proofErr w:type="spellEnd"/>
    </w:p>
    <w:p w14:paraId="59DA4E46" w14:textId="3907A0C7" w:rsidR="005F1485" w:rsidRDefault="005F1485" w:rsidP="00BC015C">
      <w:pPr>
        <w:spacing w:line="360" w:lineRule="auto"/>
        <w:jc w:val="both"/>
        <w:rPr>
          <w:rFonts w:ascii="Times New Roman" w:eastAsia="Georgia" w:hAnsi="Times New Roman" w:cs="Times New Roman"/>
          <w:sz w:val="24"/>
          <w:szCs w:val="24"/>
        </w:rPr>
      </w:pPr>
    </w:p>
    <w:p w14:paraId="164E3080" w14:textId="77777777" w:rsidR="008B0F2A" w:rsidRPr="000D173F" w:rsidRDefault="008B0F2A" w:rsidP="008B0F2A">
      <w:pPr>
        <w:spacing w:line="360" w:lineRule="auto"/>
        <w:jc w:val="both"/>
        <w:rPr>
          <w:rFonts w:ascii="Times New Roman" w:eastAsia="Georgia" w:hAnsi="Times New Roman" w:cs="Times New Roman"/>
          <w:sz w:val="24"/>
          <w:szCs w:val="24"/>
        </w:rPr>
      </w:pPr>
      <w:r w:rsidRPr="000D173F">
        <w:rPr>
          <w:rFonts w:ascii="Times New Roman" w:eastAsia="Georgia" w:hAnsi="Times New Roman" w:cs="Times New Roman"/>
          <w:sz w:val="24"/>
          <w:szCs w:val="24"/>
        </w:rPr>
        <w:t xml:space="preserve">Ao descrever esse caráter </w:t>
      </w:r>
      <w:proofErr w:type="spellStart"/>
      <w:r w:rsidRPr="000D173F">
        <w:rPr>
          <w:rFonts w:ascii="Times New Roman" w:eastAsia="Georgia" w:hAnsi="Times New Roman" w:cs="Times New Roman"/>
          <w:sz w:val="24"/>
          <w:szCs w:val="24"/>
        </w:rPr>
        <w:t>financeirizado</w:t>
      </w:r>
      <w:proofErr w:type="spellEnd"/>
      <w:r w:rsidRPr="000D173F">
        <w:rPr>
          <w:rFonts w:ascii="Times New Roman" w:eastAsia="Georgia" w:hAnsi="Times New Roman" w:cs="Times New Roman"/>
          <w:sz w:val="24"/>
          <w:szCs w:val="24"/>
        </w:rPr>
        <w:t xml:space="preserve"> da Vale S.A., Borges (2021) argumenta que como a estratégia corporativa dessa empresa está pautada na Maximização do Valor do Acionista (MVA – </w:t>
      </w:r>
      <w:r w:rsidRPr="000D173F">
        <w:rPr>
          <w:rFonts w:ascii="Times New Roman" w:eastAsia="Georgia" w:hAnsi="Times New Roman" w:cs="Times New Roman"/>
          <w:i/>
          <w:sz w:val="24"/>
          <w:szCs w:val="24"/>
        </w:rPr>
        <w:t xml:space="preserve">Maximize </w:t>
      </w:r>
      <w:proofErr w:type="spellStart"/>
      <w:r w:rsidRPr="000D173F">
        <w:rPr>
          <w:rFonts w:ascii="Times New Roman" w:eastAsia="Georgia" w:hAnsi="Times New Roman" w:cs="Times New Roman"/>
          <w:i/>
          <w:sz w:val="24"/>
          <w:szCs w:val="24"/>
        </w:rPr>
        <w:t>Shareholder</w:t>
      </w:r>
      <w:proofErr w:type="spellEnd"/>
      <w:r w:rsidRPr="000D173F">
        <w:rPr>
          <w:rFonts w:ascii="Times New Roman" w:eastAsia="Georgia" w:hAnsi="Times New Roman" w:cs="Times New Roman"/>
          <w:i/>
          <w:sz w:val="24"/>
          <w:szCs w:val="24"/>
        </w:rPr>
        <w:t xml:space="preserve"> </w:t>
      </w:r>
      <w:proofErr w:type="spellStart"/>
      <w:r w:rsidRPr="000D173F">
        <w:rPr>
          <w:rFonts w:ascii="Times New Roman" w:eastAsia="Georgia" w:hAnsi="Times New Roman" w:cs="Times New Roman"/>
          <w:i/>
          <w:sz w:val="24"/>
          <w:szCs w:val="24"/>
        </w:rPr>
        <w:t>Value</w:t>
      </w:r>
      <w:proofErr w:type="spellEnd"/>
      <w:r w:rsidRPr="000D173F">
        <w:rPr>
          <w:rFonts w:ascii="Times New Roman" w:eastAsia="Georgia" w:hAnsi="Times New Roman" w:cs="Times New Roman"/>
          <w:sz w:val="24"/>
          <w:szCs w:val="24"/>
        </w:rPr>
        <w:t xml:space="preserve">), é necessário garantir que em todas as operações </w:t>
      </w:r>
      <w:r w:rsidRPr="000D173F">
        <w:rPr>
          <w:rFonts w:ascii="Times New Roman" w:eastAsia="Georgia" w:hAnsi="Times New Roman" w:cs="Times New Roman"/>
          <w:sz w:val="24"/>
          <w:szCs w:val="24"/>
        </w:rPr>
        <w:lastRenderedPageBreak/>
        <w:t xml:space="preserve">realizadas haja uma primazia dos ganhos para os acionistas. Entre outras consequências desse princípio de atuação, há um incentivo para que a gestão executiva busque implementar ações que tenham como objetivo principal ampliar os retornos financeiros para os acionistas ao invés dos retornos produtivos, redefinindo a concepção de eficiência produtiva. Mesmo entre os agentes financeiros, tal estratégia é vista com preocupação, já que ela pode reduzir a “responsabilidade social corporativa” (SMITH, RONNEGARD, 2016). Considerando a composição acionária da Vale S.A. </w:t>
      </w:r>
      <w:r>
        <w:rPr>
          <w:rFonts w:ascii="Times New Roman" w:eastAsia="Georgia" w:hAnsi="Times New Roman" w:cs="Times New Roman"/>
          <w:sz w:val="24"/>
          <w:szCs w:val="24"/>
        </w:rPr>
        <w:t xml:space="preserve">(Gráfico 1), </w:t>
      </w:r>
      <w:r w:rsidRPr="000D173F">
        <w:rPr>
          <w:rFonts w:ascii="Times New Roman" w:eastAsia="Georgia" w:hAnsi="Times New Roman" w:cs="Times New Roman"/>
          <w:sz w:val="24"/>
          <w:szCs w:val="24"/>
        </w:rPr>
        <w:t>fica evidente quem são os principais interessados pelos ganhos econômicos e financeiros da empresa.</w:t>
      </w:r>
    </w:p>
    <w:p w14:paraId="1C9F2C89" w14:textId="77777777" w:rsidR="00C639D0" w:rsidRPr="000D173F" w:rsidRDefault="00C639D0" w:rsidP="00C639D0">
      <w:pPr>
        <w:spacing w:line="360" w:lineRule="auto"/>
        <w:jc w:val="both"/>
        <w:rPr>
          <w:rFonts w:ascii="Times New Roman" w:eastAsia="Georgia" w:hAnsi="Times New Roman" w:cs="Times New Roman"/>
          <w:sz w:val="24"/>
          <w:szCs w:val="24"/>
        </w:rPr>
      </w:pPr>
      <w:r w:rsidRPr="000D173F">
        <w:rPr>
          <w:rFonts w:ascii="Times New Roman" w:eastAsia="Georgia" w:hAnsi="Times New Roman" w:cs="Times New Roman"/>
          <w:sz w:val="24"/>
          <w:szCs w:val="24"/>
        </w:rPr>
        <w:t xml:space="preserve">Entre essas diferentes instituições financeiras, duas delas chamam atenção por manterem a sua participação de maneira mais constante ao longo dos últimos 5 anos, são elas a Mitsui &amp; Co e a </w:t>
      </w:r>
      <w:proofErr w:type="spellStart"/>
      <w:r w:rsidRPr="000D173F">
        <w:rPr>
          <w:rFonts w:ascii="Times New Roman" w:eastAsia="Georgia" w:hAnsi="Times New Roman" w:cs="Times New Roman"/>
          <w:sz w:val="24"/>
          <w:szCs w:val="24"/>
        </w:rPr>
        <w:t>Blackrock</w:t>
      </w:r>
      <w:proofErr w:type="spellEnd"/>
      <w:r w:rsidRPr="000D173F">
        <w:rPr>
          <w:rFonts w:ascii="Times New Roman" w:eastAsia="Georgia" w:hAnsi="Times New Roman" w:cs="Times New Roman"/>
          <w:sz w:val="24"/>
          <w:szCs w:val="24"/>
        </w:rPr>
        <w:t>, Inc</w:t>
      </w:r>
      <w:r>
        <w:rPr>
          <w:rFonts w:ascii="Times New Roman" w:eastAsia="Georgia" w:hAnsi="Times New Roman" w:cs="Times New Roman"/>
          <w:sz w:val="24"/>
          <w:szCs w:val="24"/>
        </w:rPr>
        <w:t xml:space="preserve"> (Gráfico 2)</w:t>
      </w:r>
      <w:r w:rsidRPr="000D173F">
        <w:rPr>
          <w:rFonts w:ascii="Times New Roman" w:eastAsia="Georgia" w:hAnsi="Times New Roman" w:cs="Times New Roman"/>
          <w:sz w:val="24"/>
          <w:szCs w:val="24"/>
        </w:rPr>
        <w:t>. Cabe destacar que a partir de 2017, o mercado financeiro brasileiro passou por uma mudança importante. A Bolsa de Valores, Mercadorias e Futuros de São Paulo (BM&amp;FBOVESPA) se fundiu com a Central de Custódia e de Liquidação Financeira de Títulos (CETIP) criando a Brasil, Bolsa, Balcão (B3) que passou a ser a bolsa de valores oficial do Brasil.</w:t>
      </w:r>
    </w:p>
    <w:p w14:paraId="04138C98" w14:textId="40A13C15" w:rsidR="00BC015C" w:rsidRDefault="00BC015C" w:rsidP="00BC015C">
      <w:pPr>
        <w:spacing w:line="360" w:lineRule="auto"/>
        <w:jc w:val="both"/>
        <w:rPr>
          <w:rFonts w:ascii="Times New Roman" w:eastAsia="Georgia" w:hAnsi="Times New Roman" w:cs="Times New Roman"/>
          <w:sz w:val="24"/>
          <w:szCs w:val="24"/>
        </w:rPr>
      </w:pPr>
      <w:r w:rsidRPr="000D173F">
        <w:rPr>
          <w:rFonts w:ascii="Times New Roman" w:eastAsia="Georgia" w:hAnsi="Times New Roman" w:cs="Times New Roman"/>
          <w:sz w:val="24"/>
          <w:szCs w:val="24"/>
        </w:rPr>
        <w:t xml:space="preserve">Segundo o Relatório Anual de 2020, a </w:t>
      </w:r>
      <w:proofErr w:type="spellStart"/>
      <w:r w:rsidRPr="000D173F">
        <w:rPr>
          <w:rFonts w:ascii="Times New Roman" w:eastAsia="Georgia" w:hAnsi="Times New Roman" w:cs="Times New Roman"/>
          <w:sz w:val="24"/>
          <w:szCs w:val="24"/>
        </w:rPr>
        <w:t>Blackrock</w:t>
      </w:r>
      <w:proofErr w:type="spellEnd"/>
      <w:r w:rsidRPr="000D173F">
        <w:rPr>
          <w:rFonts w:ascii="Times New Roman" w:eastAsia="Georgia" w:hAnsi="Times New Roman" w:cs="Times New Roman"/>
          <w:sz w:val="24"/>
          <w:szCs w:val="24"/>
        </w:rPr>
        <w:t xml:space="preserve"> é responsável atualmente por gerir cerca de US$ 8,68 trilhões de dólares em ativos, atendendo clientes em mais de 100 países ao redor do mundo,</w:t>
      </w:r>
      <w:r>
        <w:rPr>
          <w:rFonts w:ascii="Times New Roman" w:eastAsia="Georgia" w:hAnsi="Times New Roman" w:cs="Times New Roman"/>
          <w:sz w:val="24"/>
          <w:szCs w:val="24"/>
        </w:rPr>
        <w:t xml:space="preserve"> o que</w:t>
      </w:r>
      <w:r w:rsidRPr="000D173F">
        <w:rPr>
          <w:rFonts w:ascii="Times New Roman" w:eastAsia="Georgia" w:hAnsi="Times New Roman" w:cs="Times New Roman"/>
          <w:sz w:val="24"/>
          <w:szCs w:val="24"/>
        </w:rPr>
        <w:t xml:space="preserve"> </w:t>
      </w:r>
      <w:r>
        <w:rPr>
          <w:rFonts w:ascii="Times New Roman" w:eastAsia="Georgia" w:hAnsi="Times New Roman" w:cs="Times New Roman"/>
          <w:sz w:val="24"/>
          <w:szCs w:val="24"/>
        </w:rPr>
        <w:t>significa</w:t>
      </w:r>
      <w:r w:rsidRPr="000D173F">
        <w:rPr>
          <w:rFonts w:ascii="Times New Roman" w:eastAsia="Georgia" w:hAnsi="Times New Roman" w:cs="Times New Roman"/>
          <w:sz w:val="24"/>
          <w:szCs w:val="24"/>
        </w:rPr>
        <w:t xml:space="preserve"> um enorme poder no sistema financeiro global. Para dar dimensão do crescimento da empresa, em 2004, ela geria US$ 341 bilhões de dólares, aumentando nominalmente os ativos sob o seu controle em mais de 30 vezes no período de 16 anos (BLACKROCK, 2020). </w:t>
      </w:r>
    </w:p>
    <w:p w14:paraId="41FA47B6" w14:textId="77777777" w:rsidR="008B0F2A" w:rsidRDefault="008B0F2A" w:rsidP="008B0F2A">
      <w:pPr>
        <w:spacing w:line="360" w:lineRule="auto"/>
        <w:jc w:val="both"/>
        <w:rPr>
          <w:rFonts w:ascii="Times New Roman" w:eastAsia="Georgia" w:hAnsi="Times New Roman" w:cs="Times New Roman"/>
          <w:sz w:val="24"/>
          <w:szCs w:val="24"/>
        </w:rPr>
      </w:pPr>
      <w:r w:rsidRPr="000D173F">
        <w:rPr>
          <w:rFonts w:ascii="Times New Roman" w:eastAsia="Georgia" w:hAnsi="Times New Roman" w:cs="Times New Roman"/>
          <w:sz w:val="24"/>
          <w:szCs w:val="24"/>
        </w:rPr>
        <w:t xml:space="preserve">Mesmo diante dos crimes ambientais cometidos pela empresa, a Vale S.A. permaneceu como uma das principais empresas a comporem a </w:t>
      </w:r>
      <w:proofErr w:type="spellStart"/>
      <w:r w:rsidRPr="000D173F">
        <w:rPr>
          <w:rFonts w:ascii="Times New Roman" w:eastAsia="Georgia" w:hAnsi="Times New Roman" w:cs="Times New Roman"/>
          <w:sz w:val="24"/>
          <w:szCs w:val="24"/>
        </w:rPr>
        <w:t>Blackrock</w:t>
      </w:r>
      <w:proofErr w:type="spellEnd"/>
      <w:r w:rsidRPr="000D173F">
        <w:rPr>
          <w:rFonts w:ascii="Times New Roman" w:eastAsia="Georgia" w:hAnsi="Times New Roman" w:cs="Times New Roman"/>
          <w:sz w:val="24"/>
          <w:szCs w:val="24"/>
        </w:rPr>
        <w:t xml:space="preserve"> World Mining, um fundo dedicado a investimento em mineração e metais e subsidiária britânica da </w:t>
      </w:r>
      <w:proofErr w:type="spellStart"/>
      <w:r w:rsidRPr="000D173F">
        <w:rPr>
          <w:rFonts w:ascii="Times New Roman" w:eastAsia="Georgia" w:hAnsi="Times New Roman" w:cs="Times New Roman"/>
          <w:sz w:val="24"/>
          <w:szCs w:val="24"/>
        </w:rPr>
        <w:t>Blackrock</w:t>
      </w:r>
      <w:proofErr w:type="spellEnd"/>
      <w:r w:rsidRPr="000D173F">
        <w:rPr>
          <w:rFonts w:ascii="Times New Roman" w:eastAsia="Georgia" w:hAnsi="Times New Roman" w:cs="Times New Roman"/>
          <w:sz w:val="24"/>
          <w:szCs w:val="24"/>
        </w:rPr>
        <w:t xml:space="preserve"> (TENN, 2021). Essa inserção nos mercados financeiros globais influencia as outras escalas de atuação da empresa. Analisando os relatórios anuais da </w:t>
      </w:r>
      <w:proofErr w:type="spellStart"/>
      <w:r w:rsidRPr="000D173F">
        <w:rPr>
          <w:rFonts w:ascii="Times New Roman" w:eastAsia="Georgia" w:hAnsi="Times New Roman" w:cs="Times New Roman"/>
          <w:sz w:val="24"/>
          <w:szCs w:val="24"/>
        </w:rPr>
        <w:t>Blackrock</w:t>
      </w:r>
      <w:proofErr w:type="spellEnd"/>
      <w:r w:rsidRPr="000D173F">
        <w:rPr>
          <w:rFonts w:ascii="Times New Roman" w:eastAsia="Georgia" w:hAnsi="Times New Roman" w:cs="Times New Roman"/>
          <w:sz w:val="24"/>
          <w:szCs w:val="24"/>
        </w:rPr>
        <w:t xml:space="preserve"> a partir de 2018, ano que ela passa a ter participação na Vale S.A., demonstra uma atenção da empresa em acompanhar a dinâmica política, social e econômica do Brasil, dado o seu interesse em penetrar nos mercados nacionais que apresentam alto crescimento. Em carta escrita pelo CEO da empresa em dezembro de 2018, </w:t>
      </w:r>
      <w:r w:rsidRPr="000D173F">
        <w:rPr>
          <w:rFonts w:ascii="Times New Roman" w:eastAsia="Georgia" w:hAnsi="Times New Roman" w:cs="Times New Roman"/>
          <w:sz w:val="24"/>
          <w:szCs w:val="24"/>
        </w:rPr>
        <w:lastRenderedPageBreak/>
        <w:t xml:space="preserve">Laurence D. </w:t>
      </w:r>
      <w:proofErr w:type="spellStart"/>
      <w:r w:rsidRPr="000D173F">
        <w:rPr>
          <w:rFonts w:ascii="Times New Roman" w:eastAsia="Georgia" w:hAnsi="Times New Roman" w:cs="Times New Roman"/>
          <w:sz w:val="24"/>
          <w:szCs w:val="24"/>
        </w:rPr>
        <w:t>Fink</w:t>
      </w:r>
      <w:proofErr w:type="spellEnd"/>
      <w:r w:rsidRPr="000D173F">
        <w:rPr>
          <w:rFonts w:ascii="Times New Roman" w:eastAsia="Georgia" w:hAnsi="Times New Roman" w:cs="Times New Roman"/>
          <w:sz w:val="24"/>
          <w:szCs w:val="24"/>
        </w:rPr>
        <w:t xml:space="preserve">, há uma clara atenção com as mudanças políticas ocorridas a partir da eleição no Brasil (ele cita o México e a Itália também) e a forma como isso traz indícios de mudanças no cenário geopolítico e a forma como os investidores enxergam o mundo. Reforçando o papel que o Brasil passa a ter na estratégia corporativa da </w:t>
      </w:r>
      <w:proofErr w:type="spellStart"/>
      <w:r w:rsidRPr="000D173F">
        <w:rPr>
          <w:rFonts w:ascii="Times New Roman" w:eastAsia="Georgia" w:hAnsi="Times New Roman" w:cs="Times New Roman"/>
          <w:sz w:val="24"/>
          <w:szCs w:val="24"/>
        </w:rPr>
        <w:t>Blackrock</w:t>
      </w:r>
      <w:proofErr w:type="spellEnd"/>
      <w:r w:rsidRPr="000D173F">
        <w:rPr>
          <w:rFonts w:ascii="Times New Roman" w:eastAsia="Georgia" w:hAnsi="Times New Roman" w:cs="Times New Roman"/>
          <w:sz w:val="24"/>
          <w:szCs w:val="24"/>
        </w:rPr>
        <w:t>, ainda no ano de 2018, a empresa passou a ter um líder de inteligência de negócios (</w:t>
      </w:r>
      <w:r w:rsidRPr="000D173F">
        <w:rPr>
          <w:rFonts w:ascii="Times New Roman" w:eastAsia="Georgia" w:hAnsi="Times New Roman" w:cs="Times New Roman"/>
          <w:i/>
          <w:sz w:val="24"/>
          <w:szCs w:val="24"/>
        </w:rPr>
        <w:t>Head</w:t>
      </w:r>
      <w:r w:rsidRPr="000D173F">
        <w:rPr>
          <w:rFonts w:ascii="Times New Roman" w:eastAsia="Georgia" w:hAnsi="Times New Roman" w:cs="Times New Roman"/>
          <w:sz w:val="24"/>
          <w:szCs w:val="24"/>
        </w:rPr>
        <w:t>) específico no Brasil para supervisionar os negócios da empresa no país.</w:t>
      </w:r>
    </w:p>
    <w:p w14:paraId="048AD955" w14:textId="5DC05457" w:rsidR="005F1485" w:rsidRDefault="005F1485" w:rsidP="00BC015C">
      <w:pPr>
        <w:spacing w:line="360" w:lineRule="auto"/>
        <w:jc w:val="both"/>
        <w:rPr>
          <w:rFonts w:ascii="Times New Roman" w:eastAsia="Georgia" w:hAnsi="Times New Roman" w:cs="Times New Roman"/>
          <w:sz w:val="24"/>
          <w:szCs w:val="24"/>
        </w:rPr>
      </w:pPr>
    </w:p>
    <w:p w14:paraId="11E6EA75" w14:textId="77777777" w:rsidR="005F1485" w:rsidRPr="000D173F" w:rsidRDefault="005F1485" w:rsidP="005F1485">
      <w:pPr>
        <w:spacing w:line="360" w:lineRule="auto"/>
        <w:jc w:val="center"/>
        <w:rPr>
          <w:rFonts w:ascii="Times New Roman" w:eastAsia="Georgia" w:hAnsi="Times New Roman" w:cs="Times New Roman"/>
          <w:sz w:val="24"/>
          <w:szCs w:val="24"/>
        </w:rPr>
      </w:pPr>
      <w:r w:rsidRPr="000D173F">
        <w:rPr>
          <w:rFonts w:ascii="Times New Roman" w:eastAsia="Georgia" w:hAnsi="Times New Roman" w:cs="Times New Roman"/>
          <w:sz w:val="24"/>
          <w:szCs w:val="24"/>
        </w:rPr>
        <w:t xml:space="preserve">Gráfico 2 – Evolução da Participação dos Principais Acionistas com Voto na Vale S.A. (2014 – 2022) </w:t>
      </w:r>
    </w:p>
    <w:p w14:paraId="62BD56EE" w14:textId="77777777" w:rsidR="005F1485" w:rsidRPr="000D173F" w:rsidRDefault="005F1485" w:rsidP="005F1485">
      <w:pPr>
        <w:spacing w:line="360" w:lineRule="auto"/>
        <w:jc w:val="both"/>
        <w:rPr>
          <w:rFonts w:ascii="Times New Roman" w:eastAsia="Georgia" w:hAnsi="Times New Roman" w:cs="Times New Roman"/>
          <w:sz w:val="24"/>
          <w:szCs w:val="24"/>
        </w:rPr>
      </w:pPr>
      <w:r w:rsidRPr="000D173F">
        <w:rPr>
          <w:rFonts w:ascii="Times New Roman" w:hAnsi="Times New Roman" w:cs="Times New Roman"/>
          <w:noProof/>
        </w:rPr>
        <w:drawing>
          <wp:inline distT="0" distB="0" distL="0" distR="0" wp14:anchorId="2A09438A" wp14:editId="4070DD06">
            <wp:extent cx="5667375" cy="2581275"/>
            <wp:effectExtent l="0" t="0" r="0" b="0"/>
            <wp:docPr id="55" name="Gráfico 5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14BCCCCB" w14:textId="77777777" w:rsidR="005F1485" w:rsidRPr="000D173F" w:rsidRDefault="005F1485" w:rsidP="005F1485">
      <w:pPr>
        <w:spacing w:line="360" w:lineRule="auto"/>
        <w:jc w:val="both"/>
        <w:rPr>
          <w:rFonts w:ascii="Times New Roman" w:eastAsia="Georgia" w:hAnsi="Times New Roman" w:cs="Times New Roman"/>
          <w:sz w:val="20"/>
          <w:szCs w:val="20"/>
        </w:rPr>
      </w:pPr>
      <w:r w:rsidRPr="000D173F">
        <w:rPr>
          <w:rFonts w:ascii="Times New Roman" w:eastAsia="Georgia" w:hAnsi="Times New Roman" w:cs="Times New Roman"/>
          <w:sz w:val="20"/>
          <w:szCs w:val="20"/>
        </w:rPr>
        <w:t xml:space="preserve">Fonte: Elaboração própria com base nos dados do </w:t>
      </w:r>
      <w:proofErr w:type="spellStart"/>
      <w:r w:rsidRPr="000D173F">
        <w:rPr>
          <w:rFonts w:ascii="Times New Roman" w:eastAsia="Georgia" w:hAnsi="Times New Roman" w:cs="Times New Roman"/>
          <w:sz w:val="20"/>
          <w:szCs w:val="20"/>
        </w:rPr>
        <w:t>Economática</w:t>
      </w:r>
      <w:proofErr w:type="spellEnd"/>
    </w:p>
    <w:p w14:paraId="36706BDE" w14:textId="77777777" w:rsidR="005F1485" w:rsidRPr="000D173F" w:rsidRDefault="005F1485" w:rsidP="00BC015C">
      <w:pPr>
        <w:spacing w:line="360" w:lineRule="auto"/>
        <w:jc w:val="both"/>
        <w:rPr>
          <w:rFonts w:ascii="Times New Roman" w:eastAsia="Georgia" w:hAnsi="Times New Roman" w:cs="Times New Roman"/>
          <w:sz w:val="24"/>
          <w:szCs w:val="24"/>
        </w:rPr>
      </w:pPr>
    </w:p>
    <w:p w14:paraId="7A120D42" w14:textId="77777777" w:rsidR="008B0F2A" w:rsidRPr="000D173F" w:rsidRDefault="008B0F2A" w:rsidP="008B0F2A">
      <w:pPr>
        <w:spacing w:line="360" w:lineRule="auto"/>
        <w:jc w:val="both"/>
        <w:rPr>
          <w:rFonts w:ascii="Times New Roman" w:eastAsia="Georgia" w:hAnsi="Times New Roman" w:cs="Times New Roman"/>
          <w:sz w:val="24"/>
          <w:szCs w:val="24"/>
        </w:rPr>
      </w:pPr>
      <w:r>
        <w:rPr>
          <w:rFonts w:ascii="Times New Roman" w:eastAsia="Georgia" w:hAnsi="Times New Roman" w:cs="Times New Roman"/>
          <w:sz w:val="24"/>
          <w:szCs w:val="24"/>
        </w:rPr>
        <w:t>Nesse</w:t>
      </w:r>
      <w:r w:rsidRPr="000D173F">
        <w:rPr>
          <w:rFonts w:ascii="Times New Roman" w:eastAsia="Georgia" w:hAnsi="Times New Roman" w:cs="Times New Roman"/>
          <w:sz w:val="24"/>
          <w:szCs w:val="24"/>
        </w:rPr>
        <w:t xml:space="preserve"> nível nacional</w:t>
      </w:r>
      <w:r>
        <w:rPr>
          <w:rFonts w:ascii="Times New Roman" w:eastAsia="Georgia" w:hAnsi="Times New Roman" w:cs="Times New Roman"/>
          <w:sz w:val="24"/>
          <w:szCs w:val="24"/>
        </w:rPr>
        <w:t>,</w:t>
      </w:r>
      <w:r w:rsidRPr="000D173F">
        <w:rPr>
          <w:rFonts w:ascii="Times New Roman" w:eastAsia="Georgia" w:hAnsi="Times New Roman" w:cs="Times New Roman"/>
          <w:sz w:val="24"/>
          <w:szCs w:val="24"/>
        </w:rPr>
        <w:t xml:space="preserve"> as estratégias passam principalmente pelo campo político e estão voltadas, entre outros objetivos, para a redução de exigências ambientais e no lobby para flexibilização dos direitos trabalhistas, que buscam a ampliação dos lucros pela apropriação da renda produzida. Sobre o segundo item, chama atenção o movimento de ampliação da terceirização na atuação da empresa ao redor do mundo. Como apresentado no Gráfico </w:t>
      </w:r>
      <w:r>
        <w:rPr>
          <w:rFonts w:ascii="Times New Roman" w:eastAsia="Georgia" w:hAnsi="Times New Roman" w:cs="Times New Roman"/>
          <w:sz w:val="24"/>
          <w:szCs w:val="24"/>
        </w:rPr>
        <w:t>3</w:t>
      </w:r>
      <w:r w:rsidRPr="000D173F">
        <w:rPr>
          <w:rFonts w:ascii="Times New Roman" w:eastAsia="Georgia" w:hAnsi="Times New Roman" w:cs="Times New Roman"/>
          <w:sz w:val="24"/>
          <w:szCs w:val="24"/>
        </w:rPr>
        <w:t xml:space="preserve">, na maior parte do período o número de trabalhadores terceirizados foi superior aos trabalhadores próprios da mineradora. A redução no número de terceirizados nos anos de 2016, 2017 e 2018 foi causada </w:t>
      </w:r>
      <w:r w:rsidRPr="000D173F">
        <w:rPr>
          <w:rFonts w:ascii="Times New Roman" w:eastAsia="Georgia" w:hAnsi="Times New Roman" w:cs="Times New Roman"/>
          <w:sz w:val="24"/>
          <w:szCs w:val="24"/>
        </w:rPr>
        <w:lastRenderedPageBreak/>
        <w:t xml:space="preserve">pela </w:t>
      </w:r>
      <w:r>
        <w:rPr>
          <w:rFonts w:ascii="Times New Roman" w:eastAsia="Georgia" w:hAnsi="Times New Roman" w:cs="Times New Roman"/>
          <w:sz w:val="24"/>
          <w:szCs w:val="24"/>
        </w:rPr>
        <w:t>fina</w:t>
      </w:r>
      <w:r w:rsidRPr="000D173F">
        <w:rPr>
          <w:rFonts w:ascii="Times New Roman" w:eastAsia="Georgia" w:hAnsi="Times New Roman" w:cs="Times New Roman"/>
          <w:sz w:val="24"/>
          <w:szCs w:val="24"/>
        </w:rPr>
        <w:t>lização de projetos que envolveu tanto a desmobilização de ativos quanto o fechamento de minas. Segundo a Vale (2017, p. 76), no ano de 2016, a empresa “desenvolveu 21 ações de desmobilização progressiva de ativos” e em 2017 foram 32 ações. Contudo, após esse momento particular, a partir de 2019 o número de terceirizados voltou a ser maior do que os trabalhadores próprios.</w:t>
      </w:r>
    </w:p>
    <w:p w14:paraId="50AE9A48" w14:textId="77777777" w:rsidR="005F1485" w:rsidRPr="000D173F" w:rsidRDefault="005F1485" w:rsidP="005F1485">
      <w:pPr>
        <w:spacing w:line="360" w:lineRule="auto"/>
        <w:jc w:val="both"/>
        <w:rPr>
          <w:rFonts w:ascii="Times New Roman" w:eastAsia="Georgia" w:hAnsi="Times New Roman" w:cs="Times New Roman"/>
          <w:sz w:val="24"/>
          <w:szCs w:val="24"/>
        </w:rPr>
      </w:pPr>
    </w:p>
    <w:p w14:paraId="55619565" w14:textId="77777777" w:rsidR="005F1485" w:rsidRPr="000D173F" w:rsidRDefault="005F1485" w:rsidP="005F1485">
      <w:pPr>
        <w:spacing w:line="360" w:lineRule="auto"/>
        <w:jc w:val="center"/>
        <w:rPr>
          <w:rFonts w:ascii="Times New Roman" w:eastAsia="Georgia" w:hAnsi="Times New Roman" w:cs="Times New Roman"/>
          <w:sz w:val="24"/>
          <w:szCs w:val="24"/>
        </w:rPr>
      </w:pPr>
      <w:r w:rsidRPr="000D173F">
        <w:rPr>
          <w:rFonts w:ascii="Times New Roman" w:eastAsia="Georgia" w:hAnsi="Times New Roman" w:cs="Times New Roman"/>
          <w:sz w:val="24"/>
          <w:szCs w:val="24"/>
        </w:rPr>
        <w:t>Gráfico 3 – Empregados da Vale S.A. (2007 – 2020)</w:t>
      </w:r>
    </w:p>
    <w:p w14:paraId="1BAD2A59" w14:textId="77777777" w:rsidR="005F1485" w:rsidRDefault="005F1485" w:rsidP="005F1485">
      <w:pPr>
        <w:spacing w:line="360" w:lineRule="auto"/>
        <w:jc w:val="both"/>
        <w:rPr>
          <w:rFonts w:ascii="Times New Roman" w:eastAsia="Georgia" w:hAnsi="Times New Roman" w:cs="Times New Roman"/>
          <w:sz w:val="20"/>
          <w:szCs w:val="20"/>
        </w:rPr>
      </w:pPr>
      <w:r w:rsidRPr="000D173F">
        <w:rPr>
          <w:rFonts w:ascii="Times New Roman" w:hAnsi="Times New Roman" w:cs="Times New Roman"/>
          <w:noProof/>
        </w:rPr>
        <w:drawing>
          <wp:inline distT="0" distB="0" distL="0" distR="0" wp14:anchorId="0AB2A1EF" wp14:editId="01FAFED5">
            <wp:extent cx="5686425" cy="2495550"/>
            <wp:effectExtent l="0" t="0" r="0" b="0"/>
            <wp:docPr id="54" name="Gráfico 5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5D3E45F6" w14:textId="77777777" w:rsidR="005F1485" w:rsidRPr="000D173F" w:rsidRDefault="005F1485" w:rsidP="005F1485">
      <w:pPr>
        <w:spacing w:line="360" w:lineRule="auto"/>
        <w:jc w:val="both"/>
        <w:rPr>
          <w:rFonts w:ascii="Times New Roman" w:eastAsia="Georgia" w:hAnsi="Times New Roman" w:cs="Times New Roman"/>
          <w:sz w:val="20"/>
          <w:szCs w:val="20"/>
        </w:rPr>
      </w:pPr>
      <w:r w:rsidRPr="000D173F">
        <w:rPr>
          <w:rFonts w:ascii="Times New Roman" w:eastAsia="Georgia" w:hAnsi="Times New Roman" w:cs="Times New Roman"/>
          <w:sz w:val="20"/>
          <w:szCs w:val="20"/>
        </w:rPr>
        <w:t>Fonte: Elaboração própria com base nos Relatórios de Sustentabilidade da Vale S.A.</w:t>
      </w:r>
    </w:p>
    <w:p w14:paraId="79A1D67E" w14:textId="77777777" w:rsidR="005F1485" w:rsidRPr="000D173F" w:rsidRDefault="005F1485" w:rsidP="00C639D0">
      <w:pPr>
        <w:spacing w:line="360" w:lineRule="auto"/>
        <w:jc w:val="both"/>
        <w:rPr>
          <w:rFonts w:ascii="Times New Roman" w:eastAsia="Georgia" w:hAnsi="Times New Roman" w:cs="Times New Roman"/>
          <w:sz w:val="24"/>
          <w:szCs w:val="24"/>
        </w:rPr>
      </w:pPr>
    </w:p>
    <w:p w14:paraId="6199B0F8" w14:textId="77777777" w:rsidR="00BC015C" w:rsidRPr="000D173F" w:rsidRDefault="00BC015C" w:rsidP="00BC015C">
      <w:pPr>
        <w:spacing w:line="360" w:lineRule="auto"/>
        <w:jc w:val="both"/>
        <w:rPr>
          <w:rFonts w:ascii="Times New Roman" w:eastAsia="Georgia" w:hAnsi="Times New Roman" w:cs="Times New Roman"/>
          <w:sz w:val="24"/>
          <w:szCs w:val="24"/>
        </w:rPr>
      </w:pPr>
      <w:r w:rsidRPr="000D173F">
        <w:rPr>
          <w:rFonts w:ascii="Times New Roman" w:eastAsia="Georgia" w:hAnsi="Times New Roman" w:cs="Times New Roman"/>
          <w:sz w:val="24"/>
          <w:szCs w:val="24"/>
        </w:rPr>
        <w:t>A existência desse número elevado de trabalhadores terceirizados revela em parte uma das bases materiais para a produção da riqueza que é apropriada nos circuitos financeiros. Como apontado por uma ampla e consolidada literatura que analisa o trabalho terceirizado, há diversas evidências que essa é uma ferramenta importante para reduzir os direitos trabalhistas (</w:t>
      </w:r>
      <w:r w:rsidRPr="000259DC">
        <w:rPr>
          <w:rFonts w:ascii="Times New Roman" w:eastAsia="Georgia" w:hAnsi="Times New Roman" w:cs="Times New Roman"/>
          <w:iCs/>
          <w:sz w:val="24"/>
          <w:szCs w:val="24"/>
        </w:rPr>
        <w:t>BOITO JÚNIOR, 2020</w:t>
      </w:r>
      <w:r w:rsidRPr="000D173F">
        <w:rPr>
          <w:rFonts w:ascii="Times New Roman" w:eastAsia="Georgia" w:hAnsi="Times New Roman" w:cs="Times New Roman"/>
          <w:sz w:val="24"/>
          <w:szCs w:val="24"/>
        </w:rPr>
        <w:t>), a massa salarial apropriada pelos trabalhadores (</w:t>
      </w:r>
      <w:r w:rsidRPr="000259DC">
        <w:rPr>
          <w:rFonts w:ascii="Times New Roman" w:eastAsia="Georgia" w:hAnsi="Times New Roman" w:cs="Times New Roman"/>
          <w:iCs/>
          <w:sz w:val="24"/>
          <w:szCs w:val="24"/>
        </w:rPr>
        <w:t>SILVA, MORRONE, 2021</w:t>
      </w:r>
      <w:r w:rsidRPr="000D173F">
        <w:rPr>
          <w:rFonts w:ascii="Times New Roman" w:eastAsia="Georgia" w:hAnsi="Times New Roman" w:cs="Times New Roman"/>
          <w:sz w:val="24"/>
          <w:szCs w:val="24"/>
        </w:rPr>
        <w:t>), servindo de base para ampliação dos ganhos de capital. Essa disputa social pela riqueza produzida, base de uma sociedade de classes, se amplia pelas características próprias da mineração e da renda da terra.</w:t>
      </w:r>
    </w:p>
    <w:p w14:paraId="60270CCF" w14:textId="77777777" w:rsidR="00BC015C" w:rsidRPr="000D173F" w:rsidRDefault="00BC015C" w:rsidP="00BC015C">
      <w:pPr>
        <w:spacing w:line="360" w:lineRule="auto"/>
        <w:jc w:val="both"/>
        <w:rPr>
          <w:rFonts w:ascii="Times New Roman" w:eastAsia="Georgia" w:hAnsi="Times New Roman" w:cs="Times New Roman"/>
          <w:sz w:val="24"/>
          <w:szCs w:val="24"/>
        </w:rPr>
      </w:pPr>
      <w:r w:rsidRPr="000D173F">
        <w:rPr>
          <w:rFonts w:ascii="Times New Roman" w:eastAsia="Georgia" w:hAnsi="Times New Roman" w:cs="Times New Roman"/>
          <w:sz w:val="24"/>
          <w:szCs w:val="24"/>
        </w:rPr>
        <w:lastRenderedPageBreak/>
        <w:t>Pode considerar assim que a Vale S.A. ocupa o território a partir de uma lógica global, mas que interage com escalas diferentes de decisão, visto que pelas características da produção ela se torna “refém” de um dado espaço que tem disponibilidade de recursos naturais a serem explorados.</w:t>
      </w:r>
      <w:r>
        <w:rPr>
          <w:rFonts w:ascii="Times New Roman" w:eastAsia="Georgia" w:hAnsi="Times New Roman" w:cs="Times New Roman"/>
          <w:sz w:val="24"/>
          <w:szCs w:val="24"/>
        </w:rPr>
        <w:t xml:space="preserve"> </w:t>
      </w:r>
      <w:r w:rsidRPr="000D173F">
        <w:rPr>
          <w:rFonts w:ascii="Times New Roman" w:eastAsia="Georgia" w:hAnsi="Times New Roman" w:cs="Times New Roman"/>
          <w:sz w:val="24"/>
          <w:szCs w:val="24"/>
        </w:rPr>
        <w:t>Santos (2001), ao olhar o papel das diferentes divisões de trabalho em um dado território chega a seguinte questão: quem é responsável por regular quem? Esses elementos apontam que a Empresa Vale S.A., e consequentemente o setor da mineração, tem um papel importante na regulação da divisão territorial do trabalho na região de Carajás. Contudo esse é um processo dinâmico e que dialoga diretamente com outros atores sociais que já ocupam um dado território.</w:t>
      </w:r>
    </w:p>
    <w:p w14:paraId="55233E8F" w14:textId="77777777" w:rsidR="00BC015C" w:rsidRPr="000D173F" w:rsidRDefault="00BC015C" w:rsidP="00BC015C">
      <w:pPr>
        <w:pStyle w:val="Ttulo1"/>
        <w:numPr>
          <w:ilvl w:val="0"/>
          <w:numId w:val="3"/>
        </w:numPr>
        <w:spacing w:line="360" w:lineRule="auto"/>
        <w:rPr>
          <w:rFonts w:cs="Times New Roman"/>
        </w:rPr>
      </w:pPr>
      <w:r w:rsidRPr="000D173F">
        <w:rPr>
          <w:rFonts w:cs="Times New Roman"/>
        </w:rPr>
        <w:t>A LÓGICA TERRITORIAL DA VALE S.A.</w:t>
      </w:r>
    </w:p>
    <w:p w14:paraId="4423DA3A" w14:textId="77777777" w:rsidR="00BC015C" w:rsidRPr="000D173F" w:rsidRDefault="00BC015C" w:rsidP="00BC015C">
      <w:pPr>
        <w:spacing w:line="360" w:lineRule="auto"/>
        <w:jc w:val="both"/>
        <w:rPr>
          <w:rFonts w:ascii="Times New Roman" w:eastAsia="Georgia" w:hAnsi="Times New Roman" w:cs="Times New Roman"/>
          <w:sz w:val="24"/>
          <w:szCs w:val="24"/>
        </w:rPr>
      </w:pPr>
      <w:r w:rsidRPr="000D173F">
        <w:rPr>
          <w:rFonts w:ascii="Times New Roman" w:eastAsia="Georgia" w:hAnsi="Times New Roman" w:cs="Times New Roman"/>
          <w:sz w:val="24"/>
          <w:szCs w:val="24"/>
        </w:rPr>
        <w:t>A aplicação das categorias de Santos (2001, p. 36) para entender a estratégia da Vale S.A. é fundamental porque segundo ele cada “ramo da produção produz uma lógica territorial”. No caso de uma empresa que atende a uma lógica global, o território nacional e regional passa também a estar submetido a essa lógica. Mesmo que o mercado local cumpra um papel importante na definição da dinâmica organizacional dado o peso que ele desempenha na demanda dos produtos ou na disponibilidade dos fatores de produção, no contexto de economias globalizadas, essa influência é residual e pouco influencia a dinâmica da empresa como um todo. Essa lógica territorial descrita por Santos (2001) se materializa em alguns territórios específicos, que o autor vai chamar de pontos de atuação.</w:t>
      </w:r>
    </w:p>
    <w:p w14:paraId="2E77BA97" w14:textId="77777777" w:rsidR="00BC015C" w:rsidRPr="000D173F" w:rsidRDefault="00BC015C" w:rsidP="00BC015C">
      <w:pPr>
        <w:spacing w:line="360" w:lineRule="auto"/>
        <w:jc w:val="both"/>
        <w:rPr>
          <w:rFonts w:ascii="Times New Roman" w:eastAsia="Georgia" w:hAnsi="Times New Roman" w:cs="Times New Roman"/>
          <w:sz w:val="24"/>
          <w:szCs w:val="24"/>
        </w:rPr>
      </w:pPr>
      <w:r w:rsidRPr="000D173F">
        <w:rPr>
          <w:rFonts w:ascii="Times New Roman" w:eastAsia="Georgia" w:hAnsi="Times New Roman" w:cs="Times New Roman"/>
          <w:sz w:val="24"/>
          <w:szCs w:val="24"/>
        </w:rPr>
        <w:t xml:space="preserve">A definição dos pontos de atuação é um aspecto importante a ser considerado pela firma capitalista. Santos (2001, p. 38) argumenta que as “empresas mais poderosas escolhem os pontos que consideram instrumentais para a sua existência produtiva”. No caso específico da mineração essa escolha possui alguns limites por estar subordinada à disponibilidade de recursos naturais. Isso reduz a capacidade das empresas, por mais poderosas que sejam, de escolherem os pontos para sua atuação a partir de critérios mais convencionais, como disponibilidade de infraestrutura e mão de obra. Essa característica específica do setor mineral, compartilhado por outras atividades econômicas intensivas em recursos naturais como a exploração petrolífera, é um fator particular desse setor que produz regularidades econômicas </w:t>
      </w:r>
      <w:r w:rsidRPr="000D173F">
        <w:rPr>
          <w:rFonts w:ascii="Times New Roman" w:eastAsia="Georgia" w:hAnsi="Times New Roman" w:cs="Times New Roman"/>
          <w:sz w:val="24"/>
          <w:szCs w:val="24"/>
        </w:rPr>
        <w:lastRenderedPageBreak/>
        <w:t>diferentes e interfere na estratégia corporativa. Já que ela não consegue definir todas as pré-condições ideais para a sua instalação, os elementos presentes em um determinado ponto do território antes da chegada da empresa influenciam esse processo de subordinação do território aos interesses das empresas. Para tornar mais claro esse argumento, é possível imaginar os fatores que determinam a decisão.</w:t>
      </w:r>
    </w:p>
    <w:p w14:paraId="423DEC53" w14:textId="77777777" w:rsidR="00BC015C" w:rsidRPr="000D173F" w:rsidRDefault="00BC015C" w:rsidP="00BC015C">
      <w:pPr>
        <w:spacing w:line="360" w:lineRule="auto"/>
        <w:jc w:val="both"/>
        <w:rPr>
          <w:rFonts w:ascii="Times New Roman" w:eastAsia="Georgia" w:hAnsi="Times New Roman" w:cs="Times New Roman"/>
          <w:sz w:val="24"/>
          <w:szCs w:val="24"/>
        </w:rPr>
      </w:pPr>
      <w:r w:rsidRPr="000D173F">
        <w:rPr>
          <w:rFonts w:ascii="Times New Roman" w:eastAsia="Georgia" w:hAnsi="Times New Roman" w:cs="Times New Roman"/>
          <w:sz w:val="24"/>
          <w:szCs w:val="24"/>
        </w:rPr>
        <w:t xml:space="preserve">A distinção utilizada por Santos (2001) entre os “espaços luminosos” e os “espaços opacos” ajuda a explicar e complexificar os diferentes papéis das empresas que ocupam um determinado território. Essa distinção refere-se ao conjunto das características já presentes em um dado lugar antes da empresa se estabelecer e que influenciam a sua decisão em se fixar em um determinado lugar. Os espaços luminosos são aqueles que apresentam as maiores vantagens para a atuação da empresa. Essas vantagens podem ser a presença de mercados consumidores, infraestrutura de logística entre outras características que ampliem a competitividade. Neles tende a se concentrar as empresas de maior tecnologia e capacidade produtiva, como reflexo do exercício do poder que possuem. </w:t>
      </w:r>
    </w:p>
    <w:p w14:paraId="02EA19D6" w14:textId="77777777" w:rsidR="00C639D0" w:rsidRPr="000D173F" w:rsidRDefault="00C639D0" w:rsidP="00C639D0">
      <w:pPr>
        <w:spacing w:line="360" w:lineRule="auto"/>
        <w:jc w:val="both"/>
        <w:rPr>
          <w:rFonts w:ascii="Times New Roman" w:eastAsia="Georgia" w:hAnsi="Times New Roman" w:cs="Times New Roman"/>
          <w:sz w:val="24"/>
          <w:szCs w:val="24"/>
        </w:rPr>
      </w:pPr>
      <w:r w:rsidRPr="000D173F">
        <w:rPr>
          <w:rFonts w:ascii="Times New Roman" w:eastAsia="Georgia" w:hAnsi="Times New Roman" w:cs="Times New Roman"/>
          <w:sz w:val="24"/>
          <w:szCs w:val="24"/>
        </w:rPr>
        <w:t>Já os espaços opacos são aqueles formados predominantemente por setores econômicos atrasados, baixa produtividade, graus reduzidos de modernidade. Cabe destacar que não se trata de dois espaços antagônicos, já que mesmo em um espaço luminoso pode existir atividades menos luminosas e vice-versa. O que ocorre no caso da mineração na Amazônia, em especial no território de Carajás, é que as mineradoras passam a ocupar territórios que em sua maior parte podem ser definidos como opacos, já que se caracterizam pela pouca infraestrutura, distância dos mercados consumidores. As poucas vantagens existentes estão relacionadas às “condições naturais” e abundância de recursos, mas que no caso específico da atividade mineral são centrais para a decisão de instalação do empreendimento econômico.</w:t>
      </w:r>
    </w:p>
    <w:p w14:paraId="37CAF668" w14:textId="77777777" w:rsidR="008B0F2A" w:rsidRPr="000D173F" w:rsidRDefault="008B0F2A" w:rsidP="008B0F2A">
      <w:pPr>
        <w:spacing w:line="360" w:lineRule="auto"/>
        <w:jc w:val="both"/>
        <w:rPr>
          <w:rFonts w:ascii="Times New Roman" w:eastAsia="Georgia" w:hAnsi="Times New Roman" w:cs="Times New Roman"/>
          <w:sz w:val="24"/>
          <w:szCs w:val="24"/>
        </w:rPr>
      </w:pPr>
      <w:r w:rsidRPr="000D173F">
        <w:rPr>
          <w:rFonts w:ascii="Times New Roman" w:eastAsia="Georgia" w:hAnsi="Times New Roman" w:cs="Times New Roman"/>
          <w:sz w:val="24"/>
          <w:szCs w:val="24"/>
        </w:rPr>
        <w:t xml:space="preserve">Ao definir o seu espaço de atuação, o principal esforço das empresas é garantir que os lugares ofereçam as vantagens necessárias para o seu funcionamento. O conflito está nessa esfera. Segundo Santos (2001), quanto maior o nível do poder de uma empresa maior a capacidade de escolher os lugares que lhes ofereçam maior vantagem, contudo, essa análise não pode ser simplista, já que a política nacional pode interferir na atuação da grande empresa. Nesse caso, Santos (2001) vai tratar de “controle parcial”. Isso significa que a empresa que detém o maior </w:t>
      </w:r>
      <w:r w:rsidRPr="000D173F">
        <w:rPr>
          <w:rFonts w:ascii="Times New Roman" w:eastAsia="Georgia" w:hAnsi="Times New Roman" w:cs="Times New Roman"/>
          <w:sz w:val="24"/>
          <w:szCs w:val="24"/>
        </w:rPr>
        <w:lastRenderedPageBreak/>
        <w:t>poder vai mobilizar os recursos necessários que garantam que o espaço ocupado gere as vantagens necessárias para a sua atuação.</w:t>
      </w:r>
    </w:p>
    <w:p w14:paraId="06479349" w14:textId="77777777" w:rsidR="00C639D0" w:rsidRPr="000D173F" w:rsidRDefault="00C639D0" w:rsidP="00BC015C">
      <w:pPr>
        <w:spacing w:line="360" w:lineRule="auto"/>
        <w:jc w:val="both"/>
        <w:rPr>
          <w:rFonts w:ascii="Times New Roman" w:eastAsia="Georgia" w:hAnsi="Times New Roman" w:cs="Times New Roman"/>
          <w:sz w:val="24"/>
          <w:szCs w:val="24"/>
        </w:rPr>
      </w:pPr>
    </w:p>
    <w:p w14:paraId="03E73DDF" w14:textId="77777777" w:rsidR="00BC015C" w:rsidRPr="000D173F" w:rsidRDefault="00BC015C" w:rsidP="00BC015C">
      <w:pPr>
        <w:spacing w:line="360" w:lineRule="auto"/>
        <w:jc w:val="center"/>
        <w:rPr>
          <w:rFonts w:ascii="Times New Roman" w:eastAsia="Georgia" w:hAnsi="Times New Roman" w:cs="Times New Roman"/>
          <w:sz w:val="24"/>
          <w:szCs w:val="24"/>
        </w:rPr>
      </w:pPr>
      <w:r w:rsidRPr="000D173F">
        <w:rPr>
          <w:rFonts w:ascii="Times New Roman" w:eastAsia="Georgia" w:hAnsi="Times New Roman" w:cs="Times New Roman"/>
          <w:sz w:val="24"/>
          <w:szCs w:val="24"/>
        </w:rPr>
        <w:t xml:space="preserve">Figura 1 –Atuação da Mineradora Vale S.A. </w:t>
      </w:r>
    </w:p>
    <w:p w14:paraId="593D337B" w14:textId="77777777" w:rsidR="00BC015C" w:rsidRPr="000D173F" w:rsidRDefault="00BC015C" w:rsidP="00BC015C">
      <w:pPr>
        <w:spacing w:line="360" w:lineRule="auto"/>
        <w:rPr>
          <w:rFonts w:ascii="Times New Roman" w:eastAsia="Georgia" w:hAnsi="Times New Roman" w:cs="Times New Roman"/>
          <w:sz w:val="24"/>
          <w:szCs w:val="24"/>
        </w:rPr>
      </w:pPr>
      <w:r w:rsidRPr="000D173F">
        <w:rPr>
          <w:rFonts w:ascii="Times New Roman" w:eastAsia="Georgia" w:hAnsi="Times New Roman" w:cs="Times New Roman"/>
          <w:noProof/>
          <w:sz w:val="24"/>
          <w:szCs w:val="24"/>
        </w:rPr>
        <w:drawing>
          <wp:inline distT="0" distB="0" distL="0" distR="0" wp14:anchorId="2421DEC4" wp14:editId="426BBEF9">
            <wp:extent cx="5114925" cy="3666703"/>
            <wp:effectExtent l="0" t="0" r="0" b="0"/>
            <wp:docPr id="57" name="image1.jpg" descr="Diagrama&#10;&#10;Descrição gerada automaticamente"/>
            <wp:cNvGraphicFramePr/>
            <a:graphic xmlns:a="http://schemas.openxmlformats.org/drawingml/2006/main">
              <a:graphicData uri="http://schemas.openxmlformats.org/drawingml/2006/picture">
                <pic:pic xmlns:pic="http://schemas.openxmlformats.org/drawingml/2006/picture">
                  <pic:nvPicPr>
                    <pic:cNvPr id="0" name="image1.jpg" descr="Diagrama&#10;&#10;Descrição gerada automaticamente"/>
                    <pic:cNvPicPr preferRelativeResize="0"/>
                  </pic:nvPicPr>
                  <pic:blipFill rotWithShape="1">
                    <a:blip r:embed="rId12"/>
                    <a:srcRect t="3798" r="3544" b="4796"/>
                    <a:stretch/>
                  </pic:blipFill>
                  <pic:spPr bwMode="auto">
                    <a:xfrm>
                      <a:off x="0" y="0"/>
                      <a:ext cx="5116368" cy="3667737"/>
                    </a:xfrm>
                    <a:prstGeom prst="rect">
                      <a:avLst/>
                    </a:prstGeom>
                    <a:ln>
                      <a:noFill/>
                    </a:ln>
                    <a:extLst>
                      <a:ext uri="{53640926-AAD7-44D8-BBD7-CCE9431645EC}">
                        <a14:shadowObscured xmlns:a14="http://schemas.microsoft.com/office/drawing/2010/main"/>
                      </a:ext>
                    </a:extLst>
                  </pic:spPr>
                </pic:pic>
              </a:graphicData>
            </a:graphic>
          </wp:inline>
        </w:drawing>
      </w:r>
    </w:p>
    <w:p w14:paraId="1BECDA9D" w14:textId="77777777" w:rsidR="00BC015C" w:rsidRPr="000D173F" w:rsidRDefault="00BC015C" w:rsidP="00BC015C">
      <w:pPr>
        <w:spacing w:line="360" w:lineRule="auto"/>
        <w:rPr>
          <w:rFonts w:ascii="Times New Roman" w:eastAsia="Georgia" w:hAnsi="Times New Roman" w:cs="Times New Roman"/>
          <w:sz w:val="20"/>
          <w:szCs w:val="20"/>
        </w:rPr>
      </w:pPr>
      <w:r w:rsidRPr="000D173F">
        <w:rPr>
          <w:rFonts w:ascii="Times New Roman" w:eastAsia="Georgia" w:hAnsi="Times New Roman" w:cs="Times New Roman"/>
          <w:sz w:val="20"/>
          <w:szCs w:val="20"/>
        </w:rPr>
        <w:t>Fonte: Elaboração própria com base em Santos (2001)</w:t>
      </w:r>
    </w:p>
    <w:p w14:paraId="688B8636" w14:textId="4D54AE19" w:rsidR="00BC015C" w:rsidRDefault="00BC015C" w:rsidP="00BC015C">
      <w:pPr>
        <w:spacing w:line="360" w:lineRule="auto"/>
        <w:rPr>
          <w:rFonts w:ascii="Times New Roman" w:eastAsia="Georgia" w:hAnsi="Times New Roman" w:cs="Times New Roman"/>
          <w:sz w:val="24"/>
          <w:szCs w:val="24"/>
        </w:rPr>
      </w:pPr>
    </w:p>
    <w:p w14:paraId="4CE527B5" w14:textId="0D0C47E1" w:rsidR="00BC015C" w:rsidRDefault="00C854B8" w:rsidP="00BC015C">
      <w:pPr>
        <w:spacing w:line="360" w:lineRule="auto"/>
        <w:jc w:val="both"/>
        <w:rPr>
          <w:rFonts w:ascii="Times New Roman" w:eastAsia="Georgia" w:hAnsi="Times New Roman" w:cs="Times New Roman"/>
          <w:sz w:val="24"/>
          <w:szCs w:val="24"/>
        </w:rPr>
      </w:pPr>
      <w:r>
        <w:rPr>
          <w:rFonts w:ascii="Times New Roman" w:eastAsia="Georgia" w:hAnsi="Times New Roman" w:cs="Times New Roman"/>
          <w:sz w:val="24"/>
          <w:szCs w:val="24"/>
        </w:rPr>
        <w:t>S</w:t>
      </w:r>
      <w:r w:rsidRPr="000D173F">
        <w:rPr>
          <w:rFonts w:ascii="Times New Roman" w:eastAsia="Georgia" w:hAnsi="Times New Roman" w:cs="Times New Roman"/>
          <w:sz w:val="24"/>
          <w:szCs w:val="24"/>
        </w:rPr>
        <w:t>egundo Santos (2001)</w:t>
      </w:r>
      <w:r>
        <w:rPr>
          <w:rFonts w:ascii="Times New Roman" w:eastAsia="Georgia" w:hAnsi="Times New Roman" w:cs="Times New Roman"/>
          <w:sz w:val="24"/>
          <w:szCs w:val="24"/>
        </w:rPr>
        <w:t>, a</w:t>
      </w:r>
      <w:r w:rsidR="00BC015C" w:rsidRPr="000D173F">
        <w:rPr>
          <w:rFonts w:ascii="Times New Roman" w:eastAsia="Georgia" w:hAnsi="Times New Roman" w:cs="Times New Roman"/>
          <w:sz w:val="24"/>
          <w:szCs w:val="24"/>
        </w:rPr>
        <w:t>s variáveis em uma escala regional que são afetadas com a presença de uma empresa global podem ser várias,</w:t>
      </w:r>
      <w:r>
        <w:rPr>
          <w:rFonts w:ascii="Times New Roman" w:eastAsia="Georgia" w:hAnsi="Times New Roman" w:cs="Times New Roman"/>
          <w:sz w:val="24"/>
          <w:szCs w:val="24"/>
        </w:rPr>
        <w:t xml:space="preserve"> entre elas</w:t>
      </w:r>
      <w:r w:rsidR="00BC015C" w:rsidRPr="000D173F">
        <w:rPr>
          <w:rFonts w:ascii="Times New Roman" w:eastAsia="Georgia" w:hAnsi="Times New Roman" w:cs="Times New Roman"/>
          <w:sz w:val="24"/>
          <w:szCs w:val="24"/>
        </w:rPr>
        <w:t xml:space="preserve">: i. O nível do emprego; </w:t>
      </w:r>
      <w:proofErr w:type="spellStart"/>
      <w:r w:rsidR="00BC015C" w:rsidRPr="000D173F">
        <w:rPr>
          <w:rFonts w:ascii="Times New Roman" w:eastAsia="Georgia" w:hAnsi="Times New Roman" w:cs="Times New Roman"/>
          <w:sz w:val="24"/>
          <w:szCs w:val="24"/>
        </w:rPr>
        <w:t>ii</w:t>
      </w:r>
      <w:proofErr w:type="spellEnd"/>
      <w:r w:rsidR="00BC015C" w:rsidRPr="000D173F">
        <w:rPr>
          <w:rFonts w:ascii="Times New Roman" w:eastAsia="Georgia" w:hAnsi="Times New Roman" w:cs="Times New Roman"/>
          <w:sz w:val="24"/>
          <w:szCs w:val="24"/>
        </w:rPr>
        <w:t xml:space="preserve">. A estrutura de consumo; </w:t>
      </w:r>
      <w:proofErr w:type="spellStart"/>
      <w:r w:rsidR="00BC015C" w:rsidRPr="000D173F">
        <w:rPr>
          <w:rFonts w:ascii="Times New Roman" w:eastAsia="Georgia" w:hAnsi="Times New Roman" w:cs="Times New Roman"/>
          <w:sz w:val="24"/>
          <w:szCs w:val="24"/>
        </w:rPr>
        <w:t>iii</w:t>
      </w:r>
      <w:proofErr w:type="spellEnd"/>
      <w:r w:rsidR="00BC015C" w:rsidRPr="000D173F">
        <w:rPr>
          <w:rFonts w:ascii="Times New Roman" w:eastAsia="Georgia" w:hAnsi="Times New Roman" w:cs="Times New Roman"/>
          <w:sz w:val="24"/>
          <w:szCs w:val="24"/>
        </w:rPr>
        <w:t xml:space="preserve">. O uso das infraestruturas; </w:t>
      </w:r>
      <w:proofErr w:type="spellStart"/>
      <w:r w:rsidR="00BC015C" w:rsidRPr="000D173F">
        <w:rPr>
          <w:rFonts w:ascii="Times New Roman" w:eastAsia="Georgia" w:hAnsi="Times New Roman" w:cs="Times New Roman"/>
          <w:sz w:val="24"/>
          <w:szCs w:val="24"/>
        </w:rPr>
        <w:t>iv</w:t>
      </w:r>
      <w:proofErr w:type="spellEnd"/>
      <w:r w:rsidR="00BC015C" w:rsidRPr="000D173F">
        <w:rPr>
          <w:rFonts w:ascii="Times New Roman" w:eastAsia="Georgia" w:hAnsi="Times New Roman" w:cs="Times New Roman"/>
          <w:sz w:val="24"/>
          <w:szCs w:val="24"/>
        </w:rPr>
        <w:t xml:space="preserve">. A composição dos Orçamentos Públicos; </w:t>
      </w:r>
      <w:proofErr w:type="spellStart"/>
      <w:r w:rsidR="00BC015C" w:rsidRPr="000D173F">
        <w:rPr>
          <w:rFonts w:ascii="Times New Roman" w:eastAsia="Georgia" w:hAnsi="Times New Roman" w:cs="Times New Roman"/>
          <w:sz w:val="24"/>
          <w:szCs w:val="24"/>
        </w:rPr>
        <w:t>iv</w:t>
      </w:r>
      <w:proofErr w:type="spellEnd"/>
      <w:r w:rsidR="00BC015C" w:rsidRPr="000D173F">
        <w:rPr>
          <w:rFonts w:ascii="Times New Roman" w:eastAsia="Georgia" w:hAnsi="Times New Roman" w:cs="Times New Roman"/>
          <w:sz w:val="24"/>
          <w:szCs w:val="24"/>
        </w:rPr>
        <w:t xml:space="preserve">. A estrutura do gasto público; v. O comportamento das outras empresas; vi. A imagem do lugar; </w:t>
      </w:r>
      <w:proofErr w:type="spellStart"/>
      <w:r w:rsidR="00BC015C" w:rsidRPr="000D173F">
        <w:rPr>
          <w:rFonts w:ascii="Times New Roman" w:eastAsia="Georgia" w:hAnsi="Times New Roman" w:cs="Times New Roman"/>
          <w:sz w:val="24"/>
          <w:szCs w:val="24"/>
        </w:rPr>
        <w:t>vii</w:t>
      </w:r>
      <w:proofErr w:type="spellEnd"/>
      <w:r w:rsidR="00BC015C" w:rsidRPr="000D173F">
        <w:rPr>
          <w:rFonts w:ascii="Times New Roman" w:eastAsia="Georgia" w:hAnsi="Times New Roman" w:cs="Times New Roman"/>
          <w:sz w:val="24"/>
          <w:szCs w:val="24"/>
        </w:rPr>
        <w:t>. Os comportamentos individuais e coletivos. A forma como essas variáveis interagem é dinâmica e no caso específico da mineradora Vale S.A. pode ser exemplificada a partir da Figura 1.</w:t>
      </w:r>
    </w:p>
    <w:p w14:paraId="0E312A37" w14:textId="77777777" w:rsidR="00BC015C" w:rsidRPr="000D173F" w:rsidRDefault="00BC015C" w:rsidP="00BC015C">
      <w:pPr>
        <w:spacing w:line="360" w:lineRule="auto"/>
        <w:jc w:val="both"/>
        <w:rPr>
          <w:rFonts w:ascii="Times New Roman" w:eastAsia="Georgia" w:hAnsi="Times New Roman" w:cs="Times New Roman"/>
          <w:sz w:val="24"/>
          <w:szCs w:val="24"/>
        </w:rPr>
      </w:pPr>
      <w:r w:rsidRPr="000D173F">
        <w:rPr>
          <w:rFonts w:ascii="Times New Roman" w:eastAsia="Georgia" w:hAnsi="Times New Roman" w:cs="Times New Roman"/>
          <w:sz w:val="24"/>
          <w:szCs w:val="24"/>
        </w:rPr>
        <w:lastRenderedPageBreak/>
        <w:t xml:space="preserve">No centro da Figura está a mineradora e a partir dela é possível identificar diretamente cinco canais de sua atuação: a infraestrutura, os empregos diretos, o comportamento, os impostos e as demais empresas. A partir deles, outros efeitos são gerados, criando um processo dinâmico no território. Tratando </w:t>
      </w:r>
      <w:r>
        <w:rPr>
          <w:rFonts w:ascii="Times New Roman" w:eastAsia="Georgia" w:hAnsi="Times New Roman" w:cs="Times New Roman"/>
          <w:sz w:val="24"/>
          <w:szCs w:val="24"/>
        </w:rPr>
        <w:t>resumid</w:t>
      </w:r>
      <w:r w:rsidRPr="000D173F">
        <w:rPr>
          <w:rFonts w:ascii="Times New Roman" w:eastAsia="Georgia" w:hAnsi="Times New Roman" w:cs="Times New Roman"/>
          <w:sz w:val="24"/>
          <w:szCs w:val="24"/>
        </w:rPr>
        <w:t xml:space="preserve">amente de cada um desses canais, a infraestrutura é um primeiro elemento fundamental para a compreensão do papel exercido pela Vale S.A. </w:t>
      </w:r>
    </w:p>
    <w:p w14:paraId="0F2D4332" w14:textId="50DDB486" w:rsidR="00BC015C" w:rsidRPr="000D173F" w:rsidRDefault="00BC015C" w:rsidP="00BC015C">
      <w:pPr>
        <w:spacing w:line="360" w:lineRule="auto"/>
        <w:jc w:val="both"/>
        <w:rPr>
          <w:rFonts w:ascii="Times New Roman" w:eastAsia="Georgia" w:hAnsi="Times New Roman" w:cs="Times New Roman"/>
          <w:sz w:val="24"/>
          <w:szCs w:val="24"/>
        </w:rPr>
      </w:pPr>
      <w:r w:rsidRPr="000D173F">
        <w:rPr>
          <w:rFonts w:ascii="Times New Roman" w:eastAsia="Georgia" w:hAnsi="Times New Roman" w:cs="Times New Roman"/>
          <w:sz w:val="24"/>
          <w:szCs w:val="24"/>
        </w:rPr>
        <w:t xml:space="preserve">A fase de implantação dos empreendimentos minerais, dada a escala de investimentos necessários, é um evento central para qualquer território, e isso não foi diferente com os projetos da Vale S.A. na região de Carajás. A instalação dos projetos de mineração da Vale na região exigiu a mobilização de uma grande infraestrutura de logística que envolve desde a implantação das minas até o transporte ferroviário, rodoviário e hidroviário até os consumidores finais. Cada uma dessas infraestruturas, retornando a </w:t>
      </w:r>
      <w:r>
        <w:rPr>
          <w:rFonts w:ascii="Times New Roman" w:eastAsia="Georgia" w:hAnsi="Times New Roman" w:cs="Times New Roman"/>
          <w:sz w:val="24"/>
          <w:szCs w:val="24"/>
        </w:rPr>
        <w:t>F</w:t>
      </w:r>
      <w:r w:rsidRPr="000D173F">
        <w:rPr>
          <w:rFonts w:ascii="Times New Roman" w:eastAsia="Georgia" w:hAnsi="Times New Roman" w:cs="Times New Roman"/>
          <w:sz w:val="24"/>
          <w:szCs w:val="24"/>
        </w:rPr>
        <w:t>igura 1, gera repercussões na geração de emprego e nas famílias. O caso da Ferrovia Ferro Carajás é um exemplo disso. Com cerca de 972 quilômetros de extensão, ela é a principal responsável pelo escoamento da produção da Vale S.A. no estado do Pará. Concomitantemente a esse papel logístico, por onde a Ferrovia passa gera um conjunto de efeitos sociais importantes.</w:t>
      </w:r>
    </w:p>
    <w:p w14:paraId="56778604" w14:textId="77777777" w:rsidR="00BC015C" w:rsidRPr="000D173F" w:rsidRDefault="00BC015C" w:rsidP="00BC015C">
      <w:pPr>
        <w:spacing w:line="360" w:lineRule="auto"/>
        <w:jc w:val="both"/>
        <w:rPr>
          <w:rFonts w:ascii="Times New Roman" w:eastAsia="Georgia" w:hAnsi="Times New Roman" w:cs="Times New Roman"/>
          <w:sz w:val="24"/>
          <w:szCs w:val="24"/>
        </w:rPr>
      </w:pPr>
      <w:r w:rsidRPr="000D173F">
        <w:rPr>
          <w:rFonts w:ascii="Times New Roman" w:eastAsia="Georgia" w:hAnsi="Times New Roman" w:cs="Times New Roman"/>
          <w:sz w:val="24"/>
          <w:szCs w:val="24"/>
        </w:rPr>
        <w:t xml:space="preserve">A ferrovia Ferro Carajás e todos os empreendimentos de logística ligados a ela (porto Madeira, terminais </w:t>
      </w:r>
      <w:r w:rsidRPr="000D173F">
        <w:rPr>
          <w:rFonts w:ascii="Times New Roman" w:eastAsia="Georgia" w:hAnsi="Times New Roman" w:cs="Times New Roman"/>
          <w:i/>
          <w:sz w:val="24"/>
          <w:szCs w:val="24"/>
        </w:rPr>
        <w:t>etc.</w:t>
      </w:r>
      <w:r w:rsidRPr="000D173F">
        <w:rPr>
          <w:rFonts w:ascii="Times New Roman" w:eastAsia="Georgia" w:hAnsi="Times New Roman" w:cs="Times New Roman"/>
          <w:sz w:val="24"/>
          <w:szCs w:val="24"/>
        </w:rPr>
        <w:t>) foram construídos com o objetivo direto de atender às necessidades corporativas da então Companhia Vale do Rio Doce (empresa pública que posteriormente se tornou a Vale S.A.). O território foi sendo moldado a partir do aparente interesse público, mas que com o processo de privatização se converteu exclusivamente em interesses privados.</w:t>
      </w:r>
    </w:p>
    <w:p w14:paraId="425D31C7" w14:textId="77777777" w:rsidR="00BC015C" w:rsidRPr="000D173F" w:rsidRDefault="00BC015C" w:rsidP="00BC015C">
      <w:pPr>
        <w:spacing w:line="360" w:lineRule="auto"/>
        <w:jc w:val="both"/>
        <w:rPr>
          <w:rFonts w:ascii="Times New Roman" w:eastAsia="Georgia" w:hAnsi="Times New Roman" w:cs="Times New Roman"/>
          <w:sz w:val="24"/>
          <w:szCs w:val="24"/>
        </w:rPr>
      </w:pPr>
      <w:r>
        <w:rPr>
          <w:rFonts w:ascii="Times New Roman" w:eastAsia="Georgia" w:hAnsi="Times New Roman" w:cs="Times New Roman"/>
          <w:sz w:val="24"/>
          <w:szCs w:val="24"/>
        </w:rPr>
        <w:t>Alguns</w:t>
      </w:r>
      <w:r w:rsidRPr="000D173F">
        <w:rPr>
          <w:rFonts w:ascii="Times New Roman" w:eastAsia="Georgia" w:hAnsi="Times New Roman" w:cs="Times New Roman"/>
          <w:sz w:val="24"/>
          <w:szCs w:val="24"/>
        </w:rPr>
        <w:t xml:space="preserve"> autores apontam como essas obras de logística atuam para a desestruturação de relações sociais e econômicas por todo o território por onde ela passa (</w:t>
      </w:r>
      <w:r>
        <w:rPr>
          <w:rFonts w:ascii="Times New Roman" w:eastAsia="Georgia" w:hAnsi="Times New Roman" w:cs="Times New Roman"/>
          <w:iCs/>
          <w:sz w:val="24"/>
          <w:szCs w:val="24"/>
        </w:rPr>
        <w:t xml:space="preserve">SANTOS, </w:t>
      </w:r>
      <w:r>
        <w:rPr>
          <w:rFonts w:ascii="Times New Roman" w:eastAsia="Georgia" w:hAnsi="Times New Roman" w:cs="Times New Roman"/>
          <w:i/>
          <w:sz w:val="24"/>
          <w:szCs w:val="24"/>
        </w:rPr>
        <w:t xml:space="preserve">et al. </w:t>
      </w:r>
      <w:r>
        <w:rPr>
          <w:rFonts w:ascii="Times New Roman" w:eastAsia="Georgia" w:hAnsi="Times New Roman" w:cs="Times New Roman"/>
          <w:iCs/>
          <w:sz w:val="24"/>
          <w:szCs w:val="24"/>
        </w:rPr>
        <w:t>2018</w:t>
      </w:r>
      <w:r w:rsidRPr="000D173F">
        <w:rPr>
          <w:rFonts w:ascii="Times New Roman" w:eastAsia="Georgia" w:hAnsi="Times New Roman" w:cs="Times New Roman"/>
          <w:i/>
          <w:sz w:val="24"/>
          <w:szCs w:val="24"/>
        </w:rPr>
        <w:t>)</w:t>
      </w:r>
      <w:r w:rsidRPr="000D173F">
        <w:rPr>
          <w:rFonts w:ascii="Times New Roman" w:eastAsia="Georgia" w:hAnsi="Times New Roman" w:cs="Times New Roman"/>
          <w:sz w:val="24"/>
          <w:szCs w:val="24"/>
        </w:rPr>
        <w:t>, o que reforça esse caráter apontado por Santos (2001) e que ele chamou de território corporativo. Uma diferença do processo concreto para aquilo que Santos (2001) desenvolve em nível abstrato é que se tratando especificamente da mineração na Região de Carajás, a estratégia inicial de ocupação desse território se deu em um nível estatal e não apenas privado. Aqui o processo ganha contornos ainda mais complexos, porque apesar de ser estatal estava subordinad</w:t>
      </w:r>
      <w:r>
        <w:rPr>
          <w:rFonts w:ascii="Times New Roman" w:eastAsia="Georgia" w:hAnsi="Times New Roman" w:cs="Times New Roman"/>
          <w:sz w:val="24"/>
          <w:szCs w:val="24"/>
        </w:rPr>
        <w:t>a</w:t>
      </w:r>
      <w:r w:rsidRPr="000D173F">
        <w:rPr>
          <w:rFonts w:ascii="Times New Roman" w:eastAsia="Georgia" w:hAnsi="Times New Roman" w:cs="Times New Roman"/>
          <w:sz w:val="24"/>
          <w:szCs w:val="24"/>
        </w:rPr>
        <w:t xml:space="preserve"> a uma lógica de mercado, já que a empresa disputava espaço nacional e internacional com outras empresas privadas.</w:t>
      </w:r>
    </w:p>
    <w:p w14:paraId="0C4B6F78" w14:textId="77777777" w:rsidR="00BC015C" w:rsidRPr="000D173F" w:rsidRDefault="00BC015C" w:rsidP="00BC015C">
      <w:pPr>
        <w:spacing w:line="360" w:lineRule="auto"/>
        <w:jc w:val="both"/>
        <w:rPr>
          <w:rFonts w:ascii="Times New Roman" w:eastAsia="Georgia" w:hAnsi="Times New Roman" w:cs="Times New Roman"/>
          <w:sz w:val="24"/>
          <w:szCs w:val="24"/>
        </w:rPr>
      </w:pPr>
      <w:r w:rsidRPr="000D173F">
        <w:rPr>
          <w:rFonts w:ascii="Times New Roman" w:eastAsia="Georgia" w:hAnsi="Times New Roman" w:cs="Times New Roman"/>
          <w:sz w:val="24"/>
          <w:szCs w:val="24"/>
        </w:rPr>
        <w:lastRenderedPageBreak/>
        <w:t>Um outro canal de influência da Vale S.A. é na produção de empregos tanto diretos quanto indiretos. Apesar da literatura apontar para os efeitos reduzidos na demanda força de trabalho que atividades extrativistas como a mineração provocam (</w:t>
      </w:r>
      <w:r>
        <w:rPr>
          <w:rFonts w:ascii="Times New Roman" w:eastAsia="Georgia" w:hAnsi="Times New Roman" w:cs="Times New Roman"/>
          <w:iCs/>
          <w:sz w:val="24"/>
          <w:szCs w:val="24"/>
        </w:rPr>
        <w:t xml:space="preserve">MILANEZ, </w:t>
      </w:r>
      <w:r>
        <w:rPr>
          <w:rFonts w:ascii="Times New Roman" w:eastAsia="Georgia" w:hAnsi="Times New Roman" w:cs="Times New Roman"/>
          <w:i/>
          <w:sz w:val="24"/>
          <w:szCs w:val="24"/>
        </w:rPr>
        <w:t>et al</w:t>
      </w:r>
      <w:r>
        <w:rPr>
          <w:rFonts w:ascii="Times New Roman" w:eastAsia="Georgia" w:hAnsi="Times New Roman" w:cs="Times New Roman"/>
          <w:iCs/>
          <w:sz w:val="24"/>
          <w:szCs w:val="24"/>
        </w:rPr>
        <w:t>, 2021</w:t>
      </w:r>
      <w:r w:rsidRPr="000D173F">
        <w:rPr>
          <w:rFonts w:ascii="Times New Roman" w:eastAsia="Georgia" w:hAnsi="Times New Roman" w:cs="Times New Roman"/>
          <w:sz w:val="24"/>
          <w:szCs w:val="24"/>
        </w:rPr>
        <w:t>), a instalação de grandes minas demanda uma grande quantidade de trabalhadores na fase de instalação das minas, que mesmo reduzindo na fase da operação (das as características tecnológicas dos empreendimentos), tem efeitos significativos na geração de empregos diretos e indiretos. A atração de outras empresas no território acaba criando efeitos no emprego mais duradouros. Os grandes atacados e empresas nos ramos comerciais são atraídas para as cidades em que a mineradora se instala e são responsáveis por empregar uma parte dos trabalhadores atraídos pelos fluxos migratórios provocados pela mineração.</w:t>
      </w:r>
    </w:p>
    <w:p w14:paraId="45000FB5" w14:textId="77777777" w:rsidR="00BC015C" w:rsidRPr="000D173F" w:rsidRDefault="00BC015C" w:rsidP="00BC015C">
      <w:pPr>
        <w:spacing w:line="360" w:lineRule="auto"/>
        <w:jc w:val="both"/>
        <w:rPr>
          <w:rFonts w:ascii="Times New Roman" w:eastAsia="Georgia" w:hAnsi="Times New Roman" w:cs="Times New Roman"/>
          <w:sz w:val="24"/>
          <w:szCs w:val="24"/>
        </w:rPr>
      </w:pPr>
      <w:r w:rsidRPr="000D173F">
        <w:rPr>
          <w:rFonts w:ascii="Times New Roman" w:eastAsia="Georgia" w:hAnsi="Times New Roman" w:cs="Times New Roman"/>
          <w:sz w:val="24"/>
          <w:szCs w:val="24"/>
        </w:rPr>
        <w:t>A relação com o Estado não se limita apenas aos impostos e subsídios. Segundo Santos (2001), na medida em que as atividades econômicas modernas se difundem elas passam a estar distribuídas em porções diferentes do território. O que permite as conexões entre essas atividades econômicas são os recursos públicos ligados especialmente ao campo da engenharia (transportes, navegação, telefonia etc.). A incapacidade de o setor privado fornecer esses serviços cria a necessidade de que recursos públicos sejam direcionados para a execução desses objetivos. O interesse público passa a estar subordinado, dessa forma, aos interesses corporativos. No caso específico da mineração em Carajás isso se torna evidente.</w:t>
      </w:r>
    </w:p>
    <w:p w14:paraId="2E6766AD" w14:textId="77777777" w:rsidR="00BC015C" w:rsidRPr="0025600C" w:rsidRDefault="00BC015C" w:rsidP="00BC015C">
      <w:pPr>
        <w:spacing w:line="360" w:lineRule="auto"/>
        <w:jc w:val="both"/>
        <w:rPr>
          <w:rFonts w:ascii="Times New Roman" w:eastAsia="Georgia" w:hAnsi="Times New Roman" w:cs="Times New Roman"/>
          <w:sz w:val="24"/>
          <w:szCs w:val="24"/>
        </w:rPr>
      </w:pPr>
      <w:r w:rsidRPr="000D173F">
        <w:rPr>
          <w:rFonts w:ascii="Times New Roman" w:eastAsia="Georgia" w:hAnsi="Times New Roman" w:cs="Times New Roman"/>
          <w:sz w:val="24"/>
          <w:szCs w:val="24"/>
        </w:rPr>
        <w:t xml:space="preserve">A influência sobre comportamentos é o quinto canal de atuação da mineradora. </w:t>
      </w:r>
      <w:r>
        <w:rPr>
          <w:rFonts w:ascii="Times New Roman" w:eastAsia="Georgia" w:hAnsi="Times New Roman" w:cs="Times New Roman"/>
          <w:sz w:val="24"/>
          <w:szCs w:val="24"/>
        </w:rPr>
        <w:t xml:space="preserve">Aqui estão as estratégias organizacionais que a empresa mineradora utiliza para construir uma narrativa que a coloque em uma posição de referência social. No caso específico da Vale S.A., iniciativas voltadas para a educação ambiental, recuperação de áreas degradadas tentam reconstruir a imagem de uma empresa marcada por grandes crimes que mancharam a reputação da empresa (MILANEZ, </w:t>
      </w:r>
      <w:r>
        <w:rPr>
          <w:rFonts w:ascii="Times New Roman" w:eastAsia="Georgia" w:hAnsi="Times New Roman" w:cs="Times New Roman"/>
          <w:i/>
          <w:iCs/>
          <w:sz w:val="24"/>
          <w:szCs w:val="24"/>
        </w:rPr>
        <w:t>et al.</w:t>
      </w:r>
      <w:r>
        <w:rPr>
          <w:rFonts w:ascii="Times New Roman" w:eastAsia="Georgia" w:hAnsi="Times New Roman" w:cs="Times New Roman"/>
          <w:sz w:val="24"/>
          <w:szCs w:val="24"/>
        </w:rPr>
        <w:t xml:space="preserve">, 2021). Ainda assim, o poder de influenciar comportamentos, especialmente em eleições, continua sendo um instrumento poderoso (GUIMARÃES, </w:t>
      </w:r>
      <w:r>
        <w:rPr>
          <w:rFonts w:ascii="Times New Roman" w:eastAsia="Georgia" w:hAnsi="Times New Roman" w:cs="Times New Roman"/>
          <w:i/>
          <w:iCs/>
          <w:sz w:val="24"/>
          <w:szCs w:val="24"/>
        </w:rPr>
        <w:t xml:space="preserve">et al. </w:t>
      </w:r>
      <w:r>
        <w:rPr>
          <w:rFonts w:ascii="Times New Roman" w:eastAsia="Georgia" w:hAnsi="Times New Roman" w:cs="Times New Roman"/>
          <w:sz w:val="24"/>
          <w:szCs w:val="24"/>
        </w:rPr>
        <w:t>2019).</w:t>
      </w:r>
    </w:p>
    <w:p w14:paraId="4FDABF1B" w14:textId="77777777" w:rsidR="00BC015C" w:rsidRPr="000D173F" w:rsidRDefault="00BC015C" w:rsidP="00BC015C">
      <w:pPr>
        <w:pStyle w:val="Ttulo1"/>
        <w:numPr>
          <w:ilvl w:val="0"/>
          <w:numId w:val="2"/>
        </w:numPr>
        <w:spacing w:line="360" w:lineRule="auto"/>
        <w:rPr>
          <w:rFonts w:cs="Times New Roman"/>
        </w:rPr>
      </w:pPr>
      <w:r w:rsidRPr="000D173F">
        <w:rPr>
          <w:rFonts w:cs="Times New Roman"/>
        </w:rPr>
        <w:t>CONCLUSÃO</w:t>
      </w:r>
    </w:p>
    <w:p w14:paraId="15E25ADC" w14:textId="77777777" w:rsidR="00BC015C" w:rsidRDefault="00BC015C" w:rsidP="00BC015C">
      <w:pPr>
        <w:spacing w:line="360" w:lineRule="auto"/>
        <w:jc w:val="both"/>
        <w:rPr>
          <w:rFonts w:ascii="Times New Roman" w:eastAsia="Georgia" w:hAnsi="Times New Roman" w:cs="Times New Roman"/>
          <w:sz w:val="24"/>
          <w:szCs w:val="24"/>
        </w:rPr>
      </w:pPr>
      <w:r w:rsidRPr="000D173F">
        <w:rPr>
          <w:rFonts w:ascii="Times New Roman" w:eastAsia="Georgia" w:hAnsi="Times New Roman" w:cs="Times New Roman"/>
          <w:sz w:val="24"/>
          <w:szCs w:val="24"/>
        </w:rPr>
        <w:t>Ao longo do trabalho, buscou-se apontar alguns elementos que ajudam a interpretar a atuação da mineradora Vale S.A. na região de Carajás</w:t>
      </w:r>
      <w:r>
        <w:rPr>
          <w:rFonts w:ascii="Times New Roman" w:eastAsia="Georgia" w:hAnsi="Times New Roman" w:cs="Times New Roman"/>
          <w:sz w:val="24"/>
          <w:szCs w:val="24"/>
        </w:rPr>
        <w:t xml:space="preserve"> a partir da obra de Santos (2001). </w:t>
      </w:r>
      <w:r w:rsidRPr="000D173F">
        <w:rPr>
          <w:rFonts w:ascii="Times New Roman" w:eastAsia="Georgia" w:hAnsi="Times New Roman" w:cs="Times New Roman"/>
          <w:sz w:val="24"/>
          <w:szCs w:val="24"/>
        </w:rPr>
        <w:t xml:space="preserve">A questão </w:t>
      </w:r>
      <w:r w:rsidRPr="000D173F">
        <w:rPr>
          <w:rFonts w:ascii="Times New Roman" w:eastAsia="Georgia" w:hAnsi="Times New Roman" w:cs="Times New Roman"/>
          <w:sz w:val="24"/>
          <w:szCs w:val="24"/>
        </w:rPr>
        <w:lastRenderedPageBreak/>
        <w:t>principal a analisar a dinâmica do território é identificar quem possui “o papel de comando”. Segundo Santos (2001), ela é reservada à empresa (ou as empresas) com maior “poder econômico e político” atuando em um dado território. A identificação das estratégias utilizadas para controlar o território se tornam elementos importantes a serem investigados. A análise das elites políticas presentes nesse território torna complexo essa reflexão, já que apesar da Mineração deter elevado poder político, há uma relação orgânica aos grupos ligados ao setor agrário.</w:t>
      </w:r>
    </w:p>
    <w:p w14:paraId="27C45A8D" w14:textId="4E89C9BB" w:rsidR="00BC015C" w:rsidRDefault="00BC015C" w:rsidP="00BC015C">
      <w:pPr>
        <w:spacing w:line="360" w:lineRule="auto"/>
        <w:jc w:val="both"/>
        <w:rPr>
          <w:rFonts w:ascii="Times New Roman" w:eastAsia="Georgia" w:hAnsi="Times New Roman" w:cs="Times New Roman"/>
          <w:sz w:val="24"/>
          <w:szCs w:val="24"/>
        </w:rPr>
      </w:pPr>
      <w:r w:rsidRPr="000D173F">
        <w:rPr>
          <w:rFonts w:ascii="Times New Roman" w:eastAsia="Georgia" w:hAnsi="Times New Roman" w:cs="Times New Roman"/>
          <w:sz w:val="24"/>
          <w:szCs w:val="24"/>
        </w:rPr>
        <w:t>O uso diferencial do território é um processo dinâmico e complexo na visão de Santos (2001). As vantagens de um dado território estão em contínua metamorfose como consequência de uma combinação de circunstâncias e variáveis em um nível global e os conflitos e decisões políticas em uma escala nacional e local. Há, portanto, uma hierarquia no uso do território que está em permanente modificação e adaptação diante das circunstâncias internacionais. Essa dinâmica altera a importância das partes que compõem o território.</w:t>
      </w:r>
    </w:p>
    <w:p w14:paraId="170CED3E" w14:textId="62DE61FB" w:rsidR="00C639D0" w:rsidRPr="000D173F" w:rsidRDefault="00C639D0" w:rsidP="00BC015C">
      <w:pPr>
        <w:spacing w:line="360" w:lineRule="auto"/>
        <w:jc w:val="both"/>
        <w:rPr>
          <w:rFonts w:ascii="Times New Roman" w:eastAsia="Georgia" w:hAnsi="Times New Roman" w:cs="Times New Roman"/>
          <w:sz w:val="24"/>
          <w:szCs w:val="24"/>
        </w:rPr>
      </w:pPr>
      <w:r>
        <w:rPr>
          <w:rFonts w:ascii="Times New Roman" w:eastAsia="Georgia" w:hAnsi="Times New Roman" w:cs="Times New Roman"/>
          <w:sz w:val="24"/>
          <w:szCs w:val="24"/>
        </w:rPr>
        <w:t>No caso da Região de Carajás, a mineradora Vale S.A. tem tido um papel central através de diversos canais</w:t>
      </w:r>
      <w:r w:rsidR="005F1485">
        <w:rPr>
          <w:rFonts w:ascii="Times New Roman" w:eastAsia="Georgia" w:hAnsi="Times New Roman" w:cs="Times New Roman"/>
          <w:sz w:val="24"/>
          <w:szCs w:val="24"/>
        </w:rPr>
        <w:t xml:space="preserve"> e que afetam o emprego e a renda, a atuação do Estado, a infraestrutura</w:t>
      </w:r>
      <w:r>
        <w:rPr>
          <w:rFonts w:ascii="Times New Roman" w:eastAsia="Georgia" w:hAnsi="Times New Roman" w:cs="Times New Roman"/>
          <w:sz w:val="24"/>
          <w:szCs w:val="24"/>
        </w:rPr>
        <w:t xml:space="preserve">. </w:t>
      </w:r>
      <w:r w:rsidR="008B0F2A">
        <w:rPr>
          <w:rFonts w:ascii="Times New Roman" w:eastAsia="Georgia" w:hAnsi="Times New Roman" w:cs="Times New Roman"/>
          <w:sz w:val="24"/>
          <w:szCs w:val="24"/>
        </w:rPr>
        <w:t>A partir de sua estratégia global, ela submete esse território aos seus interesses</w:t>
      </w:r>
      <w:r w:rsidR="006B7835">
        <w:rPr>
          <w:rFonts w:ascii="Times New Roman" w:eastAsia="Georgia" w:hAnsi="Times New Roman" w:cs="Times New Roman"/>
          <w:sz w:val="24"/>
          <w:szCs w:val="24"/>
        </w:rPr>
        <w:t xml:space="preserve">, de modo a tornar o território subordinado </w:t>
      </w:r>
      <w:r w:rsidR="00C854B8">
        <w:rPr>
          <w:rFonts w:ascii="Times New Roman" w:eastAsia="Georgia" w:hAnsi="Times New Roman" w:cs="Times New Roman"/>
          <w:sz w:val="24"/>
          <w:szCs w:val="24"/>
        </w:rPr>
        <w:t>a lógica</w:t>
      </w:r>
      <w:r w:rsidR="006B7835">
        <w:rPr>
          <w:rFonts w:ascii="Times New Roman" w:eastAsia="Georgia" w:hAnsi="Times New Roman" w:cs="Times New Roman"/>
          <w:sz w:val="24"/>
          <w:szCs w:val="24"/>
        </w:rPr>
        <w:t xml:space="preserve"> corporativ</w:t>
      </w:r>
      <w:r w:rsidR="00C854B8">
        <w:rPr>
          <w:rFonts w:ascii="Times New Roman" w:eastAsia="Georgia" w:hAnsi="Times New Roman" w:cs="Times New Roman"/>
          <w:sz w:val="24"/>
          <w:szCs w:val="24"/>
        </w:rPr>
        <w:t>a</w:t>
      </w:r>
      <w:r w:rsidR="006B7835">
        <w:rPr>
          <w:rFonts w:ascii="Times New Roman" w:eastAsia="Georgia" w:hAnsi="Times New Roman" w:cs="Times New Roman"/>
          <w:sz w:val="24"/>
          <w:szCs w:val="24"/>
        </w:rPr>
        <w:t>.</w:t>
      </w:r>
      <w:r w:rsidR="00C854B8">
        <w:rPr>
          <w:rFonts w:ascii="Times New Roman" w:eastAsia="Georgia" w:hAnsi="Times New Roman" w:cs="Times New Roman"/>
          <w:sz w:val="24"/>
          <w:szCs w:val="24"/>
        </w:rPr>
        <w:t xml:space="preserve"> Contudo, o território também pode construir suas estratégias de resistência, produzindo internamente os elementos que vão na direção contrária daquilo que busca ser imposto de fora para dentro.</w:t>
      </w:r>
      <w:r w:rsidR="00CB3046">
        <w:rPr>
          <w:rFonts w:ascii="Times New Roman" w:eastAsia="Georgia" w:hAnsi="Times New Roman" w:cs="Times New Roman"/>
          <w:sz w:val="24"/>
          <w:szCs w:val="24"/>
        </w:rPr>
        <w:t xml:space="preserve"> </w:t>
      </w:r>
      <w:r w:rsidR="00E64C1C">
        <w:rPr>
          <w:rFonts w:ascii="Times New Roman" w:eastAsia="Georgia" w:hAnsi="Times New Roman" w:cs="Times New Roman"/>
          <w:sz w:val="24"/>
          <w:szCs w:val="24"/>
        </w:rPr>
        <w:t>A a</w:t>
      </w:r>
      <w:r w:rsidR="00CB3046">
        <w:rPr>
          <w:rFonts w:ascii="Times New Roman" w:eastAsia="Georgia" w:hAnsi="Times New Roman" w:cs="Times New Roman"/>
          <w:sz w:val="24"/>
          <w:szCs w:val="24"/>
        </w:rPr>
        <w:t xml:space="preserve">ção desses atores torna-se um importante instrumento </w:t>
      </w:r>
      <w:r w:rsidR="00E64C1C">
        <w:rPr>
          <w:rFonts w:ascii="Times New Roman" w:eastAsia="Georgia" w:hAnsi="Times New Roman" w:cs="Times New Roman"/>
          <w:sz w:val="24"/>
          <w:szCs w:val="24"/>
        </w:rPr>
        <w:t>para produzir outras lógicas ao território.</w:t>
      </w:r>
    </w:p>
    <w:p w14:paraId="32D2A8A4" w14:textId="77777777" w:rsidR="00BC015C" w:rsidRPr="000B0974" w:rsidRDefault="00BC015C" w:rsidP="00BC015C">
      <w:pPr>
        <w:pStyle w:val="Ttulo1"/>
        <w:rPr>
          <w:lang w:val="es-ES"/>
        </w:rPr>
      </w:pPr>
      <w:r w:rsidRPr="000B0974">
        <w:rPr>
          <w:lang w:val="es-ES"/>
        </w:rPr>
        <w:t>6 REFERENCIAS</w:t>
      </w:r>
    </w:p>
    <w:p w14:paraId="569C781D" w14:textId="77777777" w:rsidR="00BC015C" w:rsidRPr="000D173F" w:rsidRDefault="00BC015C" w:rsidP="00BC015C">
      <w:pPr>
        <w:rPr>
          <w:rFonts w:ascii="Times New Roman" w:eastAsia="Georgia" w:hAnsi="Times New Roman" w:cs="Times New Roman"/>
          <w:sz w:val="24"/>
          <w:szCs w:val="24"/>
        </w:rPr>
      </w:pPr>
      <w:r w:rsidRPr="000D173F">
        <w:rPr>
          <w:rFonts w:ascii="Times New Roman" w:eastAsia="Georgia" w:hAnsi="Times New Roman" w:cs="Times New Roman"/>
          <w:sz w:val="24"/>
          <w:szCs w:val="24"/>
          <w:lang w:val="es-ES"/>
        </w:rPr>
        <w:t xml:space="preserve">BEDOYA, </w:t>
      </w:r>
      <w:proofErr w:type="spellStart"/>
      <w:r w:rsidRPr="000D173F">
        <w:rPr>
          <w:rFonts w:ascii="Times New Roman" w:eastAsia="Georgia" w:hAnsi="Times New Roman" w:cs="Times New Roman"/>
          <w:sz w:val="24"/>
          <w:szCs w:val="24"/>
          <w:lang w:val="es-ES"/>
        </w:rPr>
        <w:t>Maria</w:t>
      </w:r>
      <w:proofErr w:type="spellEnd"/>
      <w:r w:rsidRPr="000D173F">
        <w:rPr>
          <w:rFonts w:ascii="Times New Roman" w:eastAsia="Georgia" w:hAnsi="Times New Roman" w:cs="Times New Roman"/>
          <w:sz w:val="24"/>
          <w:szCs w:val="24"/>
          <w:lang w:val="es-ES"/>
        </w:rPr>
        <w:t xml:space="preserve"> </w:t>
      </w:r>
      <w:proofErr w:type="spellStart"/>
      <w:r w:rsidRPr="000D173F">
        <w:rPr>
          <w:rFonts w:ascii="Times New Roman" w:eastAsia="Georgia" w:hAnsi="Times New Roman" w:cs="Times New Roman"/>
          <w:sz w:val="24"/>
          <w:szCs w:val="24"/>
          <w:lang w:val="es-ES"/>
        </w:rPr>
        <w:t>Rocio</w:t>
      </w:r>
      <w:proofErr w:type="spellEnd"/>
      <w:r w:rsidRPr="000D173F">
        <w:rPr>
          <w:rFonts w:ascii="Times New Roman" w:eastAsia="Georgia" w:hAnsi="Times New Roman" w:cs="Times New Roman"/>
          <w:sz w:val="24"/>
          <w:szCs w:val="24"/>
          <w:lang w:val="es-ES"/>
        </w:rPr>
        <w:t xml:space="preserve">. Los impactos de las multinacionales mineras, el papel del estado colombiano y los procesos de resistencia en Marmato. </w:t>
      </w:r>
      <w:r w:rsidRPr="000D173F">
        <w:rPr>
          <w:rFonts w:ascii="Times New Roman" w:eastAsia="Georgia" w:hAnsi="Times New Roman" w:cs="Times New Roman"/>
          <w:i/>
          <w:sz w:val="24"/>
          <w:szCs w:val="24"/>
        </w:rPr>
        <w:t>Revista sobre acesso à Justiça e Direito nas Américas</w:t>
      </w:r>
      <w:r w:rsidRPr="000D173F">
        <w:rPr>
          <w:rFonts w:ascii="Times New Roman" w:eastAsia="Georgia" w:hAnsi="Times New Roman" w:cs="Times New Roman"/>
          <w:sz w:val="24"/>
          <w:szCs w:val="24"/>
        </w:rPr>
        <w:t>, v. 2, n. 1, 2018.</w:t>
      </w:r>
    </w:p>
    <w:p w14:paraId="4BB8D6E3" w14:textId="77777777" w:rsidR="00BC015C" w:rsidRDefault="00BC015C" w:rsidP="00BC015C">
      <w:pPr>
        <w:rPr>
          <w:rFonts w:ascii="Times New Roman" w:eastAsia="Georgia" w:hAnsi="Times New Roman" w:cs="Times New Roman"/>
          <w:sz w:val="24"/>
          <w:szCs w:val="24"/>
          <w:lang w:val="en-US"/>
        </w:rPr>
      </w:pPr>
      <w:r w:rsidRPr="000D173F">
        <w:rPr>
          <w:rFonts w:ascii="Times New Roman" w:eastAsia="Georgia" w:hAnsi="Times New Roman" w:cs="Times New Roman"/>
          <w:sz w:val="24"/>
          <w:szCs w:val="24"/>
          <w:lang w:val="en-US"/>
        </w:rPr>
        <w:t xml:space="preserve">BLACKROCK. </w:t>
      </w:r>
      <w:r w:rsidRPr="000D173F">
        <w:rPr>
          <w:rFonts w:ascii="Times New Roman" w:eastAsia="Georgia" w:hAnsi="Times New Roman" w:cs="Times New Roman"/>
          <w:i/>
          <w:sz w:val="24"/>
          <w:szCs w:val="24"/>
          <w:lang w:val="en-US"/>
        </w:rPr>
        <w:t xml:space="preserve">2018 Annual Reports. </w:t>
      </w:r>
      <w:r w:rsidRPr="000D173F">
        <w:rPr>
          <w:rFonts w:ascii="Times New Roman" w:eastAsia="Georgia" w:hAnsi="Times New Roman" w:cs="Times New Roman"/>
          <w:sz w:val="24"/>
          <w:szCs w:val="24"/>
          <w:lang w:val="en-US"/>
        </w:rPr>
        <w:t>Better portfolios. Better futures. New York: Blackrock Inc, 2019.</w:t>
      </w:r>
    </w:p>
    <w:p w14:paraId="0D18A0F4" w14:textId="77777777" w:rsidR="00BC015C" w:rsidRPr="003E0ED3" w:rsidRDefault="00BC015C" w:rsidP="00BC015C">
      <w:pPr>
        <w:spacing w:after="120" w:line="240" w:lineRule="auto"/>
        <w:rPr>
          <w:rFonts w:ascii="Times New Roman" w:eastAsia="Times New Roman" w:hAnsi="Times New Roman" w:cs="Times New Roman"/>
          <w:sz w:val="24"/>
          <w:szCs w:val="24"/>
        </w:rPr>
      </w:pPr>
      <w:r w:rsidRPr="003E0ED3">
        <w:rPr>
          <w:rFonts w:ascii="Times New Roman" w:eastAsia="Times New Roman" w:hAnsi="Times New Roman" w:cs="Times New Roman"/>
          <w:sz w:val="24"/>
          <w:szCs w:val="24"/>
        </w:rPr>
        <w:t xml:space="preserve">BOITO JR., Armando. </w:t>
      </w:r>
      <w:proofErr w:type="spellStart"/>
      <w:r w:rsidRPr="003E0ED3">
        <w:rPr>
          <w:rFonts w:ascii="Times New Roman" w:eastAsia="Times New Roman" w:hAnsi="Times New Roman" w:cs="Times New Roman"/>
          <w:sz w:val="24"/>
          <w:szCs w:val="24"/>
        </w:rPr>
        <w:t>Lulism</w:t>
      </w:r>
      <w:proofErr w:type="spellEnd"/>
      <w:r w:rsidRPr="003E0ED3">
        <w:rPr>
          <w:rFonts w:ascii="Times New Roman" w:eastAsia="Times New Roman" w:hAnsi="Times New Roman" w:cs="Times New Roman"/>
          <w:sz w:val="24"/>
          <w:szCs w:val="24"/>
        </w:rPr>
        <w:t xml:space="preserve">, </w:t>
      </w:r>
      <w:proofErr w:type="spellStart"/>
      <w:r w:rsidRPr="003E0ED3">
        <w:rPr>
          <w:rFonts w:ascii="Times New Roman" w:eastAsia="Times New Roman" w:hAnsi="Times New Roman" w:cs="Times New Roman"/>
          <w:sz w:val="24"/>
          <w:szCs w:val="24"/>
        </w:rPr>
        <w:t>Populism</w:t>
      </w:r>
      <w:proofErr w:type="spellEnd"/>
      <w:r w:rsidRPr="003E0ED3">
        <w:rPr>
          <w:rFonts w:ascii="Times New Roman" w:eastAsia="Times New Roman" w:hAnsi="Times New Roman" w:cs="Times New Roman"/>
          <w:sz w:val="24"/>
          <w:szCs w:val="24"/>
        </w:rPr>
        <w:t xml:space="preserve"> </w:t>
      </w:r>
      <w:proofErr w:type="spellStart"/>
      <w:r w:rsidRPr="003E0ED3">
        <w:rPr>
          <w:rFonts w:ascii="Times New Roman" w:eastAsia="Times New Roman" w:hAnsi="Times New Roman" w:cs="Times New Roman"/>
          <w:sz w:val="24"/>
          <w:szCs w:val="24"/>
        </w:rPr>
        <w:t>and</w:t>
      </w:r>
      <w:proofErr w:type="spellEnd"/>
      <w:r w:rsidRPr="003E0ED3">
        <w:rPr>
          <w:rFonts w:ascii="Times New Roman" w:eastAsia="Times New Roman" w:hAnsi="Times New Roman" w:cs="Times New Roman"/>
          <w:sz w:val="24"/>
          <w:szCs w:val="24"/>
        </w:rPr>
        <w:t xml:space="preserve"> </w:t>
      </w:r>
      <w:proofErr w:type="spellStart"/>
      <w:r w:rsidRPr="003E0ED3">
        <w:rPr>
          <w:rFonts w:ascii="Times New Roman" w:eastAsia="Times New Roman" w:hAnsi="Times New Roman" w:cs="Times New Roman"/>
          <w:sz w:val="24"/>
          <w:szCs w:val="24"/>
        </w:rPr>
        <w:t>Bonapartism</w:t>
      </w:r>
      <w:proofErr w:type="spellEnd"/>
      <w:r w:rsidRPr="003E0ED3">
        <w:rPr>
          <w:rFonts w:ascii="Times New Roman" w:eastAsia="Times New Roman" w:hAnsi="Times New Roman" w:cs="Times New Roman"/>
          <w:sz w:val="24"/>
          <w:szCs w:val="24"/>
        </w:rPr>
        <w:t xml:space="preserve">. </w:t>
      </w:r>
      <w:proofErr w:type="spellStart"/>
      <w:r w:rsidRPr="003E0ED3">
        <w:rPr>
          <w:rFonts w:ascii="Times New Roman" w:eastAsia="Times New Roman" w:hAnsi="Times New Roman" w:cs="Times New Roman"/>
          <w:i/>
          <w:sz w:val="24"/>
          <w:szCs w:val="24"/>
        </w:rPr>
        <w:t>Latin</w:t>
      </w:r>
      <w:proofErr w:type="spellEnd"/>
      <w:r w:rsidRPr="003E0ED3">
        <w:rPr>
          <w:rFonts w:ascii="Times New Roman" w:eastAsia="Times New Roman" w:hAnsi="Times New Roman" w:cs="Times New Roman"/>
          <w:i/>
          <w:sz w:val="24"/>
          <w:szCs w:val="24"/>
        </w:rPr>
        <w:t xml:space="preserve"> American Perspectives</w:t>
      </w:r>
      <w:r w:rsidRPr="003E0ED3">
        <w:rPr>
          <w:rFonts w:ascii="Times New Roman" w:eastAsia="Times New Roman" w:hAnsi="Times New Roman" w:cs="Times New Roman"/>
          <w:sz w:val="24"/>
          <w:szCs w:val="24"/>
        </w:rPr>
        <w:t>, v. 47, n. 1, p. 134 – 151, 2020.</w:t>
      </w:r>
    </w:p>
    <w:p w14:paraId="04E365FE" w14:textId="77777777" w:rsidR="00BC015C" w:rsidRPr="000D173F" w:rsidRDefault="00BC015C" w:rsidP="00BC015C">
      <w:pPr>
        <w:rPr>
          <w:rFonts w:ascii="Times New Roman" w:eastAsia="Georgia" w:hAnsi="Times New Roman" w:cs="Times New Roman"/>
          <w:sz w:val="24"/>
          <w:szCs w:val="24"/>
        </w:rPr>
      </w:pPr>
      <w:r w:rsidRPr="000D173F">
        <w:rPr>
          <w:rFonts w:ascii="Times New Roman" w:eastAsia="Georgia" w:hAnsi="Times New Roman" w:cs="Times New Roman"/>
          <w:sz w:val="24"/>
          <w:szCs w:val="24"/>
        </w:rPr>
        <w:t xml:space="preserve">BORGES, </w:t>
      </w:r>
      <w:proofErr w:type="spellStart"/>
      <w:r w:rsidRPr="000D173F">
        <w:rPr>
          <w:rFonts w:ascii="Times New Roman" w:eastAsia="Georgia" w:hAnsi="Times New Roman" w:cs="Times New Roman"/>
          <w:sz w:val="24"/>
          <w:szCs w:val="24"/>
        </w:rPr>
        <w:t>Gedson</w:t>
      </w:r>
      <w:proofErr w:type="spellEnd"/>
      <w:r w:rsidRPr="000D173F">
        <w:rPr>
          <w:rFonts w:ascii="Times New Roman" w:eastAsia="Georgia" w:hAnsi="Times New Roman" w:cs="Times New Roman"/>
          <w:sz w:val="24"/>
          <w:szCs w:val="24"/>
        </w:rPr>
        <w:t xml:space="preserve"> Thiago do Nascimento. </w:t>
      </w:r>
      <w:r w:rsidRPr="000D173F">
        <w:rPr>
          <w:rFonts w:ascii="Times New Roman" w:eastAsia="Georgia" w:hAnsi="Times New Roman" w:cs="Times New Roman"/>
          <w:i/>
          <w:sz w:val="24"/>
          <w:szCs w:val="24"/>
        </w:rPr>
        <w:t>A acumulação, concentração e centralização de capital e a financeirização: uma análise do capital da CVRD à Vale S.A.</w:t>
      </w:r>
      <w:r w:rsidRPr="000D173F">
        <w:rPr>
          <w:rFonts w:ascii="Times New Roman" w:eastAsia="Georgia" w:hAnsi="Times New Roman" w:cs="Times New Roman"/>
          <w:b/>
          <w:sz w:val="24"/>
          <w:szCs w:val="24"/>
        </w:rPr>
        <w:t xml:space="preserve"> </w:t>
      </w:r>
      <w:r w:rsidRPr="000D173F">
        <w:rPr>
          <w:rFonts w:ascii="Times New Roman" w:eastAsia="Georgia" w:hAnsi="Times New Roman" w:cs="Times New Roman"/>
          <w:sz w:val="24"/>
          <w:szCs w:val="24"/>
        </w:rPr>
        <w:t xml:space="preserve">Tese (Doutorado em </w:t>
      </w:r>
      <w:r w:rsidRPr="000D173F">
        <w:rPr>
          <w:rFonts w:ascii="Times New Roman" w:eastAsia="Georgia" w:hAnsi="Times New Roman" w:cs="Times New Roman"/>
          <w:sz w:val="24"/>
          <w:szCs w:val="24"/>
        </w:rPr>
        <w:lastRenderedPageBreak/>
        <w:t>Economia). Programa de Pós-graduação em Economia. Instituto de Ciências Sociais Aplicada. Universidade Federal do Pará. Belém-PA, 2021.</w:t>
      </w:r>
    </w:p>
    <w:p w14:paraId="22CC8157" w14:textId="77777777" w:rsidR="00BC015C" w:rsidRPr="000D173F" w:rsidRDefault="00BC015C" w:rsidP="00BC015C">
      <w:pPr>
        <w:rPr>
          <w:rFonts w:ascii="Times New Roman" w:eastAsia="Georgia" w:hAnsi="Times New Roman" w:cs="Times New Roman"/>
          <w:sz w:val="24"/>
          <w:szCs w:val="24"/>
        </w:rPr>
      </w:pPr>
      <w:r w:rsidRPr="000D173F">
        <w:rPr>
          <w:rFonts w:ascii="Times New Roman" w:eastAsia="Georgia" w:hAnsi="Times New Roman" w:cs="Times New Roman"/>
          <w:color w:val="000000"/>
          <w:sz w:val="24"/>
          <w:szCs w:val="24"/>
          <w:highlight w:val="white"/>
        </w:rPr>
        <w:t xml:space="preserve">BRANDÃO, Carlos. </w:t>
      </w:r>
      <w:r w:rsidRPr="000D173F">
        <w:rPr>
          <w:rFonts w:ascii="Times New Roman" w:eastAsia="Georgia" w:hAnsi="Times New Roman" w:cs="Times New Roman"/>
          <w:i/>
          <w:color w:val="000000"/>
          <w:sz w:val="24"/>
          <w:szCs w:val="24"/>
          <w:highlight w:val="white"/>
        </w:rPr>
        <w:t>Território e Desenvolvimento:</w:t>
      </w:r>
      <w:r w:rsidRPr="000D173F">
        <w:rPr>
          <w:rFonts w:ascii="Times New Roman" w:eastAsia="Georgia" w:hAnsi="Times New Roman" w:cs="Times New Roman"/>
          <w:b/>
          <w:color w:val="000000"/>
          <w:sz w:val="24"/>
          <w:szCs w:val="24"/>
          <w:highlight w:val="white"/>
        </w:rPr>
        <w:t xml:space="preserve"> </w:t>
      </w:r>
      <w:r w:rsidRPr="000D173F">
        <w:rPr>
          <w:rFonts w:ascii="Times New Roman" w:eastAsia="Georgia" w:hAnsi="Times New Roman" w:cs="Times New Roman"/>
          <w:color w:val="000000"/>
          <w:sz w:val="24"/>
          <w:szCs w:val="24"/>
          <w:highlight w:val="white"/>
        </w:rPr>
        <w:t>As múltiplas escalas entre o Local e o Global. Campinas-SP: Editora Unicamp, 2012.</w:t>
      </w:r>
    </w:p>
    <w:p w14:paraId="1A8AA5B3" w14:textId="77777777" w:rsidR="00BC015C" w:rsidRDefault="00BC015C" w:rsidP="00BC015C">
      <w:pPr>
        <w:rPr>
          <w:rFonts w:ascii="Times New Roman" w:eastAsia="Georgia" w:hAnsi="Times New Roman" w:cs="Times New Roman"/>
          <w:sz w:val="24"/>
          <w:szCs w:val="24"/>
        </w:rPr>
      </w:pPr>
      <w:r w:rsidRPr="000D173F">
        <w:rPr>
          <w:rFonts w:ascii="Times New Roman" w:eastAsia="Georgia" w:hAnsi="Times New Roman" w:cs="Times New Roman"/>
          <w:sz w:val="24"/>
          <w:szCs w:val="24"/>
        </w:rPr>
        <w:t xml:space="preserve">FELIX, Bruno </w:t>
      </w:r>
      <w:proofErr w:type="spellStart"/>
      <w:r w:rsidRPr="000D173F">
        <w:rPr>
          <w:rFonts w:ascii="Times New Roman" w:eastAsia="Georgia" w:hAnsi="Times New Roman" w:cs="Times New Roman"/>
          <w:sz w:val="24"/>
          <w:szCs w:val="24"/>
        </w:rPr>
        <w:t>Galoppini</w:t>
      </w:r>
      <w:proofErr w:type="spellEnd"/>
      <w:r w:rsidRPr="000D173F">
        <w:rPr>
          <w:rFonts w:ascii="Times New Roman" w:eastAsia="Georgia" w:hAnsi="Times New Roman" w:cs="Times New Roman"/>
          <w:sz w:val="24"/>
          <w:szCs w:val="24"/>
        </w:rPr>
        <w:t xml:space="preserve">. </w:t>
      </w:r>
      <w:r w:rsidRPr="000D173F">
        <w:rPr>
          <w:rFonts w:ascii="Times New Roman" w:eastAsia="Georgia" w:hAnsi="Times New Roman" w:cs="Times New Roman"/>
          <w:i/>
          <w:sz w:val="24"/>
          <w:szCs w:val="24"/>
        </w:rPr>
        <w:t xml:space="preserve">O real papel das empresas multinacionais no mundo atual. </w:t>
      </w:r>
      <w:r w:rsidRPr="000D173F">
        <w:rPr>
          <w:rFonts w:ascii="Times New Roman" w:eastAsia="Georgia" w:hAnsi="Times New Roman" w:cs="Times New Roman"/>
          <w:sz w:val="24"/>
          <w:szCs w:val="24"/>
        </w:rPr>
        <w:t xml:space="preserve">São Paulo: Editora </w:t>
      </w:r>
      <w:proofErr w:type="spellStart"/>
      <w:r w:rsidRPr="000D173F">
        <w:rPr>
          <w:rFonts w:ascii="Times New Roman" w:eastAsia="Georgia" w:hAnsi="Times New Roman" w:cs="Times New Roman"/>
          <w:sz w:val="24"/>
          <w:szCs w:val="24"/>
        </w:rPr>
        <w:t>Toth</w:t>
      </w:r>
      <w:proofErr w:type="spellEnd"/>
      <w:r w:rsidRPr="000D173F">
        <w:rPr>
          <w:rFonts w:ascii="Times New Roman" w:eastAsia="Georgia" w:hAnsi="Times New Roman" w:cs="Times New Roman"/>
          <w:sz w:val="24"/>
          <w:szCs w:val="24"/>
        </w:rPr>
        <w:t>, 2020.</w:t>
      </w:r>
    </w:p>
    <w:p w14:paraId="54037541" w14:textId="77777777" w:rsidR="00BC015C" w:rsidRPr="00473D9D" w:rsidRDefault="00BC015C" w:rsidP="00BC015C">
      <w:pPr>
        <w:rPr>
          <w:rFonts w:ascii="Times New Roman" w:eastAsia="Georgia" w:hAnsi="Times New Roman" w:cs="Times New Roman"/>
          <w:sz w:val="24"/>
          <w:szCs w:val="24"/>
        </w:rPr>
      </w:pPr>
      <w:r w:rsidRPr="00473D9D">
        <w:rPr>
          <w:rFonts w:ascii="Times New Roman" w:hAnsi="Times New Roman" w:cs="Times New Roman"/>
          <w:sz w:val="24"/>
          <w:szCs w:val="24"/>
          <w:shd w:val="clear" w:color="auto" w:fill="FFFFFF"/>
        </w:rPr>
        <w:t>GUIMARÃES, Carolina;</w:t>
      </w:r>
      <w:r>
        <w:rPr>
          <w:rFonts w:ascii="Times New Roman" w:hAnsi="Times New Roman" w:cs="Times New Roman"/>
          <w:sz w:val="24"/>
          <w:szCs w:val="24"/>
          <w:shd w:val="clear" w:color="auto" w:fill="FFFFFF"/>
        </w:rPr>
        <w:t xml:space="preserve"> </w:t>
      </w:r>
      <w:r w:rsidRPr="00473D9D">
        <w:rPr>
          <w:rFonts w:ascii="Times New Roman" w:hAnsi="Times New Roman" w:cs="Times New Roman"/>
          <w:sz w:val="24"/>
          <w:szCs w:val="24"/>
          <w:shd w:val="clear" w:color="auto" w:fill="FFFFFF"/>
        </w:rPr>
        <w:t>MILANEZ, Bruno; RIBEIRO, Helton Lucinda</w:t>
      </w:r>
      <w:r>
        <w:rPr>
          <w:rFonts w:ascii="Times New Roman" w:hAnsi="Times New Roman" w:cs="Times New Roman"/>
          <w:sz w:val="24"/>
          <w:szCs w:val="24"/>
          <w:shd w:val="clear" w:color="auto" w:fill="FFFFFF"/>
        </w:rPr>
        <w:t xml:space="preserve">. </w:t>
      </w:r>
      <w:r w:rsidRPr="00473D9D">
        <w:rPr>
          <w:rFonts w:ascii="Times New Roman" w:hAnsi="Times New Roman" w:cs="Times New Roman"/>
          <w:sz w:val="24"/>
          <w:szCs w:val="24"/>
          <w:shd w:val="clear" w:color="auto" w:fill="FFFFFF"/>
        </w:rPr>
        <w:t>Partido da mineração: a influência das mineradoras nas eleições de 2014 em MG</w:t>
      </w:r>
      <w:r>
        <w:rPr>
          <w:rFonts w:ascii="Times New Roman" w:hAnsi="Times New Roman" w:cs="Times New Roman"/>
          <w:sz w:val="24"/>
          <w:szCs w:val="24"/>
          <w:shd w:val="clear" w:color="auto" w:fill="FFFFFF"/>
        </w:rPr>
        <w:t xml:space="preserve">. </w:t>
      </w:r>
      <w:r>
        <w:rPr>
          <w:rFonts w:ascii="Times New Roman" w:hAnsi="Times New Roman" w:cs="Times New Roman"/>
          <w:i/>
          <w:iCs/>
          <w:sz w:val="24"/>
          <w:szCs w:val="24"/>
          <w:shd w:val="clear" w:color="auto" w:fill="FFFFFF"/>
        </w:rPr>
        <w:t xml:space="preserve">Revista Terceiro </w:t>
      </w:r>
      <w:r w:rsidRPr="00473D9D">
        <w:rPr>
          <w:rFonts w:ascii="Times New Roman" w:hAnsi="Times New Roman" w:cs="Times New Roman"/>
          <w:i/>
          <w:iCs/>
          <w:sz w:val="24"/>
          <w:szCs w:val="24"/>
          <w:shd w:val="clear" w:color="auto" w:fill="FFFFFF"/>
        </w:rPr>
        <w:t>Incluído</w:t>
      </w:r>
      <w:r>
        <w:rPr>
          <w:rFonts w:ascii="Times New Roman" w:hAnsi="Times New Roman" w:cs="Times New Roman"/>
          <w:sz w:val="24"/>
          <w:szCs w:val="24"/>
          <w:shd w:val="clear" w:color="auto" w:fill="FFFFFF"/>
        </w:rPr>
        <w:t xml:space="preserve">, v. 09, </w:t>
      </w:r>
      <w:r w:rsidRPr="00473D9D">
        <w:rPr>
          <w:rFonts w:ascii="Times New Roman" w:hAnsi="Times New Roman" w:cs="Times New Roman"/>
          <w:sz w:val="24"/>
          <w:szCs w:val="24"/>
          <w:shd w:val="clear" w:color="auto" w:fill="FFFFFF"/>
        </w:rPr>
        <w:t>p.81</w:t>
      </w:r>
      <w:r w:rsidRPr="00473D9D">
        <w:rPr>
          <w:rFonts w:ascii="Times New Roman" w:hAnsi="Times New Roman" w:cs="Times New Roman"/>
          <w:sz w:val="24"/>
          <w:szCs w:val="24"/>
          <w:shd w:val="clear" w:color="auto" w:fill="FFFFFF"/>
        </w:rPr>
        <w:softHyphen/>
        <w:t>92</w:t>
      </w:r>
      <w:r>
        <w:rPr>
          <w:rFonts w:ascii="Times New Roman" w:hAnsi="Times New Roman" w:cs="Times New Roman"/>
          <w:sz w:val="24"/>
          <w:szCs w:val="24"/>
          <w:shd w:val="clear" w:color="auto" w:fill="FFFFFF"/>
        </w:rPr>
        <w:t>, 2019.</w:t>
      </w:r>
    </w:p>
    <w:p w14:paraId="23B6256B" w14:textId="77777777" w:rsidR="00BC015C" w:rsidRDefault="00BC015C" w:rsidP="00BC015C">
      <w:pPr>
        <w:rPr>
          <w:rFonts w:ascii="Times New Roman" w:eastAsia="Georgia" w:hAnsi="Times New Roman" w:cs="Times New Roman"/>
          <w:sz w:val="24"/>
          <w:szCs w:val="24"/>
        </w:rPr>
      </w:pPr>
      <w:r w:rsidRPr="000D173F">
        <w:rPr>
          <w:rFonts w:ascii="Times New Roman" w:eastAsia="Georgia" w:hAnsi="Times New Roman" w:cs="Times New Roman"/>
          <w:sz w:val="24"/>
          <w:szCs w:val="24"/>
        </w:rPr>
        <w:t xml:space="preserve">MACHADO, Thiago Adriano. Da formação social em Marx à formação socioespacial em Milton Santos: Uma categoria geográfica para interpretar o Brasil? </w:t>
      </w:r>
      <w:proofErr w:type="spellStart"/>
      <w:r w:rsidRPr="000D173F">
        <w:rPr>
          <w:rFonts w:ascii="Times New Roman" w:eastAsia="Georgia" w:hAnsi="Times New Roman" w:cs="Times New Roman"/>
          <w:i/>
          <w:sz w:val="24"/>
          <w:szCs w:val="24"/>
        </w:rPr>
        <w:t>Geographia</w:t>
      </w:r>
      <w:proofErr w:type="spellEnd"/>
      <w:r w:rsidRPr="000D173F">
        <w:rPr>
          <w:rFonts w:ascii="Times New Roman" w:eastAsia="Georgia" w:hAnsi="Times New Roman" w:cs="Times New Roman"/>
          <w:sz w:val="24"/>
          <w:szCs w:val="24"/>
        </w:rPr>
        <w:t>, v. 18, n. 38, p. 71 – 98, 2016.</w:t>
      </w:r>
    </w:p>
    <w:p w14:paraId="1DC63571" w14:textId="77777777" w:rsidR="00BC015C" w:rsidRPr="006C25A9" w:rsidRDefault="00BC015C" w:rsidP="00BC015C">
      <w:pPr>
        <w:rPr>
          <w:rFonts w:ascii="Times New Roman" w:eastAsia="Georgia" w:hAnsi="Times New Roman" w:cs="Times New Roman"/>
          <w:sz w:val="24"/>
          <w:szCs w:val="24"/>
        </w:rPr>
      </w:pPr>
      <w:r w:rsidRPr="006C25A9">
        <w:rPr>
          <w:rFonts w:ascii="Times New Roman" w:hAnsi="Times New Roman" w:cs="Times New Roman"/>
          <w:sz w:val="24"/>
          <w:szCs w:val="24"/>
          <w:shd w:val="clear" w:color="auto" w:fill="FFFFFF"/>
        </w:rPr>
        <w:t xml:space="preserve">MICHELOTTI, Fernando. </w:t>
      </w:r>
      <w:r w:rsidRPr="006C25A9">
        <w:rPr>
          <w:rFonts w:ascii="Times New Roman" w:hAnsi="Times New Roman" w:cs="Times New Roman"/>
          <w:i/>
          <w:iCs/>
          <w:sz w:val="24"/>
          <w:szCs w:val="24"/>
          <w:shd w:val="clear" w:color="auto" w:fill="FFFFFF"/>
        </w:rPr>
        <w:t xml:space="preserve">Territórios da produção </w:t>
      </w:r>
      <w:proofErr w:type="spellStart"/>
      <w:r w:rsidRPr="006C25A9">
        <w:rPr>
          <w:rFonts w:ascii="Times New Roman" w:hAnsi="Times New Roman" w:cs="Times New Roman"/>
          <w:i/>
          <w:iCs/>
          <w:sz w:val="24"/>
          <w:szCs w:val="24"/>
          <w:shd w:val="clear" w:color="auto" w:fill="FFFFFF"/>
        </w:rPr>
        <w:t>agromineral</w:t>
      </w:r>
      <w:proofErr w:type="spellEnd"/>
      <w:r w:rsidRPr="006C25A9">
        <w:rPr>
          <w:rFonts w:ascii="Times New Roman" w:hAnsi="Times New Roman" w:cs="Times New Roman"/>
          <w:sz w:val="24"/>
          <w:szCs w:val="24"/>
          <w:shd w:val="clear" w:color="auto" w:fill="FFFFFF"/>
        </w:rPr>
        <w:t>: relações de poder e novos impasses na luta pela terra no sudeste paraense. 2019. Tese (Doutorado em Planejamento Urbano e Regional) - Universidade Federal do Rio de Janeiro, 2019.</w:t>
      </w:r>
    </w:p>
    <w:p w14:paraId="57FCF309" w14:textId="77777777" w:rsidR="00BC015C" w:rsidRDefault="00BC015C" w:rsidP="00BC015C">
      <w:pPr>
        <w:rPr>
          <w:rFonts w:ascii="Times New Roman" w:eastAsia="Times New Roman" w:hAnsi="Times New Roman" w:cs="Times New Roman"/>
          <w:sz w:val="24"/>
          <w:szCs w:val="24"/>
        </w:rPr>
      </w:pPr>
      <w:r w:rsidRPr="00E03FFB">
        <w:rPr>
          <w:rFonts w:ascii="Times New Roman" w:eastAsia="Times New Roman" w:hAnsi="Times New Roman" w:cs="Times New Roman"/>
          <w:sz w:val="24"/>
          <w:szCs w:val="24"/>
        </w:rPr>
        <w:t>MARX, K</w:t>
      </w:r>
      <w:r>
        <w:rPr>
          <w:rFonts w:ascii="Times New Roman" w:eastAsia="Times New Roman" w:hAnsi="Times New Roman" w:cs="Times New Roman"/>
          <w:sz w:val="24"/>
          <w:szCs w:val="24"/>
        </w:rPr>
        <w:t>arl</w:t>
      </w:r>
      <w:r w:rsidRPr="00E03FFB">
        <w:rPr>
          <w:rFonts w:ascii="Times New Roman" w:eastAsia="Times New Roman" w:hAnsi="Times New Roman" w:cs="Times New Roman"/>
          <w:sz w:val="24"/>
          <w:szCs w:val="24"/>
        </w:rPr>
        <w:t xml:space="preserve">. </w:t>
      </w:r>
      <w:r w:rsidRPr="00E03FFB">
        <w:rPr>
          <w:rFonts w:ascii="Times New Roman" w:eastAsia="Times New Roman" w:hAnsi="Times New Roman" w:cs="Times New Roman"/>
          <w:i/>
          <w:sz w:val="24"/>
          <w:szCs w:val="24"/>
        </w:rPr>
        <w:t>O Capital</w:t>
      </w:r>
      <w:r w:rsidRPr="00E03FFB">
        <w:rPr>
          <w:rFonts w:ascii="Times New Roman" w:eastAsia="Times New Roman" w:hAnsi="Times New Roman" w:cs="Times New Roman"/>
          <w:sz w:val="24"/>
          <w:szCs w:val="24"/>
        </w:rPr>
        <w:t>: Crítica da Economia Política. Livro Primeiro Tomo 3. São Paulo: Editora Nova Cultura, 1996.</w:t>
      </w:r>
    </w:p>
    <w:p w14:paraId="1E0488F2" w14:textId="77777777" w:rsidR="00BC015C" w:rsidRPr="002C6F90" w:rsidRDefault="00BC015C" w:rsidP="00BC015C">
      <w:pPr>
        <w:rPr>
          <w:rFonts w:ascii="Times New Roman" w:eastAsia="Georgia" w:hAnsi="Times New Roman" w:cs="Times New Roman"/>
          <w:sz w:val="24"/>
          <w:szCs w:val="24"/>
          <w:lang w:val="en-US"/>
        </w:rPr>
      </w:pPr>
      <w:r>
        <w:rPr>
          <w:rFonts w:ascii="Times New Roman" w:eastAsia="Times New Roman" w:hAnsi="Times New Roman" w:cs="Times New Roman"/>
          <w:sz w:val="24"/>
          <w:szCs w:val="24"/>
        </w:rPr>
        <w:t xml:space="preserve">MILANEZ, Bruno. ALI, </w:t>
      </w:r>
      <w:proofErr w:type="spellStart"/>
      <w:r>
        <w:rPr>
          <w:rFonts w:ascii="Times New Roman" w:eastAsia="Times New Roman" w:hAnsi="Times New Roman" w:cs="Times New Roman"/>
          <w:sz w:val="24"/>
          <w:szCs w:val="24"/>
        </w:rPr>
        <w:t>Saleem</w:t>
      </w:r>
      <w:proofErr w:type="spellEnd"/>
      <w:r>
        <w:rPr>
          <w:rFonts w:ascii="Times New Roman" w:eastAsia="Times New Roman" w:hAnsi="Times New Roman" w:cs="Times New Roman"/>
          <w:sz w:val="24"/>
          <w:szCs w:val="24"/>
        </w:rPr>
        <w:t xml:space="preserve">; OLIVEIRA, Jose. </w:t>
      </w:r>
      <w:proofErr w:type="spellStart"/>
      <w:r w:rsidRPr="002C6F90">
        <w:rPr>
          <w:rFonts w:ascii="Times New Roman" w:eastAsia="Times New Roman" w:hAnsi="Times New Roman" w:cs="Times New Roman"/>
          <w:sz w:val="24"/>
          <w:szCs w:val="24"/>
          <w:lang w:val="en-US"/>
        </w:rPr>
        <w:t>Maping</w:t>
      </w:r>
      <w:proofErr w:type="spellEnd"/>
      <w:r w:rsidRPr="002C6F90">
        <w:rPr>
          <w:rFonts w:ascii="Times New Roman" w:eastAsia="Times New Roman" w:hAnsi="Times New Roman" w:cs="Times New Roman"/>
          <w:sz w:val="24"/>
          <w:szCs w:val="24"/>
          <w:lang w:val="en-US"/>
        </w:rPr>
        <w:t xml:space="preserve"> industrial disaster revery: Less</w:t>
      </w:r>
      <w:r>
        <w:rPr>
          <w:rFonts w:ascii="Times New Roman" w:eastAsia="Times New Roman" w:hAnsi="Times New Roman" w:cs="Times New Roman"/>
          <w:sz w:val="24"/>
          <w:szCs w:val="24"/>
          <w:lang w:val="en-US"/>
        </w:rPr>
        <w:t xml:space="preserve">ons from mining dam failures in Brazil. </w:t>
      </w:r>
      <w:r>
        <w:rPr>
          <w:rFonts w:ascii="Times New Roman" w:eastAsia="Times New Roman" w:hAnsi="Times New Roman" w:cs="Times New Roman"/>
          <w:i/>
          <w:iCs/>
          <w:sz w:val="24"/>
          <w:szCs w:val="24"/>
          <w:lang w:val="en-US"/>
        </w:rPr>
        <w:t>The Extractive Industries and Society</w:t>
      </w:r>
      <w:r>
        <w:rPr>
          <w:rFonts w:ascii="Times New Roman" w:eastAsia="Times New Roman" w:hAnsi="Times New Roman" w:cs="Times New Roman"/>
          <w:sz w:val="24"/>
          <w:szCs w:val="24"/>
          <w:lang w:val="en-US"/>
        </w:rPr>
        <w:t>, v. 8, n. 2, 2021.</w:t>
      </w:r>
    </w:p>
    <w:p w14:paraId="2F067C3D" w14:textId="77777777" w:rsidR="00BC015C" w:rsidRPr="000D173F" w:rsidRDefault="00BC015C" w:rsidP="00BC015C">
      <w:pPr>
        <w:rPr>
          <w:rFonts w:ascii="Times New Roman" w:eastAsia="Georgia" w:hAnsi="Times New Roman" w:cs="Times New Roman"/>
          <w:sz w:val="24"/>
          <w:szCs w:val="24"/>
        </w:rPr>
      </w:pPr>
      <w:r w:rsidRPr="002C6F90">
        <w:rPr>
          <w:rFonts w:ascii="Times New Roman" w:eastAsia="Georgia" w:hAnsi="Times New Roman" w:cs="Times New Roman"/>
          <w:sz w:val="24"/>
          <w:szCs w:val="24"/>
          <w:lang w:val="en-US"/>
        </w:rPr>
        <w:t xml:space="preserve">MONIZ, Antônio </w:t>
      </w:r>
      <w:proofErr w:type="spellStart"/>
      <w:r w:rsidRPr="002C6F90">
        <w:rPr>
          <w:rFonts w:ascii="Times New Roman" w:eastAsia="Georgia" w:hAnsi="Times New Roman" w:cs="Times New Roman"/>
          <w:sz w:val="24"/>
          <w:szCs w:val="24"/>
          <w:lang w:val="en-US"/>
        </w:rPr>
        <w:t>Brandão</w:t>
      </w:r>
      <w:proofErr w:type="spellEnd"/>
      <w:r w:rsidRPr="002C6F90">
        <w:rPr>
          <w:rFonts w:ascii="Times New Roman" w:eastAsia="Georgia" w:hAnsi="Times New Roman" w:cs="Times New Roman"/>
          <w:sz w:val="24"/>
          <w:szCs w:val="24"/>
          <w:lang w:val="en-US"/>
        </w:rPr>
        <w:t xml:space="preserve">. </w:t>
      </w:r>
      <w:r w:rsidRPr="000D173F">
        <w:rPr>
          <w:rFonts w:ascii="Times New Roman" w:eastAsia="Georgia" w:hAnsi="Times New Roman" w:cs="Times New Roman"/>
          <w:sz w:val="24"/>
          <w:szCs w:val="24"/>
        </w:rPr>
        <w:t xml:space="preserve">Da divisão social do trabalho: uma abordagem sociológica. </w:t>
      </w:r>
      <w:r w:rsidRPr="000D173F">
        <w:rPr>
          <w:rFonts w:ascii="Times New Roman" w:eastAsia="Georgia" w:hAnsi="Times New Roman" w:cs="Times New Roman"/>
          <w:i/>
          <w:sz w:val="24"/>
          <w:szCs w:val="24"/>
        </w:rPr>
        <w:t>Arquipélago</w:t>
      </w:r>
      <w:r w:rsidRPr="000D173F">
        <w:rPr>
          <w:rFonts w:ascii="Times New Roman" w:eastAsia="Georgia" w:hAnsi="Times New Roman" w:cs="Times New Roman"/>
          <w:sz w:val="24"/>
          <w:szCs w:val="24"/>
        </w:rPr>
        <w:t>. Série Ciências Humanas, n; 4, p. 23 -48, 1982.</w:t>
      </w:r>
    </w:p>
    <w:p w14:paraId="26D8FF36" w14:textId="77777777" w:rsidR="00BC015C" w:rsidRPr="000D173F" w:rsidRDefault="00BC015C" w:rsidP="00BC015C">
      <w:pPr>
        <w:rPr>
          <w:rFonts w:ascii="Times New Roman" w:eastAsia="Georgia" w:hAnsi="Times New Roman" w:cs="Times New Roman"/>
          <w:color w:val="000000"/>
          <w:sz w:val="24"/>
          <w:szCs w:val="24"/>
        </w:rPr>
      </w:pPr>
      <w:r w:rsidRPr="000D173F">
        <w:rPr>
          <w:rFonts w:ascii="Times New Roman" w:eastAsia="Georgia" w:hAnsi="Times New Roman" w:cs="Times New Roman"/>
          <w:color w:val="000000"/>
          <w:sz w:val="24"/>
          <w:szCs w:val="24"/>
        </w:rPr>
        <w:t>MONTEIRO, M</w:t>
      </w:r>
      <w:r>
        <w:rPr>
          <w:rFonts w:ascii="Times New Roman" w:eastAsia="Georgia" w:hAnsi="Times New Roman" w:cs="Times New Roman"/>
          <w:color w:val="000000"/>
          <w:sz w:val="24"/>
          <w:szCs w:val="24"/>
        </w:rPr>
        <w:t>onteiro</w:t>
      </w:r>
      <w:r w:rsidRPr="000D173F">
        <w:rPr>
          <w:rFonts w:ascii="Times New Roman" w:eastAsia="Georgia" w:hAnsi="Times New Roman" w:cs="Times New Roman"/>
          <w:color w:val="000000"/>
          <w:sz w:val="24"/>
          <w:szCs w:val="24"/>
        </w:rPr>
        <w:t>.; SILVA, R</w:t>
      </w:r>
      <w:r>
        <w:rPr>
          <w:rFonts w:ascii="Times New Roman" w:eastAsia="Georgia" w:hAnsi="Times New Roman" w:cs="Times New Roman"/>
          <w:color w:val="000000"/>
          <w:sz w:val="24"/>
          <w:szCs w:val="24"/>
        </w:rPr>
        <w:t>ejane</w:t>
      </w:r>
      <w:r w:rsidRPr="000D173F">
        <w:rPr>
          <w:rFonts w:ascii="Times New Roman" w:eastAsia="Georgia" w:hAnsi="Times New Roman" w:cs="Times New Roman"/>
          <w:color w:val="000000"/>
          <w:sz w:val="24"/>
          <w:szCs w:val="24"/>
        </w:rPr>
        <w:t xml:space="preserve">. Expansão geográfica, fronteira e regionalização: a região de Carajás. </w:t>
      </w:r>
      <w:r w:rsidRPr="000D173F">
        <w:rPr>
          <w:rFonts w:ascii="Times New Roman" w:eastAsia="Georgia" w:hAnsi="Times New Roman" w:cs="Times New Roman"/>
          <w:i/>
          <w:color w:val="000000"/>
          <w:sz w:val="24"/>
          <w:szCs w:val="24"/>
        </w:rPr>
        <w:t>Revista Confins</w:t>
      </w:r>
      <w:r w:rsidRPr="000D173F">
        <w:rPr>
          <w:rFonts w:ascii="Times New Roman" w:eastAsia="Georgia" w:hAnsi="Times New Roman" w:cs="Times New Roman"/>
          <w:color w:val="000000"/>
          <w:sz w:val="24"/>
          <w:szCs w:val="24"/>
        </w:rPr>
        <w:t>, n. 49, 2021.</w:t>
      </w:r>
    </w:p>
    <w:p w14:paraId="6DC3864B" w14:textId="77777777" w:rsidR="00BC015C" w:rsidRPr="000D173F" w:rsidRDefault="00BC015C" w:rsidP="00BC015C">
      <w:pPr>
        <w:rPr>
          <w:rFonts w:ascii="Times New Roman" w:eastAsia="Georgia" w:hAnsi="Times New Roman" w:cs="Times New Roman"/>
          <w:color w:val="000000"/>
          <w:sz w:val="24"/>
          <w:szCs w:val="24"/>
        </w:rPr>
      </w:pPr>
      <w:r w:rsidRPr="000D173F">
        <w:rPr>
          <w:rFonts w:ascii="Times New Roman" w:eastAsia="Georgia" w:hAnsi="Times New Roman" w:cs="Times New Roman"/>
          <w:color w:val="000000"/>
          <w:sz w:val="24"/>
          <w:szCs w:val="24"/>
        </w:rPr>
        <w:t xml:space="preserve">OLIVEIRA, Elias Mendes. Uso industrial do território em Poços de Caldas (MG) – 1865/2010. </w:t>
      </w:r>
      <w:r w:rsidRPr="000D173F">
        <w:rPr>
          <w:rFonts w:ascii="Times New Roman" w:eastAsia="Georgia" w:hAnsi="Times New Roman" w:cs="Times New Roman"/>
          <w:i/>
          <w:color w:val="000000"/>
          <w:sz w:val="24"/>
          <w:szCs w:val="24"/>
        </w:rPr>
        <w:t>Revista Caminhos de Geografia</w:t>
      </w:r>
      <w:r w:rsidRPr="000D173F">
        <w:rPr>
          <w:rFonts w:ascii="Times New Roman" w:eastAsia="Georgia" w:hAnsi="Times New Roman" w:cs="Times New Roman"/>
          <w:color w:val="000000"/>
          <w:sz w:val="24"/>
          <w:szCs w:val="24"/>
        </w:rPr>
        <w:t>, v. 19, n. 65, p. 146 – 158, 2018.</w:t>
      </w:r>
    </w:p>
    <w:p w14:paraId="0103D69F" w14:textId="77777777" w:rsidR="00BC015C" w:rsidRDefault="00BC015C" w:rsidP="00BC015C">
      <w:pPr>
        <w:rPr>
          <w:rFonts w:ascii="Times New Roman" w:eastAsia="Georgia" w:hAnsi="Times New Roman" w:cs="Times New Roman"/>
          <w:color w:val="000000"/>
          <w:sz w:val="24"/>
          <w:szCs w:val="24"/>
        </w:rPr>
      </w:pPr>
      <w:r w:rsidRPr="000D173F">
        <w:rPr>
          <w:rFonts w:ascii="Times New Roman" w:eastAsia="Georgia" w:hAnsi="Times New Roman" w:cs="Times New Roman"/>
          <w:color w:val="000000"/>
          <w:sz w:val="24"/>
          <w:szCs w:val="24"/>
        </w:rPr>
        <w:t xml:space="preserve">RICARDO, David. </w:t>
      </w:r>
      <w:r w:rsidRPr="000D173F">
        <w:rPr>
          <w:rFonts w:ascii="Times New Roman" w:eastAsia="Georgia" w:hAnsi="Times New Roman" w:cs="Times New Roman"/>
          <w:i/>
          <w:color w:val="000000"/>
          <w:sz w:val="24"/>
          <w:szCs w:val="24"/>
        </w:rPr>
        <w:t xml:space="preserve">Princípios de Economia Política e Tributação. </w:t>
      </w:r>
      <w:proofErr w:type="spellStart"/>
      <w:r w:rsidRPr="000D173F">
        <w:rPr>
          <w:rFonts w:ascii="Times New Roman" w:eastAsia="Georgia" w:hAnsi="Times New Roman" w:cs="Times New Roman"/>
          <w:color w:val="000000"/>
          <w:sz w:val="24"/>
          <w:szCs w:val="24"/>
        </w:rPr>
        <w:t>Leebooks</w:t>
      </w:r>
      <w:proofErr w:type="spellEnd"/>
      <w:r w:rsidRPr="000D173F">
        <w:rPr>
          <w:rFonts w:ascii="Times New Roman" w:eastAsia="Georgia" w:hAnsi="Times New Roman" w:cs="Times New Roman"/>
          <w:color w:val="000000"/>
          <w:sz w:val="24"/>
          <w:szCs w:val="24"/>
        </w:rPr>
        <w:t xml:space="preserve"> Editora, 1ª Edição, 2018.</w:t>
      </w:r>
    </w:p>
    <w:p w14:paraId="0B4D507B" w14:textId="77777777" w:rsidR="00BC015C" w:rsidRPr="0004544F" w:rsidRDefault="00BC015C" w:rsidP="00BC015C">
      <w:pPr>
        <w:rPr>
          <w:rFonts w:ascii="Times New Roman" w:eastAsia="Georgia" w:hAnsi="Times New Roman" w:cs="Times New Roman"/>
          <w:sz w:val="24"/>
          <w:szCs w:val="24"/>
        </w:rPr>
      </w:pPr>
      <w:r w:rsidRPr="00B56DE9">
        <w:rPr>
          <w:rFonts w:ascii="Times New Roman" w:eastAsia="Georgia" w:hAnsi="Times New Roman" w:cs="Times New Roman"/>
          <w:color w:val="000000"/>
          <w:sz w:val="24"/>
          <w:szCs w:val="24"/>
        </w:rPr>
        <w:t xml:space="preserve">SANTOS, Filipe. </w:t>
      </w:r>
      <w:r w:rsidRPr="00B56DE9">
        <w:rPr>
          <w:rFonts w:ascii="Times New Roman" w:eastAsia="Georgia" w:hAnsi="Times New Roman" w:cs="Times New Roman"/>
          <w:i/>
          <w:iCs/>
          <w:color w:val="000000"/>
          <w:sz w:val="24"/>
          <w:szCs w:val="24"/>
        </w:rPr>
        <w:t xml:space="preserve">Et al. </w:t>
      </w:r>
      <w:r w:rsidRPr="0004544F">
        <w:rPr>
          <w:rFonts w:ascii="Times New Roman" w:eastAsia="Georgia" w:hAnsi="Times New Roman" w:cs="Times New Roman"/>
          <w:color w:val="000000"/>
          <w:sz w:val="24"/>
          <w:szCs w:val="24"/>
        </w:rPr>
        <w:t>Redes Sociais ao Longo d</w:t>
      </w:r>
      <w:r>
        <w:rPr>
          <w:rFonts w:ascii="Times New Roman" w:eastAsia="Georgia" w:hAnsi="Times New Roman" w:cs="Times New Roman"/>
          <w:color w:val="000000"/>
          <w:sz w:val="24"/>
          <w:szCs w:val="24"/>
        </w:rPr>
        <w:t xml:space="preserve">a Estrada de Ferro Carajás na Amazônia Oriental. </w:t>
      </w:r>
      <w:r>
        <w:rPr>
          <w:rFonts w:ascii="Times New Roman" w:eastAsia="Georgia" w:hAnsi="Times New Roman" w:cs="Times New Roman"/>
          <w:i/>
          <w:iCs/>
          <w:color w:val="000000"/>
          <w:sz w:val="24"/>
          <w:szCs w:val="24"/>
        </w:rPr>
        <w:t>Finisterra</w:t>
      </w:r>
      <w:r>
        <w:rPr>
          <w:rFonts w:ascii="Times New Roman" w:eastAsia="Georgia" w:hAnsi="Times New Roman" w:cs="Times New Roman"/>
          <w:color w:val="000000"/>
          <w:sz w:val="24"/>
          <w:szCs w:val="24"/>
        </w:rPr>
        <w:t>, v. 53, n. 109, p. 149 – 166, 2018.</w:t>
      </w:r>
    </w:p>
    <w:p w14:paraId="30153370" w14:textId="77777777" w:rsidR="00BC015C" w:rsidRPr="000D173F" w:rsidRDefault="00BC015C" w:rsidP="00BC015C">
      <w:pPr>
        <w:rPr>
          <w:rFonts w:ascii="Times New Roman" w:eastAsia="Georgia" w:hAnsi="Times New Roman" w:cs="Times New Roman"/>
          <w:sz w:val="24"/>
          <w:szCs w:val="24"/>
        </w:rPr>
      </w:pPr>
      <w:r w:rsidRPr="000D173F">
        <w:rPr>
          <w:rFonts w:ascii="Times New Roman" w:eastAsia="Georgia" w:hAnsi="Times New Roman" w:cs="Times New Roman"/>
          <w:sz w:val="24"/>
          <w:szCs w:val="24"/>
        </w:rPr>
        <w:t xml:space="preserve">SANTOS, Milton. Uma ordem espacial: A economia política do território. </w:t>
      </w:r>
      <w:r w:rsidRPr="000D173F">
        <w:rPr>
          <w:rFonts w:ascii="Times New Roman" w:eastAsia="Georgia" w:hAnsi="Times New Roman" w:cs="Times New Roman"/>
          <w:i/>
          <w:sz w:val="24"/>
          <w:szCs w:val="24"/>
        </w:rPr>
        <w:t xml:space="preserve">Revista </w:t>
      </w:r>
      <w:proofErr w:type="spellStart"/>
      <w:r w:rsidRPr="000D173F">
        <w:rPr>
          <w:rFonts w:ascii="Times New Roman" w:eastAsia="Georgia" w:hAnsi="Times New Roman" w:cs="Times New Roman"/>
          <w:i/>
          <w:sz w:val="24"/>
          <w:szCs w:val="24"/>
        </w:rPr>
        <w:t>Geoinova</w:t>
      </w:r>
      <w:proofErr w:type="spellEnd"/>
      <w:r w:rsidRPr="000D173F">
        <w:rPr>
          <w:rFonts w:ascii="Times New Roman" w:eastAsia="Georgia" w:hAnsi="Times New Roman" w:cs="Times New Roman"/>
          <w:sz w:val="24"/>
          <w:szCs w:val="24"/>
        </w:rPr>
        <w:t>, n. 3, p. 33 - 48, 2001.</w:t>
      </w:r>
    </w:p>
    <w:p w14:paraId="386309DF" w14:textId="77777777" w:rsidR="00BC015C" w:rsidRPr="00B56DE9" w:rsidRDefault="00BC015C" w:rsidP="00BC015C">
      <w:pPr>
        <w:rPr>
          <w:rFonts w:ascii="Times New Roman" w:eastAsia="Georgia" w:hAnsi="Times New Roman" w:cs="Times New Roman"/>
          <w:sz w:val="24"/>
          <w:szCs w:val="24"/>
        </w:rPr>
      </w:pPr>
      <w:r w:rsidRPr="000D173F">
        <w:rPr>
          <w:rFonts w:ascii="Times New Roman" w:eastAsia="Georgia" w:hAnsi="Times New Roman" w:cs="Times New Roman"/>
          <w:sz w:val="24"/>
          <w:szCs w:val="24"/>
        </w:rPr>
        <w:t xml:space="preserve">SANTOS, Milton.; SILVEIRA, Maria Laura. </w:t>
      </w:r>
      <w:r w:rsidRPr="000D173F">
        <w:rPr>
          <w:rFonts w:ascii="Times New Roman" w:eastAsia="Georgia" w:hAnsi="Times New Roman" w:cs="Times New Roman"/>
          <w:i/>
          <w:sz w:val="24"/>
          <w:szCs w:val="24"/>
        </w:rPr>
        <w:t>O Brasil</w:t>
      </w:r>
      <w:r w:rsidRPr="000D173F">
        <w:rPr>
          <w:rFonts w:ascii="Times New Roman" w:eastAsia="Georgia" w:hAnsi="Times New Roman" w:cs="Times New Roman"/>
          <w:sz w:val="24"/>
          <w:szCs w:val="24"/>
        </w:rPr>
        <w:t xml:space="preserve">: Território e Sociedade no início do século XXI. </w:t>
      </w:r>
      <w:r w:rsidRPr="00B56DE9">
        <w:rPr>
          <w:rFonts w:ascii="Times New Roman" w:eastAsia="Georgia" w:hAnsi="Times New Roman" w:cs="Times New Roman"/>
          <w:sz w:val="24"/>
          <w:szCs w:val="24"/>
        </w:rPr>
        <w:t xml:space="preserve">Rio de Janeiro: Editora Record, 2006.  </w:t>
      </w:r>
    </w:p>
    <w:p w14:paraId="4A7E785B" w14:textId="77777777" w:rsidR="00BC015C" w:rsidRPr="000D173F" w:rsidRDefault="00BC015C" w:rsidP="00BC015C">
      <w:pPr>
        <w:rPr>
          <w:rFonts w:ascii="Times New Roman" w:eastAsia="Georgia" w:hAnsi="Times New Roman" w:cs="Times New Roman"/>
          <w:sz w:val="24"/>
          <w:szCs w:val="24"/>
          <w:lang w:val="en-US"/>
        </w:rPr>
      </w:pPr>
      <w:r>
        <w:rPr>
          <w:rFonts w:ascii="Times New Roman" w:eastAsia="Times New Roman" w:hAnsi="Times New Roman" w:cs="Times New Roman"/>
          <w:color w:val="000000"/>
          <w:sz w:val="24"/>
          <w:szCs w:val="24"/>
        </w:rPr>
        <w:lastRenderedPageBreak/>
        <w:t xml:space="preserve">SILVA, Daniel.; MORRONE, Henrique. Crescimento e mudança demográfica: uma aplicação do modelo de </w:t>
      </w:r>
      <w:proofErr w:type="spellStart"/>
      <w:r>
        <w:rPr>
          <w:rFonts w:ascii="Times New Roman" w:eastAsia="Times New Roman" w:hAnsi="Times New Roman" w:cs="Times New Roman"/>
          <w:color w:val="000000"/>
          <w:sz w:val="24"/>
          <w:szCs w:val="24"/>
        </w:rPr>
        <w:t>Goodwin</w:t>
      </w:r>
      <w:proofErr w:type="spellEnd"/>
      <w:r>
        <w:rPr>
          <w:rFonts w:ascii="Times New Roman" w:eastAsia="Times New Roman" w:hAnsi="Times New Roman" w:cs="Times New Roman"/>
          <w:color w:val="000000"/>
          <w:sz w:val="24"/>
          <w:szCs w:val="24"/>
        </w:rPr>
        <w:t xml:space="preserve"> para países da OCDE (1960 - 2010). </w:t>
      </w:r>
      <w:r w:rsidRPr="00B56DE9">
        <w:rPr>
          <w:rFonts w:ascii="Times New Roman" w:eastAsia="Times New Roman" w:hAnsi="Times New Roman" w:cs="Times New Roman"/>
          <w:i/>
          <w:color w:val="000000"/>
          <w:sz w:val="24"/>
          <w:szCs w:val="24"/>
          <w:lang w:val="en-US"/>
        </w:rPr>
        <w:t>Nova Economia</w:t>
      </w:r>
      <w:r w:rsidRPr="00B56DE9">
        <w:rPr>
          <w:rFonts w:ascii="Times New Roman" w:eastAsia="Times New Roman" w:hAnsi="Times New Roman" w:cs="Times New Roman"/>
          <w:color w:val="000000"/>
          <w:sz w:val="24"/>
          <w:szCs w:val="24"/>
          <w:lang w:val="en-US"/>
        </w:rPr>
        <w:t>, v. 31, n. 1, p. 39 - 66, 2021</w:t>
      </w:r>
    </w:p>
    <w:p w14:paraId="70DC1006" w14:textId="77777777" w:rsidR="00BC015C" w:rsidRPr="000D173F" w:rsidRDefault="00BC015C" w:rsidP="00BC015C">
      <w:pPr>
        <w:rPr>
          <w:rFonts w:ascii="Times New Roman" w:eastAsia="Georgia" w:hAnsi="Times New Roman" w:cs="Times New Roman"/>
          <w:sz w:val="24"/>
          <w:szCs w:val="24"/>
          <w:lang w:val="en-US"/>
        </w:rPr>
      </w:pPr>
      <w:r w:rsidRPr="000D173F">
        <w:rPr>
          <w:rFonts w:ascii="Times New Roman" w:eastAsia="Georgia" w:hAnsi="Times New Roman" w:cs="Times New Roman"/>
          <w:sz w:val="24"/>
          <w:szCs w:val="24"/>
          <w:lang w:val="en-US"/>
        </w:rPr>
        <w:t xml:space="preserve">SCHUMPETER, Joseph. </w:t>
      </w:r>
      <w:r w:rsidRPr="000D173F">
        <w:rPr>
          <w:rFonts w:ascii="Times New Roman" w:eastAsia="Georgia" w:hAnsi="Times New Roman" w:cs="Times New Roman"/>
          <w:i/>
          <w:sz w:val="24"/>
          <w:szCs w:val="24"/>
          <w:lang w:val="en-US"/>
        </w:rPr>
        <w:t>History of Economic Analysis.</w:t>
      </w:r>
      <w:r w:rsidRPr="000D173F">
        <w:rPr>
          <w:rFonts w:ascii="Times New Roman" w:eastAsia="Georgia" w:hAnsi="Times New Roman" w:cs="Times New Roman"/>
          <w:b/>
          <w:sz w:val="24"/>
          <w:szCs w:val="24"/>
          <w:lang w:val="en-US"/>
        </w:rPr>
        <w:t xml:space="preserve"> </w:t>
      </w:r>
      <w:r w:rsidRPr="000D173F">
        <w:rPr>
          <w:rFonts w:ascii="Times New Roman" w:eastAsia="Georgia" w:hAnsi="Times New Roman" w:cs="Times New Roman"/>
          <w:sz w:val="24"/>
          <w:szCs w:val="24"/>
          <w:lang w:val="en-US"/>
        </w:rPr>
        <w:t>Routledge: New York, 1987.</w:t>
      </w:r>
    </w:p>
    <w:p w14:paraId="455FB5A2" w14:textId="77777777" w:rsidR="00BC015C" w:rsidRPr="00B56DE9" w:rsidRDefault="00BC015C" w:rsidP="00BC015C">
      <w:pPr>
        <w:rPr>
          <w:rFonts w:ascii="Times New Roman" w:eastAsia="Georgia" w:hAnsi="Times New Roman" w:cs="Times New Roman"/>
          <w:sz w:val="24"/>
          <w:szCs w:val="24"/>
          <w:lang w:val="en-US"/>
        </w:rPr>
      </w:pPr>
      <w:r w:rsidRPr="00B56DE9">
        <w:rPr>
          <w:rFonts w:ascii="Times New Roman" w:eastAsia="Georgia" w:hAnsi="Times New Roman" w:cs="Times New Roman"/>
          <w:sz w:val="24"/>
          <w:szCs w:val="24"/>
          <w:lang w:val="en-US"/>
        </w:rPr>
        <w:t xml:space="preserve">SMITH, Adam. </w:t>
      </w:r>
      <w:r w:rsidRPr="000D173F">
        <w:rPr>
          <w:rFonts w:ascii="Times New Roman" w:eastAsia="Georgia" w:hAnsi="Times New Roman" w:cs="Times New Roman"/>
          <w:i/>
          <w:sz w:val="24"/>
          <w:szCs w:val="24"/>
        </w:rPr>
        <w:t xml:space="preserve">A Riqueza das Nações. </w:t>
      </w:r>
      <w:r w:rsidRPr="000D173F">
        <w:rPr>
          <w:rFonts w:ascii="Times New Roman" w:eastAsia="Georgia" w:hAnsi="Times New Roman" w:cs="Times New Roman"/>
          <w:sz w:val="24"/>
          <w:szCs w:val="24"/>
        </w:rPr>
        <w:t xml:space="preserve">Nova Fronteira, 3ª Edição. </w:t>
      </w:r>
      <w:r w:rsidRPr="00B56DE9">
        <w:rPr>
          <w:rFonts w:ascii="Times New Roman" w:eastAsia="Georgia" w:hAnsi="Times New Roman" w:cs="Times New Roman"/>
          <w:sz w:val="24"/>
          <w:szCs w:val="24"/>
          <w:lang w:val="en-US"/>
        </w:rPr>
        <w:t>2017.</w:t>
      </w:r>
    </w:p>
    <w:p w14:paraId="03C7E0A5" w14:textId="77777777" w:rsidR="00BC015C" w:rsidRPr="000D173F" w:rsidRDefault="00BC015C" w:rsidP="00BC015C">
      <w:pPr>
        <w:rPr>
          <w:rFonts w:ascii="Times New Roman" w:eastAsia="Georgia" w:hAnsi="Times New Roman" w:cs="Times New Roman"/>
          <w:sz w:val="24"/>
          <w:szCs w:val="24"/>
        </w:rPr>
      </w:pPr>
      <w:r w:rsidRPr="00B56DE9">
        <w:rPr>
          <w:rFonts w:ascii="Times New Roman" w:eastAsia="Georgia" w:hAnsi="Times New Roman" w:cs="Times New Roman"/>
          <w:sz w:val="24"/>
          <w:szCs w:val="24"/>
          <w:lang w:val="en-US"/>
        </w:rPr>
        <w:t xml:space="preserve">SMITH, Craig; RONNEGARD, David. </w:t>
      </w:r>
      <w:r w:rsidRPr="000D173F">
        <w:rPr>
          <w:rFonts w:ascii="Times New Roman" w:eastAsia="Georgia" w:hAnsi="Times New Roman" w:cs="Times New Roman"/>
          <w:sz w:val="24"/>
          <w:szCs w:val="24"/>
          <w:lang w:val="en-US"/>
        </w:rPr>
        <w:t xml:space="preserve">Shareholder Primacy, Corporate Social Responsibility, and the Role of Business Schools. </w:t>
      </w:r>
      <w:proofErr w:type="spellStart"/>
      <w:r w:rsidRPr="000D173F">
        <w:rPr>
          <w:rFonts w:ascii="Times New Roman" w:eastAsia="Georgia" w:hAnsi="Times New Roman" w:cs="Times New Roman"/>
          <w:i/>
          <w:sz w:val="24"/>
          <w:szCs w:val="24"/>
        </w:rPr>
        <w:t>Journal</w:t>
      </w:r>
      <w:proofErr w:type="spellEnd"/>
      <w:r w:rsidRPr="000D173F">
        <w:rPr>
          <w:rFonts w:ascii="Times New Roman" w:eastAsia="Georgia" w:hAnsi="Times New Roman" w:cs="Times New Roman"/>
          <w:i/>
          <w:sz w:val="24"/>
          <w:szCs w:val="24"/>
        </w:rPr>
        <w:t xml:space="preserve"> </w:t>
      </w:r>
      <w:proofErr w:type="spellStart"/>
      <w:r w:rsidRPr="000D173F">
        <w:rPr>
          <w:rFonts w:ascii="Times New Roman" w:eastAsia="Georgia" w:hAnsi="Times New Roman" w:cs="Times New Roman"/>
          <w:i/>
          <w:sz w:val="24"/>
          <w:szCs w:val="24"/>
        </w:rPr>
        <w:t>of</w:t>
      </w:r>
      <w:proofErr w:type="spellEnd"/>
      <w:r w:rsidRPr="000D173F">
        <w:rPr>
          <w:rFonts w:ascii="Times New Roman" w:eastAsia="Georgia" w:hAnsi="Times New Roman" w:cs="Times New Roman"/>
          <w:i/>
          <w:sz w:val="24"/>
          <w:szCs w:val="24"/>
        </w:rPr>
        <w:t xml:space="preserve"> Business </w:t>
      </w:r>
      <w:proofErr w:type="spellStart"/>
      <w:r w:rsidRPr="000D173F">
        <w:rPr>
          <w:rFonts w:ascii="Times New Roman" w:eastAsia="Georgia" w:hAnsi="Times New Roman" w:cs="Times New Roman"/>
          <w:i/>
          <w:sz w:val="24"/>
          <w:szCs w:val="24"/>
        </w:rPr>
        <w:t>Ethics</w:t>
      </w:r>
      <w:proofErr w:type="spellEnd"/>
      <w:r w:rsidRPr="000D173F">
        <w:rPr>
          <w:rFonts w:ascii="Times New Roman" w:eastAsia="Georgia" w:hAnsi="Times New Roman" w:cs="Times New Roman"/>
          <w:sz w:val="24"/>
          <w:szCs w:val="24"/>
        </w:rPr>
        <w:t>, v. 134, p. 463 – 476, 2016.</w:t>
      </w:r>
    </w:p>
    <w:p w14:paraId="2601D6C9" w14:textId="77777777" w:rsidR="00BC015C" w:rsidRPr="000D173F" w:rsidRDefault="00BC015C" w:rsidP="00BC015C">
      <w:pPr>
        <w:rPr>
          <w:rFonts w:ascii="Times New Roman" w:eastAsia="Georgia" w:hAnsi="Times New Roman" w:cs="Times New Roman"/>
          <w:sz w:val="24"/>
          <w:szCs w:val="24"/>
          <w:lang w:val="en-US"/>
        </w:rPr>
      </w:pPr>
      <w:r w:rsidRPr="000D173F">
        <w:rPr>
          <w:rFonts w:ascii="Times New Roman" w:eastAsia="Georgia" w:hAnsi="Times New Roman" w:cs="Times New Roman"/>
          <w:sz w:val="24"/>
          <w:szCs w:val="24"/>
        </w:rPr>
        <w:t xml:space="preserve">TEIXEIRA, Aloisio. Marx e a economia política: a crítica como conceito. </w:t>
      </w:r>
      <w:proofErr w:type="spellStart"/>
      <w:r w:rsidRPr="000D173F">
        <w:rPr>
          <w:rFonts w:ascii="Times New Roman" w:eastAsia="Georgia" w:hAnsi="Times New Roman" w:cs="Times New Roman"/>
          <w:i/>
          <w:sz w:val="24"/>
          <w:szCs w:val="24"/>
          <w:lang w:val="en-US"/>
        </w:rPr>
        <w:t>Revista</w:t>
      </w:r>
      <w:proofErr w:type="spellEnd"/>
      <w:r w:rsidRPr="000D173F">
        <w:rPr>
          <w:rFonts w:ascii="Times New Roman" w:eastAsia="Georgia" w:hAnsi="Times New Roman" w:cs="Times New Roman"/>
          <w:i/>
          <w:sz w:val="24"/>
          <w:szCs w:val="24"/>
          <w:lang w:val="en-US"/>
        </w:rPr>
        <w:t xml:space="preserve"> </w:t>
      </w:r>
      <w:proofErr w:type="spellStart"/>
      <w:r w:rsidRPr="000D173F">
        <w:rPr>
          <w:rFonts w:ascii="Times New Roman" w:eastAsia="Georgia" w:hAnsi="Times New Roman" w:cs="Times New Roman"/>
          <w:i/>
          <w:sz w:val="24"/>
          <w:szCs w:val="24"/>
          <w:lang w:val="en-US"/>
        </w:rPr>
        <w:t>Econômica</w:t>
      </w:r>
      <w:proofErr w:type="spellEnd"/>
      <w:r w:rsidRPr="000D173F">
        <w:rPr>
          <w:rFonts w:ascii="Times New Roman" w:eastAsia="Georgia" w:hAnsi="Times New Roman" w:cs="Times New Roman"/>
          <w:sz w:val="24"/>
          <w:szCs w:val="24"/>
          <w:lang w:val="en-US"/>
        </w:rPr>
        <w:t>, v. 2, n. 4, p. 85 – 109, 2000.</w:t>
      </w:r>
    </w:p>
    <w:p w14:paraId="2F99A361" w14:textId="77777777" w:rsidR="00BC015C" w:rsidRPr="000D173F" w:rsidRDefault="00BC015C" w:rsidP="00BC015C">
      <w:pPr>
        <w:rPr>
          <w:rFonts w:ascii="Times New Roman" w:eastAsia="Georgia" w:hAnsi="Times New Roman" w:cs="Times New Roman"/>
          <w:sz w:val="24"/>
          <w:szCs w:val="24"/>
        </w:rPr>
      </w:pPr>
      <w:r w:rsidRPr="000D173F">
        <w:rPr>
          <w:rFonts w:ascii="Times New Roman" w:eastAsia="Georgia" w:hAnsi="Times New Roman" w:cs="Times New Roman"/>
          <w:sz w:val="24"/>
          <w:szCs w:val="24"/>
          <w:lang w:val="en-US"/>
        </w:rPr>
        <w:t xml:space="preserve">TEEN, </w:t>
      </w:r>
      <w:proofErr w:type="spellStart"/>
      <w:r w:rsidRPr="000D173F">
        <w:rPr>
          <w:rFonts w:ascii="Times New Roman" w:eastAsia="Georgia" w:hAnsi="Times New Roman" w:cs="Times New Roman"/>
          <w:sz w:val="24"/>
          <w:szCs w:val="24"/>
          <w:lang w:val="en-US"/>
        </w:rPr>
        <w:t>Mak</w:t>
      </w:r>
      <w:proofErr w:type="spellEnd"/>
      <w:r w:rsidRPr="000D173F">
        <w:rPr>
          <w:rFonts w:ascii="Times New Roman" w:eastAsia="Georgia" w:hAnsi="Times New Roman" w:cs="Times New Roman"/>
          <w:sz w:val="24"/>
          <w:szCs w:val="24"/>
          <w:lang w:val="en-US"/>
        </w:rPr>
        <w:t xml:space="preserve"> Yuen. </w:t>
      </w:r>
      <w:r w:rsidRPr="000D173F">
        <w:rPr>
          <w:rFonts w:ascii="Times New Roman" w:eastAsia="Georgia" w:hAnsi="Times New Roman" w:cs="Times New Roman"/>
          <w:i/>
          <w:sz w:val="24"/>
          <w:szCs w:val="24"/>
          <w:lang w:val="en-US"/>
        </w:rPr>
        <w:t>Corporate Governance Case Studies</w:t>
      </w:r>
      <w:r w:rsidRPr="000D173F">
        <w:rPr>
          <w:rFonts w:ascii="Times New Roman" w:eastAsia="Georgia" w:hAnsi="Times New Roman" w:cs="Times New Roman"/>
          <w:sz w:val="24"/>
          <w:szCs w:val="24"/>
          <w:lang w:val="en-US"/>
        </w:rPr>
        <w:t xml:space="preserve"> </w:t>
      </w:r>
      <w:r w:rsidRPr="000D173F">
        <w:rPr>
          <w:rFonts w:ascii="Times New Roman" w:eastAsia="Georgia" w:hAnsi="Times New Roman" w:cs="Times New Roman"/>
          <w:i/>
          <w:sz w:val="24"/>
          <w:szCs w:val="24"/>
          <w:lang w:val="en-US"/>
        </w:rPr>
        <w:t>Vol. 10</w:t>
      </w:r>
      <w:r w:rsidRPr="000D173F">
        <w:rPr>
          <w:rFonts w:ascii="Times New Roman" w:eastAsia="Georgia" w:hAnsi="Times New Roman" w:cs="Times New Roman"/>
          <w:sz w:val="24"/>
          <w:szCs w:val="24"/>
          <w:lang w:val="en-US"/>
        </w:rPr>
        <w:t xml:space="preserve">. </w:t>
      </w:r>
      <w:r w:rsidRPr="000D173F">
        <w:rPr>
          <w:rFonts w:ascii="Times New Roman" w:eastAsia="Georgia" w:hAnsi="Times New Roman" w:cs="Times New Roman"/>
          <w:sz w:val="24"/>
          <w:szCs w:val="24"/>
        </w:rPr>
        <w:t>Melbourne: CPA Australia Ltd. 2021.</w:t>
      </w:r>
    </w:p>
    <w:p w14:paraId="341D8938" w14:textId="77777777" w:rsidR="00BC015C" w:rsidRPr="00B56DE9" w:rsidRDefault="00BC015C" w:rsidP="00BC015C">
      <w:pPr>
        <w:rPr>
          <w:rFonts w:ascii="Times New Roman" w:eastAsia="Georgia" w:hAnsi="Times New Roman" w:cs="Times New Roman"/>
          <w:sz w:val="24"/>
          <w:szCs w:val="24"/>
          <w:lang w:val="en-US"/>
        </w:rPr>
      </w:pPr>
      <w:r w:rsidRPr="000D173F">
        <w:rPr>
          <w:rFonts w:ascii="Times New Roman" w:eastAsia="Georgia" w:hAnsi="Times New Roman" w:cs="Times New Roman"/>
          <w:sz w:val="24"/>
          <w:szCs w:val="24"/>
        </w:rPr>
        <w:t xml:space="preserve">TRINDADE, J. R.; OLIVEIRA, W. P.; </w:t>
      </w:r>
      <w:r w:rsidRPr="000D173F">
        <w:rPr>
          <w:rFonts w:ascii="Times New Roman" w:eastAsia="Georgia" w:hAnsi="Times New Roman" w:cs="Times New Roman"/>
          <w:i/>
          <w:sz w:val="24"/>
          <w:szCs w:val="24"/>
        </w:rPr>
        <w:t>SPVEA</w:t>
      </w:r>
      <w:r w:rsidRPr="000D173F">
        <w:rPr>
          <w:rFonts w:ascii="Times New Roman" w:eastAsia="Georgia" w:hAnsi="Times New Roman" w:cs="Times New Roman"/>
          <w:b/>
          <w:sz w:val="24"/>
          <w:szCs w:val="24"/>
        </w:rPr>
        <w:t xml:space="preserve">: </w:t>
      </w:r>
      <w:r w:rsidRPr="000D173F">
        <w:rPr>
          <w:rFonts w:ascii="Times New Roman" w:eastAsia="Georgia" w:hAnsi="Times New Roman" w:cs="Times New Roman"/>
          <w:sz w:val="24"/>
          <w:szCs w:val="24"/>
        </w:rPr>
        <w:t xml:space="preserve">O Estado na Crise do Desenvolvimento. In: TRINDADE, J. R. B. (org.) Seis Décadas de Intervenção Estatal na Amazônia. </w:t>
      </w:r>
      <w:proofErr w:type="spellStart"/>
      <w:r w:rsidRPr="00B56DE9">
        <w:rPr>
          <w:rFonts w:ascii="Times New Roman" w:eastAsia="Georgia" w:hAnsi="Times New Roman" w:cs="Times New Roman"/>
          <w:sz w:val="24"/>
          <w:szCs w:val="24"/>
          <w:lang w:val="en-US"/>
        </w:rPr>
        <w:t>Belém</w:t>
      </w:r>
      <w:proofErr w:type="spellEnd"/>
      <w:r w:rsidRPr="00B56DE9">
        <w:rPr>
          <w:rFonts w:ascii="Times New Roman" w:eastAsia="Georgia" w:hAnsi="Times New Roman" w:cs="Times New Roman"/>
          <w:sz w:val="24"/>
          <w:szCs w:val="24"/>
          <w:lang w:val="en-US"/>
        </w:rPr>
        <w:t xml:space="preserve">: </w:t>
      </w:r>
      <w:proofErr w:type="spellStart"/>
      <w:r w:rsidRPr="00B56DE9">
        <w:rPr>
          <w:rFonts w:ascii="Times New Roman" w:eastAsia="Georgia" w:hAnsi="Times New Roman" w:cs="Times New Roman"/>
          <w:sz w:val="24"/>
          <w:szCs w:val="24"/>
          <w:lang w:val="en-US"/>
        </w:rPr>
        <w:t>Paka</w:t>
      </w:r>
      <w:proofErr w:type="spellEnd"/>
      <w:r w:rsidRPr="00B56DE9">
        <w:rPr>
          <w:rFonts w:ascii="Times New Roman" w:eastAsia="Georgia" w:hAnsi="Times New Roman" w:cs="Times New Roman"/>
          <w:sz w:val="24"/>
          <w:szCs w:val="24"/>
          <w:lang w:val="en-US"/>
        </w:rPr>
        <w:t>-Tatu, 2014.</w:t>
      </w:r>
    </w:p>
    <w:p w14:paraId="6C260009" w14:textId="77777777" w:rsidR="00BC015C" w:rsidRPr="00FB2789" w:rsidRDefault="00BC015C" w:rsidP="00BC015C">
      <w:pPr>
        <w:tabs>
          <w:tab w:val="left" w:pos="426"/>
        </w:tabs>
        <w:spacing w:after="240" w:line="240" w:lineRule="auto"/>
        <w:jc w:val="both"/>
        <w:rPr>
          <w:rFonts w:ascii="Times New Roman" w:eastAsia="Times New Roman" w:hAnsi="Times New Roman" w:cs="Times New Roman"/>
          <w:sz w:val="24"/>
          <w:szCs w:val="24"/>
          <w:lang w:val="en-US"/>
        </w:rPr>
      </w:pPr>
      <w:r w:rsidRPr="00FB2789">
        <w:rPr>
          <w:rFonts w:ascii="Times New Roman" w:eastAsia="Times New Roman" w:hAnsi="Times New Roman" w:cs="Times New Roman"/>
          <w:sz w:val="24"/>
          <w:szCs w:val="24"/>
          <w:lang w:val="en-US"/>
        </w:rPr>
        <w:t xml:space="preserve">TSOULFIDIS, L.; TSALIKI, P. Classical competition and regulating capital. </w:t>
      </w:r>
      <w:r w:rsidRPr="00FB2789">
        <w:rPr>
          <w:rFonts w:ascii="Times New Roman" w:eastAsia="Times New Roman" w:hAnsi="Times New Roman" w:cs="Times New Roman"/>
          <w:i/>
          <w:sz w:val="24"/>
          <w:szCs w:val="24"/>
          <w:lang w:val="en-US"/>
        </w:rPr>
        <w:t>In:</w:t>
      </w:r>
      <w:r w:rsidRPr="00FB2789">
        <w:rPr>
          <w:rFonts w:ascii="Times New Roman" w:eastAsia="Times New Roman" w:hAnsi="Times New Roman" w:cs="Times New Roman"/>
          <w:sz w:val="24"/>
          <w:szCs w:val="24"/>
          <w:lang w:val="en-US"/>
        </w:rPr>
        <w:t xml:space="preserve"> MOUDUD, J.; BINA, C.; MASON, P. (org.). </w:t>
      </w:r>
      <w:r w:rsidRPr="00FB2789">
        <w:rPr>
          <w:rFonts w:ascii="Times New Roman" w:eastAsia="Times New Roman" w:hAnsi="Times New Roman" w:cs="Times New Roman"/>
          <w:i/>
          <w:sz w:val="24"/>
          <w:szCs w:val="24"/>
          <w:lang w:val="en-US"/>
        </w:rPr>
        <w:t>Alternative theories of competition</w:t>
      </w:r>
      <w:r w:rsidRPr="00FB2789">
        <w:rPr>
          <w:rFonts w:ascii="Times New Roman" w:eastAsia="Times New Roman" w:hAnsi="Times New Roman" w:cs="Times New Roman"/>
          <w:sz w:val="24"/>
          <w:szCs w:val="24"/>
          <w:lang w:val="en-US"/>
        </w:rPr>
        <w:t xml:space="preserve">: challenges to the orthodoxy. </w:t>
      </w:r>
      <w:proofErr w:type="spellStart"/>
      <w:r w:rsidRPr="00FB2789">
        <w:rPr>
          <w:rFonts w:ascii="Times New Roman" w:eastAsia="Times New Roman" w:hAnsi="Times New Roman" w:cs="Times New Roman"/>
          <w:sz w:val="24"/>
          <w:szCs w:val="24"/>
          <w:lang w:val="en-US"/>
        </w:rPr>
        <w:t>Londres</w:t>
      </w:r>
      <w:proofErr w:type="spellEnd"/>
      <w:r w:rsidRPr="00FB2789">
        <w:rPr>
          <w:rFonts w:ascii="Times New Roman" w:eastAsia="Times New Roman" w:hAnsi="Times New Roman" w:cs="Times New Roman"/>
          <w:sz w:val="24"/>
          <w:szCs w:val="24"/>
          <w:lang w:val="en-US"/>
        </w:rPr>
        <w:t xml:space="preserve"> e Nova </w:t>
      </w:r>
      <w:proofErr w:type="spellStart"/>
      <w:r w:rsidRPr="00FB2789">
        <w:rPr>
          <w:rFonts w:ascii="Times New Roman" w:eastAsia="Times New Roman" w:hAnsi="Times New Roman" w:cs="Times New Roman"/>
          <w:sz w:val="24"/>
          <w:szCs w:val="24"/>
          <w:lang w:val="en-US"/>
        </w:rPr>
        <w:t>Iorque</w:t>
      </w:r>
      <w:proofErr w:type="spellEnd"/>
      <w:r w:rsidRPr="00FB2789">
        <w:rPr>
          <w:rFonts w:ascii="Times New Roman" w:eastAsia="Times New Roman" w:hAnsi="Times New Roman" w:cs="Times New Roman"/>
          <w:sz w:val="24"/>
          <w:szCs w:val="24"/>
          <w:lang w:val="en-US"/>
        </w:rPr>
        <w:t>: Routledge, p. 267–297, 2013.</w:t>
      </w:r>
    </w:p>
    <w:p w14:paraId="08DC392E" w14:textId="77777777" w:rsidR="00BC015C" w:rsidRPr="000B0974" w:rsidRDefault="00000000" w:rsidP="00BC015C">
      <w:pPr>
        <w:rPr>
          <w:rFonts w:ascii="Times New Roman" w:eastAsia="Georgia" w:hAnsi="Times New Roman" w:cs="Times New Roman"/>
          <w:sz w:val="24"/>
          <w:szCs w:val="24"/>
        </w:rPr>
      </w:pPr>
      <w:hyperlink r:id="rId13">
        <w:r w:rsidR="00BC015C" w:rsidRPr="00E03FFB">
          <w:rPr>
            <w:rFonts w:ascii="Times New Roman" w:eastAsia="Georgia" w:hAnsi="Times New Roman" w:cs="Times New Roman"/>
            <w:color w:val="000000"/>
            <w:sz w:val="24"/>
            <w:szCs w:val="24"/>
            <w:lang w:val="en-US"/>
          </w:rPr>
          <w:t>YEGANEH, Hamid.</w:t>
        </w:r>
      </w:hyperlink>
      <w:r w:rsidR="00BC015C" w:rsidRPr="00E03FFB">
        <w:rPr>
          <w:rFonts w:ascii="Times New Roman" w:eastAsia="Georgia" w:hAnsi="Times New Roman" w:cs="Times New Roman"/>
          <w:sz w:val="24"/>
          <w:szCs w:val="24"/>
          <w:lang w:val="en-US"/>
        </w:rPr>
        <w:t> </w:t>
      </w:r>
      <w:r w:rsidR="00BC015C" w:rsidRPr="000D173F">
        <w:rPr>
          <w:rFonts w:ascii="Times New Roman" w:eastAsia="Georgia" w:hAnsi="Times New Roman" w:cs="Times New Roman"/>
          <w:sz w:val="24"/>
          <w:szCs w:val="24"/>
          <w:lang w:val="en-US"/>
        </w:rPr>
        <w:t>A critical examination of the social impacts of large multinational corporations in the age of globalization. </w:t>
      </w:r>
      <w:proofErr w:type="spellStart"/>
      <w:r w:rsidR="00BC015C" w:rsidRPr="000B0974">
        <w:rPr>
          <w:rFonts w:ascii="Times New Roman" w:eastAsia="Georgia" w:hAnsi="Times New Roman" w:cs="Times New Roman"/>
          <w:i/>
          <w:sz w:val="24"/>
          <w:szCs w:val="24"/>
        </w:rPr>
        <w:t>Critical</w:t>
      </w:r>
      <w:proofErr w:type="spellEnd"/>
      <w:r w:rsidR="00BC015C" w:rsidRPr="000B0974">
        <w:rPr>
          <w:rFonts w:ascii="Times New Roman" w:eastAsia="Georgia" w:hAnsi="Times New Roman" w:cs="Times New Roman"/>
          <w:i/>
          <w:sz w:val="24"/>
          <w:szCs w:val="24"/>
        </w:rPr>
        <w:t xml:space="preserve"> Perspectives </w:t>
      </w:r>
      <w:proofErr w:type="spellStart"/>
      <w:r w:rsidR="00BC015C" w:rsidRPr="000B0974">
        <w:rPr>
          <w:rFonts w:ascii="Times New Roman" w:eastAsia="Georgia" w:hAnsi="Times New Roman" w:cs="Times New Roman"/>
          <w:i/>
          <w:sz w:val="24"/>
          <w:szCs w:val="24"/>
        </w:rPr>
        <w:t>on</w:t>
      </w:r>
      <w:proofErr w:type="spellEnd"/>
      <w:r w:rsidR="00BC015C" w:rsidRPr="000B0974">
        <w:rPr>
          <w:rFonts w:ascii="Times New Roman" w:eastAsia="Georgia" w:hAnsi="Times New Roman" w:cs="Times New Roman"/>
          <w:i/>
          <w:sz w:val="24"/>
          <w:szCs w:val="24"/>
        </w:rPr>
        <w:t xml:space="preserve"> </w:t>
      </w:r>
      <w:proofErr w:type="spellStart"/>
      <w:r w:rsidR="00BC015C" w:rsidRPr="000B0974">
        <w:rPr>
          <w:rFonts w:ascii="Times New Roman" w:eastAsia="Georgia" w:hAnsi="Times New Roman" w:cs="Times New Roman"/>
          <w:i/>
          <w:sz w:val="24"/>
          <w:szCs w:val="24"/>
        </w:rPr>
        <w:t>International</w:t>
      </w:r>
      <w:proofErr w:type="spellEnd"/>
      <w:r w:rsidR="00BC015C" w:rsidRPr="000B0974">
        <w:rPr>
          <w:rFonts w:ascii="Times New Roman" w:eastAsia="Georgia" w:hAnsi="Times New Roman" w:cs="Times New Roman"/>
          <w:i/>
          <w:sz w:val="24"/>
          <w:szCs w:val="24"/>
        </w:rPr>
        <w:t xml:space="preserve"> Business</w:t>
      </w:r>
      <w:r w:rsidR="00BC015C" w:rsidRPr="000B0974">
        <w:rPr>
          <w:rFonts w:ascii="Times New Roman" w:eastAsia="Georgia" w:hAnsi="Times New Roman" w:cs="Times New Roman"/>
          <w:sz w:val="24"/>
          <w:szCs w:val="24"/>
        </w:rPr>
        <w:t>, v. 16 n. 3, p. 193-208, 2020.</w:t>
      </w:r>
    </w:p>
    <w:p w14:paraId="038A605F" w14:textId="77777777" w:rsidR="00BC015C" w:rsidRPr="00B56DE9" w:rsidRDefault="00BC015C" w:rsidP="00BC015C">
      <w:pPr>
        <w:rPr>
          <w:rFonts w:ascii="Times New Roman" w:eastAsia="Georgia" w:hAnsi="Times New Roman" w:cs="Times New Roman"/>
          <w:sz w:val="24"/>
          <w:szCs w:val="24"/>
          <w:lang w:val="en-US"/>
        </w:rPr>
      </w:pPr>
      <w:r w:rsidRPr="000D173F">
        <w:rPr>
          <w:rFonts w:ascii="Times New Roman" w:eastAsia="Georgia" w:hAnsi="Times New Roman" w:cs="Times New Roman"/>
          <w:sz w:val="24"/>
          <w:szCs w:val="24"/>
        </w:rPr>
        <w:t xml:space="preserve">VALE. </w:t>
      </w:r>
      <w:r w:rsidRPr="000D173F">
        <w:rPr>
          <w:rFonts w:ascii="Times New Roman" w:eastAsia="Georgia" w:hAnsi="Times New Roman" w:cs="Times New Roman"/>
          <w:i/>
          <w:sz w:val="24"/>
          <w:szCs w:val="24"/>
        </w:rPr>
        <w:t xml:space="preserve">Relatório de Sustentabilidade 2016. </w:t>
      </w:r>
      <w:r w:rsidRPr="000D173F">
        <w:rPr>
          <w:rFonts w:ascii="Times New Roman" w:eastAsia="Georgia" w:hAnsi="Times New Roman" w:cs="Times New Roman"/>
          <w:sz w:val="24"/>
          <w:szCs w:val="24"/>
        </w:rPr>
        <w:t xml:space="preserve">Rio de Janeiro: </w:t>
      </w:r>
      <w:proofErr w:type="spellStart"/>
      <w:r w:rsidRPr="000D173F">
        <w:rPr>
          <w:rFonts w:ascii="Times New Roman" w:eastAsia="Georgia" w:hAnsi="Times New Roman" w:cs="Times New Roman"/>
          <w:sz w:val="24"/>
          <w:szCs w:val="24"/>
        </w:rPr>
        <w:t>TheMediaGroup</w:t>
      </w:r>
      <w:proofErr w:type="spellEnd"/>
      <w:r w:rsidRPr="000D173F">
        <w:rPr>
          <w:rFonts w:ascii="Times New Roman" w:eastAsia="Georgia" w:hAnsi="Times New Roman" w:cs="Times New Roman"/>
          <w:sz w:val="24"/>
          <w:szCs w:val="24"/>
        </w:rPr>
        <w:t xml:space="preserve">. </w:t>
      </w:r>
      <w:r w:rsidRPr="00B56DE9">
        <w:rPr>
          <w:rFonts w:ascii="Times New Roman" w:eastAsia="Georgia" w:hAnsi="Times New Roman" w:cs="Times New Roman"/>
          <w:sz w:val="24"/>
          <w:szCs w:val="24"/>
          <w:lang w:val="en-US"/>
        </w:rPr>
        <w:t>2017.</w:t>
      </w:r>
    </w:p>
    <w:p w14:paraId="6E9FDB00" w14:textId="77777777" w:rsidR="00BC015C" w:rsidRPr="00FB2789" w:rsidRDefault="00BC015C" w:rsidP="00BC015C">
      <w:pPr>
        <w:tabs>
          <w:tab w:val="left" w:pos="426"/>
        </w:tabs>
        <w:spacing w:after="240" w:line="240" w:lineRule="auto"/>
        <w:jc w:val="both"/>
        <w:rPr>
          <w:rFonts w:ascii="Times New Roman" w:eastAsia="Times New Roman" w:hAnsi="Times New Roman" w:cs="Times New Roman"/>
          <w:sz w:val="24"/>
          <w:szCs w:val="24"/>
          <w:lang w:val="en-US"/>
        </w:rPr>
      </w:pPr>
      <w:r w:rsidRPr="00FB2789">
        <w:rPr>
          <w:rFonts w:ascii="Times New Roman" w:eastAsia="Times New Roman" w:hAnsi="Times New Roman" w:cs="Times New Roman"/>
          <w:sz w:val="24"/>
          <w:szCs w:val="24"/>
          <w:lang w:val="en-US"/>
        </w:rPr>
        <w:t xml:space="preserve">VAONA, Andrea. An empirical investigation into the gravitation and convergence of industry returns rates in OECD countries. </w:t>
      </w:r>
      <w:r w:rsidRPr="00FB2789">
        <w:rPr>
          <w:rFonts w:ascii="Times New Roman" w:eastAsia="Times New Roman" w:hAnsi="Times New Roman" w:cs="Times New Roman"/>
          <w:i/>
          <w:sz w:val="24"/>
          <w:szCs w:val="24"/>
          <w:lang w:val="en-US"/>
        </w:rPr>
        <w:t>International Review of Applied Economics</w:t>
      </w:r>
      <w:r w:rsidRPr="00FB2789">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lang w:val="en-US"/>
        </w:rPr>
        <w:t>v</w:t>
      </w:r>
      <w:r w:rsidRPr="00FB2789">
        <w:rPr>
          <w:rFonts w:ascii="Times New Roman" w:eastAsia="Times New Roman" w:hAnsi="Times New Roman" w:cs="Times New Roman"/>
          <w:sz w:val="24"/>
          <w:szCs w:val="24"/>
          <w:lang w:val="en-US"/>
        </w:rPr>
        <w:t xml:space="preserve">. 25, </w:t>
      </w:r>
      <w:r>
        <w:rPr>
          <w:rFonts w:ascii="Times New Roman" w:eastAsia="Times New Roman" w:hAnsi="Times New Roman" w:cs="Times New Roman"/>
          <w:sz w:val="24"/>
          <w:szCs w:val="24"/>
          <w:lang w:val="en-US"/>
        </w:rPr>
        <w:t>n</w:t>
      </w:r>
      <w:r w:rsidRPr="00FB2789">
        <w:rPr>
          <w:rFonts w:ascii="Times New Roman" w:eastAsia="Times New Roman" w:hAnsi="Times New Roman" w:cs="Times New Roman"/>
          <w:sz w:val="24"/>
          <w:szCs w:val="24"/>
          <w:lang w:val="en-US"/>
        </w:rPr>
        <w:t>. 4, p. 465-502, 2011.</w:t>
      </w:r>
    </w:p>
    <w:p w14:paraId="12106F5D" w14:textId="36E434D3" w:rsidR="00B56DE9" w:rsidRPr="00FB2789" w:rsidRDefault="00B56DE9" w:rsidP="00BC015C">
      <w:pPr>
        <w:spacing w:after="0" w:line="360" w:lineRule="auto"/>
        <w:jc w:val="both"/>
        <w:rPr>
          <w:rFonts w:ascii="Times New Roman" w:eastAsia="Times New Roman" w:hAnsi="Times New Roman" w:cs="Times New Roman"/>
          <w:sz w:val="24"/>
          <w:szCs w:val="24"/>
          <w:lang w:val="en-US"/>
        </w:rPr>
      </w:pPr>
    </w:p>
    <w:sectPr w:rsidR="00B56DE9" w:rsidRPr="00FB2789">
      <w:headerReference w:type="default" r:id="rId14"/>
      <w:footerReference w:type="default" r:id="rId15"/>
      <w:pgSz w:w="11906" w:h="16838"/>
      <w:pgMar w:top="1701" w:right="1134" w:bottom="1134" w:left="1701" w:header="851"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58D666" w14:textId="77777777" w:rsidR="005D7922" w:rsidRDefault="005D7922">
      <w:pPr>
        <w:spacing w:line="240" w:lineRule="auto"/>
      </w:pPr>
      <w:r>
        <w:separator/>
      </w:r>
    </w:p>
  </w:endnote>
  <w:endnote w:type="continuationSeparator" w:id="0">
    <w:p w14:paraId="422CF3B1" w14:textId="77777777" w:rsidR="005D7922" w:rsidRDefault="005D792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BoldMT">
    <w:altName w:val="Arial"/>
    <w:charset w:val="00"/>
    <w:family w:val="roman"/>
    <w:pitch w:val="default"/>
  </w:font>
  <w:font w:name="Georgia">
    <w:panose1 w:val="02040502050405020303"/>
    <w:charset w:val="00"/>
    <w:family w:val="roman"/>
    <w:pitch w:val="variable"/>
    <w:sig w:usb0="00000287" w:usb1="00000000" w:usb2="00000000" w:usb3="00000000" w:csb0="000000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1F298B" w14:textId="77777777" w:rsidR="00371537" w:rsidRDefault="00000000">
    <w:pPr>
      <w:pStyle w:val="Rodap"/>
      <w:jc w:val="both"/>
      <w:rPr>
        <w:rFonts w:ascii="Times New Roman" w:hAnsi="Times New Roman" w:cs="Times New Roman"/>
        <w:sz w:val="20"/>
        <w:szCs w:val="20"/>
      </w:rPr>
    </w:pPr>
    <w:r>
      <w:rPr>
        <w:noProof/>
      </w:rPr>
      <mc:AlternateContent>
        <mc:Choice Requires="wps">
          <w:drawing>
            <wp:anchor distT="0" distB="0" distL="114300" distR="114300" simplePos="0" relativeHeight="251661312" behindDoc="1" locked="0" layoutInCell="1" allowOverlap="1" wp14:anchorId="3DF60AF5" wp14:editId="230F3BB0">
              <wp:simplePos x="0" y="0"/>
              <wp:positionH relativeFrom="margin">
                <wp:posOffset>-548005</wp:posOffset>
              </wp:positionH>
              <wp:positionV relativeFrom="paragraph">
                <wp:posOffset>152400</wp:posOffset>
              </wp:positionV>
              <wp:extent cx="6505575" cy="9525"/>
              <wp:effectExtent l="0" t="0" r="28575" b="28575"/>
              <wp:wrapNone/>
              <wp:docPr id="3" name="Conector Reto 3"/>
              <wp:cNvGraphicFramePr/>
              <a:graphic xmlns:a="http://schemas.openxmlformats.org/drawingml/2006/main">
                <a:graphicData uri="http://schemas.microsoft.com/office/word/2010/wordprocessingShape">
                  <wps:wsp>
                    <wps:cNvCnPr/>
                    <wps:spPr>
                      <a:xfrm>
                        <a:off x="0" y="0"/>
                        <a:ext cx="6505575" cy="9525"/>
                      </a:xfrm>
                      <a:prstGeom prst="line">
                        <a:avLst/>
                      </a:prstGeom>
                      <a:ln>
                        <a:solidFill>
                          <a:srgbClr val="00B05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43.15pt;margin-top:12pt;height:0.75pt;width:512.25pt;mso-position-horizontal-relative:margin;z-index:-251655168;mso-width-relative:page;mso-height-relative:page;" filled="f" stroked="t" coordsize="21600,21600" o:gfxdata="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NP/6mXZAAAACQEAAA8AAAAAAAAA&#10;AQAgAAAAIgAAAGRycy9kb3ducmV2LnhtbFBLAQIUABQAAAAIAIdO4kCrlrjd1wEAALIDAAAOAAAA&#10;AAAAAAEAIAAAACgBAABkcnMvZTJvRG9jLnhtbFBLBQYAAAAABgAGAFkBAABxBQAAAAA=&#10;">
              <v:fill on="f" focussize="0,0"/>
              <v:stroke weight="0.5pt" color="#00B050 [3204]" miterlimit="8" joinstyle="miter"/>
              <v:imagedata o:title=""/>
              <o:lock v:ext="edit" aspectratio="f"/>
            </v:line>
          </w:pict>
        </mc:Fallback>
      </mc:AlternateContent>
    </w:r>
  </w:p>
  <w:p w14:paraId="5F899B6D" w14:textId="77777777" w:rsidR="00371537" w:rsidRDefault="00371537">
    <w:pPr>
      <w:pStyle w:val="Rodap"/>
      <w:jc w:val="both"/>
      <w:rPr>
        <w:rFonts w:ascii="Times New Roman" w:hAnsi="Times New Roman" w:cs="Times New Roman"/>
        <w:sz w:val="20"/>
        <w:szCs w:val="20"/>
      </w:rPr>
    </w:pPr>
  </w:p>
  <w:p w14:paraId="3D1C8E06" w14:textId="77777777" w:rsidR="00371537" w:rsidRDefault="00000000">
    <w:pPr>
      <w:pStyle w:val="Rodap"/>
      <w:jc w:val="both"/>
      <w:rPr>
        <w:rFonts w:ascii="Times New Roman" w:hAnsi="Times New Roman" w:cs="Times New Roman"/>
        <w:sz w:val="20"/>
        <w:szCs w:val="20"/>
      </w:rPr>
    </w:pPr>
    <w:r>
      <w:rPr>
        <w:rFonts w:ascii="Times New Roman" w:hAnsi="Times New Roman" w:cs="Times New Roman"/>
        <w:sz w:val="20"/>
        <w:szCs w:val="20"/>
      </w:rPr>
      <w:t xml:space="preserve">VI SEDRES. Seminário de Desenvolvimento Regional, Estado e Sociedade. Crato - </w:t>
    </w:r>
    <w:proofErr w:type="spellStart"/>
    <w:r>
      <w:rPr>
        <w:rFonts w:ascii="Times New Roman" w:hAnsi="Times New Roman" w:cs="Times New Roman"/>
        <w:sz w:val="20"/>
        <w:szCs w:val="20"/>
      </w:rPr>
      <w:t>Ce</w:t>
    </w:r>
    <w:proofErr w:type="spellEnd"/>
    <w:r>
      <w:rPr>
        <w:rFonts w:ascii="Times New Roman" w:hAnsi="Times New Roman" w:cs="Times New Roman"/>
        <w:sz w:val="20"/>
        <w:szCs w:val="20"/>
      </w:rPr>
      <w:t>, 06 a 08 de dezembro de 2022. ISSN 2358-4408.</w:t>
    </w:r>
  </w:p>
  <w:p w14:paraId="0B814577" w14:textId="77777777" w:rsidR="00371537" w:rsidRDefault="00371537">
    <w:pPr>
      <w:pStyle w:val="Rodap"/>
      <w:jc w:val="both"/>
      <w:rPr>
        <w:rFonts w:ascii="Times New Roman" w:hAnsi="Times New Roman" w:cs="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DDD18D" w14:textId="77777777" w:rsidR="005D7922" w:rsidRDefault="005D7922">
      <w:pPr>
        <w:spacing w:after="0"/>
      </w:pPr>
      <w:r>
        <w:separator/>
      </w:r>
    </w:p>
  </w:footnote>
  <w:footnote w:type="continuationSeparator" w:id="0">
    <w:p w14:paraId="69249142" w14:textId="77777777" w:rsidR="005D7922" w:rsidRDefault="005D7922">
      <w:pPr>
        <w:spacing w:after="0"/>
      </w:pPr>
      <w:r>
        <w:continuationSeparator/>
      </w:r>
    </w:p>
  </w:footnote>
  <w:footnote w:id="1">
    <w:p w14:paraId="3A8A3205" w14:textId="77777777" w:rsidR="00BC015C" w:rsidRPr="00E03FFB" w:rsidRDefault="00BC015C" w:rsidP="00BC015C">
      <w:pPr>
        <w:pBdr>
          <w:top w:val="nil"/>
          <w:left w:val="nil"/>
          <w:bottom w:val="nil"/>
          <w:right w:val="nil"/>
          <w:between w:val="nil"/>
        </w:pBdr>
        <w:spacing w:after="0" w:line="240" w:lineRule="auto"/>
        <w:ind w:left="142" w:hanging="142"/>
        <w:jc w:val="both"/>
        <w:rPr>
          <w:rFonts w:ascii="Times New Roman" w:hAnsi="Times New Roman" w:cs="Times New Roman"/>
          <w:color w:val="000000"/>
          <w:sz w:val="20"/>
          <w:szCs w:val="20"/>
        </w:rPr>
      </w:pPr>
      <w:r>
        <w:rPr>
          <w:vertAlign w:val="superscript"/>
        </w:rPr>
        <w:footnoteRef/>
      </w:r>
      <w:r>
        <w:rPr>
          <w:color w:val="000000"/>
          <w:sz w:val="20"/>
          <w:szCs w:val="20"/>
        </w:rPr>
        <w:t xml:space="preserve"> </w:t>
      </w:r>
      <w:r w:rsidRPr="00E03FFB">
        <w:rPr>
          <w:rFonts w:ascii="Times New Roman" w:eastAsia="Georgia" w:hAnsi="Times New Roman" w:cs="Times New Roman"/>
          <w:color w:val="000000"/>
          <w:sz w:val="20"/>
          <w:szCs w:val="20"/>
        </w:rPr>
        <w:t>Não confundir com a ideia de concorrência neoclássica em que o espaço da competição ocorre no nível da firma. Diferente dessa visão, a contribuição de Marx (</w:t>
      </w:r>
      <w:r>
        <w:rPr>
          <w:rFonts w:ascii="Times New Roman" w:eastAsia="Georgia" w:hAnsi="Times New Roman" w:cs="Times New Roman"/>
          <w:color w:val="000000"/>
          <w:sz w:val="20"/>
          <w:szCs w:val="20"/>
        </w:rPr>
        <w:t>1996</w:t>
      </w:r>
      <w:r w:rsidRPr="00E03FFB">
        <w:rPr>
          <w:rFonts w:ascii="Times New Roman" w:eastAsia="Georgia" w:hAnsi="Times New Roman" w:cs="Times New Roman"/>
          <w:color w:val="000000"/>
          <w:sz w:val="20"/>
          <w:szCs w:val="20"/>
        </w:rPr>
        <w:t>) aponta para um outro nível de concorrência que ocorre entre capitais (</w:t>
      </w:r>
      <w:r w:rsidRPr="00E03FFB">
        <w:rPr>
          <w:rFonts w:ascii="Times New Roman" w:eastAsia="Times New Roman" w:hAnsi="Times New Roman" w:cs="Times New Roman"/>
          <w:sz w:val="20"/>
          <w:szCs w:val="20"/>
          <w:highlight w:val="white"/>
        </w:rPr>
        <w:t>TSOULFIDIS E TSALIKI, 2013</w:t>
      </w:r>
      <w:r w:rsidRPr="00E03FFB">
        <w:rPr>
          <w:rFonts w:ascii="Times New Roman" w:eastAsia="Georgia" w:hAnsi="Times New Roman" w:cs="Times New Roman"/>
          <w:color w:val="000000"/>
          <w:sz w:val="20"/>
          <w:szCs w:val="20"/>
        </w:rPr>
        <w:t>). Nesse nível, a concorrência pode até se manifestar na aparência em alguns contextos como sendo uma concorrência entre firmas, mas tal aparência esconde a essência do fenômeno que é a concorrência entre diferentes capitais na busca de maior rentabilidade (</w:t>
      </w:r>
      <w:r w:rsidRPr="00E03FFB">
        <w:rPr>
          <w:rFonts w:ascii="Times New Roman" w:eastAsia="Georgia" w:hAnsi="Times New Roman" w:cs="Times New Roman"/>
          <w:iCs/>
          <w:color w:val="000000"/>
          <w:sz w:val="20"/>
          <w:szCs w:val="20"/>
        </w:rPr>
        <w:t>VAONA, 2011</w:t>
      </w:r>
      <w:r w:rsidRPr="00E03FFB">
        <w:rPr>
          <w:rFonts w:ascii="Times New Roman" w:eastAsia="Georgia" w:hAnsi="Times New Roman" w:cs="Times New Roman"/>
          <w:color w:val="000000"/>
          <w:sz w:val="20"/>
          <w:szCs w:val="20"/>
        </w:rPr>
        <w:t>).</w:t>
      </w:r>
      <w:r w:rsidRPr="00E03FFB">
        <w:rPr>
          <w:rFonts w:ascii="Times New Roman" w:hAnsi="Times New Roman" w:cs="Times New Roman"/>
          <w:color w:val="000000"/>
          <w:sz w:val="20"/>
          <w:szCs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58E1BD" w14:textId="1CBA405D" w:rsidR="005F1485" w:rsidRDefault="00000000">
    <w:pPr>
      <w:pStyle w:val="Cabealho"/>
      <w:jc w:val="center"/>
    </w:pPr>
    <w:r>
      <w:rPr>
        <w:noProof/>
      </w:rPr>
      <mc:AlternateContent>
        <mc:Choice Requires="wps">
          <w:drawing>
            <wp:anchor distT="0" distB="0" distL="114300" distR="114300" simplePos="0" relativeHeight="251660288" behindDoc="1" locked="0" layoutInCell="1" allowOverlap="1" wp14:anchorId="642594E2" wp14:editId="10CD9F4F">
              <wp:simplePos x="0" y="0"/>
              <wp:positionH relativeFrom="column">
                <wp:posOffset>-495300</wp:posOffset>
              </wp:positionH>
              <wp:positionV relativeFrom="paragraph">
                <wp:posOffset>970915</wp:posOffset>
              </wp:positionV>
              <wp:extent cx="6505575" cy="9525"/>
              <wp:effectExtent l="0" t="0" r="28575" b="28575"/>
              <wp:wrapNone/>
              <wp:docPr id="1" name="Conector Reto 1"/>
              <wp:cNvGraphicFramePr/>
              <a:graphic xmlns:a="http://schemas.openxmlformats.org/drawingml/2006/main">
                <a:graphicData uri="http://schemas.microsoft.com/office/word/2010/wordprocessingShape">
                  <wps:wsp>
                    <wps:cNvCnPr/>
                    <wps:spPr>
                      <a:xfrm>
                        <a:off x="0" y="0"/>
                        <a:ext cx="6505575" cy="9525"/>
                      </a:xfrm>
                      <a:prstGeom prst="line">
                        <a:avLst/>
                      </a:prstGeom>
                      <a:ln>
                        <a:solidFill>
                          <a:srgbClr val="00B05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39pt;margin-top:76.45pt;height:0.75pt;width:512.25pt;z-index:-251656192;mso-width-relative:page;mso-height-relative:page;" filled="f" stroked="t" coordsize="21600,21600" o:gfxdata="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C6WWKB2gAAAAsBAAAPAAAAAAAA&#10;AAEAIAAAACIAAABkcnMvZG93bnJldi54bWxQSwECFAAUAAAACACHTuJAB8b2u9cBAACyAwAADgAA&#10;AAAAAAABACAAAAApAQAAZHJzL2Uyb0RvYy54bWxQSwUGAAAAAAYABgBZAQAAcgUAAAAA&#10;">
              <v:fill on="f" focussize="0,0"/>
              <v:stroke weight="0.5pt" color="#00B050 [3204]" miterlimit="8" joinstyle="miter"/>
              <v:imagedata o:title=""/>
              <o:lock v:ext="edit" aspectratio="f"/>
            </v:line>
          </w:pict>
        </mc:Fallback>
      </mc:AlternateContent>
    </w:r>
    <w:r>
      <w:rPr>
        <w:noProof/>
      </w:rPr>
      <mc:AlternateContent>
        <mc:Choice Requires="wps">
          <w:drawing>
            <wp:inline distT="0" distB="0" distL="0" distR="0" wp14:anchorId="3B65612E" wp14:editId="3B4E067D">
              <wp:extent cx="304800" cy="304800"/>
              <wp:effectExtent l="0" t="0" r="0" b="0"/>
              <wp:docPr id="5" name="Retângulo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xmlns:wpsCustomData="http://www.wps.cn/officeDocument/2013/wpsCustomData">
          <w:pict>
            <v:rect id="_x0000_s1026" o:spid="_x0000_s1026" o:spt="1" style="height:24pt;width:24pt;" filled="f" stroked="f" coordsize="21600,21600" o:gfxdata="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AHzJZ00gAAAAMBAAAPAAAAAAAAAAEAIAAAACIAAABkcnMvZG93&#10;bnJldi54bWxQSwECFAAUAAAACACHTuJAAdaTUAYCAAATBAAADgAAAAAAAAABACAAAAAhAQAAZHJz&#10;L2Uyb0RvYy54bWxQSwUGAAAAAAYABgBZAQAAmQUAAAAA&#10;">
              <v:fill on="f" focussize="0,0"/>
              <v:stroke on="f"/>
              <v:imagedata o:title=""/>
              <o:lock v:ext="edit" aspectratio="t"/>
              <w10:wrap type="none"/>
              <w10:anchorlock/>
            </v:rect>
          </w:pict>
        </mc:Fallback>
      </mc:AlternateContent>
    </w:r>
    <w:r>
      <w:t xml:space="preserve"> </w:t>
    </w:r>
    <w:r>
      <w:rPr>
        <w:noProof/>
      </w:rPr>
      <w:drawing>
        <wp:inline distT="0" distB="0" distL="0" distR="0" wp14:anchorId="3B5BCF03" wp14:editId="6864B3D3">
          <wp:extent cx="2844086" cy="971550"/>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2955192" cy="1009504"/>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904057"/>
    <w:multiLevelType w:val="hybridMultilevel"/>
    <w:tmpl w:val="43E63618"/>
    <w:lvl w:ilvl="0" w:tplc="73A61544">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152B4A42"/>
    <w:multiLevelType w:val="hybridMultilevel"/>
    <w:tmpl w:val="32D0BC8C"/>
    <w:lvl w:ilvl="0" w:tplc="AB346236">
      <w:start w:val="5"/>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246850FA"/>
    <w:multiLevelType w:val="hybridMultilevel"/>
    <w:tmpl w:val="714A9028"/>
    <w:lvl w:ilvl="0" w:tplc="3B4C4C9C">
      <w:start w:val="3"/>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37C6619F"/>
    <w:multiLevelType w:val="hybridMultilevel"/>
    <w:tmpl w:val="E0E2D85C"/>
    <w:lvl w:ilvl="0" w:tplc="34286ACE">
      <w:start w:val="4"/>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687640C8"/>
    <w:multiLevelType w:val="hybridMultilevel"/>
    <w:tmpl w:val="82A446D4"/>
    <w:lvl w:ilvl="0" w:tplc="04A0DA54">
      <w:start w:val="2"/>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734453EF"/>
    <w:multiLevelType w:val="multilevel"/>
    <w:tmpl w:val="653076C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62617947">
    <w:abstractNumId w:val="5"/>
  </w:num>
  <w:num w:numId="2" w16cid:durableId="874343569">
    <w:abstractNumId w:val="1"/>
  </w:num>
  <w:num w:numId="3" w16cid:durableId="767048124">
    <w:abstractNumId w:val="3"/>
  </w:num>
  <w:num w:numId="4" w16cid:durableId="37240199">
    <w:abstractNumId w:val="2"/>
  </w:num>
  <w:num w:numId="5" w16cid:durableId="1778940675">
    <w:abstractNumId w:val="4"/>
  </w:num>
  <w:num w:numId="6" w16cid:durableId="897404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6C01"/>
    <w:rsid w:val="00000143"/>
    <w:rsid w:val="00036C01"/>
    <w:rsid w:val="000B0974"/>
    <w:rsid w:val="000F2C33"/>
    <w:rsid w:val="0017619A"/>
    <w:rsid w:val="001E5E09"/>
    <w:rsid w:val="001F742F"/>
    <w:rsid w:val="00206A92"/>
    <w:rsid w:val="00241841"/>
    <w:rsid w:val="00255C43"/>
    <w:rsid w:val="00371537"/>
    <w:rsid w:val="003A5235"/>
    <w:rsid w:val="003E0ED3"/>
    <w:rsid w:val="004D292A"/>
    <w:rsid w:val="00507F7E"/>
    <w:rsid w:val="00510F45"/>
    <w:rsid w:val="005D7922"/>
    <w:rsid w:val="005F1485"/>
    <w:rsid w:val="006B5F2C"/>
    <w:rsid w:val="006B7835"/>
    <w:rsid w:val="007A3A8D"/>
    <w:rsid w:val="007B2944"/>
    <w:rsid w:val="007C3EAC"/>
    <w:rsid w:val="0085799B"/>
    <w:rsid w:val="008B0F2A"/>
    <w:rsid w:val="009F04FF"/>
    <w:rsid w:val="009F167A"/>
    <w:rsid w:val="00A12BDF"/>
    <w:rsid w:val="00A73A64"/>
    <w:rsid w:val="00AF781D"/>
    <w:rsid w:val="00B56DE9"/>
    <w:rsid w:val="00BC015C"/>
    <w:rsid w:val="00BC6D50"/>
    <w:rsid w:val="00C639D0"/>
    <w:rsid w:val="00C854B8"/>
    <w:rsid w:val="00C87F92"/>
    <w:rsid w:val="00CA75C3"/>
    <w:rsid w:val="00CB3046"/>
    <w:rsid w:val="00D61D6E"/>
    <w:rsid w:val="00E17B92"/>
    <w:rsid w:val="00E50039"/>
    <w:rsid w:val="00E64C1C"/>
    <w:rsid w:val="00F56A20"/>
    <w:rsid w:val="00F92649"/>
    <w:rsid w:val="00FC4F7E"/>
    <w:rsid w:val="00FF2309"/>
    <w:rsid w:val="67B422F1"/>
  </w:rsids>
  <m:mathPr>
    <m:mathFont m:val="Cambria Math"/>
    <m:brkBin m:val="before"/>
    <m:brkBinSub m:val="--"/>
    <m:smallFrac m:val="0"/>
    <m:dispDef/>
    <m:lMargin m:val="0"/>
    <m:rMargin m:val="0"/>
    <m:defJc m:val="centerGroup"/>
    <m:wrapIndent m:val="1440"/>
    <m:intLim m:val="subSup"/>
    <m:naryLim m:val="undOvr"/>
  </m:mathPr>
  <w:themeFontLang w:val="pt-BR"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E9BF92"/>
  <w15:docId w15:val="{C75AE9D7-BE89-4363-9522-780AA2BC97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uiPriority="0"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paragraph" w:styleId="Ttulo1">
    <w:name w:val="heading 1"/>
    <w:basedOn w:val="Normal"/>
    <w:next w:val="Normal"/>
    <w:link w:val="Ttulo1Char"/>
    <w:uiPriority w:val="9"/>
    <w:qFormat/>
    <w:rsid w:val="00B56DE9"/>
    <w:pPr>
      <w:keepNext/>
      <w:keepLines/>
      <w:spacing w:before="480" w:after="120"/>
      <w:outlineLvl w:val="0"/>
    </w:pPr>
    <w:rPr>
      <w:rFonts w:ascii="Times New Roman" w:eastAsia="Calibri" w:hAnsi="Times New Roman" w:cs="Calibri"/>
      <w:b/>
      <w:sz w:val="24"/>
      <w:szCs w:val="48"/>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tulo">
    <w:name w:val="Title"/>
    <w:basedOn w:val="Normal"/>
    <w:link w:val="TtuloChar"/>
    <w:qFormat/>
    <w:pPr>
      <w:spacing w:after="0" w:line="240" w:lineRule="auto"/>
      <w:jc w:val="center"/>
    </w:pPr>
    <w:rPr>
      <w:rFonts w:ascii="Arial" w:eastAsia="Times New Roman" w:hAnsi="Arial" w:cs="Times New Roman"/>
      <w:b/>
      <w:sz w:val="28"/>
      <w:szCs w:val="24"/>
      <w:lang w:val="en-GB" w:eastAsia="pt-BR"/>
    </w:rPr>
  </w:style>
  <w:style w:type="paragraph" w:styleId="Corpodetexto3">
    <w:name w:val="Body Text 3"/>
    <w:basedOn w:val="Normal"/>
    <w:link w:val="Corpodetexto3Char"/>
    <w:qFormat/>
    <w:pPr>
      <w:spacing w:after="0" w:line="240" w:lineRule="auto"/>
      <w:jc w:val="center"/>
    </w:pPr>
    <w:rPr>
      <w:rFonts w:ascii="Times New Roman" w:eastAsia="Times New Roman" w:hAnsi="Times New Roman" w:cs="Times New Roman"/>
      <w:b/>
      <w:sz w:val="28"/>
      <w:szCs w:val="24"/>
      <w:lang w:eastAsia="pt-BR"/>
    </w:rPr>
  </w:style>
  <w:style w:type="paragraph" w:styleId="Cabealho">
    <w:name w:val="header"/>
    <w:basedOn w:val="Normal"/>
    <w:link w:val="CabealhoChar"/>
    <w:uiPriority w:val="99"/>
    <w:unhideWhenUsed/>
    <w:pPr>
      <w:tabs>
        <w:tab w:val="center" w:pos="4252"/>
        <w:tab w:val="right" w:pos="8504"/>
      </w:tabs>
      <w:spacing w:after="0" w:line="240" w:lineRule="auto"/>
    </w:pPr>
  </w:style>
  <w:style w:type="paragraph" w:styleId="Rodap">
    <w:name w:val="footer"/>
    <w:basedOn w:val="Normal"/>
    <w:link w:val="RodapChar"/>
    <w:uiPriority w:val="99"/>
    <w:unhideWhenUsed/>
    <w:qFormat/>
    <w:pPr>
      <w:tabs>
        <w:tab w:val="center" w:pos="4252"/>
        <w:tab w:val="right" w:pos="8504"/>
      </w:tabs>
      <w:spacing w:after="0" w:line="240" w:lineRule="auto"/>
    </w:pPr>
  </w:style>
  <w:style w:type="character" w:customStyle="1" w:styleId="CabealhoChar">
    <w:name w:val="Cabeçalho Char"/>
    <w:basedOn w:val="Fontepargpadro"/>
    <w:link w:val="Cabealho"/>
    <w:uiPriority w:val="99"/>
    <w:qFormat/>
  </w:style>
  <w:style w:type="character" w:customStyle="1" w:styleId="RodapChar">
    <w:name w:val="Rodapé Char"/>
    <w:basedOn w:val="Fontepargpadro"/>
    <w:link w:val="Rodap"/>
    <w:uiPriority w:val="99"/>
    <w:qFormat/>
  </w:style>
  <w:style w:type="character" w:customStyle="1" w:styleId="fontstyle01">
    <w:name w:val="fontstyle01"/>
    <w:basedOn w:val="Fontepargpadro"/>
    <w:rPr>
      <w:rFonts w:ascii="Arial-BoldMT" w:hAnsi="Arial-BoldMT" w:hint="default"/>
      <w:b/>
      <w:bCs/>
      <w:color w:val="242021"/>
      <w:sz w:val="22"/>
      <w:szCs w:val="22"/>
    </w:rPr>
  </w:style>
  <w:style w:type="character" w:customStyle="1" w:styleId="Corpodetexto3Char">
    <w:name w:val="Corpo de texto 3 Char"/>
    <w:basedOn w:val="Fontepargpadro"/>
    <w:link w:val="Corpodetexto3"/>
    <w:rPr>
      <w:rFonts w:ascii="Times New Roman" w:eastAsia="Times New Roman" w:hAnsi="Times New Roman" w:cs="Times New Roman"/>
      <w:b/>
      <w:sz w:val="28"/>
      <w:szCs w:val="24"/>
      <w:lang w:eastAsia="pt-BR"/>
    </w:rPr>
  </w:style>
  <w:style w:type="character" w:customStyle="1" w:styleId="TtuloChar">
    <w:name w:val="Título Char"/>
    <w:basedOn w:val="Fontepargpadro"/>
    <w:link w:val="Ttulo"/>
    <w:rPr>
      <w:rFonts w:ascii="Arial" w:eastAsia="Times New Roman" w:hAnsi="Arial" w:cs="Times New Roman"/>
      <w:b/>
      <w:sz w:val="28"/>
      <w:szCs w:val="24"/>
      <w:lang w:val="en-GB" w:eastAsia="pt-BR"/>
    </w:rPr>
  </w:style>
  <w:style w:type="character" w:customStyle="1" w:styleId="Ttulo1Char">
    <w:name w:val="Título 1 Char"/>
    <w:basedOn w:val="Fontepargpadro"/>
    <w:link w:val="Ttulo1"/>
    <w:uiPriority w:val="9"/>
    <w:rsid w:val="00B56DE9"/>
    <w:rPr>
      <w:rFonts w:ascii="Times New Roman" w:eastAsia="Calibri" w:hAnsi="Times New Roman" w:cs="Calibri"/>
      <w:b/>
      <w:sz w:val="24"/>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emerald.com/insight/search?q=Hamid%20Yeganeh" TargetMode="Externa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2.jp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2.xm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chart" Target="charts/chart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charts/_rels/chart1.xml.rels><?xml version="1.0" encoding="UTF-8" standalone="yes"?>
<Relationships xmlns="http://schemas.openxmlformats.org/package/2006/relationships"><Relationship Id="rId3" Type="http://schemas.openxmlformats.org/officeDocument/2006/relationships/oleObject" Target="file:///G:\Meu%20Drive\FACE\Disciplinas%20Compartilhadas%20(Daniel%20e%20Jarbas)\2021.4\Aula%203%20-%20Milton%20Santos\Dados%20Trabalhados\Vale%20SA%20-%20Acionistas.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G:\Meu%20Drive\FACE\Disciplinas%20Compartilhadas%20(Daniel%20e%20Jarbas)\2021.4\Aula%203%20-%20Milton%20Santos\Dados%20da%20minera&#231;&#227;o.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Planilha1!$A$8</c:f>
              <c:strCache>
                <c:ptCount val="1"/>
                <c:pt idx="0">
                  <c:v>Previ</c:v>
                </c:pt>
              </c:strCache>
            </c:strRef>
          </c:tx>
          <c:spPr>
            <a:ln w="28575" cap="rnd">
              <a:solidFill>
                <a:schemeClr val="accent1"/>
              </a:solidFill>
              <a:round/>
            </a:ln>
            <a:effectLst/>
          </c:spPr>
          <c:marker>
            <c:symbol val="none"/>
          </c:marker>
          <c:dLbls>
            <c:delete val="1"/>
          </c:dLbls>
          <c:cat>
            <c:numRef>
              <c:f>Planilha1!$S$3:$AA$3</c:f>
              <c:numCache>
                <c:formatCode>General</c:formatCode>
                <c:ptCount val="9"/>
                <c:pt idx="0">
                  <c:v>2014</c:v>
                </c:pt>
                <c:pt idx="1">
                  <c:v>2015</c:v>
                </c:pt>
                <c:pt idx="2">
                  <c:v>2016</c:v>
                </c:pt>
                <c:pt idx="3">
                  <c:v>2017</c:v>
                </c:pt>
                <c:pt idx="4">
                  <c:v>2018</c:v>
                </c:pt>
                <c:pt idx="5">
                  <c:v>2019</c:v>
                </c:pt>
                <c:pt idx="6">
                  <c:v>2020</c:v>
                </c:pt>
                <c:pt idx="7">
                  <c:v>2021</c:v>
                </c:pt>
                <c:pt idx="8">
                  <c:v>2022</c:v>
                </c:pt>
              </c:numCache>
            </c:numRef>
          </c:cat>
          <c:val>
            <c:numRef>
              <c:f>Planilha1!$S$8:$AA$8</c:f>
              <c:numCache>
                <c:formatCode>0.00</c:formatCode>
                <c:ptCount val="9"/>
                <c:pt idx="0">
                  <c:v>0</c:v>
                </c:pt>
                <c:pt idx="1">
                  <c:v>0</c:v>
                </c:pt>
                <c:pt idx="2">
                  <c:v>0</c:v>
                </c:pt>
                <c:pt idx="3">
                  <c:v>0</c:v>
                </c:pt>
                <c:pt idx="4">
                  <c:v>0</c:v>
                </c:pt>
                <c:pt idx="5">
                  <c:v>0</c:v>
                </c:pt>
                <c:pt idx="6">
                  <c:v>1.6074444424000001</c:v>
                </c:pt>
                <c:pt idx="7">
                  <c:v>10.202735474000001</c:v>
                </c:pt>
                <c:pt idx="8">
                  <c:v>8.0978533827000003</c:v>
                </c:pt>
              </c:numCache>
            </c:numRef>
          </c:val>
          <c:smooth val="0"/>
          <c:extLst>
            <c:ext xmlns:c16="http://schemas.microsoft.com/office/drawing/2014/chart" uri="{C3380CC4-5D6E-409C-BE32-E72D297353CC}">
              <c16:uniqueId val="{00000000-EB9A-4630-928E-C7CD4445732D}"/>
            </c:ext>
          </c:extLst>
        </c:ser>
        <c:ser>
          <c:idx val="1"/>
          <c:order val="1"/>
          <c:tx>
            <c:strRef>
              <c:f>Planilha1!$A$9</c:f>
              <c:strCache>
                <c:ptCount val="1"/>
                <c:pt idx="0">
                  <c:v>Capital World Investors</c:v>
                </c:pt>
              </c:strCache>
            </c:strRef>
          </c:tx>
          <c:spPr>
            <a:ln w="28575" cap="rnd">
              <a:solidFill>
                <a:schemeClr val="accent2"/>
              </a:solidFill>
              <a:round/>
            </a:ln>
            <a:effectLst/>
          </c:spPr>
          <c:marker>
            <c:symbol val="none"/>
          </c:marker>
          <c:dLbls>
            <c:delete val="1"/>
          </c:dLbls>
          <c:cat>
            <c:numRef>
              <c:f>Planilha1!$S$3:$AA$3</c:f>
              <c:numCache>
                <c:formatCode>General</c:formatCode>
                <c:ptCount val="9"/>
                <c:pt idx="0">
                  <c:v>2014</c:v>
                </c:pt>
                <c:pt idx="1">
                  <c:v>2015</c:v>
                </c:pt>
                <c:pt idx="2">
                  <c:v>2016</c:v>
                </c:pt>
                <c:pt idx="3">
                  <c:v>2017</c:v>
                </c:pt>
                <c:pt idx="4">
                  <c:v>2018</c:v>
                </c:pt>
                <c:pt idx="5">
                  <c:v>2019</c:v>
                </c:pt>
                <c:pt idx="6">
                  <c:v>2020</c:v>
                </c:pt>
                <c:pt idx="7">
                  <c:v>2021</c:v>
                </c:pt>
                <c:pt idx="8">
                  <c:v>2022</c:v>
                </c:pt>
              </c:numCache>
            </c:numRef>
          </c:cat>
          <c:val>
            <c:numRef>
              <c:f>Planilha1!$S$9:$AA$9</c:f>
              <c:numCache>
                <c:formatCode>0.00</c:formatCode>
                <c:ptCount val="9"/>
                <c:pt idx="0">
                  <c:v>0</c:v>
                </c:pt>
                <c:pt idx="1">
                  <c:v>0</c:v>
                </c:pt>
                <c:pt idx="2">
                  <c:v>0</c:v>
                </c:pt>
                <c:pt idx="3">
                  <c:v>0</c:v>
                </c:pt>
                <c:pt idx="4">
                  <c:v>0</c:v>
                </c:pt>
                <c:pt idx="5">
                  <c:v>0</c:v>
                </c:pt>
                <c:pt idx="6">
                  <c:v>0</c:v>
                </c:pt>
                <c:pt idx="7">
                  <c:v>5.6410410111999996</c:v>
                </c:pt>
                <c:pt idx="8">
                  <c:v>6.5319399593999998</c:v>
                </c:pt>
              </c:numCache>
            </c:numRef>
          </c:val>
          <c:smooth val="0"/>
          <c:extLst>
            <c:ext xmlns:c16="http://schemas.microsoft.com/office/drawing/2014/chart" uri="{C3380CC4-5D6E-409C-BE32-E72D297353CC}">
              <c16:uniqueId val="{00000001-EB9A-4630-928E-C7CD4445732D}"/>
            </c:ext>
          </c:extLst>
        </c:ser>
        <c:ser>
          <c:idx val="2"/>
          <c:order val="2"/>
          <c:tx>
            <c:strRef>
              <c:f>Planilha1!$A$10</c:f>
              <c:strCache>
                <c:ptCount val="1"/>
                <c:pt idx="0">
                  <c:v>Capital Research Global Investors</c:v>
                </c:pt>
              </c:strCache>
            </c:strRef>
          </c:tx>
          <c:spPr>
            <a:ln w="28575" cap="rnd">
              <a:solidFill>
                <a:schemeClr val="accent3"/>
              </a:solidFill>
              <a:round/>
            </a:ln>
            <a:effectLst/>
          </c:spPr>
          <c:marker>
            <c:symbol val="none"/>
          </c:marker>
          <c:dLbls>
            <c:delete val="1"/>
          </c:dLbls>
          <c:cat>
            <c:numRef>
              <c:f>Planilha1!$S$3:$AA$3</c:f>
              <c:numCache>
                <c:formatCode>General</c:formatCode>
                <c:ptCount val="9"/>
                <c:pt idx="0">
                  <c:v>2014</c:v>
                </c:pt>
                <c:pt idx="1">
                  <c:v>2015</c:v>
                </c:pt>
                <c:pt idx="2">
                  <c:v>2016</c:v>
                </c:pt>
                <c:pt idx="3">
                  <c:v>2017</c:v>
                </c:pt>
                <c:pt idx="4">
                  <c:v>2018</c:v>
                </c:pt>
                <c:pt idx="5">
                  <c:v>2019</c:v>
                </c:pt>
                <c:pt idx="6">
                  <c:v>2020</c:v>
                </c:pt>
                <c:pt idx="7">
                  <c:v>2021</c:v>
                </c:pt>
                <c:pt idx="8">
                  <c:v>2022</c:v>
                </c:pt>
              </c:numCache>
            </c:numRef>
          </c:cat>
          <c:val>
            <c:numRef>
              <c:f>Planilha1!$S$10:$AA$10</c:f>
              <c:numCache>
                <c:formatCode>0.00</c:formatCode>
                <c:ptCount val="9"/>
                <c:pt idx="0">
                  <c:v>0</c:v>
                </c:pt>
                <c:pt idx="1">
                  <c:v>0</c:v>
                </c:pt>
                <c:pt idx="2">
                  <c:v>0</c:v>
                </c:pt>
                <c:pt idx="3">
                  <c:v>0</c:v>
                </c:pt>
                <c:pt idx="4">
                  <c:v>0</c:v>
                </c:pt>
                <c:pt idx="5">
                  <c:v>0</c:v>
                </c:pt>
                <c:pt idx="6">
                  <c:v>0</c:v>
                </c:pt>
                <c:pt idx="7">
                  <c:v>5.1123854830999997</c:v>
                </c:pt>
                <c:pt idx="8">
                  <c:v>6.3517691858000003</c:v>
                </c:pt>
              </c:numCache>
            </c:numRef>
          </c:val>
          <c:smooth val="0"/>
          <c:extLst>
            <c:ext xmlns:c16="http://schemas.microsoft.com/office/drawing/2014/chart" uri="{C3380CC4-5D6E-409C-BE32-E72D297353CC}">
              <c16:uniqueId val="{00000002-EB9A-4630-928E-C7CD4445732D}"/>
            </c:ext>
          </c:extLst>
        </c:ser>
        <c:ser>
          <c:idx val="3"/>
          <c:order val="3"/>
          <c:tx>
            <c:strRef>
              <c:f>Planilha1!$A$11</c:f>
              <c:strCache>
                <c:ptCount val="1"/>
                <c:pt idx="0">
                  <c:v>Acoes em Tesouraria</c:v>
                </c:pt>
              </c:strCache>
            </c:strRef>
          </c:tx>
          <c:spPr>
            <a:ln w="28575" cap="rnd">
              <a:solidFill>
                <a:schemeClr val="accent4"/>
              </a:solidFill>
              <a:round/>
            </a:ln>
            <a:effectLst/>
          </c:spPr>
          <c:marker>
            <c:symbol val="none"/>
          </c:marker>
          <c:dLbls>
            <c:delete val="1"/>
          </c:dLbls>
          <c:cat>
            <c:numRef>
              <c:f>Planilha1!$S$3:$AA$3</c:f>
              <c:numCache>
                <c:formatCode>General</c:formatCode>
                <c:ptCount val="9"/>
                <c:pt idx="0">
                  <c:v>2014</c:v>
                </c:pt>
                <c:pt idx="1">
                  <c:v>2015</c:v>
                </c:pt>
                <c:pt idx="2">
                  <c:v>2016</c:v>
                </c:pt>
                <c:pt idx="3">
                  <c:v>2017</c:v>
                </c:pt>
                <c:pt idx="4">
                  <c:v>2018</c:v>
                </c:pt>
                <c:pt idx="5">
                  <c:v>2019</c:v>
                </c:pt>
                <c:pt idx="6">
                  <c:v>2020</c:v>
                </c:pt>
                <c:pt idx="7">
                  <c:v>2021</c:v>
                </c:pt>
                <c:pt idx="8">
                  <c:v>2022</c:v>
                </c:pt>
              </c:numCache>
            </c:numRef>
          </c:cat>
          <c:val>
            <c:numRef>
              <c:f>Planilha1!$S$11:$AA$11</c:f>
              <c:numCache>
                <c:formatCode>0.00</c:formatCode>
                <c:ptCount val="9"/>
                <c:pt idx="0">
                  <c:v>2.1822994972999998</c:v>
                </c:pt>
                <c:pt idx="1">
                  <c:v>0.98021620308000001</c:v>
                </c:pt>
                <c:pt idx="2">
                  <c:v>0.98021620308000001</c:v>
                </c:pt>
                <c:pt idx="3">
                  <c:v>0.98021620308000001</c:v>
                </c:pt>
                <c:pt idx="4">
                  <c:v>1.6471398348999999</c:v>
                </c:pt>
                <c:pt idx="5">
                  <c:v>1.6471398348999999</c:v>
                </c:pt>
                <c:pt idx="6">
                  <c:v>2.9556828218</c:v>
                </c:pt>
                <c:pt idx="7">
                  <c:v>2.9248664195999998</c:v>
                </c:pt>
                <c:pt idx="8">
                  <c:v>5.7056765256000004</c:v>
                </c:pt>
              </c:numCache>
            </c:numRef>
          </c:val>
          <c:smooth val="0"/>
          <c:extLst>
            <c:ext xmlns:c16="http://schemas.microsoft.com/office/drawing/2014/chart" uri="{C3380CC4-5D6E-409C-BE32-E72D297353CC}">
              <c16:uniqueId val="{00000003-EB9A-4630-928E-C7CD4445732D}"/>
            </c:ext>
          </c:extLst>
        </c:ser>
        <c:ser>
          <c:idx val="4"/>
          <c:order val="4"/>
          <c:tx>
            <c:strRef>
              <c:f>Planilha1!$A$12</c:f>
              <c:strCache>
                <c:ptCount val="1"/>
                <c:pt idx="0">
                  <c:v>Mitsui &amp; Co</c:v>
                </c:pt>
              </c:strCache>
            </c:strRef>
          </c:tx>
          <c:spPr>
            <a:ln w="28575" cap="rnd">
              <a:solidFill>
                <a:schemeClr val="accent5"/>
              </a:solidFill>
              <a:round/>
            </a:ln>
            <a:effectLst/>
          </c:spPr>
          <c:marker>
            <c:symbol val="none"/>
          </c:marker>
          <c:dLbls>
            <c:delete val="1"/>
          </c:dLbls>
          <c:cat>
            <c:numRef>
              <c:f>Planilha1!$S$3:$AA$3</c:f>
              <c:numCache>
                <c:formatCode>General</c:formatCode>
                <c:ptCount val="9"/>
                <c:pt idx="0">
                  <c:v>2014</c:v>
                </c:pt>
                <c:pt idx="1">
                  <c:v>2015</c:v>
                </c:pt>
                <c:pt idx="2">
                  <c:v>2016</c:v>
                </c:pt>
                <c:pt idx="3">
                  <c:v>2017</c:v>
                </c:pt>
                <c:pt idx="4">
                  <c:v>2018</c:v>
                </c:pt>
                <c:pt idx="5">
                  <c:v>2019</c:v>
                </c:pt>
                <c:pt idx="6">
                  <c:v>2020</c:v>
                </c:pt>
                <c:pt idx="7">
                  <c:v>2021</c:v>
                </c:pt>
                <c:pt idx="8">
                  <c:v>2022</c:v>
                </c:pt>
              </c:numCache>
            </c:numRef>
          </c:cat>
          <c:val>
            <c:numRef>
              <c:f>Planilha1!$S$12:$AA$12</c:f>
              <c:numCache>
                <c:formatCode>0.00</c:formatCode>
                <c:ptCount val="9"/>
                <c:pt idx="0">
                  <c:v>0</c:v>
                </c:pt>
                <c:pt idx="1">
                  <c:v>0</c:v>
                </c:pt>
                <c:pt idx="2">
                  <c:v>0</c:v>
                </c:pt>
                <c:pt idx="3">
                  <c:v>0</c:v>
                </c:pt>
                <c:pt idx="4">
                  <c:v>5.4186474050999998</c:v>
                </c:pt>
                <c:pt idx="5">
                  <c:v>5.4186474050999998</c:v>
                </c:pt>
                <c:pt idx="6">
                  <c:v>5.4186474050999998</c:v>
                </c:pt>
                <c:pt idx="7">
                  <c:v>5.4186474050999998</c:v>
                </c:pt>
                <c:pt idx="8">
                  <c:v>5.5791403026999999</c:v>
                </c:pt>
              </c:numCache>
            </c:numRef>
          </c:val>
          <c:smooth val="0"/>
          <c:extLst>
            <c:ext xmlns:c16="http://schemas.microsoft.com/office/drawing/2014/chart" uri="{C3380CC4-5D6E-409C-BE32-E72D297353CC}">
              <c16:uniqueId val="{00000004-EB9A-4630-928E-C7CD4445732D}"/>
            </c:ext>
          </c:extLst>
        </c:ser>
        <c:ser>
          <c:idx val="5"/>
          <c:order val="5"/>
          <c:tx>
            <c:strRef>
              <c:f>Planilha1!$A$13</c:f>
              <c:strCache>
                <c:ptCount val="1"/>
                <c:pt idx="0">
                  <c:v>Blackrock, Inc</c:v>
                </c:pt>
              </c:strCache>
            </c:strRef>
          </c:tx>
          <c:spPr>
            <a:ln w="28575" cap="rnd">
              <a:solidFill>
                <a:schemeClr val="accent6"/>
              </a:solidFill>
              <a:round/>
            </a:ln>
            <a:effectLst/>
          </c:spPr>
          <c:marker>
            <c:symbol val="none"/>
          </c:marker>
          <c:dLbls>
            <c:delete val="1"/>
          </c:dLbls>
          <c:cat>
            <c:numRef>
              <c:f>Planilha1!$S$3:$AA$3</c:f>
              <c:numCache>
                <c:formatCode>General</c:formatCode>
                <c:ptCount val="9"/>
                <c:pt idx="0">
                  <c:v>2014</c:v>
                </c:pt>
                <c:pt idx="1">
                  <c:v>2015</c:v>
                </c:pt>
                <c:pt idx="2">
                  <c:v>2016</c:v>
                </c:pt>
                <c:pt idx="3">
                  <c:v>2017</c:v>
                </c:pt>
                <c:pt idx="4">
                  <c:v>2018</c:v>
                </c:pt>
                <c:pt idx="5">
                  <c:v>2019</c:v>
                </c:pt>
                <c:pt idx="6">
                  <c:v>2020</c:v>
                </c:pt>
                <c:pt idx="7">
                  <c:v>2021</c:v>
                </c:pt>
                <c:pt idx="8">
                  <c:v>2022</c:v>
                </c:pt>
              </c:numCache>
            </c:numRef>
          </c:cat>
          <c:val>
            <c:numRef>
              <c:f>Planilha1!$S$13:$AA$13</c:f>
              <c:numCache>
                <c:formatCode>0.00</c:formatCode>
                <c:ptCount val="9"/>
                <c:pt idx="0">
                  <c:v>0</c:v>
                </c:pt>
                <c:pt idx="1">
                  <c:v>0</c:v>
                </c:pt>
                <c:pt idx="2">
                  <c:v>0</c:v>
                </c:pt>
                <c:pt idx="3">
                  <c:v>0</c:v>
                </c:pt>
                <c:pt idx="4">
                  <c:v>5.0015027888999999</c:v>
                </c:pt>
                <c:pt idx="5">
                  <c:v>5.9823402847000002</c:v>
                </c:pt>
                <c:pt idx="6">
                  <c:v>5.0337232851999998</c:v>
                </c:pt>
                <c:pt idx="7">
                  <c:v>5.2902659992999999</c:v>
                </c:pt>
                <c:pt idx="8">
                  <c:v>5.4469564157999999</c:v>
                </c:pt>
              </c:numCache>
            </c:numRef>
          </c:val>
          <c:smooth val="0"/>
          <c:extLst>
            <c:ext xmlns:c16="http://schemas.microsoft.com/office/drawing/2014/chart" uri="{C3380CC4-5D6E-409C-BE32-E72D297353CC}">
              <c16:uniqueId val="{00000005-EB9A-4630-928E-C7CD4445732D}"/>
            </c:ext>
          </c:extLst>
        </c:ser>
        <c:dLbls>
          <c:showLegendKey val="0"/>
          <c:showVal val="1"/>
          <c:showCatName val="0"/>
          <c:showSerName val="0"/>
          <c:showPercent val="0"/>
          <c:showBubbleSize val="0"/>
        </c:dLbls>
        <c:smooth val="0"/>
        <c:axId val="286934063"/>
        <c:axId val="286931567"/>
      </c:lineChart>
      <c:catAx>
        <c:axId val="28693406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t-BR"/>
          </a:p>
        </c:txPr>
        <c:crossAx val="286931567"/>
        <c:crosses val="autoZero"/>
        <c:auto val="1"/>
        <c:lblAlgn val="ctr"/>
        <c:lblOffset val="100"/>
        <c:noMultiLvlLbl val="0"/>
      </c:catAx>
      <c:valAx>
        <c:axId val="286931567"/>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t-BR"/>
          </a:p>
        </c:txPr>
        <c:crossAx val="28693406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t-BR"/>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pt-BR"/>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Sheet1!$D$2</c:f>
              <c:strCache>
                <c:ptCount val="1"/>
                <c:pt idx="0">
                  <c:v>Próprios</c:v>
                </c:pt>
              </c:strCache>
            </c:strRef>
          </c:tx>
          <c:spPr>
            <a:ln w="28575" cap="rnd">
              <a:solidFill>
                <a:schemeClr val="accent1"/>
              </a:solidFill>
              <a:round/>
            </a:ln>
            <a:effectLst/>
          </c:spPr>
          <c:marker>
            <c:symbol val="none"/>
          </c:marker>
          <c:cat>
            <c:numRef>
              <c:f>Sheet1!$C$3:$C$16</c:f>
              <c:numCache>
                <c:formatCode>General</c:formatCode>
                <c:ptCount val="14"/>
                <c:pt idx="0">
                  <c:v>2007</c:v>
                </c:pt>
                <c:pt idx="1">
                  <c:v>2008</c:v>
                </c:pt>
                <c:pt idx="2">
                  <c:v>2009</c:v>
                </c:pt>
                <c:pt idx="3">
                  <c:v>2010</c:v>
                </c:pt>
                <c:pt idx="4">
                  <c:v>2011</c:v>
                </c:pt>
                <c:pt idx="5">
                  <c:v>2012</c:v>
                </c:pt>
                <c:pt idx="6">
                  <c:v>2013</c:v>
                </c:pt>
                <c:pt idx="7">
                  <c:v>2014</c:v>
                </c:pt>
                <c:pt idx="8">
                  <c:v>2015</c:v>
                </c:pt>
                <c:pt idx="9">
                  <c:v>2016</c:v>
                </c:pt>
                <c:pt idx="10">
                  <c:v>2017</c:v>
                </c:pt>
                <c:pt idx="11">
                  <c:v>2018</c:v>
                </c:pt>
                <c:pt idx="12">
                  <c:v>2019</c:v>
                </c:pt>
                <c:pt idx="13">
                  <c:v>2020</c:v>
                </c:pt>
              </c:numCache>
            </c:numRef>
          </c:cat>
          <c:val>
            <c:numRef>
              <c:f>Sheet1!$D$3:$D$16</c:f>
              <c:numCache>
                <c:formatCode>General</c:formatCode>
                <c:ptCount val="14"/>
                <c:pt idx="0">
                  <c:v>56400</c:v>
                </c:pt>
                <c:pt idx="1">
                  <c:v>62500</c:v>
                </c:pt>
                <c:pt idx="2">
                  <c:v>60000</c:v>
                </c:pt>
                <c:pt idx="3">
                  <c:v>70800</c:v>
                </c:pt>
                <c:pt idx="4">
                  <c:v>79600</c:v>
                </c:pt>
                <c:pt idx="5">
                  <c:v>85300</c:v>
                </c:pt>
                <c:pt idx="6">
                  <c:v>83300</c:v>
                </c:pt>
                <c:pt idx="7">
                  <c:v>76500</c:v>
                </c:pt>
                <c:pt idx="8">
                  <c:v>74100</c:v>
                </c:pt>
                <c:pt idx="9">
                  <c:v>73100</c:v>
                </c:pt>
                <c:pt idx="10">
                  <c:v>73596</c:v>
                </c:pt>
                <c:pt idx="11">
                  <c:v>70270</c:v>
                </c:pt>
                <c:pt idx="12">
                  <c:v>71149</c:v>
                </c:pt>
                <c:pt idx="13">
                  <c:v>74316</c:v>
                </c:pt>
              </c:numCache>
            </c:numRef>
          </c:val>
          <c:smooth val="0"/>
          <c:extLst>
            <c:ext xmlns:c16="http://schemas.microsoft.com/office/drawing/2014/chart" uri="{C3380CC4-5D6E-409C-BE32-E72D297353CC}">
              <c16:uniqueId val="{00000000-57B0-4928-B52A-99C7A35FBE75}"/>
            </c:ext>
          </c:extLst>
        </c:ser>
        <c:ser>
          <c:idx val="1"/>
          <c:order val="1"/>
          <c:tx>
            <c:strRef>
              <c:f>Sheet1!$E$2</c:f>
              <c:strCache>
                <c:ptCount val="1"/>
                <c:pt idx="0">
                  <c:v>Terceirizados</c:v>
                </c:pt>
              </c:strCache>
            </c:strRef>
          </c:tx>
          <c:spPr>
            <a:ln w="28575" cap="rnd">
              <a:solidFill>
                <a:schemeClr val="accent2"/>
              </a:solidFill>
              <a:round/>
            </a:ln>
            <a:effectLst/>
          </c:spPr>
          <c:marker>
            <c:symbol val="none"/>
          </c:marker>
          <c:cat>
            <c:numRef>
              <c:f>Sheet1!$C$3:$C$16</c:f>
              <c:numCache>
                <c:formatCode>General</c:formatCode>
                <c:ptCount val="14"/>
                <c:pt idx="0">
                  <c:v>2007</c:v>
                </c:pt>
                <c:pt idx="1">
                  <c:v>2008</c:v>
                </c:pt>
                <c:pt idx="2">
                  <c:v>2009</c:v>
                </c:pt>
                <c:pt idx="3">
                  <c:v>2010</c:v>
                </c:pt>
                <c:pt idx="4">
                  <c:v>2011</c:v>
                </c:pt>
                <c:pt idx="5">
                  <c:v>2012</c:v>
                </c:pt>
                <c:pt idx="6">
                  <c:v>2013</c:v>
                </c:pt>
                <c:pt idx="7">
                  <c:v>2014</c:v>
                </c:pt>
                <c:pt idx="8">
                  <c:v>2015</c:v>
                </c:pt>
                <c:pt idx="9">
                  <c:v>2016</c:v>
                </c:pt>
                <c:pt idx="10">
                  <c:v>2017</c:v>
                </c:pt>
                <c:pt idx="11">
                  <c:v>2018</c:v>
                </c:pt>
                <c:pt idx="12">
                  <c:v>2019</c:v>
                </c:pt>
                <c:pt idx="13">
                  <c:v>2020</c:v>
                </c:pt>
              </c:numCache>
            </c:numRef>
          </c:cat>
          <c:val>
            <c:numRef>
              <c:f>Sheet1!$E$3:$E$16</c:f>
              <c:numCache>
                <c:formatCode>General</c:formatCode>
                <c:ptCount val="14"/>
                <c:pt idx="0">
                  <c:v>90400</c:v>
                </c:pt>
                <c:pt idx="1">
                  <c:v>83200</c:v>
                </c:pt>
                <c:pt idx="2">
                  <c:v>80600</c:v>
                </c:pt>
                <c:pt idx="3">
                  <c:v>103300</c:v>
                </c:pt>
                <c:pt idx="4">
                  <c:v>108100</c:v>
                </c:pt>
                <c:pt idx="5">
                  <c:v>110300</c:v>
                </c:pt>
                <c:pt idx="6">
                  <c:v>129100</c:v>
                </c:pt>
                <c:pt idx="7">
                  <c:v>129900</c:v>
                </c:pt>
                <c:pt idx="8">
                  <c:v>92200</c:v>
                </c:pt>
                <c:pt idx="9">
                  <c:v>66700</c:v>
                </c:pt>
                <c:pt idx="10">
                  <c:v>56979</c:v>
                </c:pt>
                <c:pt idx="11">
                  <c:v>54644</c:v>
                </c:pt>
                <c:pt idx="12">
                  <c:v>78143</c:v>
                </c:pt>
                <c:pt idx="13">
                  <c:v>111921</c:v>
                </c:pt>
              </c:numCache>
            </c:numRef>
          </c:val>
          <c:smooth val="0"/>
          <c:extLst>
            <c:ext xmlns:c16="http://schemas.microsoft.com/office/drawing/2014/chart" uri="{C3380CC4-5D6E-409C-BE32-E72D297353CC}">
              <c16:uniqueId val="{00000001-57B0-4928-B52A-99C7A35FBE75}"/>
            </c:ext>
          </c:extLst>
        </c:ser>
        <c:dLbls>
          <c:showLegendKey val="0"/>
          <c:showVal val="0"/>
          <c:showCatName val="0"/>
          <c:showSerName val="0"/>
          <c:showPercent val="0"/>
          <c:showBubbleSize val="0"/>
        </c:dLbls>
        <c:smooth val="0"/>
        <c:axId val="1194744656"/>
        <c:axId val="1194745072"/>
      </c:lineChart>
      <c:catAx>
        <c:axId val="1194744656"/>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t-BR"/>
          </a:p>
        </c:txPr>
        <c:crossAx val="1194745072"/>
        <c:crosses val="autoZero"/>
        <c:auto val="1"/>
        <c:lblAlgn val="ctr"/>
        <c:lblOffset val="100"/>
        <c:noMultiLvlLbl val="0"/>
      </c:catAx>
      <c:valAx>
        <c:axId val="1194745072"/>
        <c:scaling>
          <c:orientation val="minMax"/>
          <c:min val="5000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pt-BR"/>
          </a:p>
        </c:txPr>
        <c:crossAx val="1194744656"/>
        <c:crosses val="autoZero"/>
        <c:crossBetween val="between"/>
        <c:majorUnit val="10000"/>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t-BR"/>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pt-BR"/>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086F4A2-6347-48B5-9335-B7C0535C85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20</Pages>
  <Words>6600</Words>
  <Characters>35642</Characters>
  <Application>Microsoft Office Word</Application>
  <DocSecurity>0</DocSecurity>
  <Lines>297</Lines>
  <Paragraphs>84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42158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DELL-PC</dc:creator>
  <cp:lastModifiedBy>daniel silva</cp:lastModifiedBy>
  <cp:revision>17</cp:revision>
  <dcterms:created xsi:type="dcterms:W3CDTF">2022-07-29T17:38:00Z</dcterms:created>
  <dcterms:modified xsi:type="dcterms:W3CDTF">2022-07-30T13:43:00Z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1046-11.2.0.11130</vt:lpwstr>
  </property>
  <property fmtid="{D5CDD505-2E9C-101B-9397-08002B2CF9AE}" pid="3" name="ICV">
    <vt:lpwstr>F823C2174BA04F349E8757594F333FDC</vt:lpwstr>
  </property>
</Properties>
</file>