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71E82" w14:textId="77777777" w:rsidR="004B08FE" w:rsidRDefault="004B08FE">
      <w:pPr>
        <w:spacing w:after="0" w:line="360" w:lineRule="auto"/>
        <w:jc w:val="center"/>
        <w:rPr>
          <w:rFonts w:ascii="Times New Roman" w:hAnsi="Times New Roman" w:cs="Times New Roman"/>
          <w:sz w:val="28"/>
          <w:szCs w:val="28"/>
        </w:rPr>
      </w:pPr>
    </w:p>
    <w:p w14:paraId="08BD7509" w14:textId="72FBF26D" w:rsidR="00A16F9D" w:rsidRDefault="00A16F9D" w:rsidP="00A16F9D">
      <w:pPr>
        <w:shd w:val="clear" w:color="auto" w:fill="FFFFFF"/>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CONTRIBUIÇÕES DAS MULHERES QUE PENSA</w:t>
      </w:r>
      <w:r w:rsidR="00337429">
        <w:rPr>
          <w:rFonts w:ascii="Times New Roman" w:eastAsia="Times New Roman" w:hAnsi="Times New Roman" w:cs="Times New Roman"/>
          <w:b/>
          <w:sz w:val="28"/>
          <w:szCs w:val="28"/>
        </w:rPr>
        <w:t>RA</w:t>
      </w:r>
      <w:r>
        <w:rPr>
          <w:rFonts w:ascii="Times New Roman" w:eastAsia="Times New Roman" w:hAnsi="Times New Roman" w:cs="Times New Roman"/>
          <w:b/>
          <w:sz w:val="28"/>
          <w:szCs w:val="28"/>
        </w:rPr>
        <w:t>M O BRASIL PARA O DEBATE SOBRE O REGIONAL</w:t>
      </w:r>
    </w:p>
    <w:p w14:paraId="21FCC696" w14:textId="77777777" w:rsidR="004B08FE" w:rsidRDefault="004B08FE">
      <w:pPr>
        <w:spacing w:after="0" w:line="360" w:lineRule="auto"/>
        <w:jc w:val="center"/>
        <w:rPr>
          <w:rFonts w:ascii="Times New Roman" w:hAnsi="Times New Roman" w:cs="Times New Roman"/>
          <w:sz w:val="28"/>
          <w:szCs w:val="28"/>
        </w:rPr>
      </w:pPr>
    </w:p>
    <w:p w14:paraId="795B29FA" w14:textId="77777777" w:rsidR="004B08FE" w:rsidRDefault="00000000">
      <w:pPr>
        <w:pStyle w:val="Ttulo"/>
        <w:jc w:val="both"/>
        <w:rPr>
          <w:rFonts w:ascii="Times New Roman" w:hAnsi="Times New Roman"/>
          <w:sz w:val="24"/>
        </w:rPr>
      </w:pPr>
      <w:r>
        <w:rPr>
          <w:rFonts w:ascii="Times New Roman" w:hAnsi="Times New Roman"/>
          <w:sz w:val="24"/>
        </w:rPr>
        <w:t>RESUMO</w:t>
      </w:r>
    </w:p>
    <w:p w14:paraId="781B6CAD" w14:textId="112ACF9A" w:rsidR="00337429" w:rsidRPr="00337429" w:rsidRDefault="00337429" w:rsidP="00337429">
      <w:pPr>
        <w:spacing w:after="0" w:line="240" w:lineRule="auto"/>
        <w:jc w:val="both"/>
        <w:rPr>
          <w:rFonts w:ascii="Times New Roman" w:hAnsi="Times New Roman" w:cs="Times New Roman"/>
          <w:sz w:val="24"/>
        </w:rPr>
      </w:pPr>
      <w:r w:rsidRPr="00337429">
        <w:rPr>
          <w:rFonts w:ascii="Times New Roman" w:hAnsi="Times New Roman" w:cs="Times New Roman"/>
          <w:sz w:val="24"/>
        </w:rPr>
        <w:t>Este artigo busca compreender a questão regional no Brasil com base nas reflexões de mulheres que pensaram o Brasil a partir de suas experiências e de suas áreas de conhecimento. Foram selecionadas dez mulheres</w:t>
      </w:r>
      <w:r w:rsidR="00C731B6">
        <w:rPr>
          <w:rFonts w:ascii="Times New Roman" w:hAnsi="Times New Roman" w:cs="Times New Roman"/>
          <w:sz w:val="24"/>
        </w:rPr>
        <w:t xml:space="preserve"> </w:t>
      </w:r>
      <w:r>
        <w:rPr>
          <w:rFonts w:ascii="Times New Roman" w:hAnsi="Times New Roman" w:cs="Times New Roman"/>
          <w:sz w:val="24"/>
        </w:rPr>
        <w:t>e seu</w:t>
      </w:r>
      <w:r w:rsidRPr="00337429">
        <w:rPr>
          <w:rFonts w:ascii="Times New Roman" w:hAnsi="Times New Roman" w:cs="Times New Roman"/>
          <w:sz w:val="24"/>
        </w:rPr>
        <w:t xml:space="preserve">s textos datam de 1976 a 2014. </w:t>
      </w:r>
      <w:r w:rsidR="00C731B6">
        <w:rPr>
          <w:rFonts w:ascii="Times New Roman" w:hAnsi="Times New Roman" w:cs="Times New Roman"/>
          <w:sz w:val="24"/>
        </w:rPr>
        <w:t>Neles,</w:t>
      </w:r>
      <w:r w:rsidRPr="00337429">
        <w:rPr>
          <w:rFonts w:ascii="Times New Roman" w:hAnsi="Times New Roman" w:cs="Times New Roman"/>
          <w:sz w:val="24"/>
        </w:rPr>
        <w:t xml:space="preserve"> a região aparece em alguns casos como um recorte geopolítico, como espaço da relação Capital</w:t>
      </w:r>
      <w:r w:rsidR="00C731B6">
        <w:rPr>
          <w:rFonts w:ascii="Times New Roman" w:hAnsi="Times New Roman" w:cs="Times New Roman"/>
          <w:sz w:val="24"/>
        </w:rPr>
        <w:t xml:space="preserve"> e</w:t>
      </w:r>
      <w:r w:rsidRPr="00337429">
        <w:rPr>
          <w:rFonts w:ascii="Times New Roman" w:hAnsi="Times New Roman" w:cs="Times New Roman"/>
          <w:sz w:val="24"/>
        </w:rPr>
        <w:t xml:space="preserve"> como construção social. O passado não resolvido deita raízes na inserção do Brasil na economia externa, na tentativa de branqueamento da Nação, na prática histórica do racismo disfarçado e do sexismo e no coronelismo – temas que se mesclam com a história das regionalizações do Brasil. A relação Capital no espaço e no tempo traz à tona a subserviência das formas políticas, jurídicas e econômicas ao Capital</w:t>
      </w:r>
      <w:r>
        <w:rPr>
          <w:rFonts w:ascii="Times New Roman" w:hAnsi="Times New Roman" w:cs="Times New Roman"/>
          <w:sz w:val="24"/>
        </w:rPr>
        <w:t>.</w:t>
      </w:r>
      <w:r w:rsidRPr="00337429">
        <w:rPr>
          <w:rFonts w:ascii="Times New Roman" w:hAnsi="Times New Roman" w:cs="Times New Roman"/>
          <w:sz w:val="24"/>
        </w:rPr>
        <w:t xml:space="preserve"> </w:t>
      </w:r>
      <w:r w:rsidR="00C731B6">
        <w:rPr>
          <w:rFonts w:ascii="Times New Roman" w:hAnsi="Times New Roman" w:cs="Times New Roman"/>
          <w:sz w:val="24"/>
        </w:rPr>
        <w:t>E a</w:t>
      </w:r>
      <w:r w:rsidRPr="00337429">
        <w:rPr>
          <w:rFonts w:ascii="Times New Roman" w:hAnsi="Times New Roman" w:cs="Times New Roman"/>
          <w:sz w:val="24"/>
        </w:rPr>
        <w:t xml:space="preserve">s resistências possíveis tratam </w:t>
      </w:r>
      <w:r>
        <w:rPr>
          <w:rFonts w:ascii="Times New Roman" w:hAnsi="Times New Roman" w:cs="Times New Roman"/>
          <w:sz w:val="24"/>
        </w:rPr>
        <w:t>d</w:t>
      </w:r>
      <w:r w:rsidRPr="00337429">
        <w:rPr>
          <w:rFonts w:ascii="Times New Roman" w:hAnsi="Times New Roman" w:cs="Times New Roman"/>
          <w:sz w:val="24"/>
        </w:rPr>
        <w:t xml:space="preserve">a atuação dos movimentos sociais, </w:t>
      </w:r>
      <w:r>
        <w:rPr>
          <w:rFonts w:ascii="Times New Roman" w:hAnsi="Times New Roman" w:cs="Times New Roman"/>
          <w:sz w:val="24"/>
        </w:rPr>
        <w:t>d</w:t>
      </w:r>
      <w:r w:rsidRPr="00337429">
        <w:rPr>
          <w:rFonts w:ascii="Times New Roman" w:hAnsi="Times New Roman" w:cs="Times New Roman"/>
          <w:sz w:val="24"/>
        </w:rPr>
        <w:t xml:space="preserve">a afirmação da diferença, considerando que historicamente no Brasil as decisões sobre os rumos do País sempre foram decididas por poucos e beneficiando poucos. </w:t>
      </w:r>
    </w:p>
    <w:p w14:paraId="0ED0B77A" w14:textId="77777777" w:rsidR="00337429" w:rsidRDefault="00337429">
      <w:pPr>
        <w:spacing w:after="0" w:line="240" w:lineRule="auto"/>
        <w:jc w:val="both"/>
        <w:rPr>
          <w:rFonts w:ascii="Times New Roman" w:hAnsi="Times New Roman" w:cs="Times New Roman"/>
          <w:sz w:val="24"/>
        </w:rPr>
      </w:pPr>
    </w:p>
    <w:p w14:paraId="257AF439" w14:textId="47F11B2F" w:rsidR="004B08FE"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C731B6" w:rsidRPr="00C731B6">
        <w:rPr>
          <w:rFonts w:ascii="Times New Roman" w:hAnsi="Times New Roman" w:cs="Times New Roman"/>
          <w:sz w:val="24"/>
          <w:szCs w:val="24"/>
        </w:rPr>
        <w:t>Mulheres; Regional; Região; Brasil.</w:t>
      </w:r>
    </w:p>
    <w:p w14:paraId="78F7FD3B" w14:textId="77777777" w:rsidR="004B08FE" w:rsidRDefault="004B08FE">
      <w:pPr>
        <w:spacing w:after="0" w:line="360" w:lineRule="auto"/>
        <w:jc w:val="both"/>
        <w:rPr>
          <w:rFonts w:ascii="Times New Roman" w:hAnsi="Times New Roman" w:cs="Times New Roman"/>
          <w:sz w:val="24"/>
          <w:szCs w:val="24"/>
        </w:rPr>
      </w:pPr>
    </w:p>
    <w:p w14:paraId="5CBAA80F" w14:textId="7FF98C00" w:rsidR="004B08FE"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2530AE">
        <w:rPr>
          <w:rFonts w:ascii="Times New Roman" w:hAnsi="Times New Roman" w:cs="Times New Roman"/>
          <w:b/>
          <w:bCs/>
          <w:sz w:val="24"/>
          <w:szCs w:val="24"/>
        </w:rPr>
        <w:t>1</w:t>
      </w:r>
      <w:r>
        <w:rPr>
          <w:rFonts w:ascii="Times New Roman" w:hAnsi="Times New Roman" w:cs="Times New Roman"/>
          <w:sz w:val="24"/>
          <w:szCs w:val="24"/>
        </w:rPr>
        <w:t xml:space="preserve">: </w:t>
      </w:r>
      <w:r w:rsidR="002530AE" w:rsidRPr="002530AE">
        <w:rPr>
          <w:rFonts w:ascii="Times New Roman" w:hAnsi="Times New Roman" w:cs="Times New Roman"/>
          <w:sz w:val="24"/>
          <w:szCs w:val="24"/>
        </w:rPr>
        <w:t>Estudos teóricos e metodológicos do Desenvolvimento</w:t>
      </w:r>
    </w:p>
    <w:p w14:paraId="7FCE2960" w14:textId="77777777" w:rsidR="004B08FE" w:rsidRDefault="004B08FE">
      <w:pPr>
        <w:spacing w:after="0" w:line="360" w:lineRule="auto"/>
        <w:jc w:val="both"/>
        <w:rPr>
          <w:rFonts w:ascii="Times New Roman" w:hAnsi="Times New Roman" w:cs="Times New Roman"/>
          <w:sz w:val="24"/>
          <w:szCs w:val="24"/>
        </w:rPr>
      </w:pPr>
    </w:p>
    <w:p w14:paraId="23165797" w14:textId="77777777" w:rsidR="004B08FE"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12CF4F83"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Muitas são as tentativas de compreender o Brasil. Geralmente elas são capitaneadas por aquilo que chamamos pensamento social brasileiro e são feitas a partir dos escritos dos chamados “intérpretes do Brasil” (MARTINS, 2017. Na coletânea organizada por </w:t>
      </w:r>
      <w:proofErr w:type="spellStart"/>
      <w:r w:rsidRPr="002530AE">
        <w:rPr>
          <w:rFonts w:ascii="Times New Roman" w:hAnsi="Times New Roman" w:cs="Times New Roman"/>
          <w:sz w:val="24"/>
        </w:rPr>
        <w:t>Pericás</w:t>
      </w:r>
      <w:proofErr w:type="spellEnd"/>
      <w:r w:rsidRPr="002530AE">
        <w:rPr>
          <w:rFonts w:ascii="Times New Roman" w:hAnsi="Times New Roman" w:cs="Times New Roman"/>
          <w:sz w:val="24"/>
        </w:rPr>
        <w:t xml:space="preserve"> e Secco (2014) cuja intenção era a de apresentar a contribuição dos renegados e esquecidos pensadores do Brasil são apresentados 25 homens, nenhuma mulher. Moraes, Antunes e Ferrante (1986) trazem a inteligência brasileira representada exclusivamente por homens. Dos 29 intérpretes do Brasil apresentados por Botelho e </w:t>
      </w:r>
      <w:proofErr w:type="spellStart"/>
      <w:r w:rsidRPr="002530AE">
        <w:rPr>
          <w:rFonts w:ascii="Times New Roman" w:hAnsi="Times New Roman" w:cs="Times New Roman"/>
          <w:sz w:val="24"/>
        </w:rPr>
        <w:t>Schwarcz</w:t>
      </w:r>
      <w:proofErr w:type="spellEnd"/>
      <w:r w:rsidRPr="002530AE">
        <w:rPr>
          <w:rFonts w:ascii="Times New Roman" w:hAnsi="Times New Roman" w:cs="Times New Roman"/>
          <w:sz w:val="24"/>
        </w:rPr>
        <w:t xml:space="preserve"> (2009) aparecem 27 homens e duas mulheres. A maioria masculina se repete em outras coletâneas (SENTO-SÉ; PAIVA, 2005; SOUZA, 2018). </w:t>
      </w:r>
    </w:p>
    <w:p w14:paraId="362A066B"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Aqui propomos uma escritura do Brasil e do regional a partir da contribuição das mulheres. Mulheres que não figuram entre os intérpretes do Brasil, mas que acreditamos ter contribuições importantes para pensar o Brasil e a questão regional. Essa escolha vai na contramão dos clássicos, dos consagrados, dos conhecidos “intérpretes” do Brasil. Aqui utilizamos a categoria mulher no sentido político, a fim de refletir sobre as relações de poder e fazer a crítica dos essencialismos (PISCITELLI, s.d.). Não se trata de perseguir a singularidade das mulheres na construção do conhecimento científico, mas levantar suas contribuições e </w:t>
      </w:r>
      <w:r w:rsidRPr="002530AE">
        <w:rPr>
          <w:rFonts w:ascii="Times New Roman" w:hAnsi="Times New Roman" w:cs="Times New Roman"/>
          <w:sz w:val="24"/>
        </w:rPr>
        <w:lastRenderedPageBreak/>
        <w:t xml:space="preserve">refletir sobre os discursos, práticas e relações sociais nas quais a mulher acaba assumindo uma posição secundária. </w:t>
      </w:r>
    </w:p>
    <w:p w14:paraId="054508B2"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Os textos que mobilizados não são encarados como simples documentos, nem como ideias que devem ser tomadas no seu tempo, mas como elementos para recompor questões do passado e permitam que os autores fundamentem suas próprias questões (MAIA, 2008). </w:t>
      </w:r>
    </w:p>
    <w:p w14:paraId="446B55A0"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Ressaltando que o papel do leitor também é importante. “O sentido de um texto está aberto a quem quer que possa ler.” (RICOEUR, 1987, p. 105). “Se a referência do texto é o projeto de um mundo, então, não é o leitor que primeiramente a si mesmo se projeta. O leitor é antes alargado na sua capacidade de auto projeção, ao receber do próprio texto um novo modo de ser.” (RICOEUR, 1987, p. 106). A intenção nesse artigo não é recompor o binômio autor/obra, mas buscar compreender a partir da regional no Brasil como essas autoras trataram o tema em seus textos selecionados. </w:t>
      </w:r>
    </w:p>
    <w:p w14:paraId="64C0C778"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O artigo está dividido em seis seções. A primeira seção é essa introdução na qual são apresentados a contextualização, objetivos e metodologia. A segunda seção trata das mulheres selecionadas para esse artigo, suas formações e artigos selecionados para essa pesquisa. A terceira seção aborda a partir da contribuição das autoras o passado não resolvido do Brasil. A quarta seção traz o tema da relação capital no espaço e no tempo, a quinta seção trazemos a resistência possível e, nas considerações finais, fazemos uma síntese das principais contribuições das autoras para pensar o regional no Brasil. </w:t>
      </w:r>
    </w:p>
    <w:p w14:paraId="52B13975" w14:textId="77777777" w:rsidR="002530AE" w:rsidRPr="002530AE" w:rsidRDefault="002530AE" w:rsidP="002530AE">
      <w:pPr>
        <w:spacing w:after="0" w:line="240" w:lineRule="auto"/>
        <w:ind w:firstLine="708"/>
        <w:jc w:val="both"/>
        <w:rPr>
          <w:rFonts w:ascii="Times New Roman" w:hAnsi="Times New Roman" w:cs="Times New Roman"/>
          <w:b/>
          <w:sz w:val="24"/>
        </w:rPr>
      </w:pPr>
    </w:p>
    <w:p w14:paraId="73F628CC" w14:textId="46777116" w:rsidR="002530AE" w:rsidRPr="002530AE" w:rsidRDefault="002530AE" w:rsidP="002530AE">
      <w:pPr>
        <w:spacing w:after="0" w:line="240" w:lineRule="auto"/>
        <w:jc w:val="both"/>
        <w:rPr>
          <w:rFonts w:ascii="Times New Roman" w:hAnsi="Times New Roman" w:cs="Times New Roman"/>
          <w:b/>
          <w:sz w:val="24"/>
        </w:rPr>
      </w:pPr>
      <w:r>
        <w:rPr>
          <w:rFonts w:ascii="Times New Roman" w:hAnsi="Times New Roman" w:cs="Times New Roman"/>
          <w:b/>
          <w:sz w:val="24"/>
        </w:rPr>
        <w:t xml:space="preserve">2 </w:t>
      </w:r>
      <w:r w:rsidRPr="002530AE">
        <w:rPr>
          <w:rFonts w:ascii="Times New Roman" w:hAnsi="Times New Roman" w:cs="Times New Roman"/>
          <w:b/>
          <w:sz w:val="24"/>
        </w:rPr>
        <w:t>QUEM SÃO ESSAS MULHERES?</w:t>
      </w:r>
    </w:p>
    <w:p w14:paraId="45881E82"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As mulheres cujas ideias sobre Brasil e região são apresentadas e discutidas nesse artigo são: </w:t>
      </w:r>
      <w:proofErr w:type="spellStart"/>
      <w:r w:rsidRPr="002530AE">
        <w:rPr>
          <w:rFonts w:ascii="Times New Roman" w:hAnsi="Times New Roman" w:cs="Times New Roman"/>
          <w:sz w:val="24"/>
        </w:rPr>
        <w:t>Arlene</w:t>
      </w:r>
      <w:proofErr w:type="spellEnd"/>
      <w:r w:rsidRPr="002530AE">
        <w:rPr>
          <w:rFonts w:ascii="Times New Roman" w:hAnsi="Times New Roman" w:cs="Times New Roman"/>
          <w:sz w:val="24"/>
        </w:rPr>
        <w:t xml:space="preserve"> A. </w:t>
      </w:r>
      <w:proofErr w:type="spellStart"/>
      <w:r w:rsidRPr="002530AE">
        <w:rPr>
          <w:rFonts w:ascii="Times New Roman" w:hAnsi="Times New Roman" w:cs="Times New Roman"/>
          <w:sz w:val="24"/>
        </w:rPr>
        <w:t>Renk</w:t>
      </w:r>
      <w:proofErr w:type="spellEnd"/>
      <w:r w:rsidRPr="002530AE">
        <w:rPr>
          <w:rFonts w:ascii="Times New Roman" w:hAnsi="Times New Roman" w:cs="Times New Roman"/>
          <w:sz w:val="24"/>
        </w:rPr>
        <w:t xml:space="preserve">, Edna Castro, Giralda </w:t>
      </w:r>
      <w:proofErr w:type="spellStart"/>
      <w:r w:rsidRPr="002530AE">
        <w:rPr>
          <w:rFonts w:ascii="Times New Roman" w:hAnsi="Times New Roman" w:cs="Times New Roman"/>
          <w:sz w:val="24"/>
        </w:rPr>
        <w:t>Seyferth</w:t>
      </w:r>
      <w:proofErr w:type="spellEnd"/>
      <w:r w:rsidRPr="002530AE">
        <w:rPr>
          <w:rFonts w:ascii="Times New Roman" w:hAnsi="Times New Roman" w:cs="Times New Roman"/>
          <w:sz w:val="24"/>
        </w:rPr>
        <w:t xml:space="preserve">, Lélia Gonzalez, Liana Maria da Frota </w:t>
      </w:r>
      <w:proofErr w:type="spellStart"/>
      <w:r w:rsidRPr="002530AE">
        <w:rPr>
          <w:rFonts w:ascii="Times New Roman" w:hAnsi="Times New Roman" w:cs="Times New Roman"/>
          <w:sz w:val="24"/>
        </w:rPr>
        <w:t>Carleial</w:t>
      </w:r>
      <w:proofErr w:type="spellEnd"/>
      <w:r w:rsidRPr="002530AE">
        <w:rPr>
          <w:rFonts w:ascii="Times New Roman" w:hAnsi="Times New Roman" w:cs="Times New Roman"/>
          <w:sz w:val="24"/>
        </w:rPr>
        <w:t xml:space="preserve">, Maria da Conceição Tavares, Maria Isaura Pereira de Queiroz, Rita Laura Segato, Tania Bacelar de Araújo e Virgínia E. </w:t>
      </w:r>
      <w:proofErr w:type="spellStart"/>
      <w:r w:rsidRPr="002530AE">
        <w:rPr>
          <w:rFonts w:ascii="Times New Roman" w:hAnsi="Times New Roman" w:cs="Times New Roman"/>
          <w:sz w:val="24"/>
        </w:rPr>
        <w:t>Etges</w:t>
      </w:r>
      <w:proofErr w:type="spellEnd"/>
      <w:r w:rsidRPr="002530AE">
        <w:rPr>
          <w:rFonts w:ascii="Times New Roman" w:hAnsi="Times New Roman" w:cs="Times New Roman"/>
          <w:sz w:val="24"/>
        </w:rPr>
        <w:t xml:space="preserve">. Maria Isaura Pereira de Queiroz figura em alguns livros que tratam de intérpretes do Brasil (BOTELHO; SCHWARCZ, 2009), é socióloga e nasceu em São Paulo, capital. </w:t>
      </w:r>
    </w:p>
    <w:p w14:paraId="12073992"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Maria da Conceição Tavares é economista e nasceu em Portugal. Edna Castro é de Belém, no Estado do Pará e é socióloga; Giralda </w:t>
      </w:r>
      <w:proofErr w:type="spellStart"/>
      <w:r w:rsidRPr="002530AE">
        <w:rPr>
          <w:rFonts w:ascii="Times New Roman" w:hAnsi="Times New Roman" w:cs="Times New Roman"/>
          <w:sz w:val="24"/>
        </w:rPr>
        <w:t>Seyferth</w:t>
      </w:r>
      <w:proofErr w:type="spellEnd"/>
      <w:r w:rsidRPr="002530AE">
        <w:rPr>
          <w:rFonts w:ascii="Times New Roman" w:hAnsi="Times New Roman" w:cs="Times New Roman"/>
          <w:sz w:val="24"/>
        </w:rPr>
        <w:t xml:space="preserve"> é antropóloga e nasceu em Brusque, Santa Catarina; Lelia Gonzalez é antropóloga, nascida em Belo Horizonte, MG; Tania Bacelar de Araújo é economista e nasceu em Recife, Pernambuco; Rita L. Segato é antropóloga e nasceu em Buenos Aires, Argentina; Virgínia E. </w:t>
      </w:r>
      <w:proofErr w:type="spellStart"/>
      <w:r w:rsidRPr="002530AE">
        <w:rPr>
          <w:rFonts w:ascii="Times New Roman" w:hAnsi="Times New Roman" w:cs="Times New Roman"/>
          <w:sz w:val="24"/>
        </w:rPr>
        <w:t>Etges</w:t>
      </w:r>
      <w:proofErr w:type="spellEnd"/>
      <w:r w:rsidRPr="002530AE">
        <w:rPr>
          <w:rFonts w:ascii="Times New Roman" w:hAnsi="Times New Roman" w:cs="Times New Roman"/>
          <w:sz w:val="24"/>
        </w:rPr>
        <w:t xml:space="preserve"> é geógrafa e </w:t>
      </w:r>
      <w:proofErr w:type="spellStart"/>
      <w:r w:rsidRPr="002530AE">
        <w:rPr>
          <w:rFonts w:ascii="Times New Roman" w:hAnsi="Times New Roman" w:cs="Times New Roman"/>
          <w:sz w:val="24"/>
        </w:rPr>
        <w:t>Arlene</w:t>
      </w:r>
      <w:proofErr w:type="spellEnd"/>
      <w:r w:rsidRPr="002530AE">
        <w:rPr>
          <w:rFonts w:ascii="Times New Roman" w:hAnsi="Times New Roman" w:cs="Times New Roman"/>
          <w:sz w:val="24"/>
        </w:rPr>
        <w:t xml:space="preserve"> A. </w:t>
      </w:r>
      <w:proofErr w:type="spellStart"/>
      <w:r w:rsidRPr="002530AE">
        <w:rPr>
          <w:rFonts w:ascii="Times New Roman" w:hAnsi="Times New Roman" w:cs="Times New Roman"/>
          <w:sz w:val="24"/>
        </w:rPr>
        <w:t>Renk</w:t>
      </w:r>
      <w:proofErr w:type="spellEnd"/>
      <w:r w:rsidRPr="002530AE">
        <w:rPr>
          <w:rFonts w:ascii="Times New Roman" w:hAnsi="Times New Roman" w:cs="Times New Roman"/>
          <w:sz w:val="24"/>
        </w:rPr>
        <w:t xml:space="preserve"> é antropóloga (Figura 1). </w:t>
      </w:r>
    </w:p>
    <w:p w14:paraId="3A384F6F" w14:textId="77777777" w:rsidR="002530AE" w:rsidRPr="002530AE" w:rsidRDefault="002530AE" w:rsidP="002530AE">
      <w:pPr>
        <w:spacing w:after="0" w:line="240" w:lineRule="auto"/>
        <w:ind w:firstLine="708"/>
        <w:jc w:val="both"/>
        <w:rPr>
          <w:rFonts w:ascii="Times New Roman" w:hAnsi="Times New Roman" w:cs="Times New Roman"/>
          <w:sz w:val="24"/>
        </w:rPr>
      </w:pPr>
    </w:p>
    <w:p w14:paraId="1D4C3469"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lastRenderedPageBreak/>
        <w:drawing>
          <wp:inline distT="0" distB="0" distL="0" distR="0" wp14:anchorId="44AFF597" wp14:editId="2D6D7819">
            <wp:extent cx="5400040" cy="2904490"/>
            <wp:effectExtent l="0" t="0" r="0" b="0"/>
            <wp:docPr id="7" name="image2.png" descr="Linha do tem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png" descr="Linha do tempo&#10;&#10;Descrição gerada automaticamente"/>
                    <pic:cNvPicPr preferRelativeResize="0"/>
                  </pic:nvPicPr>
                  <pic:blipFill>
                    <a:blip r:embed="rId8"/>
                    <a:srcRect/>
                    <a:stretch>
                      <a:fillRect/>
                    </a:stretch>
                  </pic:blipFill>
                  <pic:spPr>
                    <a:xfrm>
                      <a:off x="0" y="0"/>
                      <a:ext cx="5400040" cy="2904490"/>
                    </a:xfrm>
                    <a:prstGeom prst="rect">
                      <a:avLst/>
                    </a:prstGeom>
                    <a:ln/>
                  </pic:spPr>
                </pic:pic>
              </a:graphicData>
            </a:graphic>
          </wp:inline>
        </w:drawing>
      </w:r>
    </w:p>
    <w:p w14:paraId="0F8366E1" w14:textId="77777777" w:rsidR="002530AE" w:rsidRPr="002530AE" w:rsidRDefault="002530AE" w:rsidP="002530AE">
      <w:pPr>
        <w:spacing w:after="0" w:line="240" w:lineRule="auto"/>
        <w:ind w:firstLine="708"/>
        <w:jc w:val="both"/>
        <w:rPr>
          <w:rFonts w:ascii="Times New Roman" w:hAnsi="Times New Roman" w:cs="Times New Roman"/>
          <w:b/>
          <w:sz w:val="24"/>
        </w:rPr>
      </w:pPr>
      <w:r w:rsidRPr="002530AE">
        <w:rPr>
          <w:rFonts w:ascii="Times New Roman" w:hAnsi="Times New Roman" w:cs="Times New Roman"/>
          <w:b/>
          <w:sz w:val="24"/>
        </w:rPr>
        <w:t>Figura 1 – Mulheres que pensam o Brasil</w:t>
      </w:r>
    </w:p>
    <w:p w14:paraId="3F0E8B32"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b/>
          <w:sz w:val="24"/>
        </w:rPr>
        <w:t>Fonte:</w:t>
      </w:r>
      <w:r w:rsidRPr="002530AE">
        <w:rPr>
          <w:rFonts w:ascii="Times New Roman" w:hAnsi="Times New Roman" w:cs="Times New Roman"/>
          <w:sz w:val="24"/>
        </w:rPr>
        <w:t xml:space="preserve"> Elaboração própria.</w:t>
      </w:r>
    </w:p>
    <w:p w14:paraId="2BFEE59E" w14:textId="77777777" w:rsidR="002530AE" w:rsidRPr="002530AE" w:rsidRDefault="002530AE" w:rsidP="002530AE">
      <w:pPr>
        <w:spacing w:after="0" w:line="240" w:lineRule="auto"/>
        <w:ind w:firstLine="708"/>
        <w:jc w:val="both"/>
        <w:rPr>
          <w:rFonts w:ascii="Times New Roman" w:hAnsi="Times New Roman" w:cs="Times New Roman"/>
          <w:sz w:val="24"/>
        </w:rPr>
      </w:pPr>
    </w:p>
    <w:p w14:paraId="6CBB99D0"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Aqui buscamos a contribuições de mulheres que interpretaram o Brasil com textos da década de 1970 em diante. Da década de 1970 temos o texto de Maria Isaura Pereira de Queiroz que trata do tema </w:t>
      </w:r>
      <w:r w:rsidRPr="002530AE">
        <w:rPr>
          <w:rFonts w:ascii="Times New Roman" w:hAnsi="Times New Roman" w:cs="Times New Roman"/>
          <w:i/>
          <w:sz w:val="24"/>
        </w:rPr>
        <w:t>O coronelismo numa interpretação sociológica</w:t>
      </w:r>
      <w:r w:rsidRPr="002530AE">
        <w:rPr>
          <w:rFonts w:ascii="Times New Roman" w:hAnsi="Times New Roman" w:cs="Times New Roman"/>
          <w:sz w:val="24"/>
        </w:rPr>
        <w:t xml:space="preserve">, na sequência Lélia Gonzalez com um texto sobre </w:t>
      </w:r>
      <w:r w:rsidRPr="002530AE">
        <w:rPr>
          <w:rFonts w:ascii="Times New Roman" w:hAnsi="Times New Roman" w:cs="Times New Roman"/>
          <w:i/>
          <w:sz w:val="24"/>
        </w:rPr>
        <w:t xml:space="preserve">A categoria político-cultural de </w:t>
      </w:r>
      <w:proofErr w:type="spellStart"/>
      <w:r w:rsidRPr="002530AE">
        <w:rPr>
          <w:rFonts w:ascii="Times New Roman" w:hAnsi="Times New Roman" w:cs="Times New Roman"/>
          <w:i/>
          <w:sz w:val="24"/>
        </w:rPr>
        <w:t>amefricanidade</w:t>
      </w:r>
      <w:proofErr w:type="spellEnd"/>
      <w:r w:rsidRPr="002530AE">
        <w:rPr>
          <w:rFonts w:ascii="Times New Roman" w:hAnsi="Times New Roman" w:cs="Times New Roman"/>
          <w:sz w:val="24"/>
        </w:rPr>
        <w:t xml:space="preserve"> de 1988. Em 1999 contamos com a contribuição de Maria da Conceição Tavares em sua reflexão sobre </w:t>
      </w:r>
      <w:r w:rsidRPr="002530AE">
        <w:rPr>
          <w:rFonts w:ascii="Times New Roman" w:hAnsi="Times New Roman" w:cs="Times New Roman"/>
          <w:i/>
          <w:sz w:val="24"/>
        </w:rPr>
        <w:t>Império, território e dinheiro</w:t>
      </w:r>
      <w:r w:rsidRPr="002530AE">
        <w:rPr>
          <w:rFonts w:ascii="Times New Roman" w:hAnsi="Times New Roman" w:cs="Times New Roman"/>
          <w:sz w:val="24"/>
        </w:rPr>
        <w:t xml:space="preserve"> e a reflexão de Tania Bacelar de Araújo sobre </w:t>
      </w:r>
      <w:r w:rsidRPr="002530AE">
        <w:rPr>
          <w:rFonts w:ascii="Times New Roman" w:hAnsi="Times New Roman" w:cs="Times New Roman"/>
          <w:i/>
          <w:sz w:val="24"/>
        </w:rPr>
        <w:t>Brasil nos anos noventa: opções estratégicas e dinâmica regional</w:t>
      </w:r>
      <w:r w:rsidRPr="002530AE">
        <w:rPr>
          <w:rFonts w:ascii="Times New Roman" w:hAnsi="Times New Roman" w:cs="Times New Roman"/>
          <w:sz w:val="24"/>
        </w:rPr>
        <w:t xml:space="preserve">. Giralda </w:t>
      </w:r>
      <w:proofErr w:type="spellStart"/>
      <w:r w:rsidRPr="002530AE">
        <w:rPr>
          <w:rFonts w:ascii="Times New Roman" w:hAnsi="Times New Roman" w:cs="Times New Roman"/>
          <w:sz w:val="24"/>
        </w:rPr>
        <w:t>Seyferth</w:t>
      </w:r>
      <w:proofErr w:type="spellEnd"/>
      <w:r w:rsidRPr="002530AE">
        <w:rPr>
          <w:rFonts w:ascii="Times New Roman" w:hAnsi="Times New Roman" w:cs="Times New Roman"/>
          <w:sz w:val="24"/>
        </w:rPr>
        <w:t xml:space="preserve"> entra com uma reflexão sobre </w:t>
      </w:r>
      <w:r w:rsidRPr="002530AE">
        <w:rPr>
          <w:rFonts w:ascii="Times New Roman" w:hAnsi="Times New Roman" w:cs="Times New Roman"/>
          <w:i/>
          <w:sz w:val="24"/>
        </w:rPr>
        <w:t>Identidade nacional, diferenças regionais, integração étnica e a questão imigratória no Brasil</w:t>
      </w:r>
      <w:r w:rsidRPr="002530AE">
        <w:rPr>
          <w:rFonts w:ascii="Times New Roman" w:hAnsi="Times New Roman" w:cs="Times New Roman"/>
          <w:sz w:val="24"/>
        </w:rPr>
        <w:t xml:space="preserve"> e </w:t>
      </w:r>
      <w:proofErr w:type="spellStart"/>
      <w:r w:rsidRPr="002530AE">
        <w:rPr>
          <w:rFonts w:ascii="Times New Roman" w:hAnsi="Times New Roman" w:cs="Times New Roman"/>
          <w:sz w:val="24"/>
        </w:rPr>
        <w:t>Arlene</w:t>
      </w:r>
      <w:proofErr w:type="spellEnd"/>
      <w:r w:rsidRPr="002530AE">
        <w:rPr>
          <w:rFonts w:ascii="Times New Roman" w:hAnsi="Times New Roman" w:cs="Times New Roman"/>
          <w:sz w:val="24"/>
        </w:rPr>
        <w:t xml:space="preserve"> A. </w:t>
      </w:r>
      <w:proofErr w:type="spellStart"/>
      <w:r w:rsidRPr="002530AE">
        <w:rPr>
          <w:rFonts w:ascii="Times New Roman" w:hAnsi="Times New Roman" w:cs="Times New Roman"/>
          <w:sz w:val="24"/>
        </w:rPr>
        <w:t>Renk</w:t>
      </w:r>
      <w:proofErr w:type="spellEnd"/>
      <w:r w:rsidRPr="002530AE">
        <w:rPr>
          <w:rFonts w:ascii="Times New Roman" w:hAnsi="Times New Roman" w:cs="Times New Roman"/>
          <w:sz w:val="24"/>
        </w:rPr>
        <w:t xml:space="preserve"> com as </w:t>
      </w:r>
      <w:r w:rsidRPr="002530AE">
        <w:rPr>
          <w:rFonts w:ascii="Times New Roman" w:hAnsi="Times New Roman" w:cs="Times New Roman"/>
          <w:i/>
          <w:sz w:val="24"/>
        </w:rPr>
        <w:t>Narrativas da diferença</w:t>
      </w:r>
      <w:r w:rsidRPr="002530AE">
        <w:rPr>
          <w:rFonts w:ascii="Times New Roman" w:hAnsi="Times New Roman" w:cs="Times New Roman"/>
          <w:sz w:val="24"/>
        </w:rPr>
        <w:t xml:space="preserve">. Em 2007, Rita Laura Segato tece uma análise sobre </w:t>
      </w:r>
      <w:r w:rsidRPr="002530AE">
        <w:rPr>
          <w:rFonts w:ascii="Times New Roman" w:hAnsi="Times New Roman" w:cs="Times New Roman"/>
          <w:i/>
          <w:sz w:val="24"/>
        </w:rPr>
        <w:t xml:space="preserve">Identidades políticas/Alteridades históricas: una crítica a </w:t>
      </w:r>
      <w:proofErr w:type="spellStart"/>
      <w:r w:rsidRPr="002530AE">
        <w:rPr>
          <w:rFonts w:ascii="Times New Roman" w:hAnsi="Times New Roman" w:cs="Times New Roman"/>
          <w:i/>
          <w:sz w:val="24"/>
        </w:rPr>
        <w:t>las</w:t>
      </w:r>
      <w:proofErr w:type="spellEnd"/>
      <w:r w:rsidRPr="002530AE">
        <w:rPr>
          <w:rFonts w:ascii="Times New Roman" w:hAnsi="Times New Roman" w:cs="Times New Roman"/>
          <w:i/>
          <w:sz w:val="24"/>
        </w:rPr>
        <w:t xml:space="preserve"> certezas </w:t>
      </w:r>
      <w:proofErr w:type="spellStart"/>
      <w:r w:rsidRPr="002530AE">
        <w:rPr>
          <w:rFonts w:ascii="Times New Roman" w:hAnsi="Times New Roman" w:cs="Times New Roman"/>
          <w:i/>
          <w:sz w:val="24"/>
        </w:rPr>
        <w:t>del</w:t>
      </w:r>
      <w:proofErr w:type="spellEnd"/>
      <w:r w:rsidRPr="002530AE">
        <w:rPr>
          <w:rFonts w:ascii="Times New Roman" w:hAnsi="Times New Roman" w:cs="Times New Roman"/>
          <w:i/>
          <w:sz w:val="24"/>
        </w:rPr>
        <w:t xml:space="preserve"> pluralismo global</w:t>
      </w:r>
      <w:r w:rsidRPr="002530AE">
        <w:rPr>
          <w:rFonts w:ascii="Times New Roman" w:hAnsi="Times New Roman" w:cs="Times New Roman"/>
          <w:sz w:val="24"/>
        </w:rPr>
        <w:t xml:space="preserve"> e, Edna Castro publica em 2012 o artigo </w:t>
      </w:r>
      <w:r w:rsidRPr="002530AE">
        <w:rPr>
          <w:rFonts w:ascii="Times New Roman" w:hAnsi="Times New Roman" w:cs="Times New Roman"/>
          <w:i/>
          <w:sz w:val="24"/>
        </w:rPr>
        <w:t xml:space="preserve">Expansão da fronteira, megaprojetos de infraestrutura e integração sul-americana.  </w:t>
      </w:r>
      <w:r w:rsidRPr="002530AE">
        <w:rPr>
          <w:rFonts w:ascii="Times New Roman" w:hAnsi="Times New Roman" w:cs="Times New Roman"/>
          <w:sz w:val="24"/>
        </w:rPr>
        <w:t xml:space="preserve">Virgínia E. </w:t>
      </w:r>
      <w:proofErr w:type="spellStart"/>
      <w:r w:rsidRPr="002530AE">
        <w:rPr>
          <w:rFonts w:ascii="Times New Roman" w:hAnsi="Times New Roman" w:cs="Times New Roman"/>
          <w:sz w:val="24"/>
        </w:rPr>
        <w:t>Etges</w:t>
      </w:r>
      <w:proofErr w:type="spellEnd"/>
      <w:r w:rsidRPr="002530AE">
        <w:rPr>
          <w:rFonts w:ascii="Times New Roman" w:hAnsi="Times New Roman" w:cs="Times New Roman"/>
          <w:sz w:val="24"/>
        </w:rPr>
        <w:t xml:space="preserve"> e José O. </w:t>
      </w:r>
      <w:proofErr w:type="spellStart"/>
      <w:r w:rsidRPr="002530AE">
        <w:rPr>
          <w:rFonts w:ascii="Times New Roman" w:hAnsi="Times New Roman" w:cs="Times New Roman"/>
          <w:sz w:val="24"/>
        </w:rPr>
        <w:t>Degrandi</w:t>
      </w:r>
      <w:proofErr w:type="spellEnd"/>
      <w:r w:rsidRPr="002530AE">
        <w:rPr>
          <w:rFonts w:ascii="Times New Roman" w:hAnsi="Times New Roman" w:cs="Times New Roman"/>
          <w:sz w:val="24"/>
        </w:rPr>
        <w:t xml:space="preserve"> tratam do </w:t>
      </w:r>
      <w:r w:rsidRPr="002530AE">
        <w:rPr>
          <w:rFonts w:ascii="Times New Roman" w:hAnsi="Times New Roman" w:cs="Times New Roman"/>
          <w:i/>
          <w:sz w:val="24"/>
        </w:rPr>
        <w:t>Desenvolvimento regional: a diversidade regional como potencialidade</w:t>
      </w:r>
      <w:r w:rsidRPr="002530AE">
        <w:rPr>
          <w:rFonts w:ascii="Times New Roman" w:hAnsi="Times New Roman" w:cs="Times New Roman"/>
          <w:sz w:val="24"/>
        </w:rPr>
        <w:t xml:space="preserve"> e em 2014 Liana M. de </w:t>
      </w:r>
      <w:proofErr w:type="spellStart"/>
      <w:r w:rsidRPr="002530AE">
        <w:rPr>
          <w:rFonts w:ascii="Times New Roman" w:hAnsi="Times New Roman" w:cs="Times New Roman"/>
          <w:sz w:val="24"/>
        </w:rPr>
        <w:t>Fronta</w:t>
      </w:r>
      <w:proofErr w:type="spellEnd"/>
      <w:r w:rsidRPr="002530AE">
        <w:rPr>
          <w:rFonts w:ascii="Times New Roman" w:hAnsi="Times New Roman" w:cs="Times New Roman"/>
          <w:sz w:val="24"/>
        </w:rPr>
        <w:t xml:space="preserve"> </w:t>
      </w:r>
      <w:proofErr w:type="spellStart"/>
      <w:r w:rsidRPr="002530AE">
        <w:rPr>
          <w:rFonts w:ascii="Times New Roman" w:hAnsi="Times New Roman" w:cs="Times New Roman"/>
          <w:sz w:val="24"/>
        </w:rPr>
        <w:t>Caleial</w:t>
      </w:r>
      <w:proofErr w:type="spellEnd"/>
      <w:r w:rsidRPr="002530AE">
        <w:rPr>
          <w:rFonts w:ascii="Times New Roman" w:hAnsi="Times New Roman" w:cs="Times New Roman"/>
          <w:sz w:val="24"/>
        </w:rPr>
        <w:t xml:space="preserve"> faz uma reflexão sobre </w:t>
      </w:r>
      <w:r w:rsidRPr="002530AE">
        <w:rPr>
          <w:rFonts w:ascii="Times New Roman" w:hAnsi="Times New Roman" w:cs="Times New Roman"/>
          <w:i/>
          <w:sz w:val="24"/>
        </w:rPr>
        <w:t>O desenvolvimento regional brasileiro ainda em questão</w:t>
      </w:r>
      <w:r w:rsidRPr="002530AE">
        <w:rPr>
          <w:rFonts w:ascii="Times New Roman" w:hAnsi="Times New Roman" w:cs="Times New Roman"/>
          <w:sz w:val="24"/>
        </w:rPr>
        <w:t xml:space="preserve"> (Figura 2).</w:t>
      </w:r>
    </w:p>
    <w:p w14:paraId="7408C256" w14:textId="77777777" w:rsidR="002530AE" w:rsidRPr="002530AE" w:rsidRDefault="002530AE" w:rsidP="002530AE">
      <w:pPr>
        <w:spacing w:after="0" w:line="240" w:lineRule="auto"/>
        <w:ind w:firstLine="708"/>
        <w:jc w:val="both"/>
        <w:rPr>
          <w:rFonts w:ascii="Times New Roman" w:hAnsi="Times New Roman" w:cs="Times New Roman"/>
          <w:b/>
          <w:sz w:val="24"/>
        </w:rPr>
      </w:pPr>
    </w:p>
    <w:p w14:paraId="0F144E2A" w14:textId="77777777" w:rsidR="002530AE" w:rsidRPr="002530AE" w:rsidRDefault="002530AE" w:rsidP="002530AE">
      <w:pPr>
        <w:spacing w:after="0" w:line="240" w:lineRule="auto"/>
        <w:ind w:firstLine="708"/>
        <w:jc w:val="both"/>
        <w:rPr>
          <w:rFonts w:ascii="Times New Roman" w:hAnsi="Times New Roman" w:cs="Times New Roman"/>
          <w:b/>
          <w:sz w:val="24"/>
        </w:rPr>
      </w:pPr>
      <w:r w:rsidRPr="002530AE">
        <w:rPr>
          <w:rFonts w:ascii="Times New Roman" w:hAnsi="Times New Roman" w:cs="Times New Roman"/>
          <w:b/>
          <w:sz w:val="24"/>
        </w:rPr>
        <w:lastRenderedPageBreak/>
        <w:drawing>
          <wp:inline distT="0" distB="0" distL="0" distR="0" wp14:anchorId="5BA5338B" wp14:editId="6BB73AE1">
            <wp:extent cx="5400040" cy="2918460"/>
            <wp:effectExtent l="0" t="0" r="0" b="0"/>
            <wp:docPr id="8" name="image1.png" descr="Gráfic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Gráfico&#10;&#10;Descrição gerada automaticamente"/>
                    <pic:cNvPicPr preferRelativeResize="0"/>
                  </pic:nvPicPr>
                  <pic:blipFill>
                    <a:blip r:embed="rId9"/>
                    <a:srcRect/>
                    <a:stretch>
                      <a:fillRect/>
                    </a:stretch>
                  </pic:blipFill>
                  <pic:spPr>
                    <a:xfrm>
                      <a:off x="0" y="0"/>
                      <a:ext cx="5400040" cy="2918460"/>
                    </a:xfrm>
                    <a:prstGeom prst="rect">
                      <a:avLst/>
                    </a:prstGeom>
                    <a:ln/>
                  </pic:spPr>
                </pic:pic>
              </a:graphicData>
            </a:graphic>
          </wp:inline>
        </w:drawing>
      </w:r>
    </w:p>
    <w:p w14:paraId="19074A8C" w14:textId="77777777" w:rsidR="002530AE" w:rsidRPr="002530AE" w:rsidRDefault="002530AE" w:rsidP="002530AE">
      <w:pPr>
        <w:spacing w:after="0" w:line="240" w:lineRule="auto"/>
        <w:ind w:firstLine="708"/>
        <w:jc w:val="both"/>
        <w:rPr>
          <w:rFonts w:ascii="Times New Roman" w:hAnsi="Times New Roman" w:cs="Times New Roman"/>
          <w:b/>
          <w:sz w:val="24"/>
        </w:rPr>
      </w:pPr>
      <w:r w:rsidRPr="002530AE">
        <w:rPr>
          <w:rFonts w:ascii="Times New Roman" w:hAnsi="Times New Roman" w:cs="Times New Roman"/>
          <w:b/>
          <w:sz w:val="24"/>
        </w:rPr>
        <w:t>Figura 2 – Linha histórica dos textos analisados</w:t>
      </w:r>
    </w:p>
    <w:p w14:paraId="47C3938F"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b/>
          <w:sz w:val="24"/>
        </w:rPr>
        <w:t xml:space="preserve">Fonte: </w:t>
      </w:r>
      <w:r w:rsidRPr="002530AE">
        <w:rPr>
          <w:rFonts w:ascii="Times New Roman" w:hAnsi="Times New Roman" w:cs="Times New Roman"/>
          <w:sz w:val="24"/>
        </w:rPr>
        <w:t>Elaboração própria.</w:t>
      </w:r>
    </w:p>
    <w:p w14:paraId="35009F5B" w14:textId="77777777" w:rsidR="002530AE" w:rsidRPr="002530AE" w:rsidRDefault="002530AE" w:rsidP="002530AE">
      <w:pPr>
        <w:spacing w:after="0" w:line="240" w:lineRule="auto"/>
        <w:ind w:firstLine="708"/>
        <w:jc w:val="both"/>
        <w:rPr>
          <w:rFonts w:ascii="Times New Roman" w:hAnsi="Times New Roman" w:cs="Times New Roman"/>
          <w:sz w:val="24"/>
        </w:rPr>
      </w:pPr>
    </w:p>
    <w:p w14:paraId="73EE27B1"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Da leitura dos textos podemos estabelecer alguns temas presentes que podem ser analisados comparativamente ao longo do artigo. Apresentamos na sequência uma síntese dos principais pontos (o passado não resolvido, a relação capital no espaço e no tempo e as resistências possíveis) numa conversa composta com elementos trazidos nos textos das autoras. </w:t>
      </w:r>
    </w:p>
    <w:p w14:paraId="1275B600" w14:textId="77777777" w:rsidR="002530AE" w:rsidRPr="002530AE" w:rsidRDefault="002530AE" w:rsidP="002530AE">
      <w:pPr>
        <w:spacing w:after="0" w:line="240" w:lineRule="auto"/>
        <w:ind w:firstLine="708"/>
        <w:jc w:val="both"/>
        <w:rPr>
          <w:rFonts w:ascii="Times New Roman" w:hAnsi="Times New Roman" w:cs="Times New Roman"/>
          <w:sz w:val="24"/>
        </w:rPr>
      </w:pPr>
    </w:p>
    <w:p w14:paraId="48D3EBDA" w14:textId="34E759EB" w:rsidR="002530AE" w:rsidRPr="002530AE" w:rsidRDefault="002530AE" w:rsidP="002530AE">
      <w:pPr>
        <w:spacing w:after="0" w:line="240" w:lineRule="auto"/>
        <w:jc w:val="both"/>
        <w:rPr>
          <w:rFonts w:ascii="Times New Roman" w:hAnsi="Times New Roman" w:cs="Times New Roman"/>
          <w:b/>
          <w:sz w:val="24"/>
        </w:rPr>
      </w:pPr>
      <w:r>
        <w:rPr>
          <w:rFonts w:ascii="Times New Roman" w:hAnsi="Times New Roman" w:cs="Times New Roman"/>
          <w:b/>
          <w:sz w:val="24"/>
        </w:rPr>
        <w:t xml:space="preserve">3 </w:t>
      </w:r>
      <w:r w:rsidRPr="002530AE">
        <w:rPr>
          <w:rFonts w:ascii="Times New Roman" w:hAnsi="Times New Roman" w:cs="Times New Roman"/>
          <w:b/>
          <w:sz w:val="24"/>
        </w:rPr>
        <w:t>O PASSADO NÃO RESOLVIDO</w:t>
      </w:r>
    </w:p>
    <w:p w14:paraId="050BD979"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Os condicionantes geopolíticos e geoeconômicos da formação do Brasil não explicam sua evolução social e política como país independente. É possível falar em oscilação entre ordem liberal oligárquica e Estado interventor autoritário, que passa por três ordens de fatores político-econômicos que geram conflitos periódicos no pacto de dominação interna: (</w:t>
      </w:r>
      <w:proofErr w:type="spellStart"/>
      <w:r w:rsidRPr="002530AE">
        <w:rPr>
          <w:rFonts w:ascii="Times New Roman" w:hAnsi="Times New Roman" w:cs="Times New Roman"/>
          <w:sz w:val="24"/>
        </w:rPr>
        <w:t>ii</w:t>
      </w:r>
      <w:proofErr w:type="spellEnd"/>
      <w:r w:rsidRPr="002530AE">
        <w:rPr>
          <w:rFonts w:ascii="Times New Roman" w:hAnsi="Times New Roman" w:cs="Times New Roman"/>
          <w:sz w:val="24"/>
        </w:rPr>
        <w:t>) conflitos pela concessão de garantias para a apropriação privada do território; (</w:t>
      </w:r>
      <w:proofErr w:type="spellStart"/>
      <w:r w:rsidRPr="002530AE">
        <w:rPr>
          <w:rFonts w:ascii="Times New Roman" w:hAnsi="Times New Roman" w:cs="Times New Roman"/>
          <w:sz w:val="24"/>
        </w:rPr>
        <w:t>ii</w:t>
      </w:r>
      <w:proofErr w:type="spellEnd"/>
      <w:r w:rsidRPr="002530AE">
        <w:rPr>
          <w:rFonts w:ascii="Times New Roman" w:hAnsi="Times New Roman" w:cs="Times New Roman"/>
          <w:sz w:val="24"/>
        </w:rPr>
        <w:t>) conflitos entre oligarquias regionais em sua relação com o poder central; e (</w:t>
      </w:r>
      <w:proofErr w:type="spellStart"/>
      <w:r w:rsidRPr="002530AE">
        <w:rPr>
          <w:rFonts w:ascii="Times New Roman" w:hAnsi="Times New Roman" w:cs="Times New Roman"/>
          <w:sz w:val="24"/>
        </w:rPr>
        <w:t>iii</w:t>
      </w:r>
      <w:proofErr w:type="spellEnd"/>
      <w:r w:rsidRPr="002530AE">
        <w:rPr>
          <w:rFonts w:ascii="Times New Roman" w:hAnsi="Times New Roman" w:cs="Times New Roman"/>
          <w:sz w:val="24"/>
        </w:rPr>
        <w:t>) relação entre dinheiro mundial, dinheiro local e finanças públicas (TAVARES, 2019).</w:t>
      </w:r>
    </w:p>
    <w:p w14:paraId="32A2B12D"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Além desses condicionantes, temos na formação do Brasil também os condicionantes político culturais. O processo de colonização que vivemos no Brasil e na América Latina é herdeiro da classificação social (racial e sexual) e dos processos jurídicos e administrativos das metrópoles ibéricas. É importante destacarmos no colonialismo do século XIX o papel do racismo, seja ele aberto ou disfarçado na internalização da superioridade do colonizador no colonizado (GONZALEZ, 1988). </w:t>
      </w:r>
    </w:p>
    <w:p w14:paraId="2673EA5C" w14:textId="528EC427" w:rsid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Nas primeiras décadas da República houve um grande fluxo migratório europeu. Os projetos colonizadores na República Velha envolveram principalmente os três estados do sul. Havia um ideal de branqueamento do Brasil com a vinda de imigrantes dos estados alemães (SEYFERTH, 2000). </w:t>
      </w:r>
    </w:p>
    <w:p w14:paraId="47F28B30" w14:textId="77777777" w:rsidR="002530AE" w:rsidRPr="002530AE" w:rsidRDefault="002530AE" w:rsidP="002530AE">
      <w:pPr>
        <w:spacing w:after="0" w:line="240" w:lineRule="auto"/>
        <w:ind w:firstLine="708"/>
        <w:jc w:val="both"/>
        <w:rPr>
          <w:rFonts w:ascii="Times New Roman" w:hAnsi="Times New Roman" w:cs="Times New Roman"/>
          <w:sz w:val="24"/>
        </w:rPr>
      </w:pPr>
    </w:p>
    <w:p w14:paraId="3ED27A04" w14:textId="33F17B4E" w:rsidR="002530AE" w:rsidRDefault="002530AE" w:rsidP="00591BC8">
      <w:pPr>
        <w:spacing w:after="0" w:line="240" w:lineRule="auto"/>
        <w:ind w:left="2268"/>
        <w:jc w:val="both"/>
        <w:rPr>
          <w:rFonts w:ascii="Times New Roman" w:hAnsi="Times New Roman" w:cs="Times New Roman"/>
          <w:sz w:val="24"/>
        </w:rPr>
      </w:pPr>
      <w:r w:rsidRPr="002530AE">
        <w:rPr>
          <w:rFonts w:ascii="Times New Roman" w:hAnsi="Times New Roman" w:cs="Times New Roman"/>
          <w:sz w:val="24"/>
        </w:rPr>
        <w:lastRenderedPageBreak/>
        <w:t xml:space="preserve">De acordo com os principais nacionalistas do período, a identidade nacional estava em risco porque o governo imperial havia permitido a concentração dos europeus no Sul, criando desigualdades regionais acentuadas e quase insuperáveis para uma República que se devia transformar numa nação branca, de língua portuguesa, civilização latina e economia capitalista. (SEYFERTH, 2000, p. 88). </w:t>
      </w:r>
    </w:p>
    <w:p w14:paraId="52143C19" w14:textId="77777777" w:rsidR="00591BC8" w:rsidRPr="002530AE" w:rsidRDefault="00591BC8" w:rsidP="00591BC8">
      <w:pPr>
        <w:spacing w:after="0" w:line="240" w:lineRule="auto"/>
        <w:ind w:left="2268"/>
        <w:jc w:val="both"/>
        <w:rPr>
          <w:rFonts w:ascii="Times New Roman" w:hAnsi="Times New Roman" w:cs="Times New Roman"/>
          <w:sz w:val="24"/>
        </w:rPr>
      </w:pPr>
    </w:p>
    <w:p w14:paraId="2D82C759"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No Brasil perdura o racismo disfarçado que se traveste ora do discurso da miscigenação e da assimilação, ora da democracia racial (GONZALEZ, 1988). A contestação que surge a partir da heterogeneidade étnica põe em questão o ideal de univocidade nacional que o pensamento nacionalista brasileiro considerava possível através da miscigenação e assimilação (SEYFERTH, 2000). </w:t>
      </w:r>
    </w:p>
    <w:p w14:paraId="0D266AFD"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Na história de Santa Catarina, mais precisamente o Oeste catarinense nos anos 1920, se fala em um suposto vazio demográfico pois não eram considerados os moradores do sertão, índios e caboclos – chamados de brasileiros. Para esses, o período anterior da colonização é idealizado e foi rompido com a colonização, “desestruturando o modo de vida e as bases morfológicas desse grupo” (RENK, 2004, p. 29). Os colonizadores, chamados “de origem”, acabam criando uma narrativa para a história local e regional. Esses, “pela posição hegemônica que ocupam no espaço social, têm a maior possibilidade de terem voz e vez para falarem de si, de seus feitos, de marcarem suas fronteiras, e de lutarem para imposição destas como as fronteiras legítimas.” (RENK, 2004, p. 31).</w:t>
      </w:r>
    </w:p>
    <w:p w14:paraId="15E33498"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Além das questões étnico-raciais tão bem expressas por Gonzalez (1988), </w:t>
      </w:r>
      <w:proofErr w:type="spellStart"/>
      <w:r w:rsidRPr="002530AE">
        <w:rPr>
          <w:rFonts w:ascii="Times New Roman" w:hAnsi="Times New Roman" w:cs="Times New Roman"/>
          <w:sz w:val="24"/>
        </w:rPr>
        <w:t>Seyferth</w:t>
      </w:r>
      <w:proofErr w:type="spellEnd"/>
      <w:r w:rsidRPr="002530AE">
        <w:rPr>
          <w:rFonts w:ascii="Times New Roman" w:hAnsi="Times New Roman" w:cs="Times New Roman"/>
          <w:sz w:val="24"/>
        </w:rPr>
        <w:t xml:space="preserve"> (2000) e </w:t>
      </w:r>
      <w:proofErr w:type="spellStart"/>
      <w:r w:rsidRPr="002530AE">
        <w:rPr>
          <w:rFonts w:ascii="Times New Roman" w:hAnsi="Times New Roman" w:cs="Times New Roman"/>
          <w:sz w:val="24"/>
        </w:rPr>
        <w:t>Renk</w:t>
      </w:r>
      <w:proofErr w:type="spellEnd"/>
      <w:r w:rsidRPr="002530AE">
        <w:rPr>
          <w:rFonts w:ascii="Times New Roman" w:hAnsi="Times New Roman" w:cs="Times New Roman"/>
          <w:sz w:val="24"/>
        </w:rPr>
        <w:t xml:space="preserve"> (2004), na Primeira República temos ainda o </w:t>
      </w:r>
      <w:r w:rsidRPr="002530AE">
        <w:rPr>
          <w:rFonts w:ascii="Times New Roman" w:hAnsi="Times New Roman" w:cs="Times New Roman"/>
          <w:i/>
          <w:sz w:val="24"/>
        </w:rPr>
        <w:t>Coronelismo</w:t>
      </w:r>
      <w:r w:rsidRPr="002530AE">
        <w:rPr>
          <w:rFonts w:ascii="Times New Roman" w:hAnsi="Times New Roman" w:cs="Times New Roman"/>
          <w:sz w:val="24"/>
        </w:rPr>
        <w:t>, que é uma forma específica de poder político que remonta ao Império. Os títulos de coronéis eram títulos dados no período do Império a membros da Guarda Nacional. Com a Proclamação da República a Guarda Nacional foi extinta, mas os coronéis continuaram existindo. O coronel é um “elemento socioeconômico polarizador, que servia de ponto de referência para se reconhecer a distribuição dos indivíduos no espaço social, fossem estes seus pares ou seus inferiores.” (QUEIROZ, 1976, p. 164).</w:t>
      </w:r>
    </w:p>
    <w:p w14:paraId="4865660A"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É importante verificar na estrutura coronelista de uma região se existe o mando um só coronel e parentela ou se há rival. Ela cita a zona serrana de Santa Catarina nas duas primeiras décadas (Curitibanos, Canoinhas e Xanxerê) estavam divididas entre chefes menores e maiores buscando alianças locais e regionais com a família Ramos (família hegemônica regional). Segundo Queiroz (1976, p. 170) “(...) a estrutura coronelística de uma região é profundamente influenciada pela própria estrutura socioeconômica ali existente; esta não deve ser esquecida ao se efetuarem estudos (...)”. O coronelismo vai se transformando na medida em que avançam os processos de urbanização, crescimento demográfico e industrialização, mas em algumas regiões o coronelismo ainda está presente na associação entre o político e o econômico (QUEIROZ, 1976).</w:t>
      </w:r>
    </w:p>
    <w:p w14:paraId="750857A9"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Como se pode constatar, vários aspectos tratados por essas mulheres conversam com o passado presente do Brasil e com a questão regional: os conflitos no pacto de dominação interna (TAVARES, 2019), o racismo (GONZALEZ, 1988), a ideia de branqueamento (SEYFERTH, 2000), a colonização como desestruturação dos modos de vida existentes e sua relação com a narrativa hegemônica local e regional (RENK, 2004) e o coronelismo (QUEIROZ, 1976). As </w:t>
      </w:r>
      <w:r w:rsidRPr="002530AE">
        <w:rPr>
          <w:rFonts w:ascii="Times New Roman" w:hAnsi="Times New Roman" w:cs="Times New Roman"/>
          <w:sz w:val="24"/>
        </w:rPr>
        <w:lastRenderedPageBreak/>
        <w:t xml:space="preserve">desigualdades regionais tratadas por Araújo (1999), sua crítica ao papel das elites brasileiras – herdeiras do colonialismo e do ganho rentista, que atuam em favor de uma política de rendição nos anos de 1990. Bem como, “o aprofundamento das diferenciações regionais herdadas do passado” (ARAÙJO, 1999, p. 22). São temas do passado colonial que permanecem presentes nas diferentes regiões brasileiras. Regiões essas constituídas a partir dessas dinâmicas que continuam agindo no território. </w:t>
      </w:r>
    </w:p>
    <w:p w14:paraId="5C17D9EA" w14:textId="77777777" w:rsidR="002530AE" w:rsidRPr="002530AE" w:rsidRDefault="002530AE" w:rsidP="002530AE">
      <w:pPr>
        <w:spacing w:after="0" w:line="240" w:lineRule="auto"/>
        <w:ind w:firstLine="708"/>
        <w:jc w:val="both"/>
        <w:rPr>
          <w:rFonts w:ascii="Times New Roman" w:hAnsi="Times New Roman" w:cs="Times New Roman"/>
          <w:sz w:val="24"/>
        </w:rPr>
      </w:pPr>
    </w:p>
    <w:p w14:paraId="1A0FD906" w14:textId="26549D85" w:rsidR="002530AE" w:rsidRPr="002530AE" w:rsidRDefault="002530AE" w:rsidP="002530AE">
      <w:pPr>
        <w:spacing w:after="0" w:line="240" w:lineRule="auto"/>
        <w:jc w:val="both"/>
        <w:rPr>
          <w:rFonts w:ascii="Times New Roman" w:hAnsi="Times New Roman" w:cs="Times New Roman"/>
          <w:sz w:val="24"/>
        </w:rPr>
      </w:pPr>
      <w:r>
        <w:rPr>
          <w:rFonts w:ascii="Times New Roman" w:hAnsi="Times New Roman" w:cs="Times New Roman"/>
          <w:b/>
          <w:sz w:val="24"/>
        </w:rPr>
        <w:t xml:space="preserve">4 </w:t>
      </w:r>
      <w:r w:rsidRPr="002530AE">
        <w:rPr>
          <w:rFonts w:ascii="Times New Roman" w:hAnsi="Times New Roman" w:cs="Times New Roman"/>
          <w:b/>
          <w:sz w:val="24"/>
        </w:rPr>
        <w:t>A RELAÇÃO CAPITAL NO TEMPO E NO ESPAÇO NO BRASIL</w:t>
      </w:r>
    </w:p>
    <w:p w14:paraId="09275E85"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Para compreender a questão regional em um país periférico como é o caso do Brasil com um passado colonial não resolvido e todas as mazelas e feridas que ainda se perpetuam na atualidade, é importante compreender os desdobramentos do ambiente mundial e os movimentos da economia em escala mundial.  Uma questão a ser levada em conta para discutir a questão regional é justamente o papel da globalização e da internacionalização dos mercados, onde o movimento do capital alcança todos os espaços em todas as formações sociais especialmente após 1970 e com maior intensidade nos pós 1990 penetrando de forma hegemônica em todos os territórios e impondo o que, como e para quem e onde produzir, evidenciando uma seletividade espacial do capital (ARAÚJO, 1999); (TAVARES, 2019). </w:t>
      </w:r>
    </w:p>
    <w:p w14:paraId="4661C70B"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Compreender a questão regional perpassa por compreender a relação capital no tempo e no espaço que são resultantes do acelerado pelo processo de globalização e, portanto, de constantes mudanças. “Quando se fala em </w:t>
      </w:r>
      <w:r w:rsidRPr="002530AE">
        <w:rPr>
          <w:rFonts w:ascii="Times New Roman" w:hAnsi="Times New Roman" w:cs="Times New Roman"/>
          <w:i/>
          <w:iCs/>
          <w:sz w:val="24"/>
        </w:rPr>
        <w:t>globalização</w:t>
      </w:r>
      <w:r w:rsidRPr="002530AE">
        <w:rPr>
          <w:rFonts w:ascii="Times New Roman" w:hAnsi="Times New Roman" w:cs="Times New Roman"/>
          <w:sz w:val="24"/>
        </w:rPr>
        <w:t>, está-se querendo ressaltar a maturidade de uma tendência antiga, que vai superpondo à internacionalização do capital e dos fluxos mercantis a internacionalização produtiva e, especialmente, a financeira” (ARAÚJO, 1999, p. 9)</w:t>
      </w:r>
    </w:p>
    <w:p w14:paraId="301DC9B6"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Para este processo de inserção subordinada do Brasil e seus desdobramentos no território também Maria Conceição Tavares constata que:</w:t>
      </w:r>
    </w:p>
    <w:p w14:paraId="01D0275C" w14:textId="77777777" w:rsidR="002530AE" w:rsidRPr="002530AE" w:rsidRDefault="002530AE" w:rsidP="002530AE">
      <w:pPr>
        <w:spacing w:after="0" w:line="240" w:lineRule="auto"/>
        <w:ind w:firstLine="708"/>
        <w:jc w:val="both"/>
        <w:rPr>
          <w:rFonts w:ascii="Times New Roman" w:hAnsi="Times New Roman" w:cs="Times New Roman"/>
          <w:sz w:val="24"/>
        </w:rPr>
      </w:pPr>
    </w:p>
    <w:p w14:paraId="2982988A" w14:textId="77777777" w:rsidR="002530AE" w:rsidRPr="002530AE" w:rsidRDefault="002530AE" w:rsidP="002530AE">
      <w:pPr>
        <w:spacing w:after="0" w:line="240" w:lineRule="auto"/>
        <w:ind w:left="2268"/>
        <w:jc w:val="both"/>
        <w:rPr>
          <w:rFonts w:ascii="Times New Roman" w:hAnsi="Times New Roman" w:cs="Times New Roman"/>
          <w:sz w:val="24"/>
        </w:rPr>
      </w:pPr>
      <w:r w:rsidRPr="002530AE">
        <w:rPr>
          <w:rFonts w:ascii="Times New Roman" w:hAnsi="Times New Roman" w:cs="Times New Roman"/>
          <w:sz w:val="24"/>
        </w:rPr>
        <w:t>As forças expansivas dos donos do império, do território e do dinheiro, sobrepuseram-se sempre aos interesses de vida da maioria da população brasileira. Nos seus caminhos de dominação, sempre em busca da “modernidade”, podem ser encontradas as razões da riqueza e da miséria da nação brasileira (TAVARES, 2019 p. 270)</w:t>
      </w:r>
    </w:p>
    <w:p w14:paraId="1222AEBE" w14:textId="77777777" w:rsidR="002530AE" w:rsidRPr="002530AE" w:rsidRDefault="002530AE" w:rsidP="002530AE">
      <w:pPr>
        <w:spacing w:after="0" w:line="240" w:lineRule="auto"/>
        <w:ind w:firstLine="708"/>
        <w:jc w:val="both"/>
        <w:rPr>
          <w:rFonts w:ascii="Times New Roman" w:hAnsi="Times New Roman" w:cs="Times New Roman"/>
          <w:sz w:val="24"/>
        </w:rPr>
      </w:pPr>
    </w:p>
    <w:p w14:paraId="579679E0"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 Com este processo em curso as velhas formas de acumulação se tornam ultrapassadas e passa-se pelo processo de “reestruturação produtiva”. Um novo padrão torna-se necessário, para substituir o velho que já não serve mais, especialmente a partir da década de 1970. É nesse contexto que se destaca um papel importante da tecnologia, dos meios informatizados que vão definir os rumos de um novo “padrão produtivo” mais favorável ao processo de acumulação de capital. E especialmente na atualidade o processo de hegemônico de </w:t>
      </w:r>
      <w:proofErr w:type="spellStart"/>
      <w:r w:rsidRPr="002530AE">
        <w:rPr>
          <w:rFonts w:ascii="Times New Roman" w:hAnsi="Times New Roman" w:cs="Times New Roman"/>
          <w:sz w:val="24"/>
        </w:rPr>
        <w:t>financerização</w:t>
      </w:r>
      <w:proofErr w:type="spellEnd"/>
      <w:r w:rsidRPr="002530AE">
        <w:rPr>
          <w:rFonts w:ascii="Times New Roman" w:hAnsi="Times New Roman" w:cs="Times New Roman"/>
          <w:sz w:val="24"/>
        </w:rPr>
        <w:t xml:space="preserve"> da economia (ARAÚJO, 1999).</w:t>
      </w:r>
    </w:p>
    <w:p w14:paraId="42CE71D3"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Na dinâmica regional brasileira o país experimentou desde a década de 1950 um avanço do projeto desenvolvimentista, com base em megaprojetos de infraestrutura distribuídos pelas regiões brasileiras, muitos deles com recursos financeiros financiados via endividamento externo. A prática desenvolvimentista durou até o choque do petróleo na década de 1970, onde o Brasil pagou o preço a altas taxas de juros pela dívida contraída. E nos anos seguintes na </w:t>
      </w:r>
      <w:r w:rsidRPr="002530AE">
        <w:rPr>
          <w:rFonts w:ascii="Times New Roman" w:hAnsi="Times New Roman" w:cs="Times New Roman"/>
          <w:sz w:val="24"/>
        </w:rPr>
        <w:lastRenderedPageBreak/>
        <w:t>década de 1980, a tendência foi de crise e todas as consequências que ela traz recairiam pesadamente sobre a classe trabalhadora (TAVARES, 2019).</w:t>
      </w:r>
    </w:p>
    <w:p w14:paraId="04F17144" w14:textId="01AEDE6D" w:rsid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Importante ressaltar que no país desde o início do século XX se tem uma tendência a concentração regional das atividades produtivas na região Sudeste, especificamente em São Paulo e entornos. O que se fez com esse investimento pesado em infraestrutura foi levar a possibilidade de “desenvolver” outras regiões. Fatos estes que já havia sido discutido na década de 1950 por Celso Furtado, quando apontou que tal concentração gerava nas demais regiões profundas disparidades regionais. </w:t>
      </w:r>
    </w:p>
    <w:p w14:paraId="2C97BD16" w14:textId="77777777" w:rsidR="002530AE" w:rsidRPr="002530AE" w:rsidRDefault="002530AE" w:rsidP="002530AE">
      <w:pPr>
        <w:spacing w:after="0" w:line="240" w:lineRule="auto"/>
        <w:ind w:firstLine="708"/>
        <w:jc w:val="both"/>
        <w:rPr>
          <w:rFonts w:ascii="Times New Roman" w:hAnsi="Times New Roman" w:cs="Times New Roman"/>
          <w:sz w:val="24"/>
        </w:rPr>
      </w:pPr>
    </w:p>
    <w:p w14:paraId="3D92E75D" w14:textId="77777777" w:rsidR="002530AE" w:rsidRPr="002530AE" w:rsidRDefault="002530AE" w:rsidP="002530AE">
      <w:pPr>
        <w:spacing w:after="0" w:line="240" w:lineRule="auto"/>
        <w:ind w:left="2268"/>
        <w:jc w:val="both"/>
        <w:rPr>
          <w:rFonts w:ascii="Times New Roman" w:hAnsi="Times New Roman" w:cs="Times New Roman"/>
          <w:sz w:val="24"/>
        </w:rPr>
      </w:pPr>
      <w:r w:rsidRPr="002530AE">
        <w:rPr>
          <w:rFonts w:ascii="Times New Roman" w:hAnsi="Times New Roman" w:cs="Times New Roman"/>
          <w:sz w:val="24"/>
        </w:rPr>
        <w:t>À medida que o Sudeste passava a comandar a acumulação de capitais em escala nacional, ia-se soldando o mercado interno brasileiro, com o aumento da concentração de riqueza e renda naquela região. Com 11% do território brasileiro, o Sudeste respondia, em 1970, por 81% da atividade industrial do País, e São Paulo, sozinho, gerava 58% da produção da indústria existente. (ARAÚJO, 1999, p.12).</w:t>
      </w:r>
    </w:p>
    <w:p w14:paraId="47C2B453" w14:textId="77777777" w:rsidR="002530AE" w:rsidRPr="002530AE" w:rsidRDefault="002530AE" w:rsidP="002530AE">
      <w:pPr>
        <w:spacing w:after="0" w:line="240" w:lineRule="auto"/>
        <w:ind w:firstLine="708"/>
        <w:jc w:val="both"/>
        <w:rPr>
          <w:rFonts w:ascii="Times New Roman" w:hAnsi="Times New Roman" w:cs="Times New Roman"/>
          <w:sz w:val="24"/>
        </w:rPr>
      </w:pPr>
    </w:p>
    <w:p w14:paraId="138CB051"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Embora se tenha tentado ao longo dos anos promover um processo de desconcentração das atividades na região Sudeste e promover outras regiões menos desenvolvidas. Ainda passadas duas décadas depois dos incentivos a região Sudeste correspondia por algo como 60% da atividade produtiva do país, ao passo que as regiões Nordeste, Norte e Centro Oeste passam de 18% na década de 1970 para 23% em 1990. Importante destacar que na atualidade essa tendência de desigualdades segue presente na economia brasileira. </w:t>
      </w:r>
    </w:p>
    <w:p w14:paraId="1754D6F0"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A década de 1990 é marcada pelos "novo ajuste", cujas medidas também implicam na dinâmica regional do país. Essa nova dinâmica consistiu na abertura comercial logo, favoreceu "focos exportadores" com a tendência a concentrar as atividades nas regiões já mais dinâmicas do país (ARAÚJO, 1999); (TAVARES, 2019)</w:t>
      </w:r>
    </w:p>
    <w:p w14:paraId="2CC681EA"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A dinâmica regional brasileira é sem dúvida central no trabalho de Araújo (1999), através de estudos ao longo da década de 90 até meados dos anos 2000 demostra que no Brasil ocorre um processo de inserção seletiva das regiões que já estão incluídas nos circuitos de acumulação de capital em escala internacional através de grandes projetos públicos e, portanto, de fomento estatal.  Além disso, ressalta-se ainda a ausência de políticas de desenvolvimento regional que de fato pudessem reduzir as disparidades regionais. “Se o setor privado, o governo federal e os governos locais concentram seus esforços nas áreas mais dinâmicas, vão-se deixando grandes áreas do País à margem: são os ditos </w:t>
      </w:r>
      <w:r w:rsidRPr="002530AE">
        <w:rPr>
          <w:rFonts w:ascii="Times New Roman" w:hAnsi="Times New Roman" w:cs="Times New Roman"/>
          <w:i/>
          <w:iCs/>
          <w:sz w:val="24"/>
        </w:rPr>
        <w:t>espaços</w:t>
      </w:r>
      <w:r w:rsidRPr="002530AE">
        <w:rPr>
          <w:rFonts w:ascii="Times New Roman" w:hAnsi="Times New Roman" w:cs="Times New Roman"/>
          <w:sz w:val="24"/>
        </w:rPr>
        <w:t xml:space="preserve"> </w:t>
      </w:r>
      <w:r w:rsidRPr="002530AE">
        <w:rPr>
          <w:rFonts w:ascii="Times New Roman" w:hAnsi="Times New Roman" w:cs="Times New Roman"/>
          <w:i/>
          <w:iCs/>
          <w:sz w:val="24"/>
        </w:rPr>
        <w:t>não-competitivos</w:t>
      </w:r>
      <w:r w:rsidRPr="002530AE">
        <w:rPr>
          <w:rFonts w:ascii="Times New Roman" w:hAnsi="Times New Roman" w:cs="Times New Roman"/>
          <w:sz w:val="24"/>
        </w:rPr>
        <w:t>” (ARAÙJO, 1999, p. 20).</w:t>
      </w:r>
    </w:p>
    <w:p w14:paraId="5672C7D9"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Sendo que, </w:t>
      </w:r>
    </w:p>
    <w:p w14:paraId="6844C7FC" w14:textId="77777777" w:rsidR="002530AE" w:rsidRDefault="002530AE" w:rsidP="002530AE">
      <w:pPr>
        <w:spacing w:after="0" w:line="240" w:lineRule="auto"/>
        <w:ind w:left="2268"/>
        <w:jc w:val="both"/>
        <w:rPr>
          <w:rFonts w:ascii="Times New Roman" w:hAnsi="Times New Roman" w:cs="Times New Roman"/>
          <w:sz w:val="24"/>
        </w:rPr>
      </w:pPr>
    </w:p>
    <w:p w14:paraId="0C69A182" w14:textId="5EE3E7E9" w:rsidR="002530AE" w:rsidRPr="002530AE" w:rsidRDefault="002530AE" w:rsidP="002530AE">
      <w:pPr>
        <w:spacing w:after="0" w:line="240" w:lineRule="auto"/>
        <w:ind w:left="2268"/>
        <w:jc w:val="both"/>
        <w:rPr>
          <w:rFonts w:ascii="Times New Roman" w:hAnsi="Times New Roman" w:cs="Times New Roman"/>
          <w:sz w:val="24"/>
        </w:rPr>
      </w:pPr>
      <w:r w:rsidRPr="002530AE">
        <w:rPr>
          <w:rFonts w:ascii="Times New Roman" w:hAnsi="Times New Roman" w:cs="Times New Roman"/>
          <w:sz w:val="24"/>
        </w:rPr>
        <w:t>A conclusão preocupante que emerge das observações e análises até aqui apresentadas é que, muito provavelmente, a inserção do Brasil na economia mundial globalizada tende a ser amplamente diferenciada, segundo os diversos subespaços econômicos deste amplo e heterogêneo País. Tal diferenciação tende a alimentar a ampliação de históricas e profundas desigualdades inter-regionais, entre e no interior das grandes macrorregiões brasileiras (ARAÚJO, 1999, p. 21)</w:t>
      </w:r>
    </w:p>
    <w:p w14:paraId="4B65AB41" w14:textId="77777777" w:rsidR="002530AE" w:rsidRPr="002530AE" w:rsidRDefault="002530AE" w:rsidP="002530AE">
      <w:pPr>
        <w:spacing w:after="0" w:line="240" w:lineRule="auto"/>
        <w:ind w:firstLine="708"/>
        <w:jc w:val="both"/>
        <w:rPr>
          <w:rFonts w:ascii="Times New Roman" w:hAnsi="Times New Roman" w:cs="Times New Roman"/>
          <w:sz w:val="24"/>
        </w:rPr>
      </w:pPr>
    </w:p>
    <w:p w14:paraId="1667AAD7" w14:textId="77777777" w:rsidR="002530AE" w:rsidRPr="002530AE" w:rsidRDefault="002530AE" w:rsidP="002530AE">
      <w:pPr>
        <w:spacing w:after="0" w:line="240" w:lineRule="auto"/>
        <w:ind w:firstLine="708"/>
        <w:jc w:val="both"/>
        <w:rPr>
          <w:rFonts w:ascii="Times New Roman" w:hAnsi="Times New Roman" w:cs="Times New Roman"/>
          <w:sz w:val="24"/>
        </w:rPr>
      </w:pPr>
    </w:p>
    <w:p w14:paraId="2211C5DC" w14:textId="31B8EF6E"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Araújo (1999) enfatiza que as opções estratégicas e a dinâmica regional do Brasil dos anos noventa apresenta uma mudança de padrão. De uma configuração de uma base econômica que atuava no espaço nacional – apesar de ter forte presença de agentes econômicos transacionais, mas que caminhava aos poucos para à desconcentração de atividades para espaços periféricos do País e com forte presença do Estado, para uma subjugação às demandas do setor privado na orientação das políticas de desenvolvimento regional no Brasil. Araújo (1999, p. 1) confirma suas duas hipóteses: “ a do estancamento da tendência à desconcentração,  que dominou dos anos 70 até meados dos 80, e a tendência à fragmentação no País”, esta última comandada por “ilhas dinâmicas”, situadas nas distintas macrorregiões brasileiras, em detrimento das demais áreas menos competitivas. O que resulta em um alargamento das diferenciações e da heterogeneidade intrarregional, fruto da seletividade espacial do capital, de concentração de investimentos nas áreas historicamente mais dinâmicas e competitivas do País, resultando por vezes em uma perda de solidariedade com o restante do território. </w:t>
      </w:r>
    </w:p>
    <w:p w14:paraId="1EE054E7"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 De modo que a preocupação com o regional no Brasil vem de longa data, mas há uma dificuldade de se constituir um projeto próprio de desenvolvimento regional. As políticas de desenvolvimento regional ou a falta delas expressam a manutenção do capital em suas várias formas (CARLEIAL, 2014). E segundo Araújo (1999), nos anos 90 se rompe a tradição de atuação do Estado Nacional do desenvolvimento das políticas tipicamente regionais, de base setorial-nacional e de suas organizações estatais, para uma atuação subordinada aos interesses do setor privado.</w:t>
      </w:r>
    </w:p>
    <w:p w14:paraId="1F25DC70" w14:textId="5E7D4CF3" w:rsidR="002530AE" w:rsidRDefault="002530AE" w:rsidP="00591BC8">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Nesse contexto, é importante contemplar a atuação do Estado em um modo de produção capitalista. Nesse sentido, “o conceito de região é corolário do conceito de espaço geográfico, este, sinteticamente, entendido como um ‘espaço capitalista’, ou seja, o espaço construído pela sociedade capitalista.” (ETGES; DEGRANDI, 2013, p. 88).</w:t>
      </w:r>
    </w:p>
    <w:p w14:paraId="0A868936"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Há de se debruçar sob os impactos na dinâmica regional do Brasil no período recente: do estancamento da tendência à desconcentração (Década de 1970 e meados dos 80) à tendência à fragmentação do país (dos 90 em diante). Nesse sentido destaca-se o papel do Estado na implementação de políticas de desenvolvimento regional (ARAÚJO, 1999). Dentre as autoras aqui apresentadas, algumas apostam mais no papel do Estado e outras menos. </w:t>
      </w:r>
    </w:p>
    <w:p w14:paraId="664A8BE5"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Ao mencionar o Estado brasileiro é preciso lembrar que:</w:t>
      </w:r>
    </w:p>
    <w:p w14:paraId="54E5C1A2" w14:textId="77777777" w:rsidR="002530AE" w:rsidRPr="002530AE" w:rsidRDefault="002530AE" w:rsidP="002530AE">
      <w:pPr>
        <w:spacing w:after="0" w:line="240" w:lineRule="auto"/>
        <w:ind w:firstLine="708"/>
        <w:jc w:val="both"/>
        <w:rPr>
          <w:rFonts w:ascii="Times New Roman" w:hAnsi="Times New Roman" w:cs="Times New Roman"/>
          <w:sz w:val="24"/>
        </w:rPr>
      </w:pPr>
    </w:p>
    <w:p w14:paraId="0D423DD8" w14:textId="77777777" w:rsidR="002530AE" w:rsidRPr="002530AE" w:rsidRDefault="002530AE" w:rsidP="00591BC8">
      <w:pPr>
        <w:spacing w:after="0" w:line="240" w:lineRule="auto"/>
        <w:ind w:left="2268"/>
        <w:jc w:val="both"/>
        <w:rPr>
          <w:rFonts w:ascii="Times New Roman" w:hAnsi="Times New Roman" w:cs="Times New Roman"/>
          <w:sz w:val="24"/>
        </w:rPr>
      </w:pPr>
      <w:r w:rsidRPr="002530AE">
        <w:rPr>
          <w:rFonts w:ascii="Times New Roman" w:hAnsi="Times New Roman" w:cs="Times New Roman"/>
          <w:sz w:val="24"/>
        </w:rPr>
        <w:t xml:space="preserve">Nossas ‘tradições democráticas interrompidas’ nunca alteraram a marcha da batida do capitalismo brasileiro, dando a impressão sistemática de que os ideais reformistas ou revolucionários estão ‘fora do lugar’, quando na verdade as ideias postas em prática pela chamada ‘sociedade civil’ burguesa sempre estiveram no lugar: o de manter em movimento o ‘moinho satânico’ do capital em suas várias formas. (TAVARES, 2019, p. 266). </w:t>
      </w:r>
    </w:p>
    <w:p w14:paraId="414B40B7" w14:textId="77777777" w:rsidR="002530AE" w:rsidRPr="002530AE" w:rsidRDefault="002530AE" w:rsidP="002530AE">
      <w:pPr>
        <w:spacing w:after="0" w:line="240" w:lineRule="auto"/>
        <w:ind w:firstLine="708"/>
        <w:jc w:val="both"/>
        <w:rPr>
          <w:rFonts w:ascii="Times New Roman" w:hAnsi="Times New Roman" w:cs="Times New Roman"/>
          <w:sz w:val="24"/>
        </w:rPr>
      </w:pPr>
    </w:p>
    <w:p w14:paraId="7EFE7DA0"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Refletindo sobre o processo de globalização, existem duas visões do mundo globalizado, aquela da progressiva unificação e homogeneização e a produção de novas formas de heterogeneidade e pluralismo (SEGATO, 2007). A Amazônia, se multiplicam estratégias </w:t>
      </w:r>
      <w:r w:rsidRPr="002530AE">
        <w:rPr>
          <w:rFonts w:ascii="Times New Roman" w:hAnsi="Times New Roman" w:cs="Times New Roman"/>
          <w:sz w:val="24"/>
        </w:rPr>
        <w:lastRenderedPageBreak/>
        <w:t xml:space="preserve">governamentais e empresariais visando a exploração de recursos naturais para além das fronteiras políticas regionais sob a égide de uma modernização baseada em megaprojetos. Dessa forma se “reedita o modelo de desenvolvimento que orientou a expansão da fronteira amazônica a partir dos anos 70 do século XX e provocou conflitos </w:t>
      </w:r>
      <w:proofErr w:type="spellStart"/>
      <w:r w:rsidRPr="002530AE">
        <w:rPr>
          <w:rFonts w:ascii="Times New Roman" w:hAnsi="Times New Roman" w:cs="Times New Roman"/>
          <w:sz w:val="24"/>
        </w:rPr>
        <w:t>socioterritoriais</w:t>
      </w:r>
      <w:proofErr w:type="spellEnd"/>
      <w:r w:rsidRPr="002530AE">
        <w:rPr>
          <w:rFonts w:ascii="Times New Roman" w:hAnsi="Times New Roman" w:cs="Times New Roman"/>
          <w:sz w:val="24"/>
        </w:rPr>
        <w:t xml:space="preserve"> que envolveram diferentes atores locais e intensificaram a exploração de recursos naturais e o desmatamento.” (CASTRO, 2012, p. 46). A quem serviria a integração </w:t>
      </w:r>
      <w:proofErr w:type="spellStart"/>
      <w:r w:rsidRPr="002530AE">
        <w:rPr>
          <w:rFonts w:ascii="Times New Roman" w:hAnsi="Times New Roman" w:cs="Times New Roman"/>
          <w:sz w:val="24"/>
        </w:rPr>
        <w:t>pan</w:t>
      </w:r>
      <w:proofErr w:type="spellEnd"/>
      <w:r w:rsidRPr="002530AE">
        <w:rPr>
          <w:rFonts w:ascii="Times New Roman" w:hAnsi="Times New Roman" w:cs="Times New Roman"/>
          <w:sz w:val="24"/>
        </w:rPr>
        <w:t xml:space="preserve"> amazônica? A ideia é fazer circular o capital e não pessoas. Não há nesse projeto uma superação das contradições do capital e da exclusão. O Estado tem escolhido o modelo de desenvolvimento que aprofunda as mazelas sociais e ambientais (CASTRO, 2012). </w:t>
      </w:r>
    </w:p>
    <w:p w14:paraId="04265877" w14:textId="7229F2EF"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Do ponto de vista do conhecimento sobre o regional no Brasil, vários cursos de pós-graduação em desenvolvimento regional foram criados no Brasil, mas tratam de problemas delimitados. “Não existe uma perspectiva que aborde a problemática regional de uma maneira mais ampla no âmbito das tendências e transformações da economia brasileira e que considere como cada macrorregião participa ou pode vir a participar dessas mudanças.” (CARLEIAL, 2014, p. 2).</w:t>
      </w:r>
    </w:p>
    <w:p w14:paraId="4E1C9217"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Qual é o projeto de desenvolvimento do Brasil? “Não é excessivo afirmar que não existe uma estratégia nacional de desenvolvimento precisa, não se sabe o que o país pretende ser dentro de 30 ou 40 anos.” (CARLEIAL, 2014, p. 4).</w:t>
      </w:r>
    </w:p>
    <w:p w14:paraId="391D536C" w14:textId="77777777" w:rsidR="002530AE" w:rsidRPr="002530AE" w:rsidRDefault="002530AE" w:rsidP="002530AE">
      <w:pPr>
        <w:spacing w:after="0" w:line="240" w:lineRule="auto"/>
        <w:ind w:firstLine="708"/>
        <w:jc w:val="both"/>
        <w:rPr>
          <w:rFonts w:ascii="Times New Roman" w:hAnsi="Times New Roman" w:cs="Times New Roman"/>
          <w:sz w:val="24"/>
        </w:rPr>
      </w:pPr>
    </w:p>
    <w:p w14:paraId="3516329F" w14:textId="7A518BFE" w:rsidR="002530AE" w:rsidRPr="002530AE" w:rsidRDefault="00591BC8" w:rsidP="00591BC8">
      <w:pPr>
        <w:spacing w:after="0" w:line="240" w:lineRule="auto"/>
        <w:jc w:val="both"/>
        <w:rPr>
          <w:rFonts w:ascii="Times New Roman" w:hAnsi="Times New Roman" w:cs="Times New Roman"/>
          <w:sz w:val="24"/>
        </w:rPr>
      </w:pPr>
      <w:r>
        <w:rPr>
          <w:rFonts w:ascii="Times New Roman" w:hAnsi="Times New Roman" w:cs="Times New Roman"/>
          <w:b/>
          <w:sz w:val="24"/>
        </w:rPr>
        <w:t xml:space="preserve">5 </w:t>
      </w:r>
      <w:r w:rsidRPr="002530AE">
        <w:rPr>
          <w:rFonts w:ascii="Times New Roman" w:hAnsi="Times New Roman" w:cs="Times New Roman"/>
          <w:b/>
          <w:sz w:val="24"/>
        </w:rPr>
        <w:t xml:space="preserve">AS RESISTÊNCIAS POSSÍVEIS </w:t>
      </w:r>
    </w:p>
    <w:p w14:paraId="2FA0D62E"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Uma aposta pode ser no papel do Estado em relação às políticas regionais e da mobilização dos atores locais para pensar e propor estratégias de desenvolvimento regional (ARAÚJO, 1999). Estratégias essas denominadas por Araújo (1999) de contratendências que atuam de baixo para cima, em contraposição a diferenciações regionais e a fragmentação do País. </w:t>
      </w:r>
    </w:p>
    <w:p w14:paraId="48456313"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Se coloca também a valorização da dimensão horizontal dos processos, a identificação das potencialidades e a construção de instrumentos de coesão social, criação de formas de representação da vontade da maioria, eleição de governos comprometidos (ETGES; DEGRANDI, 2013). </w:t>
      </w:r>
    </w:p>
    <w:p w14:paraId="28F6AADE"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Gonzalez (1988) propõe o uso do termo </w:t>
      </w:r>
      <w:proofErr w:type="spellStart"/>
      <w:r w:rsidRPr="002530AE">
        <w:rPr>
          <w:rFonts w:ascii="Times New Roman" w:hAnsi="Times New Roman" w:cs="Times New Roman"/>
          <w:sz w:val="24"/>
        </w:rPr>
        <w:t>Améfrica</w:t>
      </w:r>
      <w:proofErr w:type="spellEnd"/>
      <w:r w:rsidRPr="002530AE">
        <w:rPr>
          <w:rFonts w:ascii="Times New Roman" w:hAnsi="Times New Roman" w:cs="Times New Roman"/>
          <w:sz w:val="24"/>
        </w:rPr>
        <w:t xml:space="preserve"> Ladina e </w:t>
      </w:r>
      <w:proofErr w:type="spellStart"/>
      <w:r w:rsidRPr="002530AE">
        <w:rPr>
          <w:rFonts w:ascii="Times New Roman" w:hAnsi="Times New Roman" w:cs="Times New Roman"/>
          <w:sz w:val="24"/>
        </w:rPr>
        <w:t>pretoguês</w:t>
      </w:r>
      <w:proofErr w:type="spellEnd"/>
      <w:r w:rsidRPr="002530AE">
        <w:rPr>
          <w:rFonts w:ascii="Times New Roman" w:hAnsi="Times New Roman" w:cs="Times New Roman"/>
          <w:sz w:val="24"/>
        </w:rPr>
        <w:t xml:space="preserve"> para imprimir a presença negra na africanização da América Latina e no português. - Novo olhar para a formação histórico-cultural do brasil. Lélia </w:t>
      </w:r>
      <w:proofErr w:type="spellStart"/>
      <w:r w:rsidRPr="002530AE">
        <w:rPr>
          <w:rFonts w:ascii="Times New Roman" w:hAnsi="Times New Roman" w:cs="Times New Roman"/>
          <w:sz w:val="24"/>
        </w:rPr>
        <w:t>Gozalez</w:t>
      </w:r>
      <w:proofErr w:type="spellEnd"/>
      <w:r w:rsidRPr="002530AE">
        <w:rPr>
          <w:rFonts w:ascii="Times New Roman" w:hAnsi="Times New Roman" w:cs="Times New Roman"/>
          <w:sz w:val="24"/>
        </w:rPr>
        <w:t xml:space="preserve"> critica a passividade do Brasil e da América Latina frente ao imperialismo estadunidense. Por isso a proposta da </w:t>
      </w:r>
      <w:proofErr w:type="spellStart"/>
      <w:r w:rsidRPr="002530AE">
        <w:rPr>
          <w:rFonts w:ascii="Times New Roman" w:hAnsi="Times New Roman" w:cs="Times New Roman"/>
          <w:sz w:val="24"/>
        </w:rPr>
        <w:t>amefricanidade</w:t>
      </w:r>
      <w:proofErr w:type="spellEnd"/>
      <w:r w:rsidRPr="002530AE">
        <w:rPr>
          <w:rFonts w:ascii="Times New Roman" w:hAnsi="Times New Roman" w:cs="Times New Roman"/>
          <w:sz w:val="24"/>
        </w:rPr>
        <w:t xml:space="preserve"> como forma de resistência. </w:t>
      </w:r>
    </w:p>
    <w:p w14:paraId="1A05CDC2" w14:textId="77777777" w:rsidR="002530AE" w:rsidRPr="002530AE" w:rsidRDefault="002530AE" w:rsidP="002530AE">
      <w:pPr>
        <w:spacing w:after="0" w:line="240" w:lineRule="auto"/>
        <w:ind w:firstLine="708"/>
        <w:jc w:val="both"/>
        <w:rPr>
          <w:rFonts w:ascii="Times New Roman" w:hAnsi="Times New Roman" w:cs="Times New Roman"/>
          <w:sz w:val="24"/>
        </w:rPr>
      </w:pPr>
      <w:proofErr w:type="spellStart"/>
      <w:r w:rsidRPr="002530AE">
        <w:rPr>
          <w:rFonts w:ascii="Times New Roman" w:hAnsi="Times New Roman" w:cs="Times New Roman"/>
          <w:sz w:val="24"/>
        </w:rPr>
        <w:t>Renk</w:t>
      </w:r>
      <w:proofErr w:type="spellEnd"/>
      <w:r w:rsidRPr="002530AE">
        <w:rPr>
          <w:rFonts w:ascii="Times New Roman" w:hAnsi="Times New Roman" w:cs="Times New Roman"/>
          <w:sz w:val="24"/>
        </w:rPr>
        <w:t xml:space="preserve"> (2004) aposta na região como narrativa inacabada e na importância dos movimentos sociais (MST, Movimento das Mulheres Agricultoras, MAB, Movimento indígena) na construção de outras narrativas mais includentes. No caso da Amazônia:</w:t>
      </w:r>
    </w:p>
    <w:p w14:paraId="2B678D77" w14:textId="77777777" w:rsidR="00591BC8" w:rsidRDefault="00591BC8" w:rsidP="00591BC8">
      <w:pPr>
        <w:spacing w:after="0" w:line="240" w:lineRule="auto"/>
        <w:ind w:left="2268"/>
        <w:jc w:val="both"/>
        <w:rPr>
          <w:rFonts w:ascii="Times New Roman" w:hAnsi="Times New Roman" w:cs="Times New Roman"/>
          <w:sz w:val="24"/>
        </w:rPr>
      </w:pPr>
    </w:p>
    <w:p w14:paraId="6BB34D69" w14:textId="3EAADDCE" w:rsidR="002530AE" w:rsidRDefault="002530AE" w:rsidP="00591BC8">
      <w:pPr>
        <w:spacing w:after="0" w:line="240" w:lineRule="auto"/>
        <w:ind w:left="2268"/>
        <w:jc w:val="both"/>
        <w:rPr>
          <w:rFonts w:ascii="Times New Roman" w:hAnsi="Times New Roman" w:cs="Times New Roman"/>
          <w:sz w:val="24"/>
        </w:rPr>
      </w:pPr>
      <w:r w:rsidRPr="002530AE">
        <w:rPr>
          <w:rFonts w:ascii="Times New Roman" w:hAnsi="Times New Roman" w:cs="Times New Roman"/>
          <w:sz w:val="24"/>
        </w:rPr>
        <w:t xml:space="preserve">Populações locais, com suas práticas sociais e saberes relativos ao território, têm produzido leituras desse processo, a partir de movimentos sociais e étnicos que revelam novos processos de dominação incorporados ao modo de implantação dos projetos de infraestrutura e às práticas de agentes que violam direitos sociais e étnicos, como o resultado da desterritorialização que atinge grupos de </w:t>
      </w:r>
      <w:r w:rsidRPr="002530AE">
        <w:rPr>
          <w:rFonts w:ascii="Times New Roman" w:hAnsi="Times New Roman" w:cs="Times New Roman"/>
          <w:sz w:val="24"/>
        </w:rPr>
        <w:lastRenderedPageBreak/>
        <w:t xml:space="preserve">população tradicional, na extensão </w:t>
      </w:r>
      <w:proofErr w:type="spellStart"/>
      <w:r w:rsidRPr="002530AE">
        <w:rPr>
          <w:rFonts w:ascii="Times New Roman" w:hAnsi="Times New Roman" w:cs="Times New Roman"/>
          <w:sz w:val="24"/>
        </w:rPr>
        <w:t>pan-amazônica</w:t>
      </w:r>
      <w:proofErr w:type="spellEnd"/>
      <w:r w:rsidRPr="002530AE">
        <w:rPr>
          <w:rFonts w:ascii="Times New Roman" w:hAnsi="Times New Roman" w:cs="Times New Roman"/>
          <w:sz w:val="24"/>
        </w:rPr>
        <w:t xml:space="preserve"> (CASTRO, 2012, p. 46).</w:t>
      </w:r>
    </w:p>
    <w:p w14:paraId="3C0BFDEE" w14:textId="77777777" w:rsidR="00591BC8" w:rsidRPr="002530AE" w:rsidRDefault="00591BC8" w:rsidP="00591BC8">
      <w:pPr>
        <w:spacing w:after="0" w:line="240" w:lineRule="auto"/>
        <w:ind w:left="2268"/>
        <w:jc w:val="both"/>
        <w:rPr>
          <w:rFonts w:ascii="Times New Roman" w:hAnsi="Times New Roman" w:cs="Times New Roman"/>
          <w:sz w:val="24"/>
        </w:rPr>
      </w:pPr>
    </w:p>
    <w:p w14:paraId="58ADAF5A"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Acrescido aos movimentos citados acima, Araújo (1999) destaca o movimento dos desalojados pelos projetos de barragens, cuja atuação de base territorial se configura como uma contratendência de política de desenvolvimento regional que reivindicam políticas de desenvolvimento regional que promovam articulação regional, tão como realizam em suas práticas. São mais que narrativas, apresentam-se como evidências de resistências possíveis. </w:t>
      </w:r>
    </w:p>
    <w:p w14:paraId="1A2CF36D"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Com o cenário da questão regional traçado pelas autoras parecem concordar que não se desfruta de um horizonte muito promissor no que depender das nossas elites locais e internacionais as quais tem feito uma opção histórica pelos “negócios mais rentáveis” utilizando os benefícios do Estado para seus fins e socializado com todo povo brasileiro em todas as regiões os prejuízos (não apenas financeiros, mas sociais e ambientais). Nesse sentido chama-se atenção de que: </w:t>
      </w:r>
    </w:p>
    <w:p w14:paraId="57043A38" w14:textId="77777777" w:rsidR="00591BC8" w:rsidRDefault="00591BC8" w:rsidP="00591BC8">
      <w:pPr>
        <w:spacing w:after="0" w:line="240" w:lineRule="auto"/>
        <w:ind w:left="2268"/>
        <w:jc w:val="both"/>
        <w:rPr>
          <w:rFonts w:ascii="Times New Roman" w:hAnsi="Times New Roman" w:cs="Times New Roman"/>
          <w:sz w:val="24"/>
        </w:rPr>
      </w:pPr>
    </w:p>
    <w:p w14:paraId="49836D5F" w14:textId="527E6C0E" w:rsidR="002530AE" w:rsidRPr="002530AE" w:rsidRDefault="002530AE" w:rsidP="00591BC8">
      <w:pPr>
        <w:spacing w:after="0" w:line="240" w:lineRule="auto"/>
        <w:ind w:left="2268"/>
        <w:jc w:val="both"/>
        <w:rPr>
          <w:rFonts w:ascii="Times New Roman" w:hAnsi="Times New Roman" w:cs="Times New Roman"/>
          <w:sz w:val="24"/>
        </w:rPr>
      </w:pPr>
      <w:r w:rsidRPr="002530AE">
        <w:rPr>
          <w:rFonts w:ascii="Times New Roman" w:hAnsi="Times New Roman" w:cs="Times New Roman"/>
          <w:sz w:val="24"/>
        </w:rPr>
        <w:t>Ordem e Progresso sempre significaram domínio sobre a terra e as classes subordinadas e acumulação “familiar” de capital e de riqueza, qualquer que fosse a inspiração ideológica, positivista ou liberal, das elites no poder. Nunca se conseguiu constituir, por isso, nenhuma espécie de consenso amplo da “sociedade civil” sobre como governar em forma democrática o nosso país. (TAVARES, 2019, p.267)</w:t>
      </w:r>
    </w:p>
    <w:p w14:paraId="5207A802" w14:textId="77777777" w:rsidR="002530AE" w:rsidRPr="002530AE" w:rsidRDefault="002530AE" w:rsidP="002530AE">
      <w:pPr>
        <w:spacing w:after="0" w:line="240" w:lineRule="auto"/>
        <w:ind w:firstLine="708"/>
        <w:jc w:val="both"/>
        <w:rPr>
          <w:rFonts w:ascii="Times New Roman" w:hAnsi="Times New Roman" w:cs="Times New Roman"/>
          <w:sz w:val="24"/>
        </w:rPr>
      </w:pPr>
    </w:p>
    <w:p w14:paraId="0AC52E0B"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Parece estar claro nas contribuições das autoras no que consiste ao horizonte da questão regional brasileira, esta aponta para o aprofundamento das desigualdades regionais, marca histórica da formação social brasileira, na qual destaca-se regiões com fortes dinamismos e outras taxadas como o “resto” do país (ARAÚJO, 1999).</w:t>
      </w:r>
    </w:p>
    <w:p w14:paraId="49842341"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Diante do diagnóstico e das contribuições das autoras tem-se a constatação da ausência de um projeto de desenvolvimento regional para o Brasil. Por isso, é importante mencionar que existem no território movimentos que se contrapõem as práticas do Estado e Mercado e as negam, reagindo e construindo de forma coletiva e autônoma de acordo com a sua realidade buscando soluções para o real enfrentamento de seus problemas locais e regionais, almejando um outro horizonte coletivo e com mais esperança. </w:t>
      </w:r>
    </w:p>
    <w:p w14:paraId="6D49447C" w14:textId="77777777" w:rsidR="002530AE" w:rsidRPr="002530AE" w:rsidRDefault="002530AE" w:rsidP="002530AE">
      <w:pPr>
        <w:spacing w:after="0" w:line="240" w:lineRule="auto"/>
        <w:ind w:firstLine="708"/>
        <w:jc w:val="both"/>
        <w:rPr>
          <w:rFonts w:ascii="Times New Roman" w:hAnsi="Times New Roman" w:cs="Times New Roman"/>
          <w:sz w:val="24"/>
        </w:rPr>
      </w:pPr>
    </w:p>
    <w:p w14:paraId="2ED53B04" w14:textId="66CA1F4D" w:rsidR="002530AE" w:rsidRPr="002530AE" w:rsidRDefault="00591BC8" w:rsidP="00591BC8">
      <w:pPr>
        <w:spacing w:after="0" w:line="240" w:lineRule="auto"/>
        <w:jc w:val="both"/>
        <w:rPr>
          <w:rFonts w:ascii="Times New Roman" w:hAnsi="Times New Roman" w:cs="Times New Roman"/>
          <w:b/>
          <w:sz w:val="24"/>
        </w:rPr>
      </w:pPr>
      <w:r>
        <w:rPr>
          <w:rFonts w:ascii="Times New Roman" w:hAnsi="Times New Roman" w:cs="Times New Roman"/>
          <w:b/>
          <w:sz w:val="24"/>
        </w:rPr>
        <w:t xml:space="preserve">6 </w:t>
      </w:r>
      <w:r w:rsidRPr="002530AE">
        <w:rPr>
          <w:rFonts w:ascii="Times New Roman" w:hAnsi="Times New Roman" w:cs="Times New Roman"/>
          <w:b/>
          <w:sz w:val="24"/>
        </w:rPr>
        <w:t>CONSIDERAÇÕES FINAIS</w:t>
      </w:r>
    </w:p>
    <w:p w14:paraId="4545C692"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Os textos selecionados que tratam do regional datam de 1976 a 2014. Nos textos a região aparece como um recorte geopolítico, como espaço capitalista, mas também como construção social, como narrativa inacabada. O passado não resolvido deita raízes na inserção do Brasil na economia externa, na tentativa de branqueamento da Nação, na prática histórica do racismo disfarçado e do sexismo e no coronelismo – temas que se mesclam com as regionalizações do Brasil. A relação Capital no espaço e no tempo traz à tona a subserviência das formas políticas, jurídicas e econômicas ao Capital no Brasil, não interessando as consequências para o povo brasileiro. As resistências possíveis tratam de buscar elementos que possam apontar outros caminhos: na atuação dos movimentos sociais, na afirmação da diferença, em alternativas que incluam o maior número de pessoas possível, considerando que historicamente no Brasil as </w:t>
      </w:r>
      <w:r w:rsidRPr="002530AE">
        <w:rPr>
          <w:rFonts w:ascii="Times New Roman" w:hAnsi="Times New Roman" w:cs="Times New Roman"/>
          <w:sz w:val="24"/>
        </w:rPr>
        <w:lastRenderedPageBreak/>
        <w:t xml:space="preserve">decisões sobre os rumos do País sempre foram decididas por poucos e beneficiando poucos (Quadro 1). </w:t>
      </w:r>
    </w:p>
    <w:p w14:paraId="20DF98C5" w14:textId="77777777" w:rsidR="002530AE" w:rsidRPr="002530AE" w:rsidRDefault="002530AE" w:rsidP="002530AE">
      <w:pPr>
        <w:spacing w:after="0" w:line="240" w:lineRule="auto"/>
        <w:ind w:firstLine="708"/>
        <w:jc w:val="both"/>
        <w:rPr>
          <w:rFonts w:ascii="Times New Roman" w:hAnsi="Times New Roman" w:cs="Times New Roman"/>
          <w:sz w:val="24"/>
        </w:rPr>
      </w:pPr>
      <w:r w:rsidRPr="002530AE">
        <w:rPr>
          <w:rFonts w:ascii="Times New Roman" w:hAnsi="Times New Roman" w:cs="Times New Roman"/>
          <w:sz w:val="24"/>
        </w:rPr>
        <w:t xml:space="preserve">Esse artigo tem limites claros, mas pretendeu essa visão panorâmica. Para quem estuda o regional no Brasil cabe procurar autores e autoras que trataram do tema e tem algo a dizer sobre o presente, o passado e o futuro do Brasil e dos processos de regionalização. Tendo em vista que a região deve ser pensada sempre no interior da unidade nacional e não apenas como mera seletividade espacial de atuação do capital ao longo do tempo. Esse é o primeiro passo para construção de políticas de desenvolvimento regional de base integradora. Importante tratar a região como algo em permanente construção do ponto de vista do conhecimento e de sua prática. Os temas tratados, sejam eles da economia, antropologia, história e sociologia trazem diferentes olhares, diferentes questionamentos, e caminhos a seguir. Os temas da região como narrativa inacabada, das migrações, da </w:t>
      </w:r>
      <w:proofErr w:type="spellStart"/>
      <w:r w:rsidRPr="002530AE">
        <w:rPr>
          <w:rFonts w:ascii="Times New Roman" w:hAnsi="Times New Roman" w:cs="Times New Roman"/>
          <w:sz w:val="24"/>
        </w:rPr>
        <w:t>amefricanidade</w:t>
      </w:r>
      <w:proofErr w:type="spellEnd"/>
      <w:r w:rsidRPr="002530AE">
        <w:rPr>
          <w:rFonts w:ascii="Times New Roman" w:hAnsi="Times New Roman" w:cs="Times New Roman"/>
          <w:sz w:val="24"/>
        </w:rPr>
        <w:t xml:space="preserve">, da subordinação do Brasil ao “moinho satânico”, do coronelismo ainda existente, da construção da diferença, da região como espaço capitalista – todos oferecem interfaces com o regional e oxigenam as nossas reflexões, tão necessárias para que possamos continuar a fazer ciência no Brasil e contribuir para o campo do regional. </w:t>
      </w:r>
    </w:p>
    <w:p w14:paraId="3CF48D37" w14:textId="77777777" w:rsidR="002530AE" w:rsidRPr="002530AE" w:rsidRDefault="002530AE" w:rsidP="002530AE">
      <w:pPr>
        <w:spacing w:after="0" w:line="240" w:lineRule="auto"/>
        <w:ind w:firstLine="708"/>
        <w:jc w:val="both"/>
        <w:rPr>
          <w:rFonts w:ascii="Times New Roman" w:hAnsi="Times New Roman" w:cs="Times New Roman"/>
          <w:sz w:val="24"/>
        </w:rPr>
      </w:pPr>
    </w:p>
    <w:p w14:paraId="0CDA540B" w14:textId="24711BA5" w:rsidR="002530AE" w:rsidRPr="002530AE" w:rsidRDefault="00591BC8" w:rsidP="00591BC8">
      <w:pPr>
        <w:spacing w:after="0" w:line="240" w:lineRule="auto"/>
        <w:jc w:val="both"/>
        <w:rPr>
          <w:rFonts w:ascii="Times New Roman" w:hAnsi="Times New Roman" w:cs="Times New Roman"/>
          <w:b/>
          <w:sz w:val="24"/>
        </w:rPr>
      </w:pPr>
      <w:r w:rsidRPr="002530AE">
        <w:rPr>
          <w:rFonts w:ascii="Times New Roman" w:hAnsi="Times New Roman" w:cs="Times New Roman"/>
          <w:b/>
          <w:sz w:val="24"/>
        </w:rPr>
        <w:t>REFERÊNCIAS</w:t>
      </w:r>
    </w:p>
    <w:p w14:paraId="2ED6F467" w14:textId="77777777" w:rsidR="002530AE" w:rsidRPr="002530AE" w:rsidRDefault="002530AE" w:rsidP="00591BC8">
      <w:pPr>
        <w:spacing w:after="0" w:line="240" w:lineRule="auto"/>
        <w:rPr>
          <w:rFonts w:ascii="Times New Roman" w:hAnsi="Times New Roman" w:cs="Times New Roman"/>
          <w:sz w:val="24"/>
        </w:rPr>
      </w:pPr>
      <w:bookmarkStart w:id="0" w:name="_heading=h.1fob9te" w:colFirst="0" w:colLast="0"/>
      <w:bookmarkEnd w:id="0"/>
      <w:r w:rsidRPr="002530AE">
        <w:rPr>
          <w:rFonts w:ascii="Times New Roman" w:hAnsi="Times New Roman" w:cs="Times New Roman"/>
          <w:sz w:val="24"/>
        </w:rPr>
        <w:t xml:space="preserve">ARAÚJO, Tânia Bacelar de. Brasil nos anos noventa: opções estratégicas e dinâmica regional. </w:t>
      </w:r>
      <w:r w:rsidRPr="002530AE">
        <w:rPr>
          <w:rFonts w:ascii="Times New Roman" w:hAnsi="Times New Roman" w:cs="Times New Roman"/>
          <w:b/>
          <w:sz w:val="24"/>
        </w:rPr>
        <w:t>Revista Brasileira de Estudos Urbanos e Regionais</w:t>
      </w:r>
      <w:r w:rsidRPr="002530AE">
        <w:rPr>
          <w:rFonts w:ascii="Times New Roman" w:hAnsi="Times New Roman" w:cs="Times New Roman"/>
          <w:sz w:val="24"/>
        </w:rPr>
        <w:t>, n. 2, nov. 1999, p. 9-24.</w:t>
      </w:r>
    </w:p>
    <w:p w14:paraId="076AD50F" w14:textId="77777777" w:rsidR="002530AE" w:rsidRPr="002530AE" w:rsidRDefault="002530AE" w:rsidP="00591BC8">
      <w:pPr>
        <w:spacing w:after="0" w:line="240" w:lineRule="auto"/>
        <w:rPr>
          <w:rFonts w:ascii="Times New Roman" w:hAnsi="Times New Roman" w:cs="Times New Roman"/>
          <w:sz w:val="24"/>
        </w:rPr>
      </w:pPr>
    </w:p>
    <w:p w14:paraId="287C586C"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BOTELHO, André; SCHWARCZ, Lilia Moritz. </w:t>
      </w:r>
      <w:r w:rsidRPr="002530AE">
        <w:rPr>
          <w:rFonts w:ascii="Times New Roman" w:hAnsi="Times New Roman" w:cs="Times New Roman"/>
          <w:b/>
          <w:sz w:val="24"/>
        </w:rPr>
        <w:t>Um enigma chamado Brasil</w:t>
      </w:r>
      <w:r w:rsidRPr="002530AE">
        <w:rPr>
          <w:rFonts w:ascii="Times New Roman" w:hAnsi="Times New Roman" w:cs="Times New Roman"/>
          <w:sz w:val="24"/>
        </w:rPr>
        <w:t xml:space="preserve">. 29 intérpretes e um país. São Paulo: Companhia das Letras, 2009. </w:t>
      </w:r>
    </w:p>
    <w:p w14:paraId="4558F503" w14:textId="77777777" w:rsidR="002530AE" w:rsidRPr="002530AE" w:rsidRDefault="002530AE" w:rsidP="00591BC8">
      <w:pPr>
        <w:spacing w:after="0" w:line="240" w:lineRule="auto"/>
        <w:rPr>
          <w:rFonts w:ascii="Times New Roman" w:hAnsi="Times New Roman" w:cs="Times New Roman"/>
          <w:sz w:val="24"/>
        </w:rPr>
      </w:pPr>
    </w:p>
    <w:p w14:paraId="00BC3C66"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CARLEIAL, Liana. O desenvolvimento regional brasileiro ainda em questão. </w:t>
      </w:r>
      <w:r w:rsidRPr="002530AE">
        <w:rPr>
          <w:rFonts w:ascii="Times New Roman" w:hAnsi="Times New Roman" w:cs="Times New Roman"/>
          <w:b/>
          <w:sz w:val="24"/>
        </w:rPr>
        <w:t>Revista Política e Planejamento Regional</w:t>
      </w:r>
      <w:r w:rsidRPr="002530AE">
        <w:rPr>
          <w:rFonts w:ascii="Times New Roman" w:hAnsi="Times New Roman" w:cs="Times New Roman"/>
          <w:sz w:val="24"/>
        </w:rPr>
        <w:t xml:space="preserve"> (PPR), Rio de Janeiro, v. 1, n. 1, p. 1-21, jan./jun. 2014. </w:t>
      </w:r>
    </w:p>
    <w:p w14:paraId="5065D365" w14:textId="77777777" w:rsidR="002530AE" w:rsidRPr="002530AE" w:rsidRDefault="002530AE" w:rsidP="00591BC8">
      <w:pPr>
        <w:spacing w:after="0" w:line="240" w:lineRule="auto"/>
        <w:rPr>
          <w:rFonts w:ascii="Times New Roman" w:hAnsi="Times New Roman" w:cs="Times New Roman"/>
          <w:sz w:val="24"/>
        </w:rPr>
      </w:pPr>
    </w:p>
    <w:p w14:paraId="6D6BA853"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CASTRO, Edna. Expansão da fronteira, megaprojetos de infraestrutura e integração sul-americana. </w:t>
      </w:r>
      <w:r w:rsidRPr="002530AE">
        <w:rPr>
          <w:rFonts w:ascii="Times New Roman" w:hAnsi="Times New Roman" w:cs="Times New Roman"/>
          <w:b/>
          <w:sz w:val="24"/>
        </w:rPr>
        <w:t>Caderno CRH</w:t>
      </w:r>
      <w:r w:rsidRPr="002530AE">
        <w:rPr>
          <w:rFonts w:ascii="Times New Roman" w:hAnsi="Times New Roman" w:cs="Times New Roman"/>
          <w:sz w:val="24"/>
        </w:rPr>
        <w:t xml:space="preserve">, Salvador, v. 25, n. 64, p. 45-61, jan./abr. 2012. </w:t>
      </w:r>
    </w:p>
    <w:p w14:paraId="56256D44" w14:textId="77777777" w:rsidR="002530AE" w:rsidRPr="002530AE" w:rsidRDefault="002530AE" w:rsidP="00591BC8">
      <w:pPr>
        <w:spacing w:after="0" w:line="240" w:lineRule="auto"/>
        <w:rPr>
          <w:rFonts w:ascii="Times New Roman" w:hAnsi="Times New Roman" w:cs="Times New Roman"/>
          <w:sz w:val="24"/>
        </w:rPr>
      </w:pPr>
    </w:p>
    <w:p w14:paraId="74DD9FF1"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ETGES, Virgínia E.; DEGRANDI, José </w:t>
      </w:r>
      <w:proofErr w:type="spellStart"/>
      <w:r w:rsidRPr="002530AE">
        <w:rPr>
          <w:rFonts w:ascii="Times New Roman" w:hAnsi="Times New Roman" w:cs="Times New Roman"/>
          <w:sz w:val="24"/>
        </w:rPr>
        <w:t>Odim</w:t>
      </w:r>
      <w:proofErr w:type="spellEnd"/>
      <w:r w:rsidRPr="002530AE">
        <w:rPr>
          <w:rFonts w:ascii="Times New Roman" w:hAnsi="Times New Roman" w:cs="Times New Roman"/>
          <w:sz w:val="24"/>
        </w:rPr>
        <w:t xml:space="preserve">. Desenvolvimento regional: a diversidade regional como potencialidade. </w:t>
      </w:r>
      <w:r w:rsidRPr="002530AE">
        <w:rPr>
          <w:rFonts w:ascii="Times New Roman" w:hAnsi="Times New Roman" w:cs="Times New Roman"/>
          <w:b/>
          <w:sz w:val="24"/>
        </w:rPr>
        <w:t>Revista Brasileira de Desenvolvimento Regional</w:t>
      </w:r>
      <w:r w:rsidRPr="002530AE">
        <w:rPr>
          <w:rFonts w:ascii="Times New Roman" w:hAnsi="Times New Roman" w:cs="Times New Roman"/>
          <w:sz w:val="24"/>
        </w:rPr>
        <w:t xml:space="preserve">, Blumenau, n.1, v.1, p. 85-94, outono de 2013. </w:t>
      </w:r>
    </w:p>
    <w:p w14:paraId="754DE35F" w14:textId="77777777" w:rsidR="002530AE" w:rsidRPr="002530AE" w:rsidRDefault="002530AE" w:rsidP="00591BC8">
      <w:pPr>
        <w:spacing w:after="0" w:line="240" w:lineRule="auto"/>
        <w:rPr>
          <w:rFonts w:ascii="Times New Roman" w:hAnsi="Times New Roman" w:cs="Times New Roman"/>
          <w:sz w:val="24"/>
        </w:rPr>
      </w:pPr>
    </w:p>
    <w:p w14:paraId="4818B969"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GONZALEZ, Lélia. A categoria político-cultural de </w:t>
      </w:r>
      <w:proofErr w:type="spellStart"/>
      <w:r w:rsidRPr="002530AE">
        <w:rPr>
          <w:rFonts w:ascii="Times New Roman" w:hAnsi="Times New Roman" w:cs="Times New Roman"/>
          <w:sz w:val="24"/>
        </w:rPr>
        <w:t>amefricanidade</w:t>
      </w:r>
      <w:proofErr w:type="spellEnd"/>
      <w:r w:rsidRPr="002530AE">
        <w:rPr>
          <w:rFonts w:ascii="Times New Roman" w:hAnsi="Times New Roman" w:cs="Times New Roman"/>
          <w:sz w:val="24"/>
        </w:rPr>
        <w:t xml:space="preserve">. </w:t>
      </w:r>
      <w:r w:rsidRPr="002530AE">
        <w:rPr>
          <w:rFonts w:ascii="Times New Roman" w:hAnsi="Times New Roman" w:cs="Times New Roman"/>
          <w:b/>
          <w:sz w:val="24"/>
        </w:rPr>
        <w:t>Tempo Brasileiro</w:t>
      </w:r>
      <w:r w:rsidRPr="002530AE">
        <w:rPr>
          <w:rFonts w:ascii="Times New Roman" w:hAnsi="Times New Roman" w:cs="Times New Roman"/>
          <w:sz w:val="24"/>
        </w:rPr>
        <w:t>, Rio de janeiro, n. 92/93, jan./jun. 1988, p. 69-82.</w:t>
      </w:r>
    </w:p>
    <w:p w14:paraId="778DBB65" w14:textId="77777777" w:rsidR="002530AE" w:rsidRPr="002530AE" w:rsidRDefault="002530AE" w:rsidP="00591BC8">
      <w:pPr>
        <w:spacing w:after="0" w:line="240" w:lineRule="auto"/>
        <w:rPr>
          <w:rFonts w:ascii="Times New Roman" w:hAnsi="Times New Roman" w:cs="Times New Roman"/>
          <w:sz w:val="24"/>
        </w:rPr>
      </w:pPr>
    </w:p>
    <w:p w14:paraId="135B121F"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MAIA, João Marcelo </w:t>
      </w:r>
      <w:proofErr w:type="spellStart"/>
      <w:r w:rsidRPr="002530AE">
        <w:rPr>
          <w:rFonts w:ascii="Times New Roman" w:hAnsi="Times New Roman" w:cs="Times New Roman"/>
          <w:sz w:val="24"/>
        </w:rPr>
        <w:t>Ehlert</w:t>
      </w:r>
      <w:proofErr w:type="spellEnd"/>
      <w:r w:rsidRPr="002530AE">
        <w:rPr>
          <w:rFonts w:ascii="Times New Roman" w:hAnsi="Times New Roman" w:cs="Times New Roman"/>
          <w:sz w:val="24"/>
        </w:rPr>
        <w:t xml:space="preserve">. </w:t>
      </w:r>
      <w:r w:rsidRPr="002530AE">
        <w:rPr>
          <w:rFonts w:ascii="Times New Roman" w:hAnsi="Times New Roman" w:cs="Times New Roman"/>
          <w:b/>
          <w:sz w:val="24"/>
        </w:rPr>
        <w:t>A terra como invenção</w:t>
      </w:r>
      <w:r w:rsidRPr="002530AE">
        <w:rPr>
          <w:rFonts w:ascii="Times New Roman" w:hAnsi="Times New Roman" w:cs="Times New Roman"/>
          <w:sz w:val="24"/>
        </w:rPr>
        <w:t xml:space="preserve">. O espaço no pensamento social brasileiro. Rio de Janeiro: Jorge Zahar Ed., 2008. </w:t>
      </w:r>
    </w:p>
    <w:p w14:paraId="27D2EFA0" w14:textId="77777777" w:rsidR="002530AE" w:rsidRPr="002530AE" w:rsidRDefault="002530AE" w:rsidP="00591BC8">
      <w:pPr>
        <w:spacing w:after="0" w:line="240" w:lineRule="auto"/>
        <w:rPr>
          <w:rFonts w:ascii="Times New Roman" w:hAnsi="Times New Roman" w:cs="Times New Roman"/>
          <w:sz w:val="24"/>
        </w:rPr>
      </w:pPr>
    </w:p>
    <w:p w14:paraId="623FA816"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MARTINS, José Ricardo. Os intérpretes do Brasil: pensamento sociopolítico lastreado no fluxo de ideias, narrativas e realidades na busca de uma identidade nacional brasileira. </w:t>
      </w:r>
      <w:r w:rsidRPr="002530AE">
        <w:rPr>
          <w:rFonts w:ascii="Times New Roman" w:hAnsi="Times New Roman" w:cs="Times New Roman"/>
          <w:b/>
          <w:sz w:val="24"/>
        </w:rPr>
        <w:t>Revista Tempo do Mundo</w:t>
      </w:r>
      <w:r w:rsidRPr="002530AE">
        <w:rPr>
          <w:rFonts w:ascii="Times New Roman" w:hAnsi="Times New Roman" w:cs="Times New Roman"/>
          <w:sz w:val="24"/>
        </w:rPr>
        <w:t>, v.3, n. 1, jan. 2017, p. 307-336.</w:t>
      </w:r>
    </w:p>
    <w:p w14:paraId="3F204176" w14:textId="77777777" w:rsidR="002530AE" w:rsidRPr="002530AE" w:rsidRDefault="002530AE" w:rsidP="00591BC8">
      <w:pPr>
        <w:spacing w:after="0" w:line="240" w:lineRule="auto"/>
        <w:rPr>
          <w:rFonts w:ascii="Times New Roman" w:hAnsi="Times New Roman" w:cs="Times New Roman"/>
          <w:sz w:val="24"/>
        </w:rPr>
      </w:pPr>
    </w:p>
    <w:p w14:paraId="537C342B"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lastRenderedPageBreak/>
        <w:t>MORAES, Reginaldo; ANTUNES, Ricardo; FERRANTE, Vera B. (</w:t>
      </w:r>
      <w:proofErr w:type="spellStart"/>
      <w:r w:rsidRPr="002530AE">
        <w:rPr>
          <w:rFonts w:ascii="Times New Roman" w:hAnsi="Times New Roman" w:cs="Times New Roman"/>
          <w:sz w:val="24"/>
        </w:rPr>
        <w:t>Orgs</w:t>
      </w:r>
      <w:proofErr w:type="spellEnd"/>
      <w:r w:rsidRPr="002530AE">
        <w:rPr>
          <w:rFonts w:ascii="Times New Roman" w:hAnsi="Times New Roman" w:cs="Times New Roman"/>
          <w:sz w:val="24"/>
        </w:rPr>
        <w:t xml:space="preserve">.). </w:t>
      </w:r>
      <w:r w:rsidRPr="002530AE">
        <w:rPr>
          <w:rFonts w:ascii="Times New Roman" w:hAnsi="Times New Roman" w:cs="Times New Roman"/>
          <w:b/>
          <w:sz w:val="24"/>
        </w:rPr>
        <w:t>Inteligência brasileira</w:t>
      </w:r>
      <w:r w:rsidRPr="002530AE">
        <w:rPr>
          <w:rFonts w:ascii="Times New Roman" w:hAnsi="Times New Roman" w:cs="Times New Roman"/>
          <w:sz w:val="24"/>
        </w:rPr>
        <w:t xml:space="preserve">. São Paulo: Brasiliense, 1986. </w:t>
      </w:r>
    </w:p>
    <w:p w14:paraId="5EEA2977" w14:textId="77777777" w:rsidR="002530AE" w:rsidRPr="002530AE" w:rsidRDefault="002530AE" w:rsidP="00591BC8">
      <w:pPr>
        <w:spacing w:after="0" w:line="240" w:lineRule="auto"/>
        <w:rPr>
          <w:rFonts w:ascii="Times New Roman" w:hAnsi="Times New Roman" w:cs="Times New Roman"/>
          <w:sz w:val="24"/>
        </w:rPr>
      </w:pPr>
    </w:p>
    <w:p w14:paraId="58459DE2"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PERICÁS, Luiz Bernardo; SECCO, Lincoln Ferreira (</w:t>
      </w:r>
      <w:proofErr w:type="spellStart"/>
      <w:r w:rsidRPr="002530AE">
        <w:rPr>
          <w:rFonts w:ascii="Times New Roman" w:hAnsi="Times New Roman" w:cs="Times New Roman"/>
          <w:sz w:val="24"/>
        </w:rPr>
        <w:t>Orgs</w:t>
      </w:r>
      <w:proofErr w:type="spellEnd"/>
      <w:r w:rsidRPr="002530AE">
        <w:rPr>
          <w:rFonts w:ascii="Times New Roman" w:hAnsi="Times New Roman" w:cs="Times New Roman"/>
          <w:sz w:val="24"/>
        </w:rPr>
        <w:t xml:space="preserve">.). </w:t>
      </w:r>
      <w:r w:rsidRPr="002530AE">
        <w:rPr>
          <w:rFonts w:ascii="Times New Roman" w:hAnsi="Times New Roman" w:cs="Times New Roman"/>
          <w:b/>
          <w:sz w:val="24"/>
        </w:rPr>
        <w:t>Intérpretes do Brasil</w:t>
      </w:r>
      <w:r w:rsidRPr="002530AE">
        <w:rPr>
          <w:rFonts w:ascii="Times New Roman" w:hAnsi="Times New Roman" w:cs="Times New Roman"/>
          <w:sz w:val="24"/>
        </w:rPr>
        <w:t xml:space="preserve">: clássicos, rebeldes e renegados. São Paulo: </w:t>
      </w:r>
      <w:proofErr w:type="spellStart"/>
      <w:r w:rsidRPr="002530AE">
        <w:rPr>
          <w:rFonts w:ascii="Times New Roman" w:hAnsi="Times New Roman" w:cs="Times New Roman"/>
          <w:sz w:val="24"/>
        </w:rPr>
        <w:t>Boitempo</w:t>
      </w:r>
      <w:proofErr w:type="spellEnd"/>
      <w:r w:rsidRPr="002530AE">
        <w:rPr>
          <w:rFonts w:ascii="Times New Roman" w:hAnsi="Times New Roman" w:cs="Times New Roman"/>
          <w:sz w:val="24"/>
        </w:rPr>
        <w:t xml:space="preserve">, 2014. </w:t>
      </w:r>
    </w:p>
    <w:p w14:paraId="01C6D746" w14:textId="77777777" w:rsidR="002530AE" w:rsidRPr="002530AE" w:rsidRDefault="002530AE" w:rsidP="00591BC8">
      <w:pPr>
        <w:spacing w:after="0" w:line="240" w:lineRule="auto"/>
        <w:rPr>
          <w:rFonts w:ascii="Times New Roman" w:hAnsi="Times New Roman" w:cs="Times New Roman"/>
          <w:sz w:val="24"/>
        </w:rPr>
      </w:pPr>
    </w:p>
    <w:p w14:paraId="443D48AF"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PISCITELLI, Adriana. </w:t>
      </w:r>
      <w:proofErr w:type="spellStart"/>
      <w:r w:rsidRPr="002530AE">
        <w:rPr>
          <w:rFonts w:ascii="Times New Roman" w:hAnsi="Times New Roman" w:cs="Times New Roman"/>
          <w:b/>
          <w:sz w:val="24"/>
        </w:rPr>
        <w:t>Re-criando</w:t>
      </w:r>
      <w:proofErr w:type="spellEnd"/>
      <w:r w:rsidRPr="002530AE">
        <w:rPr>
          <w:rFonts w:ascii="Times New Roman" w:hAnsi="Times New Roman" w:cs="Times New Roman"/>
          <w:b/>
          <w:sz w:val="24"/>
        </w:rPr>
        <w:t xml:space="preserve"> a (categoria) mulher?</w:t>
      </w:r>
      <w:r w:rsidRPr="002530AE">
        <w:rPr>
          <w:rFonts w:ascii="Times New Roman" w:hAnsi="Times New Roman" w:cs="Times New Roman"/>
          <w:sz w:val="24"/>
        </w:rPr>
        <w:t xml:space="preserve"> Disponível em: </w:t>
      </w:r>
      <w:hyperlink r:id="rId10">
        <w:r w:rsidRPr="002530AE">
          <w:rPr>
            <w:rStyle w:val="Hyperlink"/>
            <w:rFonts w:ascii="Times New Roman" w:hAnsi="Times New Roman" w:cs="Times New Roman"/>
            <w:color w:val="auto"/>
            <w:sz w:val="24"/>
            <w:u w:val="none"/>
          </w:rPr>
          <w:t>https://www.culturaegenero.com.br/download/praticafeminina.pdf</w:t>
        </w:r>
      </w:hyperlink>
      <w:r w:rsidRPr="002530AE">
        <w:rPr>
          <w:rFonts w:ascii="Times New Roman" w:hAnsi="Times New Roman" w:cs="Times New Roman"/>
          <w:sz w:val="24"/>
        </w:rPr>
        <w:t xml:space="preserve">. Acesso em: 28 dez. 2021. </w:t>
      </w:r>
    </w:p>
    <w:p w14:paraId="7E1A3A83" w14:textId="77777777" w:rsidR="002530AE" w:rsidRPr="002530AE" w:rsidRDefault="002530AE" w:rsidP="00591BC8">
      <w:pPr>
        <w:spacing w:after="0" w:line="240" w:lineRule="auto"/>
        <w:rPr>
          <w:rFonts w:ascii="Times New Roman" w:hAnsi="Times New Roman" w:cs="Times New Roman"/>
          <w:sz w:val="24"/>
        </w:rPr>
      </w:pPr>
    </w:p>
    <w:p w14:paraId="4F43BBBC"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QUEIROZ, Maria Isaura Pereira de. O coronelismo numa interpretação sociológica. In: Maria Isaura Pereira de Queiroz. </w:t>
      </w:r>
      <w:r w:rsidRPr="002530AE">
        <w:rPr>
          <w:rFonts w:ascii="Times New Roman" w:hAnsi="Times New Roman" w:cs="Times New Roman"/>
          <w:b/>
          <w:sz w:val="24"/>
        </w:rPr>
        <w:t>O mandonismo local na vida política brasileira e outros ensaios</w:t>
      </w:r>
      <w:r w:rsidRPr="002530AE">
        <w:rPr>
          <w:rFonts w:ascii="Times New Roman" w:hAnsi="Times New Roman" w:cs="Times New Roman"/>
          <w:sz w:val="24"/>
        </w:rPr>
        <w:t>. São Paulo: Editora Alfa-</w:t>
      </w:r>
      <w:proofErr w:type="spellStart"/>
      <w:r w:rsidRPr="002530AE">
        <w:rPr>
          <w:rFonts w:ascii="Times New Roman" w:hAnsi="Times New Roman" w:cs="Times New Roman"/>
          <w:sz w:val="24"/>
        </w:rPr>
        <w:t>Omega</w:t>
      </w:r>
      <w:proofErr w:type="spellEnd"/>
      <w:r w:rsidRPr="002530AE">
        <w:rPr>
          <w:rFonts w:ascii="Times New Roman" w:hAnsi="Times New Roman" w:cs="Times New Roman"/>
          <w:sz w:val="24"/>
        </w:rPr>
        <w:t>, 1976.</w:t>
      </w:r>
    </w:p>
    <w:p w14:paraId="7485F6C8" w14:textId="77777777" w:rsidR="002530AE" w:rsidRPr="002530AE" w:rsidRDefault="002530AE" w:rsidP="00591BC8">
      <w:pPr>
        <w:spacing w:after="0" w:line="240" w:lineRule="auto"/>
        <w:rPr>
          <w:rFonts w:ascii="Times New Roman" w:hAnsi="Times New Roman" w:cs="Times New Roman"/>
          <w:sz w:val="24"/>
        </w:rPr>
      </w:pPr>
    </w:p>
    <w:p w14:paraId="52594E8A"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RENK, </w:t>
      </w:r>
      <w:proofErr w:type="spellStart"/>
      <w:r w:rsidRPr="002530AE">
        <w:rPr>
          <w:rFonts w:ascii="Times New Roman" w:hAnsi="Times New Roman" w:cs="Times New Roman"/>
          <w:sz w:val="24"/>
        </w:rPr>
        <w:t>Arlene</w:t>
      </w:r>
      <w:proofErr w:type="spellEnd"/>
      <w:r w:rsidRPr="002530AE">
        <w:rPr>
          <w:rFonts w:ascii="Times New Roman" w:hAnsi="Times New Roman" w:cs="Times New Roman"/>
          <w:sz w:val="24"/>
        </w:rPr>
        <w:t xml:space="preserve">. </w:t>
      </w:r>
      <w:r w:rsidRPr="002530AE">
        <w:rPr>
          <w:rFonts w:ascii="Times New Roman" w:hAnsi="Times New Roman" w:cs="Times New Roman"/>
          <w:b/>
          <w:sz w:val="24"/>
        </w:rPr>
        <w:t>Narrativas da diferença</w:t>
      </w:r>
      <w:r w:rsidRPr="002530AE">
        <w:rPr>
          <w:rFonts w:ascii="Times New Roman" w:hAnsi="Times New Roman" w:cs="Times New Roman"/>
          <w:sz w:val="24"/>
        </w:rPr>
        <w:t>. Chapecó: Argos, 2004.</w:t>
      </w:r>
    </w:p>
    <w:p w14:paraId="4726F5F3" w14:textId="77777777" w:rsidR="002530AE" w:rsidRPr="002530AE" w:rsidRDefault="002530AE" w:rsidP="00591BC8">
      <w:pPr>
        <w:spacing w:after="0" w:line="240" w:lineRule="auto"/>
        <w:rPr>
          <w:rFonts w:ascii="Times New Roman" w:hAnsi="Times New Roman" w:cs="Times New Roman"/>
          <w:sz w:val="24"/>
        </w:rPr>
      </w:pPr>
    </w:p>
    <w:p w14:paraId="3CB641BF"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RICOEUR, Paul. </w:t>
      </w:r>
      <w:r w:rsidRPr="002530AE">
        <w:rPr>
          <w:rFonts w:ascii="Times New Roman" w:hAnsi="Times New Roman" w:cs="Times New Roman"/>
          <w:b/>
          <w:sz w:val="24"/>
        </w:rPr>
        <w:t>Teoria da interpretação</w:t>
      </w:r>
      <w:r w:rsidRPr="002530AE">
        <w:rPr>
          <w:rFonts w:ascii="Times New Roman" w:hAnsi="Times New Roman" w:cs="Times New Roman"/>
          <w:sz w:val="24"/>
        </w:rPr>
        <w:t>. O discurso e o excesso de significação. Rio de Janeiro: Edições 70, 1987.</w:t>
      </w:r>
    </w:p>
    <w:p w14:paraId="37050764" w14:textId="77777777" w:rsidR="002530AE" w:rsidRPr="002530AE" w:rsidRDefault="002530AE" w:rsidP="00591BC8">
      <w:pPr>
        <w:spacing w:after="0" w:line="240" w:lineRule="auto"/>
        <w:rPr>
          <w:rFonts w:ascii="Times New Roman" w:hAnsi="Times New Roman" w:cs="Times New Roman"/>
          <w:sz w:val="24"/>
        </w:rPr>
      </w:pPr>
    </w:p>
    <w:p w14:paraId="56F95A59" w14:textId="77777777" w:rsidR="002530AE" w:rsidRPr="002530AE" w:rsidRDefault="002530AE" w:rsidP="00591BC8">
      <w:pPr>
        <w:spacing w:after="0" w:line="240" w:lineRule="auto"/>
        <w:rPr>
          <w:rFonts w:ascii="Times New Roman" w:hAnsi="Times New Roman" w:cs="Times New Roman"/>
          <w:sz w:val="24"/>
        </w:rPr>
      </w:pPr>
      <w:bookmarkStart w:id="1" w:name="_heading=h.3znysh7" w:colFirst="0" w:colLast="0"/>
      <w:bookmarkEnd w:id="1"/>
      <w:r w:rsidRPr="002530AE">
        <w:rPr>
          <w:rFonts w:ascii="Times New Roman" w:hAnsi="Times New Roman" w:cs="Times New Roman"/>
          <w:sz w:val="24"/>
          <w:lang w:val="es-ES"/>
        </w:rPr>
        <w:t xml:space="preserve">SEGATO, Rita Laura. Identidades políticas/Alteridades históricas: una crítica a las certezas del pluralismo global. In: SEGATO, Rita Laura. </w:t>
      </w:r>
      <w:r w:rsidRPr="002530AE">
        <w:rPr>
          <w:rFonts w:ascii="Times New Roman" w:hAnsi="Times New Roman" w:cs="Times New Roman"/>
          <w:b/>
          <w:sz w:val="24"/>
          <w:lang w:val="es-ES_tradnl"/>
        </w:rPr>
        <w:t>La nación y sus otros</w:t>
      </w:r>
      <w:r w:rsidRPr="002530AE">
        <w:rPr>
          <w:rFonts w:ascii="Times New Roman" w:hAnsi="Times New Roman" w:cs="Times New Roman"/>
          <w:sz w:val="24"/>
          <w:lang w:val="es-ES_tradnl"/>
        </w:rPr>
        <w:t xml:space="preserve">. Raza, etnicidad y diversidad religiosa en tiempos de políticas de la identidad. </w:t>
      </w:r>
      <w:r w:rsidRPr="002530AE">
        <w:rPr>
          <w:rFonts w:ascii="Times New Roman" w:hAnsi="Times New Roman" w:cs="Times New Roman"/>
          <w:sz w:val="24"/>
        </w:rPr>
        <w:t xml:space="preserve">Buenos Aires: </w:t>
      </w:r>
      <w:proofErr w:type="spellStart"/>
      <w:r w:rsidRPr="002530AE">
        <w:rPr>
          <w:rFonts w:ascii="Times New Roman" w:hAnsi="Times New Roman" w:cs="Times New Roman"/>
          <w:sz w:val="24"/>
        </w:rPr>
        <w:t>Prometeo</w:t>
      </w:r>
      <w:proofErr w:type="spellEnd"/>
      <w:r w:rsidRPr="002530AE">
        <w:rPr>
          <w:rFonts w:ascii="Times New Roman" w:hAnsi="Times New Roman" w:cs="Times New Roman"/>
          <w:sz w:val="24"/>
        </w:rPr>
        <w:t xml:space="preserve">, 2007, p. 37-69. </w:t>
      </w:r>
    </w:p>
    <w:p w14:paraId="370BEC10" w14:textId="77777777" w:rsidR="002530AE" w:rsidRPr="002530AE" w:rsidRDefault="002530AE" w:rsidP="00591BC8">
      <w:pPr>
        <w:spacing w:after="0" w:line="240" w:lineRule="auto"/>
        <w:rPr>
          <w:rFonts w:ascii="Times New Roman" w:hAnsi="Times New Roman" w:cs="Times New Roman"/>
          <w:sz w:val="24"/>
        </w:rPr>
      </w:pPr>
    </w:p>
    <w:p w14:paraId="5F6BF295" w14:textId="77777777" w:rsidR="002530AE" w:rsidRPr="002530AE" w:rsidRDefault="002530AE" w:rsidP="00591BC8">
      <w:pPr>
        <w:spacing w:after="0" w:line="240" w:lineRule="auto"/>
        <w:rPr>
          <w:rFonts w:ascii="Times New Roman" w:hAnsi="Times New Roman" w:cs="Times New Roman"/>
          <w:sz w:val="24"/>
        </w:rPr>
      </w:pPr>
      <w:proofErr w:type="gramStart"/>
      <w:r w:rsidRPr="002530AE">
        <w:rPr>
          <w:rFonts w:ascii="Times New Roman" w:hAnsi="Times New Roman" w:cs="Times New Roman"/>
          <w:sz w:val="24"/>
        </w:rPr>
        <w:t>SENTO</w:t>
      </w:r>
      <w:proofErr w:type="gramEnd"/>
      <w:r w:rsidRPr="002530AE">
        <w:rPr>
          <w:rFonts w:ascii="Times New Roman" w:hAnsi="Times New Roman" w:cs="Times New Roman"/>
          <w:sz w:val="24"/>
        </w:rPr>
        <w:t xml:space="preserve">-SÉ, João Trajano; PAIVA, </w:t>
      </w:r>
      <w:proofErr w:type="spellStart"/>
      <w:r w:rsidRPr="002530AE">
        <w:rPr>
          <w:rFonts w:ascii="Times New Roman" w:hAnsi="Times New Roman" w:cs="Times New Roman"/>
          <w:sz w:val="24"/>
        </w:rPr>
        <w:t>Vanilda</w:t>
      </w:r>
      <w:proofErr w:type="spellEnd"/>
      <w:r w:rsidRPr="002530AE">
        <w:rPr>
          <w:rFonts w:ascii="Times New Roman" w:hAnsi="Times New Roman" w:cs="Times New Roman"/>
          <w:sz w:val="24"/>
        </w:rPr>
        <w:t xml:space="preserve"> (</w:t>
      </w:r>
      <w:proofErr w:type="spellStart"/>
      <w:r w:rsidRPr="002530AE">
        <w:rPr>
          <w:rFonts w:ascii="Times New Roman" w:hAnsi="Times New Roman" w:cs="Times New Roman"/>
          <w:sz w:val="24"/>
        </w:rPr>
        <w:t>Orgs</w:t>
      </w:r>
      <w:proofErr w:type="spellEnd"/>
      <w:r w:rsidRPr="002530AE">
        <w:rPr>
          <w:rFonts w:ascii="Times New Roman" w:hAnsi="Times New Roman" w:cs="Times New Roman"/>
          <w:sz w:val="24"/>
        </w:rPr>
        <w:t xml:space="preserve">.). </w:t>
      </w:r>
      <w:r w:rsidRPr="002530AE">
        <w:rPr>
          <w:rFonts w:ascii="Times New Roman" w:hAnsi="Times New Roman" w:cs="Times New Roman"/>
          <w:b/>
          <w:sz w:val="24"/>
        </w:rPr>
        <w:t>Pensamento social brasileiro</w:t>
      </w:r>
      <w:r w:rsidRPr="002530AE">
        <w:rPr>
          <w:rFonts w:ascii="Times New Roman" w:hAnsi="Times New Roman" w:cs="Times New Roman"/>
          <w:sz w:val="24"/>
        </w:rPr>
        <w:t xml:space="preserve">. São Paulo: Cortez, 2005. </w:t>
      </w:r>
    </w:p>
    <w:p w14:paraId="4B4636FD" w14:textId="77777777" w:rsidR="002530AE" w:rsidRPr="002530AE" w:rsidRDefault="002530AE" w:rsidP="00591BC8">
      <w:pPr>
        <w:spacing w:after="0" w:line="240" w:lineRule="auto"/>
        <w:rPr>
          <w:rFonts w:ascii="Times New Roman" w:hAnsi="Times New Roman" w:cs="Times New Roman"/>
          <w:sz w:val="24"/>
        </w:rPr>
      </w:pPr>
    </w:p>
    <w:p w14:paraId="5FB86139"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SEYFERTH, Giralda. Identidade nacional, diferenças regionais, integração étnica e a questão imigratória no Brasil. In: </w:t>
      </w:r>
      <w:proofErr w:type="spellStart"/>
      <w:r w:rsidRPr="002530AE">
        <w:rPr>
          <w:rFonts w:ascii="Times New Roman" w:hAnsi="Times New Roman" w:cs="Times New Roman"/>
          <w:sz w:val="24"/>
        </w:rPr>
        <w:t>Zarur</w:t>
      </w:r>
      <w:proofErr w:type="spellEnd"/>
      <w:r w:rsidRPr="002530AE">
        <w:rPr>
          <w:rFonts w:ascii="Times New Roman" w:hAnsi="Times New Roman" w:cs="Times New Roman"/>
          <w:sz w:val="24"/>
        </w:rPr>
        <w:t xml:space="preserve">, George de Cerqueira Leite. </w:t>
      </w:r>
      <w:r w:rsidRPr="002530AE">
        <w:rPr>
          <w:rFonts w:ascii="Times New Roman" w:hAnsi="Times New Roman" w:cs="Times New Roman"/>
          <w:b/>
          <w:sz w:val="24"/>
        </w:rPr>
        <w:t>Região e nação na América Latina</w:t>
      </w:r>
      <w:r w:rsidRPr="002530AE">
        <w:rPr>
          <w:rFonts w:ascii="Times New Roman" w:hAnsi="Times New Roman" w:cs="Times New Roman"/>
          <w:sz w:val="24"/>
        </w:rPr>
        <w:t>. Brasília: Editora UNB; São Paulo: Imprensa Oficial do Estado, 2000, p. 81-109.</w:t>
      </w:r>
    </w:p>
    <w:p w14:paraId="3F76B554" w14:textId="77777777" w:rsidR="002530AE" w:rsidRPr="002530AE" w:rsidRDefault="002530AE" w:rsidP="00591BC8">
      <w:pPr>
        <w:spacing w:after="0" w:line="240" w:lineRule="auto"/>
        <w:rPr>
          <w:rFonts w:ascii="Times New Roman" w:hAnsi="Times New Roman" w:cs="Times New Roman"/>
          <w:sz w:val="24"/>
        </w:rPr>
      </w:pPr>
    </w:p>
    <w:p w14:paraId="48172764"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SOUZA, Ricardo Luiz de. </w:t>
      </w:r>
      <w:r w:rsidRPr="002530AE">
        <w:rPr>
          <w:rFonts w:ascii="Times New Roman" w:hAnsi="Times New Roman" w:cs="Times New Roman"/>
          <w:b/>
          <w:sz w:val="24"/>
        </w:rPr>
        <w:t>Pensamento social brasileiro</w:t>
      </w:r>
      <w:r w:rsidRPr="002530AE">
        <w:rPr>
          <w:rFonts w:ascii="Times New Roman" w:hAnsi="Times New Roman" w:cs="Times New Roman"/>
          <w:sz w:val="24"/>
        </w:rPr>
        <w:t xml:space="preserve">: de Euclides da Cunha a Oswald de Andrade. São Paulo: Alameda, 2018. </w:t>
      </w:r>
    </w:p>
    <w:p w14:paraId="3B4EF2EE" w14:textId="77777777" w:rsidR="002530AE" w:rsidRPr="002530AE" w:rsidRDefault="002530AE" w:rsidP="00591BC8">
      <w:pPr>
        <w:spacing w:after="0" w:line="240" w:lineRule="auto"/>
        <w:rPr>
          <w:rFonts w:ascii="Times New Roman" w:hAnsi="Times New Roman" w:cs="Times New Roman"/>
          <w:sz w:val="24"/>
        </w:rPr>
      </w:pPr>
    </w:p>
    <w:p w14:paraId="5ECA78DD"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rPr>
        <w:t xml:space="preserve">TAVARES, Maria da Conceição. Império, território e dinheiro. In: MELO, Hildete Pereira de (Org.). </w:t>
      </w:r>
      <w:r w:rsidRPr="002530AE">
        <w:rPr>
          <w:rFonts w:ascii="Times New Roman" w:hAnsi="Times New Roman" w:cs="Times New Roman"/>
          <w:b/>
          <w:sz w:val="24"/>
        </w:rPr>
        <w:t>Maria da Conceição Tavares</w:t>
      </w:r>
      <w:r w:rsidRPr="002530AE">
        <w:rPr>
          <w:rFonts w:ascii="Times New Roman" w:hAnsi="Times New Roman" w:cs="Times New Roman"/>
          <w:sz w:val="24"/>
        </w:rPr>
        <w:t>: vida, ideias, teorias e política. São Paulo: Fundação Perseu Abramo, 2019, p. 261-304.</w:t>
      </w:r>
    </w:p>
    <w:p w14:paraId="188B9F6A" w14:textId="77777777" w:rsidR="002530AE" w:rsidRPr="002530AE" w:rsidRDefault="002530AE" w:rsidP="00591BC8">
      <w:pPr>
        <w:spacing w:after="0" w:line="240" w:lineRule="auto"/>
        <w:rPr>
          <w:rFonts w:ascii="Times New Roman" w:hAnsi="Times New Roman" w:cs="Times New Roman"/>
          <w:sz w:val="24"/>
        </w:rPr>
      </w:pPr>
    </w:p>
    <w:p w14:paraId="3F6F52EA" w14:textId="77777777" w:rsidR="002530AE" w:rsidRPr="002530AE" w:rsidRDefault="002530AE" w:rsidP="00591BC8">
      <w:pPr>
        <w:spacing w:after="0" w:line="240" w:lineRule="auto"/>
        <w:rPr>
          <w:rFonts w:ascii="Times New Roman" w:hAnsi="Times New Roman" w:cs="Times New Roman"/>
          <w:sz w:val="24"/>
        </w:rPr>
      </w:pPr>
      <w:r w:rsidRPr="002530AE">
        <w:rPr>
          <w:rFonts w:ascii="Times New Roman" w:hAnsi="Times New Roman" w:cs="Times New Roman"/>
          <w:sz w:val="24"/>
          <w:lang w:val="en-US"/>
        </w:rPr>
        <w:t xml:space="preserve">ETGES, V. E. The Regional Dimension: Theoretical Considerations and Practical Experience in Southern Brazil. In: GRABHER, Gudrun M.; MATHIS-MOSER, Ursula (org). (Org.). </w:t>
      </w:r>
      <w:r w:rsidRPr="002530AE">
        <w:rPr>
          <w:rFonts w:ascii="Times New Roman" w:hAnsi="Times New Roman" w:cs="Times New Roman"/>
          <w:b/>
          <w:sz w:val="24"/>
          <w:lang w:val="en-US"/>
        </w:rPr>
        <w:t>Regionalism(s) - A Variety of Perspectives from Europe and the Americas.</w:t>
      </w:r>
      <w:r w:rsidRPr="002530AE">
        <w:rPr>
          <w:rFonts w:ascii="Times New Roman" w:hAnsi="Times New Roman" w:cs="Times New Roman"/>
          <w:sz w:val="24"/>
          <w:lang w:val="en-US"/>
        </w:rPr>
        <w:t xml:space="preserve"> </w:t>
      </w:r>
      <w:r w:rsidRPr="002530AE">
        <w:rPr>
          <w:rFonts w:ascii="Times New Roman" w:hAnsi="Times New Roman" w:cs="Times New Roman"/>
          <w:sz w:val="24"/>
        </w:rPr>
        <w:t xml:space="preserve">119ed.Viena: </w:t>
      </w:r>
      <w:proofErr w:type="spellStart"/>
      <w:r w:rsidRPr="002530AE">
        <w:rPr>
          <w:rFonts w:ascii="Times New Roman" w:hAnsi="Times New Roman" w:cs="Times New Roman"/>
          <w:sz w:val="24"/>
        </w:rPr>
        <w:t>Newacademicpress</w:t>
      </w:r>
      <w:proofErr w:type="spellEnd"/>
      <w:r w:rsidRPr="002530AE">
        <w:rPr>
          <w:rFonts w:ascii="Times New Roman" w:hAnsi="Times New Roman" w:cs="Times New Roman"/>
          <w:sz w:val="24"/>
        </w:rPr>
        <w:t>, 2014, v. 119, p. 147-162.</w:t>
      </w:r>
    </w:p>
    <w:p w14:paraId="0DBBF865" w14:textId="77777777" w:rsidR="004B08FE" w:rsidRDefault="004B08FE" w:rsidP="00591BC8">
      <w:pPr>
        <w:spacing w:after="0" w:line="360" w:lineRule="auto"/>
        <w:rPr>
          <w:rFonts w:ascii="Times New Roman" w:hAnsi="Times New Roman" w:cs="Times New Roman"/>
          <w:sz w:val="24"/>
          <w:szCs w:val="24"/>
        </w:rPr>
      </w:pPr>
    </w:p>
    <w:sectPr w:rsidR="004B08FE">
      <w:headerReference w:type="default" r:id="rId11"/>
      <w:footerReference w:type="default" r:id="rId12"/>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33F83" w14:textId="77777777" w:rsidR="00833E21" w:rsidRDefault="00833E21">
      <w:pPr>
        <w:spacing w:line="240" w:lineRule="auto"/>
      </w:pPr>
      <w:r>
        <w:separator/>
      </w:r>
    </w:p>
  </w:endnote>
  <w:endnote w:type="continuationSeparator" w:id="0">
    <w:p w14:paraId="70AE06E2" w14:textId="77777777" w:rsidR="00833E21" w:rsidRDefault="00833E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358F4" w14:textId="77777777" w:rsidR="004B08FE"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62849A2C" wp14:editId="141B70F0">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7A5864A6" w14:textId="77777777" w:rsidR="004B08FE" w:rsidRDefault="004B08FE">
    <w:pPr>
      <w:pStyle w:val="Rodap"/>
      <w:jc w:val="both"/>
      <w:rPr>
        <w:rFonts w:ascii="Times New Roman" w:hAnsi="Times New Roman" w:cs="Times New Roman"/>
        <w:sz w:val="20"/>
        <w:szCs w:val="20"/>
      </w:rPr>
    </w:pPr>
  </w:p>
  <w:p w14:paraId="2C1A369B" w14:textId="77777777" w:rsidR="004B08FE"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04ADAD5B" w14:textId="77777777" w:rsidR="004B08FE" w:rsidRDefault="004B08FE">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AD885" w14:textId="77777777" w:rsidR="00833E21" w:rsidRDefault="00833E21">
      <w:pPr>
        <w:spacing w:after="0"/>
      </w:pPr>
      <w:r>
        <w:separator/>
      </w:r>
    </w:p>
  </w:footnote>
  <w:footnote w:type="continuationSeparator" w:id="0">
    <w:p w14:paraId="07B28B70" w14:textId="77777777" w:rsidR="00833E21" w:rsidRDefault="00833E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AB255" w14:textId="77777777" w:rsidR="004B08FE"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6AFD595D" wp14:editId="145A321C">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6341103F" wp14:editId="521923F1">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2984B356" wp14:editId="62E0BB76">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09981663" w14:textId="77777777" w:rsidR="004B08FE" w:rsidRDefault="004B08FE">
    <w:pPr>
      <w:pStyle w:val="Cabealho"/>
      <w:jc w:val="center"/>
    </w:pPr>
  </w:p>
  <w:p w14:paraId="2A9F8D97" w14:textId="77777777" w:rsidR="004B08FE" w:rsidRDefault="004B08FE">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F2C33"/>
    <w:rsid w:val="0017619A"/>
    <w:rsid w:val="00206A92"/>
    <w:rsid w:val="00241841"/>
    <w:rsid w:val="002530AE"/>
    <w:rsid w:val="00255C43"/>
    <w:rsid w:val="00337429"/>
    <w:rsid w:val="004B08FE"/>
    <w:rsid w:val="004D292A"/>
    <w:rsid w:val="00507F7E"/>
    <w:rsid w:val="00510F45"/>
    <w:rsid w:val="00591BC8"/>
    <w:rsid w:val="007A3A8D"/>
    <w:rsid w:val="007C3EAC"/>
    <w:rsid w:val="00833E21"/>
    <w:rsid w:val="0085799B"/>
    <w:rsid w:val="009F167A"/>
    <w:rsid w:val="00A12BDF"/>
    <w:rsid w:val="00A16F9D"/>
    <w:rsid w:val="00BC6D50"/>
    <w:rsid w:val="00C731B6"/>
    <w:rsid w:val="00C87F92"/>
    <w:rsid w:val="00E5003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81768"/>
  <w15:docId w15:val="{735A0776-2378-454B-9681-96CF7897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Hyperlink">
    <w:name w:val="Hyperlink"/>
    <w:basedOn w:val="Fontepargpadro"/>
    <w:uiPriority w:val="99"/>
    <w:unhideWhenUsed/>
    <w:rsid w:val="002530AE"/>
    <w:rPr>
      <w:color w:val="0563C1" w:themeColor="hyperlink"/>
      <w:u w:val="single"/>
    </w:rPr>
  </w:style>
  <w:style w:type="character" w:styleId="MenoPendente">
    <w:name w:val="Unresolved Mention"/>
    <w:basedOn w:val="Fontepargpadro"/>
    <w:uiPriority w:val="99"/>
    <w:semiHidden/>
    <w:unhideWhenUsed/>
    <w:rsid w:val="00253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ulturaegenero.com.br/download/praticafeminina.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12</Pages>
  <Words>5051</Words>
  <Characters>27276</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Luciana Butzke</cp:lastModifiedBy>
  <cp:revision>4</cp:revision>
  <dcterms:created xsi:type="dcterms:W3CDTF">2022-05-20T13:04:00Z</dcterms:created>
  <dcterms:modified xsi:type="dcterms:W3CDTF">2022-07-29T23:46:00Z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