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E7C15F" w14:textId="29EAA096" w:rsidR="0065191D" w:rsidRPr="00641C64" w:rsidRDefault="00D172D7" w:rsidP="00D172D7">
      <w:pPr>
        <w:pStyle w:val="Corpodetexto3"/>
        <w:spacing w:line="360" w:lineRule="auto"/>
        <w:rPr>
          <w:color w:val="000000" w:themeColor="text1"/>
          <w:szCs w:val="28"/>
        </w:rPr>
      </w:pPr>
      <w:r w:rsidRPr="00641C64">
        <w:rPr>
          <w:color w:val="000000" w:themeColor="text1"/>
          <w:szCs w:val="28"/>
        </w:rPr>
        <w:t>MIGRAÇÃO E MOBILIDADE INTERGERACIONAL DE OCUPAÇÃO DAS</w:t>
      </w:r>
      <w:bookmarkStart w:id="0" w:name="_GoBack"/>
      <w:bookmarkEnd w:id="0"/>
      <w:r w:rsidRPr="00641C64">
        <w:rPr>
          <w:color w:val="000000" w:themeColor="text1"/>
          <w:szCs w:val="28"/>
        </w:rPr>
        <w:t xml:space="preserve"> MULHERES NO BRASIL E </w:t>
      </w:r>
      <w:r w:rsidR="0019761B" w:rsidRPr="00641C64">
        <w:rPr>
          <w:color w:val="000000" w:themeColor="text1"/>
          <w:szCs w:val="28"/>
        </w:rPr>
        <w:t xml:space="preserve">NO </w:t>
      </w:r>
      <w:r w:rsidRPr="00641C64">
        <w:rPr>
          <w:color w:val="000000" w:themeColor="text1"/>
          <w:szCs w:val="28"/>
        </w:rPr>
        <w:t xml:space="preserve">NORDESTE </w:t>
      </w:r>
    </w:p>
    <w:p w14:paraId="0DF21F93" w14:textId="77777777" w:rsidR="0065191D" w:rsidRPr="00641C64" w:rsidRDefault="0065191D">
      <w:pPr>
        <w:spacing w:after="0" w:line="360" w:lineRule="auto"/>
        <w:jc w:val="center"/>
        <w:rPr>
          <w:rFonts w:ascii="Times New Roman" w:hAnsi="Times New Roman" w:cs="Times New Roman"/>
          <w:color w:val="000000" w:themeColor="text1"/>
          <w:sz w:val="28"/>
          <w:szCs w:val="28"/>
        </w:rPr>
      </w:pPr>
    </w:p>
    <w:p w14:paraId="1CB1F783" w14:textId="77777777" w:rsidR="0065191D" w:rsidRPr="00641C64" w:rsidRDefault="00747E1A">
      <w:pPr>
        <w:pStyle w:val="Ttulo"/>
        <w:jc w:val="both"/>
        <w:rPr>
          <w:rFonts w:ascii="Times New Roman" w:hAnsi="Times New Roman"/>
          <w:color w:val="000000" w:themeColor="text1"/>
          <w:sz w:val="24"/>
          <w:lang w:val="pt-BR"/>
        </w:rPr>
      </w:pPr>
      <w:r w:rsidRPr="00641C64">
        <w:rPr>
          <w:rFonts w:ascii="Times New Roman" w:hAnsi="Times New Roman"/>
          <w:color w:val="000000" w:themeColor="text1"/>
          <w:sz w:val="24"/>
          <w:lang w:val="pt-BR"/>
        </w:rPr>
        <w:t>RESUMO</w:t>
      </w:r>
    </w:p>
    <w:p w14:paraId="7881D6D3" w14:textId="7FC4625F" w:rsidR="00D172D7" w:rsidRPr="00641C64" w:rsidRDefault="00D172D7" w:rsidP="00D172D7">
      <w:pPr>
        <w:spacing w:after="0" w:line="240" w:lineRule="auto"/>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O principal objetivo des</w:t>
      </w:r>
      <w:r w:rsidR="0019761B" w:rsidRPr="00641C64">
        <w:rPr>
          <w:rFonts w:ascii="Times New Roman" w:eastAsia="Times New Roman" w:hAnsi="Times New Roman" w:cs="Times New Roman"/>
          <w:color w:val="000000" w:themeColor="text1"/>
          <w:sz w:val="24"/>
          <w:szCs w:val="24"/>
        </w:rPr>
        <w:t>s</w:t>
      </w:r>
      <w:r w:rsidRPr="00641C64">
        <w:rPr>
          <w:rFonts w:ascii="Times New Roman" w:eastAsia="Times New Roman" w:hAnsi="Times New Roman" w:cs="Times New Roman"/>
          <w:color w:val="000000" w:themeColor="text1"/>
          <w:sz w:val="24"/>
          <w:szCs w:val="24"/>
        </w:rPr>
        <w:t xml:space="preserve">e estudo é mensurar os níveis de mobilidade ocupacional intergeracional por condição de migração das mulheres no Brasil e no Nordeste, em 2014. </w:t>
      </w:r>
      <w:r w:rsidR="001A004E" w:rsidRPr="00641C64">
        <w:rPr>
          <w:rFonts w:ascii="Times New Roman" w:eastAsia="Times New Roman" w:hAnsi="Times New Roman" w:cs="Times New Roman"/>
          <w:color w:val="000000" w:themeColor="text1"/>
          <w:sz w:val="24"/>
          <w:szCs w:val="24"/>
        </w:rPr>
        <w:t>A principal fonte de dados</w:t>
      </w:r>
      <w:r w:rsidR="00EB4EEC" w:rsidRPr="00641C64">
        <w:rPr>
          <w:rFonts w:ascii="Times New Roman" w:eastAsia="Times New Roman" w:hAnsi="Times New Roman" w:cs="Times New Roman"/>
          <w:color w:val="000000" w:themeColor="text1"/>
          <w:sz w:val="24"/>
          <w:szCs w:val="24"/>
        </w:rPr>
        <w:t xml:space="preserve"> </w:t>
      </w:r>
      <w:r w:rsidR="001A004E" w:rsidRPr="00641C64">
        <w:rPr>
          <w:rFonts w:ascii="Times New Roman" w:eastAsia="Times New Roman" w:hAnsi="Times New Roman" w:cs="Times New Roman"/>
          <w:color w:val="000000" w:themeColor="text1"/>
          <w:sz w:val="24"/>
          <w:szCs w:val="24"/>
        </w:rPr>
        <w:t xml:space="preserve">foi o </w:t>
      </w:r>
      <w:r w:rsidRPr="00641C64">
        <w:rPr>
          <w:rFonts w:ascii="Times New Roman" w:eastAsia="Times New Roman" w:hAnsi="Times New Roman" w:cs="Times New Roman"/>
          <w:color w:val="000000" w:themeColor="text1"/>
          <w:sz w:val="24"/>
          <w:szCs w:val="24"/>
        </w:rPr>
        <w:t>Suplemento de Mobilidade Sócio-ocupacional de 2014, da Pesquisa Nacional por Amostra de Do</w:t>
      </w:r>
      <w:r w:rsidR="001A004E" w:rsidRPr="00641C64">
        <w:rPr>
          <w:rFonts w:ascii="Times New Roman" w:eastAsia="Times New Roman" w:hAnsi="Times New Roman" w:cs="Times New Roman"/>
          <w:color w:val="000000" w:themeColor="text1"/>
          <w:sz w:val="24"/>
          <w:szCs w:val="24"/>
        </w:rPr>
        <w:t>micílios (PNAD), realizada pelo</w:t>
      </w:r>
      <w:r w:rsidRPr="00641C64">
        <w:rPr>
          <w:rFonts w:ascii="Times New Roman" w:eastAsia="Times New Roman" w:hAnsi="Times New Roman" w:cs="Times New Roman"/>
          <w:color w:val="000000" w:themeColor="text1"/>
          <w:sz w:val="24"/>
          <w:szCs w:val="24"/>
        </w:rPr>
        <w:t xml:space="preserve"> Instituto Brasileiro de</w:t>
      </w:r>
      <w:r w:rsidR="001A004E" w:rsidRPr="00641C64">
        <w:rPr>
          <w:rFonts w:ascii="Times New Roman" w:eastAsia="Times New Roman" w:hAnsi="Times New Roman" w:cs="Times New Roman"/>
          <w:color w:val="000000" w:themeColor="text1"/>
          <w:sz w:val="24"/>
          <w:szCs w:val="24"/>
        </w:rPr>
        <w:t xml:space="preserve"> Geografia e Estatística (IBGE)</w:t>
      </w:r>
      <w:r w:rsidRPr="00641C64">
        <w:rPr>
          <w:rFonts w:ascii="Times New Roman" w:eastAsia="Times New Roman" w:hAnsi="Times New Roman" w:cs="Times New Roman"/>
          <w:color w:val="000000" w:themeColor="text1"/>
          <w:sz w:val="24"/>
          <w:szCs w:val="24"/>
        </w:rPr>
        <w:t xml:space="preserve">. </w:t>
      </w:r>
      <w:r w:rsidR="00EB4EEC" w:rsidRPr="00641C64">
        <w:rPr>
          <w:rFonts w:ascii="Times New Roman" w:eastAsia="Times New Roman" w:hAnsi="Times New Roman" w:cs="Times New Roman"/>
          <w:color w:val="000000" w:themeColor="text1"/>
          <w:sz w:val="24"/>
          <w:szCs w:val="24"/>
        </w:rPr>
        <w:t>O</w:t>
      </w:r>
      <w:r w:rsidRPr="00641C64">
        <w:rPr>
          <w:rFonts w:ascii="Times New Roman" w:eastAsia="Times New Roman" w:hAnsi="Times New Roman" w:cs="Times New Roman"/>
          <w:color w:val="000000" w:themeColor="text1"/>
          <w:sz w:val="24"/>
          <w:szCs w:val="24"/>
        </w:rPr>
        <w:t xml:space="preserve">s </w:t>
      </w:r>
      <w:r w:rsidR="00EB4EEC" w:rsidRPr="00641C64">
        <w:rPr>
          <w:rFonts w:ascii="Times New Roman" w:eastAsia="Times New Roman" w:hAnsi="Times New Roman" w:cs="Times New Roman"/>
          <w:color w:val="000000" w:themeColor="text1"/>
          <w:sz w:val="24"/>
          <w:szCs w:val="24"/>
        </w:rPr>
        <w:t xml:space="preserve">principais resultados mostram que </w:t>
      </w:r>
      <w:r w:rsidRPr="00641C64">
        <w:rPr>
          <w:rFonts w:ascii="Times New Roman" w:eastAsia="Times New Roman" w:hAnsi="Times New Roman" w:cs="Times New Roman"/>
          <w:color w:val="000000" w:themeColor="text1"/>
          <w:sz w:val="24"/>
          <w:szCs w:val="24"/>
        </w:rPr>
        <w:t xml:space="preserve">a grande maioria das </w:t>
      </w:r>
      <w:r w:rsidR="001A004E" w:rsidRPr="00641C64">
        <w:rPr>
          <w:rFonts w:ascii="Times New Roman" w:eastAsia="Times New Roman" w:hAnsi="Times New Roman" w:cs="Times New Roman"/>
          <w:color w:val="000000" w:themeColor="text1"/>
          <w:sz w:val="24"/>
          <w:szCs w:val="24"/>
        </w:rPr>
        <w:t>mulheres</w:t>
      </w:r>
      <w:r w:rsidR="00EB4EEC" w:rsidRPr="00641C64">
        <w:rPr>
          <w:rFonts w:ascii="Times New Roman" w:eastAsia="Times New Roman" w:hAnsi="Times New Roman" w:cs="Times New Roman"/>
          <w:color w:val="000000" w:themeColor="text1"/>
          <w:sz w:val="24"/>
          <w:szCs w:val="24"/>
        </w:rPr>
        <w:t xml:space="preserve">, independente da condição de migração, </w:t>
      </w:r>
      <w:r w:rsidRPr="00641C64">
        <w:rPr>
          <w:rFonts w:ascii="Times New Roman" w:eastAsia="Times New Roman" w:hAnsi="Times New Roman" w:cs="Times New Roman"/>
          <w:color w:val="000000" w:themeColor="text1"/>
          <w:sz w:val="24"/>
          <w:szCs w:val="24"/>
        </w:rPr>
        <w:t xml:space="preserve">logrou </w:t>
      </w:r>
      <w:r w:rsidR="00EB4EEC" w:rsidRPr="00641C64">
        <w:rPr>
          <w:rFonts w:ascii="Times New Roman" w:eastAsia="Times New Roman" w:hAnsi="Times New Roman" w:cs="Times New Roman"/>
          <w:color w:val="000000" w:themeColor="text1"/>
          <w:sz w:val="24"/>
          <w:szCs w:val="24"/>
        </w:rPr>
        <w:t>mobilidade intergeracional ascendente</w:t>
      </w:r>
      <w:r w:rsidR="001A004E" w:rsidRPr="00641C64">
        <w:rPr>
          <w:rFonts w:ascii="Times New Roman" w:eastAsia="Times New Roman" w:hAnsi="Times New Roman" w:cs="Times New Roman"/>
          <w:color w:val="000000" w:themeColor="text1"/>
          <w:sz w:val="24"/>
          <w:szCs w:val="24"/>
        </w:rPr>
        <w:t xml:space="preserve"> tanto no Brasil como no Nordeste</w:t>
      </w:r>
      <w:r w:rsidRPr="00641C64">
        <w:rPr>
          <w:rFonts w:ascii="Times New Roman" w:eastAsia="Times New Roman" w:hAnsi="Times New Roman" w:cs="Times New Roman"/>
          <w:color w:val="000000" w:themeColor="text1"/>
          <w:sz w:val="24"/>
          <w:szCs w:val="24"/>
        </w:rPr>
        <w:t xml:space="preserve">. </w:t>
      </w:r>
      <w:r w:rsidR="00EB4EEC" w:rsidRPr="00641C64">
        <w:rPr>
          <w:rFonts w:ascii="Times New Roman" w:eastAsia="Times New Roman" w:hAnsi="Times New Roman" w:cs="Times New Roman"/>
          <w:color w:val="000000" w:themeColor="text1"/>
          <w:sz w:val="24"/>
          <w:szCs w:val="24"/>
        </w:rPr>
        <w:t>Achados instigantes, pois d</w:t>
      </w:r>
      <w:r w:rsidRPr="00641C64">
        <w:rPr>
          <w:rFonts w:ascii="Times New Roman" w:eastAsia="Times New Roman" w:hAnsi="Times New Roman" w:cs="Times New Roman"/>
          <w:color w:val="000000" w:themeColor="text1"/>
          <w:sz w:val="24"/>
          <w:szCs w:val="24"/>
        </w:rPr>
        <w:t>iante de uma série de mudanças estrutu</w:t>
      </w:r>
      <w:r w:rsidR="00EB4EEC" w:rsidRPr="00641C64">
        <w:rPr>
          <w:rFonts w:ascii="Times New Roman" w:eastAsia="Times New Roman" w:hAnsi="Times New Roman" w:cs="Times New Roman"/>
          <w:color w:val="000000" w:themeColor="text1"/>
          <w:sz w:val="24"/>
          <w:szCs w:val="24"/>
        </w:rPr>
        <w:t>rais e inclusivas no país</w:t>
      </w:r>
      <w:r w:rsidRPr="00641C64">
        <w:rPr>
          <w:rFonts w:ascii="Times New Roman" w:eastAsia="Times New Roman" w:hAnsi="Times New Roman" w:cs="Times New Roman"/>
          <w:color w:val="000000" w:themeColor="text1"/>
          <w:sz w:val="24"/>
          <w:szCs w:val="24"/>
        </w:rPr>
        <w:t xml:space="preserve">, entre 2003 e 2014, </w:t>
      </w:r>
      <w:r w:rsidR="00EB4EEC" w:rsidRPr="00641C64">
        <w:rPr>
          <w:rFonts w:ascii="Times New Roman" w:eastAsia="Times New Roman" w:hAnsi="Times New Roman" w:cs="Times New Roman"/>
          <w:color w:val="000000" w:themeColor="text1"/>
          <w:sz w:val="24"/>
          <w:szCs w:val="24"/>
        </w:rPr>
        <w:t>foi</w:t>
      </w:r>
      <w:r w:rsidRPr="00641C64">
        <w:rPr>
          <w:rFonts w:ascii="Times New Roman" w:eastAsia="Times New Roman" w:hAnsi="Times New Roman" w:cs="Times New Roman"/>
          <w:color w:val="000000" w:themeColor="text1"/>
          <w:sz w:val="24"/>
          <w:szCs w:val="24"/>
        </w:rPr>
        <w:t xml:space="preserve"> </w:t>
      </w:r>
      <w:r w:rsidR="00EB4EEC" w:rsidRPr="00641C64">
        <w:rPr>
          <w:rFonts w:ascii="Times New Roman" w:eastAsia="Times New Roman" w:hAnsi="Times New Roman" w:cs="Times New Roman"/>
          <w:color w:val="000000" w:themeColor="text1"/>
          <w:sz w:val="24"/>
          <w:szCs w:val="24"/>
        </w:rPr>
        <w:t>possível</w:t>
      </w:r>
      <w:r w:rsidRPr="00641C64">
        <w:rPr>
          <w:rFonts w:ascii="Times New Roman" w:eastAsia="Times New Roman" w:hAnsi="Times New Roman" w:cs="Times New Roman"/>
          <w:color w:val="000000" w:themeColor="text1"/>
          <w:sz w:val="24"/>
          <w:szCs w:val="24"/>
        </w:rPr>
        <w:t xml:space="preserve"> a ascensão intergeracional não somente para parcela expressiva das filhas que emigraram, bem como para aquelas que permaneceram no estado de nascimento. Isto porque, em outras décadas, apesar da seletividade no mercado de trabalho no local de destino, para ter mobilidade ocupacional era preciso emigrar. </w:t>
      </w:r>
    </w:p>
    <w:p w14:paraId="281B57C3" w14:textId="77777777" w:rsidR="00EB4EEC" w:rsidRPr="00641C64" w:rsidRDefault="00EB4EEC" w:rsidP="00354A65">
      <w:pPr>
        <w:spacing w:after="0" w:line="240" w:lineRule="auto"/>
        <w:jc w:val="both"/>
        <w:rPr>
          <w:rFonts w:ascii="Times New Roman" w:hAnsi="Times New Roman" w:cs="Times New Roman"/>
          <w:color w:val="000000" w:themeColor="text1"/>
          <w:sz w:val="24"/>
          <w:szCs w:val="24"/>
        </w:rPr>
      </w:pPr>
    </w:p>
    <w:p w14:paraId="3C02981A" w14:textId="77777777" w:rsidR="0065191D" w:rsidRPr="00641C64" w:rsidRDefault="00747E1A" w:rsidP="00354A65">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b/>
          <w:bCs/>
          <w:color w:val="000000" w:themeColor="text1"/>
          <w:sz w:val="24"/>
          <w:szCs w:val="24"/>
        </w:rPr>
        <w:t>Palavras- chave</w:t>
      </w:r>
      <w:r w:rsidRPr="00641C64">
        <w:rPr>
          <w:rFonts w:ascii="Times New Roman" w:hAnsi="Times New Roman" w:cs="Times New Roman"/>
          <w:color w:val="000000" w:themeColor="text1"/>
          <w:sz w:val="24"/>
          <w:szCs w:val="24"/>
        </w:rPr>
        <w:t xml:space="preserve">: </w:t>
      </w:r>
      <w:r w:rsidR="00D172D7" w:rsidRPr="00641C64">
        <w:rPr>
          <w:rFonts w:ascii="Times New Roman" w:hAnsi="Times New Roman" w:cs="Times New Roman"/>
          <w:color w:val="000000" w:themeColor="text1"/>
          <w:sz w:val="24"/>
          <w:szCs w:val="24"/>
        </w:rPr>
        <w:t>Migração; Mobilidade Ocupacional; Mulheres; Brasil; Nordeste.</w:t>
      </w:r>
    </w:p>
    <w:p w14:paraId="4A91E321" w14:textId="77777777" w:rsidR="0065191D" w:rsidRPr="00641C64" w:rsidRDefault="0065191D" w:rsidP="00354A65">
      <w:pPr>
        <w:spacing w:after="0" w:line="360" w:lineRule="auto"/>
        <w:jc w:val="both"/>
        <w:rPr>
          <w:rFonts w:ascii="Times New Roman" w:hAnsi="Times New Roman" w:cs="Times New Roman"/>
          <w:color w:val="000000" w:themeColor="text1"/>
          <w:sz w:val="24"/>
          <w:szCs w:val="24"/>
        </w:rPr>
      </w:pPr>
    </w:p>
    <w:p w14:paraId="59C33FFB" w14:textId="77777777" w:rsidR="0065191D" w:rsidRPr="00641C64" w:rsidRDefault="00354A65" w:rsidP="00354A65">
      <w:pPr>
        <w:spacing w:after="0" w:line="360" w:lineRule="auto"/>
        <w:jc w:val="both"/>
        <w:rPr>
          <w:rFonts w:ascii="Times New Roman" w:hAnsi="Times New Roman" w:cs="Times New Roman"/>
          <w:color w:val="000000" w:themeColor="text1"/>
          <w:sz w:val="24"/>
          <w:szCs w:val="24"/>
        </w:rPr>
      </w:pPr>
      <w:r w:rsidRPr="00641C64">
        <w:rPr>
          <w:rFonts w:ascii="Times New Roman" w:hAnsi="Times New Roman" w:cs="Times New Roman"/>
          <w:b/>
          <w:bCs/>
          <w:color w:val="000000" w:themeColor="text1"/>
          <w:sz w:val="24"/>
          <w:szCs w:val="24"/>
        </w:rPr>
        <w:t xml:space="preserve">GT 5: </w:t>
      </w:r>
      <w:r w:rsidRPr="00641C64">
        <w:rPr>
          <w:rFonts w:ascii="Times New Roman" w:hAnsi="Times New Roman" w:cs="Times New Roman"/>
          <w:color w:val="000000" w:themeColor="text1"/>
          <w:sz w:val="24"/>
          <w:szCs w:val="24"/>
          <w:shd w:val="clear" w:color="auto" w:fill="FFFFFF"/>
        </w:rPr>
        <w:t xml:space="preserve">Ambiente, Populações e </w:t>
      </w:r>
      <w:proofErr w:type="gramStart"/>
      <w:r w:rsidRPr="00641C64">
        <w:rPr>
          <w:rFonts w:ascii="Times New Roman" w:hAnsi="Times New Roman" w:cs="Times New Roman"/>
          <w:color w:val="000000" w:themeColor="text1"/>
          <w:sz w:val="24"/>
          <w:szCs w:val="24"/>
          <w:shd w:val="clear" w:color="auto" w:fill="FFFFFF"/>
        </w:rPr>
        <w:t>Desenvolvimento</w:t>
      </w:r>
      <w:proofErr w:type="gramEnd"/>
    </w:p>
    <w:p w14:paraId="327A559A" w14:textId="07BE8844" w:rsidR="0065191D" w:rsidRPr="00641C64" w:rsidRDefault="0065191D" w:rsidP="00354A65">
      <w:pPr>
        <w:spacing w:after="0" w:line="360" w:lineRule="auto"/>
        <w:jc w:val="both"/>
        <w:rPr>
          <w:rFonts w:ascii="Times New Roman" w:hAnsi="Times New Roman" w:cs="Times New Roman"/>
          <w:color w:val="000000" w:themeColor="text1"/>
          <w:sz w:val="24"/>
          <w:szCs w:val="24"/>
        </w:rPr>
      </w:pPr>
    </w:p>
    <w:p w14:paraId="1A32D17C" w14:textId="77777777" w:rsidR="0065191D" w:rsidRPr="00641C64" w:rsidRDefault="00747E1A">
      <w:pPr>
        <w:spacing w:after="0" w:line="360" w:lineRule="auto"/>
        <w:jc w:val="both"/>
        <w:rPr>
          <w:rFonts w:ascii="Times New Roman" w:hAnsi="Times New Roman" w:cs="Times New Roman"/>
          <w:b/>
          <w:bCs/>
          <w:color w:val="000000" w:themeColor="text1"/>
          <w:sz w:val="24"/>
          <w:szCs w:val="24"/>
        </w:rPr>
      </w:pPr>
      <w:r w:rsidRPr="00641C64">
        <w:rPr>
          <w:rFonts w:ascii="Times New Roman" w:hAnsi="Times New Roman" w:cs="Times New Roman"/>
          <w:b/>
          <w:bCs/>
          <w:color w:val="000000" w:themeColor="text1"/>
          <w:sz w:val="24"/>
          <w:szCs w:val="24"/>
        </w:rPr>
        <w:t>1 INTRODUÇÃO</w:t>
      </w:r>
    </w:p>
    <w:p w14:paraId="2A9B420A" w14:textId="77777777" w:rsidR="00D172D7" w:rsidRPr="00641C64" w:rsidRDefault="00D172D7" w:rsidP="00D172D7">
      <w:pPr>
        <w:spacing w:after="0" w:line="360" w:lineRule="auto"/>
        <w:ind w:firstLine="720"/>
        <w:jc w:val="both"/>
        <w:rPr>
          <w:rFonts w:ascii="Times New Roman" w:eastAsia="Times New Roman" w:hAnsi="Times New Roman" w:cs="Times New Roman"/>
          <w:color w:val="000000" w:themeColor="text1"/>
          <w:sz w:val="24"/>
          <w:szCs w:val="24"/>
        </w:rPr>
      </w:pPr>
    </w:p>
    <w:p w14:paraId="214131C2" w14:textId="77777777" w:rsidR="00D172D7" w:rsidRPr="00641C64" w:rsidRDefault="00D172D7" w:rsidP="00D172D7">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Os movimentos migratórios internos constituem um fenômeno social que envolve um conjunto amplo e complexo de especificidades que se manifestam nas causas, motivos e direções da mobilidade espacial (BAENINGER, 2012). Desse modo, a compreensão da dinâmica migratória interna origina-se no contexto histórico-estrutural de desequilíbrios regionais, demográficos, econômicos, políticos e sociais. A passagem de uma sociedade rural para uma de </w:t>
      </w:r>
      <w:proofErr w:type="gramStart"/>
      <w:r w:rsidRPr="00641C64">
        <w:rPr>
          <w:rFonts w:ascii="Times New Roman" w:eastAsia="Times New Roman" w:hAnsi="Times New Roman" w:cs="Times New Roman"/>
          <w:color w:val="000000" w:themeColor="text1"/>
          <w:sz w:val="24"/>
          <w:szCs w:val="24"/>
        </w:rPr>
        <w:t>feição urbano-industrial</w:t>
      </w:r>
      <w:proofErr w:type="gramEnd"/>
      <w:r w:rsidRPr="00641C64">
        <w:rPr>
          <w:rFonts w:ascii="Times New Roman" w:eastAsia="Times New Roman" w:hAnsi="Times New Roman" w:cs="Times New Roman"/>
          <w:color w:val="000000" w:themeColor="text1"/>
          <w:sz w:val="24"/>
          <w:szCs w:val="24"/>
        </w:rPr>
        <w:t xml:space="preserve"> aprofundou a concentração do desenvolvimento econômico e social e as disparidades regionais, ao passo que impulsionou os deslocamentos migratórios em direção aos “eldorados” das oportunidades, dos empregos e da possibilidade de mobilidade social</w:t>
      </w:r>
      <w:r w:rsidR="00023603" w:rsidRPr="00641C64">
        <w:rPr>
          <w:rFonts w:ascii="Times New Roman" w:eastAsia="Times New Roman" w:hAnsi="Times New Roman" w:cs="Times New Roman"/>
          <w:color w:val="000000" w:themeColor="text1"/>
          <w:sz w:val="24"/>
          <w:szCs w:val="24"/>
        </w:rPr>
        <w:t xml:space="preserve"> e/ou ocupacional</w:t>
      </w:r>
      <w:r w:rsidRPr="00641C64">
        <w:rPr>
          <w:rFonts w:ascii="Times New Roman" w:eastAsia="Times New Roman" w:hAnsi="Times New Roman" w:cs="Times New Roman"/>
          <w:color w:val="000000" w:themeColor="text1"/>
          <w:sz w:val="24"/>
          <w:szCs w:val="24"/>
        </w:rPr>
        <w:t xml:space="preserve"> (BAENINGER, 2012; CAMARANO; ABRAMOVAY, 1999). </w:t>
      </w:r>
    </w:p>
    <w:p w14:paraId="5D1E94D3" w14:textId="08715B79" w:rsidR="00583E43" w:rsidRPr="00641C64" w:rsidRDefault="00583E43" w:rsidP="00D172D7">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lastRenderedPageBreak/>
        <w:t>Nesse contexto, sendo a mobilidade social e/ou ocupacional um fenômeno complexo, os estudos na área são ímpares para verificar e compreender a desigualdade entre os distintos segmentos e a configuração que assume o sistema de estratificação social (</w:t>
      </w:r>
      <w:r w:rsidR="00100FCD" w:rsidRPr="00641C64">
        <w:rPr>
          <w:rFonts w:ascii="Times New Roman" w:hAnsi="Times New Roman" w:cs="Times New Roman"/>
          <w:color w:val="000000" w:themeColor="text1"/>
          <w:sz w:val="24"/>
          <w:szCs w:val="24"/>
        </w:rPr>
        <w:t>RIBEIRO, 2006</w:t>
      </w:r>
      <w:r w:rsidRPr="00641C64">
        <w:rPr>
          <w:rFonts w:ascii="Times New Roman" w:hAnsi="Times New Roman" w:cs="Times New Roman"/>
          <w:color w:val="000000" w:themeColor="text1"/>
          <w:sz w:val="24"/>
          <w:szCs w:val="24"/>
        </w:rPr>
        <w:t xml:space="preserve">; SCALON, 1997). Além disso, as pesquisas sobre mobilidade envolvem profundas mudanças no longo prazo que permitem visualizar as trajetórias geracionais, as modificações estruturais, e a perpetuação e/ou redução da pobreza e das desigualdades (PASTORE; VALLE SILVA, 2001). </w:t>
      </w:r>
      <w:r w:rsidR="007A2AD8" w:rsidRPr="00641C64">
        <w:rPr>
          <w:rFonts w:ascii="Times New Roman" w:hAnsi="Times New Roman" w:cs="Times New Roman"/>
          <w:color w:val="000000" w:themeColor="text1"/>
          <w:sz w:val="24"/>
          <w:szCs w:val="24"/>
        </w:rPr>
        <w:t>D</w:t>
      </w:r>
      <w:r w:rsidRPr="00641C64">
        <w:rPr>
          <w:rFonts w:ascii="Times New Roman" w:hAnsi="Times New Roman" w:cs="Times New Roman"/>
          <w:color w:val="000000" w:themeColor="text1"/>
          <w:sz w:val="24"/>
          <w:szCs w:val="24"/>
        </w:rPr>
        <w:t xml:space="preserve">ependendo do </w:t>
      </w:r>
      <w:r w:rsidR="007A2AD8" w:rsidRPr="00641C64">
        <w:rPr>
          <w:rFonts w:ascii="Times New Roman" w:hAnsi="Times New Roman" w:cs="Times New Roman"/>
          <w:color w:val="000000" w:themeColor="text1"/>
          <w:sz w:val="24"/>
          <w:szCs w:val="24"/>
        </w:rPr>
        <w:t xml:space="preserve">tipo de mobilidade, o enfoque, </w:t>
      </w:r>
      <w:r w:rsidRPr="00641C64">
        <w:rPr>
          <w:rFonts w:ascii="Times New Roman" w:hAnsi="Times New Roman" w:cs="Times New Roman"/>
          <w:color w:val="000000" w:themeColor="text1"/>
          <w:sz w:val="24"/>
          <w:szCs w:val="24"/>
        </w:rPr>
        <w:t>a conjuntura ec</w:t>
      </w:r>
      <w:r w:rsidR="007A2AD8" w:rsidRPr="00641C64">
        <w:rPr>
          <w:rFonts w:ascii="Times New Roman" w:hAnsi="Times New Roman" w:cs="Times New Roman"/>
          <w:color w:val="000000" w:themeColor="text1"/>
          <w:sz w:val="24"/>
          <w:szCs w:val="24"/>
        </w:rPr>
        <w:t xml:space="preserve">onômica e social em que ocorrem </w:t>
      </w:r>
      <w:r w:rsidRPr="00641C64">
        <w:rPr>
          <w:rFonts w:ascii="Times New Roman" w:hAnsi="Times New Roman" w:cs="Times New Roman"/>
          <w:color w:val="000000" w:themeColor="text1"/>
          <w:sz w:val="24"/>
          <w:szCs w:val="24"/>
        </w:rPr>
        <w:t xml:space="preserve">as respostas </w:t>
      </w:r>
      <w:proofErr w:type="gramStart"/>
      <w:r w:rsidRPr="00641C64">
        <w:rPr>
          <w:rFonts w:ascii="Times New Roman" w:hAnsi="Times New Roman" w:cs="Times New Roman"/>
          <w:color w:val="000000" w:themeColor="text1"/>
          <w:sz w:val="24"/>
          <w:szCs w:val="24"/>
        </w:rPr>
        <w:t>podem ser diversas</w:t>
      </w:r>
      <w:proofErr w:type="gramEnd"/>
      <w:r w:rsidRPr="00641C64">
        <w:rPr>
          <w:rFonts w:ascii="Times New Roman" w:hAnsi="Times New Roman" w:cs="Times New Roman"/>
          <w:color w:val="000000" w:themeColor="text1"/>
          <w:sz w:val="24"/>
          <w:szCs w:val="24"/>
        </w:rPr>
        <w:t xml:space="preserve"> (ANDRADE; RODRIGUES, 1996). </w:t>
      </w:r>
      <w:r w:rsidR="007A2AD8" w:rsidRPr="00641C64">
        <w:rPr>
          <w:rFonts w:ascii="Times New Roman" w:hAnsi="Times New Roman" w:cs="Times New Roman"/>
          <w:color w:val="000000" w:themeColor="text1"/>
          <w:sz w:val="24"/>
          <w:szCs w:val="24"/>
        </w:rPr>
        <w:t>Nes</w:t>
      </w:r>
      <w:r w:rsidR="00D978F8" w:rsidRPr="00641C64">
        <w:rPr>
          <w:rFonts w:ascii="Times New Roman" w:hAnsi="Times New Roman" w:cs="Times New Roman"/>
          <w:color w:val="000000" w:themeColor="text1"/>
          <w:sz w:val="24"/>
          <w:szCs w:val="24"/>
        </w:rPr>
        <w:t>s</w:t>
      </w:r>
      <w:r w:rsidR="007A2AD8" w:rsidRPr="00641C64">
        <w:rPr>
          <w:rFonts w:ascii="Times New Roman" w:hAnsi="Times New Roman" w:cs="Times New Roman"/>
          <w:color w:val="000000" w:themeColor="text1"/>
          <w:sz w:val="24"/>
          <w:szCs w:val="24"/>
        </w:rPr>
        <w:t xml:space="preserve">e estudo, o enfoque é a mobilidade </w:t>
      </w:r>
      <w:r w:rsidR="002D339F" w:rsidRPr="00641C64">
        <w:rPr>
          <w:rFonts w:ascii="Times New Roman" w:hAnsi="Times New Roman" w:cs="Times New Roman"/>
          <w:color w:val="000000" w:themeColor="text1"/>
          <w:sz w:val="24"/>
          <w:szCs w:val="24"/>
        </w:rPr>
        <w:t xml:space="preserve">ocupacional </w:t>
      </w:r>
      <w:r w:rsidR="007A2AD8" w:rsidRPr="00641C64">
        <w:rPr>
          <w:rFonts w:ascii="Times New Roman" w:hAnsi="Times New Roman" w:cs="Times New Roman"/>
          <w:color w:val="000000" w:themeColor="text1"/>
          <w:sz w:val="24"/>
          <w:szCs w:val="24"/>
        </w:rPr>
        <w:t xml:space="preserve">intergeracional que consiste na comparação entre </w:t>
      </w:r>
      <w:r w:rsidR="002D339F" w:rsidRPr="00641C64">
        <w:rPr>
          <w:rFonts w:ascii="Times New Roman" w:hAnsi="Times New Roman" w:cs="Times New Roman"/>
          <w:color w:val="000000" w:themeColor="text1"/>
          <w:sz w:val="24"/>
          <w:szCs w:val="24"/>
        </w:rPr>
        <w:t>a ocupação do(a)s filho(a)s e a dos seus pais. Assim</w:t>
      </w:r>
      <w:r w:rsidR="00D978F8" w:rsidRPr="00641C64">
        <w:rPr>
          <w:rFonts w:ascii="Times New Roman" w:hAnsi="Times New Roman" w:cs="Times New Roman"/>
          <w:color w:val="000000" w:themeColor="text1"/>
          <w:sz w:val="24"/>
          <w:szCs w:val="24"/>
        </w:rPr>
        <w:t>,</w:t>
      </w:r>
      <w:r w:rsidR="002D339F" w:rsidRPr="00641C64">
        <w:rPr>
          <w:rFonts w:ascii="Times New Roman" w:hAnsi="Times New Roman" w:cs="Times New Roman"/>
          <w:color w:val="000000" w:themeColor="text1"/>
          <w:sz w:val="24"/>
          <w:szCs w:val="24"/>
        </w:rPr>
        <w:t xml:space="preserve"> permite analisar mudanças ou permanências ocupacionais entre gerações (DALLE, 2015; JANNUZZI, 2018). </w:t>
      </w:r>
    </w:p>
    <w:p w14:paraId="79404913" w14:textId="6C9C63E9" w:rsidR="00D172D7" w:rsidRPr="00641C64" w:rsidRDefault="002D339F" w:rsidP="00D172D7">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É preciso considerar que o</w:t>
      </w:r>
      <w:r w:rsidR="00D172D7" w:rsidRPr="00641C64">
        <w:rPr>
          <w:rFonts w:ascii="Times New Roman" w:eastAsia="Times New Roman" w:hAnsi="Times New Roman" w:cs="Times New Roman"/>
          <w:color w:val="000000" w:themeColor="text1"/>
          <w:sz w:val="24"/>
          <w:szCs w:val="24"/>
        </w:rPr>
        <w:t xml:space="preserve">s deslocamentos migratórios constituem importantes determinantes para a compreensão dos indicadores de mobilidade ocupacional, </w:t>
      </w:r>
      <w:r w:rsidR="00D978F8" w:rsidRPr="00641C64">
        <w:rPr>
          <w:rFonts w:ascii="Times New Roman" w:eastAsia="Times New Roman" w:hAnsi="Times New Roman" w:cs="Times New Roman"/>
          <w:color w:val="000000" w:themeColor="text1"/>
          <w:sz w:val="24"/>
          <w:szCs w:val="24"/>
        </w:rPr>
        <w:t xml:space="preserve">bem </w:t>
      </w:r>
      <w:r w:rsidR="00D172D7" w:rsidRPr="00641C64">
        <w:rPr>
          <w:rFonts w:ascii="Times New Roman" w:eastAsia="Times New Roman" w:hAnsi="Times New Roman" w:cs="Times New Roman"/>
          <w:color w:val="000000" w:themeColor="text1"/>
          <w:sz w:val="24"/>
          <w:szCs w:val="24"/>
        </w:rPr>
        <w:t>como na mobilidade ocupacional emergem explicações para os fenômenos migratórios. Seja na perspectiva histórico-estrutural, em que os fatores de expulsão em regiões menos ou mais dinâmicas atuam como causas e motivos para a migração (SINGER, 1973), ou ainda considerando as rede</w:t>
      </w:r>
      <w:r w:rsidR="00023603" w:rsidRPr="00641C64">
        <w:rPr>
          <w:rFonts w:ascii="Times New Roman" w:eastAsia="Times New Roman" w:hAnsi="Times New Roman" w:cs="Times New Roman"/>
          <w:color w:val="000000" w:themeColor="text1"/>
          <w:sz w:val="24"/>
          <w:szCs w:val="24"/>
        </w:rPr>
        <w:t>s familiares e de sociabilidade.</w:t>
      </w:r>
      <w:r w:rsidR="00D172D7" w:rsidRPr="00641C64">
        <w:rPr>
          <w:rFonts w:ascii="Times New Roman" w:eastAsia="Times New Roman" w:hAnsi="Times New Roman" w:cs="Times New Roman"/>
          <w:color w:val="000000" w:themeColor="text1"/>
          <w:sz w:val="24"/>
          <w:szCs w:val="24"/>
        </w:rPr>
        <w:t xml:space="preserve"> </w:t>
      </w:r>
      <w:r w:rsidR="00023603" w:rsidRPr="00641C64">
        <w:rPr>
          <w:rFonts w:ascii="Times New Roman" w:eastAsia="Times New Roman" w:hAnsi="Times New Roman" w:cs="Times New Roman"/>
          <w:color w:val="000000" w:themeColor="text1"/>
          <w:sz w:val="24"/>
          <w:szCs w:val="24"/>
        </w:rPr>
        <w:t>A</w:t>
      </w:r>
      <w:r w:rsidR="00D172D7" w:rsidRPr="00641C64">
        <w:rPr>
          <w:rFonts w:ascii="Times New Roman" w:eastAsia="Times New Roman" w:hAnsi="Times New Roman" w:cs="Times New Roman"/>
          <w:color w:val="000000" w:themeColor="text1"/>
          <w:sz w:val="24"/>
          <w:szCs w:val="24"/>
        </w:rPr>
        <w:t xml:space="preserve">s diferenças no nível e qualidade dos empregos disponíveis e a direção dos fluxos migratórios, de certa maneira, estão relacionadas com as possibilidades de ascensão ocupacional na localidade de destino (JANNUZZI; MONTAGNER; TAIRA, 2017; </w:t>
      </w:r>
      <w:proofErr w:type="gramStart"/>
      <w:r w:rsidR="00D172D7" w:rsidRPr="00641C64">
        <w:rPr>
          <w:rFonts w:ascii="Times New Roman" w:eastAsia="Times New Roman" w:hAnsi="Times New Roman" w:cs="Times New Roman"/>
          <w:color w:val="000000" w:themeColor="text1"/>
          <w:sz w:val="24"/>
          <w:szCs w:val="24"/>
        </w:rPr>
        <w:t>PASTORE,</w:t>
      </w:r>
      <w:proofErr w:type="gramEnd"/>
      <w:r w:rsidR="00D172D7" w:rsidRPr="00641C64">
        <w:rPr>
          <w:rFonts w:ascii="Times New Roman" w:eastAsia="Times New Roman" w:hAnsi="Times New Roman" w:cs="Times New Roman"/>
          <w:color w:val="000000" w:themeColor="text1"/>
          <w:sz w:val="24"/>
          <w:szCs w:val="24"/>
        </w:rPr>
        <w:t xml:space="preserve"> 1979). </w:t>
      </w:r>
    </w:p>
    <w:p w14:paraId="324069B8" w14:textId="74505C96" w:rsidR="00583E43" w:rsidRPr="00641C64" w:rsidRDefault="002D339F" w:rsidP="00583E43">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w:t>
      </w:r>
      <w:r w:rsidR="00D172D7" w:rsidRPr="00641C64">
        <w:rPr>
          <w:rFonts w:ascii="Times New Roman" w:eastAsia="Times New Roman" w:hAnsi="Times New Roman" w:cs="Times New Roman"/>
          <w:color w:val="000000" w:themeColor="text1"/>
          <w:sz w:val="24"/>
          <w:szCs w:val="24"/>
        </w:rPr>
        <w:t xml:space="preserve">o Brasil, nos anos 2000, </w:t>
      </w:r>
      <w:proofErr w:type="gramStart"/>
      <w:r w:rsidR="00D172D7" w:rsidRPr="00641C64">
        <w:rPr>
          <w:rFonts w:ascii="Times New Roman" w:eastAsia="Times New Roman" w:hAnsi="Times New Roman" w:cs="Times New Roman"/>
          <w:color w:val="000000" w:themeColor="text1"/>
          <w:sz w:val="24"/>
          <w:szCs w:val="24"/>
        </w:rPr>
        <w:t>a dinâmica das migrações internas aponta</w:t>
      </w:r>
      <w:r w:rsidR="00D978F8" w:rsidRPr="00641C64">
        <w:rPr>
          <w:rFonts w:ascii="Times New Roman" w:eastAsia="Times New Roman" w:hAnsi="Times New Roman" w:cs="Times New Roman"/>
          <w:color w:val="000000" w:themeColor="text1"/>
          <w:sz w:val="24"/>
          <w:szCs w:val="24"/>
        </w:rPr>
        <w:t>m</w:t>
      </w:r>
      <w:proofErr w:type="gramEnd"/>
      <w:r w:rsidR="00D978F8" w:rsidRPr="00641C64">
        <w:rPr>
          <w:rFonts w:ascii="Times New Roman" w:eastAsia="Times New Roman" w:hAnsi="Times New Roman" w:cs="Times New Roman"/>
          <w:color w:val="000000" w:themeColor="text1"/>
          <w:sz w:val="24"/>
          <w:szCs w:val="24"/>
        </w:rPr>
        <w:t xml:space="preserve"> para</w:t>
      </w:r>
      <w:r w:rsidR="00D172D7" w:rsidRPr="00641C64">
        <w:rPr>
          <w:rFonts w:ascii="Times New Roman" w:eastAsia="Times New Roman" w:hAnsi="Times New Roman" w:cs="Times New Roman"/>
          <w:color w:val="000000" w:themeColor="text1"/>
          <w:sz w:val="24"/>
          <w:szCs w:val="24"/>
        </w:rPr>
        <w:t xml:space="preserve"> novas modalidades migratórias que sugerem a revisão da relação migração-emprego, migração-mobilidade social (BAENINGER, 2012). Os estudos evidenciam arrefecimento dos fluxos migratórios de longa distância, incremento da migração de retorno, intensificação dos deslocamentos intrarregionais e intraestaduais e aumento da mobilidade pendular (BAENINGER, 2012; NUNES; SILVA; QUEIROZ, 2017; QUEIROZ, 2013). A explicação para os novos movimentos perpassa por fatores macrossociais e microssociais, aumento do custo de vida nos grandes centros urbanos, violência, interiorização do ensino, expansão de </w:t>
      </w:r>
      <w:r w:rsidR="00D172D7" w:rsidRPr="00641C64">
        <w:rPr>
          <w:rFonts w:ascii="Times New Roman" w:eastAsia="Times New Roman" w:hAnsi="Times New Roman" w:cs="Times New Roman"/>
          <w:color w:val="000000" w:themeColor="text1"/>
          <w:sz w:val="24"/>
          <w:szCs w:val="24"/>
        </w:rPr>
        <w:lastRenderedPageBreak/>
        <w:t xml:space="preserve">infraestrutura nas cidades médias, maior diversificação econômica regional, entre outras (DOTA; QUEIROZ, 2019). </w:t>
      </w:r>
    </w:p>
    <w:p w14:paraId="6C248F95" w14:textId="1A6F3D1B" w:rsidR="00D172D7" w:rsidRPr="00641C64" w:rsidRDefault="00D172D7" w:rsidP="00583E43">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Isso não quer dizer que as desigualdades regionais e, consequentemente, os desequilíbrios sociais que ainda permeiam a sociedade brasileira não impulsionam as migrações como alternativa de sobrevivência e/ou como opção para “melhorar de vida”. Entretanto, as mudanças demográficas, econômicas e as políticas públicas, a partir da</w:t>
      </w:r>
      <w:r w:rsidR="00D07C40" w:rsidRPr="00641C64">
        <w:rPr>
          <w:rFonts w:ascii="Times New Roman" w:eastAsia="Times New Roman" w:hAnsi="Times New Roman" w:cs="Times New Roman"/>
          <w:color w:val="000000" w:themeColor="text1"/>
          <w:sz w:val="24"/>
          <w:szCs w:val="24"/>
        </w:rPr>
        <w:t xml:space="preserve"> </w:t>
      </w:r>
      <w:r w:rsidRPr="00641C64">
        <w:rPr>
          <w:rFonts w:ascii="Times New Roman" w:eastAsia="Times New Roman" w:hAnsi="Times New Roman" w:cs="Times New Roman"/>
          <w:color w:val="000000" w:themeColor="text1"/>
          <w:sz w:val="24"/>
          <w:szCs w:val="24"/>
        </w:rPr>
        <w:t xml:space="preserve">última década do século XX, com destaque para o início do século XXI (período 2003-2014), associadas à ampliação dos meios de comunicação e transporte, e das redes de interação social, modificaram a direção dos deslocamentos migratórios. Em tempos de crise econômica e política, marcados por aumento do desemprego, subemprego, informalidade e deterioração de importantes avanços sociais, emergem modalidades migratórias em escalas geográficas menores, menos custosas em termos de recursos e de tempo que, por vezes, deslocam a mobilidade espacial da mobilidade ocupacional (DOTA; QUEIROZ, 2019). </w:t>
      </w:r>
    </w:p>
    <w:p w14:paraId="51A53BDE" w14:textId="0DDCC5B5" w:rsidR="00D172D7" w:rsidRPr="00641C64" w:rsidRDefault="00D172D7" w:rsidP="00D30D0A">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No entanto, estudos mostram que a migração constitui importante via para a mobilidade ocupacional dos indivíduos, porquanto as oportunidades criadas em distintas localidades e realidades induzem os deslocamentos populacionais e as chances de ascensão ocupacional</w:t>
      </w:r>
      <w:r w:rsidR="00CF28F8" w:rsidRPr="00641C64">
        <w:rPr>
          <w:rFonts w:ascii="Times New Roman" w:eastAsia="Times New Roman" w:hAnsi="Times New Roman" w:cs="Times New Roman"/>
          <w:color w:val="000000" w:themeColor="text1"/>
          <w:sz w:val="24"/>
          <w:szCs w:val="24"/>
        </w:rPr>
        <w:t xml:space="preserve"> (</w:t>
      </w:r>
      <w:proofErr w:type="gramStart"/>
      <w:r w:rsidR="00CF28F8" w:rsidRPr="00641C64">
        <w:rPr>
          <w:rFonts w:ascii="Times New Roman" w:eastAsia="Times New Roman" w:hAnsi="Times New Roman" w:cs="Times New Roman"/>
          <w:color w:val="000000" w:themeColor="text1"/>
          <w:sz w:val="24"/>
          <w:szCs w:val="24"/>
        </w:rPr>
        <w:t>PASTORE,</w:t>
      </w:r>
      <w:proofErr w:type="gramEnd"/>
      <w:r w:rsidR="00CF28F8" w:rsidRPr="00641C64">
        <w:rPr>
          <w:rFonts w:ascii="Times New Roman" w:eastAsia="Times New Roman" w:hAnsi="Times New Roman" w:cs="Times New Roman"/>
          <w:color w:val="000000" w:themeColor="text1"/>
          <w:sz w:val="24"/>
          <w:szCs w:val="24"/>
        </w:rPr>
        <w:t xml:space="preserve"> 1979; JANNUZZI, 1999,</w:t>
      </w:r>
      <w:r w:rsidRPr="00641C64">
        <w:rPr>
          <w:rFonts w:ascii="Times New Roman" w:eastAsia="Times New Roman" w:hAnsi="Times New Roman" w:cs="Times New Roman"/>
          <w:color w:val="000000" w:themeColor="text1"/>
          <w:sz w:val="24"/>
          <w:szCs w:val="24"/>
        </w:rPr>
        <w:t xml:space="preserve"> 2004b). Segundo Jannuzzi, </w:t>
      </w:r>
      <w:proofErr w:type="spellStart"/>
      <w:r w:rsidRPr="00641C64">
        <w:rPr>
          <w:rFonts w:ascii="Times New Roman" w:eastAsia="Times New Roman" w:hAnsi="Times New Roman" w:cs="Times New Roman"/>
          <w:color w:val="000000" w:themeColor="text1"/>
          <w:sz w:val="24"/>
          <w:szCs w:val="24"/>
        </w:rPr>
        <w:t>Montagner</w:t>
      </w:r>
      <w:proofErr w:type="spellEnd"/>
      <w:r w:rsidRPr="00641C64">
        <w:rPr>
          <w:rFonts w:ascii="Times New Roman" w:eastAsia="Times New Roman" w:hAnsi="Times New Roman" w:cs="Times New Roman"/>
          <w:color w:val="000000" w:themeColor="text1"/>
          <w:sz w:val="24"/>
          <w:szCs w:val="24"/>
        </w:rPr>
        <w:t xml:space="preserve"> e Taira (2017), a emigração de indivíduos para localidades de forte dinamismo econômico possibilitou maior ascensão ocupacional para parte daqueles que a empreenderam.</w:t>
      </w:r>
      <w:r w:rsidR="00D30D0A" w:rsidRPr="00641C64">
        <w:rPr>
          <w:rFonts w:ascii="Times New Roman" w:eastAsia="Times New Roman" w:hAnsi="Times New Roman" w:cs="Times New Roman"/>
          <w:color w:val="000000" w:themeColor="text1"/>
          <w:sz w:val="24"/>
          <w:szCs w:val="24"/>
        </w:rPr>
        <w:t xml:space="preserve"> </w:t>
      </w:r>
      <w:r w:rsidR="002D339F" w:rsidRPr="00641C64">
        <w:rPr>
          <w:rFonts w:ascii="Times New Roman" w:eastAsia="Times New Roman" w:hAnsi="Times New Roman" w:cs="Times New Roman"/>
          <w:color w:val="000000" w:themeColor="text1"/>
          <w:sz w:val="24"/>
          <w:szCs w:val="24"/>
        </w:rPr>
        <w:t xml:space="preserve">Merece destaque </w:t>
      </w:r>
      <w:r w:rsidRPr="00641C64">
        <w:rPr>
          <w:rFonts w:ascii="Times New Roman" w:eastAsia="Times New Roman" w:hAnsi="Times New Roman" w:cs="Times New Roman"/>
          <w:color w:val="000000" w:themeColor="text1"/>
          <w:sz w:val="24"/>
          <w:szCs w:val="24"/>
        </w:rPr>
        <w:t xml:space="preserve">os avanços sociais vivenciados no país, no período de 2003 a 2014. </w:t>
      </w:r>
      <w:r w:rsidRPr="00641C64">
        <w:rPr>
          <w:rFonts w:ascii="Times New Roman" w:eastAsia="Times New Roman" w:hAnsi="Times New Roman"/>
          <w:color w:val="000000" w:themeColor="text1"/>
          <w:sz w:val="24"/>
          <w:szCs w:val="24"/>
        </w:rPr>
        <w:t xml:space="preserve">No bojo desse processo, destacam-se a universalização e a interiorização do ensino, a expansão e o fortalecimento das políticas públicas que ampliaram as possibilidades para ascensão ocupacional, </w:t>
      </w:r>
      <w:r w:rsidRPr="00641C64">
        <w:rPr>
          <w:rFonts w:ascii="Times New Roman" w:eastAsia="Times New Roman" w:hAnsi="Times New Roman" w:cs="Times New Roman"/>
          <w:color w:val="000000" w:themeColor="text1"/>
          <w:sz w:val="24"/>
          <w:szCs w:val="24"/>
        </w:rPr>
        <w:t>principalmente entre os filhos de origens menos favorecidas socioeconomicame</w:t>
      </w:r>
      <w:r w:rsidR="00CF28F8" w:rsidRPr="00641C64">
        <w:rPr>
          <w:rFonts w:ascii="Times New Roman" w:eastAsia="Times New Roman" w:hAnsi="Times New Roman" w:cs="Times New Roman"/>
          <w:color w:val="000000" w:themeColor="text1"/>
          <w:sz w:val="24"/>
          <w:szCs w:val="24"/>
        </w:rPr>
        <w:t>nte (IBGE, 2017; JANNUZZI, 2002, 2004b,</w:t>
      </w:r>
      <w:r w:rsidRPr="00641C64">
        <w:rPr>
          <w:rFonts w:ascii="Times New Roman" w:eastAsia="Times New Roman" w:hAnsi="Times New Roman" w:cs="Times New Roman"/>
          <w:color w:val="000000" w:themeColor="text1"/>
          <w:sz w:val="24"/>
          <w:szCs w:val="24"/>
        </w:rPr>
        <w:t xml:space="preserve"> 2018; </w:t>
      </w:r>
      <w:r w:rsidR="0028646C" w:rsidRPr="00641C64">
        <w:rPr>
          <w:rFonts w:ascii="Times New Roman" w:eastAsia="Times New Roman" w:hAnsi="Times New Roman" w:cs="Times New Roman"/>
          <w:color w:val="000000" w:themeColor="text1"/>
          <w:sz w:val="24"/>
          <w:szCs w:val="24"/>
        </w:rPr>
        <w:t>PERO, 2002</w:t>
      </w:r>
      <w:r w:rsidRPr="00641C64">
        <w:rPr>
          <w:rFonts w:ascii="Times New Roman" w:eastAsia="Times New Roman" w:hAnsi="Times New Roman" w:cs="Times New Roman"/>
          <w:color w:val="000000" w:themeColor="text1"/>
          <w:sz w:val="24"/>
          <w:szCs w:val="24"/>
        </w:rPr>
        <w:t>) e de regiões menos desenvolvidas. Assim como</w:t>
      </w:r>
      <w:r w:rsidR="00D978F8" w:rsidRPr="00641C64">
        <w:rPr>
          <w:rFonts w:ascii="Times New Roman" w:eastAsia="Times New Roman" w:hAnsi="Times New Roman" w:cs="Times New Roman"/>
          <w:color w:val="000000" w:themeColor="text1"/>
          <w:sz w:val="24"/>
          <w:szCs w:val="24"/>
        </w:rPr>
        <w:t xml:space="preserve"> a</w:t>
      </w:r>
      <w:r w:rsidRPr="00641C64">
        <w:rPr>
          <w:rFonts w:ascii="Times New Roman" w:eastAsia="Times New Roman" w:hAnsi="Times New Roman" w:cs="Times New Roman"/>
          <w:color w:val="000000" w:themeColor="text1"/>
          <w:sz w:val="24"/>
          <w:szCs w:val="24"/>
        </w:rPr>
        <w:t xml:space="preserve"> </w:t>
      </w:r>
      <w:r w:rsidRPr="00641C64">
        <w:rPr>
          <w:rFonts w:ascii="Times New Roman" w:hAnsi="Times New Roman" w:cs="Times New Roman"/>
          <w:color w:val="000000" w:themeColor="text1"/>
          <w:sz w:val="24"/>
          <w:szCs w:val="24"/>
        </w:rPr>
        <w:t xml:space="preserve">redução da taxa de desemprego, aumento dos empregos formais, valorização do salário mínimo, redução das desigualdades sociais, de renda e </w:t>
      </w:r>
      <w:r w:rsidR="00D978F8" w:rsidRPr="00641C64">
        <w:rPr>
          <w:rFonts w:ascii="Times New Roman" w:hAnsi="Times New Roman" w:cs="Times New Roman"/>
          <w:color w:val="000000" w:themeColor="text1"/>
          <w:sz w:val="24"/>
          <w:szCs w:val="24"/>
        </w:rPr>
        <w:t xml:space="preserve">de gênero </w:t>
      </w:r>
      <w:r w:rsidRPr="00641C64">
        <w:rPr>
          <w:rFonts w:ascii="Times New Roman" w:hAnsi="Times New Roman" w:cs="Times New Roman"/>
          <w:color w:val="000000" w:themeColor="text1"/>
          <w:sz w:val="24"/>
          <w:szCs w:val="24"/>
        </w:rPr>
        <w:t>(BALTAR; LEONE, 2015).</w:t>
      </w:r>
    </w:p>
    <w:p w14:paraId="03DB57FB" w14:textId="77777777" w:rsidR="00F03467" w:rsidRPr="00641C64" w:rsidRDefault="000E4DD5" w:rsidP="00D172D7">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No </w:t>
      </w:r>
      <w:r w:rsidR="00465425" w:rsidRPr="00641C64">
        <w:rPr>
          <w:rFonts w:ascii="Times New Roman" w:eastAsia="Times New Roman" w:hAnsi="Times New Roman" w:cs="Times New Roman"/>
          <w:color w:val="000000" w:themeColor="text1"/>
          <w:sz w:val="24"/>
          <w:szCs w:val="24"/>
        </w:rPr>
        <w:t xml:space="preserve">cerne desses avanços sociais </w:t>
      </w:r>
      <w:r w:rsidRPr="00641C64">
        <w:rPr>
          <w:rFonts w:ascii="Times New Roman" w:eastAsia="Times New Roman" w:hAnsi="Times New Roman" w:cs="Times New Roman"/>
          <w:color w:val="000000" w:themeColor="text1"/>
          <w:sz w:val="24"/>
          <w:szCs w:val="24"/>
        </w:rPr>
        <w:t xml:space="preserve">também é preciso considerar o aumento da participação das mulheres no mercado de trabalho, associado à redução da fecundidade, </w:t>
      </w:r>
      <w:r w:rsidRPr="00641C64">
        <w:rPr>
          <w:rFonts w:ascii="Times New Roman" w:eastAsia="Times New Roman" w:hAnsi="Times New Roman" w:cs="Times New Roman"/>
          <w:color w:val="000000" w:themeColor="text1"/>
          <w:sz w:val="24"/>
          <w:szCs w:val="24"/>
        </w:rPr>
        <w:lastRenderedPageBreak/>
        <w:t xml:space="preserve">aumentos dos níveis de instrução feminina inclusive superior a dos homens, </w:t>
      </w:r>
      <w:r w:rsidR="00465425" w:rsidRPr="00641C64">
        <w:rPr>
          <w:rFonts w:ascii="Times New Roman" w:eastAsia="Times New Roman" w:hAnsi="Times New Roman" w:cs="Times New Roman"/>
          <w:color w:val="000000" w:themeColor="text1"/>
          <w:sz w:val="24"/>
          <w:szCs w:val="24"/>
        </w:rPr>
        <w:t>postergação da maternidade, entre outros</w:t>
      </w:r>
      <w:r w:rsidR="00F03467" w:rsidRPr="00641C64">
        <w:rPr>
          <w:rFonts w:ascii="Times New Roman" w:eastAsia="Times New Roman" w:hAnsi="Times New Roman" w:cs="Times New Roman"/>
          <w:color w:val="000000" w:themeColor="text1"/>
          <w:sz w:val="24"/>
          <w:szCs w:val="24"/>
        </w:rPr>
        <w:t xml:space="preserve"> fatores</w:t>
      </w:r>
      <w:r w:rsidR="00465425" w:rsidRPr="00641C64">
        <w:rPr>
          <w:rFonts w:ascii="Times New Roman" w:eastAsia="Times New Roman" w:hAnsi="Times New Roman" w:cs="Times New Roman"/>
          <w:color w:val="000000" w:themeColor="text1"/>
          <w:sz w:val="24"/>
          <w:szCs w:val="24"/>
        </w:rPr>
        <w:t xml:space="preserve"> que representam importantes mudanças nas relações de gênero (WAJNMAN, 2006). </w:t>
      </w:r>
    </w:p>
    <w:p w14:paraId="4AF68D7D" w14:textId="3887EDD4" w:rsidR="00465425" w:rsidRPr="00641C64" w:rsidRDefault="00465425" w:rsidP="00D172D7">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No entanto, n</w:t>
      </w:r>
      <w:r w:rsidR="000E4DD5" w:rsidRPr="00641C64">
        <w:rPr>
          <w:rFonts w:ascii="Times New Roman" w:eastAsia="Times New Roman" w:hAnsi="Times New Roman" w:cs="Times New Roman"/>
          <w:color w:val="000000" w:themeColor="text1"/>
          <w:sz w:val="24"/>
          <w:szCs w:val="24"/>
        </w:rPr>
        <w:t xml:space="preserve">os estudos </w:t>
      </w:r>
      <w:r w:rsidRPr="00641C64">
        <w:rPr>
          <w:rFonts w:ascii="Times New Roman" w:eastAsia="Times New Roman" w:hAnsi="Times New Roman" w:cs="Times New Roman"/>
          <w:color w:val="000000" w:themeColor="text1"/>
          <w:sz w:val="24"/>
          <w:szCs w:val="24"/>
        </w:rPr>
        <w:t>sobre mobilidade intergeracional</w:t>
      </w:r>
      <w:r w:rsidR="00F03467" w:rsidRPr="00641C64">
        <w:rPr>
          <w:rFonts w:ascii="Times New Roman" w:eastAsia="Times New Roman" w:hAnsi="Times New Roman" w:cs="Times New Roman"/>
          <w:color w:val="000000" w:themeColor="text1"/>
          <w:sz w:val="24"/>
          <w:szCs w:val="24"/>
        </w:rPr>
        <w:t xml:space="preserve"> a</w:t>
      </w:r>
      <w:r w:rsidRPr="00641C64">
        <w:rPr>
          <w:rFonts w:ascii="Times New Roman" w:eastAsia="Times New Roman" w:hAnsi="Times New Roman" w:cs="Times New Roman"/>
          <w:color w:val="000000" w:themeColor="text1"/>
          <w:sz w:val="24"/>
          <w:szCs w:val="24"/>
        </w:rPr>
        <w:t xml:space="preserve"> ênfase maior foi direcionada a mobilidade ocupacional e/ou social dos homens (</w:t>
      </w:r>
      <w:r w:rsidR="00CF28F8" w:rsidRPr="00641C64">
        <w:rPr>
          <w:rFonts w:ascii="Times New Roman" w:hAnsi="Times New Roman" w:cs="Times New Roman"/>
          <w:color w:val="000000" w:themeColor="text1"/>
          <w:sz w:val="24"/>
          <w:szCs w:val="24"/>
        </w:rPr>
        <w:t>HASENBALG, 1988; JANNUZZI, 1999, 2002,</w:t>
      </w:r>
      <w:r w:rsidR="006A4983" w:rsidRPr="00641C64">
        <w:rPr>
          <w:rFonts w:ascii="Times New Roman" w:hAnsi="Times New Roman" w:cs="Times New Roman"/>
          <w:color w:val="000000" w:themeColor="text1"/>
          <w:sz w:val="24"/>
          <w:szCs w:val="24"/>
        </w:rPr>
        <w:t xml:space="preserve"> 2004b; JANNUZZI; MONTAGNER; TAIRA, 2017; PASTORE; HALLER, 1993; PASTORE; VALLE SILVA, 2001; PASTORE; ZYLBERSTAJAM, 1992; RIBEI</w:t>
      </w:r>
      <w:r w:rsidR="00FD0206" w:rsidRPr="00641C64">
        <w:rPr>
          <w:rFonts w:ascii="Times New Roman" w:hAnsi="Times New Roman" w:cs="Times New Roman"/>
          <w:color w:val="000000" w:themeColor="text1"/>
          <w:sz w:val="24"/>
          <w:szCs w:val="24"/>
        </w:rPr>
        <w:t>RO; SCALON, 2</w:t>
      </w:r>
      <w:r w:rsidR="00100FCD" w:rsidRPr="00641C64">
        <w:rPr>
          <w:rFonts w:ascii="Times New Roman" w:hAnsi="Times New Roman" w:cs="Times New Roman"/>
          <w:color w:val="000000" w:themeColor="text1"/>
          <w:sz w:val="24"/>
          <w:szCs w:val="24"/>
        </w:rPr>
        <w:t>001; RIBEIRO, 2003, 2006, 2007</w:t>
      </w:r>
      <w:r w:rsidR="00FD0206" w:rsidRPr="00641C64">
        <w:rPr>
          <w:rFonts w:ascii="Times New Roman" w:hAnsi="Times New Roman" w:cs="Times New Roman"/>
          <w:color w:val="000000" w:themeColor="text1"/>
          <w:sz w:val="24"/>
          <w:szCs w:val="24"/>
        </w:rPr>
        <w:t>,</w:t>
      </w:r>
      <w:r w:rsidR="00100FCD" w:rsidRPr="00641C64">
        <w:rPr>
          <w:rFonts w:ascii="Times New Roman" w:hAnsi="Times New Roman" w:cs="Times New Roman"/>
          <w:color w:val="000000" w:themeColor="text1"/>
          <w:sz w:val="24"/>
          <w:szCs w:val="24"/>
        </w:rPr>
        <w:t xml:space="preserve"> 2017</w:t>
      </w:r>
      <w:r w:rsidR="006A4983" w:rsidRPr="00641C64">
        <w:rPr>
          <w:rFonts w:ascii="Times New Roman" w:hAnsi="Times New Roman" w:cs="Times New Roman"/>
          <w:color w:val="000000" w:themeColor="text1"/>
          <w:sz w:val="24"/>
          <w:szCs w:val="24"/>
        </w:rPr>
        <w:t xml:space="preserve">). Em que pese às mulheres, as pesquisas que utilizaram o Suplemento de Mobilidade Socioocupacional da PNAD compararam a ocupação das filhas em relação à posição ocupacional paterna </w:t>
      </w:r>
      <w:r w:rsidR="00FD0206" w:rsidRPr="00641C64">
        <w:rPr>
          <w:rFonts w:ascii="Times New Roman" w:hAnsi="Times New Roman" w:cs="Times New Roman"/>
          <w:color w:val="000000" w:themeColor="text1"/>
          <w:sz w:val="24"/>
          <w:szCs w:val="24"/>
        </w:rPr>
        <w:t>(ANDRADE, 1997</w:t>
      </w:r>
      <w:r w:rsidR="006A4983" w:rsidRPr="00641C64">
        <w:rPr>
          <w:rFonts w:ascii="Times New Roman" w:hAnsi="Times New Roman" w:cs="Times New Roman"/>
          <w:color w:val="000000" w:themeColor="text1"/>
          <w:sz w:val="24"/>
          <w:szCs w:val="24"/>
        </w:rPr>
        <w:t xml:space="preserve">; ANDRADE; RODRIGUES, 1996; IBGE, 2017; SCALON, 1997; SOUZA </w:t>
      </w:r>
      <w:proofErr w:type="gramStart"/>
      <w:r w:rsidR="006A4983" w:rsidRPr="00641C64">
        <w:rPr>
          <w:rFonts w:ascii="Times New Roman" w:hAnsi="Times New Roman" w:cs="Times New Roman"/>
          <w:color w:val="000000" w:themeColor="text1"/>
          <w:sz w:val="24"/>
          <w:szCs w:val="24"/>
        </w:rPr>
        <w:t>et</w:t>
      </w:r>
      <w:proofErr w:type="gramEnd"/>
      <w:r w:rsidR="006A4983" w:rsidRPr="00641C64">
        <w:rPr>
          <w:rFonts w:ascii="Times New Roman" w:hAnsi="Times New Roman" w:cs="Times New Roman"/>
          <w:color w:val="000000" w:themeColor="text1"/>
          <w:sz w:val="24"/>
          <w:szCs w:val="24"/>
        </w:rPr>
        <w:t xml:space="preserve"> al., 2009; VALLE SILVA, 2004).</w:t>
      </w:r>
      <w:r w:rsidR="00DC7697" w:rsidRPr="00641C64">
        <w:rPr>
          <w:rFonts w:ascii="Times New Roman" w:hAnsi="Times New Roman" w:cs="Times New Roman"/>
          <w:color w:val="000000" w:themeColor="text1"/>
          <w:sz w:val="24"/>
          <w:szCs w:val="24"/>
        </w:rPr>
        <w:t xml:space="preserve"> Desse modo, as trajetórias ocupacionais entre mães e filhas ainda foram pouco exploradas, tanto em âmbito nacional quanto regional. </w:t>
      </w:r>
    </w:p>
    <w:p w14:paraId="6F9EC614" w14:textId="77777777" w:rsidR="00D172D7" w:rsidRPr="00641C64" w:rsidRDefault="00D172D7" w:rsidP="00D172D7">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Considerando questões estruturais e conjunturais, além das discussões levantadas na literatura, o presente estudo tem como objetivo principal mensurar os níveis de mobilidade ocupacional intergeracional por condição de migração das mulheres no Brasil e no Nordeste, em 2014. A hipótese é que expressiva parcela das filhas que empreenderam migração logrou mobilidade intergeracional ascendente, uma vez que a mobilidade intergeracional depende tanto de características individuais, quanto da conjuntura socioeconômica, da ampliação das oportunidades ocupacionais e educacionais, e das políticas sociais inclusivas </w:t>
      </w:r>
      <w:r w:rsidRPr="00641C64">
        <w:rPr>
          <w:rFonts w:ascii="Times New Roman" w:hAnsi="Times New Roman" w:cs="Times New Roman"/>
          <w:color w:val="000000" w:themeColor="text1"/>
          <w:sz w:val="24"/>
          <w:szCs w:val="24"/>
        </w:rPr>
        <w:t>adotadas em âmbito nacional e regional</w:t>
      </w:r>
      <w:r w:rsidRPr="00641C64">
        <w:rPr>
          <w:rFonts w:ascii="Times New Roman" w:eastAsia="Times New Roman" w:hAnsi="Times New Roman" w:cs="Times New Roman"/>
          <w:color w:val="000000" w:themeColor="text1"/>
          <w:sz w:val="24"/>
          <w:szCs w:val="24"/>
        </w:rPr>
        <w:t xml:space="preserve"> (JANNUZZI, 2004b; JANNUZZI; MONTAGNER; TAIRA, 2017).</w:t>
      </w:r>
    </w:p>
    <w:p w14:paraId="3921ED05" w14:textId="227147A0" w:rsidR="00D172D7" w:rsidRPr="00641C64" w:rsidRDefault="00D172D7" w:rsidP="00D172D7">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O estudo está estruturado em quatro seções, além des</w:t>
      </w:r>
      <w:r w:rsidR="00F03467" w:rsidRPr="00641C64">
        <w:rPr>
          <w:rFonts w:ascii="Times New Roman" w:eastAsia="Times New Roman" w:hAnsi="Times New Roman" w:cs="Times New Roman"/>
          <w:color w:val="000000" w:themeColor="text1"/>
          <w:sz w:val="24"/>
          <w:szCs w:val="24"/>
        </w:rPr>
        <w:t>s</w:t>
      </w:r>
      <w:r w:rsidRPr="00641C64">
        <w:rPr>
          <w:rFonts w:ascii="Times New Roman" w:eastAsia="Times New Roman" w:hAnsi="Times New Roman" w:cs="Times New Roman"/>
          <w:color w:val="000000" w:themeColor="text1"/>
          <w:sz w:val="24"/>
          <w:szCs w:val="24"/>
        </w:rPr>
        <w:t>a introdução. A primeira seção revisa estudos sobre a mobilidade intergeracional de ocupação. A segunda apresenta os procedimentos metodológicos adotados para o alcance do objetivo proposto. Na terceira seção, têm-se as análises e discussões dos resultados sobre os níveis de mobilidade ocupacional intergeracional por condição de migração das filhas</w:t>
      </w:r>
      <w:r w:rsidR="00F03467" w:rsidRPr="00641C64">
        <w:rPr>
          <w:rFonts w:ascii="Times New Roman" w:eastAsia="Times New Roman" w:hAnsi="Times New Roman" w:cs="Times New Roman"/>
          <w:color w:val="000000" w:themeColor="text1"/>
          <w:sz w:val="24"/>
          <w:szCs w:val="24"/>
        </w:rPr>
        <w:t xml:space="preserve"> no Brasil e no Nordeste</w:t>
      </w:r>
      <w:r w:rsidRPr="00641C64">
        <w:rPr>
          <w:rFonts w:ascii="Times New Roman" w:eastAsia="Times New Roman" w:hAnsi="Times New Roman" w:cs="Times New Roman"/>
          <w:color w:val="000000" w:themeColor="text1"/>
          <w:sz w:val="24"/>
          <w:szCs w:val="24"/>
        </w:rPr>
        <w:t>. E, por fim, apresentam-se as considerações finais do estudo.</w:t>
      </w:r>
    </w:p>
    <w:p w14:paraId="658EA71D" w14:textId="77777777" w:rsidR="00D172D7" w:rsidRPr="00641C64" w:rsidRDefault="00D172D7" w:rsidP="00D172D7">
      <w:pPr>
        <w:spacing w:after="0" w:line="360" w:lineRule="auto"/>
        <w:jc w:val="both"/>
        <w:rPr>
          <w:rFonts w:ascii="Times New Roman" w:hAnsi="Times New Roman" w:cs="Times New Roman"/>
          <w:color w:val="000000" w:themeColor="text1"/>
          <w:sz w:val="24"/>
          <w:szCs w:val="24"/>
        </w:rPr>
      </w:pPr>
    </w:p>
    <w:p w14:paraId="2CADFC9F" w14:textId="7B9DAE8A" w:rsidR="00D172D7" w:rsidRPr="00641C64" w:rsidRDefault="00747E1A" w:rsidP="00D172D7">
      <w:pPr>
        <w:spacing w:after="0" w:line="360" w:lineRule="auto"/>
        <w:jc w:val="both"/>
        <w:rPr>
          <w:rFonts w:ascii="Times New Roman" w:hAnsi="Times New Roman" w:cs="Times New Roman"/>
          <w:color w:val="000000" w:themeColor="text1"/>
          <w:sz w:val="24"/>
          <w:szCs w:val="24"/>
        </w:rPr>
      </w:pPr>
      <w:proofErr w:type="gramStart"/>
      <w:r w:rsidRPr="00641C64">
        <w:rPr>
          <w:rFonts w:ascii="Times New Roman" w:hAnsi="Times New Roman" w:cs="Times New Roman"/>
          <w:b/>
          <w:bCs/>
          <w:color w:val="000000" w:themeColor="text1"/>
          <w:sz w:val="24"/>
          <w:szCs w:val="24"/>
        </w:rPr>
        <w:lastRenderedPageBreak/>
        <w:t xml:space="preserve">2 </w:t>
      </w:r>
      <w:r w:rsidR="00D172D7" w:rsidRPr="00641C64">
        <w:rPr>
          <w:rFonts w:ascii="Times New Roman" w:hAnsi="Times New Roman" w:cs="Times New Roman"/>
          <w:b/>
          <w:color w:val="000000" w:themeColor="text1"/>
          <w:sz w:val="24"/>
          <w:szCs w:val="24"/>
        </w:rPr>
        <w:t>REVISÃO</w:t>
      </w:r>
      <w:proofErr w:type="gramEnd"/>
      <w:r w:rsidR="00D172D7" w:rsidRPr="00641C64">
        <w:rPr>
          <w:rFonts w:ascii="Times New Roman" w:hAnsi="Times New Roman" w:cs="Times New Roman"/>
          <w:b/>
          <w:color w:val="000000" w:themeColor="text1"/>
          <w:sz w:val="24"/>
          <w:szCs w:val="24"/>
        </w:rPr>
        <w:t xml:space="preserve"> DE ESTUDOS SOBRE MOBILIDADE INTERGERACIONAL</w:t>
      </w:r>
    </w:p>
    <w:p w14:paraId="29C1279F" w14:textId="77777777" w:rsidR="0065191D" w:rsidRPr="00641C64" w:rsidRDefault="0065191D">
      <w:pPr>
        <w:spacing w:after="0" w:line="240" w:lineRule="auto"/>
        <w:jc w:val="both"/>
        <w:rPr>
          <w:rFonts w:ascii="Times New Roman" w:hAnsi="Times New Roman" w:cs="Times New Roman"/>
          <w:color w:val="000000" w:themeColor="text1"/>
          <w:sz w:val="24"/>
          <w:szCs w:val="24"/>
        </w:rPr>
      </w:pPr>
    </w:p>
    <w:p w14:paraId="7219B9A7" w14:textId="7FFD89C5" w:rsidR="00D172D7" w:rsidRPr="00641C64" w:rsidRDefault="00D30D0A" w:rsidP="00D172D7">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A</w:t>
      </w:r>
      <w:r w:rsidR="00BF72B4" w:rsidRPr="00641C64">
        <w:rPr>
          <w:rFonts w:ascii="Times New Roman" w:hAnsi="Times New Roman" w:cs="Times New Roman"/>
          <w:color w:val="000000" w:themeColor="text1"/>
          <w:sz w:val="24"/>
          <w:szCs w:val="24"/>
        </w:rPr>
        <w:t xml:space="preserve"> análise da mobilidade ocupacional </w:t>
      </w:r>
      <w:r w:rsidR="00596AC4" w:rsidRPr="00641C64">
        <w:rPr>
          <w:rFonts w:ascii="Times New Roman" w:hAnsi="Times New Roman" w:cs="Times New Roman"/>
          <w:color w:val="000000" w:themeColor="text1"/>
          <w:sz w:val="24"/>
          <w:szCs w:val="24"/>
        </w:rPr>
        <w:t xml:space="preserve">intergeracional </w:t>
      </w:r>
      <w:r w:rsidR="00BF72B4" w:rsidRPr="00641C64">
        <w:rPr>
          <w:rFonts w:ascii="Times New Roman" w:hAnsi="Times New Roman" w:cs="Times New Roman"/>
          <w:color w:val="000000" w:themeColor="text1"/>
          <w:sz w:val="24"/>
          <w:szCs w:val="24"/>
        </w:rPr>
        <w:t xml:space="preserve">ocorre por meio da mensuração de dois tipos de medidas: taxas absolutas e taxas relativas. A primeira consiste na proporção de indivíduos, em termos relativos, que se moveu de uma posição socioocupacional de origem (posição </w:t>
      </w:r>
      <w:proofErr w:type="gramStart"/>
      <w:r w:rsidR="00BF72B4" w:rsidRPr="00641C64">
        <w:rPr>
          <w:rFonts w:ascii="Times New Roman" w:hAnsi="Times New Roman" w:cs="Times New Roman"/>
          <w:color w:val="000000" w:themeColor="text1"/>
          <w:sz w:val="24"/>
          <w:szCs w:val="24"/>
        </w:rPr>
        <w:t>paterna/materna</w:t>
      </w:r>
      <w:proofErr w:type="gramEnd"/>
      <w:r w:rsidR="00BF72B4" w:rsidRPr="00641C64">
        <w:rPr>
          <w:rFonts w:ascii="Times New Roman" w:hAnsi="Times New Roman" w:cs="Times New Roman"/>
          <w:color w:val="000000" w:themeColor="text1"/>
          <w:sz w:val="24"/>
          <w:szCs w:val="24"/>
        </w:rPr>
        <w:t>) para outra de destino. Desse movimento mede-se</w:t>
      </w:r>
      <w:r w:rsidR="00596AC4" w:rsidRPr="00641C64">
        <w:rPr>
          <w:rFonts w:ascii="Times New Roman" w:hAnsi="Times New Roman" w:cs="Times New Roman"/>
          <w:color w:val="000000" w:themeColor="text1"/>
          <w:sz w:val="24"/>
          <w:szCs w:val="24"/>
        </w:rPr>
        <w:t>:</w:t>
      </w:r>
      <w:r w:rsidR="00BF72B4" w:rsidRPr="00641C64">
        <w:rPr>
          <w:rFonts w:ascii="Times New Roman" w:hAnsi="Times New Roman" w:cs="Times New Roman"/>
          <w:color w:val="000000" w:themeColor="text1"/>
          <w:sz w:val="24"/>
          <w:szCs w:val="24"/>
        </w:rPr>
        <w:t xml:space="preserve"> </w:t>
      </w:r>
      <w:r w:rsidR="00596AC4" w:rsidRPr="00641C64">
        <w:rPr>
          <w:rFonts w:ascii="Times New Roman" w:hAnsi="Times New Roman" w:cs="Times New Roman"/>
          <w:color w:val="000000" w:themeColor="text1"/>
          <w:sz w:val="24"/>
          <w:szCs w:val="24"/>
        </w:rPr>
        <w:t>i) a</w:t>
      </w:r>
      <w:r w:rsidR="00BF72B4" w:rsidRPr="00641C64">
        <w:rPr>
          <w:rFonts w:ascii="Times New Roman" w:hAnsi="Times New Roman" w:cs="Times New Roman"/>
          <w:color w:val="000000" w:themeColor="text1"/>
          <w:sz w:val="24"/>
          <w:szCs w:val="24"/>
        </w:rPr>
        <w:t xml:space="preserve"> mobilidade ascendente que representa a proporção de filho(a)s que experimentaram ascensão para posições ocupacionais melho</w:t>
      </w:r>
      <w:r w:rsidR="00596AC4" w:rsidRPr="00641C64">
        <w:rPr>
          <w:rFonts w:ascii="Times New Roman" w:hAnsi="Times New Roman" w:cs="Times New Roman"/>
          <w:color w:val="000000" w:themeColor="text1"/>
          <w:sz w:val="24"/>
          <w:szCs w:val="24"/>
        </w:rPr>
        <w:t xml:space="preserve">res do que de seus pais; </w:t>
      </w:r>
      <w:proofErr w:type="gramStart"/>
      <w:r w:rsidR="00596AC4" w:rsidRPr="00641C64">
        <w:rPr>
          <w:rFonts w:ascii="Times New Roman" w:hAnsi="Times New Roman" w:cs="Times New Roman"/>
          <w:color w:val="000000" w:themeColor="text1"/>
          <w:sz w:val="24"/>
          <w:szCs w:val="24"/>
        </w:rPr>
        <w:t>ii</w:t>
      </w:r>
      <w:proofErr w:type="gramEnd"/>
      <w:r w:rsidR="00596AC4" w:rsidRPr="00641C64">
        <w:rPr>
          <w:rFonts w:ascii="Times New Roman" w:hAnsi="Times New Roman" w:cs="Times New Roman"/>
          <w:color w:val="000000" w:themeColor="text1"/>
          <w:sz w:val="24"/>
          <w:szCs w:val="24"/>
        </w:rPr>
        <w:t>) i</w:t>
      </w:r>
      <w:r w:rsidR="00BF72B4" w:rsidRPr="00641C64">
        <w:rPr>
          <w:rFonts w:ascii="Times New Roman" w:hAnsi="Times New Roman" w:cs="Times New Roman"/>
          <w:color w:val="000000" w:themeColor="text1"/>
          <w:sz w:val="24"/>
          <w:szCs w:val="24"/>
        </w:rPr>
        <w:t xml:space="preserve">mobilidade </w:t>
      </w:r>
      <w:r w:rsidR="00596AC4" w:rsidRPr="00641C64">
        <w:rPr>
          <w:rFonts w:ascii="Times New Roman" w:hAnsi="Times New Roman" w:cs="Times New Roman"/>
          <w:color w:val="000000" w:themeColor="text1"/>
          <w:sz w:val="24"/>
          <w:szCs w:val="24"/>
        </w:rPr>
        <w:t xml:space="preserve">que </w:t>
      </w:r>
      <w:r w:rsidR="00BF72B4" w:rsidRPr="00641C64">
        <w:rPr>
          <w:rFonts w:ascii="Times New Roman" w:hAnsi="Times New Roman" w:cs="Times New Roman"/>
          <w:color w:val="000000" w:themeColor="text1"/>
          <w:sz w:val="24"/>
          <w:szCs w:val="24"/>
        </w:rPr>
        <w:t xml:space="preserve">é a proporção de filho(a)s </w:t>
      </w:r>
      <w:r w:rsidR="00596AC4" w:rsidRPr="00641C64">
        <w:rPr>
          <w:rFonts w:ascii="Times New Roman" w:hAnsi="Times New Roman" w:cs="Times New Roman"/>
          <w:color w:val="000000" w:themeColor="text1"/>
          <w:sz w:val="24"/>
          <w:szCs w:val="24"/>
        </w:rPr>
        <w:t>que permanecem no mesmo estrato ocupacional dos pais; e iii) a mobilidade descendente que consiste na proporção de filho(a)s que estão em posições ocupacionais inferiores em relação a dos seus pais. Por sua vez, as taxas relativas ou fluidez social expressam as chances relativas de pessoas de distintas origens moverem para outra classe de destino. Dessa forma, relevam as desigualdades de oportunidades, e quanto maior as diferenças relativas de mobilidade intergeracional dos indivíduos, mais a origem determina o destino socioocupacional, e mais desigual é a sociedade em estudo</w:t>
      </w:r>
      <w:r w:rsidR="00596AC4" w:rsidRPr="00641C64">
        <w:rPr>
          <w:color w:val="000000" w:themeColor="text1"/>
          <w:sz w:val="23"/>
          <w:szCs w:val="23"/>
        </w:rPr>
        <w:t xml:space="preserve"> </w:t>
      </w:r>
      <w:r w:rsidR="00596AC4" w:rsidRPr="00641C64">
        <w:rPr>
          <w:rFonts w:ascii="Times New Roman" w:hAnsi="Times New Roman" w:cs="Times New Roman"/>
          <w:color w:val="000000" w:themeColor="text1"/>
          <w:sz w:val="24"/>
          <w:szCs w:val="24"/>
        </w:rPr>
        <w:t xml:space="preserve">(DÍAZ, 2011). </w:t>
      </w:r>
      <w:r w:rsidRPr="00641C64">
        <w:rPr>
          <w:rFonts w:ascii="Times New Roman" w:hAnsi="Times New Roman" w:cs="Times New Roman"/>
          <w:color w:val="000000" w:themeColor="text1"/>
          <w:sz w:val="24"/>
          <w:szCs w:val="24"/>
        </w:rPr>
        <w:t xml:space="preserve">Nesta seção apresentam-se alguns achados que investigaram a mobilidade ocupacional, com ênfase na perspectiva intergeracional, </w:t>
      </w:r>
      <w:r w:rsidR="002824BA" w:rsidRPr="00641C64">
        <w:rPr>
          <w:rFonts w:ascii="Times New Roman" w:hAnsi="Times New Roman" w:cs="Times New Roman"/>
          <w:color w:val="000000" w:themeColor="text1"/>
          <w:sz w:val="24"/>
          <w:szCs w:val="24"/>
        </w:rPr>
        <w:t xml:space="preserve">em alguns </w:t>
      </w:r>
      <w:r w:rsidRPr="00641C64">
        <w:rPr>
          <w:rFonts w:ascii="Times New Roman" w:hAnsi="Times New Roman" w:cs="Times New Roman"/>
          <w:color w:val="000000" w:themeColor="text1"/>
          <w:sz w:val="24"/>
          <w:szCs w:val="24"/>
        </w:rPr>
        <w:t xml:space="preserve">países </w:t>
      </w:r>
      <w:r w:rsidR="002824BA" w:rsidRPr="00641C64">
        <w:rPr>
          <w:rFonts w:ascii="Times New Roman" w:hAnsi="Times New Roman" w:cs="Times New Roman"/>
          <w:color w:val="000000" w:themeColor="text1"/>
          <w:sz w:val="24"/>
          <w:szCs w:val="24"/>
        </w:rPr>
        <w:t xml:space="preserve">desenvolvidos (França, Holanda e Estados Unidos) </w:t>
      </w:r>
      <w:r w:rsidRPr="00641C64">
        <w:rPr>
          <w:rFonts w:ascii="Times New Roman" w:hAnsi="Times New Roman" w:cs="Times New Roman"/>
          <w:color w:val="000000" w:themeColor="text1"/>
          <w:sz w:val="24"/>
          <w:szCs w:val="24"/>
        </w:rPr>
        <w:t>e em desenvolvimento</w:t>
      </w:r>
      <w:r w:rsidR="002824BA" w:rsidRPr="00641C64">
        <w:rPr>
          <w:rFonts w:ascii="Times New Roman" w:hAnsi="Times New Roman" w:cs="Times New Roman"/>
          <w:color w:val="000000" w:themeColor="text1"/>
          <w:sz w:val="24"/>
          <w:szCs w:val="24"/>
        </w:rPr>
        <w:t xml:space="preserve"> (Argentina, Uruguai e Brasil)</w:t>
      </w:r>
      <w:r w:rsidRPr="00641C64">
        <w:rPr>
          <w:rFonts w:ascii="Times New Roman" w:hAnsi="Times New Roman" w:cs="Times New Roman"/>
          <w:color w:val="000000" w:themeColor="text1"/>
          <w:sz w:val="24"/>
          <w:szCs w:val="24"/>
        </w:rPr>
        <w:t>.</w:t>
      </w:r>
      <w:r w:rsidR="002824BA" w:rsidRPr="00641C64">
        <w:rPr>
          <w:rFonts w:ascii="Times New Roman" w:hAnsi="Times New Roman" w:cs="Times New Roman"/>
          <w:color w:val="000000" w:themeColor="text1"/>
          <w:sz w:val="24"/>
          <w:szCs w:val="24"/>
        </w:rPr>
        <w:t xml:space="preserve"> </w:t>
      </w:r>
    </w:p>
    <w:p w14:paraId="5FF43307" w14:textId="77777777" w:rsidR="00D172D7" w:rsidRPr="00641C64" w:rsidRDefault="00D172D7" w:rsidP="00D172D7">
      <w:pPr>
        <w:spacing w:after="0" w:line="360" w:lineRule="auto"/>
        <w:ind w:firstLine="709"/>
        <w:jc w:val="both"/>
        <w:rPr>
          <w:rFonts w:ascii="Times New Roman" w:hAnsi="Times New Roman" w:cs="Times New Roman"/>
          <w:color w:val="000000" w:themeColor="text1"/>
          <w:sz w:val="24"/>
          <w:szCs w:val="24"/>
        </w:rPr>
      </w:pPr>
      <w:proofErr w:type="spellStart"/>
      <w:r w:rsidRPr="00641C64">
        <w:rPr>
          <w:rFonts w:ascii="Times New Roman" w:hAnsi="Times New Roman" w:cs="Times New Roman"/>
          <w:color w:val="000000" w:themeColor="text1"/>
          <w:sz w:val="24"/>
          <w:szCs w:val="24"/>
        </w:rPr>
        <w:t>Vallet</w:t>
      </w:r>
      <w:proofErr w:type="spellEnd"/>
      <w:r w:rsidRPr="00641C64">
        <w:rPr>
          <w:rFonts w:ascii="Times New Roman" w:hAnsi="Times New Roman" w:cs="Times New Roman"/>
          <w:color w:val="000000" w:themeColor="text1"/>
          <w:sz w:val="24"/>
          <w:szCs w:val="24"/>
        </w:rPr>
        <w:t xml:space="preserve"> (2004) examinou as mudanças nas taxas de mobilidade absoluta e relativa de homens e mulheres e o papel da educação no padrão de mobilidade social, entre as décadas de 1970 e 1990</w:t>
      </w:r>
      <w:r w:rsidR="00D30D0A" w:rsidRPr="00641C64">
        <w:rPr>
          <w:rFonts w:ascii="Times New Roman" w:hAnsi="Times New Roman" w:cs="Times New Roman"/>
          <w:color w:val="000000" w:themeColor="text1"/>
          <w:sz w:val="24"/>
          <w:szCs w:val="24"/>
        </w:rPr>
        <w:t xml:space="preserve"> na França</w:t>
      </w:r>
      <w:r w:rsidRPr="00641C64">
        <w:rPr>
          <w:rFonts w:ascii="Times New Roman" w:hAnsi="Times New Roman" w:cs="Times New Roman"/>
          <w:color w:val="000000" w:themeColor="text1"/>
          <w:sz w:val="24"/>
          <w:szCs w:val="24"/>
        </w:rPr>
        <w:t xml:space="preserve">. Os apontamentos mostram que ao longo do período reduziu as desigualdades sociais e aumentou as chances de mobilidade social. Nesse sentido, houve declínio da distância entre as classes sociais, sobretudo da agrícola em relação às demais do sistema de estratificação social. Dentre os principais determinantes do aumento da fluidez social, cita a redução das desigualdades de oportunidades educacionais e dos retornos educacionais. Além disso, no caso francês, a maior abertura social também se deve ao efeito composição: a expansão do ensino aumentou o número e influência dos indivíduos com mais instrução, nos quais o peso da origem é mais fraco sobre o destino socioocupacional. </w:t>
      </w:r>
    </w:p>
    <w:p w14:paraId="36567B05" w14:textId="0ACD678B" w:rsidR="00D172D7" w:rsidRPr="00641C64" w:rsidRDefault="00D172D7" w:rsidP="00D172D7">
      <w:pPr>
        <w:spacing w:after="0" w:line="360" w:lineRule="auto"/>
        <w:ind w:firstLine="709"/>
        <w:jc w:val="both"/>
        <w:rPr>
          <w:rFonts w:ascii="Times New Roman" w:hAnsi="Times New Roman" w:cs="Times New Roman"/>
          <w:color w:val="000000" w:themeColor="text1"/>
          <w:sz w:val="24"/>
          <w:szCs w:val="24"/>
        </w:rPr>
      </w:pPr>
      <w:proofErr w:type="spellStart"/>
      <w:r w:rsidRPr="00641C64">
        <w:rPr>
          <w:rFonts w:ascii="Times New Roman" w:hAnsi="Times New Roman" w:cs="Times New Roman"/>
          <w:color w:val="000000" w:themeColor="text1"/>
          <w:sz w:val="24"/>
          <w:szCs w:val="24"/>
        </w:rPr>
        <w:t>Ganzeboom</w:t>
      </w:r>
      <w:proofErr w:type="spellEnd"/>
      <w:r w:rsidRPr="00641C64">
        <w:rPr>
          <w:rFonts w:ascii="Times New Roman" w:hAnsi="Times New Roman" w:cs="Times New Roman"/>
          <w:color w:val="000000" w:themeColor="text1"/>
          <w:sz w:val="24"/>
          <w:szCs w:val="24"/>
        </w:rPr>
        <w:t xml:space="preserve"> e </w:t>
      </w:r>
      <w:proofErr w:type="spellStart"/>
      <w:r w:rsidRPr="00641C64">
        <w:rPr>
          <w:rFonts w:ascii="Times New Roman" w:hAnsi="Times New Roman" w:cs="Times New Roman"/>
          <w:color w:val="000000" w:themeColor="text1"/>
          <w:sz w:val="24"/>
          <w:szCs w:val="24"/>
        </w:rPr>
        <w:t>Luijkx</w:t>
      </w:r>
      <w:proofErr w:type="spellEnd"/>
      <w:r w:rsidRPr="00641C64">
        <w:rPr>
          <w:rFonts w:ascii="Times New Roman" w:hAnsi="Times New Roman" w:cs="Times New Roman"/>
          <w:color w:val="000000" w:themeColor="text1"/>
          <w:sz w:val="24"/>
          <w:szCs w:val="24"/>
        </w:rPr>
        <w:t xml:space="preserve"> (2004) analisaram o padrão de mobilidade ocupacional intergeracional na Holanda entre 1970 e 1999. Duas questões direcionaram o escopo da </w:t>
      </w:r>
      <w:r w:rsidRPr="00641C64">
        <w:rPr>
          <w:rFonts w:ascii="Times New Roman" w:hAnsi="Times New Roman" w:cs="Times New Roman"/>
          <w:color w:val="000000" w:themeColor="text1"/>
          <w:sz w:val="24"/>
          <w:szCs w:val="24"/>
        </w:rPr>
        <w:lastRenderedPageBreak/>
        <w:t xml:space="preserve">pesquisa: i) verificar se as tendências de fluidez social seguiam aumentando ou não até o final do século XX; e </w:t>
      </w:r>
      <w:proofErr w:type="gramStart"/>
      <w:r w:rsidRPr="00641C64">
        <w:rPr>
          <w:rFonts w:ascii="Times New Roman" w:hAnsi="Times New Roman" w:cs="Times New Roman"/>
          <w:color w:val="000000" w:themeColor="text1"/>
          <w:sz w:val="24"/>
          <w:szCs w:val="24"/>
        </w:rPr>
        <w:t>ii</w:t>
      </w:r>
      <w:proofErr w:type="gramEnd"/>
      <w:r w:rsidRPr="00641C64">
        <w:rPr>
          <w:rFonts w:ascii="Times New Roman" w:hAnsi="Times New Roman" w:cs="Times New Roman"/>
          <w:color w:val="000000" w:themeColor="text1"/>
          <w:sz w:val="24"/>
          <w:szCs w:val="24"/>
        </w:rPr>
        <w:t xml:space="preserve">) analisar se as mulheres seguiam dinâmica semelhante a dos homens. As principais conclusões do estudo mostram que reduziu a tendência de reprodução social para ambos os sexos, ao longo do período. Ainda assim, para os homens a transferência intergeracional direta foi mais forte, historicamente estável e distinta por classe social. Enquanto nas classes mais baixas a herança social foi particularmente pequena. Desse modo, concluem que os Países Baixos saíram de uma sociedade fechada – com muita desigualdade de oportunidades -, na década de 1950, para outrora mais aberta nos anos 2000. </w:t>
      </w:r>
    </w:p>
    <w:p w14:paraId="3A9F10EC" w14:textId="43837453" w:rsidR="00D172D7" w:rsidRPr="00641C64" w:rsidRDefault="00D172D7" w:rsidP="00D4610E">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Na América do Norte, </w:t>
      </w:r>
      <w:proofErr w:type="spellStart"/>
      <w:r w:rsidR="00D4610E" w:rsidRPr="00641C64">
        <w:rPr>
          <w:rFonts w:ascii="Times New Roman" w:hAnsi="Times New Roman" w:cs="Times New Roman"/>
          <w:color w:val="000000" w:themeColor="text1"/>
          <w:sz w:val="24"/>
          <w:szCs w:val="24"/>
        </w:rPr>
        <w:t>Hout</w:t>
      </w:r>
      <w:proofErr w:type="spellEnd"/>
      <w:r w:rsidR="00D4610E" w:rsidRPr="00641C64">
        <w:rPr>
          <w:rFonts w:ascii="Times New Roman" w:hAnsi="Times New Roman" w:cs="Times New Roman"/>
          <w:color w:val="000000" w:themeColor="text1"/>
          <w:sz w:val="24"/>
          <w:szCs w:val="24"/>
        </w:rPr>
        <w:t xml:space="preserve"> (1988) analisou</w:t>
      </w:r>
      <w:r w:rsidRPr="00641C64">
        <w:rPr>
          <w:rFonts w:ascii="Times New Roman" w:hAnsi="Times New Roman" w:cs="Times New Roman"/>
          <w:color w:val="000000" w:themeColor="text1"/>
          <w:sz w:val="24"/>
          <w:szCs w:val="24"/>
        </w:rPr>
        <w:t xml:space="preserve"> a mobilidade ocupacional nos Estados Unidos</w:t>
      </w:r>
      <w:r w:rsidR="00D4610E" w:rsidRPr="00641C64">
        <w:rPr>
          <w:rFonts w:ascii="Times New Roman" w:hAnsi="Times New Roman" w:cs="Times New Roman"/>
          <w:color w:val="000000" w:themeColor="text1"/>
          <w:sz w:val="24"/>
          <w:szCs w:val="24"/>
        </w:rPr>
        <w:t xml:space="preserve">, </w:t>
      </w:r>
      <w:r w:rsidR="00D4610E" w:rsidRPr="00641C64">
        <w:rPr>
          <w:rFonts w:ascii="Times New Roman" w:hAnsi="Times New Roman" w:cs="Times New Roman"/>
          <w:color w:val="000000" w:themeColor="text1"/>
          <w:sz w:val="24"/>
          <w:szCs w:val="24"/>
        </w:rPr>
        <w:t>entre 1972-1975 e 1982-1985</w:t>
      </w:r>
      <w:r w:rsidRPr="00641C64">
        <w:rPr>
          <w:rFonts w:ascii="Times New Roman" w:hAnsi="Times New Roman" w:cs="Times New Roman"/>
          <w:color w:val="000000" w:themeColor="text1"/>
          <w:sz w:val="24"/>
          <w:szCs w:val="24"/>
        </w:rPr>
        <w:t xml:space="preserve">. </w:t>
      </w:r>
      <w:r w:rsidR="00D4610E" w:rsidRPr="00641C64">
        <w:rPr>
          <w:rFonts w:ascii="Times New Roman" w:hAnsi="Times New Roman" w:cs="Times New Roman"/>
          <w:color w:val="000000" w:themeColor="text1"/>
          <w:sz w:val="24"/>
          <w:szCs w:val="24"/>
        </w:rPr>
        <w:t>Os principais resultados a</w:t>
      </w:r>
      <w:r w:rsidRPr="00641C64">
        <w:rPr>
          <w:rFonts w:ascii="Times New Roman" w:hAnsi="Times New Roman" w:cs="Times New Roman"/>
          <w:color w:val="000000" w:themeColor="text1"/>
          <w:sz w:val="24"/>
          <w:szCs w:val="24"/>
        </w:rPr>
        <w:t>ponta</w:t>
      </w:r>
      <w:r w:rsidR="00D4610E" w:rsidRPr="00641C64">
        <w:rPr>
          <w:rFonts w:ascii="Times New Roman" w:hAnsi="Times New Roman" w:cs="Times New Roman"/>
          <w:color w:val="000000" w:themeColor="text1"/>
          <w:sz w:val="24"/>
          <w:szCs w:val="24"/>
        </w:rPr>
        <w:t>m</w:t>
      </w:r>
      <w:r w:rsidRPr="00641C64">
        <w:rPr>
          <w:rFonts w:ascii="Times New Roman" w:hAnsi="Times New Roman" w:cs="Times New Roman"/>
          <w:color w:val="000000" w:themeColor="text1"/>
          <w:sz w:val="24"/>
          <w:szCs w:val="24"/>
        </w:rPr>
        <w:t xml:space="preserve"> que a origem tornou-se menos determinante para o destino socioeconômico de homens e mulheres</w:t>
      </w:r>
      <w:r w:rsidR="00CB4374" w:rsidRPr="00641C64">
        <w:rPr>
          <w:rFonts w:ascii="Times New Roman" w:hAnsi="Times New Roman" w:cs="Times New Roman"/>
          <w:color w:val="000000" w:themeColor="text1"/>
          <w:sz w:val="24"/>
          <w:szCs w:val="24"/>
        </w:rPr>
        <w:t xml:space="preserve"> nos Estados Unidos</w:t>
      </w:r>
      <w:r w:rsidRPr="00641C64">
        <w:rPr>
          <w:rFonts w:ascii="Times New Roman" w:hAnsi="Times New Roman" w:cs="Times New Roman"/>
          <w:color w:val="000000" w:themeColor="text1"/>
          <w:sz w:val="24"/>
          <w:szCs w:val="24"/>
        </w:rPr>
        <w:t>, com uma redução de um terço</w:t>
      </w:r>
      <w:r w:rsidR="00D4610E" w:rsidRPr="00641C64">
        <w:rPr>
          <w:rFonts w:ascii="Times New Roman" w:hAnsi="Times New Roman" w:cs="Times New Roman"/>
          <w:color w:val="000000" w:themeColor="text1"/>
          <w:sz w:val="24"/>
          <w:szCs w:val="24"/>
        </w:rPr>
        <w:t xml:space="preserve"> no período</w:t>
      </w:r>
      <w:r w:rsidRPr="00641C64">
        <w:rPr>
          <w:rFonts w:ascii="Times New Roman" w:hAnsi="Times New Roman" w:cs="Times New Roman"/>
          <w:color w:val="000000" w:themeColor="text1"/>
          <w:sz w:val="24"/>
          <w:szCs w:val="24"/>
        </w:rPr>
        <w:t>. Fruto do aumento de pessoas com diplomas de Ensino Superior que contribuíram para a redução das desigualdades de oportunidades. Para os trabalhadores com graduação, a associação entre origem e destino foi mais fraca, em contrapartida foi mais forte para aqueles que não possuíam Ensino Superior. Dessa maneira, constataram maior igualdade de oportunidades para os indivíduos americanos. Ainda assim, a mobilidade total não se alterou entre 1972-1975 e 1982-1985. Porquanto, a mobilidade ocupacional ascendente ainda era maior do que a descendente, sobretudo para o sexo feminino.</w:t>
      </w:r>
    </w:p>
    <w:p w14:paraId="067F26DE" w14:textId="3EB132A1" w:rsidR="00D172D7" w:rsidRPr="00641C64" w:rsidRDefault="00D172D7" w:rsidP="002824BA">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Quanto </w:t>
      </w:r>
      <w:proofErr w:type="gramStart"/>
      <w:r w:rsidRPr="00641C64">
        <w:rPr>
          <w:rFonts w:ascii="Times New Roman" w:hAnsi="Times New Roman" w:cs="Times New Roman"/>
          <w:color w:val="000000" w:themeColor="text1"/>
          <w:sz w:val="24"/>
          <w:szCs w:val="24"/>
        </w:rPr>
        <w:t>as</w:t>
      </w:r>
      <w:proofErr w:type="gramEnd"/>
      <w:r w:rsidRPr="00641C64">
        <w:rPr>
          <w:rFonts w:ascii="Times New Roman" w:hAnsi="Times New Roman" w:cs="Times New Roman"/>
          <w:color w:val="000000" w:themeColor="text1"/>
          <w:sz w:val="24"/>
          <w:szCs w:val="24"/>
        </w:rPr>
        <w:t xml:space="preserve"> pesquisas que se referem aos países em desenvolvimento, apresenta-se </w:t>
      </w:r>
      <w:r w:rsidR="0077550C" w:rsidRPr="00641C64">
        <w:rPr>
          <w:rFonts w:ascii="Times New Roman" w:hAnsi="Times New Roman" w:cs="Times New Roman"/>
          <w:color w:val="000000" w:themeColor="text1"/>
          <w:sz w:val="24"/>
          <w:szCs w:val="24"/>
        </w:rPr>
        <w:t xml:space="preserve">alguns </w:t>
      </w:r>
      <w:r w:rsidRPr="00641C64">
        <w:rPr>
          <w:rFonts w:ascii="Times New Roman" w:hAnsi="Times New Roman" w:cs="Times New Roman"/>
          <w:color w:val="000000" w:themeColor="text1"/>
          <w:sz w:val="24"/>
          <w:szCs w:val="24"/>
        </w:rPr>
        <w:t>estudos sobre os países da Amér</w:t>
      </w:r>
      <w:r w:rsidR="00D4610E" w:rsidRPr="00641C64">
        <w:rPr>
          <w:rFonts w:ascii="Times New Roman" w:hAnsi="Times New Roman" w:cs="Times New Roman"/>
          <w:color w:val="000000" w:themeColor="text1"/>
          <w:sz w:val="24"/>
          <w:szCs w:val="24"/>
        </w:rPr>
        <w:t>ica do Sul, a saber: Argentina,</w:t>
      </w:r>
      <w:r w:rsidRPr="00641C64">
        <w:rPr>
          <w:rFonts w:ascii="Times New Roman" w:hAnsi="Times New Roman" w:cs="Times New Roman"/>
          <w:color w:val="000000" w:themeColor="text1"/>
          <w:sz w:val="24"/>
          <w:szCs w:val="24"/>
        </w:rPr>
        <w:t xml:space="preserve"> Uruguai</w:t>
      </w:r>
      <w:r w:rsidR="00D4610E" w:rsidRPr="00641C64">
        <w:rPr>
          <w:rFonts w:ascii="Times New Roman" w:hAnsi="Times New Roman" w:cs="Times New Roman"/>
          <w:color w:val="000000" w:themeColor="text1"/>
          <w:sz w:val="24"/>
          <w:szCs w:val="24"/>
        </w:rPr>
        <w:t xml:space="preserve"> e Brasil</w:t>
      </w:r>
      <w:r w:rsidRPr="00641C64">
        <w:rPr>
          <w:rFonts w:ascii="Times New Roman" w:hAnsi="Times New Roman" w:cs="Times New Roman"/>
          <w:color w:val="000000" w:themeColor="text1"/>
          <w:sz w:val="24"/>
          <w:szCs w:val="24"/>
        </w:rPr>
        <w:t xml:space="preserve">. </w:t>
      </w:r>
      <w:proofErr w:type="spellStart"/>
      <w:r w:rsidRPr="00641C64">
        <w:rPr>
          <w:rFonts w:ascii="Times New Roman" w:hAnsi="Times New Roman" w:cs="Times New Roman"/>
          <w:color w:val="000000" w:themeColor="text1"/>
          <w:sz w:val="24"/>
          <w:szCs w:val="24"/>
        </w:rPr>
        <w:t>Dalle</w:t>
      </w:r>
      <w:proofErr w:type="spellEnd"/>
      <w:r w:rsidRPr="00641C64">
        <w:rPr>
          <w:rFonts w:ascii="Times New Roman" w:hAnsi="Times New Roman" w:cs="Times New Roman"/>
          <w:color w:val="000000" w:themeColor="text1"/>
          <w:sz w:val="24"/>
          <w:szCs w:val="24"/>
        </w:rPr>
        <w:t xml:space="preserve"> (2015) analisou a mobilidade social intergeracional na Argentina nos anos </w:t>
      </w:r>
      <w:r w:rsidR="00D81A07" w:rsidRPr="00641C64">
        <w:rPr>
          <w:rFonts w:ascii="Times New Roman" w:hAnsi="Times New Roman" w:cs="Times New Roman"/>
          <w:color w:val="000000" w:themeColor="text1"/>
          <w:sz w:val="24"/>
          <w:szCs w:val="24"/>
        </w:rPr>
        <w:t xml:space="preserve">de </w:t>
      </w:r>
      <w:r w:rsidRPr="00641C64">
        <w:rPr>
          <w:rFonts w:ascii="Times New Roman" w:hAnsi="Times New Roman" w:cs="Times New Roman"/>
          <w:color w:val="000000" w:themeColor="text1"/>
          <w:sz w:val="24"/>
          <w:szCs w:val="24"/>
        </w:rPr>
        <w:t xml:space="preserve">2003, 2004, 2005, 2007 e 2010. Os achados evidenciam que nas duas classes socioocupacionais mais elevadas (serviços e funcionários de “colarinho branco”) aumentou a distribuição de homens e mulheres, entre 25 e 65 anos. Na classe de serviços, mais elevada em termos hierárquicos adotados pelo autor, observou-se no grupo dos homens aumento de 12% para 19%, entre 2003 e 2010, respectivamente. Quanto às mulheres, a participação saltou de 12% para 25%, nesse mesmo intervalo. Por sua vez, na classe de funcionários de “colarinho branco” as diferenças de gênero são mais acentuadas. Enquanto as mulheres aumentaram 12% em relação à origem </w:t>
      </w:r>
      <w:r w:rsidRPr="00641C64">
        <w:rPr>
          <w:rFonts w:ascii="Times New Roman" w:hAnsi="Times New Roman" w:cs="Times New Roman"/>
          <w:color w:val="000000" w:themeColor="text1"/>
          <w:sz w:val="24"/>
          <w:szCs w:val="24"/>
        </w:rPr>
        <w:lastRenderedPageBreak/>
        <w:t>paterna, os homens aumentaram apenas 3%. Em termos gerais, a análise da matriz de mobilidade social intergeracional revela que aumentou a distribuição de indivíduos nas classes de serviços e reduziu significativamente aqueles ocupados na classe de trabalhadores rurais no período. Por sua vez, as taxas relativas de mobilidade confirmaram que se manteve constante a desigualdade de oportunidades no país, com aumento da associação entre origem e destino social dos argentinos, sobretudo do sexo masculino.</w:t>
      </w:r>
    </w:p>
    <w:p w14:paraId="5702C1B4" w14:textId="6ABCC34E" w:rsidR="00D172D7" w:rsidRPr="00641C64" w:rsidRDefault="00D172D7" w:rsidP="00D172D7">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Na perspectiva de expansão do ensino nos países da América do Sul nas últimas décadas, Rey (2017) analisou o papel do ensino superior sobre a mobilidade social intergeracional ascendente de uma amostra representativa da População Economicamente Ativa (PEA), da cidade de Montevidéu-Uruguai, no ano de 2010. A população em análise foi dividida em dois grupos: os indivíduos que têm ensino superior, e aqueles que não têm ensino superior. Os resultados mostram que os indivíduos que contam com ensino superior experimentaram, em maior volume, mobilidade intergeracional ascendente (55%) em relação àqueles que não contam (39%). Por sua vez, a imobilidade foi maior para as pessoas com nível superior, ao passo que a mobilidade descendente foi menor. Constatou</w:t>
      </w:r>
      <w:r w:rsidR="00696FC3" w:rsidRPr="00641C64">
        <w:rPr>
          <w:rFonts w:ascii="Times New Roman" w:hAnsi="Times New Roman" w:cs="Times New Roman"/>
          <w:color w:val="000000" w:themeColor="text1"/>
          <w:sz w:val="24"/>
          <w:szCs w:val="24"/>
        </w:rPr>
        <w:t>-se</w:t>
      </w:r>
      <w:r w:rsidRPr="00641C64">
        <w:rPr>
          <w:rFonts w:ascii="Times New Roman" w:hAnsi="Times New Roman" w:cs="Times New Roman"/>
          <w:color w:val="000000" w:themeColor="text1"/>
          <w:sz w:val="24"/>
          <w:szCs w:val="24"/>
        </w:rPr>
        <w:t xml:space="preserve"> que </w:t>
      </w:r>
      <w:proofErr w:type="gramStart"/>
      <w:r w:rsidRPr="00641C64">
        <w:rPr>
          <w:rFonts w:ascii="Times New Roman" w:hAnsi="Times New Roman" w:cs="Times New Roman"/>
          <w:color w:val="000000" w:themeColor="text1"/>
          <w:sz w:val="24"/>
          <w:szCs w:val="24"/>
        </w:rPr>
        <w:t>porcentagem significativa dos indivíduos com ensino superior encontram-se</w:t>
      </w:r>
      <w:proofErr w:type="gramEnd"/>
      <w:r w:rsidRPr="00641C64">
        <w:rPr>
          <w:rFonts w:ascii="Times New Roman" w:hAnsi="Times New Roman" w:cs="Times New Roman"/>
          <w:color w:val="000000" w:themeColor="text1"/>
          <w:sz w:val="24"/>
          <w:szCs w:val="24"/>
        </w:rPr>
        <w:t xml:space="preserve"> na cúspide da hierarquia social, na classe de serviços, composta por profissionais superiores, diretores, técnicos superiores, entre outros. Dessa forma, aqueles com ensino superior experimentaram melhores posições sociais.</w:t>
      </w:r>
    </w:p>
    <w:p w14:paraId="2B767CC7" w14:textId="3E380022" w:rsidR="002824BA" w:rsidRPr="00641C64" w:rsidRDefault="0077550C" w:rsidP="00D172D7">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No Brasil, o</w:t>
      </w:r>
      <w:r w:rsidRPr="00641C64">
        <w:rPr>
          <w:rFonts w:ascii="Times New Roman" w:hAnsi="Times New Roman" w:cs="Times New Roman"/>
          <w:color w:val="000000" w:themeColor="text1"/>
          <w:sz w:val="24"/>
          <w:szCs w:val="24"/>
        </w:rPr>
        <w:t>s</w:t>
      </w:r>
      <w:r w:rsidRPr="00641C64">
        <w:rPr>
          <w:rFonts w:ascii="Times New Roman" w:hAnsi="Times New Roman" w:cs="Times New Roman"/>
          <w:color w:val="000000" w:themeColor="text1"/>
          <w:sz w:val="24"/>
          <w:szCs w:val="24"/>
        </w:rPr>
        <w:t xml:space="preserve"> estudos de Ribeiro (2003, 2006,</w:t>
      </w:r>
      <w:r w:rsidRPr="00641C64">
        <w:rPr>
          <w:rFonts w:ascii="Times New Roman" w:hAnsi="Times New Roman" w:cs="Times New Roman"/>
          <w:color w:val="000000" w:themeColor="text1"/>
          <w:sz w:val="24"/>
          <w:szCs w:val="24"/>
        </w:rPr>
        <w:t xml:space="preserve"> 2007) evidenciam que ao longo das últimas décadas se ampliaram os canais de mobilidade e o país se tornou mais fluído, ou seja, a origem de classe determinou menos o destino social dos indivíduos. Ademais, as chances de mobilidade ascendente foram três vezes superiores em relação as descendentes, entre 1973 e 1996. Desse modo, embora as desigualdades sociais não tenham </w:t>
      </w:r>
      <w:r w:rsidRPr="00641C64">
        <w:rPr>
          <w:rFonts w:ascii="Times New Roman" w:hAnsi="Times New Roman" w:cs="Times New Roman"/>
          <w:color w:val="000000" w:themeColor="text1"/>
          <w:sz w:val="24"/>
          <w:szCs w:val="24"/>
        </w:rPr>
        <w:t>desaparecido</w:t>
      </w:r>
      <w:r w:rsidRPr="00641C64">
        <w:rPr>
          <w:rFonts w:ascii="Times New Roman" w:hAnsi="Times New Roman" w:cs="Times New Roman"/>
          <w:color w:val="000000" w:themeColor="text1"/>
          <w:sz w:val="24"/>
          <w:szCs w:val="24"/>
        </w:rPr>
        <w:t xml:space="preserve"> no que se refere às chances de mobilidade social, entre 1973 e 1996, o país vislumbrou significativa redução dessas iniquidades.</w:t>
      </w:r>
      <w:r w:rsidRPr="00641C64">
        <w:rPr>
          <w:rFonts w:ascii="Times New Roman" w:hAnsi="Times New Roman" w:cs="Times New Roman"/>
          <w:color w:val="000000" w:themeColor="text1"/>
          <w:sz w:val="24"/>
          <w:szCs w:val="24"/>
        </w:rPr>
        <w:t xml:space="preserve"> Com relação </w:t>
      </w:r>
      <w:proofErr w:type="gramStart"/>
      <w:r w:rsidRPr="00641C64">
        <w:rPr>
          <w:rFonts w:ascii="Times New Roman" w:hAnsi="Times New Roman" w:cs="Times New Roman"/>
          <w:color w:val="000000" w:themeColor="text1"/>
          <w:sz w:val="24"/>
          <w:szCs w:val="24"/>
        </w:rPr>
        <w:t>as</w:t>
      </w:r>
      <w:proofErr w:type="gramEnd"/>
      <w:r w:rsidRPr="00641C64">
        <w:rPr>
          <w:rFonts w:ascii="Times New Roman" w:hAnsi="Times New Roman" w:cs="Times New Roman"/>
          <w:color w:val="000000" w:themeColor="text1"/>
          <w:sz w:val="24"/>
          <w:szCs w:val="24"/>
        </w:rPr>
        <w:t xml:space="preserve"> taxas absolutas de mobilidade, </w:t>
      </w:r>
      <w:r w:rsidR="00BC78DE" w:rsidRPr="00641C64">
        <w:rPr>
          <w:rFonts w:ascii="Times New Roman" w:hAnsi="Times New Roman" w:cs="Times New Roman"/>
          <w:color w:val="000000" w:themeColor="text1"/>
          <w:sz w:val="24"/>
          <w:szCs w:val="24"/>
        </w:rPr>
        <w:t xml:space="preserve">Jannuzzi, </w:t>
      </w:r>
      <w:proofErr w:type="spellStart"/>
      <w:r w:rsidR="00BC78DE" w:rsidRPr="00641C64">
        <w:rPr>
          <w:rFonts w:ascii="Times New Roman" w:hAnsi="Times New Roman" w:cs="Times New Roman"/>
          <w:color w:val="000000" w:themeColor="text1"/>
          <w:sz w:val="24"/>
          <w:szCs w:val="24"/>
        </w:rPr>
        <w:t>Montagner</w:t>
      </w:r>
      <w:proofErr w:type="spellEnd"/>
      <w:r w:rsidR="00BC78DE" w:rsidRPr="00641C64">
        <w:rPr>
          <w:rFonts w:ascii="Times New Roman" w:hAnsi="Times New Roman" w:cs="Times New Roman"/>
          <w:color w:val="000000" w:themeColor="text1"/>
          <w:sz w:val="24"/>
          <w:szCs w:val="24"/>
        </w:rPr>
        <w:t xml:space="preserve"> e Taira (2017) verificaram que 50,5% dos homens (de 15 a 74 anos) experimentaram mobilidade ascendente em relação aos seus pais, em 2014. Enquanto, 36,6% e 12,9% tiveram imobilidade e mobilidade descendente, respectivamente. </w:t>
      </w:r>
      <w:r w:rsidR="00224EE8" w:rsidRPr="00641C64">
        <w:rPr>
          <w:rFonts w:ascii="Times New Roman" w:hAnsi="Times New Roman" w:cs="Times New Roman"/>
          <w:color w:val="000000" w:themeColor="text1"/>
          <w:sz w:val="24"/>
          <w:szCs w:val="24"/>
        </w:rPr>
        <w:t xml:space="preserve">Adicionalmente, constataram que </w:t>
      </w:r>
      <w:r w:rsidR="00224EE8" w:rsidRPr="00641C64">
        <w:rPr>
          <w:rFonts w:ascii="Times New Roman" w:hAnsi="Times New Roman" w:cs="Times New Roman"/>
          <w:color w:val="000000" w:themeColor="text1"/>
          <w:sz w:val="24"/>
          <w:szCs w:val="24"/>
        </w:rPr>
        <w:lastRenderedPageBreak/>
        <w:t xml:space="preserve">entre 1982 e 2014, as taxas de mobilidade ascendente </w:t>
      </w:r>
      <w:r w:rsidR="006C737D" w:rsidRPr="00641C64">
        <w:rPr>
          <w:rFonts w:ascii="Times New Roman" w:hAnsi="Times New Roman" w:cs="Times New Roman"/>
          <w:color w:val="000000" w:themeColor="text1"/>
          <w:sz w:val="24"/>
          <w:szCs w:val="24"/>
        </w:rPr>
        <w:t xml:space="preserve">aumentaram no país ao passo que reduziu a imobilidade, mas a mobilidade descendente também aumentou. </w:t>
      </w:r>
    </w:p>
    <w:p w14:paraId="1FCDF2EE" w14:textId="5F31551D" w:rsidR="00D172D7" w:rsidRPr="00641C64" w:rsidRDefault="00D172D7" w:rsidP="00D172D7">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Em suma, pode-se aferir através da confluência de distintos recortes analíticos que nos países desenvolvidos houve aumento </w:t>
      </w:r>
      <w:r w:rsidR="00696FC3" w:rsidRPr="00641C64">
        <w:rPr>
          <w:rFonts w:ascii="Times New Roman" w:hAnsi="Times New Roman" w:cs="Times New Roman"/>
          <w:color w:val="000000" w:themeColor="text1"/>
          <w:sz w:val="24"/>
          <w:szCs w:val="24"/>
        </w:rPr>
        <w:t>n</w:t>
      </w:r>
      <w:r w:rsidRPr="00641C64">
        <w:rPr>
          <w:rFonts w:ascii="Times New Roman" w:hAnsi="Times New Roman" w:cs="Times New Roman"/>
          <w:color w:val="000000" w:themeColor="text1"/>
          <w:sz w:val="24"/>
          <w:szCs w:val="24"/>
        </w:rPr>
        <w:t>as taxas absolutas de mobilidade, aumento da fluidez social e redução das desigualdades de oportunidades, devido a uma série de fatores: industrialização, urbanização, expansão do ensino, aumento dos canais de mobilidade, políticas governamentais. Por sua vez, nos países em desenvolvimento temos dois cenários</w:t>
      </w:r>
      <w:r w:rsidR="00696FC3" w:rsidRPr="00641C64">
        <w:rPr>
          <w:rFonts w:ascii="Times New Roman" w:hAnsi="Times New Roman" w:cs="Times New Roman"/>
          <w:color w:val="000000" w:themeColor="text1"/>
          <w:sz w:val="24"/>
          <w:szCs w:val="24"/>
        </w:rPr>
        <w:t>:</w:t>
      </w:r>
      <w:r w:rsidRPr="00641C64">
        <w:rPr>
          <w:rFonts w:ascii="Times New Roman" w:hAnsi="Times New Roman" w:cs="Times New Roman"/>
          <w:color w:val="000000" w:themeColor="text1"/>
          <w:sz w:val="24"/>
          <w:szCs w:val="24"/>
        </w:rPr>
        <w:t xml:space="preserve"> </w:t>
      </w:r>
      <w:r w:rsidR="00696FC3" w:rsidRPr="00641C64">
        <w:rPr>
          <w:rFonts w:ascii="Times New Roman" w:hAnsi="Times New Roman" w:cs="Times New Roman"/>
          <w:color w:val="000000" w:themeColor="text1"/>
          <w:sz w:val="24"/>
          <w:szCs w:val="24"/>
        </w:rPr>
        <w:t>o</w:t>
      </w:r>
      <w:r w:rsidRPr="00641C64">
        <w:rPr>
          <w:rFonts w:ascii="Times New Roman" w:hAnsi="Times New Roman" w:cs="Times New Roman"/>
          <w:color w:val="000000" w:themeColor="text1"/>
          <w:sz w:val="24"/>
          <w:szCs w:val="24"/>
        </w:rPr>
        <w:t xml:space="preserve"> primeiro composto pela Argentina que apresentou redução das taxas absolutas de mobilidade ascendente, aumento da mobilidade descendente e imobilidade, marcado por uma estrutura social rígida</w:t>
      </w:r>
      <w:r w:rsidR="00696FC3" w:rsidRPr="00641C64">
        <w:rPr>
          <w:rFonts w:ascii="Times New Roman" w:hAnsi="Times New Roman" w:cs="Times New Roman"/>
          <w:color w:val="000000" w:themeColor="text1"/>
          <w:sz w:val="24"/>
          <w:szCs w:val="24"/>
        </w:rPr>
        <w:t>;</w:t>
      </w:r>
      <w:r w:rsidRPr="00641C64">
        <w:rPr>
          <w:rFonts w:ascii="Times New Roman" w:hAnsi="Times New Roman" w:cs="Times New Roman"/>
          <w:color w:val="000000" w:themeColor="text1"/>
          <w:sz w:val="24"/>
          <w:szCs w:val="24"/>
        </w:rPr>
        <w:t xml:space="preserve"> </w:t>
      </w:r>
      <w:r w:rsidR="00696FC3" w:rsidRPr="00641C64">
        <w:rPr>
          <w:rFonts w:ascii="Times New Roman" w:hAnsi="Times New Roman" w:cs="Times New Roman"/>
          <w:color w:val="000000" w:themeColor="text1"/>
          <w:sz w:val="24"/>
          <w:szCs w:val="24"/>
        </w:rPr>
        <w:t>e</w:t>
      </w:r>
      <w:r w:rsidRPr="00641C64">
        <w:rPr>
          <w:rFonts w:ascii="Times New Roman" w:hAnsi="Times New Roman" w:cs="Times New Roman"/>
          <w:color w:val="000000" w:themeColor="text1"/>
          <w:sz w:val="24"/>
          <w:szCs w:val="24"/>
        </w:rPr>
        <w:t xml:space="preserve"> um segundo cenário, vislumbrado pelo Uruguai</w:t>
      </w:r>
      <w:r w:rsidR="00F65487" w:rsidRPr="00641C64">
        <w:rPr>
          <w:rFonts w:ascii="Times New Roman" w:hAnsi="Times New Roman" w:cs="Times New Roman"/>
          <w:color w:val="000000" w:themeColor="text1"/>
          <w:sz w:val="24"/>
          <w:szCs w:val="24"/>
        </w:rPr>
        <w:t xml:space="preserve"> e Brasil</w:t>
      </w:r>
      <w:r w:rsidRPr="00641C64">
        <w:rPr>
          <w:rFonts w:ascii="Times New Roman" w:hAnsi="Times New Roman" w:cs="Times New Roman"/>
          <w:color w:val="000000" w:themeColor="text1"/>
          <w:sz w:val="24"/>
          <w:szCs w:val="24"/>
        </w:rPr>
        <w:t xml:space="preserve"> que ao contrário</w:t>
      </w:r>
      <w:r w:rsidR="00696FC3" w:rsidRPr="00641C64">
        <w:rPr>
          <w:rFonts w:ascii="Times New Roman" w:hAnsi="Times New Roman" w:cs="Times New Roman"/>
          <w:color w:val="000000" w:themeColor="text1"/>
          <w:sz w:val="24"/>
          <w:szCs w:val="24"/>
        </w:rPr>
        <w:t>,</w:t>
      </w:r>
      <w:r w:rsidRPr="00641C64">
        <w:rPr>
          <w:rFonts w:ascii="Times New Roman" w:hAnsi="Times New Roman" w:cs="Times New Roman"/>
          <w:color w:val="000000" w:themeColor="text1"/>
          <w:sz w:val="24"/>
          <w:szCs w:val="24"/>
        </w:rPr>
        <w:t xml:space="preserve"> apresentaram aumento da mobilidade socioocupacional ascendente. Isso devido </w:t>
      </w:r>
      <w:proofErr w:type="gramStart"/>
      <w:r w:rsidRPr="00641C64">
        <w:rPr>
          <w:rFonts w:ascii="Times New Roman" w:hAnsi="Times New Roman" w:cs="Times New Roman"/>
          <w:color w:val="000000" w:themeColor="text1"/>
          <w:sz w:val="24"/>
          <w:szCs w:val="24"/>
        </w:rPr>
        <w:t>as</w:t>
      </w:r>
      <w:proofErr w:type="gramEnd"/>
      <w:r w:rsidRPr="00641C64">
        <w:rPr>
          <w:rFonts w:ascii="Times New Roman" w:hAnsi="Times New Roman" w:cs="Times New Roman"/>
          <w:color w:val="000000" w:themeColor="text1"/>
          <w:sz w:val="24"/>
          <w:szCs w:val="24"/>
        </w:rPr>
        <w:t xml:space="preserve"> mudanças estruturais no mercado de trabalho e no sistema de ensino.</w:t>
      </w:r>
    </w:p>
    <w:p w14:paraId="3AED5473" w14:textId="77777777" w:rsidR="0065191D" w:rsidRPr="00641C64" w:rsidRDefault="0065191D">
      <w:pPr>
        <w:spacing w:after="0" w:line="240" w:lineRule="auto"/>
        <w:jc w:val="both"/>
        <w:rPr>
          <w:rFonts w:ascii="Times New Roman" w:hAnsi="Times New Roman" w:cs="Times New Roman"/>
          <w:color w:val="000000" w:themeColor="text1"/>
          <w:sz w:val="24"/>
          <w:szCs w:val="24"/>
        </w:rPr>
      </w:pPr>
    </w:p>
    <w:p w14:paraId="3DCD9E43" w14:textId="77777777" w:rsidR="00D172D7" w:rsidRPr="00641C64" w:rsidRDefault="00747E1A" w:rsidP="00D172D7">
      <w:pPr>
        <w:spacing w:after="0" w:line="360" w:lineRule="auto"/>
        <w:jc w:val="both"/>
        <w:rPr>
          <w:rFonts w:ascii="Times New Roman" w:hAnsi="Times New Roman" w:cs="Times New Roman"/>
          <w:b/>
          <w:color w:val="000000" w:themeColor="text1"/>
          <w:sz w:val="24"/>
          <w:szCs w:val="24"/>
        </w:rPr>
      </w:pPr>
      <w:r w:rsidRPr="00641C64">
        <w:rPr>
          <w:rFonts w:ascii="Times New Roman" w:hAnsi="Times New Roman" w:cs="Times New Roman"/>
          <w:b/>
          <w:bCs/>
          <w:color w:val="000000" w:themeColor="text1"/>
          <w:sz w:val="24"/>
          <w:szCs w:val="24"/>
        </w:rPr>
        <w:t xml:space="preserve">3 </w:t>
      </w:r>
      <w:r w:rsidR="00D172D7" w:rsidRPr="00641C64">
        <w:rPr>
          <w:rFonts w:ascii="Times New Roman" w:hAnsi="Times New Roman" w:cs="Times New Roman"/>
          <w:b/>
          <w:color w:val="000000" w:themeColor="text1"/>
          <w:sz w:val="24"/>
          <w:szCs w:val="24"/>
        </w:rPr>
        <w:t>PROCEDIMENTOS METODOLÓGICOS</w:t>
      </w:r>
    </w:p>
    <w:p w14:paraId="143D4C0E" w14:textId="77777777" w:rsidR="0065191D" w:rsidRPr="00641C64" w:rsidRDefault="0065191D">
      <w:pPr>
        <w:spacing w:after="0" w:line="240" w:lineRule="auto"/>
        <w:jc w:val="both"/>
        <w:rPr>
          <w:rFonts w:ascii="Times New Roman" w:hAnsi="Times New Roman" w:cs="Times New Roman"/>
          <w:b/>
          <w:bCs/>
          <w:color w:val="000000" w:themeColor="text1"/>
          <w:sz w:val="24"/>
          <w:szCs w:val="24"/>
        </w:rPr>
      </w:pPr>
    </w:p>
    <w:p w14:paraId="0E9B7527" w14:textId="5F171DF7" w:rsidR="00D172D7" w:rsidRPr="00641C64" w:rsidRDefault="004057DB" w:rsidP="00D172D7">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Nes</w:t>
      </w:r>
      <w:r w:rsidR="00D764B2" w:rsidRPr="00641C64">
        <w:rPr>
          <w:rFonts w:ascii="Times New Roman" w:eastAsia="Times New Roman" w:hAnsi="Times New Roman" w:cs="Times New Roman"/>
          <w:color w:val="000000" w:themeColor="text1"/>
          <w:sz w:val="24"/>
          <w:szCs w:val="24"/>
        </w:rPr>
        <w:t>s</w:t>
      </w:r>
      <w:r w:rsidRPr="00641C64">
        <w:rPr>
          <w:rFonts w:ascii="Times New Roman" w:eastAsia="Times New Roman" w:hAnsi="Times New Roman" w:cs="Times New Roman"/>
          <w:color w:val="000000" w:themeColor="text1"/>
          <w:sz w:val="24"/>
          <w:szCs w:val="24"/>
        </w:rPr>
        <w:t>e estudo a principal fonte de dados utilizada para alcance do objetivo proposto foi o</w:t>
      </w:r>
      <w:r w:rsidR="00D172D7" w:rsidRPr="00641C64">
        <w:rPr>
          <w:rFonts w:ascii="Times New Roman" w:eastAsia="Times New Roman" w:hAnsi="Times New Roman" w:cs="Times New Roman"/>
          <w:color w:val="000000" w:themeColor="text1"/>
          <w:sz w:val="24"/>
          <w:szCs w:val="24"/>
        </w:rPr>
        <w:t xml:space="preserve"> Suplemento de Mobilidade Sócio-ocupacional de 2014, da Pesquisa Nacional por </w:t>
      </w:r>
      <w:r w:rsidRPr="00641C64">
        <w:rPr>
          <w:rFonts w:ascii="Times New Roman" w:eastAsia="Times New Roman" w:hAnsi="Times New Roman" w:cs="Times New Roman"/>
          <w:color w:val="000000" w:themeColor="text1"/>
          <w:sz w:val="24"/>
          <w:szCs w:val="24"/>
        </w:rPr>
        <w:t>Amostra de Domicílios (PNAD) realizada pelo</w:t>
      </w:r>
      <w:r w:rsidR="00D172D7" w:rsidRPr="00641C64">
        <w:rPr>
          <w:rFonts w:ascii="Times New Roman" w:eastAsia="Times New Roman" w:hAnsi="Times New Roman" w:cs="Times New Roman"/>
          <w:color w:val="000000" w:themeColor="text1"/>
          <w:sz w:val="24"/>
          <w:szCs w:val="24"/>
        </w:rPr>
        <w:t xml:space="preserve"> Instituto Brasileiro de </w:t>
      </w:r>
      <w:r w:rsidRPr="00641C64">
        <w:rPr>
          <w:rFonts w:ascii="Times New Roman" w:eastAsia="Times New Roman" w:hAnsi="Times New Roman" w:cs="Times New Roman"/>
          <w:color w:val="000000" w:themeColor="text1"/>
          <w:sz w:val="24"/>
          <w:szCs w:val="24"/>
        </w:rPr>
        <w:t>Geografia e Estatística (IBGE). Na PNAD</w:t>
      </w:r>
      <w:r w:rsidR="00D172D7" w:rsidRPr="00641C64">
        <w:rPr>
          <w:rFonts w:ascii="Times New Roman" w:eastAsia="Times New Roman" w:hAnsi="Times New Roman" w:cs="Times New Roman"/>
          <w:color w:val="000000" w:themeColor="text1"/>
          <w:sz w:val="24"/>
          <w:szCs w:val="24"/>
        </w:rPr>
        <w:t xml:space="preserve"> </w:t>
      </w:r>
      <w:r w:rsidRPr="00641C64">
        <w:rPr>
          <w:rFonts w:ascii="Times New Roman" w:eastAsia="Times New Roman" w:hAnsi="Times New Roman" w:cs="Times New Roman"/>
          <w:color w:val="000000" w:themeColor="text1"/>
          <w:sz w:val="24"/>
          <w:szCs w:val="24"/>
        </w:rPr>
        <w:t>além das</w:t>
      </w:r>
      <w:r w:rsidR="00D172D7" w:rsidRPr="00641C64">
        <w:rPr>
          <w:rFonts w:ascii="Times New Roman" w:eastAsia="Times New Roman" w:hAnsi="Times New Roman" w:cs="Times New Roman"/>
          <w:color w:val="000000" w:themeColor="text1"/>
          <w:sz w:val="24"/>
          <w:szCs w:val="24"/>
        </w:rPr>
        <w:t xml:space="preserve"> investigações permanente</w:t>
      </w:r>
      <w:r w:rsidRPr="00641C64">
        <w:rPr>
          <w:rFonts w:ascii="Times New Roman" w:eastAsia="Times New Roman" w:hAnsi="Times New Roman" w:cs="Times New Roman"/>
          <w:color w:val="000000" w:themeColor="text1"/>
          <w:sz w:val="24"/>
          <w:szCs w:val="24"/>
        </w:rPr>
        <w:t>s (</w:t>
      </w:r>
      <w:r w:rsidR="00D172D7" w:rsidRPr="00641C64">
        <w:rPr>
          <w:rFonts w:ascii="Times New Roman" w:eastAsia="Times New Roman" w:hAnsi="Times New Roman" w:cs="Times New Roman"/>
          <w:color w:val="000000" w:themeColor="text1"/>
          <w:sz w:val="24"/>
          <w:szCs w:val="24"/>
        </w:rPr>
        <w:t xml:space="preserve">características gerais da população, trabalho, rendimento, </w:t>
      </w:r>
      <w:r w:rsidR="00D764B2" w:rsidRPr="00641C64">
        <w:rPr>
          <w:rFonts w:ascii="Times New Roman" w:eastAsia="Times New Roman" w:hAnsi="Times New Roman" w:cs="Times New Roman"/>
          <w:color w:val="000000" w:themeColor="text1"/>
          <w:sz w:val="24"/>
          <w:szCs w:val="24"/>
        </w:rPr>
        <w:t xml:space="preserve">migração, </w:t>
      </w:r>
      <w:r w:rsidRPr="00641C64">
        <w:rPr>
          <w:rFonts w:ascii="Times New Roman" w:eastAsia="Times New Roman" w:hAnsi="Times New Roman" w:cs="Times New Roman"/>
          <w:color w:val="000000" w:themeColor="text1"/>
          <w:sz w:val="24"/>
          <w:szCs w:val="24"/>
        </w:rPr>
        <w:t>entre</w:t>
      </w:r>
      <w:r w:rsidR="00D172D7" w:rsidRPr="00641C64">
        <w:rPr>
          <w:rFonts w:ascii="Times New Roman" w:eastAsia="Times New Roman" w:hAnsi="Times New Roman" w:cs="Times New Roman"/>
          <w:color w:val="000000" w:themeColor="text1"/>
          <w:sz w:val="24"/>
          <w:szCs w:val="24"/>
        </w:rPr>
        <w:t xml:space="preserve"> outras</w:t>
      </w:r>
      <w:r w:rsidRPr="00641C64">
        <w:rPr>
          <w:rFonts w:ascii="Times New Roman" w:eastAsia="Times New Roman" w:hAnsi="Times New Roman" w:cs="Times New Roman"/>
          <w:color w:val="000000" w:themeColor="text1"/>
          <w:sz w:val="24"/>
          <w:szCs w:val="24"/>
        </w:rPr>
        <w:t>)</w:t>
      </w:r>
      <w:r w:rsidR="00D172D7" w:rsidRPr="00641C64">
        <w:rPr>
          <w:rFonts w:ascii="Times New Roman" w:eastAsia="Times New Roman" w:hAnsi="Times New Roman" w:cs="Times New Roman"/>
          <w:color w:val="000000" w:themeColor="text1"/>
          <w:sz w:val="24"/>
          <w:szCs w:val="24"/>
        </w:rPr>
        <w:t xml:space="preserve"> anualmente temas especiais</w:t>
      </w:r>
      <w:r w:rsidRPr="00641C64">
        <w:rPr>
          <w:rFonts w:ascii="Times New Roman" w:eastAsia="Times New Roman" w:hAnsi="Times New Roman" w:cs="Times New Roman"/>
          <w:color w:val="000000" w:themeColor="text1"/>
          <w:sz w:val="24"/>
          <w:szCs w:val="24"/>
        </w:rPr>
        <w:t xml:space="preserve"> são investigados. A temática da mobilidade sócio-ocupacional foi contemplada </w:t>
      </w:r>
      <w:r w:rsidR="00D172D7" w:rsidRPr="00641C64">
        <w:rPr>
          <w:rFonts w:ascii="Times New Roman" w:eastAsia="Times New Roman" w:hAnsi="Times New Roman" w:cs="Times New Roman"/>
          <w:color w:val="000000" w:themeColor="text1"/>
          <w:sz w:val="24"/>
          <w:szCs w:val="24"/>
        </w:rPr>
        <w:t xml:space="preserve">nos suplementos de 1973, 1976, 1982, 1988, 1996 e 2014. </w:t>
      </w:r>
      <w:r w:rsidR="001B757A" w:rsidRPr="00641C64">
        <w:rPr>
          <w:rFonts w:ascii="Times New Roman" w:hAnsi="Times New Roman" w:cs="Times New Roman"/>
          <w:color w:val="000000" w:themeColor="text1"/>
          <w:sz w:val="24"/>
          <w:szCs w:val="24"/>
        </w:rPr>
        <w:t>A partir do primeiro suplemento sobre mobilidade socioocupacional aplicado pelo IBGE em 1973, pesquisadores tiveram disponível um conjunto de informações sobre a trajetória ocupacional dos indivíduos e dos seus pais para descrever e analisar a estrutura de classes no Brasil, e sua intrínseca relação com as desigualdades sociais (</w:t>
      </w:r>
      <w:proofErr w:type="gramStart"/>
      <w:r w:rsidR="001B757A" w:rsidRPr="00641C64">
        <w:rPr>
          <w:rFonts w:ascii="Times New Roman" w:hAnsi="Times New Roman" w:cs="Times New Roman"/>
          <w:color w:val="000000" w:themeColor="text1"/>
          <w:sz w:val="24"/>
          <w:szCs w:val="24"/>
        </w:rPr>
        <w:t>PASTORE,</w:t>
      </w:r>
      <w:proofErr w:type="gramEnd"/>
      <w:r w:rsidR="001B757A" w:rsidRPr="00641C64">
        <w:rPr>
          <w:rFonts w:ascii="Times New Roman" w:hAnsi="Times New Roman" w:cs="Times New Roman"/>
          <w:color w:val="000000" w:themeColor="text1"/>
          <w:sz w:val="24"/>
          <w:szCs w:val="24"/>
        </w:rPr>
        <w:t xml:space="preserve"> 1979). </w:t>
      </w:r>
    </w:p>
    <w:p w14:paraId="7CEA1841" w14:textId="72ACD841" w:rsidR="00D172D7" w:rsidRPr="00641C64" w:rsidRDefault="00D172D7" w:rsidP="001B757A">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É oportuno destacar que, somente no suplemento de 2014, perguntas sobre a ocupação materna foram adicionadas ao questionário</w:t>
      </w:r>
      <w:r w:rsidR="00D764B2" w:rsidRPr="00641C64">
        <w:rPr>
          <w:rFonts w:ascii="Times New Roman" w:eastAsia="Times New Roman" w:hAnsi="Times New Roman" w:cs="Times New Roman"/>
          <w:color w:val="000000" w:themeColor="text1"/>
          <w:sz w:val="24"/>
          <w:szCs w:val="24"/>
        </w:rPr>
        <w:t>, p</w:t>
      </w:r>
      <w:r w:rsidRPr="00641C64">
        <w:rPr>
          <w:rFonts w:ascii="Times New Roman" w:eastAsia="Times New Roman" w:hAnsi="Times New Roman" w:cs="Times New Roman"/>
          <w:color w:val="000000" w:themeColor="text1"/>
          <w:sz w:val="24"/>
          <w:szCs w:val="24"/>
        </w:rPr>
        <w:t xml:space="preserve">ossibilitando estudos sobre as mudanças ocupacionais entre gerações de mães e filhas em âmbito nacional, </w:t>
      </w:r>
      <w:r w:rsidRPr="00641C64">
        <w:rPr>
          <w:rFonts w:ascii="Times New Roman" w:hAnsi="Times New Roman" w:cs="Times New Roman"/>
          <w:color w:val="000000" w:themeColor="text1"/>
          <w:sz w:val="24"/>
          <w:szCs w:val="24"/>
        </w:rPr>
        <w:t>sem o viés de gênero presente nos estudos clássicos de mo</w:t>
      </w:r>
      <w:r w:rsidR="004057DB" w:rsidRPr="00641C64">
        <w:rPr>
          <w:rFonts w:ascii="Times New Roman" w:hAnsi="Times New Roman" w:cs="Times New Roman"/>
          <w:color w:val="000000" w:themeColor="text1"/>
          <w:sz w:val="24"/>
          <w:szCs w:val="24"/>
        </w:rPr>
        <w:t xml:space="preserve">bilidade </w:t>
      </w:r>
      <w:r w:rsidRPr="00641C64">
        <w:rPr>
          <w:rFonts w:ascii="Times New Roman" w:hAnsi="Times New Roman" w:cs="Times New Roman"/>
          <w:color w:val="000000" w:themeColor="text1"/>
          <w:sz w:val="24"/>
          <w:szCs w:val="24"/>
        </w:rPr>
        <w:t>ocupacional das mulheres.</w:t>
      </w:r>
      <w:r w:rsidRPr="00641C64">
        <w:rPr>
          <w:color w:val="000000" w:themeColor="text1"/>
          <w:sz w:val="23"/>
          <w:szCs w:val="23"/>
        </w:rPr>
        <w:t xml:space="preserve"> </w:t>
      </w:r>
      <w:r w:rsidRPr="00641C64">
        <w:rPr>
          <w:rFonts w:ascii="Times New Roman" w:eastAsia="Times New Roman" w:hAnsi="Times New Roman" w:cs="Times New Roman"/>
          <w:color w:val="000000" w:themeColor="text1"/>
          <w:sz w:val="24"/>
          <w:szCs w:val="24"/>
        </w:rPr>
        <w:t xml:space="preserve">Desse modo, dada </w:t>
      </w:r>
      <w:proofErr w:type="gramStart"/>
      <w:r w:rsidRPr="00641C64">
        <w:rPr>
          <w:rFonts w:ascii="Times New Roman" w:eastAsia="Times New Roman" w:hAnsi="Times New Roman" w:cs="Times New Roman"/>
          <w:color w:val="000000" w:themeColor="text1"/>
          <w:sz w:val="24"/>
          <w:szCs w:val="24"/>
        </w:rPr>
        <w:t>a</w:t>
      </w:r>
      <w:proofErr w:type="gramEnd"/>
      <w:r w:rsidRPr="00641C64">
        <w:rPr>
          <w:rFonts w:ascii="Times New Roman" w:eastAsia="Times New Roman" w:hAnsi="Times New Roman" w:cs="Times New Roman"/>
          <w:color w:val="000000" w:themeColor="text1"/>
          <w:sz w:val="24"/>
          <w:szCs w:val="24"/>
        </w:rPr>
        <w:t xml:space="preserve"> </w:t>
      </w:r>
      <w:r w:rsidRPr="00641C64">
        <w:rPr>
          <w:rFonts w:ascii="Times New Roman" w:eastAsia="Times New Roman" w:hAnsi="Times New Roman" w:cs="Times New Roman"/>
          <w:color w:val="000000" w:themeColor="text1"/>
          <w:sz w:val="24"/>
          <w:szCs w:val="24"/>
        </w:rPr>
        <w:lastRenderedPageBreak/>
        <w:t>limitação quanto às variáveis sobre ocupação materna em cinco versões dos suplementos de mobilidade sócio-ocupacional, o recorte temporal des</w:t>
      </w:r>
      <w:r w:rsidR="00D764B2" w:rsidRPr="00641C64">
        <w:rPr>
          <w:rFonts w:ascii="Times New Roman" w:eastAsia="Times New Roman" w:hAnsi="Times New Roman" w:cs="Times New Roman"/>
          <w:color w:val="000000" w:themeColor="text1"/>
          <w:sz w:val="24"/>
          <w:szCs w:val="24"/>
        </w:rPr>
        <w:t>s</w:t>
      </w:r>
      <w:r w:rsidRPr="00641C64">
        <w:rPr>
          <w:rFonts w:ascii="Times New Roman" w:eastAsia="Times New Roman" w:hAnsi="Times New Roman" w:cs="Times New Roman"/>
          <w:color w:val="000000" w:themeColor="text1"/>
          <w:sz w:val="24"/>
          <w:szCs w:val="24"/>
        </w:rPr>
        <w:t xml:space="preserve">a pesquisa restringe-se </w:t>
      </w:r>
      <w:r w:rsidRPr="00641C64">
        <w:rPr>
          <w:rFonts w:ascii="Times New Roman" w:hAnsi="Times New Roman" w:cs="Times New Roman"/>
          <w:color w:val="000000" w:themeColor="text1"/>
          <w:sz w:val="24"/>
          <w:szCs w:val="24"/>
        </w:rPr>
        <w:t>ao ano de 2014.</w:t>
      </w:r>
      <w:r w:rsidR="001B757A"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color w:val="000000" w:themeColor="text1"/>
          <w:sz w:val="24"/>
          <w:szCs w:val="24"/>
        </w:rPr>
        <w:t xml:space="preserve">Quanto ao recorte geográfico, </w:t>
      </w:r>
      <w:r w:rsidRPr="00641C64">
        <w:rPr>
          <w:rFonts w:ascii="Times New Roman" w:eastAsia="Times New Roman" w:hAnsi="Times New Roman" w:cs="Times New Roman"/>
          <w:color w:val="000000" w:themeColor="text1"/>
          <w:sz w:val="24"/>
          <w:szCs w:val="24"/>
        </w:rPr>
        <w:t xml:space="preserve">optou-se por mensurar os níveis de mobilidade ocupacional intergeracional por condição de migração das filhas no Brasil e na região Nordeste. O intuito é analisar a relação entre a dinâmica migratória e a mobilidade ocupacional em âmbito nacional e regional. </w:t>
      </w:r>
    </w:p>
    <w:p w14:paraId="3BB17391" w14:textId="77777777" w:rsidR="0065191D" w:rsidRPr="00641C64" w:rsidRDefault="0065191D">
      <w:pPr>
        <w:spacing w:after="0" w:line="240" w:lineRule="auto"/>
        <w:jc w:val="both"/>
        <w:rPr>
          <w:rFonts w:ascii="Times New Roman" w:hAnsi="Times New Roman" w:cs="Times New Roman"/>
          <w:color w:val="000000" w:themeColor="text1"/>
          <w:sz w:val="24"/>
          <w:szCs w:val="24"/>
        </w:rPr>
      </w:pPr>
    </w:p>
    <w:p w14:paraId="21AB688E" w14:textId="77777777" w:rsidR="000A3E1B" w:rsidRPr="00641C64" w:rsidRDefault="000A3E1B" w:rsidP="000A3E1B">
      <w:pPr>
        <w:spacing w:after="0" w:line="360" w:lineRule="auto"/>
        <w:jc w:val="both"/>
        <w:rPr>
          <w:rFonts w:ascii="Times New Roman" w:eastAsia="Times New Roman" w:hAnsi="Times New Roman" w:cs="Times New Roman"/>
          <w:b/>
          <w:color w:val="000000" w:themeColor="text1"/>
          <w:sz w:val="24"/>
          <w:szCs w:val="24"/>
        </w:rPr>
      </w:pPr>
      <w:r w:rsidRPr="00641C64">
        <w:rPr>
          <w:rFonts w:ascii="Times New Roman" w:hAnsi="Times New Roman" w:cs="Times New Roman"/>
          <w:color w:val="000000" w:themeColor="text1"/>
          <w:sz w:val="24"/>
          <w:szCs w:val="24"/>
        </w:rPr>
        <w:t xml:space="preserve">3.1 </w:t>
      </w:r>
      <w:r w:rsidRPr="00641C64">
        <w:rPr>
          <w:rFonts w:ascii="Times New Roman" w:eastAsia="Times New Roman" w:hAnsi="Times New Roman" w:cs="Times New Roman"/>
          <w:color w:val="000000" w:themeColor="text1"/>
          <w:sz w:val="24"/>
          <w:szCs w:val="24"/>
        </w:rPr>
        <w:t>CONCEITOS ADOTADOS</w:t>
      </w:r>
    </w:p>
    <w:p w14:paraId="47D6D21F" w14:textId="77777777" w:rsidR="000A3E1B" w:rsidRPr="00641C64" w:rsidRDefault="000A3E1B">
      <w:pPr>
        <w:spacing w:after="0" w:line="240" w:lineRule="auto"/>
        <w:jc w:val="both"/>
        <w:rPr>
          <w:rFonts w:ascii="Times New Roman" w:hAnsi="Times New Roman" w:cs="Times New Roman"/>
          <w:color w:val="000000" w:themeColor="text1"/>
          <w:sz w:val="24"/>
          <w:szCs w:val="24"/>
        </w:rPr>
      </w:pPr>
    </w:p>
    <w:p w14:paraId="1747D47E" w14:textId="14E5860B" w:rsidR="000A3E1B" w:rsidRPr="00641C64" w:rsidRDefault="000A3E1B" w:rsidP="000A3E1B">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A amostra compreende as mulheres, com idade entre 16 a 64 anos, ocupadas na semana de referência da pesquisa. </w:t>
      </w:r>
      <w:r w:rsidR="00482C38" w:rsidRPr="00641C64">
        <w:rPr>
          <w:rFonts w:ascii="Times New Roman" w:eastAsia="Times New Roman" w:hAnsi="Times New Roman" w:cs="Times New Roman"/>
          <w:color w:val="000000" w:themeColor="text1"/>
          <w:sz w:val="24"/>
          <w:szCs w:val="24"/>
        </w:rPr>
        <w:t xml:space="preserve">Optou-se por restringir o universo de análise </w:t>
      </w:r>
      <w:proofErr w:type="gramStart"/>
      <w:r w:rsidR="00482C38" w:rsidRPr="00641C64">
        <w:rPr>
          <w:rFonts w:ascii="Times New Roman" w:eastAsia="Times New Roman" w:hAnsi="Times New Roman" w:cs="Times New Roman"/>
          <w:color w:val="000000" w:themeColor="text1"/>
          <w:sz w:val="24"/>
          <w:szCs w:val="24"/>
        </w:rPr>
        <w:t>a</w:t>
      </w:r>
      <w:proofErr w:type="gramEnd"/>
      <w:r w:rsidR="00482C38" w:rsidRPr="00641C64">
        <w:rPr>
          <w:rFonts w:ascii="Times New Roman" w:eastAsia="Times New Roman" w:hAnsi="Times New Roman" w:cs="Times New Roman"/>
          <w:color w:val="000000" w:themeColor="text1"/>
          <w:sz w:val="24"/>
          <w:szCs w:val="24"/>
        </w:rPr>
        <w:t xml:space="preserve"> respectiva faixa etária</w:t>
      </w:r>
      <w:r w:rsidR="0028646C" w:rsidRPr="00641C64">
        <w:rPr>
          <w:rFonts w:ascii="Times New Roman" w:eastAsia="Times New Roman" w:hAnsi="Times New Roman" w:cs="Times New Roman"/>
          <w:color w:val="000000" w:themeColor="text1"/>
          <w:sz w:val="24"/>
          <w:szCs w:val="24"/>
        </w:rPr>
        <w:t>,</w:t>
      </w:r>
      <w:r w:rsidR="00482C38" w:rsidRPr="00641C64">
        <w:rPr>
          <w:rFonts w:ascii="Times New Roman" w:eastAsia="Times New Roman" w:hAnsi="Times New Roman" w:cs="Times New Roman"/>
          <w:color w:val="000000" w:themeColor="text1"/>
          <w:sz w:val="24"/>
          <w:szCs w:val="24"/>
        </w:rPr>
        <w:t xml:space="preserve"> pois permite captar </w:t>
      </w:r>
      <w:r w:rsidR="00482C38" w:rsidRPr="00641C64">
        <w:rPr>
          <w:rFonts w:ascii="Times New Roman" w:hAnsi="Times New Roman" w:cs="Times New Roman"/>
          <w:color w:val="000000" w:themeColor="text1"/>
          <w:sz w:val="24"/>
          <w:szCs w:val="24"/>
        </w:rPr>
        <w:t>um leque de importantes mudanças estruturais em âmbito nacional e regional</w:t>
      </w:r>
      <w:r w:rsidR="00482C38" w:rsidRPr="00641C64">
        <w:rPr>
          <w:rFonts w:ascii="Times New Roman" w:eastAsia="Times New Roman" w:hAnsi="Times New Roman" w:cs="Times New Roman"/>
          <w:color w:val="000000" w:themeColor="text1"/>
          <w:sz w:val="24"/>
          <w:szCs w:val="24"/>
        </w:rPr>
        <w:t xml:space="preserve">. </w:t>
      </w:r>
      <w:r w:rsidR="00482C38" w:rsidRPr="00641C64">
        <w:rPr>
          <w:rFonts w:ascii="Times New Roman" w:hAnsi="Times New Roman" w:cs="Times New Roman"/>
          <w:color w:val="000000" w:themeColor="text1"/>
          <w:sz w:val="24"/>
          <w:szCs w:val="24"/>
        </w:rPr>
        <w:t xml:space="preserve">Por exemplo, uma filha de trabalhadora doméstica com 64 anos de idade em 2014, provavelmente ingressou no mercado de trabalho na década de 1950 ou 1960, período áureo da industrialização e mobilidade intergeracional no país (PASTORE; VALLE SILVA, 2001). Por outro lado, as filhas com 40 anos começaram a trabalhar nos anos </w:t>
      </w:r>
      <w:r w:rsidR="00D764B2" w:rsidRPr="00641C64">
        <w:rPr>
          <w:rFonts w:ascii="Times New Roman" w:hAnsi="Times New Roman" w:cs="Times New Roman"/>
          <w:color w:val="000000" w:themeColor="text1"/>
          <w:sz w:val="24"/>
          <w:szCs w:val="24"/>
        </w:rPr>
        <w:t xml:space="preserve">de </w:t>
      </w:r>
      <w:r w:rsidR="00482C38" w:rsidRPr="00641C64">
        <w:rPr>
          <w:rFonts w:ascii="Times New Roman" w:hAnsi="Times New Roman" w:cs="Times New Roman"/>
          <w:color w:val="000000" w:themeColor="text1"/>
          <w:sz w:val="24"/>
          <w:szCs w:val="24"/>
        </w:rPr>
        <w:t xml:space="preserve">1980 e </w:t>
      </w:r>
      <w:r w:rsidR="00D764B2" w:rsidRPr="00641C64">
        <w:rPr>
          <w:rFonts w:ascii="Times New Roman" w:hAnsi="Times New Roman" w:cs="Times New Roman"/>
          <w:color w:val="000000" w:themeColor="text1"/>
          <w:sz w:val="24"/>
          <w:szCs w:val="24"/>
        </w:rPr>
        <w:t xml:space="preserve">de </w:t>
      </w:r>
      <w:r w:rsidR="00482C38" w:rsidRPr="00641C64">
        <w:rPr>
          <w:rFonts w:ascii="Times New Roman" w:hAnsi="Times New Roman" w:cs="Times New Roman"/>
          <w:color w:val="000000" w:themeColor="text1"/>
          <w:sz w:val="24"/>
          <w:szCs w:val="24"/>
        </w:rPr>
        <w:t xml:space="preserve">1990, décadas conhecidas na literatura econômica como a década perdida e a década mais que perdida, respectivamente. </w:t>
      </w:r>
      <w:r w:rsidR="00D764B2" w:rsidRPr="00641C64">
        <w:rPr>
          <w:rFonts w:ascii="Times New Roman" w:hAnsi="Times New Roman" w:cs="Times New Roman"/>
          <w:color w:val="000000" w:themeColor="text1"/>
          <w:sz w:val="24"/>
          <w:szCs w:val="24"/>
        </w:rPr>
        <w:t xml:space="preserve">Por sua vez, </w:t>
      </w:r>
      <w:r w:rsidR="00482C38" w:rsidRPr="00641C64">
        <w:rPr>
          <w:rFonts w:ascii="Times New Roman" w:hAnsi="Times New Roman" w:cs="Times New Roman"/>
          <w:color w:val="000000" w:themeColor="text1"/>
          <w:sz w:val="24"/>
          <w:szCs w:val="24"/>
        </w:rPr>
        <w:t>as mais jovens ingressaram durante o desenvolvimento inclusivo, a partir de 2003.</w:t>
      </w:r>
    </w:p>
    <w:p w14:paraId="39AFA876" w14:textId="77777777" w:rsidR="000A3E1B" w:rsidRPr="00641C64" w:rsidRDefault="000A3E1B" w:rsidP="000A3E1B">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Para o controle da mobilidade intergeracional de ocupação, segundo a condição de migração, foram adotadas as seguintes definições para mensurar os indicadores de mobilidade das filhas não migrantes e migrantes interestaduais</w:t>
      </w:r>
      <w:r w:rsidR="001C42CE" w:rsidRPr="00641C64">
        <w:rPr>
          <w:rFonts w:ascii="Times New Roman" w:eastAsia="Times New Roman" w:hAnsi="Times New Roman" w:cs="Times New Roman"/>
          <w:color w:val="000000" w:themeColor="text1"/>
          <w:sz w:val="24"/>
          <w:szCs w:val="24"/>
        </w:rPr>
        <w:t xml:space="preserve"> no país</w:t>
      </w:r>
      <w:r w:rsidRPr="00641C64">
        <w:rPr>
          <w:rFonts w:ascii="Times New Roman" w:eastAsia="Times New Roman" w:hAnsi="Times New Roman" w:cs="Times New Roman"/>
          <w:color w:val="000000" w:themeColor="text1"/>
          <w:sz w:val="24"/>
          <w:szCs w:val="24"/>
        </w:rPr>
        <w:t>, a saber:</w:t>
      </w:r>
    </w:p>
    <w:p w14:paraId="22DE83AC" w14:textId="77777777" w:rsidR="000A3E1B" w:rsidRPr="00641C64" w:rsidRDefault="000A3E1B" w:rsidP="000A3E1B">
      <w:pPr>
        <w:spacing w:after="0" w:line="360" w:lineRule="auto"/>
        <w:ind w:left="1072"/>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i/>
          <w:iCs/>
          <w:color w:val="000000" w:themeColor="text1"/>
          <w:sz w:val="24"/>
          <w:szCs w:val="24"/>
        </w:rPr>
        <w:t>Não Migrante</w:t>
      </w:r>
      <w:r w:rsidRPr="00641C64">
        <w:rPr>
          <w:rFonts w:ascii="Times New Roman" w:eastAsia="Times New Roman" w:hAnsi="Times New Roman" w:cs="Times New Roman"/>
          <w:color w:val="000000" w:themeColor="text1"/>
          <w:sz w:val="24"/>
          <w:szCs w:val="24"/>
        </w:rPr>
        <w:t xml:space="preserve"> – indivíduo natural de determinada Unidade da Federação </w:t>
      </w:r>
      <w:r w:rsidR="001C42CE" w:rsidRPr="00641C64">
        <w:rPr>
          <w:rFonts w:ascii="Times New Roman" w:eastAsia="Times New Roman" w:hAnsi="Times New Roman" w:cs="Times New Roman"/>
          <w:color w:val="000000" w:themeColor="text1"/>
          <w:sz w:val="24"/>
          <w:szCs w:val="24"/>
        </w:rPr>
        <w:t>que nunca morou em outro estado;</w:t>
      </w:r>
    </w:p>
    <w:p w14:paraId="4D6E17EE" w14:textId="77777777" w:rsidR="000A3E1B" w:rsidRPr="00641C64" w:rsidRDefault="000A3E1B" w:rsidP="000A3E1B">
      <w:pPr>
        <w:spacing w:after="0" w:line="360" w:lineRule="auto"/>
        <w:ind w:left="1072"/>
        <w:jc w:val="both"/>
        <w:rPr>
          <w:rFonts w:ascii="Times New Roman" w:eastAsia="Times New Roman" w:hAnsi="Times New Roman" w:cs="Times New Roman"/>
          <w:color w:val="000000" w:themeColor="text1"/>
          <w:sz w:val="24"/>
          <w:szCs w:val="24"/>
        </w:rPr>
      </w:pPr>
      <w:bookmarkStart w:id="1" w:name="_heading=h.3rdcrjn" w:colFirst="0" w:colLast="0"/>
      <w:bookmarkEnd w:id="1"/>
      <w:r w:rsidRPr="00641C64">
        <w:rPr>
          <w:rFonts w:ascii="Times New Roman" w:eastAsia="Times New Roman" w:hAnsi="Times New Roman" w:cs="Times New Roman"/>
          <w:i/>
          <w:iCs/>
          <w:color w:val="000000" w:themeColor="text1"/>
          <w:sz w:val="24"/>
          <w:szCs w:val="24"/>
        </w:rPr>
        <w:t>Migrante Interestadual</w:t>
      </w:r>
      <w:r w:rsidRPr="00641C64">
        <w:rPr>
          <w:rFonts w:ascii="Times New Roman" w:eastAsia="Times New Roman" w:hAnsi="Times New Roman" w:cs="Times New Roman"/>
          <w:color w:val="000000" w:themeColor="text1"/>
          <w:sz w:val="24"/>
          <w:szCs w:val="24"/>
        </w:rPr>
        <w:t xml:space="preserve"> – indivíduo (natural ou não natural) que, na data de referência da PNAD, residia em uma Unid</w:t>
      </w:r>
      <w:r w:rsidR="001C42CE" w:rsidRPr="00641C64">
        <w:rPr>
          <w:rFonts w:ascii="Times New Roman" w:eastAsia="Times New Roman" w:hAnsi="Times New Roman" w:cs="Times New Roman"/>
          <w:color w:val="000000" w:themeColor="text1"/>
          <w:sz w:val="24"/>
          <w:szCs w:val="24"/>
        </w:rPr>
        <w:t>ade da Federação do Brasil, mas</w:t>
      </w:r>
      <w:r w:rsidRPr="00641C64">
        <w:rPr>
          <w:rFonts w:ascii="Times New Roman" w:eastAsia="Times New Roman" w:hAnsi="Times New Roman" w:cs="Times New Roman"/>
          <w:color w:val="000000" w:themeColor="text1"/>
          <w:sz w:val="24"/>
          <w:szCs w:val="24"/>
        </w:rPr>
        <w:t xml:space="preserve"> em uma data fixa (exatamente cinco anos antes do recenseamento), morava em outro estado. </w:t>
      </w:r>
    </w:p>
    <w:p w14:paraId="1398D304" w14:textId="77777777" w:rsidR="001C42CE" w:rsidRPr="00641C64" w:rsidRDefault="001C42CE" w:rsidP="001C42CE">
      <w:pPr>
        <w:spacing w:after="0" w:line="360" w:lineRule="auto"/>
        <w:ind w:firstLine="709"/>
        <w:jc w:val="both"/>
        <w:rPr>
          <w:rFonts w:ascii="Times New Roman" w:eastAsia="Times New Roman" w:hAnsi="Times New Roman" w:cs="Times New Roman"/>
          <w:iCs/>
          <w:color w:val="000000" w:themeColor="text1"/>
          <w:sz w:val="24"/>
          <w:szCs w:val="24"/>
        </w:rPr>
      </w:pPr>
      <w:r w:rsidRPr="00641C64">
        <w:rPr>
          <w:rFonts w:ascii="Times New Roman" w:eastAsia="Times New Roman" w:hAnsi="Times New Roman" w:cs="Times New Roman"/>
          <w:iCs/>
          <w:color w:val="000000" w:themeColor="text1"/>
          <w:sz w:val="24"/>
          <w:szCs w:val="24"/>
        </w:rPr>
        <w:t>Para o Nordeste, adotou-se:</w:t>
      </w:r>
    </w:p>
    <w:p w14:paraId="68E3F3DA" w14:textId="77777777" w:rsidR="001C42CE" w:rsidRPr="00641C64" w:rsidRDefault="001C42CE" w:rsidP="001C42CE">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i/>
          <w:iCs/>
          <w:color w:val="000000" w:themeColor="text1"/>
          <w:sz w:val="24"/>
          <w:szCs w:val="24"/>
        </w:rPr>
        <w:lastRenderedPageBreak/>
        <w:t>Não Migrante</w:t>
      </w:r>
      <w:r w:rsidRPr="00641C64">
        <w:rPr>
          <w:rFonts w:ascii="Times New Roman" w:eastAsia="Times New Roman" w:hAnsi="Times New Roman" w:cs="Times New Roman"/>
          <w:color w:val="000000" w:themeColor="text1"/>
          <w:sz w:val="24"/>
          <w:szCs w:val="24"/>
        </w:rPr>
        <w:t xml:space="preserve"> – indivíduo natural da região Nordeste que, na data de referência da PNAD, residia na Unidade da Federação de nascimento e nunca morou em outro estado;</w:t>
      </w:r>
    </w:p>
    <w:p w14:paraId="0C0EE344" w14:textId="4253E19D" w:rsidR="001C42CE" w:rsidRPr="00641C64" w:rsidRDefault="0028646C" w:rsidP="001C42CE">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i/>
          <w:iCs/>
          <w:color w:val="000000" w:themeColor="text1"/>
          <w:sz w:val="24"/>
          <w:szCs w:val="24"/>
        </w:rPr>
        <w:t>Em</w:t>
      </w:r>
      <w:r w:rsidR="001C42CE" w:rsidRPr="00641C64">
        <w:rPr>
          <w:rFonts w:ascii="Times New Roman" w:eastAsia="Times New Roman" w:hAnsi="Times New Roman" w:cs="Times New Roman"/>
          <w:i/>
          <w:iCs/>
          <w:color w:val="000000" w:themeColor="text1"/>
          <w:sz w:val="24"/>
          <w:szCs w:val="24"/>
        </w:rPr>
        <w:t xml:space="preserve">igrante </w:t>
      </w:r>
      <w:r w:rsidR="001C42CE" w:rsidRPr="00641C64">
        <w:rPr>
          <w:rFonts w:ascii="Times New Roman" w:eastAsia="Times New Roman" w:hAnsi="Times New Roman" w:cs="Times New Roman"/>
          <w:color w:val="000000" w:themeColor="text1"/>
          <w:sz w:val="24"/>
          <w:szCs w:val="24"/>
        </w:rPr>
        <w:t>– indivíduo (natural ou não natural) do Nordeste que, na data de referência da PNAD, residia em outra grande região do país, mas em uma data fixa (exatamente cinco anos antes do recenseamento), morava</w:t>
      </w:r>
      <w:r w:rsidR="005A61FA" w:rsidRPr="00641C64">
        <w:rPr>
          <w:rFonts w:ascii="Times New Roman" w:eastAsia="Times New Roman" w:hAnsi="Times New Roman" w:cs="Times New Roman"/>
          <w:color w:val="000000" w:themeColor="text1"/>
          <w:sz w:val="24"/>
          <w:szCs w:val="24"/>
        </w:rPr>
        <w:t xml:space="preserve"> no Nordeste.</w:t>
      </w:r>
    </w:p>
    <w:p w14:paraId="32315EDA"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p>
    <w:p w14:paraId="2B109F0C" w14:textId="77777777" w:rsidR="000A3E1B" w:rsidRPr="00641C64" w:rsidRDefault="000A3E1B">
      <w:pPr>
        <w:spacing w:after="0" w:line="240" w:lineRule="auto"/>
        <w:jc w:val="both"/>
        <w:rPr>
          <w:rFonts w:ascii="Times New Roman" w:eastAsia="Times New Roman" w:hAnsi="Times New Roman" w:cs="Times New Roman"/>
          <w:color w:val="000000" w:themeColor="text1"/>
          <w:sz w:val="24"/>
          <w:szCs w:val="24"/>
        </w:rPr>
      </w:pPr>
      <w:proofErr w:type="gramStart"/>
      <w:r w:rsidRPr="00641C64">
        <w:rPr>
          <w:rFonts w:ascii="Times New Roman" w:hAnsi="Times New Roman" w:cs="Times New Roman"/>
          <w:color w:val="000000" w:themeColor="text1"/>
          <w:sz w:val="24"/>
          <w:szCs w:val="24"/>
        </w:rPr>
        <w:t>3.2 D</w:t>
      </w:r>
      <w:r w:rsidRPr="00641C64">
        <w:rPr>
          <w:rFonts w:ascii="Times New Roman" w:eastAsia="Times New Roman" w:hAnsi="Times New Roman" w:cs="Times New Roman"/>
          <w:color w:val="000000" w:themeColor="text1"/>
          <w:sz w:val="24"/>
          <w:szCs w:val="24"/>
        </w:rPr>
        <w:t>EFINIÇÃO</w:t>
      </w:r>
      <w:proofErr w:type="gramEnd"/>
      <w:r w:rsidRPr="00641C64">
        <w:rPr>
          <w:rFonts w:ascii="Times New Roman" w:eastAsia="Times New Roman" w:hAnsi="Times New Roman" w:cs="Times New Roman"/>
          <w:color w:val="000000" w:themeColor="text1"/>
          <w:sz w:val="24"/>
          <w:szCs w:val="24"/>
        </w:rPr>
        <w:t xml:space="preserve"> DAS TAXAS ABSOLUTAS DE MOBILIDADE</w:t>
      </w:r>
    </w:p>
    <w:p w14:paraId="37B25EA2" w14:textId="77777777" w:rsidR="000A3E1B" w:rsidRPr="00641C64" w:rsidRDefault="000A3E1B">
      <w:pPr>
        <w:spacing w:after="0" w:line="240" w:lineRule="auto"/>
        <w:jc w:val="both"/>
        <w:rPr>
          <w:rFonts w:ascii="Times New Roman" w:eastAsia="Times New Roman" w:hAnsi="Times New Roman" w:cs="Times New Roman"/>
          <w:color w:val="000000" w:themeColor="text1"/>
          <w:sz w:val="24"/>
          <w:szCs w:val="24"/>
        </w:rPr>
      </w:pPr>
    </w:p>
    <w:p w14:paraId="50E54D6F" w14:textId="21317962" w:rsidR="000A3E1B" w:rsidRPr="00641C64" w:rsidRDefault="00332DAA" w:rsidP="000A3E1B">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w:t>
      </w:r>
      <w:r w:rsidR="000A3E1B" w:rsidRPr="00641C64">
        <w:rPr>
          <w:rFonts w:ascii="Times New Roman" w:eastAsia="Times New Roman" w:hAnsi="Times New Roman" w:cs="Times New Roman"/>
          <w:color w:val="000000" w:themeColor="text1"/>
          <w:sz w:val="24"/>
          <w:szCs w:val="24"/>
        </w:rPr>
        <w:t>es</w:t>
      </w:r>
      <w:r w:rsidR="00E6767E" w:rsidRPr="00641C64">
        <w:rPr>
          <w:rFonts w:ascii="Times New Roman" w:eastAsia="Times New Roman" w:hAnsi="Times New Roman" w:cs="Times New Roman"/>
          <w:color w:val="000000" w:themeColor="text1"/>
          <w:sz w:val="24"/>
          <w:szCs w:val="24"/>
        </w:rPr>
        <w:t>s</w:t>
      </w:r>
      <w:r w:rsidR="000A3E1B" w:rsidRPr="00641C64">
        <w:rPr>
          <w:rFonts w:ascii="Times New Roman" w:eastAsia="Times New Roman" w:hAnsi="Times New Roman" w:cs="Times New Roman"/>
          <w:color w:val="000000" w:themeColor="text1"/>
          <w:sz w:val="24"/>
          <w:szCs w:val="24"/>
        </w:rPr>
        <w:t xml:space="preserve">e estudo a mobilidade intergeracional de ocupação consiste na comparação entre o estrato ocupacional no trabalho atual da filha em relação ao estrato ocupacional da sua mãe, quando as filhas tinham quinze anos de idade. </w:t>
      </w:r>
      <w:r w:rsidRPr="00641C64">
        <w:rPr>
          <w:rFonts w:ascii="Times New Roman" w:eastAsia="Times New Roman" w:hAnsi="Times New Roman" w:cs="Times New Roman"/>
          <w:color w:val="000000" w:themeColor="text1"/>
          <w:sz w:val="24"/>
          <w:szCs w:val="24"/>
        </w:rPr>
        <w:t>Para tanto</w:t>
      </w:r>
      <w:r w:rsidR="00E6767E"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é necessário </w:t>
      </w:r>
      <w:proofErr w:type="gramStart"/>
      <w:r w:rsidRPr="00641C64">
        <w:rPr>
          <w:rFonts w:ascii="Times New Roman" w:eastAsia="Times New Roman" w:hAnsi="Times New Roman" w:cs="Times New Roman"/>
          <w:color w:val="000000" w:themeColor="text1"/>
          <w:sz w:val="24"/>
          <w:szCs w:val="24"/>
        </w:rPr>
        <w:t>a</w:t>
      </w:r>
      <w:proofErr w:type="gramEnd"/>
      <w:r w:rsidRPr="00641C64">
        <w:rPr>
          <w:rFonts w:ascii="Times New Roman" w:eastAsia="Times New Roman" w:hAnsi="Times New Roman" w:cs="Times New Roman"/>
          <w:color w:val="000000" w:themeColor="text1"/>
          <w:sz w:val="24"/>
          <w:szCs w:val="24"/>
        </w:rPr>
        <w:t xml:space="preserve"> construção de uma escala de estratos ocupacionais para medir e analisar o movimento das pessoas dentro da estrutura social (JANNUZZI, 2002). </w:t>
      </w:r>
      <w:r w:rsidRPr="00641C64">
        <w:rPr>
          <w:rFonts w:ascii="Times New Roman" w:hAnsi="Times New Roman" w:cs="Times New Roman"/>
          <w:color w:val="000000" w:themeColor="text1"/>
          <w:sz w:val="24"/>
          <w:szCs w:val="24"/>
        </w:rPr>
        <w:t xml:space="preserve">Diversos pesquisadores propuseram escalas de posição social e ocupacional, dentre eles: Pastore (1979); </w:t>
      </w:r>
      <w:proofErr w:type="spellStart"/>
      <w:r w:rsidRPr="00641C64">
        <w:rPr>
          <w:rFonts w:ascii="Times New Roman" w:hAnsi="Times New Roman" w:cs="Times New Roman"/>
          <w:color w:val="000000" w:themeColor="text1"/>
          <w:sz w:val="24"/>
          <w:szCs w:val="24"/>
        </w:rPr>
        <w:t>Scalon</w:t>
      </w:r>
      <w:proofErr w:type="spellEnd"/>
      <w:r w:rsidRPr="00641C64">
        <w:rPr>
          <w:rFonts w:ascii="Times New Roman" w:hAnsi="Times New Roman" w:cs="Times New Roman"/>
          <w:color w:val="000000" w:themeColor="text1"/>
          <w:sz w:val="24"/>
          <w:szCs w:val="24"/>
        </w:rPr>
        <w:t xml:space="preserve"> (1997); Jannuzzi (</w:t>
      </w:r>
      <w:proofErr w:type="gramStart"/>
      <w:r w:rsidR="0028646C" w:rsidRPr="00641C64">
        <w:rPr>
          <w:rFonts w:ascii="Times New Roman" w:hAnsi="Times New Roman" w:cs="Times New Roman"/>
          <w:color w:val="000000" w:themeColor="text1"/>
          <w:sz w:val="24"/>
          <w:szCs w:val="24"/>
        </w:rPr>
        <w:t>2003,</w:t>
      </w:r>
      <w:r w:rsidRPr="00641C64">
        <w:rPr>
          <w:rFonts w:ascii="Times New Roman" w:hAnsi="Times New Roman" w:cs="Times New Roman"/>
          <w:color w:val="000000" w:themeColor="text1"/>
          <w:sz w:val="24"/>
          <w:szCs w:val="24"/>
        </w:rPr>
        <w:t xml:space="preserve"> 2004a</w:t>
      </w:r>
      <w:proofErr w:type="gramEnd"/>
      <w:r w:rsidRPr="00641C64">
        <w:rPr>
          <w:rFonts w:ascii="Times New Roman" w:hAnsi="Times New Roman" w:cs="Times New Roman"/>
          <w:color w:val="000000" w:themeColor="text1"/>
          <w:sz w:val="24"/>
          <w:szCs w:val="24"/>
        </w:rPr>
        <w:t xml:space="preserve">); Pero </w:t>
      </w:r>
      <w:r w:rsidR="00100FCD" w:rsidRPr="00641C64">
        <w:rPr>
          <w:rFonts w:ascii="Times New Roman" w:hAnsi="Times New Roman" w:cs="Times New Roman"/>
          <w:color w:val="000000" w:themeColor="text1"/>
          <w:sz w:val="24"/>
          <w:szCs w:val="24"/>
        </w:rPr>
        <w:t>(2002); e Ribeiro (2006</w:t>
      </w:r>
      <w:r w:rsidR="0028646C" w:rsidRPr="00641C64">
        <w:rPr>
          <w:rFonts w:ascii="Times New Roman" w:hAnsi="Times New Roman" w:cs="Times New Roman"/>
          <w:color w:val="000000" w:themeColor="text1"/>
          <w:sz w:val="24"/>
          <w:szCs w:val="24"/>
        </w:rPr>
        <w:t>,</w:t>
      </w:r>
      <w:r w:rsidR="00100FCD" w:rsidRPr="00641C64">
        <w:rPr>
          <w:rFonts w:ascii="Times New Roman" w:hAnsi="Times New Roman" w:cs="Times New Roman"/>
          <w:color w:val="000000" w:themeColor="text1"/>
          <w:sz w:val="24"/>
          <w:szCs w:val="24"/>
        </w:rPr>
        <w:t xml:space="preserve"> 2017</w:t>
      </w:r>
      <w:r w:rsidRPr="00641C64">
        <w:rPr>
          <w:rFonts w:ascii="Times New Roman" w:hAnsi="Times New Roman" w:cs="Times New Roman"/>
          <w:color w:val="000000" w:themeColor="text1"/>
          <w:sz w:val="24"/>
          <w:szCs w:val="24"/>
        </w:rPr>
        <w:t xml:space="preserve">). Desse modo, constata-se que não existe uma escala universal ou um único critério a </w:t>
      </w:r>
      <w:proofErr w:type="gramStart"/>
      <w:r w:rsidRPr="00641C64">
        <w:rPr>
          <w:rFonts w:ascii="Times New Roman" w:hAnsi="Times New Roman" w:cs="Times New Roman"/>
          <w:color w:val="000000" w:themeColor="text1"/>
          <w:sz w:val="24"/>
          <w:szCs w:val="24"/>
        </w:rPr>
        <w:t>ser</w:t>
      </w:r>
      <w:proofErr w:type="gramEnd"/>
      <w:r w:rsidRPr="00641C64">
        <w:rPr>
          <w:rFonts w:ascii="Times New Roman" w:hAnsi="Times New Roman" w:cs="Times New Roman"/>
          <w:color w:val="000000" w:themeColor="text1"/>
          <w:sz w:val="24"/>
          <w:szCs w:val="24"/>
        </w:rPr>
        <w:t xml:space="preserve"> adotado, os estratos sociais ou ocupacionais devem ser pertinentes ao seu objeto de pesquisa (PERO, 2002).</w:t>
      </w:r>
    </w:p>
    <w:p w14:paraId="07D87A56" w14:textId="6AE94362" w:rsidR="000A3E1B" w:rsidRPr="00641C64" w:rsidRDefault="00D30D0A" w:rsidP="00D30D0A">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A partir da delimitação e escopo da pesquisa, os</w:t>
      </w:r>
      <w:r w:rsidR="000A3E1B" w:rsidRPr="00641C64">
        <w:rPr>
          <w:rFonts w:ascii="Times New Roman" w:eastAsia="Times New Roman" w:hAnsi="Times New Roman" w:cs="Times New Roman"/>
          <w:color w:val="000000" w:themeColor="text1"/>
          <w:sz w:val="24"/>
          <w:szCs w:val="24"/>
        </w:rPr>
        <w:t xml:space="preserve"> estratos ocupacionais </w:t>
      </w:r>
      <w:r w:rsidRPr="00641C64">
        <w:rPr>
          <w:rFonts w:ascii="Times New Roman" w:eastAsia="Times New Roman" w:hAnsi="Times New Roman" w:cs="Times New Roman"/>
          <w:color w:val="000000" w:themeColor="text1"/>
          <w:sz w:val="24"/>
          <w:szCs w:val="24"/>
        </w:rPr>
        <w:t>adotados nes</w:t>
      </w:r>
      <w:r w:rsidR="00E6767E" w:rsidRPr="00641C64">
        <w:rPr>
          <w:rFonts w:ascii="Times New Roman" w:eastAsia="Times New Roman" w:hAnsi="Times New Roman" w:cs="Times New Roman"/>
          <w:color w:val="000000" w:themeColor="text1"/>
          <w:sz w:val="24"/>
          <w:szCs w:val="24"/>
        </w:rPr>
        <w:t>s</w:t>
      </w:r>
      <w:r w:rsidRPr="00641C64">
        <w:rPr>
          <w:rFonts w:ascii="Times New Roman" w:eastAsia="Times New Roman" w:hAnsi="Times New Roman" w:cs="Times New Roman"/>
          <w:color w:val="000000" w:themeColor="text1"/>
          <w:sz w:val="24"/>
          <w:szCs w:val="24"/>
        </w:rPr>
        <w:t xml:space="preserve">e </w:t>
      </w:r>
      <w:r w:rsidR="00E6767E" w:rsidRPr="00641C64">
        <w:rPr>
          <w:rFonts w:ascii="Times New Roman" w:eastAsia="Times New Roman" w:hAnsi="Times New Roman" w:cs="Times New Roman"/>
          <w:color w:val="000000" w:themeColor="text1"/>
          <w:sz w:val="24"/>
          <w:szCs w:val="24"/>
        </w:rPr>
        <w:t xml:space="preserve">trabalho </w:t>
      </w:r>
      <w:r w:rsidRPr="00641C64">
        <w:rPr>
          <w:rFonts w:ascii="Times New Roman" w:eastAsia="Times New Roman" w:hAnsi="Times New Roman" w:cs="Times New Roman"/>
          <w:color w:val="000000" w:themeColor="text1"/>
          <w:sz w:val="24"/>
          <w:szCs w:val="24"/>
        </w:rPr>
        <w:t>deriva</w:t>
      </w:r>
      <w:r w:rsidR="000A3E1B" w:rsidRPr="00641C64">
        <w:rPr>
          <w:rFonts w:ascii="Times New Roman" w:eastAsia="Times New Roman" w:hAnsi="Times New Roman" w:cs="Times New Roman"/>
          <w:color w:val="000000" w:themeColor="text1"/>
          <w:sz w:val="24"/>
          <w:szCs w:val="24"/>
        </w:rPr>
        <w:t xml:space="preserve"> da escala sócio-ocupacional proposta por Jannuzzi (2004a), </w:t>
      </w:r>
      <w:r w:rsidRPr="00641C64">
        <w:rPr>
          <w:rFonts w:ascii="Times New Roman" w:eastAsia="Times New Roman" w:hAnsi="Times New Roman" w:cs="Times New Roman"/>
          <w:color w:val="000000" w:themeColor="text1"/>
          <w:sz w:val="24"/>
          <w:szCs w:val="24"/>
        </w:rPr>
        <w:t xml:space="preserve">isso </w:t>
      </w:r>
      <w:r w:rsidR="000A3E1B" w:rsidRPr="00641C64">
        <w:rPr>
          <w:rFonts w:ascii="Times New Roman" w:eastAsia="Times New Roman" w:hAnsi="Times New Roman" w:cs="Times New Roman"/>
          <w:color w:val="000000" w:themeColor="text1"/>
          <w:sz w:val="24"/>
          <w:szCs w:val="24"/>
        </w:rPr>
        <w:t>porqu</w:t>
      </w:r>
      <w:r w:rsidRPr="00641C64">
        <w:rPr>
          <w:rFonts w:ascii="Times New Roman" w:eastAsia="Times New Roman" w:hAnsi="Times New Roman" w:cs="Times New Roman"/>
          <w:color w:val="000000" w:themeColor="text1"/>
          <w:sz w:val="24"/>
          <w:szCs w:val="24"/>
        </w:rPr>
        <w:t>e</w:t>
      </w:r>
      <w:r w:rsidR="00E6767E" w:rsidRPr="00641C64">
        <w:rPr>
          <w:rFonts w:ascii="Times New Roman" w:eastAsia="Times New Roman" w:hAnsi="Times New Roman" w:cs="Times New Roman"/>
          <w:color w:val="000000" w:themeColor="text1"/>
          <w:sz w:val="24"/>
          <w:szCs w:val="24"/>
        </w:rPr>
        <w:t>,</w:t>
      </w:r>
      <w:r w:rsidR="000A3E1B" w:rsidRPr="00641C64">
        <w:rPr>
          <w:rFonts w:ascii="Times New Roman" w:eastAsia="Times New Roman" w:hAnsi="Times New Roman" w:cs="Times New Roman"/>
          <w:color w:val="000000" w:themeColor="text1"/>
          <w:sz w:val="24"/>
          <w:szCs w:val="24"/>
        </w:rPr>
        <w:t xml:space="preserve"> considera </w:t>
      </w:r>
      <w:r w:rsidRPr="00641C64">
        <w:rPr>
          <w:rFonts w:ascii="Times New Roman" w:eastAsia="Times New Roman" w:hAnsi="Times New Roman" w:cs="Times New Roman"/>
          <w:color w:val="000000" w:themeColor="text1"/>
          <w:sz w:val="24"/>
          <w:szCs w:val="24"/>
        </w:rPr>
        <w:t xml:space="preserve">indicadores </w:t>
      </w:r>
      <w:r w:rsidR="00F44F45" w:rsidRPr="00641C64">
        <w:rPr>
          <w:rFonts w:ascii="Times New Roman" w:eastAsia="Times New Roman" w:hAnsi="Times New Roman" w:cs="Times New Roman"/>
          <w:color w:val="000000" w:themeColor="text1"/>
          <w:sz w:val="24"/>
          <w:szCs w:val="24"/>
        </w:rPr>
        <w:t xml:space="preserve">de precarização no mercado de trabalho e </w:t>
      </w:r>
      <w:r w:rsidRPr="00641C64">
        <w:rPr>
          <w:rFonts w:ascii="Times New Roman" w:eastAsia="Times New Roman" w:hAnsi="Times New Roman" w:cs="Times New Roman"/>
          <w:color w:val="000000" w:themeColor="text1"/>
          <w:sz w:val="24"/>
          <w:szCs w:val="24"/>
        </w:rPr>
        <w:t>socioeconômicos</w:t>
      </w:r>
      <w:r w:rsidR="00F44F45" w:rsidRPr="00641C64">
        <w:rPr>
          <w:rFonts w:ascii="Times New Roman" w:eastAsia="Times New Roman" w:hAnsi="Times New Roman" w:cs="Times New Roman"/>
          <w:color w:val="000000" w:themeColor="text1"/>
          <w:sz w:val="24"/>
          <w:szCs w:val="24"/>
        </w:rPr>
        <w:t>, tais como:</w:t>
      </w:r>
      <w:r w:rsidRPr="00641C64">
        <w:rPr>
          <w:rFonts w:ascii="Times New Roman" w:eastAsia="Times New Roman" w:hAnsi="Times New Roman" w:cs="Times New Roman"/>
          <w:color w:val="000000" w:themeColor="text1"/>
          <w:sz w:val="24"/>
          <w:szCs w:val="24"/>
        </w:rPr>
        <w:t xml:space="preserve"> </w:t>
      </w:r>
      <w:r w:rsidR="00F44F45" w:rsidRPr="00641C64">
        <w:rPr>
          <w:rFonts w:ascii="Times New Roman" w:hAnsi="Times New Roman" w:cs="Times New Roman"/>
          <w:color w:val="000000" w:themeColor="text1"/>
          <w:sz w:val="24"/>
          <w:szCs w:val="24"/>
        </w:rPr>
        <w:t>Índice Socioeconômico Distancial (ISED) e do Índice Socioeconômico Posicional (ISEP)</w:t>
      </w:r>
      <w:r w:rsidR="000A3E1B" w:rsidRPr="00641C64">
        <w:rPr>
          <w:rFonts w:ascii="Times New Roman" w:eastAsia="Times New Roman" w:hAnsi="Times New Roman" w:cs="Times New Roman"/>
          <w:color w:val="000000" w:themeColor="text1"/>
          <w:sz w:val="24"/>
          <w:szCs w:val="24"/>
        </w:rPr>
        <w:t xml:space="preserve">. </w:t>
      </w:r>
      <w:r w:rsidRPr="00641C64">
        <w:rPr>
          <w:rFonts w:ascii="Times New Roman" w:eastAsia="Times New Roman" w:hAnsi="Times New Roman" w:cs="Times New Roman"/>
          <w:color w:val="000000" w:themeColor="text1"/>
          <w:sz w:val="24"/>
          <w:szCs w:val="24"/>
        </w:rPr>
        <w:t>Desse modo, o</w:t>
      </w:r>
      <w:r w:rsidR="000A3E1B" w:rsidRPr="00641C64">
        <w:rPr>
          <w:rFonts w:ascii="Times New Roman" w:eastAsia="Times New Roman" w:hAnsi="Times New Roman" w:cs="Times New Roman"/>
          <w:color w:val="000000" w:themeColor="text1"/>
          <w:sz w:val="24"/>
          <w:szCs w:val="24"/>
        </w:rPr>
        <w:t xml:space="preserve"> Quadro 1 apresenta a média dos principais indicadores</w:t>
      </w:r>
      <w:r w:rsidR="000A3E1B" w:rsidRPr="00641C64">
        <w:rPr>
          <w:rFonts w:ascii="Times New Roman" w:eastAsia="Times New Roman" w:hAnsi="Times New Roman" w:cs="Times New Roman"/>
          <w:color w:val="000000" w:themeColor="text1"/>
          <w:sz w:val="24"/>
          <w:szCs w:val="24"/>
          <w:vertAlign w:val="superscript"/>
        </w:rPr>
        <w:footnoteReference w:id="1"/>
      </w:r>
      <w:r w:rsidR="000A3E1B" w:rsidRPr="00641C64">
        <w:rPr>
          <w:rFonts w:ascii="Times New Roman" w:eastAsia="Times New Roman" w:hAnsi="Times New Roman" w:cs="Times New Roman"/>
          <w:color w:val="000000" w:themeColor="text1"/>
          <w:sz w:val="24"/>
          <w:szCs w:val="24"/>
        </w:rPr>
        <w:t xml:space="preserve"> elaborados por Jannuzzi (2004a), segundo os estratos ocupacionais utilizados nes</w:t>
      </w:r>
      <w:r w:rsidR="00E6767E" w:rsidRPr="00641C64">
        <w:rPr>
          <w:rFonts w:ascii="Times New Roman" w:eastAsia="Times New Roman" w:hAnsi="Times New Roman" w:cs="Times New Roman"/>
          <w:color w:val="000000" w:themeColor="text1"/>
          <w:sz w:val="24"/>
          <w:szCs w:val="24"/>
        </w:rPr>
        <w:t>s</w:t>
      </w:r>
      <w:r w:rsidR="000A3E1B" w:rsidRPr="00641C64">
        <w:rPr>
          <w:rFonts w:ascii="Times New Roman" w:eastAsia="Times New Roman" w:hAnsi="Times New Roman" w:cs="Times New Roman"/>
          <w:color w:val="000000" w:themeColor="text1"/>
          <w:sz w:val="24"/>
          <w:szCs w:val="24"/>
        </w:rPr>
        <w:t xml:space="preserve">a pesquisa. Observa-se que a média de rendimento mensal e a escolaridade reduzem à medida que avança em ordem crescente nos estratos ocupacionais, ao passo que os indicadores de precarização (contribuição com a previdência e proporção sem carteira assinada) se elevam. </w:t>
      </w:r>
    </w:p>
    <w:p w14:paraId="4C8CBEF4" w14:textId="77777777" w:rsidR="009C3E1E" w:rsidRPr="00641C64" w:rsidRDefault="009C3E1E" w:rsidP="009C3E1E">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O primeiro estrato (proprietárias e profissionais de nível alto) reúne as ocupações com maiores rendimentos e escolaridade. As principais categorias que o compõem são: juízes e desembargadores, médicos, engenheiros, professores de Ensino Superior, advogados, </w:t>
      </w:r>
      <w:r w:rsidRPr="00641C64">
        <w:rPr>
          <w:rFonts w:ascii="Times New Roman" w:hAnsi="Times New Roman" w:cs="Times New Roman"/>
          <w:color w:val="000000" w:themeColor="text1"/>
          <w:sz w:val="24"/>
          <w:szCs w:val="24"/>
        </w:rPr>
        <w:lastRenderedPageBreak/>
        <w:t>militares da aeronáutica, exército e marinha, dirigentes e diretores de empresas, químicos, entre outros. O segundo grupo ocupacional (pequenas proprietárias e profissionais de nível médio) com ISEP médio de 83%, é composto por professores de ensino fundamental, médio e profissional, técnicos em construção civil e em eletrônica, técnicos de contabilidade e administração, secretários executivos, supervisores, representantes comerciais, corretores de seguros e imóveis. O terceiro estrato ( trabalhadoras do comércio, serviços e qualificadas da indústria) é formado por: professores de ensino pré-escolar, inspetores de alunos, caixas e bilheteiros, recepcionistas, telefonistas, trabalhadores nos serviços de higiene e embelezamento, vigilantes e guardas de segurança, vendedores, técnicos em metalúrgica, técnicos em materiais de cerâmica e vidros, coloristas, desenhistas industriais, supervisores.</w:t>
      </w:r>
    </w:p>
    <w:p w14:paraId="16D9F502" w14:textId="77777777" w:rsidR="000A3E1B" w:rsidRPr="00641C64" w:rsidRDefault="000A3E1B" w:rsidP="000A3E1B">
      <w:pPr>
        <w:spacing w:after="0" w:line="240" w:lineRule="auto"/>
        <w:jc w:val="both"/>
        <w:rPr>
          <w:rFonts w:ascii="Times New Roman" w:eastAsia="Times New Roman" w:hAnsi="Times New Roman" w:cs="Times New Roman"/>
          <w:color w:val="000000" w:themeColor="text1"/>
          <w:sz w:val="24"/>
          <w:szCs w:val="24"/>
        </w:rPr>
      </w:pPr>
    </w:p>
    <w:p w14:paraId="4299174E" w14:textId="77777777" w:rsidR="000A3E1B" w:rsidRPr="00641C64" w:rsidRDefault="000A3E1B" w:rsidP="000A3E1B">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4"/>
          <w:szCs w:val="24"/>
        </w:rPr>
      </w:pPr>
      <w:proofErr w:type="gramStart"/>
      <w:r w:rsidRPr="00641C64">
        <w:rPr>
          <w:rFonts w:ascii="Times New Roman" w:eastAsia="Times New Roman" w:hAnsi="Times New Roman" w:cs="Times New Roman"/>
          <w:b/>
          <w:color w:val="000000" w:themeColor="text1"/>
          <w:sz w:val="24"/>
          <w:szCs w:val="24"/>
        </w:rPr>
        <w:t xml:space="preserve">Quadro 1 - Média dos indicadores de </w:t>
      </w:r>
      <w:r w:rsidRPr="00641C64">
        <w:rPr>
          <w:rFonts w:ascii="Times New Roman" w:eastAsia="Times New Roman" w:hAnsi="Times New Roman" w:cs="Times New Roman"/>
          <w:b/>
          <w:i/>
          <w:color w:val="000000" w:themeColor="text1"/>
          <w:sz w:val="24"/>
          <w:szCs w:val="24"/>
        </w:rPr>
        <w:t>status</w:t>
      </w:r>
      <w:r w:rsidRPr="00641C64">
        <w:rPr>
          <w:rFonts w:ascii="Times New Roman" w:eastAsia="Times New Roman" w:hAnsi="Times New Roman" w:cs="Times New Roman"/>
          <w:b/>
          <w:color w:val="000000" w:themeColor="text1"/>
          <w:sz w:val="24"/>
          <w:szCs w:val="24"/>
        </w:rPr>
        <w:t xml:space="preserve"> socioeconômico (ISED e ISEP)</w:t>
      </w:r>
      <w:proofErr w:type="gramEnd"/>
      <w:r w:rsidRPr="00641C64">
        <w:rPr>
          <w:rFonts w:ascii="Times New Roman" w:eastAsia="Times New Roman" w:hAnsi="Times New Roman" w:cs="Times New Roman"/>
          <w:b/>
          <w:color w:val="000000" w:themeColor="text1"/>
          <w:sz w:val="24"/>
          <w:szCs w:val="24"/>
        </w:rPr>
        <w:t>, rendimento mensal mediano, escolaridade mediana e precarização ocupacional - 2000</w:t>
      </w:r>
    </w:p>
    <w:tbl>
      <w:tblPr>
        <w:tblW w:w="9081" w:type="dxa"/>
        <w:tblInd w:w="55" w:type="dxa"/>
        <w:tblLayout w:type="fixed"/>
        <w:tblCellMar>
          <w:left w:w="70" w:type="dxa"/>
          <w:right w:w="70" w:type="dxa"/>
        </w:tblCellMar>
        <w:tblLook w:val="0400" w:firstRow="0" w:lastRow="0" w:firstColumn="0" w:lastColumn="0" w:noHBand="0" w:noVBand="1"/>
      </w:tblPr>
      <w:tblGrid>
        <w:gridCol w:w="983"/>
        <w:gridCol w:w="836"/>
        <w:gridCol w:w="751"/>
        <w:gridCol w:w="1652"/>
        <w:gridCol w:w="1653"/>
        <w:gridCol w:w="1739"/>
        <w:gridCol w:w="1467"/>
      </w:tblGrid>
      <w:tr w:rsidR="006B4A57" w:rsidRPr="00641C64" w14:paraId="3369347D" w14:textId="77777777" w:rsidTr="00DB661E">
        <w:trPr>
          <w:trHeight w:val="57"/>
        </w:trPr>
        <w:tc>
          <w:tcPr>
            <w:tcW w:w="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FF36A"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Estrato</w:t>
            </w:r>
          </w:p>
        </w:tc>
        <w:tc>
          <w:tcPr>
            <w:tcW w:w="836" w:type="dxa"/>
            <w:tcBorders>
              <w:top w:val="single" w:sz="4" w:space="0" w:color="000000"/>
              <w:left w:val="nil"/>
              <w:bottom w:val="single" w:sz="4" w:space="0" w:color="000000"/>
              <w:right w:val="single" w:sz="4" w:space="0" w:color="000000"/>
            </w:tcBorders>
            <w:shd w:val="clear" w:color="auto" w:fill="auto"/>
            <w:vAlign w:val="center"/>
          </w:tcPr>
          <w:p w14:paraId="12C9E873"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ISED</w:t>
            </w:r>
          </w:p>
        </w:tc>
        <w:tc>
          <w:tcPr>
            <w:tcW w:w="751" w:type="dxa"/>
            <w:tcBorders>
              <w:top w:val="single" w:sz="4" w:space="0" w:color="000000"/>
              <w:left w:val="nil"/>
              <w:bottom w:val="single" w:sz="4" w:space="0" w:color="000000"/>
              <w:right w:val="single" w:sz="4" w:space="0" w:color="000000"/>
            </w:tcBorders>
            <w:shd w:val="clear" w:color="auto" w:fill="auto"/>
            <w:vAlign w:val="center"/>
          </w:tcPr>
          <w:p w14:paraId="66E74D6E"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ISEP</w:t>
            </w:r>
          </w:p>
        </w:tc>
        <w:tc>
          <w:tcPr>
            <w:tcW w:w="1652" w:type="dxa"/>
            <w:tcBorders>
              <w:top w:val="single" w:sz="4" w:space="0" w:color="000000"/>
              <w:left w:val="nil"/>
              <w:bottom w:val="single" w:sz="4" w:space="0" w:color="000000"/>
              <w:right w:val="single" w:sz="4" w:space="0" w:color="000000"/>
            </w:tcBorders>
            <w:shd w:val="clear" w:color="auto" w:fill="auto"/>
            <w:vAlign w:val="center"/>
          </w:tcPr>
          <w:p w14:paraId="52926401"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Rendimento mensal mediano (R$)</w:t>
            </w:r>
          </w:p>
        </w:tc>
        <w:tc>
          <w:tcPr>
            <w:tcW w:w="1653" w:type="dxa"/>
            <w:tcBorders>
              <w:top w:val="single" w:sz="4" w:space="0" w:color="000000"/>
              <w:left w:val="nil"/>
              <w:bottom w:val="single" w:sz="4" w:space="0" w:color="000000"/>
              <w:right w:val="single" w:sz="4" w:space="0" w:color="000000"/>
            </w:tcBorders>
            <w:shd w:val="clear" w:color="auto" w:fill="auto"/>
            <w:vAlign w:val="center"/>
          </w:tcPr>
          <w:p w14:paraId="55135B8B"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Escolaridade mediana</w:t>
            </w:r>
          </w:p>
        </w:tc>
        <w:tc>
          <w:tcPr>
            <w:tcW w:w="1739" w:type="dxa"/>
            <w:tcBorders>
              <w:top w:val="single" w:sz="4" w:space="0" w:color="000000"/>
              <w:left w:val="nil"/>
              <w:bottom w:val="single" w:sz="4" w:space="0" w:color="000000"/>
              <w:right w:val="single" w:sz="4" w:space="0" w:color="000000"/>
            </w:tcBorders>
            <w:shd w:val="clear" w:color="auto" w:fill="auto"/>
            <w:vAlign w:val="center"/>
          </w:tcPr>
          <w:p w14:paraId="62ABD3E3"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Ocupados não contribuintes à Previdência (%)</w:t>
            </w:r>
          </w:p>
        </w:tc>
        <w:tc>
          <w:tcPr>
            <w:tcW w:w="1467" w:type="dxa"/>
            <w:tcBorders>
              <w:top w:val="single" w:sz="4" w:space="0" w:color="000000"/>
              <w:left w:val="nil"/>
              <w:bottom w:val="single" w:sz="4" w:space="0" w:color="000000"/>
              <w:right w:val="single" w:sz="4" w:space="0" w:color="000000"/>
            </w:tcBorders>
            <w:shd w:val="clear" w:color="auto" w:fill="auto"/>
            <w:vAlign w:val="center"/>
          </w:tcPr>
          <w:p w14:paraId="74EC96FC" w14:textId="77777777" w:rsidR="000A3E1B" w:rsidRPr="00641C64" w:rsidRDefault="000A3E1B" w:rsidP="00DB661E">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Empregados sem carteira (%)</w:t>
            </w:r>
          </w:p>
        </w:tc>
      </w:tr>
      <w:tr w:rsidR="006B4A57" w:rsidRPr="00641C64" w14:paraId="72FC6D2C" w14:textId="77777777" w:rsidTr="00DB661E">
        <w:trPr>
          <w:trHeight w:val="57"/>
        </w:trPr>
        <w:tc>
          <w:tcPr>
            <w:tcW w:w="983" w:type="dxa"/>
            <w:tcBorders>
              <w:top w:val="nil"/>
              <w:left w:val="single" w:sz="4" w:space="0" w:color="000000"/>
              <w:bottom w:val="nil"/>
              <w:right w:val="nil"/>
            </w:tcBorders>
            <w:shd w:val="clear" w:color="auto" w:fill="auto"/>
            <w:vAlign w:val="center"/>
          </w:tcPr>
          <w:p w14:paraId="660F6B76"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I</w:t>
            </w:r>
          </w:p>
        </w:tc>
        <w:tc>
          <w:tcPr>
            <w:tcW w:w="836" w:type="dxa"/>
            <w:tcBorders>
              <w:top w:val="nil"/>
              <w:left w:val="nil"/>
              <w:bottom w:val="nil"/>
              <w:right w:val="nil"/>
            </w:tcBorders>
            <w:shd w:val="clear" w:color="auto" w:fill="auto"/>
            <w:vAlign w:val="center"/>
          </w:tcPr>
          <w:p w14:paraId="789A75B7"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0,35</w:t>
            </w:r>
          </w:p>
        </w:tc>
        <w:tc>
          <w:tcPr>
            <w:tcW w:w="751" w:type="dxa"/>
            <w:tcBorders>
              <w:top w:val="nil"/>
              <w:left w:val="nil"/>
              <w:bottom w:val="nil"/>
              <w:right w:val="nil"/>
            </w:tcBorders>
            <w:shd w:val="clear" w:color="auto" w:fill="auto"/>
            <w:vAlign w:val="center"/>
          </w:tcPr>
          <w:p w14:paraId="58A2E43E"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94,2</w:t>
            </w:r>
          </w:p>
        </w:tc>
        <w:tc>
          <w:tcPr>
            <w:tcW w:w="1652" w:type="dxa"/>
            <w:tcBorders>
              <w:top w:val="nil"/>
              <w:left w:val="nil"/>
              <w:bottom w:val="nil"/>
              <w:right w:val="nil"/>
            </w:tcBorders>
            <w:shd w:val="clear" w:color="auto" w:fill="auto"/>
            <w:vAlign w:val="center"/>
          </w:tcPr>
          <w:p w14:paraId="7C1AF49D"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1.525</w:t>
            </w:r>
          </w:p>
        </w:tc>
        <w:tc>
          <w:tcPr>
            <w:tcW w:w="1653" w:type="dxa"/>
            <w:tcBorders>
              <w:top w:val="nil"/>
              <w:left w:val="nil"/>
              <w:bottom w:val="nil"/>
              <w:right w:val="nil"/>
            </w:tcBorders>
            <w:shd w:val="clear" w:color="auto" w:fill="auto"/>
            <w:vAlign w:val="center"/>
          </w:tcPr>
          <w:p w14:paraId="31271FED"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13</w:t>
            </w:r>
          </w:p>
        </w:tc>
        <w:tc>
          <w:tcPr>
            <w:tcW w:w="1739" w:type="dxa"/>
            <w:tcBorders>
              <w:top w:val="nil"/>
              <w:left w:val="nil"/>
              <w:bottom w:val="nil"/>
              <w:right w:val="nil"/>
            </w:tcBorders>
            <w:shd w:val="clear" w:color="auto" w:fill="auto"/>
            <w:vAlign w:val="center"/>
          </w:tcPr>
          <w:p w14:paraId="4500885C"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35,3</w:t>
            </w:r>
          </w:p>
        </w:tc>
        <w:tc>
          <w:tcPr>
            <w:tcW w:w="1467" w:type="dxa"/>
            <w:tcBorders>
              <w:top w:val="nil"/>
              <w:left w:val="nil"/>
              <w:bottom w:val="nil"/>
              <w:right w:val="single" w:sz="4" w:space="0" w:color="000000"/>
            </w:tcBorders>
            <w:shd w:val="clear" w:color="auto" w:fill="auto"/>
            <w:vAlign w:val="center"/>
          </w:tcPr>
          <w:p w14:paraId="407C1347"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26,2</w:t>
            </w:r>
          </w:p>
        </w:tc>
      </w:tr>
      <w:tr w:rsidR="006B4A57" w:rsidRPr="00641C64" w14:paraId="2761F322" w14:textId="77777777" w:rsidTr="00DB661E">
        <w:trPr>
          <w:trHeight w:val="57"/>
        </w:trPr>
        <w:tc>
          <w:tcPr>
            <w:tcW w:w="983" w:type="dxa"/>
            <w:tcBorders>
              <w:top w:val="nil"/>
              <w:left w:val="single" w:sz="4" w:space="0" w:color="000000"/>
              <w:bottom w:val="nil"/>
              <w:right w:val="nil"/>
            </w:tcBorders>
            <w:shd w:val="clear" w:color="auto" w:fill="auto"/>
            <w:vAlign w:val="center"/>
          </w:tcPr>
          <w:p w14:paraId="58F51DC7"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II</w:t>
            </w:r>
          </w:p>
        </w:tc>
        <w:tc>
          <w:tcPr>
            <w:tcW w:w="836" w:type="dxa"/>
            <w:tcBorders>
              <w:top w:val="nil"/>
              <w:left w:val="nil"/>
              <w:bottom w:val="nil"/>
              <w:right w:val="nil"/>
            </w:tcBorders>
            <w:shd w:val="clear" w:color="auto" w:fill="auto"/>
            <w:vAlign w:val="center"/>
          </w:tcPr>
          <w:p w14:paraId="4E84519B"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0,24</w:t>
            </w:r>
          </w:p>
        </w:tc>
        <w:tc>
          <w:tcPr>
            <w:tcW w:w="751" w:type="dxa"/>
            <w:tcBorders>
              <w:top w:val="nil"/>
              <w:left w:val="nil"/>
              <w:bottom w:val="nil"/>
              <w:right w:val="nil"/>
            </w:tcBorders>
            <w:shd w:val="clear" w:color="auto" w:fill="auto"/>
            <w:vAlign w:val="center"/>
          </w:tcPr>
          <w:p w14:paraId="453B79E1"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83,0</w:t>
            </w:r>
          </w:p>
        </w:tc>
        <w:tc>
          <w:tcPr>
            <w:tcW w:w="1652" w:type="dxa"/>
            <w:tcBorders>
              <w:top w:val="nil"/>
              <w:left w:val="nil"/>
              <w:bottom w:val="nil"/>
              <w:right w:val="nil"/>
            </w:tcBorders>
            <w:shd w:val="clear" w:color="auto" w:fill="auto"/>
            <w:vAlign w:val="center"/>
          </w:tcPr>
          <w:p w14:paraId="15BF8D06"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670</w:t>
            </w:r>
          </w:p>
        </w:tc>
        <w:tc>
          <w:tcPr>
            <w:tcW w:w="1653" w:type="dxa"/>
            <w:tcBorders>
              <w:top w:val="nil"/>
              <w:left w:val="nil"/>
              <w:bottom w:val="nil"/>
              <w:right w:val="nil"/>
            </w:tcBorders>
            <w:shd w:val="clear" w:color="auto" w:fill="auto"/>
            <w:vAlign w:val="center"/>
          </w:tcPr>
          <w:p w14:paraId="7091E250"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11</w:t>
            </w:r>
          </w:p>
        </w:tc>
        <w:tc>
          <w:tcPr>
            <w:tcW w:w="1739" w:type="dxa"/>
            <w:tcBorders>
              <w:top w:val="nil"/>
              <w:left w:val="nil"/>
              <w:bottom w:val="nil"/>
              <w:right w:val="nil"/>
            </w:tcBorders>
            <w:shd w:val="clear" w:color="auto" w:fill="auto"/>
            <w:vAlign w:val="center"/>
          </w:tcPr>
          <w:p w14:paraId="27A40DAD"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41,8</w:t>
            </w:r>
          </w:p>
        </w:tc>
        <w:tc>
          <w:tcPr>
            <w:tcW w:w="1467" w:type="dxa"/>
            <w:tcBorders>
              <w:top w:val="nil"/>
              <w:left w:val="nil"/>
              <w:bottom w:val="nil"/>
              <w:right w:val="single" w:sz="4" w:space="0" w:color="000000"/>
            </w:tcBorders>
            <w:shd w:val="clear" w:color="auto" w:fill="auto"/>
            <w:vAlign w:val="center"/>
          </w:tcPr>
          <w:p w14:paraId="5BAD6E01"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21,1</w:t>
            </w:r>
          </w:p>
        </w:tc>
      </w:tr>
      <w:tr w:rsidR="006B4A57" w:rsidRPr="00641C64" w14:paraId="5E2E4DD2" w14:textId="77777777" w:rsidTr="00DB661E">
        <w:trPr>
          <w:trHeight w:val="57"/>
        </w:trPr>
        <w:tc>
          <w:tcPr>
            <w:tcW w:w="983" w:type="dxa"/>
            <w:tcBorders>
              <w:top w:val="nil"/>
              <w:left w:val="single" w:sz="4" w:space="0" w:color="000000"/>
              <w:bottom w:val="nil"/>
              <w:right w:val="nil"/>
            </w:tcBorders>
            <w:shd w:val="clear" w:color="auto" w:fill="auto"/>
            <w:vAlign w:val="center"/>
          </w:tcPr>
          <w:p w14:paraId="73B91FDD"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III</w:t>
            </w:r>
          </w:p>
        </w:tc>
        <w:tc>
          <w:tcPr>
            <w:tcW w:w="836" w:type="dxa"/>
            <w:tcBorders>
              <w:top w:val="nil"/>
              <w:left w:val="nil"/>
              <w:bottom w:val="nil"/>
              <w:right w:val="nil"/>
            </w:tcBorders>
            <w:shd w:val="clear" w:color="auto" w:fill="auto"/>
            <w:vAlign w:val="center"/>
          </w:tcPr>
          <w:p w14:paraId="20084A30"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0,14</w:t>
            </w:r>
          </w:p>
        </w:tc>
        <w:tc>
          <w:tcPr>
            <w:tcW w:w="751" w:type="dxa"/>
            <w:tcBorders>
              <w:top w:val="nil"/>
              <w:left w:val="nil"/>
              <w:bottom w:val="nil"/>
              <w:right w:val="nil"/>
            </w:tcBorders>
            <w:shd w:val="clear" w:color="auto" w:fill="auto"/>
            <w:vAlign w:val="center"/>
          </w:tcPr>
          <w:p w14:paraId="7912D24D"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62,4</w:t>
            </w:r>
          </w:p>
        </w:tc>
        <w:tc>
          <w:tcPr>
            <w:tcW w:w="1652" w:type="dxa"/>
            <w:tcBorders>
              <w:top w:val="nil"/>
              <w:left w:val="nil"/>
              <w:bottom w:val="nil"/>
              <w:right w:val="nil"/>
            </w:tcBorders>
            <w:shd w:val="clear" w:color="auto" w:fill="auto"/>
            <w:vAlign w:val="center"/>
          </w:tcPr>
          <w:p w14:paraId="621ABD05"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381</w:t>
            </w:r>
          </w:p>
        </w:tc>
        <w:tc>
          <w:tcPr>
            <w:tcW w:w="1653" w:type="dxa"/>
            <w:tcBorders>
              <w:top w:val="nil"/>
              <w:left w:val="nil"/>
              <w:bottom w:val="nil"/>
              <w:right w:val="nil"/>
            </w:tcBorders>
            <w:shd w:val="clear" w:color="auto" w:fill="auto"/>
            <w:vAlign w:val="center"/>
          </w:tcPr>
          <w:p w14:paraId="36D25C22"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w:t>
            </w:r>
          </w:p>
        </w:tc>
        <w:tc>
          <w:tcPr>
            <w:tcW w:w="1739" w:type="dxa"/>
            <w:tcBorders>
              <w:top w:val="nil"/>
              <w:left w:val="nil"/>
              <w:bottom w:val="nil"/>
              <w:right w:val="nil"/>
            </w:tcBorders>
            <w:shd w:val="clear" w:color="auto" w:fill="auto"/>
            <w:vAlign w:val="center"/>
          </w:tcPr>
          <w:p w14:paraId="3F254CBC"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71,6</w:t>
            </w:r>
          </w:p>
        </w:tc>
        <w:tc>
          <w:tcPr>
            <w:tcW w:w="1467" w:type="dxa"/>
            <w:tcBorders>
              <w:top w:val="nil"/>
              <w:left w:val="nil"/>
              <w:bottom w:val="nil"/>
              <w:right w:val="single" w:sz="4" w:space="0" w:color="000000"/>
            </w:tcBorders>
            <w:shd w:val="clear" w:color="auto" w:fill="auto"/>
            <w:vAlign w:val="center"/>
          </w:tcPr>
          <w:p w14:paraId="14FD8D9C"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33,2</w:t>
            </w:r>
          </w:p>
        </w:tc>
      </w:tr>
      <w:tr w:rsidR="006B4A57" w:rsidRPr="00641C64" w14:paraId="01BB6D82" w14:textId="77777777" w:rsidTr="00DB661E">
        <w:trPr>
          <w:trHeight w:val="57"/>
        </w:trPr>
        <w:tc>
          <w:tcPr>
            <w:tcW w:w="983" w:type="dxa"/>
            <w:tcBorders>
              <w:top w:val="nil"/>
              <w:left w:val="single" w:sz="4" w:space="0" w:color="000000"/>
              <w:bottom w:val="nil"/>
              <w:right w:val="nil"/>
            </w:tcBorders>
            <w:shd w:val="clear" w:color="auto" w:fill="auto"/>
            <w:vAlign w:val="center"/>
          </w:tcPr>
          <w:p w14:paraId="316C5B50"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IV</w:t>
            </w:r>
          </w:p>
        </w:tc>
        <w:tc>
          <w:tcPr>
            <w:tcW w:w="836" w:type="dxa"/>
            <w:tcBorders>
              <w:top w:val="nil"/>
              <w:left w:val="nil"/>
              <w:bottom w:val="nil"/>
              <w:right w:val="nil"/>
            </w:tcBorders>
            <w:shd w:val="clear" w:color="auto" w:fill="auto"/>
            <w:vAlign w:val="center"/>
          </w:tcPr>
          <w:p w14:paraId="24F7E6BA"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0,07</w:t>
            </w:r>
          </w:p>
        </w:tc>
        <w:tc>
          <w:tcPr>
            <w:tcW w:w="751" w:type="dxa"/>
            <w:tcBorders>
              <w:top w:val="nil"/>
              <w:left w:val="nil"/>
              <w:bottom w:val="nil"/>
              <w:right w:val="nil"/>
            </w:tcBorders>
            <w:shd w:val="clear" w:color="auto" w:fill="auto"/>
            <w:vAlign w:val="center"/>
          </w:tcPr>
          <w:p w14:paraId="555B3F2B"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37,2</w:t>
            </w:r>
          </w:p>
        </w:tc>
        <w:tc>
          <w:tcPr>
            <w:tcW w:w="1652" w:type="dxa"/>
            <w:tcBorders>
              <w:top w:val="nil"/>
              <w:left w:val="nil"/>
              <w:bottom w:val="nil"/>
              <w:right w:val="nil"/>
            </w:tcBorders>
            <w:shd w:val="clear" w:color="auto" w:fill="auto"/>
            <w:vAlign w:val="center"/>
          </w:tcPr>
          <w:p w14:paraId="2893270B"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271</w:t>
            </w:r>
          </w:p>
        </w:tc>
        <w:tc>
          <w:tcPr>
            <w:tcW w:w="1653" w:type="dxa"/>
            <w:tcBorders>
              <w:top w:val="nil"/>
              <w:left w:val="nil"/>
              <w:bottom w:val="nil"/>
              <w:right w:val="nil"/>
            </w:tcBorders>
            <w:shd w:val="clear" w:color="auto" w:fill="auto"/>
            <w:vAlign w:val="center"/>
          </w:tcPr>
          <w:p w14:paraId="304DA358"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5</w:t>
            </w:r>
          </w:p>
        </w:tc>
        <w:tc>
          <w:tcPr>
            <w:tcW w:w="1739" w:type="dxa"/>
            <w:tcBorders>
              <w:top w:val="nil"/>
              <w:left w:val="nil"/>
              <w:bottom w:val="nil"/>
              <w:right w:val="nil"/>
            </w:tcBorders>
            <w:shd w:val="clear" w:color="auto" w:fill="auto"/>
            <w:vAlign w:val="center"/>
          </w:tcPr>
          <w:p w14:paraId="2D803259"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81,5</w:t>
            </w:r>
          </w:p>
        </w:tc>
        <w:tc>
          <w:tcPr>
            <w:tcW w:w="1467" w:type="dxa"/>
            <w:tcBorders>
              <w:top w:val="nil"/>
              <w:left w:val="nil"/>
              <w:bottom w:val="nil"/>
              <w:right w:val="single" w:sz="4" w:space="0" w:color="000000"/>
            </w:tcBorders>
            <w:shd w:val="clear" w:color="auto" w:fill="auto"/>
            <w:vAlign w:val="center"/>
          </w:tcPr>
          <w:p w14:paraId="2A184FD5"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47,2</w:t>
            </w:r>
          </w:p>
        </w:tc>
      </w:tr>
      <w:tr w:rsidR="006B4A57" w:rsidRPr="00641C64" w14:paraId="7C967ED4" w14:textId="77777777" w:rsidTr="00DB661E">
        <w:trPr>
          <w:trHeight w:val="57"/>
        </w:trPr>
        <w:tc>
          <w:tcPr>
            <w:tcW w:w="983" w:type="dxa"/>
            <w:tcBorders>
              <w:top w:val="nil"/>
              <w:left w:val="single" w:sz="4" w:space="0" w:color="000000"/>
              <w:bottom w:val="nil"/>
              <w:right w:val="nil"/>
            </w:tcBorders>
            <w:shd w:val="clear" w:color="auto" w:fill="auto"/>
            <w:vAlign w:val="center"/>
          </w:tcPr>
          <w:p w14:paraId="0E64C083"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V</w:t>
            </w:r>
          </w:p>
        </w:tc>
        <w:tc>
          <w:tcPr>
            <w:tcW w:w="836" w:type="dxa"/>
            <w:tcBorders>
              <w:top w:val="nil"/>
              <w:left w:val="nil"/>
              <w:bottom w:val="nil"/>
              <w:right w:val="nil"/>
            </w:tcBorders>
            <w:shd w:val="clear" w:color="auto" w:fill="auto"/>
            <w:vAlign w:val="center"/>
          </w:tcPr>
          <w:p w14:paraId="4A3A227B"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0,04</w:t>
            </w:r>
          </w:p>
        </w:tc>
        <w:tc>
          <w:tcPr>
            <w:tcW w:w="751" w:type="dxa"/>
            <w:tcBorders>
              <w:top w:val="nil"/>
              <w:left w:val="nil"/>
              <w:bottom w:val="nil"/>
              <w:right w:val="nil"/>
            </w:tcBorders>
            <w:shd w:val="clear" w:color="auto" w:fill="auto"/>
            <w:vAlign w:val="center"/>
          </w:tcPr>
          <w:p w14:paraId="33499EB4"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19,8</w:t>
            </w:r>
          </w:p>
        </w:tc>
        <w:tc>
          <w:tcPr>
            <w:tcW w:w="1652" w:type="dxa"/>
            <w:tcBorders>
              <w:top w:val="nil"/>
              <w:left w:val="nil"/>
              <w:bottom w:val="nil"/>
              <w:right w:val="nil"/>
            </w:tcBorders>
            <w:shd w:val="clear" w:color="auto" w:fill="auto"/>
            <w:vAlign w:val="center"/>
          </w:tcPr>
          <w:p w14:paraId="2A5A26F3"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151</w:t>
            </w:r>
          </w:p>
        </w:tc>
        <w:tc>
          <w:tcPr>
            <w:tcW w:w="1653" w:type="dxa"/>
            <w:tcBorders>
              <w:top w:val="nil"/>
              <w:left w:val="nil"/>
              <w:bottom w:val="nil"/>
              <w:right w:val="nil"/>
            </w:tcBorders>
            <w:shd w:val="clear" w:color="auto" w:fill="auto"/>
            <w:vAlign w:val="center"/>
          </w:tcPr>
          <w:p w14:paraId="5F94FDA9"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4</w:t>
            </w:r>
          </w:p>
        </w:tc>
        <w:tc>
          <w:tcPr>
            <w:tcW w:w="1739" w:type="dxa"/>
            <w:tcBorders>
              <w:top w:val="nil"/>
              <w:left w:val="nil"/>
              <w:bottom w:val="nil"/>
              <w:right w:val="nil"/>
            </w:tcBorders>
            <w:shd w:val="clear" w:color="auto" w:fill="auto"/>
            <w:vAlign w:val="center"/>
          </w:tcPr>
          <w:p w14:paraId="71D41DE0"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94,3</w:t>
            </w:r>
          </w:p>
        </w:tc>
        <w:tc>
          <w:tcPr>
            <w:tcW w:w="1467" w:type="dxa"/>
            <w:tcBorders>
              <w:top w:val="nil"/>
              <w:left w:val="nil"/>
              <w:bottom w:val="nil"/>
              <w:right w:val="single" w:sz="4" w:space="0" w:color="000000"/>
            </w:tcBorders>
            <w:shd w:val="clear" w:color="auto" w:fill="auto"/>
            <w:vAlign w:val="center"/>
          </w:tcPr>
          <w:p w14:paraId="718B0046"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70,2</w:t>
            </w:r>
          </w:p>
        </w:tc>
      </w:tr>
      <w:tr w:rsidR="006B4A57" w:rsidRPr="00641C64" w14:paraId="59F5414C" w14:textId="77777777" w:rsidTr="00DB661E">
        <w:trPr>
          <w:trHeight w:val="57"/>
        </w:trPr>
        <w:tc>
          <w:tcPr>
            <w:tcW w:w="983" w:type="dxa"/>
            <w:tcBorders>
              <w:top w:val="nil"/>
              <w:left w:val="single" w:sz="4" w:space="0" w:color="000000"/>
              <w:bottom w:val="single" w:sz="4" w:space="0" w:color="000000"/>
              <w:right w:val="nil"/>
            </w:tcBorders>
            <w:shd w:val="clear" w:color="auto" w:fill="auto"/>
            <w:vAlign w:val="center"/>
          </w:tcPr>
          <w:p w14:paraId="348C7F88"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VI</w:t>
            </w:r>
          </w:p>
        </w:tc>
        <w:tc>
          <w:tcPr>
            <w:tcW w:w="836" w:type="dxa"/>
            <w:tcBorders>
              <w:top w:val="nil"/>
              <w:left w:val="nil"/>
              <w:bottom w:val="single" w:sz="4" w:space="0" w:color="000000"/>
              <w:right w:val="nil"/>
            </w:tcBorders>
            <w:shd w:val="clear" w:color="auto" w:fill="auto"/>
            <w:vAlign w:val="center"/>
          </w:tcPr>
          <w:p w14:paraId="0D054945"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0,02</w:t>
            </w:r>
          </w:p>
        </w:tc>
        <w:tc>
          <w:tcPr>
            <w:tcW w:w="751" w:type="dxa"/>
            <w:tcBorders>
              <w:top w:val="nil"/>
              <w:left w:val="nil"/>
              <w:bottom w:val="single" w:sz="4" w:space="0" w:color="000000"/>
              <w:right w:val="nil"/>
            </w:tcBorders>
            <w:shd w:val="clear" w:color="auto" w:fill="auto"/>
            <w:vAlign w:val="center"/>
          </w:tcPr>
          <w:p w14:paraId="1ED88CC6"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12,80</w:t>
            </w:r>
          </w:p>
        </w:tc>
        <w:tc>
          <w:tcPr>
            <w:tcW w:w="1652" w:type="dxa"/>
            <w:tcBorders>
              <w:top w:val="nil"/>
              <w:left w:val="nil"/>
              <w:bottom w:val="single" w:sz="4" w:space="0" w:color="000000"/>
              <w:right w:val="nil"/>
            </w:tcBorders>
            <w:shd w:val="clear" w:color="auto" w:fill="auto"/>
            <w:vAlign w:val="center"/>
          </w:tcPr>
          <w:p w14:paraId="749D3DF3"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142</w:t>
            </w:r>
          </w:p>
        </w:tc>
        <w:tc>
          <w:tcPr>
            <w:tcW w:w="1653" w:type="dxa"/>
            <w:tcBorders>
              <w:top w:val="nil"/>
              <w:left w:val="nil"/>
              <w:bottom w:val="single" w:sz="4" w:space="0" w:color="000000"/>
              <w:right w:val="nil"/>
            </w:tcBorders>
            <w:shd w:val="clear" w:color="auto" w:fill="auto"/>
            <w:vAlign w:val="center"/>
          </w:tcPr>
          <w:p w14:paraId="4F5E920E"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w:t>
            </w:r>
          </w:p>
        </w:tc>
        <w:tc>
          <w:tcPr>
            <w:tcW w:w="1739" w:type="dxa"/>
            <w:tcBorders>
              <w:top w:val="nil"/>
              <w:left w:val="nil"/>
              <w:bottom w:val="single" w:sz="4" w:space="0" w:color="000000"/>
              <w:right w:val="nil"/>
            </w:tcBorders>
            <w:shd w:val="clear" w:color="auto" w:fill="auto"/>
            <w:vAlign w:val="center"/>
          </w:tcPr>
          <w:p w14:paraId="7A1609CF"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93,8</w:t>
            </w:r>
          </w:p>
        </w:tc>
        <w:tc>
          <w:tcPr>
            <w:tcW w:w="1467" w:type="dxa"/>
            <w:tcBorders>
              <w:top w:val="nil"/>
              <w:left w:val="nil"/>
              <w:bottom w:val="single" w:sz="4" w:space="0" w:color="000000"/>
              <w:right w:val="single" w:sz="4" w:space="0" w:color="000000"/>
            </w:tcBorders>
            <w:shd w:val="clear" w:color="auto" w:fill="auto"/>
            <w:vAlign w:val="center"/>
          </w:tcPr>
          <w:p w14:paraId="3A834B87" w14:textId="77777777" w:rsidR="000A3E1B" w:rsidRPr="00641C64" w:rsidRDefault="000A3E1B" w:rsidP="00DB661E">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81,2</w:t>
            </w:r>
          </w:p>
        </w:tc>
      </w:tr>
    </w:tbl>
    <w:p w14:paraId="30D6F6D9"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0"/>
          <w:szCs w:val="20"/>
        </w:rPr>
      </w:pPr>
      <w:r w:rsidRPr="00641C64">
        <w:rPr>
          <w:rFonts w:ascii="Times New Roman" w:eastAsia="Times New Roman" w:hAnsi="Times New Roman" w:cs="Times New Roman"/>
          <w:color w:val="000000" w:themeColor="text1"/>
          <w:sz w:val="20"/>
          <w:szCs w:val="20"/>
        </w:rPr>
        <w:t xml:space="preserve">Fonte: Jannuzzi (2004a). </w:t>
      </w:r>
    </w:p>
    <w:p w14:paraId="41C8AE6F"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p>
    <w:p w14:paraId="77CD14B1" w14:textId="77777777" w:rsidR="000A3E1B" w:rsidRPr="00641C64" w:rsidRDefault="00D30D0A" w:rsidP="00D30D0A">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No quarto estrato (</w:t>
      </w:r>
      <w:r w:rsidR="000A3E1B" w:rsidRPr="00641C64">
        <w:rPr>
          <w:rFonts w:ascii="Times New Roman" w:hAnsi="Times New Roman" w:cs="Times New Roman"/>
          <w:color w:val="000000" w:themeColor="text1"/>
          <w:sz w:val="24"/>
          <w:szCs w:val="24"/>
        </w:rPr>
        <w:t>trabalhadoras do setor tradicional</w:t>
      </w:r>
      <w:r w:rsidRPr="00641C64">
        <w:rPr>
          <w:rFonts w:ascii="Times New Roman" w:hAnsi="Times New Roman" w:cs="Times New Roman"/>
          <w:color w:val="000000" w:themeColor="text1"/>
          <w:sz w:val="24"/>
          <w:szCs w:val="24"/>
        </w:rPr>
        <w:t>),</w:t>
      </w:r>
      <w:r w:rsidR="000A3E1B"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color w:val="000000" w:themeColor="text1"/>
          <w:sz w:val="24"/>
          <w:szCs w:val="24"/>
        </w:rPr>
        <w:t>a</w:t>
      </w:r>
      <w:r w:rsidR="000A3E1B" w:rsidRPr="00641C64">
        <w:rPr>
          <w:rFonts w:ascii="Times New Roman" w:hAnsi="Times New Roman" w:cs="Times New Roman"/>
          <w:color w:val="000000" w:themeColor="text1"/>
          <w:sz w:val="24"/>
          <w:szCs w:val="24"/>
        </w:rPr>
        <w:t>s ocupações típicas são</w:t>
      </w:r>
      <w:r w:rsidRPr="00641C64">
        <w:rPr>
          <w:rFonts w:ascii="Times New Roman" w:hAnsi="Times New Roman" w:cs="Times New Roman"/>
          <w:color w:val="000000" w:themeColor="text1"/>
          <w:sz w:val="24"/>
          <w:szCs w:val="24"/>
        </w:rPr>
        <w:t>:</w:t>
      </w:r>
      <w:r w:rsidR="000A3E1B" w:rsidRPr="00641C64">
        <w:rPr>
          <w:rFonts w:ascii="Times New Roman" w:hAnsi="Times New Roman" w:cs="Times New Roman"/>
          <w:color w:val="000000" w:themeColor="text1"/>
          <w:sz w:val="24"/>
          <w:szCs w:val="24"/>
        </w:rPr>
        <w:t xml:space="preserve"> vendedores em quiosques de barracas, vendedores ambulantes, pintores, ajudantes de obras, trabalhadores de forjamento de metais, da indústria têxtil, artesanais da confecção, operadores de tear e máquinas similares, operadores de acabamento de calçados, trabalhadores de cargas e descargas de mercadorias, de embalagem e etiquetagem. </w:t>
      </w:r>
      <w:r w:rsidRPr="00641C64">
        <w:rPr>
          <w:rFonts w:ascii="Times New Roman" w:hAnsi="Times New Roman" w:cs="Times New Roman"/>
          <w:color w:val="000000" w:themeColor="text1"/>
          <w:sz w:val="24"/>
          <w:szCs w:val="24"/>
        </w:rPr>
        <w:t>O quinto estrato (</w:t>
      </w:r>
      <w:r w:rsidR="000A3E1B" w:rsidRPr="00641C64">
        <w:rPr>
          <w:rFonts w:ascii="Times New Roman" w:hAnsi="Times New Roman" w:cs="Times New Roman"/>
          <w:color w:val="000000" w:themeColor="text1"/>
          <w:sz w:val="24"/>
          <w:szCs w:val="24"/>
        </w:rPr>
        <w:t>trabalhadoras domésticas</w:t>
      </w:r>
      <w:r w:rsidRPr="00641C64">
        <w:rPr>
          <w:rFonts w:ascii="Times New Roman" w:hAnsi="Times New Roman" w:cs="Times New Roman"/>
          <w:color w:val="000000" w:themeColor="text1"/>
          <w:sz w:val="24"/>
          <w:szCs w:val="24"/>
        </w:rPr>
        <w:t>)</w:t>
      </w:r>
      <w:r w:rsidR="000A3E1B" w:rsidRPr="00641C64">
        <w:rPr>
          <w:rFonts w:ascii="Times New Roman" w:hAnsi="Times New Roman" w:cs="Times New Roman"/>
          <w:color w:val="000000" w:themeColor="text1"/>
          <w:sz w:val="24"/>
          <w:szCs w:val="24"/>
        </w:rPr>
        <w:t xml:space="preserve"> é formado pelas categorias ocupacionais de arrumadeira, camareiro(a), caseiro(a), jardineiro(a), empregada doméstica, diarista, faxineira, lavadeira, passadeira, lavador(a), passador de roupas, auxiliar de serviços diversos e gerais. </w:t>
      </w:r>
      <w:r w:rsidRPr="00641C64">
        <w:rPr>
          <w:rFonts w:ascii="Times New Roman" w:hAnsi="Times New Roman" w:cs="Times New Roman"/>
          <w:color w:val="000000" w:themeColor="text1"/>
          <w:sz w:val="24"/>
          <w:szCs w:val="24"/>
        </w:rPr>
        <w:t>N</w:t>
      </w:r>
      <w:r w:rsidR="000A3E1B" w:rsidRPr="00641C64">
        <w:rPr>
          <w:rFonts w:ascii="Times New Roman" w:hAnsi="Times New Roman" w:cs="Times New Roman"/>
          <w:color w:val="000000" w:themeColor="text1"/>
          <w:sz w:val="24"/>
          <w:szCs w:val="24"/>
        </w:rPr>
        <w:t xml:space="preserve">o último estrato (trabalhadoras rurais), </w:t>
      </w:r>
      <w:r w:rsidRPr="00641C64">
        <w:rPr>
          <w:rFonts w:ascii="Times New Roman" w:hAnsi="Times New Roman" w:cs="Times New Roman"/>
          <w:color w:val="000000" w:themeColor="text1"/>
          <w:sz w:val="24"/>
          <w:szCs w:val="24"/>
        </w:rPr>
        <w:t xml:space="preserve">as </w:t>
      </w:r>
      <w:r w:rsidR="000A3E1B" w:rsidRPr="00641C64">
        <w:rPr>
          <w:rFonts w:ascii="Times New Roman" w:hAnsi="Times New Roman" w:cs="Times New Roman"/>
          <w:color w:val="000000" w:themeColor="text1"/>
          <w:sz w:val="24"/>
          <w:szCs w:val="24"/>
        </w:rPr>
        <w:t xml:space="preserve">ocupações típicas </w:t>
      </w:r>
      <w:r w:rsidRPr="00641C64">
        <w:rPr>
          <w:rFonts w:ascii="Times New Roman" w:hAnsi="Times New Roman" w:cs="Times New Roman"/>
          <w:color w:val="000000" w:themeColor="text1"/>
          <w:sz w:val="24"/>
          <w:szCs w:val="24"/>
        </w:rPr>
        <w:t>são:</w:t>
      </w:r>
      <w:r w:rsidR="000A3E1B" w:rsidRPr="00641C64">
        <w:rPr>
          <w:rFonts w:ascii="Times New Roman" w:hAnsi="Times New Roman" w:cs="Times New Roman"/>
          <w:color w:val="000000" w:themeColor="text1"/>
          <w:sz w:val="24"/>
          <w:szCs w:val="24"/>
        </w:rPr>
        <w:t xml:space="preserve"> produtores agrícolas, trabalhadores na exploração </w:t>
      </w:r>
      <w:r w:rsidR="000A3E1B" w:rsidRPr="00641C64">
        <w:rPr>
          <w:rFonts w:ascii="Times New Roman" w:hAnsi="Times New Roman" w:cs="Times New Roman"/>
          <w:color w:val="000000" w:themeColor="text1"/>
          <w:sz w:val="24"/>
          <w:szCs w:val="24"/>
        </w:rPr>
        <w:lastRenderedPageBreak/>
        <w:t>agropecuária, pescadores e caçadores, extrativistas florestais, garimpeiros, confeccionistas de artefatos de madeira, condutores de veículos de tração animal e moleiros.</w:t>
      </w:r>
    </w:p>
    <w:p w14:paraId="119FC470" w14:textId="77777777" w:rsidR="000A3E1B" w:rsidRPr="00641C64" w:rsidRDefault="000A3E1B">
      <w:pPr>
        <w:spacing w:after="0" w:line="240" w:lineRule="auto"/>
        <w:jc w:val="both"/>
        <w:rPr>
          <w:rFonts w:ascii="Times New Roman" w:hAnsi="Times New Roman" w:cs="Times New Roman"/>
          <w:color w:val="000000" w:themeColor="text1"/>
          <w:sz w:val="24"/>
          <w:szCs w:val="24"/>
        </w:rPr>
      </w:pPr>
    </w:p>
    <w:p w14:paraId="393FB329" w14:textId="09592239" w:rsidR="000A3E1B" w:rsidRPr="00641C64" w:rsidRDefault="00747E1A" w:rsidP="000A3E1B">
      <w:pPr>
        <w:spacing w:after="0" w:line="360" w:lineRule="auto"/>
        <w:jc w:val="both"/>
        <w:rPr>
          <w:rFonts w:ascii="Times New Roman" w:eastAsia="Times New Roman" w:hAnsi="Times New Roman" w:cs="Times New Roman"/>
          <w:b/>
          <w:color w:val="000000" w:themeColor="text1"/>
          <w:sz w:val="24"/>
          <w:szCs w:val="24"/>
        </w:rPr>
      </w:pPr>
      <w:r w:rsidRPr="00641C64">
        <w:rPr>
          <w:rFonts w:ascii="Times New Roman" w:hAnsi="Times New Roman" w:cs="Times New Roman"/>
          <w:b/>
          <w:bCs/>
          <w:color w:val="000000" w:themeColor="text1"/>
          <w:sz w:val="24"/>
          <w:szCs w:val="24"/>
        </w:rPr>
        <w:t xml:space="preserve">4 </w:t>
      </w:r>
      <w:r w:rsidR="000A3E1B" w:rsidRPr="00641C64">
        <w:rPr>
          <w:rFonts w:ascii="Times New Roman" w:hAnsi="Times New Roman" w:cs="Times New Roman"/>
          <w:b/>
          <w:color w:val="000000" w:themeColor="text1"/>
          <w:sz w:val="24"/>
          <w:szCs w:val="24"/>
        </w:rPr>
        <w:t>INDICADORES DE MOBILIDADE INTERGERACIONAL DE OCUPAÇÃO POR CONDIÇÃO DE MIGRAÇÃO</w:t>
      </w:r>
      <w:r w:rsidR="00183C83" w:rsidRPr="00641C64">
        <w:rPr>
          <w:rFonts w:ascii="Times New Roman" w:hAnsi="Times New Roman" w:cs="Times New Roman"/>
          <w:b/>
          <w:color w:val="000000" w:themeColor="text1"/>
          <w:sz w:val="24"/>
          <w:szCs w:val="24"/>
        </w:rPr>
        <w:t>: BRASIL E NORDESTE</w:t>
      </w:r>
    </w:p>
    <w:p w14:paraId="5BC907C1" w14:textId="77777777" w:rsidR="0065191D" w:rsidRPr="00641C64" w:rsidRDefault="0065191D">
      <w:pPr>
        <w:spacing w:after="0" w:line="240" w:lineRule="auto"/>
        <w:jc w:val="both"/>
        <w:rPr>
          <w:rFonts w:ascii="Times New Roman" w:hAnsi="Times New Roman" w:cs="Times New Roman"/>
          <w:color w:val="000000" w:themeColor="text1"/>
          <w:sz w:val="24"/>
          <w:szCs w:val="24"/>
        </w:rPr>
      </w:pPr>
    </w:p>
    <w:p w14:paraId="4A3B6B7A" w14:textId="07BCA2A1" w:rsidR="00DB11B8" w:rsidRPr="00641C64" w:rsidRDefault="000A3E1B" w:rsidP="00DB11B8">
      <w:pPr>
        <w:spacing w:after="0" w:line="360" w:lineRule="auto"/>
        <w:ind w:firstLine="709"/>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A Tabela 1 apresenta os indicadores de mobilidade ocupacional por condição de migração das mulheres no Brasil, em 2014. Para aquelas não migrantes</w:t>
      </w:r>
      <w:r w:rsidR="00D07C40"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color w:val="000000" w:themeColor="text1"/>
          <w:sz w:val="24"/>
          <w:szCs w:val="24"/>
        </w:rPr>
        <w:t>observa</w:t>
      </w:r>
      <w:r w:rsidR="00D85FBC" w:rsidRPr="00641C64">
        <w:rPr>
          <w:rFonts w:ascii="Times New Roman" w:hAnsi="Times New Roman" w:cs="Times New Roman"/>
          <w:color w:val="000000" w:themeColor="text1"/>
          <w:sz w:val="24"/>
          <w:szCs w:val="24"/>
        </w:rPr>
        <w:t>-se</w:t>
      </w:r>
      <w:r w:rsidRPr="00641C64">
        <w:rPr>
          <w:rFonts w:ascii="Times New Roman" w:hAnsi="Times New Roman" w:cs="Times New Roman"/>
          <w:color w:val="000000" w:themeColor="text1"/>
          <w:sz w:val="24"/>
          <w:szCs w:val="24"/>
        </w:rPr>
        <w:t xml:space="preserve"> que a grande maioria das filhas de trabalhadoras domésticas (80,0%), trabalhadoras rurais (72,4%) e trabalhadoras do setor tradicional (66,0%) alcançaram mobilidade ascendente em relação a</w:t>
      </w:r>
      <w:r w:rsidR="00D85FBC" w:rsidRPr="00641C64">
        <w:rPr>
          <w:rFonts w:ascii="Times New Roman" w:hAnsi="Times New Roman" w:cs="Times New Roman"/>
          <w:color w:val="000000" w:themeColor="text1"/>
          <w:sz w:val="24"/>
          <w:szCs w:val="24"/>
        </w:rPr>
        <w:t>s</w:t>
      </w:r>
      <w:r w:rsidRPr="00641C64">
        <w:rPr>
          <w:rFonts w:ascii="Times New Roman" w:hAnsi="Times New Roman" w:cs="Times New Roman"/>
          <w:color w:val="000000" w:themeColor="text1"/>
          <w:sz w:val="24"/>
          <w:szCs w:val="24"/>
        </w:rPr>
        <w:t xml:space="preserve"> suas mães. Enquanto para as filhas provenientes dos estratos ocupacionais mais elevados verifica-se o contrário: a grande maioria teve imobilidade ou mobilidade descendente, em 2014. </w:t>
      </w:r>
      <w:r w:rsidR="00DB11B8" w:rsidRPr="00641C64">
        <w:rPr>
          <w:rFonts w:ascii="Times New Roman" w:hAnsi="Times New Roman" w:cs="Times New Roman"/>
          <w:color w:val="000000" w:themeColor="text1"/>
          <w:sz w:val="24"/>
          <w:szCs w:val="24"/>
        </w:rPr>
        <w:t>Entre o grupo de migrantes foram as filhas de trabalhadoras rurais que experimentaram as maiores cifras de mobilidade ascendente e menores de imobilidade. Enquanto 88,5% delas alcançaram ascensão ocupacional em relação à condição materna, apenas 11,5% experimentaram imobilidade intergeracional. Adicionalmente, mais da metade das filhas de trabalhadoras do comércio, serviços e qualificadas da indústria, das filhas de trabalhadoras do setor tradicional e das trabalhadoras domésticas alcançaram mobilidade ascendente</w:t>
      </w:r>
      <w:r w:rsidR="00D85FBC" w:rsidRPr="00641C64">
        <w:rPr>
          <w:rFonts w:ascii="Times New Roman" w:hAnsi="Times New Roman" w:cs="Times New Roman"/>
          <w:color w:val="000000" w:themeColor="text1"/>
          <w:sz w:val="24"/>
          <w:szCs w:val="24"/>
        </w:rPr>
        <w:t xml:space="preserve"> no Brasil</w:t>
      </w:r>
      <w:r w:rsidR="00DB11B8" w:rsidRPr="00641C64">
        <w:rPr>
          <w:rFonts w:ascii="Times New Roman" w:hAnsi="Times New Roman" w:cs="Times New Roman"/>
          <w:color w:val="000000" w:themeColor="text1"/>
          <w:sz w:val="24"/>
          <w:szCs w:val="24"/>
        </w:rPr>
        <w:t>.</w:t>
      </w:r>
    </w:p>
    <w:p w14:paraId="64970487" w14:textId="77777777" w:rsidR="000A3E1B" w:rsidRPr="00641C64" w:rsidRDefault="000A3E1B" w:rsidP="000A3E1B">
      <w:pPr>
        <w:spacing w:after="0" w:line="360" w:lineRule="auto"/>
        <w:ind w:firstLine="709"/>
        <w:jc w:val="both"/>
        <w:rPr>
          <w:rFonts w:ascii="Times New Roman" w:hAnsi="Times New Roman" w:cs="Times New Roman"/>
          <w:color w:val="000000" w:themeColor="text1"/>
          <w:sz w:val="24"/>
          <w:szCs w:val="24"/>
        </w:rPr>
      </w:pPr>
    </w:p>
    <w:p w14:paraId="1095ADC0" w14:textId="77777777" w:rsidR="000A3E1B" w:rsidRPr="00641C64" w:rsidRDefault="000A3E1B" w:rsidP="000A3E1B">
      <w:pPr>
        <w:spacing w:after="0" w:line="240" w:lineRule="auto"/>
        <w:jc w:val="both"/>
        <w:rPr>
          <w:rFonts w:ascii="Times New Roman" w:hAnsi="Times New Roman" w:cs="Times New Roman"/>
          <w:b/>
          <w:color w:val="000000" w:themeColor="text1"/>
          <w:sz w:val="24"/>
          <w:szCs w:val="24"/>
        </w:rPr>
      </w:pPr>
      <w:r w:rsidRPr="00641C64">
        <w:rPr>
          <w:rFonts w:ascii="Times New Roman" w:hAnsi="Times New Roman" w:cs="Times New Roman"/>
          <w:b/>
          <w:color w:val="000000" w:themeColor="text1"/>
          <w:sz w:val="24"/>
          <w:szCs w:val="24"/>
        </w:rPr>
        <w:t>Tabela 1 - Indicadores da Mobilidade Intergeracional de Ocupação das Mulheres de 16 a 64 anos, segundo a condição de migração - Brasil, 2014 (%)</w:t>
      </w:r>
    </w:p>
    <w:tbl>
      <w:tblPr>
        <w:tblW w:w="9085" w:type="dxa"/>
        <w:tblInd w:w="70" w:type="dxa"/>
        <w:tblCellMar>
          <w:left w:w="70" w:type="dxa"/>
          <w:right w:w="70" w:type="dxa"/>
        </w:tblCellMar>
        <w:tblLook w:val="04A0" w:firstRow="1" w:lastRow="0" w:firstColumn="1" w:lastColumn="0" w:noHBand="0" w:noVBand="1"/>
      </w:tblPr>
      <w:tblGrid>
        <w:gridCol w:w="5387"/>
        <w:gridCol w:w="1276"/>
        <w:gridCol w:w="1174"/>
        <w:gridCol w:w="1248"/>
      </w:tblGrid>
      <w:tr w:rsidR="006B4A57" w:rsidRPr="00641C64" w14:paraId="3B3D6287" w14:textId="77777777" w:rsidTr="000A3E1B">
        <w:trPr>
          <w:trHeight w:val="22"/>
        </w:trPr>
        <w:tc>
          <w:tcPr>
            <w:tcW w:w="9085" w:type="dxa"/>
            <w:gridSpan w:val="4"/>
            <w:tcBorders>
              <w:top w:val="single" w:sz="4" w:space="0" w:color="auto"/>
              <w:left w:val="nil"/>
              <w:bottom w:val="single" w:sz="4" w:space="0" w:color="auto"/>
              <w:right w:val="nil"/>
            </w:tcBorders>
            <w:shd w:val="clear" w:color="auto" w:fill="auto"/>
            <w:noWrap/>
            <w:vAlign w:val="bottom"/>
            <w:hideMark/>
          </w:tcPr>
          <w:p w14:paraId="59375825"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 xml:space="preserve">Não Migrantes </w:t>
            </w:r>
          </w:p>
        </w:tc>
      </w:tr>
      <w:tr w:rsidR="006B4A57" w:rsidRPr="00641C64" w14:paraId="40927C1D" w14:textId="77777777" w:rsidTr="000A3E1B">
        <w:trPr>
          <w:trHeight w:val="22"/>
        </w:trPr>
        <w:tc>
          <w:tcPr>
            <w:tcW w:w="5387" w:type="dxa"/>
            <w:tcBorders>
              <w:top w:val="nil"/>
              <w:left w:val="nil"/>
              <w:bottom w:val="single" w:sz="4" w:space="0" w:color="auto"/>
              <w:right w:val="single" w:sz="4" w:space="0" w:color="auto"/>
            </w:tcBorders>
            <w:shd w:val="clear" w:color="auto" w:fill="auto"/>
            <w:noWrap/>
            <w:vAlign w:val="bottom"/>
            <w:hideMark/>
          </w:tcPr>
          <w:p w14:paraId="3CF99BC7" w14:textId="77777777" w:rsidR="000A3E1B" w:rsidRPr="00641C64" w:rsidRDefault="000A3E1B" w:rsidP="00DB11B8">
            <w:pPr>
              <w:spacing w:after="0" w:line="240" w:lineRule="auto"/>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Estrato Ocupacional</w:t>
            </w:r>
          </w:p>
        </w:tc>
        <w:tc>
          <w:tcPr>
            <w:tcW w:w="1276" w:type="dxa"/>
            <w:tcBorders>
              <w:top w:val="nil"/>
              <w:left w:val="nil"/>
              <w:bottom w:val="single" w:sz="4" w:space="0" w:color="auto"/>
              <w:right w:val="single" w:sz="4" w:space="0" w:color="auto"/>
            </w:tcBorders>
            <w:shd w:val="clear" w:color="auto" w:fill="auto"/>
            <w:noWrap/>
            <w:vAlign w:val="center"/>
            <w:hideMark/>
          </w:tcPr>
          <w:p w14:paraId="4ED9E6C0"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Ascendente</w:t>
            </w:r>
          </w:p>
        </w:tc>
        <w:tc>
          <w:tcPr>
            <w:tcW w:w="1174" w:type="dxa"/>
            <w:tcBorders>
              <w:top w:val="nil"/>
              <w:left w:val="nil"/>
              <w:bottom w:val="single" w:sz="4" w:space="0" w:color="auto"/>
              <w:right w:val="single" w:sz="4" w:space="0" w:color="auto"/>
            </w:tcBorders>
            <w:shd w:val="clear" w:color="auto" w:fill="auto"/>
            <w:noWrap/>
            <w:vAlign w:val="center"/>
            <w:hideMark/>
          </w:tcPr>
          <w:p w14:paraId="18763C34"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Imobilidade</w:t>
            </w:r>
          </w:p>
        </w:tc>
        <w:tc>
          <w:tcPr>
            <w:tcW w:w="1248" w:type="dxa"/>
            <w:tcBorders>
              <w:top w:val="nil"/>
              <w:left w:val="nil"/>
              <w:bottom w:val="single" w:sz="4" w:space="0" w:color="auto"/>
              <w:right w:val="nil"/>
            </w:tcBorders>
            <w:shd w:val="clear" w:color="auto" w:fill="auto"/>
            <w:noWrap/>
            <w:vAlign w:val="center"/>
            <w:hideMark/>
          </w:tcPr>
          <w:p w14:paraId="0AF05250"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Descendente</w:t>
            </w:r>
          </w:p>
        </w:tc>
      </w:tr>
      <w:tr w:rsidR="006B4A57" w:rsidRPr="00641C64" w14:paraId="7B243BCB" w14:textId="77777777" w:rsidTr="000A3E1B">
        <w:trPr>
          <w:trHeight w:val="22"/>
        </w:trPr>
        <w:tc>
          <w:tcPr>
            <w:tcW w:w="5387" w:type="dxa"/>
            <w:tcBorders>
              <w:top w:val="nil"/>
              <w:left w:val="nil"/>
              <w:bottom w:val="nil"/>
              <w:right w:val="nil"/>
            </w:tcBorders>
            <w:shd w:val="clear" w:color="auto" w:fill="auto"/>
            <w:noWrap/>
            <w:vAlign w:val="bottom"/>
            <w:hideMark/>
          </w:tcPr>
          <w:p w14:paraId="4EB02F17"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Proprietárias e profissionais de nível alto</w:t>
            </w:r>
          </w:p>
        </w:tc>
        <w:tc>
          <w:tcPr>
            <w:tcW w:w="1276" w:type="dxa"/>
            <w:tcBorders>
              <w:top w:val="nil"/>
              <w:left w:val="nil"/>
              <w:bottom w:val="nil"/>
              <w:right w:val="nil"/>
            </w:tcBorders>
            <w:shd w:val="clear" w:color="auto" w:fill="auto"/>
            <w:noWrap/>
            <w:vAlign w:val="bottom"/>
            <w:hideMark/>
          </w:tcPr>
          <w:p w14:paraId="580B54EE"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w:t>
            </w:r>
          </w:p>
        </w:tc>
        <w:tc>
          <w:tcPr>
            <w:tcW w:w="1174" w:type="dxa"/>
            <w:tcBorders>
              <w:top w:val="nil"/>
              <w:left w:val="nil"/>
              <w:bottom w:val="nil"/>
              <w:right w:val="nil"/>
            </w:tcBorders>
            <w:shd w:val="clear" w:color="auto" w:fill="auto"/>
            <w:noWrap/>
            <w:vAlign w:val="bottom"/>
            <w:hideMark/>
          </w:tcPr>
          <w:p w14:paraId="45C6048E"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41,5</w:t>
            </w:r>
          </w:p>
        </w:tc>
        <w:tc>
          <w:tcPr>
            <w:tcW w:w="1248" w:type="dxa"/>
            <w:tcBorders>
              <w:top w:val="nil"/>
              <w:left w:val="nil"/>
              <w:bottom w:val="nil"/>
              <w:right w:val="nil"/>
            </w:tcBorders>
            <w:shd w:val="clear" w:color="auto" w:fill="auto"/>
            <w:noWrap/>
            <w:vAlign w:val="bottom"/>
            <w:hideMark/>
          </w:tcPr>
          <w:p w14:paraId="58A98A1C"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58,5</w:t>
            </w:r>
          </w:p>
        </w:tc>
      </w:tr>
      <w:tr w:rsidR="006B4A57" w:rsidRPr="00641C64" w14:paraId="08C7790D" w14:textId="77777777" w:rsidTr="000A3E1B">
        <w:trPr>
          <w:trHeight w:val="22"/>
        </w:trPr>
        <w:tc>
          <w:tcPr>
            <w:tcW w:w="5387" w:type="dxa"/>
            <w:tcBorders>
              <w:top w:val="nil"/>
              <w:left w:val="nil"/>
              <w:bottom w:val="nil"/>
              <w:right w:val="nil"/>
            </w:tcBorders>
            <w:shd w:val="clear" w:color="auto" w:fill="auto"/>
            <w:noWrap/>
            <w:vAlign w:val="bottom"/>
            <w:hideMark/>
          </w:tcPr>
          <w:p w14:paraId="3816E2F7"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Pequenas proprietárias e profissionais de nível médio</w:t>
            </w:r>
          </w:p>
        </w:tc>
        <w:tc>
          <w:tcPr>
            <w:tcW w:w="1276" w:type="dxa"/>
            <w:tcBorders>
              <w:top w:val="nil"/>
              <w:left w:val="nil"/>
              <w:bottom w:val="nil"/>
              <w:right w:val="nil"/>
            </w:tcBorders>
            <w:shd w:val="clear" w:color="auto" w:fill="auto"/>
            <w:noWrap/>
            <w:vAlign w:val="bottom"/>
            <w:hideMark/>
          </w:tcPr>
          <w:p w14:paraId="610E0042"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28,0</w:t>
            </w:r>
          </w:p>
        </w:tc>
        <w:tc>
          <w:tcPr>
            <w:tcW w:w="1174" w:type="dxa"/>
            <w:tcBorders>
              <w:top w:val="nil"/>
              <w:left w:val="nil"/>
              <w:bottom w:val="nil"/>
              <w:right w:val="nil"/>
            </w:tcBorders>
            <w:shd w:val="clear" w:color="auto" w:fill="auto"/>
            <w:noWrap/>
            <w:vAlign w:val="bottom"/>
            <w:hideMark/>
          </w:tcPr>
          <w:p w14:paraId="712CDEB5"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40,8</w:t>
            </w:r>
          </w:p>
        </w:tc>
        <w:tc>
          <w:tcPr>
            <w:tcW w:w="1248" w:type="dxa"/>
            <w:tcBorders>
              <w:top w:val="nil"/>
              <w:left w:val="nil"/>
              <w:bottom w:val="nil"/>
              <w:right w:val="nil"/>
            </w:tcBorders>
            <w:shd w:val="clear" w:color="auto" w:fill="auto"/>
            <w:noWrap/>
            <w:vAlign w:val="bottom"/>
            <w:hideMark/>
          </w:tcPr>
          <w:p w14:paraId="6168B3D2"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31,2</w:t>
            </w:r>
          </w:p>
        </w:tc>
      </w:tr>
      <w:tr w:rsidR="006B4A57" w:rsidRPr="00641C64" w14:paraId="52F70AB3" w14:textId="77777777" w:rsidTr="000A3E1B">
        <w:trPr>
          <w:trHeight w:val="22"/>
        </w:trPr>
        <w:tc>
          <w:tcPr>
            <w:tcW w:w="5387" w:type="dxa"/>
            <w:tcBorders>
              <w:top w:val="nil"/>
              <w:left w:val="nil"/>
              <w:bottom w:val="nil"/>
              <w:right w:val="nil"/>
            </w:tcBorders>
            <w:shd w:val="clear" w:color="auto" w:fill="auto"/>
            <w:noWrap/>
            <w:vAlign w:val="bottom"/>
            <w:hideMark/>
          </w:tcPr>
          <w:p w14:paraId="677BA191"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 comércio, serviço e qualificadas da indústria</w:t>
            </w:r>
          </w:p>
        </w:tc>
        <w:tc>
          <w:tcPr>
            <w:tcW w:w="1276" w:type="dxa"/>
            <w:tcBorders>
              <w:top w:val="nil"/>
              <w:left w:val="nil"/>
              <w:bottom w:val="nil"/>
              <w:right w:val="nil"/>
            </w:tcBorders>
            <w:shd w:val="clear" w:color="auto" w:fill="auto"/>
            <w:noWrap/>
            <w:vAlign w:val="bottom"/>
            <w:hideMark/>
          </w:tcPr>
          <w:p w14:paraId="0CF21A36"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49,2</w:t>
            </w:r>
          </w:p>
        </w:tc>
        <w:tc>
          <w:tcPr>
            <w:tcW w:w="1174" w:type="dxa"/>
            <w:tcBorders>
              <w:top w:val="nil"/>
              <w:left w:val="nil"/>
              <w:bottom w:val="nil"/>
              <w:right w:val="nil"/>
            </w:tcBorders>
            <w:shd w:val="clear" w:color="auto" w:fill="auto"/>
            <w:noWrap/>
            <w:vAlign w:val="bottom"/>
            <w:hideMark/>
          </w:tcPr>
          <w:p w14:paraId="3EE437A0"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36,0</w:t>
            </w:r>
          </w:p>
        </w:tc>
        <w:tc>
          <w:tcPr>
            <w:tcW w:w="1248" w:type="dxa"/>
            <w:tcBorders>
              <w:top w:val="nil"/>
              <w:left w:val="nil"/>
              <w:bottom w:val="nil"/>
              <w:right w:val="nil"/>
            </w:tcBorders>
            <w:shd w:val="clear" w:color="auto" w:fill="auto"/>
            <w:noWrap/>
            <w:vAlign w:val="bottom"/>
            <w:hideMark/>
          </w:tcPr>
          <w:p w14:paraId="5436BCD5"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14,9</w:t>
            </w:r>
          </w:p>
        </w:tc>
      </w:tr>
      <w:tr w:rsidR="006B4A57" w:rsidRPr="00641C64" w14:paraId="6E0B48FC" w14:textId="77777777" w:rsidTr="000A3E1B">
        <w:trPr>
          <w:trHeight w:val="22"/>
        </w:trPr>
        <w:tc>
          <w:tcPr>
            <w:tcW w:w="5387" w:type="dxa"/>
            <w:tcBorders>
              <w:top w:val="nil"/>
              <w:left w:val="nil"/>
              <w:bottom w:val="nil"/>
              <w:right w:val="nil"/>
            </w:tcBorders>
            <w:shd w:val="clear" w:color="auto" w:fill="auto"/>
            <w:noWrap/>
            <w:vAlign w:val="bottom"/>
            <w:hideMark/>
          </w:tcPr>
          <w:p w14:paraId="6A624E44"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 setor tradicional</w:t>
            </w:r>
          </w:p>
        </w:tc>
        <w:tc>
          <w:tcPr>
            <w:tcW w:w="1276" w:type="dxa"/>
            <w:tcBorders>
              <w:top w:val="nil"/>
              <w:left w:val="nil"/>
              <w:bottom w:val="nil"/>
              <w:right w:val="nil"/>
            </w:tcBorders>
            <w:shd w:val="clear" w:color="auto" w:fill="auto"/>
            <w:noWrap/>
            <w:vAlign w:val="bottom"/>
            <w:hideMark/>
          </w:tcPr>
          <w:p w14:paraId="58616D5B"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66,0</w:t>
            </w:r>
          </w:p>
        </w:tc>
        <w:tc>
          <w:tcPr>
            <w:tcW w:w="1174" w:type="dxa"/>
            <w:tcBorders>
              <w:top w:val="nil"/>
              <w:left w:val="nil"/>
              <w:bottom w:val="nil"/>
              <w:right w:val="nil"/>
            </w:tcBorders>
            <w:shd w:val="clear" w:color="auto" w:fill="auto"/>
            <w:noWrap/>
            <w:vAlign w:val="bottom"/>
            <w:hideMark/>
          </w:tcPr>
          <w:p w14:paraId="2CAD100E"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24,0</w:t>
            </w:r>
          </w:p>
        </w:tc>
        <w:tc>
          <w:tcPr>
            <w:tcW w:w="1248" w:type="dxa"/>
            <w:tcBorders>
              <w:top w:val="nil"/>
              <w:left w:val="nil"/>
              <w:bottom w:val="nil"/>
              <w:right w:val="nil"/>
            </w:tcBorders>
            <w:shd w:val="clear" w:color="auto" w:fill="auto"/>
            <w:noWrap/>
            <w:vAlign w:val="bottom"/>
            <w:hideMark/>
          </w:tcPr>
          <w:p w14:paraId="064DB451"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10,0</w:t>
            </w:r>
          </w:p>
        </w:tc>
      </w:tr>
      <w:tr w:rsidR="006B4A57" w:rsidRPr="00641C64" w14:paraId="5EBCA36B" w14:textId="77777777" w:rsidTr="000A3E1B">
        <w:trPr>
          <w:trHeight w:val="22"/>
        </w:trPr>
        <w:tc>
          <w:tcPr>
            <w:tcW w:w="5387" w:type="dxa"/>
            <w:tcBorders>
              <w:top w:val="nil"/>
              <w:left w:val="nil"/>
              <w:bottom w:val="nil"/>
              <w:right w:val="nil"/>
            </w:tcBorders>
            <w:shd w:val="clear" w:color="auto" w:fill="auto"/>
            <w:noWrap/>
            <w:vAlign w:val="bottom"/>
            <w:hideMark/>
          </w:tcPr>
          <w:p w14:paraId="41FBE947"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domésticas</w:t>
            </w:r>
          </w:p>
        </w:tc>
        <w:tc>
          <w:tcPr>
            <w:tcW w:w="1276" w:type="dxa"/>
            <w:tcBorders>
              <w:top w:val="nil"/>
              <w:left w:val="nil"/>
              <w:bottom w:val="nil"/>
              <w:right w:val="nil"/>
            </w:tcBorders>
            <w:shd w:val="clear" w:color="auto" w:fill="auto"/>
            <w:noWrap/>
            <w:vAlign w:val="bottom"/>
            <w:hideMark/>
          </w:tcPr>
          <w:p w14:paraId="78311AD6"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80,0</w:t>
            </w:r>
          </w:p>
        </w:tc>
        <w:tc>
          <w:tcPr>
            <w:tcW w:w="1174" w:type="dxa"/>
            <w:tcBorders>
              <w:top w:val="nil"/>
              <w:left w:val="nil"/>
              <w:bottom w:val="nil"/>
              <w:right w:val="nil"/>
            </w:tcBorders>
            <w:shd w:val="clear" w:color="auto" w:fill="auto"/>
            <w:noWrap/>
            <w:vAlign w:val="bottom"/>
            <w:hideMark/>
          </w:tcPr>
          <w:p w14:paraId="0EDF7FFA"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17,8</w:t>
            </w:r>
          </w:p>
        </w:tc>
        <w:tc>
          <w:tcPr>
            <w:tcW w:w="1248" w:type="dxa"/>
            <w:tcBorders>
              <w:top w:val="nil"/>
              <w:left w:val="nil"/>
              <w:bottom w:val="nil"/>
              <w:right w:val="nil"/>
            </w:tcBorders>
            <w:shd w:val="clear" w:color="auto" w:fill="auto"/>
            <w:noWrap/>
            <w:vAlign w:val="bottom"/>
            <w:hideMark/>
          </w:tcPr>
          <w:p w14:paraId="2F3D5397"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2,1</w:t>
            </w:r>
          </w:p>
        </w:tc>
      </w:tr>
      <w:tr w:rsidR="006B4A57" w:rsidRPr="00641C64" w14:paraId="32E86D2F" w14:textId="77777777" w:rsidTr="000A3E1B">
        <w:trPr>
          <w:trHeight w:val="22"/>
        </w:trPr>
        <w:tc>
          <w:tcPr>
            <w:tcW w:w="5387" w:type="dxa"/>
            <w:tcBorders>
              <w:top w:val="nil"/>
              <w:left w:val="nil"/>
              <w:bottom w:val="single" w:sz="4" w:space="0" w:color="auto"/>
              <w:right w:val="nil"/>
            </w:tcBorders>
            <w:shd w:val="clear" w:color="auto" w:fill="auto"/>
            <w:noWrap/>
            <w:vAlign w:val="bottom"/>
            <w:hideMark/>
          </w:tcPr>
          <w:p w14:paraId="05D6185E"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rurais</w:t>
            </w:r>
          </w:p>
        </w:tc>
        <w:tc>
          <w:tcPr>
            <w:tcW w:w="1276" w:type="dxa"/>
            <w:tcBorders>
              <w:top w:val="nil"/>
              <w:left w:val="nil"/>
              <w:bottom w:val="single" w:sz="4" w:space="0" w:color="auto"/>
              <w:right w:val="nil"/>
            </w:tcBorders>
            <w:shd w:val="clear" w:color="auto" w:fill="auto"/>
            <w:noWrap/>
            <w:vAlign w:val="bottom"/>
            <w:hideMark/>
          </w:tcPr>
          <w:p w14:paraId="01716F1F"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72,4</w:t>
            </w:r>
          </w:p>
        </w:tc>
        <w:tc>
          <w:tcPr>
            <w:tcW w:w="1174" w:type="dxa"/>
            <w:tcBorders>
              <w:top w:val="nil"/>
              <w:left w:val="nil"/>
              <w:bottom w:val="single" w:sz="4" w:space="0" w:color="auto"/>
              <w:right w:val="nil"/>
            </w:tcBorders>
            <w:shd w:val="clear" w:color="auto" w:fill="auto"/>
            <w:noWrap/>
            <w:vAlign w:val="bottom"/>
            <w:hideMark/>
          </w:tcPr>
          <w:p w14:paraId="77C0A8BD"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27,6</w:t>
            </w:r>
          </w:p>
        </w:tc>
        <w:tc>
          <w:tcPr>
            <w:tcW w:w="1248" w:type="dxa"/>
            <w:tcBorders>
              <w:top w:val="nil"/>
              <w:left w:val="nil"/>
              <w:bottom w:val="single" w:sz="4" w:space="0" w:color="auto"/>
              <w:right w:val="nil"/>
            </w:tcBorders>
            <w:shd w:val="clear" w:color="auto" w:fill="auto"/>
            <w:noWrap/>
            <w:vAlign w:val="bottom"/>
            <w:hideMark/>
          </w:tcPr>
          <w:p w14:paraId="35164882"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w:t>
            </w:r>
          </w:p>
        </w:tc>
      </w:tr>
      <w:tr w:rsidR="006B4A57" w:rsidRPr="00641C64" w14:paraId="45139B67" w14:textId="77777777" w:rsidTr="000A3E1B">
        <w:trPr>
          <w:trHeight w:val="22"/>
        </w:trPr>
        <w:tc>
          <w:tcPr>
            <w:tcW w:w="9085" w:type="dxa"/>
            <w:gridSpan w:val="4"/>
            <w:tcBorders>
              <w:top w:val="single" w:sz="4" w:space="0" w:color="auto"/>
              <w:left w:val="nil"/>
              <w:bottom w:val="nil"/>
              <w:right w:val="nil"/>
            </w:tcBorders>
            <w:shd w:val="clear" w:color="auto" w:fill="auto"/>
            <w:vAlign w:val="center"/>
            <w:hideMark/>
          </w:tcPr>
          <w:p w14:paraId="19B16244"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Migrantes</w:t>
            </w:r>
          </w:p>
        </w:tc>
      </w:tr>
      <w:tr w:rsidR="006B4A57" w:rsidRPr="00641C64" w14:paraId="5E253AD8" w14:textId="77777777" w:rsidTr="000A3E1B">
        <w:trPr>
          <w:trHeight w:val="22"/>
        </w:trPr>
        <w:tc>
          <w:tcPr>
            <w:tcW w:w="5387" w:type="dxa"/>
            <w:tcBorders>
              <w:top w:val="single" w:sz="4" w:space="0" w:color="auto"/>
              <w:left w:val="nil"/>
              <w:bottom w:val="single" w:sz="4" w:space="0" w:color="auto"/>
              <w:right w:val="single" w:sz="4" w:space="0" w:color="auto"/>
            </w:tcBorders>
            <w:shd w:val="clear" w:color="auto" w:fill="auto"/>
            <w:noWrap/>
            <w:vAlign w:val="bottom"/>
            <w:hideMark/>
          </w:tcPr>
          <w:p w14:paraId="1C3D89F3" w14:textId="77777777" w:rsidR="000A3E1B" w:rsidRPr="00641C64" w:rsidRDefault="000A3E1B" w:rsidP="00DB11B8">
            <w:pPr>
              <w:spacing w:after="0" w:line="240" w:lineRule="auto"/>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Estrato Ocupacional</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FE1E659"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Ascendente</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184ED195"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Imobilidade</w:t>
            </w:r>
          </w:p>
        </w:tc>
        <w:tc>
          <w:tcPr>
            <w:tcW w:w="1248" w:type="dxa"/>
            <w:tcBorders>
              <w:top w:val="single" w:sz="4" w:space="0" w:color="auto"/>
              <w:left w:val="nil"/>
              <w:bottom w:val="single" w:sz="4" w:space="0" w:color="auto"/>
              <w:right w:val="nil"/>
            </w:tcBorders>
            <w:shd w:val="clear" w:color="auto" w:fill="auto"/>
            <w:noWrap/>
            <w:vAlign w:val="center"/>
            <w:hideMark/>
          </w:tcPr>
          <w:p w14:paraId="22CAEE50" w14:textId="77777777" w:rsidR="000A3E1B" w:rsidRPr="00641C64" w:rsidRDefault="000A3E1B" w:rsidP="00DB11B8">
            <w:pPr>
              <w:spacing w:after="0" w:line="240" w:lineRule="auto"/>
              <w:jc w:val="center"/>
              <w:rPr>
                <w:rFonts w:ascii="Times New Roman" w:eastAsia="Times New Roman" w:hAnsi="Times New Roman" w:cs="Times New Roman"/>
                <w:b/>
                <w:bCs/>
                <w:color w:val="000000" w:themeColor="text1"/>
                <w:sz w:val="20"/>
                <w:szCs w:val="20"/>
                <w:lang w:eastAsia="pt-BR"/>
              </w:rPr>
            </w:pPr>
            <w:r w:rsidRPr="00641C64">
              <w:rPr>
                <w:rFonts w:ascii="Times New Roman" w:eastAsia="Times New Roman" w:hAnsi="Times New Roman" w:cs="Times New Roman"/>
                <w:b/>
                <w:bCs/>
                <w:color w:val="000000" w:themeColor="text1"/>
                <w:sz w:val="20"/>
                <w:szCs w:val="20"/>
                <w:lang w:eastAsia="pt-BR"/>
              </w:rPr>
              <w:t>Descendente</w:t>
            </w:r>
          </w:p>
        </w:tc>
      </w:tr>
      <w:tr w:rsidR="006B4A57" w:rsidRPr="00641C64" w14:paraId="2E1ACE8F" w14:textId="77777777" w:rsidTr="000A3E1B">
        <w:trPr>
          <w:trHeight w:val="22"/>
        </w:trPr>
        <w:tc>
          <w:tcPr>
            <w:tcW w:w="5387" w:type="dxa"/>
            <w:tcBorders>
              <w:top w:val="nil"/>
              <w:left w:val="nil"/>
              <w:bottom w:val="nil"/>
              <w:right w:val="nil"/>
            </w:tcBorders>
            <w:shd w:val="clear" w:color="auto" w:fill="auto"/>
            <w:noWrap/>
            <w:vAlign w:val="bottom"/>
            <w:hideMark/>
          </w:tcPr>
          <w:p w14:paraId="554F4AC2"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Proprietárias e profissionais de nível alto</w:t>
            </w:r>
          </w:p>
        </w:tc>
        <w:tc>
          <w:tcPr>
            <w:tcW w:w="1276" w:type="dxa"/>
            <w:tcBorders>
              <w:top w:val="nil"/>
              <w:left w:val="nil"/>
              <w:bottom w:val="nil"/>
              <w:right w:val="nil"/>
            </w:tcBorders>
            <w:shd w:val="clear" w:color="auto" w:fill="auto"/>
            <w:noWrap/>
            <w:vAlign w:val="bottom"/>
            <w:hideMark/>
          </w:tcPr>
          <w:p w14:paraId="5DF3C998"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w:t>
            </w:r>
          </w:p>
        </w:tc>
        <w:tc>
          <w:tcPr>
            <w:tcW w:w="1174" w:type="dxa"/>
            <w:tcBorders>
              <w:top w:val="nil"/>
              <w:left w:val="nil"/>
              <w:bottom w:val="nil"/>
              <w:right w:val="nil"/>
            </w:tcBorders>
            <w:shd w:val="clear" w:color="auto" w:fill="auto"/>
            <w:noWrap/>
            <w:vAlign w:val="bottom"/>
            <w:hideMark/>
          </w:tcPr>
          <w:p w14:paraId="6C89B33E"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69,7</w:t>
            </w:r>
          </w:p>
        </w:tc>
        <w:tc>
          <w:tcPr>
            <w:tcW w:w="1248" w:type="dxa"/>
            <w:tcBorders>
              <w:top w:val="nil"/>
              <w:left w:val="nil"/>
              <w:bottom w:val="nil"/>
              <w:right w:val="nil"/>
            </w:tcBorders>
            <w:shd w:val="clear" w:color="auto" w:fill="auto"/>
            <w:noWrap/>
            <w:vAlign w:val="bottom"/>
            <w:hideMark/>
          </w:tcPr>
          <w:p w14:paraId="79AE485B"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30,3</w:t>
            </w:r>
          </w:p>
        </w:tc>
      </w:tr>
      <w:tr w:rsidR="006B4A57" w:rsidRPr="00641C64" w14:paraId="5C2DAD48" w14:textId="77777777" w:rsidTr="000A3E1B">
        <w:trPr>
          <w:trHeight w:val="22"/>
        </w:trPr>
        <w:tc>
          <w:tcPr>
            <w:tcW w:w="5387" w:type="dxa"/>
            <w:tcBorders>
              <w:top w:val="nil"/>
              <w:left w:val="nil"/>
              <w:bottom w:val="nil"/>
              <w:right w:val="nil"/>
            </w:tcBorders>
            <w:shd w:val="clear" w:color="auto" w:fill="auto"/>
            <w:noWrap/>
            <w:vAlign w:val="bottom"/>
            <w:hideMark/>
          </w:tcPr>
          <w:p w14:paraId="55731565"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Pequenas proprietárias e profissionais de nível médio</w:t>
            </w:r>
          </w:p>
        </w:tc>
        <w:tc>
          <w:tcPr>
            <w:tcW w:w="1276" w:type="dxa"/>
            <w:tcBorders>
              <w:top w:val="nil"/>
              <w:left w:val="nil"/>
              <w:bottom w:val="nil"/>
              <w:right w:val="nil"/>
            </w:tcBorders>
            <w:shd w:val="clear" w:color="auto" w:fill="auto"/>
            <w:noWrap/>
            <w:vAlign w:val="bottom"/>
            <w:hideMark/>
          </w:tcPr>
          <w:p w14:paraId="3B08AE8A"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20,9</w:t>
            </w:r>
          </w:p>
        </w:tc>
        <w:tc>
          <w:tcPr>
            <w:tcW w:w="1174" w:type="dxa"/>
            <w:tcBorders>
              <w:top w:val="nil"/>
              <w:left w:val="nil"/>
              <w:bottom w:val="nil"/>
              <w:right w:val="nil"/>
            </w:tcBorders>
            <w:shd w:val="clear" w:color="auto" w:fill="auto"/>
            <w:noWrap/>
            <w:vAlign w:val="bottom"/>
            <w:hideMark/>
          </w:tcPr>
          <w:p w14:paraId="571CBEB8"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50,9</w:t>
            </w:r>
          </w:p>
        </w:tc>
        <w:tc>
          <w:tcPr>
            <w:tcW w:w="1248" w:type="dxa"/>
            <w:tcBorders>
              <w:top w:val="nil"/>
              <w:left w:val="nil"/>
              <w:bottom w:val="nil"/>
              <w:right w:val="nil"/>
            </w:tcBorders>
            <w:shd w:val="clear" w:color="auto" w:fill="auto"/>
            <w:noWrap/>
            <w:vAlign w:val="bottom"/>
            <w:hideMark/>
          </w:tcPr>
          <w:p w14:paraId="04CD89D7"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28,3</w:t>
            </w:r>
          </w:p>
        </w:tc>
      </w:tr>
      <w:tr w:rsidR="006B4A57" w:rsidRPr="00641C64" w14:paraId="2A085B10" w14:textId="77777777" w:rsidTr="000A3E1B">
        <w:trPr>
          <w:trHeight w:val="22"/>
        </w:trPr>
        <w:tc>
          <w:tcPr>
            <w:tcW w:w="5387" w:type="dxa"/>
            <w:tcBorders>
              <w:top w:val="nil"/>
              <w:left w:val="nil"/>
              <w:bottom w:val="nil"/>
              <w:right w:val="nil"/>
            </w:tcBorders>
            <w:shd w:val="clear" w:color="auto" w:fill="auto"/>
            <w:noWrap/>
            <w:vAlign w:val="bottom"/>
            <w:hideMark/>
          </w:tcPr>
          <w:p w14:paraId="5F5D9B7D"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 comércio, serviço e qualificadas da indústria</w:t>
            </w:r>
          </w:p>
        </w:tc>
        <w:tc>
          <w:tcPr>
            <w:tcW w:w="1276" w:type="dxa"/>
            <w:tcBorders>
              <w:top w:val="nil"/>
              <w:left w:val="nil"/>
              <w:bottom w:val="nil"/>
              <w:right w:val="nil"/>
            </w:tcBorders>
            <w:shd w:val="clear" w:color="auto" w:fill="auto"/>
            <w:noWrap/>
            <w:vAlign w:val="bottom"/>
            <w:hideMark/>
          </w:tcPr>
          <w:p w14:paraId="2522FFAD"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60,1</w:t>
            </w:r>
          </w:p>
        </w:tc>
        <w:tc>
          <w:tcPr>
            <w:tcW w:w="1174" w:type="dxa"/>
            <w:tcBorders>
              <w:top w:val="nil"/>
              <w:left w:val="nil"/>
              <w:bottom w:val="nil"/>
              <w:right w:val="nil"/>
            </w:tcBorders>
            <w:shd w:val="clear" w:color="auto" w:fill="auto"/>
            <w:noWrap/>
            <w:vAlign w:val="bottom"/>
            <w:hideMark/>
          </w:tcPr>
          <w:p w14:paraId="4AB74D97"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33,1</w:t>
            </w:r>
          </w:p>
        </w:tc>
        <w:tc>
          <w:tcPr>
            <w:tcW w:w="1248" w:type="dxa"/>
            <w:tcBorders>
              <w:top w:val="nil"/>
              <w:left w:val="nil"/>
              <w:bottom w:val="nil"/>
              <w:right w:val="nil"/>
            </w:tcBorders>
            <w:shd w:val="clear" w:color="auto" w:fill="auto"/>
            <w:noWrap/>
            <w:vAlign w:val="bottom"/>
            <w:hideMark/>
          </w:tcPr>
          <w:p w14:paraId="7528671B"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6,8</w:t>
            </w:r>
          </w:p>
        </w:tc>
      </w:tr>
      <w:tr w:rsidR="006B4A57" w:rsidRPr="00641C64" w14:paraId="35E4896B" w14:textId="77777777" w:rsidTr="000A3E1B">
        <w:trPr>
          <w:trHeight w:val="22"/>
        </w:trPr>
        <w:tc>
          <w:tcPr>
            <w:tcW w:w="5387" w:type="dxa"/>
            <w:tcBorders>
              <w:top w:val="nil"/>
              <w:left w:val="nil"/>
              <w:bottom w:val="nil"/>
              <w:right w:val="nil"/>
            </w:tcBorders>
            <w:shd w:val="clear" w:color="auto" w:fill="auto"/>
            <w:noWrap/>
            <w:vAlign w:val="bottom"/>
            <w:hideMark/>
          </w:tcPr>
          <w:p w14:paraId="1D9A5027"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 setor tradicional</w:t>
            </w:r>
          </w:p>
        </w:tc>
        <w:tc>
          <w:tcPr>
            <w:tcW w:w="1276" w:type="dxa"/>
            <w:tcBorders>
              <w:top w:val="nil"/>
              <w:left w:val="nil"/>
              <w:bottom w:val="nil"/>
              <w:right w:val="nil"/>
            </w:tcBorders>
            <w:shd w:val="clear" w:color="auto" w:fill="auto"/>
            <w:noWrap/>
            <w:vAlign w:val="bottom"/>
            <w:hideMark/>
          </w:tcPr>
          <w:p w14:paraId="4401ABC1"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62,4</w:t>
            </w:r>
          </w:p>
        </w:tc>
        <w:tc>
          <w:tcPr>
            <w:tcW w:w="1174" w:type="dxa"/>
            <w:tcBorders>
              <w:top w:val="nil"/>
              <w:left w:val="nil"/>
              <w:bottom w:val="nil"/>
              <w:right w:val="nil"/>
            </w:tcBorders>
            <w:shd w:val="clear" w:color="auto" w:fill="auto"/>
            <w:noWrap/>
            <w:vAlign w:val="bottom"/>
            <w:hideMark/>
          </w:tcPr>
          <w:p w14:paraId="0F26DED0"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25,5</w:t>
            </w:r>
          </w:p>
        </w:tc>
        <w:tc>
          <w:tcPr>
            <w:tcW w:w="1248" w:type="dxa"/>
            <w:tcBorders>
              <w:top w:val="nil"/>
              <w:left w:val="nil"/>
              <w:bottom w:val="nil"/>
              <w:right w:val="nil"/>
            </w:tcBorders>
            <w:shd w:val="clear" w:color="auto" w:fill="auto"/>
            <w:noWrap/>
            <w:vAlign w:val="bottom"/>
            <w:hideMark/>
          </w:tcPr>
          <w:p w14:paraId="613E80EA"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12,0</w:t>
            </w:r>
          </w:p>
        </w:tc>
      </w:tr>
      <w:tr w:rsidR="006B4A57" w:rsidRPr="00641C64" w14:paraId="1BC2DDBB" w14:textId="77777777" w:rsidTr="000A3E1B">
        <w:trPr>
          <w:trHeight w:val="22"/>
        </w:trPr>
        <w:tc>
          <w:tcPr>
            <w:tcW w:w="5387" w:type="dxa"/>
            <w:tcBorders>
              <w:top w:val="nil"/>
              <w:left w:val="nil"/>
              <w:bottom w:val="nil"/>
              <w:right w:val="nil"/>
            </w:tcBorders>
            <w:shd w:val="clear" w:color="auto" w:fill="auto"/>
            <w:noWrap/>
            <w:vAlign w:val="bottom"/>
            <w:hideMark/>
          </w:tcPr>
          <w:p w14:paraId="1B78A3BE"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domésticas</w:t>
            </w:r>
          </w:p>
        </w:tc>
        <w:tc>
          <w:tcPr>
            <w:tcW w:w="1276" w:type="dxa"/>
            <w:tcBorders>
              <w:top w:val="nil"/>
              <w:left w:val="nil"/>
              <w:bottom w:val="nil"/>
              <w:right w:val="nil"/>
            </w:tcBorders>
            <w:shd w:val="clear" w:color="auto" w:fill="auto"/>
            <w:noWrap/>
            <w:vAlign w:val="bottom"/>
            <w:hideMark/>
          </w:tcPr>
          <w:p w14:paraId="7E2E69A4"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69,2</w:t>
            </w:r>
          </w:p>
        </w:tc>
        <w:tc>
          <w:tcPr>
            <w:tcW w:w="1174" w:type="dxa"/>
            <w:tcBorders>
              <w:top w:val="nil"/>
              <w:left w:val="nil"/>
              <w:bottom w:val="nil"/>
              <w:right w:val="nil"/>
            </w:tcBorders>
            <w:shd w:val="clear" w:color="auto" w:fill="auto"/>
            <w:noWrap/>
            <w:vAlign w:val="bottom"/>
            <w:hideMark/>
          </w:tcPr>
          <w:p w14:paraId="5597AC91"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30,8</w:t>
            </w:r>
          </w:p>
        </w:tc>
        <w:tc>
          <w:tcPr>
            <w:tcW w:w="1248" w:type="dxa"/>
            <w:tcBorders>
              <w:top w:val="nil"/>
              <w:left w:val="nil"/>
              <w:bottom w:val="nil"/>
              <w:right w:val="nil"/>
            </w:tcBorders>
            <w:shd w:val="clear" w:color="auto" w:fill="auto"/>
            <w:noWrap/>
            <w:vAlign w:val="bottom"/>
            <w:hideMark/>
          </w:tcPr>
          <w:p w14:paraId="36C41769"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w:t>
            </w:r>
          </w:p>
        </w:tc>
      </w:tr>
      <w:tr w:rsidR="006B4A57" w:rsidRPr="00641C64" w14:paraId="526CF358" w14:textId="77777777" w:rsidTr="000A3E1B">
        <w:trPr>
          <w:trHeight w:val="22"/>
        </w:trPr>
        <w:tc>
          <w:tcPr>
            <w:tcW w:w="5387" w:type="dxa"/>
            <w:tcBorders>
              <w:top w:val="nil"/>
              <w:left w:val="nil"/>
              <w:bottom w:val="single" w:sz="4" w:space="0" w:color="auto"/>
              <w:right w:val="nil"/>
            </w:tcBorders>
            <w:shd w:val="clear" w:color="auto" w:fill="auto"/>
            <w:noWrap/>
            <w:vAlign w:val="bottom"/>
            <w:hideMark/>
          </w:tcPr>
          <w:p w14:paraId="1DC10675" w14:textId="77777777" w:rsidR="000A3E1B" w:rsidRPr="00641C64" w:rsidRDefault="000A3E1B" w:rsidP="00DB11B8">
            <w:pPr>
              <w:spacing w:after="0" w:line="240" w:lineRule="auto"/>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Trabalhadoras rurais</w:t>
            </w:r>
          </w:p>
        </w:tc>
        <w:tc>
          <w:tcPr>
            <w:tcW w:w="1276" w:type="dxa"/>
            <w:tcBorders>
              <w:top w:val="nil"/>
              <w:left w:val="nil"/>
              <w:bottom w:val="single" w:sz="4" w:space="0" w:color="auto"/>
              <w:right w:val="nil"/>
            </w:tcBorders>
            <w:shd w:val="clear" w:color="auto" w:fill="auto"/>
            <w:noWrap/>
            <w:vAlign w:val="bottom"/>
            <w:hideMark/>
          </w:tcPr>
          <w:p w14:paraId="112180D6"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88,5</w:t>
            </w:r>
          </w:p>
        </w:tc>
        <w:tc>
          <w:tcPr>
            <w:tcW w:w="1174" w:type="dxa"/>
            <w:tcBorders>
              <w:top w:val="nil"/>
              <w:left w:val="nil"/>
              <w:bottom w:val="single" w:sz="4" w:space="0" w:color="auto"/>
              <w:right w:val="nil"/>
            </w:tcBorders>
            <w:shd w:val="clear" w:color="auto" w:fill="auto"/>
            <w:noWrap/>
            <w:vAlign w:val="bottom"/>
            <w:hideMark/>
          </w:tcPr>
          <w:p w14:paraId="4D584C69"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11,5</w:t>
            </w:r>
          </w:p>
        </w:tc>
        <w:tc>
          <w:tcPr>
            <w:tcW w:w="1248" w:type="dxa"/>
            <w:tcBorders>
              <w:top w:val="nil"/>
              <w:left w:val="nil"/>
              <w:bottom w:val="single" w:sz="4" w:space="0" w:color="auto"/>
              <w:right w:val="nil"/>
            </w:tcBorders>
            <w:shd w:val="clear" w:color="auto" w:fill="auto"/>
            <w:noWrap/>
            <w:vAlign w:val="bottom"/>
            <w:hideMark/>
          </w:tcPr>
          <w:p w14:paraId="4F783A9A"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0"/>
                <w:szCs w:val="20"/>
                <w:lang w:eastAsia="pt-BR"/>
              </w:rPr>
            </w:pPr>
            <w:r w:rsidRPr="00641C64">
              <w:rPr>
                <w:rFonts w:ascii="Times New Roman" w:eastAsia="Times New Roman" w:hAnsi="Times New Roman" w:cs="Times New Roman"/>
                <w:color w:val="000000" w:themeColor="text1"/>
                <w:sz w:val="20"/>
                <w:szCs w:val="20"/>
                <w:lang w:eastAsia="pt-BR"/>
              </w:rPr>
              <w:t>-</w:t>
            </w:r>
          </w:p>
        </w:tc>
      </w:tr>
    </w:tbl>
    <w:p w14:paraId="38C06929" w14:textId="77777777" w:rsidR="000A3E1B" w:rsidRPr="00641C64" w:rsidRDefault="000A3E1B" w:rsidP="000A3E1B">
      <w:pPr>
        <w:spacing w:after="0" w:line="360" w:lineRule="auto"/>
        <w:jc w:val="both"/>
        <w:rPr>
          <w:rFonts w:ascii="Times New Roman" w:hAnsi="Times New Roman" w:cs="Times New Roman"/>
          <w:color w:val="000000" w:themeColor="text1"/>
          <w:sz w:val="16"/>
          <w:szCs w:val="16"/>
        </w:rPr>
      </w:pPr>
      <w:r w:rsidRPr="00641C64">
        <w:rPr>
          <w:rFonts w:ascii="Times New Roman" w:hAnsi="Times New Roman" w:cs="Times New Roman"/>
          <w:color w:val="000000" w:themeColor="text1"/>
          <w:sz w:val="16"/>
          <w:szCs w:val="16"/>
        </w:rPr>
        <w:t>Fonte: PNAD, 2014.</w:t>
      </w:r>
    </w:p>
    <w:p w14:paraId="488F1CD7" w14:textId="77777777"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p>
    <w:p w14:paraId="355240DE" w14:textId="7AF2A56F" w:rsidR="00DB11B8" w:rsidRPr="00641C64" w:rsidRDefault="00DB11B8"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Essas ten</w:t>
      </w:r>
      <w:r w:rsidR="006D684A" w:rsidRPr="00641C64">
        <w:rPr>
          <w:rFonts w:ascii="Times New Roman" w:eastAsia="Times New Roman" w:hAnsi="Times New Roman" w:cs="Times New Roman"/>
          <w:color w:val="000000" w:themeColor="text1"/>
          <w:sz w:val="24"/>
          <w:szCs w:val="24"/>
        </w:rPr>
        <w:t>dências corroboram para a discussão</w:t>
      </w:r>
      <w:r w:rsidRPr="00641C64">
        <w:rPr>
          <w:rFonts w:ascii="Times New Roman" w:eastAsia="Times New Roman" w:hAnsi="Times New Roman" w:cs="Times New Roman"/>
          <w:color w:val="000000" w:themeColor="text1"/>
          <w:sz w:val="24"/>
          <w:szCs w:val="24"/>
        </w:rPr>
        <w:t xml:space="preserve"> de que quanto maior o estrato ocupacional de origem das pessoas mais difícil é permanecer nele ou ascender para posições ocupacionais mais elevadas. Desse modo, a margem para a mobilidade descendente é maior. Por sua vez, o contrário configura nos estratos ocupacionais inferiores, quando o estrato ocupacional dos pais é muito baixo a margem para a mobilidade ascendente é maior. Isso porque</w:t>
      </w:r>
      <w:r w:rsidR="00AA4FE3"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qualquer movimento na estrutura social pode representar ascensão intergeracional, ainda que de curta distância (</w:t>
      </w:r>
      <w:r w:rsidR="000A3CF9" w:rsidRPr="00641C64">
        <w:rPr>
          <w:rFonts w:ascii="Times New Roman" w:hAnsi="Times New Roman" w:cs="Times New Roman"/>
          <w:color w:val="000000" w:themeColor="text1"/>
          <w:sz w:val="24"/>
          <w:szCs w:val="24"/>
        </w:rPr>
        <w:t>JANNU</w:t>
      </w:r>
      <w:r w:rsidR="008446D1" w:rsidRPr="00641C64">
        <w:rPr>
          <w:rFonts w:ascii="Times New Roman" w:hAnsi="Times New Roman" w:cs="Times New Roman"/>
          <w:color w:val="000000" w:themeColor="text1"/>
          <w:sz w:val="24"/>
          <w:szCs w:val="24"/>
        </w:rPr>
        <w:t>ZZI, 2002,</w:t>
      </w:r>
      <w:r w:rsidR="000A3CF9" w:rsidRPr="00641C64">
        <w:rPr>
          <w:rFonts w:ascii="Times New Roman" w:hAnsi="Times New Roman" w:cs="Times New Roman"/>
          <w:color w:val="000000" w:themeColor="text1"/>
          <w:sz w:val="24"/>
          <w:szCs w:val="24"/>
        </w:rPr>
        <w:t xml:space="preserve"> 2004b; </w:t>
      </w:r>
      <w:proofErr w:type="gramStart"/>
      <w:r w:rsidR="000A3CF9" w:rsidRPr="00641C64">
        <w:rPr>
          <w:rFonts w:ascii="Times New Roman" w:hAnsi="Times New Roman" w:cs="Times New Roman"/>
          <w:color w:val="000000" w:themeColor="text1"/>
          <w:sz w:val="24"/>
          <w:szCs w:val="24"/>
        </w:rPr>
        <w:t>PASTORE,</w:t>
      </w:r>
      <w:proofErr w:type="gramEnd"/>
      <w:r w:rsidR="000A3CF9" w:rsidRPr="00641C64">
        <w:rPr>
          <w:rFonts w:ascii="Times New Roman" w:hAnsi="Times New Roman" w:cs="Times New Roman"/>
          <w:color w:val="000000" w:themeColor="text1"/>
          <w:sz w:val="24"/>
          <w:szCs w:val="24"/>
        </w:rPr>
        <w:t xml:space="preserve"> 1979).</w:t>
      </w:r>
      <w:r w:rsidR="000A3CF9" w:rsidRPr="00641C64">
        <w:rPr>
          <w:color w:val="000000" w:themeColor="text1"/>
          <w:sz w:val="23"/>
          <w:szCs w:val="23"/>
        </w:rPr>
        <w:t xml:space="preserve"> </w:t>
      </w:r>
    </w:p>
    <w:p w14:paraId="2F8F598B" w14:textId="6AB7A964"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Comparando os resultados entre migrantes e não migrantes, chama atenção as filhas de trabalhadoras domésticas no Brasil. Enquanto 80,0% das filhas não migrantes teriam ascendido ocupacionalmente em relação às suas mães, entre aquelas migrantes interestaduais de data fixa, as cifras de mobilidade foram menores, sendo que 69,2% delas lograram, em 2014, melhores postos de trabalho. Além de maiores percentuais de mobilidade ascendente, as filhas de trabalhadoras domésticas que não haviam migrado apresentaram menor imobilidade do que as migrantes. Somente 17,8% das filhas não migrantes reproduziram o estrato ocupacional materno, por sua vez, entre as migrantes interestaduais esse percentual foi de 30,8% (Tabela 2). </w:t>
      </w:r>
    </w:p>
    <w:p w14:paraId="0843B93D" w14:textId="77777777" w:rsidR="000A3E1B" w:rsidRPr="00641C64" w:rsidRDefault="000A3E1B" w:rsidP="000A3E1B">
      <w:pPr>
        <w:spacing w:after="0" w:line="240" w:lineRule="auto"/>
        <w:ind w:firstLine="720"/>
        <w:jc w:val="both"/>
        <w:rPr>
          <w:rFonts w:ascii="Times New Roman" w:eastAsia="Times New Roman" w:hAnsi="Times New Roman" w:cs="Times New Roman"/>
          <w:color w:val="000000" w:themeColor="text1"/>
          <w:sz w:val="20"/>
          <w:szCs w:val="20"/>
        </w:rPr>
      </w:pPr>
    </w:p>
    <w:p w14:paraId="29260EA9" w14:textId="77777777" w:rsidR="000A3E1B" w:rsidRPr="00641C64" w:rsidRDefault="000A3E1B" w:rsidP="000A3E1B">
      <w:pPr>
        <w:spacing w:after="0" w:line="240" w:lineRule="auto"/>
        <w:jc w:val="both"/>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Tabela 2 - Mobilidade intergeracional das filhas de trabalhadoras domésticas por condição de migração - Brasil, 2014 (%</w:t>
      </w:r>
      <w:proofErr w:type="gramStart"/>
      <w:r w:rsidRPr="00641C64">
        <w:rPr>
          <w:rFonts w:ascii="Times New Roman" w:eastAsia="Times New Roman" w:hAnsi="Times New Roman" w:cs="Times New Roman"/>
          <w:b/>
          <w:color w:val="000000" w:themeColor="text1"/>
          <w:sz w:val="24"/>
          <w:szCs w:val="24"/>
        </w:rPr>
        <w:t>)</w:t>
      </w:r>
      <w:proofErr w:type="gramEnd"/>
      <w:r w:rsidRPr="00641C64">
        <w:rPr>
          <w:rFonts w:ascii="Times New Roman" w:eastAsia="Times New Roman" w:hAnsi="Times New Roman" w:cs="Times New Roman"/>
          <w:b/>
          <w:color w:val="000000" w:themeColor="text1"/>
          <w:sz w:val="24"/>
          <w:szCs w:val="24"/>
        </w:rPr>
        <w:t xml:space="preserve"> </w:t>
      </w:r>
    </w:p>
    <w:tbl>
      <w:tblPr>
        <w:tblW w:w="9096" w:type="dxa"/>
        <w:tblLayout w:type="fixed"/>
        <w:tblCellMar>
          <w:left w:w="70" w:type="dxa"/>
          <w:right w:w="70" w:type="dxa"/>
        </w:tblCellMar>
        <w:tblLook w:val="0400" w:firstRow="0" w:lastRow="0" w:firstColumn="0" w:lastColumn="0" w:noHBand="0" w:noVBand="1"/>
      </w:tblPr>
      <w:tblGrid>
        <w:gridCol w:w="4748"/>
        <w:gridCol w:w="1341"/>
        <w:gridCol w:w="1494"/>
        <w:gridCol w:w="1513"/>
      </w:tblGrid>
      <w:tr w:rsidR="006B4A57" w:rsidRPr="00641C64" w14:paraId="45304842" w14:textId="77777777" w:rsidTr="000A3E1B">
        <w:trPr>
          <w:trHeight w:val="24"/>
        </w:trPr>
        <w:tc>
          <w:tcPr>
            <w:tcW w:w="4748" w:type="dxa"/>
            <w:vMerge w:val="restart"/>
            <w:tcBorders>
              <w:top w:val="single" w:sz="4" w:space="0" w:color="000000"/>
              <w:left w:val="nil"/>
              <w:bottom w:val="single" w:sz="4" w:space="0" w:color="000000"/>
              <w:right w:val="single" w:sz="4" w:space="0" w:color="000000"/>
            </w:tcBorders>
            <w:shd w:val="clear" w:color="auto" w:fill="auto"/>
            <w:vAlign w:val="center"/>
          </w:tcPr>
          <w:p w14:paraId="340D3765" w14:textId="77777777" w:rsidR="000A3E1B" w:rsidRPr="00641C64" w:rsidRDefault="000A3E1B" w:rsidP="00DB11B8">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Segmento Populacional</w:t>
            </w:r>
          </w:p>
        </w:tc>
        <w:tc>
          <w:tcPr>
            <w:tcW w:w="4348" w:type="dxa"/>
            <w:gridSpan w:val="3"/>
            <w:tcBorders>
              <w:top w:val="single" w:sz="4" w:space="0" w:color="000000"/>
              <w:left w:val="nil"/>
              <w:bottom w:val="single" w:sz="4" w:space="0" w:color="000000"/>
              <w:right w:val="nil"/>
            </w:tcBorders>
            <w:shd w:val="clear" w:color="auto" w:fill="auto"/>
            <w:vAlign w:val="center"/>
          </w:tcPr>
          <w:p w14:paraId="7A12FAE6" w14:textId="77777777" w:rsidR="000A3E1B" w:rsidRPr="00641C64" w:rsidRDefault="000A3E1B" w:rsidP="00DB11B8">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Indicadores de Mobilidade</w:t>
            </w:r>
          </w:p>
        </w:tc>
      </w:tr>
      <w:tr w:rsidR="006B4A57" w:rsidRPr="00641C64" w14:paraId="23BA52D9" w14:textId="77777777" w:rsidTr="000A3E1B">
        <w:trPr>
          <w:trHeight w:val="24"/>
        </w:trPr>
        <w:tc>
          <w:tcPr>
            <w:tcW w:w="4748" w:type="dxa"/>
            <w:vMerge/>
            <w:tcBorders>
              <w:top w:val="single" w:sz="4" w:space="0" w:color="000000"/>
              <w:left w:val="nil"/>
              <w:bottom w:val="single" w:sz="4" w:space="0" w:color="000000"/>
              <w:right w:val="single" w:sz="4" w:space="0" w:color="000000"/>
            </w:tcBorders>
            <w:shd w:val="clear" w:color="auto" w:fill="auto"/>
            <w:vAlign w:val="center"/>
          </w:tcPr>
          <w:p w14:paraId="6850EBCF" w14:textId="77777777" w:rsidR="000A3E1B" w:rsidRPr="00641C64" w:rsidRDefault="000A3E1B" w:rsidP="00DB11B8">
            <w:pPr>
              <w:widowControl w:val="0"/>
              <w:pBdr>
                <w:top w:val="nil"/>
                <w:left w:val="nil"/>
                <w:bottom w:val="nil"/>
                <w:right w:val="nil"/>
                <w:between w:val="nil"/>
              </w:pBdr>
              <w:spacing w:after="0"/>
              <w:rPr>
                <w:rFonts w:ascii="Times New Roman" w:eastAsia="Times New Roman" w:hAnsi="Times New Roman" w:cs="Times New Roman"/>
                <w:b/>
                <w:color w:val="000000" w:themeColor="text1"/>
                <w:sz w:val="24"/>
                <w:szCs w:val="24"/>
              </w:rPr>
            </w:pPr>
          </w:p>
        </w:tc>
        <w:tc>
          <w:tcPr>
            <w:tcW w:w="1341" w:type="dxa"/>
            <w:tcBorders>
              <w:top w:val="nil"/>
              <w:left w:val="nil"/>
              <w:bottom w:val="single" w:sz="4" w:space="0" w:color="000000"/>
              <w:right w:val="single" w:sz="4" w:space="0" w:color="000000"/>
            </w:tcBorders>
            <w:shd w:val="clear" w:color="auto" w:fill="auto"/>
            <w:vAlign w:val="center"/>
          </w:tcPr>
          <w:p w14:paraId="03734A41" w14:textId="77777777" w:rsidR="000A3E1B" w:rsidRPr="00641C64" w:rsidRDefault="000A3E1B" w:rsidP="00DB11B8">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Ascendente</w:t>
            </w:r>
          </w:p>
        </w:tc>
        <w:tc>
          <w:tcPr>
            <w:tcW w:w="1494" w:type="dxa"/>
            <w:tcBorders>
              <w:top w:val="nil"/>
              <w:left w:val="nil"/>
              <w:bottom w:val="single" w:sz="4" w:space="0" w:color="000000"/>
              <w:right w:val="single" w:sz="4" w:space="0" w:color="000000"/>
            </w:tcBorders>
            <w:shd w:val="clear" w:color="auto" w:fill="auto"/>
            <w:vAlign w:val="center"/>
          </w:tcPr>
          <w:p w14:paraId="78F46239" w14:textId="77777777" w:rsidR="000A3E1B" w:rsidRPr="00641C64" w:rsidRDefault="000A3E1B" w:rsidP="00DB11B8">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Imobilidade</w:t>
            </w:r>
          </w:p>
        </w:tc>
        <w:tc>
          <w:tcPr>
            <w:tcW w:w="1513" w:type="dxa"/>
            <w:tcBorders>
              <w:top w:val="nil"/>
              <w:left w:val="nil"/>
              <w:bottom w:val="single" w:sz="4" w:space="0" w:color="000000"/>
              <w:right w:val="nil"/>
            </w:tcBorders>
            <w:shd w:val="clear" w:color="auto" w:fill="auto"/>
            <w:vAlign w:val="center"/>
          </w:tcPr>
          <w:p w14:paraId="526910E7" w14:textId="77777777" w:rsidR="000A3E1B" w:rsidRPr="00641C64" w:rsidRDefault="000A3E1B" w:rsidP="00DB11B8">
            <w:pPr>
              <w:spacing w:after="0" w:line="240" w:lineRule="auto"/>
              <w:jc w:val="center"/>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Descendente</w:t>
            </w:r>
          </w:p>
        </w:tc>
      </w:tr>
      <w:tr w:rsidR="006B4A57" w:rsidRPr="00641C64" w14:paraId="207D89C3" w14:textId="77777777" w:rsidTr="000A3E1B">
        <w:trPr>
          <w:trHeight w:val="24"/>
        </w:trPr>
        <w:tc>
          <w:tcPr>
            <w:tcW w:w="4748" w:type="dxa"/>
            <w:tcBorders>
              <w:top w:val="nil"/>
              <w:left w:val="nil"/>
              <w:bottom w:val="nil"/>
              <w:right w:val="nil"/>
            </w:tcBorders>
            <w:shd w:val="clear" w:color="auto" w:fill="auto"/>
            <w:vAlign w:val="bottom"/>
          </w:tcPr>
          <w:p w14:paraId="3E091C02" w14:textId="77777777" w:rsidR="000A3E1B" w:rsidRPr="00641C64" w:rsidRDefault="000A3E1B" w:rsidP="00DB11B8">
            <w:pPr>
              <w:spacing w:after="0" w:line="240" w:lineRule="auto"/>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Não migrantes</w:t>
            </w:r>
          </w:p>
        </w:tc>
        <w:tc>
          <w:tcPr>
            <w:tcW w:w="1341" w:type="dxa"/>
            <w:tcBorders>
              <w:top w:val="nil"/>
              <w:left w:val="nil"/>
              <w:bottom w:val="nil"/>
              <w:right w:val="nil"/>
            </w:tcBorders>
            <w:shd w:val="clear" w:color="auto" w:fill="auto"/>
            <w:vAlign w:val="bottom"/>
          </w:tcPr>
          <w:p w14:paraId="7E845602"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80,0</w:t>
            </w:r>
          </w:p>
        </w:tc>
        <w:tc>
          <w:tcPr>
            <w:tcW w:w="1494" w:type="dxa"/>
            <w:tcBorders>
              <w:top w:val="nil"/>
              <w:left w:val="nil"/>
              <w:bottom w:val="nil"/>
              <w:right w:val="nil"/>
            </w:tcBorders>
            <w:shd w:val="clear" w:color="auto" w:fill="auto"/>
            <w:vAlign w:val="bottom"/>
          </w:tcPr>
          <w:p w14:paraId="35E49066"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17,8</w:t>
            </w:r>
          </w:p>
        </w:tc>
        <w:tc>
          <w:tcPr>
            <w:tcW w:w="1513" w:type="dxa"/>
            <w:tcBorders>
              <w:top w:val="nil"/>
              <w:left w:val="nil"/>
              <w:bottom w:val="nil"/>
              <w:right w:val="nil"/>
            </w:tcBorders>
            <w:shd w:val="clear" w:color="auto" w:fill="auto"/>
            <w:vAlign w:val="bottom"/>
          </w:tcPr>
          <w:p w14:paraId="1C8474B2"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2,1</w:t>
            </w:r>
          </w:p>
        </w:tc>
      </w:tr>
      <w:tr w:rsidR="006B4A57" w:rsidRPr="00641C64" w14:paraId="49075451" w14:textId="77777777" w:rsidTr="000A3E1B">
        <w:trPr>
          <w:trHeight w:val="24"/>
        </w:trPr>
        <w:tc>
          <w:tcPr>
            <w:tcW w:w="4748" w:type="dxa"/>
            <w:tcBorders>
              <w:top w:val="nil"/>
              <w:left w:val="nil"/>
              <w:bottom w:val="nil"/>
              <w:right w:val="nil"/>
            </w:tcBorders>
            <w:shd w:val="clear" w:color="auto" w:fill="auto"/>
            <w:vAlign w:val="bottom"/>
          </w:tcPr>
          <w:p w14:paraId="0B1AC10E" w14:textId="77777777" w:rsidR="000A3E1B" w:rsidRPr="00641C64" w:rsidRDefault="000A3E1B" w:rsidP="00DB11B8">
            <w:pPr>
              <w:spacing w:after="0" w:line="240" w:lineRule="auto"/>
              <w:rPr>
                <w:rFonts w:ascii="Times New Roman" w:eastAsia="Times New Roman" w:hAnsi="Times New Roman" w:cs="Times New Roman"/>
                <w:color w:val="000000" w:themeColor="text1"/>
                <w:sz w:val="24"/>
                <w:szCs w:val="24"/>
              </w:rPr>
            </w:pPr>
            <w:proofErr w:type="gramStart"/>
            <w:r w:rsidRPr="00641C64">
              <w:rPr>
                <w:rFonts w:ascii="Times New Roman" w:eastAsia="Times New Roman" w:hAnsi="Times New Roman" w:cs="Times New Roman"/>
                <w:color w:val="000000" w:themeColor="text1"/>
                <w:sz w:val="24"/>
                <w:szCs w:val="24"/>
              </w:rPr>
              <w:t>Migrantes interestaduais data</w:t>
            </w:r>
            <w:proofErr w:type="gramEnd"/>
            <w:r w:rsidRPr="00641C64">
              <w:rPr>
                <w:rFonts w:ascii="Times New Roman" w:eastAsia="Times New Roman" w:hAnsi="Times New Roman" w:cs="Times New Roman"/>
                <w:color w:val="000000" w:themeColor="text1"/>
                <w:sz w:val="24"/>
                <w:szCs w:val="24"/>
              </w:rPr>
              <w:t xml:space="preserve"> fixa (2009/2014)</w:t>
            </w:r>
          </w:p>
        </w:tc>
        <w:tc>
          <w:tcPr>
            <w:tcW w:w="1341" w:type="dxa"/>
            <w:tcBorders>
              <w:top w:val="nil"/>
              <w:left w:val="nil"/>
              <w:bottom w:val="nil"/>
              <w:right w:val="nil"/>
            </w:tcBorders>
            <w:shd w:val="clear" w:color="auto" w:fill="auto"/>
            <w:vAlign w:val="bottom"/>
          </w:tcPr>
          <w:p w14:paraId="1C6CE6F1"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69,2</w:t>
            </w:r>
          </w:p>
        </w:tc>
        <w:tc>
          <w:tcPr>
            <w:tcW w:w="1494" w:type="dxa"/>
            <w:tcBorders>
              <w:top w:val="nil"/>
              <w:left w:val="nil"/>
              <w:bottom w:val="nil"/>
              <w:right w:val="nil"/>
            </w:tcBorders>
            <w:shd w:val="clear" w:color="auto" w:fill="auto"/>
            <w:vAlign w:val="bottom"/>
          </w:tcPr>
          <w:p w14:paraId="18E46F83"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30,8</w:t>
            </w:r>
          </w:p>
        </w:tc>
        <w:tc>
          <w:tcPr>
            <w:tcW w:w="1513" w:type="dxa"/>
            <w:tcBorders>
              <w:top w:val="nil"/>
              <w:left w:val="nil"/>
              <w:bottom w:val="nil"/>
              <w:right w:val="nil"/>
            </w:tcBorders>
            <w:shd w:val="clear" w:color="auto" w:fill="auto"/>
            <w:vAlign w:val="bottom"/>
          </w:tcPr>
          <w:p w14:paraId="0E96C4C4"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w:t>
            </w:r>
          </w:p>
        </w:tc>
      </w:tr>
      <w:tr w:rsidR="006B4A57" w:rsidRPr="00641C64" w14:paraId="01F7BD11" w14:textId="77777777" w:rsidTr="000A3E1B">
        <w:trPr>
          <w:trHeight w:val="24"/>
        </w:trPr>
        <w:tc>
          <w:tcPr>
            <w:tcW w:w="4748" w:type="dxa"/>
            <w:tcBorders>
              <w:top w:val="nil"/>
              <w:left w:val="nil"/>
              <w:bottom w:val="nil"/>
              <w:right w:val="nil"/>
            </w:tcBorders>
            <w:shd w:val="clear" w:color="auto" w:fill="auto"/>
            <w:vAlign w:val="bottom"/>
          </w:tcPr>
          <w:p w14:paraId="393A7B59" w14:textId="77777777" w:rsidR="000A3E1B" w:rsidRPr="00641C64" w:rsidRDefault="000A3E1B" w:rsidP="00DB11B8">
            <w:pPr>
              <w:spacing w:after="0" w:line="240" w:lineRule="auto"/>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Migrantes interestaduais residentes há 4 anos</w:t>
            </w:r>
          </w:p>
        </w:tc>
        <w:tc>
          <w:tcPr>
            <w:tcW w:w="1341" w:type="dxa"/>
            <w:tcBorders>
              <w:top w:val="nil"/>
              <w:left w:val="nil"/>
              <w:bottom w:val="nil"/>
              <w:right w:val="nil"/>
            </w:tcBorders>
            <w:shd w:val="clear" w:color="auto" w:fill="auto"/>
            <w:vAlign w:val="bottom"/>
          </w:tcPr>
          <w:p w14:paraId="139AC998"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79,5</w:t>
            </w:r>
          </w:p>
        </w:tc>
        <w:tc>
          <w:tcPr>
            <w:tcW w:w="1494" w:type="dxa"/>
            <w:tcBorders>
              <w:top w:val="nil"/>
              <w:left w:val="nil"/>
              <w:bottom w:val="nil"/>
              <w:right w:val="nil"/>
            </w:tcBorders>
            <w:shd w:val="clear" w:color="auto" w:fill="auto"/>
            <w:vAlign w:val="bottom"/>
          </w:tcPr>
          <w:p w14:paraId="343491E7"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20,5</w:t>
            </w:r>
          </w:p>
        </w:tc>
        <w:tc>
          <w:tcPr>
            <w:tcW w:w="1513" w:type="dxa"/>
            <w:tcBorders>
              <w:top w:val="nil"/>
              <w:left w:val="nil"/>
              <w:bottom w:val="nil"/>
              <w:right w:val="nil"/>
            </w:tcBorders>
            <w:shd w:val="clear" w:color="auto" w:fill="auto"/>
            <w:vAlign w:val="bottom"/>
          </w:tcPr>
          <w:p w14:paraId="5FCE21E8"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w:t>
            </w:r>
          </w:p>
        </w:tc>
      </w:tr>
      <w:tr w:rsidR="006B4A57" w:rsidRPr="00641C64" w14:paraId="2EF8B5D5" w14:textId="77777777" w:rsidTr="000A3E1B">
        <w:trPr>
          <w:trHeight w:val="24"/>
        </w:trPr>
        <w:tc>
          <w:tcPr>
            <w:tcW w:w="4748" w:type="dxa"/>
            <w:tcBorders>
              <w:top w:val="nil"/>
              <w:left w:val="nil"/>
              <w:bottom w:val="nil"/>
              <w:right w:val="nil"/>
            </w:tcBorders>
            <w:shd w:val="clear" w:color="auto" w:fill="auto"/>
            <w:vAlign w:val="bottom"/>
          </w:tcPr>
          <w:p w14:paraId="181CEB5A" w14:textId="77777777" w:rsidR="000A3E1B" w:rsidRPr="00641C64" w:rsidRDefault="000A3E1B" w:rsidP="00DB11B8">
            <w:pPr>
              <w:spacing w:after="0" w:line="240" w:lineRule="auto"/>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Migrantes interestaduais residentes 5 a 9 anos</w:t>
            </w:r>
          </w:p>
        </w:tc>
        <w:tc>
          <w:tcPr>
            <w:tcW w:w="1341" w:type="dxa"/>
            <w:tcBorders>
              <w:top w:val="nil"/>
              <w:left w:val="nil"/>
              <w:bottom w:val="nil"/>
              <w:right w:val="nil"/>
            </w:tcBorders>
            <w:shd w:val="clear" w:color="auto" w:fill="auto"/>
            <w:vAlign w:val="bottom"/>
          </w:tcPr>
          <w:p w14:paraId="287D9BB0"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77,7</w:t>
            </w:r>
          </w:p>
        </w:tc>
        <w:tc>
          <w:tcPr>
            <w:tcW w:w="1494" w:type="dxa"/>
            <w:tcBorders>
              <w:top w:val="nil"/>
              <w:left w:val="nil"/>
              <w:bottom w:val="nil"/>
              <w:right w:val="nil"/>
            </w:tcBorders>
            <w:shd w:val="clear" w:color="auto" w:fill="auto"/>
            <w:vAlign w:val="bottom"/>
          </w:tcPr>
          <w:p w14:paraId="75CA7E0F"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22,3</w:t>
            </w:r>
          </w:p>
        </w:tc>
        <w:tc>
          <w:tcPr>
            <w:tcW w:w="1513" w:type="dxa"/>
            <w:tcBorders>
              <w:top w:val="nil"/>
              <w:left w:val="nil"/>
              <w:bottom w:val="nil"/>
              <w:right w:val="nil"/>
            </w:tcBorders>
            <w:shd w:val="clear" w:color="auto" w:fill="auto"/>
            <w:vAlign w:val="bottom"/>
          </w:tcPr>
          <w:p w14:paraId="7452FE75"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w:t>
            </w:r>
          </w:p>
        </w:tc>
      </w:tr>
      <w:tr w:rsidR="006B4A57" w:rsidRPr="00641C64" w14:paraId="27885101" w14:textId="77777777" w:rsidTr="000A3E1B">
        <w:trPr>
          <w:trHeight w:val="24"/>
        </w:trPr>
        <w:tc>
          <w:tcPr>
            <w:tcW w:w="4748" w:type="dxa"/>
            <w:tcBorders>
              <w:top w:val="nil"/>
              <w:left w:val="nil"/>
              <w:bottom w:val="single" w:sz="4" w:space="0" w:color="000000"/>
              <w:right w:val="nil"/>
            </w:tcBorders>
            <w:shd w:val="clear" w:color="auto" w:fill="auto"/>
            <w:vAlign w:val="bottom"/>
          </w:tcPr>
          <w:p w14:paraId="16647271" w14:textId="77777777" w:rsidR="000A3E1B" w:rsidRPr="00641C64" w:rsidRDefault="000A3E1B" w:rsidP="00DB11B8">
            <w:pPr>
              <w:spacing w:after="0" w:line="240" w:lineRule="auto"/>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Migrantes interestaduais residentes 10 ou mais</w:t>
            </w:r>
          </w:p>
        </w:tc>
        <w:tc>
          <w:tcPr>
            <w:tcW w:w="1341" w:type="dxa"/>
            <w:tcBorders>
              <w:top w:val="nil"/>
              <w:left w:val="nil"/>
              <w:bottom w:val="single" w:sz="4" w:space="0" w:color="000000"/>
              <w:right w:val="nil"/>
            </w:tcBorders>
            <w:shd w:val="clear" w:color="auto" w:fill="auto"/>
            <w:vAlign w:val="bottom"/>
          </w:tcPr>
          <w:p w14:paraId="26870629"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80,1</w:t>
            </w:r>
          </w:p>
        </w:tc>
        <w:tc>
          <w:tcPr>
            <w:tcW w:w="1494" w:type="dxa"/>
            <w:tcBorders>
              <w:top w:val="nil"/>
              <w:left w:val="nil"/>
              <w:bottom w:val="single" w:sz="4" w:space="0" w:color="000000"/>
              <w:right w:val="nil"/>
            </w:tcBorders>
            <w:shd w:val="clear" w:color="auto" w:fill="auto"/>
            <w:vAlign w:val="bottom"/>
          </w:tcPr>
          <w:p w14:paraId="250413B6"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18,8</w:t>
            </w:r>
          </w:p>
        </w:tc>
        <w:tc>
          <w:tcPr>
            <w:tcW w:w="1513" w:type="dxa"/>
            <w:tcBorders>
              <w:top w:val="nil"/>
              <w:left w:val="nil"/>
              <w:bottom w:val="single" w:sz="4" w:space="0" w:color="000000"/>
              <w:right w:val="nil"/>
            </w:tcBorders>
            <w:shd w:val="clear" w:color="auto" w:fill="auto"/>
            <w:vAlign w:val="bottom"/>
          </w:tcPr>
          <w:p w14:paraId="2874E52A" w14:textId="77777777" w:rsidR="000A3E1B" w:rsidRPr="00641C64" w:rsidRDefault="000A3E1B" w:rsidP="00DB11B8">
            <w:pPr>
              <w:spacing w:after="0" w:line="240" w:lineRule="auto"/>
              <w:jc w:val="center"/>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1,1</w:t>
            </w:r>
          </w:p>
        </w:tc>
      </w:tr>
    </w:tbl>
    <w:p w14:paraId="3398578D" w14:textId="77777777" w:rsidR="000A3E1B" w:rsidRPr="00641C64" w:rsidRDefault="000A3E1B" w:rsidP="000A3E1B">
      <w:pPr>
        <w:spacing w:after="0" w:line="240" w:lineRule="auto"/>
        <w:rPr>
          <w:color w:val="000000" w:themeColor="text1"/>
          <w:sz w:val="20"/>
          <w:szCs w:val="20"/>
        </w:rPr>
      </w:pPr>
      <w:r w:rsidRPr="00641C64">
        <w:rPr>
          <w:rFonts w:ascii="Times New Roman" w:eastAsia="Times New Roman" w:hAnsi="Times New Roman" w:cs="Times New Roman"/>
          <w:color w:val="000000" w:themeColor="text1"/>
          <w:sz w:val="20"/>
          <w:szCs w:val="20"/>
        </w:rPr>
        <w:t>Fonte: PNAD/IBGE 2014.</w:t>
      </w:r>
    </w:p>
    <w:p w14:paraId="76637AEF" w14:textId="77777777"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0"/>
          <w:szCs w:val="20"/>
        </w:rPr>
      </w:pPr>
    </w:p>
    <w:p w14:paraId="1878DAA2" w14:textId="77777777" w:rsidR="009C3E1E" w:rsidRPr="00641C64" w:rsidRDefault="009C3E1E" w:rsidP="009C3E1E">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Esses achados suscitam o debate migração/mobilidade ocupacional. Isso porque, nem sempre os indivíduos que empreendem migração experimentam uma mobilidade bem-sucedida na região de destino, com destaque para os anos 2000, devido </w:t>
      </w:r>
      <w:proofErr w:type="gramStart"/>
      <w:r w:rsidRPr="00641C64">
        <w:rPr>
          <w:rFonts w:ascii="Times New Roman" w:eastAsia="Times New Roman" w:hAnsi="Times New Roman" w:cs="Times New Roman"/>
          <w:color w:val="000000" w:themeColor="text1"/>
          <w:sz w:val="24"/>
          <w:szCs w:val="24"/>
        </w:rPr>
        <w:t>a</w:t>
      </w:r>
      <w:proofErr w:type="gramEnd"/>
      <w:r w:rsidRPr="00641C64">
        <w:rPr>
          <w:rFonts w:ascii="Times New Roman" w:eastAsia="Times New Roman" w:hAnsi="Times New Roman" w:cs="Times New Roman"/>
          <w:color w:val="000000" w:themeColor="text1"/>
          <w:sz w:val="24"/>
          <w:szCs w:val="24"/>
        </w:rPr>
        <w:t xml:space="preserve"> desconcentração relativa da atividade econômica, educacional e maiores oportunidades de emprego na origem. </w:t>
      </w:r>
      <w:proofErr w:type="gramStart"/>
      <w:r w:rsidRPr="00641C64">
        <w:rPr>
          <w:rFonts w:ascii="Times New Roman" w:eastAsia="Times New Roman" w:hAnsi="Times New Roman" w:cs="Times New Roman"/>
          <w:color w:val="000000" w:themeColor="text1"/>
          <w:sz w:val="24"/>
          <w:szCs w:val="24"/>
        </w:rPr>
        <w:lastRenderedPageBreak/>
        <w:t>Portanto, existem inúmeros condicionantes nesse processo, tais como o cenário econômico e social das localidades de origem e de destino, as redes de sociabilidade e/ou as características individuais, familiares e culturais das pessoas que influenciam as causas, os motivos e as decisões migratórias, assim como as chances de inserção virtuosa no mercado de trabalho (JANNUZZI, 1999;</w:t>
      </w:r>
      <w:proofErr w:type="gramEnd"/>
      <w:r w:rsidRPr="00641C64">
        <w:rPr>
          <w:rFonts w:ascii="Times New Roman" w:eastAsia="Times New Roman" w:hAnsi="Times New Roman" w:cs="Times New Roman"/>
          <w:color w:val="000000" w:themeColor="text1"/>
          <w:sz w:val="24"/>
          <w:szCs w:val="24"/>
        </w:rPr>
        <w:t xml:space="preserve"> BAENINGER, 2012). </w:t>
      </w:r>
    </w:p>
    <w:p w14:paraId="6170244C" w14:textId="7B64BD02"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Na competição pelas vagas no mercado de trabalho, principalmente nas grandes metrópoles e capitais brasileiras, os migrantes encontram dificuldade para inserção e permanência nos diversos segmentos produtivos. A perversa seletividade do mercado de trabalho refuta a grande maioria dos migrantes com baixa qualificação profissional dos segmentos com maior qualidade ocupacional, em termos de rendimento, jornada de trabalho e proteção social (QUEIROZ, 2013). Dessa forma, certamente, a seletividade migratória no mercado de trabalho pode explicar </w:t>
      </w:r>
      <w:r w:rsidR="00375362" w:rsidRPr="00641C64">
        <w:rPr>
          <w:rFonts w:ascii="Times New Roman" w:eastAsia="Times New Roman" w:hAnsi="Times New Roman" w:cs="Times New Roman"/>
          <w:color w:val="000000" w:themeColor="text1"/>
          <w:sz w:val="24"/>
          <w:szCs w:val="24"/>
        </w:rPr>
        <w:t xml:space="preserve">as </w:t>
      </w:r>
      <w:r w:rsidRPr="00641C64">
        <w:rPr>
          <w:rFonts w:ascii="Times New Roman" w:eastAsia="Times New Roman" w:hAnsi="Times New Roman" w:cs="Times New Roman"/>
          <w:color w:val="000000" w:themeColor="text1"/>
          <w:sz w:val="24"/>
          <w:szCs w:val="24"/>
        </w:rPr>
        <w:t xml:space="preserve">respectivas cifras de imobilidade (QUEIROZ; BAENINGER, 2015). As migrantes “menos aptas”, em termos de experiência profissional, níveis educacionais e conhecimento das oportunidades encontram maiores dificuldades para inserção no mercado de trabalho (JANNUZZI, 1999). </w:t>
      </w:r>
    </w:p>
    <w:p w14:paraId="262D7305" w14:textId="32A40D79"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Nesse contexto, o trabalho doméstico remunerado, bolsão ocupacional das mulheres pobres, migrantes e negras, ainda constitui alternativa para parcela expressiva das mulheres/mães/filha</w:t>
      </w:r>
      <w:r w:rsidR="002F1B3B" w:rsidRPr="00641C64">
        <w:rPr>
          <w:rFonts w:ascii="Times New Roman" w:eastAsia="Times New Roman" w:hAnsi="Times New Roman" w:cs="Times New Roman"/>
          <w:color w:val="000000" w:themeColor="text1"/>
          <w:sz w:val="24"/>
          <w:szCs w:val="24"/>
        </w:rPr>
        <w:t xml:space="preserve">s de origens mais desfavoráveis. </w:t>
      </w:r>
      <w:r w:rsidRPr="00641C64">
        <w:rPr>
          <w:rFonts w:ascii="Times New Roman" w:eastAsia="Times New Roman" w:hAnsi="Times New Roman" w:cs="Times New Roman"/>
          <w:color w:val="000000" w:themeColor="text1"/>
          <w:sz w:val="24"/>
          <w:szCs w:val="24"/>
        </w:rPr>
        <w:t>Isto porque</w:t>
      </w:r>
      <w:r w:rsidR="00375362"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culturalmente, em grande medida, a realização das tarefas domésticas não exige qualificação, e as habilidades “natas” são repassadas das mães para as filhas. Por outro lado, também é importante considerar que muitas dessas mulheres deixam sua terra natal com empregos arranjados em casas de famílias em outras regiões, sendo essa migração – muitas vezes – uma demanda dos patrões. Por meio das redes de sociabilidade, mulheres são convidadas pelos empregadores para trabalharem como domésticas nas casas de família, em grande medida, porque representam uma mão de obra mais bar</w:t>
      </w:r>
      <w:r w:rsidR="00DA31A9" w:rsidRPr="00641C64">
        <w:rPr>
          <w:rFonts w:ascii="Times New Roman" w:eastAsia="Times New Roman" w:hAnsi="Times New Roman" w:cs="Times New Roman"/>
          <w:color w:val="000000" w:themeColor="text1"/>
          <w:sz w:val="24"/>
          <w:szCs w:val="24"/>
        </w:rPr>
        <w:t>ata (</w:t>
      </w:r>
      <w:proofErr w:type="gramStart"/>
      <w:r w:rsidR="00DA31A9" w:rsidRPr="00641C64">
        <w:rPr>
          <w:rFonts w:ascii="Times New Roman" w:eastAsia="Times New Roman" w:hAnsi="Times New Roman" w:cs="Times New Roman"/>
          <w:color w:val="000000" w:themeColor="text1"/>
          <w:sz w:val="24"/>
          <w:szCs w:val="24"/>
        </w:rPr>
        <w:t>MELO,</w:t>
      </w:r>
      <w:proofErr w:type="gramEnd"/>
      <w:r w:rsidR="00DA31A9" w:rsidRPr="00641C64">
        <w:rPr>
          <w:rFonts w:ascii="Times New Roman" w:eastAsia="Times New Roman" w:hAnsi="Times New Roman" w:cs="Times New Roman"/>
          <w:color w:val="000000" w:themeColor="text1"/>
          <w:sz w:val="24"/>
          <w:szCs w:val="24"/>
        </w:rPr>
        <w:t xml:space="preserve"> 1998). </w:t>
      </w:r>
    </w:p>
    <w:p w14:paraId="38A24083" w14:textId="1AB2A7AA"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Desagregando os indicadores de mobilidade por tempo de residência das filhas migrantes interestaduais, observa-se na Tabela 2 que aquelas residentes há 10 anos ou mais experimentam níveis de mobilidade ascendente (80,1%) mais elevados em relação às migrantes residentes há 4 anos (79,5%), </w:t>
      </w:r>
      <w:r w:rsidR="00552500" w:rsidRPr="00641C64">
        <w:rPr>
          <w:rFonts w:ascii="Times New Roman" w:eastAsia="Times New Roman" w:hAnsi="Times New Roman" w:cs="Times New Roman"/>
          <w:color w:val="000000" w:themeColor="text1"/>
          <w:sz w:val="24"/>
          <w:szCs w:val="24"/>
        </w:rPr>
        <w:t xml:space="preserve">bem como </w:t>
      </w:r>
      <w:r w:rsidRPr="00641C64">
        <w:rPr>
          <w:rFonts w:ascii="Times New Roman" w:eastAsia="Times New Roman" w:hAnsi="Times New Roman" w:cs="Times New Roman"/>
          <w:color w:val="000000" w:themeColor="text1"/>
          <w:sz w:val="24"/>
          <w:szCs w:val="24"/>
        </w:rPr>
        <w:t>e</w:t>
      </w:r>
      <w:r w:rsidR="00552500" w:rsidRPr="00641C64">
        <w:rPr>
          <w:rFonts w:ascii="Times New Roman" w:eastAsia="Times New Roman" w:hAnsi="Times New Roman" w:cs="Times New Roman"/>
          <w:color w:val="000000" w:themeColor="text1"/>
          <w:sz w:val="24"/>
          <w:szCs w:val="24"/>
        </w:rPr>
        <w:t>m relação</w:t>
      </w:r>
      <w:r w:rsidRPr="00641C64">
        <w:rPr>
          <w:rFonts w:ascii="Times New Roman" w:eastAsia="Times New Roman" w:hAnsi="Times New Roman" w:cs="Times New Roman"/>
          <w:color w:val="000000" w:themeColor="text1"/>
          <w:sz w:val="24"/>
          <w:szCs w:val="24"/>
        </w:rPr>
        <w:t xml:space="preserve"> </w:t>
      </w:r>
      <w:proofErr w:type="gramStart"/>
      <w:r w:rsidRPr="00641C64">
        <w:rPr>
          <w:rFonts w:ascii="Times New Roman" w:eastAsia="Times New Roman" w:hAnsi="Times New Roman" w:cs="Times New Roman"/>
          <w:color w:val="000000" w:themeColor="text1"/>
          <w:sz w:val="24"/>
          <w:szCs w:val="24"/>
        </w:rPr>
        <w:t>as</w:t>
      </w:r>
      <w:proofErr w:type="gramEnd"/>
      <w:r w:rsidRPr="00641C64">
        <w:rPr>
          <w:rFonts w:ascii="Times New Roman" w:eastAsia="Times New Roman" w:hAnsi="Times New Roman" w:cs="Times New Roman"/>
          <w:color w:val="000000" w:themeColor="text1"/>
          <w:sz w:val="24"/>
          <w:szCs w:val="24"/>
        </w:rPr>
        <w:t xml:space="preserve"> de 5 a 9 anos (77,7%). </w:t>
      </w:r>
      <w:r w:rsidRPr="00641C64">
        <w:rPr>
          <w:rFonts w:ascii="Times New Roman" w:eastAsia="Times New Roman" w:hAnsi="Times New Roman" w:cs="Times New Roman"/>
          <w:color w:val="000000" w:themeColor="text1"/>
          <w:sz w:val="24"/>
          <w:szCs w:val="24"/>
        </w:rPr>
        <w:lastRenderedPageBreak/>
        <w:t xml:space="preserve">Portanto, as migrantes interestaduais com maior tempo de residência configuram com menor imobilidade em 2014. Enquanto apenas 18,8% das migrantes residentes há 10 anos ou mais estavam concentradas no estrato materno (trabalhadoras domésticas), entre as residentes há 4 anos, e as de 5 a 9 anos, tais coeficientes de imobilidade foram discretamente mais elevados, 20,5% e 22,3%, respectivamente. </w:t>
      </w:r>
    </w:p>
    <w:p w14:paraId="4391B62F" w14:textId="55FE20D3"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Tais achados corroboram que as possibilidades de ascensão aumentam à medida que o migrante adquire maior conhecimento acerca das oportunidades no mercado de trabalho da região de destino. Além disso, maior tempo de residência possibilita acumulação de capital, por vezes investido em qualificação e preenchimento de credenciais, o que torna possível a inserção em novas e melhores vagas ocupacionais (JANNUZZI, 1999). </w:t>
      </w:r>
      <w:proofErr w:type="gramStart"/>
      <w:r w:rsidRPr="00641C64">
        <w:rPr>
          <w:rFonts w:ascii="Times New Roman" w:eastAsia="Times New Roman" w:hAnsi="Times New Roman" w:cs="Times New Roman"/>
          <w:color w:val="000000" w:themeColor="text1"/>
          <w:sz w:val="24"/>
          <w:szCs w:val="24"/>
        </w:rPr>
        <w:t>Outrossim</w:t>
      </w:r>
      <w:proofErr w:type="gramEnd"/>
      <w:r w:rsidRPr="00641C64">
        <w:rPr>
          <w:rFonts w:ascii="Times New Roman" w:eastAsia="Times New Roman" w:hAnsi="Times New Roman" w:cs="Times New Roman"/>
          <w:color w:val="000000" w:themeColor="text1"/>
          <w:sz w:val="24"/>
          <w:szCs w:val="24"/>
        </w:rPr>
        <w:t>, é importante considerar que a reprodução do trabalho doméstico constitui importante porta de entrada no mercado de trabalho na região de destino, sobretudo para as mulheres/mães/filhas, em que pese a situação financeira, carência de bens e oportunidades. Para muitas mulheres o trabalho doméstico representa um trampolim para melhores ocupações (FARIA; FERREIRA; PAULA, 2016).</w:t>
      </w:r>
    </w:p>
    <w:p w14:paraId="480705AF" w14:textId="18DBB455"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Observa-se que quanto maior o tempo de residência, maior a ascensão ocupacional, possivelmente porque as filhas migrantes interestaduais residentes há mais de 10 anos</w:t>
      </w:r>
      <w:r w:rsidR="00BB249D"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inicialmente</w:t>
      </w:r>
      <w:r w:rsidR="00BB249D"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reproduziram a profissão materna e, posteriormente, galgaram outras oportunidades. Vale ressaltar que não se sabe se as condições laborais (renda, formalidade</w:t>
      </w:r>
      <w:r w:rsidR="00BB249D" w:rsidRPr="00641C64">
        <w:rPr>
          <w:rFonts w:ascii="Times New Roman" w:eastAsia="Times New Roman" w:hAnsi="Times New Roman" w:cs="Times New Roman"/>
          <w:color w:val="000000" w:themeColor="text1"/>
          <w:sz w:val="24"/>
          <w:szCs w:val="24"/>
        </w:rPr>
        <w:t xml:space="preserve"> e</w:t>
      </w:r>
      <w:r w:rsidRPr="00641C64">
        <w:rPr>
          <w:rFonts w:ascii="Times New Roman" w:eastAsia="Times New Roman" w:hAnsi="Times New Roman" w:cs="Times New Roman"/>
          <w:color w:val="000000" w:themeColor="text1"/>
          <w:sz w:val="24"/>
          <w:szCs w:val="24"/>
        </w:rPr>
        <w:t xml:space="preserve"> jornada de trabalho) das filhas que permaneceram na ocupação de trabalhadoras domésticas são melhores ou piores do que a condição materna. Apesar da migração não ter representado ascensão intergeracional para essas filhas, em grande medida, pode ter representado mobilidade financeira. Desse modo, nas regiões mais desenvolvidas socioeconomicamente, os rendimentos do trabalho doméstico são maiores, possibilitando que elas ainda consigam enviar remessas para a família na região de origem.</w:t>
      </w:r>
    </w:p>
    <w:p w14:paraId="5071F7E5" w14:textId="06FE4691"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No que concerne aos indicadores de mobilidade ocupacional das mulheres na região Nordeste, o Gráfico 1 mostra que 89,2% das filhas que emigraram experimentaram mobilidade ascendente em relação ao estrato materno, em 2014. Entre o grupo de não migrantes, 57,8% das mulheres alcançaram ascensão ocupacional em relação a suas mães. </w:t>
      </w:r>
      <w:r w:rsidRPr="00641C64">
        <w:rPr>
          <w:rFonts w:ascii="Times New Roman" w:eastAsia="Times New Roman" w:hAnsi="Times New Roman" w:cs="Times New Roman"/>
          <w:color w:val="000000" w:themeColor="text1"/>
          <w:sz w:val="24"/>
          <w:szCs w:val="24"/>
        </w:rPr>
        <w:lastRenderedPageBreak/>
        <w:t xml:space="preserve">Comparando os grupos, observa-se que as filhas </w:t>
      </w:r>
      <w:r w:rsidR="00CF4A66" w:rsidRPr="00641C64">
        <w:rPr>
          <w:rFonts w:ascii="Times New Roman" w:eastAsia="Times New Roman" w:hAnsi="Times New Roman" w:cs="Times New Roman"/>
          <w:color w:val="000000" w:themeColor="text1"/>
          <w:sz w:val="24"/>
          <w:szCs w:val="24"/>
        </w:rPr>
        <w:t>e</w:t>
      </w:r>
      <w:r w:rsidRPr="00641C64">
        <w:rPr>
          <w:rFonts w:ascii="Times New Roman" w:eastAsia="Times New Roman" w:hAnsi="Times New Roman" w:cs="Times New Roman"/>
          <w:color w:val="000000" w:themeColor="text1"/>
          <w:sz w:val="24"/>
          <w:szCs w:val="24"/>
        </w:rPr>
        <w:t xml:space="preserve">migrantes tiveram maiores cifras de mobilidade intergeracional ascendente do que aquelas não migrantes. Por sua vez, verifica-se o oposto nas cifras de imobilidade e mobilidade descendente. No Nordeste, enquanto 31,8% das não migrantes experimentaram imobilidade intergeracional, entre as </w:t>
      </w:r>
      <w:r w:rsidR="00CF4A66" w:rsidRPr="00641C64">
        <w:rPr>
          <w:rFonts w:ascii="Times New Roman" w:eastAsia="Times New Roman" w:hAnsi="Times New Roman" w:cs="Times New Roman"/>
          <w:color w:val="000000" w:themeColor="text1"/>
          <w:sz w:val="24"/>
          <w:szCs w:val="24"/>
        </w:rPr>
        <w:t>e</w:t>
      </w:r>
      <w:r w:rsidRPr="00641C64">
        <w:rPr>
          <w:rFonts w:ascii="Times New Roman" w:eastAsia="Times New Roman" w:hAnsi="Times New Roman" w:cs="Times New Roman"/>
          <w:color w:val="000000" w:themeColor="text1"/>
          <w:sz w:val="24"/>
          <w:szCs w:val="24"/>
        </w:rPr>
        <w:t xml:space="preserve">migrantes essa proporção foi de apenas 4,8%, em 2014. Dessa maneira, constata-se que na região Nordeste a </w:t>
      </w:r>
      <w:r w:rsidR="00CF4A66" w:rsidRPr="00641C64">
        <w:rPr>
          <w:rFonts w:ascii="Times New Roman" w:eastAsia="Times New Roman" w:hAnsi="Times New Roman" w:cs="Times New Roman"/>
          <w:color w:val="000000" w:themeColor="text1"/>
          <w:sz w:val="24"/>
          <w:szCs w:val="24"/>
        </w:rPr>
        <w:t>e</w:t>
      </w:r>
      <w:r w:rsidRPr="00641C64">
        <w:rPr>
          <w:rFonts w:ascii="Times New Roman" w:eastAsia="Times New Roman" w:hAnsi="Times New Roman" w:cs="Times New Roman"/>
          <w:color w:val="000000" w:themeColor="text1"/>
          <w:sz w:val="24"/>
          <w:szCs w:val="24"/>
        </w:rPr>
        <w:t xml:space="preserve">migração ainda está associada </w:t>
      </w:r>
      <w:r w:rsidR="00A96177" w:rsidRPr="00641C64">
        <w:rPr>
          <w:rFonts w:ascii="Times New Roman" w:eastAsia="Times New Roman" w:hAnsi="Times New Roman" w:cs="Times New Roman"/>
          <w:color w:val="000000" w:themeColor="text1"/>
          <w:sz w:val="24"/>
          <w:szCs w:val="24"/>
        </w:rPr>
        <w:t>à</w:t>
      </w:r>
      <w:r w:rsidRPr="00641C64">
        <w:rPr>
          <w:rFonts w:ascii="Times New Roman" w:eastAsia="Times New Roman" w:hAnsi="Times New Roman" w:cs="Times New Roman"/>
          <w:color w:val="000000" w:themeColor="text1"/>
          <w:sz w:val="24"/>
          <w:szCs w:val="24"/>
        </w:rPr>
        <w:t xml:space="preserve"> mobilidade ocupacional intergeracional.</w:t>
      </w:r>
    </w:p>
    <w:p w14:paraId="117CB1AD"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p>
    <w:p w14:paraId="77B8F663" w14:textId="77777777" w:rsidR="000A3E1B" w:rsidRPr="00641C64" w:rsidRDefault="000A3E1B" w:rsidP="000A3E1B">
      <w:pPr>
        <w:spacing w:after="0" w:line="240" w:lineRule="auto"/>
        <w:jc w:val="both"/>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t>Gráfico 1 - Indicadores de mobilidade intergeracional das mulheres, segundo a condição de migração - Nordeste, 2014 (%)</w:t>
      </w:r>
    </w:p>
    <w:p w14:paraId="0DD12B2E" w14:textId="77777777" w:rsidR="000A3E1B" w:rsidRPr="00641C64" w:rsidRDefault="000A3E1B" w:rsidP="000A3E1B">
      <w:pPr>
        <w:spacing w:after="0" w:line="240" w:lineRule="auto"/>
        <w:jc w:val="both"/>
        <w:rPr>
          <w:rFonts w:ascii="Times New Roman" w:eastAsia="Times New Roman" w:hAnsi="Times New Roman" w:cs="Times New Roman"/>
          <w:b/>
          <w:color w:val="000000" w:themeColor="text1"/>
          <w:sz w:val="24"/>
          <w:szCs w:val="24"/>
        </w:rPr>
      </w:pPr>
      <w:r w:rsidRPr="00641C64">
        <w:rPr>
          <w:noProof/>
          <w:color w:val="000000" w:themeColor="text1"/>
          <w:lang w:eastAsia="pt-BR"/>
        </w:rPr>
        <w:drawing>
          <wp:inline distT="0" distB="0" distL="0" distR="0" wp14:anchorId="5C0A10EE" wp14:editId="7B9D9038">
            <wp:extent cx="5778500" cy="3282950"/>
            <wp:effectExtent l="0" t="0" r="12700" b="1270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C7236E3"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0"/>
          <w:szCs w:val="20"/>
        </w:rPr>
      </w:pPr>
      <w:r w:rsidRPr="00641C64">
        <w:rPr>
          <w:rFonts w:ascii="Times New Roman" w:eastAsia="Times New Roman" w:hAnsi="Times New Roman" w:cs="Times New Roman"/>
          <w:color w:val="000000" w:themeColor="text1"/>
          <w:sz w:val="20"/>
          <w:szCs w:val="20"/>
        </w:rPr>
        <w:t>Fonte: PNAD, 2014.</w:t>
      </w:r>
    </w:p>
    <w:p w14:paraId="34B07EA1"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p>
    <w:p w14:paraId="0A232812" w14:textId="77777777" w:rsidR="009C3E1E" w:rsidRPr="00641C64" w:rsidRDefault="009C3E1E" w:rsidP="009C3E1E">
      <w:pPr>
        <w:autoSpaceDE w:val="0"/>
        <w:autoSpaceDN w:val="0"/>
        <w:adjustRightInd w:val="0"/>
        <w:spacing w:after="0" w:line="360" w:lineRule="auto"/>
        <w:ind w:firstLine="709"/>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Ainda assim, pode-se observar que independente da condição de migração (emigrantes e não migrantes), mais da metade das mulheres experimentaram mobilidade intergeracional ascendente no Nordeste. Os apontamentos de </w:t>
      </w:r>
      <w:proofErr w:type="spellStart"/>
      <w:r w:rsidRPr="00641C64">
        <w:rPr>
          <w:rFonts w:ascii="Times New Roman" w:hAnsi="Times New Roman" w:cs="Times New Roman"/>
          <w:color w:val="000000" w:themeColor="text1"/>
          <w:sz w:val="24"/>
          <w:szCs w:val="24"/>
          <w:lang w:eastAsia="pt-BR"/>
        </w:rPr>
        <w:t>Araujo</w:t>
      </w:r>
      <w:proofErr w:type="spellEnd"/>
      <w:r w:rsidRPr="00641C64">
        <w:rPr>
          <w:rFonts w:ascii="Times New Roman" w:hAnsi="Times New Roman" w:cs="Times New Roman"/>
          <w:color w:val="000000" w:themeColor="text1"/>
          <w:sz w:val="24"/>
          <w:szCs w:val="24"/>
          <w:lang w:eastAsia="pt-BR"/>
        </w:rPr>
        <w:t xml:space="preserve"> (2014) levantam um debate pertinente para os resultados encontrados. O Brasil de 2002 era o retrato da herança paternalista que caracterizou a sua formação histórica: os 43 </w:t>
      </w:r>
      <w:r w:rsidRPr="00641C64">
        <w:rPr>
          <w:rFonts w:ascii="Times New Roman" w:hAnsi="Times New Roman" w:cs="Times New Roman"/>
          <w:i/>
          <w:iCs/>
          <w:color w:val="000000" w:themeColor="text1"/>
          <w:sz w:val="24"/>
          <w:szCs w:val="24"/>
          <w:lang w:eastAsia="pt-BR"/>
        </w:rPr>
        <w:t xml:space="preserve">campis </w:t>
      </w:r>
      <w:r w:rsidRPr="00641C64">
        <w:rPr>
          <w:rFonts w:ascii="Times New Roman" w:hAnsi="Times New Roman" w:cs="Times New Roman"/>
          <w:color w:val="000000" w:themeColor="text1"/>
          <w:sz w:val="24"/>
          <w:szCs w:val="24"/>
          <w:lang w:eastAsia="pt-BR"/>
        </w:rPr>
        <w:t xml:space="preserve">existentes das universidades federais estavam localizados no Sudeste, Sul e litoral do país. Dessa maneira, o padrão de ensino vigente, elitizado, limitava as oportunidades de acesso das camadas mais pobres. Com a </w:t>
      </w:r>
      <w:r w:rsidRPr="00641C64">
        <w:rPr>
          <w:rFonts w:ascii="Times New Roman" w:hAnsi="Times New Roman" w:cs="Times New Roman"/>
          <w:color w:val="000000" w:themeColor="text1"/>
          <w:sz w:val="24"/>
          <w:szCs w:val="24"/>
          <w:lang w:eastAsia="pt-BR"/>
        </w:rPr>
        <w:lastRenderedPageBreak/>
        <w:t xml:space="preserve">adoção da Reestruturação e Expansão das Universidades Federais (Reuni) no ano de 2010, emerge um novo cenário: o número de </w:t>
      </w:r>
      <w:r w:rsidRPr="00641C64">
        <w:rPr>
          <w:rFonts w:ascii="Times New Roman" w:hAnsi="Times New Roman" w:cs="Times New Roman"/>
          <w:i/>
          <w:iCs/>
          <w:color w:val="000000" w:themeColor="text1"/>
          <w:sz w:val="24"/>
          <w:szCs w:val="24"/>
          <w:lang w:eastAsia="pt-BR"/>
        </w:rPr>
        <w:t xml:space="preserve">campis </w:t>
      </w:r>
      <w:r w:rsidRPr="00641C64">
        <w:rPr>
          <w:rFonts w:ascii="Times New Roman" w:hAnsi="Times New Roman" w:cs="Times New Roman"/>
          <w:color w:val="000000" w:themeColor="text1"/>
          <w:sz w:val="24"/>
          <w:szCs w:val="24"/>
          <w:lang w:eastAsia="pt-BR"/>
        </w:rPr>
        <w:t xml:space="preserve">aumenta para 230, ocorre maior desconcentração regional e interiorização do ensino superior, e maiores chances de ingresso para milhares de jovens que antes não podiam sonhar com o ensino formal. </w:t>
      </w:r>
    </w:p>
    <w:p w14:paraId="71F6A9FF" w14:textId="77777777" w:rsidR="00822DFC" w:rsidRPr="00641C64" w:rsidRDefault="00822DFC" w:rsidP="00822DFC">
      <w:pPr>
        <w:spacing w:after="0" w:line="360" w:lineRule="auto"/>
        <w:ind w:firstLine="709"/>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Essas oportunidades aumentaram ainda mais com a institucionalização do Programa Universidade para Todos (</w:t>
      </w:r>
      <w:proofErr w:type="spellStart"/>
      <w:r w:rsidRPr="00641C64">
        <w:rPr>
          <w:rFonts w:ascii="Times New Roman" w:hAnsi="Times New Roman" w:cs="Times New Roman"/>
          <w:color w:val="000000" w:themeColor="text1"/>
          <w:sz w:val="24"/>
          <w:szCs w:val="24"/>
          <w:lang w:eastAsia="pt-BR"/>
        </w:rPr>
        <w:t>Prouni</w:t>
      </w:r>
      <w:proofErr w:type="spellEnd"/>
      <w:r w:rsidRPr="00641C64">
        <w:rPr>
          <w:rFonts w:ascii="Times New Roman" w:hAnsi="Times New Roman" w:cs="Times New Roman"/>
          <w:color w:val="000000" w:themeColor="text1"/>
          <w:sz w:val="24"/>
          <w:szCs w:val="24"/>
          <w:lang w:eastAsia="pt-BR"/>
        </w:rPr>
        <w:t xml:space="preserve">) em 2005, que permitiu o ingresso nas universidades de ensino privado de pessoas provenientes de camadas menos abastadas. Nesse ensejo, entre </w:t>
      </w:r>
      <w:r w:rsidR="00F91E75" w:rsidRPr="00641C64">
        <w:rPr>
          <w:rFonts w:ascii="Times New Roman" w:hAnsi="Times New Roman" w:cs="Times New Roman"/>
          <w:color w:val="000000" w:themeColor="text1"/>
          <w:sz w:val="24"/>
          <w:szCs w:val="24"/>
        </w:rPr>
        <w:t>2000 e 2010, o número de indivíduos com ensino superior completo saltou de 5,9 milhões para 13,5 milhões. Com destaque para as regiões Nordeste, Centro-Oeste e Norte, que aumentaram a participação nacional para 16,2%, 8,6%, e 4,7% em 2010, respectivamente (ARAUJO, 2014). Mudanças significativas para a redução das disparidades regionais e das desigualdades sociais e ocupacionais.</w:t>
      </w:r>
    </w:p>
    <w:p w14:paraId="1EE48EBB" w14:textId="64F4E2B4" w:rsidR="000A3E1B" w:rsidRPr="00641C64" w:rsidRDefault="000A3E1B" w:rsidP="00822DFC">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O Gráfico 2 apresenta uma comparação entre as cifras de mobilidade ascendente das mulheres no Brasil e no Nordeste. Para as não migrantes, os</w:t>
      </w:r>
      <w:r w:rsidR="00A96177" w:rsidRPr="00641C64">
        <w:rPr>
          <w:rFonts w:ascii="Times New Roman" w:eastAsia="Times New Roman" w:hAnsi="Times New Roman" w:cs="Times New Roman"/>
          <w:color w:val="000000" w:themeColor="text1"/>
          <w:sz w:val="24"/>
          <w:szCs w:val="24"/>
        </w:rPr>
        <w:t xml:space="preserve"> resultados foram mais próximos, </w:t>
      </w:r>
      <w:r w:rsidRPr="00641C64">
        <w:rPr>
          <w:rFonts w:ascii="Times New Roman" w:eastAsia="Times New Roman" w:hAnsi="Times New Roman" w:cs="Times New Roman"/>
          <w:color w:val="000000" w:themeColor="text1"/>
          <w:sz w:val="24"/>
          <w:szCs w:val="24"/>
        </w:rPr>
        <w:t xml:space="preserve">mais da metade das mulheres alcançaram ascensão ocupacional em relação </w:t>
      </w:r>
      <w:proofErr w:type="gramStart"/>
      <w:r w:rsidRPr="00641C64">
        <w:rPr>
          <w:rFonts w:ascii="Times New Roman" w:eastAsia="Times New Roman" w:hAnsi="Times New Roman" w:cs="Times New Roman"/>
          <w:color w:val="000000" w:themeColor="text1"/>
          <w:sz w:val="24"/>
          <w:szCs w:val="24"/>
        </w:rPr>
        <w:t>a</w:t>
      </w:r>
      <w:proofErr w:type="gramEnd"/>
      <w:r w:rsidRPr="00641C64">
        <w:rPr>
          <w:rFonts w:ascii="Times New Roman" w:eastAsia="Times New Roman" w:hAnsi="Times New Roman" w:cs="Times New Roman"/>
          <w:color w:val="000000" w:themeColor="text1"/>
          <w:sz w:val="24"/>
          <w:szCs w:val="24"/>
        </w:rPr>
        <w:t xml:space="preserve"> condição materna tanto no Brasil quanto no Nordeste. Entre as migrantes, verificam-se diferenças mais acentuadas</w:t>
      </w:r>
      <w:r w:rsidR="00BB249D" w:rsidRPr="00641C64">
        <w:rPr>
          <w:rFonts w:ascii="Times New Roman" w:eastAsia="Times New Roman" w:hAnsi="Times New Roman" w:cs="Times New Roman"/>
          <w:color w:val="000000" w:themeColor="text1"/>
          <w:sz w:val="24"/>
          <w:szCs w:val="24"/>
        </w:rPr>
        <w:t>, com</w:t>
      </w:r>
      <w:r w:rsidRPr="00641C64">
        <w:rPr>
          <w:rFonts w:ascii="Times New Roman" w:eastAsia="Times New Roman" w:hAnsi="Times New Roman" w:cs="Times New Roman"/>
          <w:color w:val="000000" w:themeColor="text1"/>
          <w:sz w:val="24"/>
          <w:szCs w:val="24"/>
        </w:rPr>
        <w:t xml:space="preserve"> </w:t>
      </w:r>
      <w:r w:rsidR="00BB249D" w:rsidRPr="00641C64">
        <w:rPr>
          <w:rFonts w:ascii="Times New Roman" w:eastAsia="Times New Roman" w:hAnsi="Times New Roman" w:cs="Times New Roman"/>
          <w:color w:val="000000" w:themeColor="text1"/>
          <w:sz w:val="24"/>
          <w:szCs w:val="24"/>
        </w:rPr>
        <w:t>m</w:t>
      </w:r>
      <w:r w:rsidRPr="00641C64">
        <w:rPr>
          <w:rFonts w:ascii="Times New Roman" w:eastAsia="Times New Roman" w:hAnsi="Times New Roman" w:cs="Times New Roman"/>
          <w:color w:val="000000" w:themeColor="text1"/>
          <w:sz w:val="24"/>
          <w:szCs w:val="24"/>
        </w:rPr>
        <w:t>aior proporção das mulheres que emigraram do Nordeste (89,2%) experimenta</w:t>
      </w:r>
      <w:r w:rsidR="00BB249D" w:rsidRPr="00641C64">
        <w:rPr>
          <w:rFonts w:ascii="Times New Roman" w:eastAsia="Times New Roman" w:hAnsi="Times New Roman" w:cs="Times New Roman"/>
          <w:color w:val="000000" w:themeColor="text1"/>
          <w:sz w:val="24"/>
          <w:szCs w:val="24"/>
        </w:rPr>
        <w:t>ndo</w:t>
      </w:r>
      <w:r w:rsidRPr="00641C64">
        <w:rPr>
          <w:rFonts w:ascii="Times New Roman" w:eastAsia="Times New Roman" w:hAnsi="Times New Roman" w:cs="Times New Roman"/>
          <w:color w:val="000000" w:themeColor="text1"/>
          <w:sz w:val="24"/>
          <w:szCs w:val="24"/>
        </w:rPr>
        <w:t xml:space="preserve"> mobilidade ascendente comparativamente ao</w:t>
      </w:r>
      <w:r w:rsidR="00A96177" w:rsidRPr="00641C64">
        <w:rPr>
          <w:rFonts w:ascii="Times New Roman" w:eastAsia="Times New Roman" w:hAnsi="Times New Roman" w:cs="Times New Roman"/>
          <w:color w:val="000000" w:themeColor="text1"/>
          <w:sz w:val="24"/>
          <w:szCs w:val="24"/>
        </w:rPr>
        <w:t xml:space="preserve"> indicador geral n</w:t>
      </w:r>
      <w:r w:rsidRPr="00641C64">
        <w:rPr>
          <w:rFonts w:ascii="Times New Roman" w:eastAsia="Times New Roman" w:hAnsi="Times New Roman" w:cs="Times New Roman"/>
          <w:color w:val="000000" w:themeColor="text1"/>
          <w:sz w:val="24"/>
          <w:szCs w:val="24"/>
        </w:rPr>
        <w:t xml:space="preserve">o Brasil (67,8%). </w:t>
      </w:r>
    </w:p>
    <w:p w14:paraId="7C225328" w14:textId="77777777" w:rsidR="009C3E1E" w:rsidRPr="00641C64" w:rsidRDefault="009C3E1E" w:rsidP="009C3E1E">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É oportuno ressaltar que mais da metade das filhas, independente da condição de migração tanto no Brasil quanto no Nordeste, lograram melhores postos de trabalho do que suas mães. Nesse ensejo ressalta-se o papel ativo das políticas públicas inclusivas nesse processo, notadamente entre 2003-2014 (DOTA; QUEIROZ, 2019). Dentre elas, a desconcentração industrial, a expansão e a interiorização do ensino básico, técnico e superior, a criação de empregos formais, os programas de transferência de renda e a política de valorização salarial, que possibilitaram novas oportunidades e direções para os fluxos migratórios (JANNUZZI, 2002, 2018; JANNUZZI; MONTAGNER; TAIRA, 2017), ao passo que também foram importantes na retenção de potenciais migrantes (BAENINGER, 2012).</w:t>
      </w:r>
    </w:p>
    <w:p w14:paraId="41444F69"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p>
    <w:p w14:paraId="74A740D0" w14:textId="77777777" w:rsidR="000A3E1B" w:rsidRPr="00641C64" w:rsidRDefault="000A3E1B" w:rsidP="000A3E1B">
      <w:pPr>
        <w:spacing w:after="0" w:line="240" w:lineRule="auto"/>
        <w:jc w:val="both"/>
        <w:rPr>
          <w:rFonts w:ascii="Times New Roman" w:eastAsia="Times New Roman" w:hAnsi="Times New Roman" w:cs="Times New Roman"/>
          <w:b/>
          <w:color w:val="000000" w:themeColor="text1"/>
          <w:sz w:val="24"/>
          <w:szCs w:val="24"/>
        </w:rPr>
      </w:pPr>
      <w:r w:rsidRPr="00641C64">
        <w:rPr>
          <w:rFonts w:ascii="Times New Roman" w:eastAsia="Times New Roman" w:hAnsi="Times New Roman" w:cs="Times New Roman"/>
          <w:b/>
          <w:color w:val="000000" w:themeColor="text1"/>
          <w:sz w:val="24"/>
          <w:szCs w:val="24"/>
        </w:rPr>
        <w:lastRenderedPageBreak/>
        <w:t>Gráfico 2 - Mobilidade intergeracional ascendente das mulheres, segundo a condição de migração - Brasil e Nordeste, 2014 (%)</w:t>
      </w:r>
    </w:p>
    <w:p w14:paraId="4F6E6B51" w14:textId="77777777" w:rsidR="000A3E1B" w:rsidRPr="00641C64" w:rsidRDefault="000A3E1B" w:rsidP="000A3E1B">
      <w:pPr>
        <w:spacing w:after="0" w:line="360" w:lineRule="auto"/>
        <w:jc w:val="both"/>
        <w:rPr>
          <w:rFonts w:ascii="Times New Roman" w:eastAsia="Times New Roman" w:hAnsi="Times New Roman" w:cs="Times New Roman"/>
          <w:color w:val="000000" w:themeColor="text1"/>
          <w:sz w:val="24"/>
          <w:szCs w:val="24"/>
        </w:rPr>
      </w:pPr>
      <w:r w:rsidRPr="00641C64">
        <w:rPr>
          <w:noProof/>
          <w:color w:val="000000" w:themeColor="text1"/>
          <w:lang w:eastAsia="pt-BR"/>
        </w:rPr>
        <w:drawing>
          <wp:inline distT="0" distB="0" distL="0" distR="0" wp14:anchorId="54DDF36A" wp14:editId="61D00CF0">
            <wp:extent cx="5695950" cy="3282950"/>
            <wp:effectExtent l="0" t="0" r="19050" b="1270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641C64">
        <w:rPr>
          <w:rFonts w:ascii="Times New Roman" w:eastAsia="Times New Roman" w:hAnsi="Times New Roman" w:cs="Times New Roman"/>
          <w:color w:val="000000" w:themeColor="text1"/>
          <w:sz w:val="20"/>
          <w:szCs w:val="20"/>
        </w:rPr>
        <w:t>Fonte: PNAD, 2014.</w:t>
      </w:r>
    </w:p>
    <w:p w14:paraId="5A17D0B9" w14:textId="77777777" w:rsidR="000A3E1B" w:rsidRPr="00641C64" w:rsidRDefault="000A3E1B" w:rsidP="000A3E1B">
      <w:pPr>
        <w:spacing w:after="0" w:line="360" w:lineRule="auto"/>
        <w:ind w:firstLine="720"/>
        <w:jc w:val="both"/>
        <w:rPr>
          <w:rFonts w:ascii="Times New Roman" w:eastAsia="Times New Roman" w:hAnsi="Times New Roman" w:cs="Times New Roman"/>
          <w:color w:val="000000" w:themeColor="text1"/>
          <w:sz w:val="24"/>
          <w:szCs w:val="24"/>
        </w:rPr>
      </w:pPr>
    </w:p>
    <w:p w14:paraId="048EFF1B" w14:textId="26C1322A" w:rsidR="001A1183" w:rsidRPr="00641C64" w:rsidRDefault="001A1183" w:rsidP="001A1183">
      <w:pPr>
        <w:spacing w:after="0" w:line="360" w:lineRule="auto"/>
        <w:ind w:firstLine="720"/>
        <w:jc w:val="both"/>
        <w:rPr>
          <w:rFonts w:ascii="Times New Roman" w:eastAsia="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Os achados vislumbram novos caminhos e futuras trajetórias para a grande maioria das filhas. O conjunto de mudanças, no cenário econômico e social estimulou não somente o nível de emprego, como a qualidade das vagas criadas. Entre 2003 e 2014, foram gerados 20 milhões de postos de trabalho formal e as vagas no ensino superior aumentaram de 3,4 milhões em 2003, para 8,1 milhões no ano de 2015. Cifras que representam oportunidades concretas de maior escolaridade, credenciais para as melhores ocupações em termos de formalidade e rendimento e</w:t>
      </w:r>
      <w:r w:rsidR="00BB249D" w:rsidRPr="00641C64">
        <w:rPr>
          <w:rFonts w:ascii="Times New Roman" w:hAnsi="Times New Roman" w:cs="Times New Roman"/>
          <w:color w:val="000000" w:themeColor="text1"/>
          <w:sz w:val="24"/>
          <w:szCs w:val="24"/>
        </w:rPr>
        <w:t>, consequentemente,</w:t>
      </w:r>
      <w:r w:rsidRPr="00641C64">
        <w:rPr>
          <w:rFonts w:ascii="Times New Roman" w:hAnsi="Times New Roman" w:cs="Times New Roman"/>
          <w:color w:val="000000" w:themeColor="text1"/>
          <w:sz w:val="24"/>
          <w:szCs w:val="24"/>
        </w:rPr>
        <w:t xml:space="preserve"> mobilidade </w:t>
      </w:r>
      <w:r w:rsidR="00C274FA" w:rsidRPr="00641C64">
        <w:rPr>
          <w:rFonts w:ascii="Times New Roman" w:hAnsi="Times New Roman" w:cs="Times New Roman"/>
          <w:color w:val="000000" w:themeColor="text1"/>
          <w:sz w:val="24"/>
          <w:szCs w:val="24"/>
        </w:rPr>
        <w:t>ascendente (JANNUZZI, 2018)</w:t>
      </w:r>
      <w:r w:rsidRPr="00641C64">
        <w:rPr>
          <w:rFonts w:ascii="Times New Roman" w:hAnsi="Times New Roman" w:cs="Times New Roman"/>
          <w:color w:val="000000" w:themeColor="text1"/>
          <w:sz w:val="24"/>
          <w:szCs w:val="24"/>
        </w:rPr>
        <w:t>.</w:t>
      </w:r>
    </w:p>
    <w:p w14:paraId="7CDD69B3" w14:textId="019A19C9" w:rsidR="001A1183" w:rsidRPr="00641C64" w:rsidRDefault="00A912F0" w:rsidP="000A3E1B">
      <w:pPr>
        <w:spacing w:after="0" w:line="360" w:lineRule="auto"/>
        <w:ind w:firstLine="720"/>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Em síntese, a análise dos resultados aponta que a grande maioria das mulheres que empreenderam migração logrou mobilidade intergeracional ascendente, tanto no Brasil como no Nordeste. No entanto, é oportuno frisar que nem todas as filhas que migraram alcançaram melhores postos de trabalho na região de destino. Parte delas não foi bem sucedida e experimentaram imobilidade ou mobilidade descendente no Brasil, sobretudo para as filhas de proprietárias</w:t>
      </w:r>
      <w:r w:rsidR="005D6642" w:rsidRPr="00641C64">
        <w:rPr>
          <w:rFonts w:ascii="Times New Roman" w:hAnsi="Times New Roman" w:cs="Times New Roman"/>
          <w:color w:val="000000" w:themeColor="text1"/>
          <w:sz w:val="24"/>
          <w:szCs w:val="24"/>
        </w:rPr>
        <w:t xml:space="preserve"> e </w:t>
      </w:r>
      <w:r w:rsidRPr="00641C64">
        <w:rPr>
          <w:rFonts w:ascii="Times New Roman" w:hAnsi="Times New Roman" w:cs="Times New Roman"/>
          <w:color w:val="000000" w:themeColor="text1"/>
          <w:sz w:val="24"/>
          <w:szCs w:val="24"/>
        </w:rPr>
        <w:t>profissionais de nível alto</w:t>
      </w:r>
      <w:r w:rsidR="00BB249D" w:rsidRPr="00641C64">
        <w:rPr>
          <w:rFonts w:ascii="Times New Roman" w:hAnsi="Times New Roman" w:cs="Times New Roman"/>
          <w:color w:val="000000" w:themeColor="text1"/>
          <w:sz w:val="24"/>
          <w:szCs w:val="24"/>
        </w:rPr>
        <w:t>,</w:t>
      </w:r>
      <w:r w:rsidR="005D6642"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color w:val="000000" w:themeColor="text1"/>
          <w:sz w:val="24"/>
          <w:szCs w:val="24"/>
        </w:rPr>
        <w:t xml:space="preserve">e </w:t>
      </w:r>
      <w:r w:rsidR="005D6642" w:rsidRPr="00641C64">
        <w:rPr>
          <w:rFonts w:ascii="Times New Roman" w:hAnsi="Times New Roman" w:cs="Times New Roman"/>
          <w:color w:val="000000" w:themeColor="text1"/>
          <w:sz w:val="24"/>
          <w:szCs w:val="24"/>
        </w:rPr>
        <w:t xml:space="preserve">as filhas de </w:t>
      </w:r>
      <w:r w:rsidRPr="00641C64">
        <w:rPr>
          <w:rFonts w:ascii="Times New Roman" w:hAnsi="Times New Roman" w:cs="Times New Roman"/>
          <w:color w:val="000000" w:themeColor="text1"/>
          <w:sz w:val="24"/>
          <w:szCs w:val="24"/>
        </w:rPr>
        <w:t xml:space="preserve">pequenas proprietárias e profissionais de nível médio. Por outro lado, foi possível observar diferenças </w:t>
      </w:r>
      <w:r w:rsidR="00003F7F" w:rsidRPr="00641C64">
        <w:rPr>
          <w:rFonts w:ascii="Times New Roman" w:hAnsi="Times New Roman" w:cs="Times New Roman"/>
          <w:color w:val="000000" w:themeColor="text1"/>
          <w:sz w:val="24"/>
          <w:szCs w:val="24"/>
        </w:rPr>
        <w:t xml:space="preserve">significativas nos indicadores </w:t>
      </w:r>
      <w:r w:rsidR="00003F7F" w:rsidRPr="00641C64">
        <w:rPr>
          <w:rFonts w:ascii="Times New Roman" w:hAnsi="Times New Roman" w:cs="Times New Roman"/>
          <w:color w:val="000000" w:themeColor="text1"/>
          <w:sz w:val="24"/>
          <w:szCs w:val="24"/>
        </w:rPr>
        <w:lastRenderedPageBreak/>
        <w:t xml:space="preserve">de mobilidade, dado que os achados mostram que as filhas que emigraram do Nordeste tiveram maior mobilidade ascendente comparativamente ao país. Quanto as </w:t>
      </w:r>
      <w:proofErr w:type="gramStart"/>
      <w:r w:rsidR="00003F7F" w:rsidRPr="00641C64">
        <w:rPr>
          <w:rFonts w:ascii="Times New Roman" w:hAnsi="Times New Roman" w:cs="Times New Roman"/>
          <w:color w:val="000000" w:themeColor="text1"/>
          <w:sz w:val="24"/>
          <w:szCs w:val="24"/>
        </w:rPr>
        <w:t>não migrantes</w:t>
      </w:r>
      <w:proofErr w:type="gramEnd"/>
      <w:r w:rsidR="00003F7F" w:rsidRPr="00641C64">
        <w:rPr>
          <w:rFonts w:ascii="Times New Roman" w:hAnsi="Times New Roman" w:cs="Times New Roman"/>
          <w:color w:val="000000" w:themeColor="text1"/>
          <w:sz w:val="24"/>
          <w:szCs w:val="24"/>
        </w:rPr>
        <w:t>, observou-se que mais da metade experimentaram ascensão intergeracional no estado de nascimento. Isso ressalta o papel ativo das políticas públicas e de desenvolvimento, particularmente em âmbito regional</w:t>
      </w:r>
      <w:r w:rsidR="00BB249D" w:rsidRPr="00641C64">
        <w:rPr>
          <w:rFonts w:ascii="Times New Roman" w:hAnsi="Times New Roman" w:cs="Times New Roman"/>
          <w:color w:val="000000" w:themeColor="text1"/>
          <w:sz w:val="24"/>
          <w:szCs w:val="24"/>
        </w:rPr>
        <w:t>, a partir dos anos 2000</w:t>
      </w:r>
      <w:r w:rsidR="00003F7F" w:rsidRPr="00641C64">
        <w:rPr>
          <w:rFonts w:ascii="Times New Roman" w:hAnsi="Times New Roman" w:cs="Times New Roman"/>
          <w:color w:val="000000" w:themeColor="text1"/>
          <w:sz w:val="24"/>
          <w:szCs w:val="24"/>
        </w:rPr>
        <w:t xml:space="preserve">. </w:t>
      </w:r>
    </w:p>
    <w:p w14:paraId="552CEF63" w14:textId="77777777" w:rsidR="00A912F0" w:rsidRPr="00641C64" w:rsidRDefault="00A912F0" w:rsidP="000A3E1B">
      <w:pPr>
        <w:spacing w:after="0" w:line="360" w:lineRule="auto"/>
        <w:ind w:firstLine="720"/>
        <w:jc w:val="both"/>
        <w:rPr>
          <w:rFonts w:ascii="Times New Roman" w:eastAsia="Times New Roman" w:hAnsi="Times New Roman" w:cs="Times New Roman"/>
          <w:color w:val="000000" w:themeColor="text1"/>
          <w:sz w:val="24"/>
          <w:szCs w:val="24"/>
        </w:rPr>
      </w:pPr>
    </w:p>
    <w:p w14:paraId="37E89071" w14:textId="77777777" w:rsidR="0065191D" w:rsidRPr="00641C64" w:rsidRDefault="000A3E1B">
      <w:pPr>
        <w:spacing w:after="0" w:line="240" w:lineRule="auto"/>
        <w:jc w:val="both"/>
        <w:rPr>
          <w:rFonts w:ascii="Times New Roman" w:hAnsi="Times New Roman" w:cs="Times New Roman"/>
          <w:b/>
          <w:bCs/>
          <w:color w:val="000000" w:themeColor="text1"/>
          <w:sz w:val="24"/>
          <w:szCs w:val="24"/>
        </w:rPr>
      </w:pPr>
      <w:r w:rsidRPr="00641C64">
        <w:rPr>
          <w:rFonts w:ascii="Times New Roman" w:hAnsi="Times New Roman" w:cs="Times New Roman"/>
          <w:b/>
          <w:bCs/>
          <w:color w:val="000000" w:themeColor="text1"/>
          <w:sz w:val="24"/>
          <w:szCs w:val="24"/>
        </w:rPr>
        <w:t>5 CONSIDERAÇÕES FINAIS</w:t>
      </w:r>
    </w:p>
    <w:p w14:paraId="6FFA12F8" w14:textId="77777777" w:rsidR="000A3E1B" w:rsidRPr="00641C64" w:rsidRDefault="000A3E1B">
      <w:pPr>
        <w:spacing w:after="0" w:line="240" w:lineRule="auto"/>
        <w:jc w:val="both"/>
        <w:rPr>
          <w:rFonts w:ascii="Times New Roman" w:hAnsi="Times New Roman" w:cs="Times New Roman"/>
          <w:b/>
          <w:bCs/>
          <w:color w:val="000000" w:themeColor="text1"/>
          <w:sz w:val="24"/>
          <w:szCs w:val="24"/>
        </w:rPr>
      </w:pPr>
    </w:p>
    <w:p w14:paraId="67B69EB7" w14:textId="6EE0CAFA" w:rsidR="00354A65" w:rsidRPr="00641C64" w:rsidRDefault="000A3E1B" w:rsidP="00D72579">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olor w:val="000000" w:themeColor="text1"/>
          <w:sz w:val="24"/>
          <w:szCs w:val="24"/>
        </w:rPr>
        <w:t xml:space="preserve">O presente estudo teve como objetivo principal </w:t>
      </w:r>
      <w:r w:rsidRPr="00641C64">
        <w:rPr>
          <w:rFonts w:ascii="Times New Roman" w:eastAsia="Times New Roman" w:hAnsi="Times New Roman" w:cs="Times New Roman"/>
          <w:color w:val="000000" w:themeColor="text1"/>
          <w:sz w:val="24"/>
          <w:szCs w:val="24"/>
        </w:rPr>
        <w:t xml:space="preserve">mensurar os níveis de mobilidade ocupacional intergeracional por condição de migração das mulheres no Brasil e no Nordeste, em 2014. </w:t>
      </w:r>
      <w:r w:rsidR="00354A65" w:rsidRPr="00641C64">
        <w:rPr>
          <w:rFonts w:ascii="Times New Roman" w:eastAsia="Times New Roman" w:hAnsi="Times New Roman" w:cs="Times New Roman"/>
          <w:color w:val="000000" w:themeColor="text1"/>
          <w:sz w:val="24"/>
          <w:szCs w:val="24"/>
        </w:rPr>
        <w:t>Nes</w:t>
      </w:r>
      <w:r w:rsidR="00836EDF" w:rsidRPr="00641C64">
        <w:rPr>
          <w:rFonts w:ascii="Times New Roman" w:eastAsia="Times New Roman" w:hAnsi="Times New Roman" w:cs="Times New Roman"/>
          <w:color w:val="000000" w:themeColor="text1"/>
          <w:sz w:val="24"/>
          <w:szCs w:val="24"/>
        </w:rPr>
        <w:t>s</w:t>
      </w:r>
      <w:r w:rsidR="00354A65" w:rsidRPr="00641C64">
        <w:rPr>
          <w:rFonts w:ascii="Times New Roman" w:eastAsia="Times New Roman" w:hAnsi="Times New Roman" w:cs="Times New Roman"/>
          <w:color w:val="000000" w:themeColor="text1"/>
          <w:sz w:val="24"/>
          <w:szCs w:val="24"/>
        </w:rPr>
        <w:t xml:space="preserve">e estudo a mobilidade intergeracional de ocupação consiste na comparação entre o estrato ocupacional no trabalho atual da filha em relação ao estrato ocupacional da sua mãe, quando as filhas tinham quinze anos de idade. </w:t>
      </w:r>
      <w:r w:rsidR="006067B4" w:rsidRPr="00641C64">
        <w:rPr>
          <w:rFonts w:ascii="Times New Roman" w:hAnsi="Times New Roman" w:cs="Times New Roman"/>
          <w:color w:val="000000" w:themeColor="text1"/>
          <w:sz w:val="24"/>
          <w:szCs w:val="24"/>
        </w:rPr>
        <w:t xml:space="preserve">Isso porque, pela primeira vez, em 2014, um suplemento investigou a ocupação materna, além da tradicional pergunta sobre a ocupação do pai. Ademais, ao contrário de outros suplementos da PNAD que restringiram a amostra às pessoas de referência ou cônjuge, na edição mais recente foi selecionado aleatoriamente um indivíduo para responder ao respectivo módulo. Mudanças importantes que possibilitaram maior diversidade na captação da amostra. </w:t>
      </w:r>
    </w:p>
    <w:p w14:paraId="63F3BE9A" w14:textId="454AB62A" w:rsidR="0095684B" w:rsidRPr="00641C64" w:rsidRDefault="006067B4" w:rsidP="0095684B">
      <w:pPr>
        <w:spacing w:after="0" w:line="360" w:lineRule="auto"/>
        <w:ind w:firstLine="709"/>
        <w:jc w:val="both"/>
        <w:rPr>
          <w:rFonts w:ascii="Times New Roman" w:eastAsia="Times New Roman" w:hAnsi="Times New Roman"/>
          <w:color w:val="000000" w:themeColor="text1"/>
          <w:sz w:val="24"/>
          <w:szCs w:val="24"/>
        </w:rPr>
      </w:pPr>
      <w:r w:rsidRPr="00641C64">
        <w:rPr>
          <w:rFonts w:ascii="Times New Roman" w:hAnsi="Times New Roman" w:cs="Times New Roman"/>
          <w:color w:val="000000" w:themeColor="text1"/>
          <w:sz w:val="24"/>
          <w:szCs w:val="24"/>
        </w:rPr>
        <w:t xml:space="preserve">No que diz respeito aos indicadores de mobilidade intergeracional de ocupação para as migrantes, </w:t>
      </w:r>
      <w:r w:rsidR="000A3E1B" w:rsidRPr="00641C64">
        <w:rPr>
          <w:rFonts w:ascii="Times New Roman" w:eastAsia="Times New Roman" w:hAnsi="Times New Roman" w:cs="Times New Roman"/>
          <w:color w:val="000000" w:themeColor="text1"/>
          <w:sz w:val="24"/>
          <w:szCs w:val="24"/>
        </w:rPr>
        <w:t xml:space="preserve">mais da metade das </w:t>
      </w:r>
      <w:r w:rsidR="00D72579" w:rsidRPr="00641C64">
        <w:rPr>
          <w:rFonts w:ascii="Times New Roman" w:eastAsia="Times New Roman" w:hAnsi="Times New Roman" w:cs="Times New Roman"/>
          <w:color w:val="000000" w:themeColor="text1"/>
          <w:sz w:val="24"/>
          <w:szCs w:val="24"/>
        </w:rPr>
        <w:t>mulheres que empreenderam migração interestadual no país experimentou mobilidade ascendente, exceto as filhas de proprietárias</w:t>
      </w:r>
      <w:r w:rsidR="007D69F7" w:rsidRPr="00641C64">
        <w:rPr>
          <w:rFonts w:ascii="Times New Roman" w:eastAsia="Times New Roman" w:hAnsi="Times New Roman" w:cs="Times New Roman"/>
          <w:color w:val="000000" w:themeColor="text1"/>
          <w:sz w:val="24"/>
          <w:szCs w:val="24"/>
        </w:rPr>
        <w:t xml:space="preserve"> e</w:t>
      </w:r>
      <w:r w:rsidR="00D72579" w:rsidRPr="00641C64">
        <w:rPr>
          <w:rFonts w:ascii="Times New Roman" w:eastAsia="Times New Roman" w:hAnsi="Times New Roman" w:cs="Times New Roman"/>
          <w:color w:val="000000" w:themeColor="text1"/>
          <w:sz w:val="24"/>
          <w:szCs w:val="24"/>
        </w:rPr>
        <w:t xml:space="preserve"> profissionais de nível alto</w:t>
      </w:r>
      <w:r w:rsidR="00836EDF" w:rsidRPr="00641C64">
        <w:rPr>
          <w:rFonts w:ascii="Times New Roman" w:eastAsia="Times New Roman" w:hAnsi="Times New Roman" w:cs="Times New Roman"/>
          <w:color w:val="000000" w:themeColor="text1"/>
          <w:sz w:val="24"/>
          <w:szCs w:val="24"/>
        </w:rPr>
        <w:t>,</w:t>
      </w:r>
      <w:r w:rsidR="00D72579" w:rsidRPr="00641C64">
        <w:rPr>
          <w:rFonts w:ascii="Times New Roman" w:eastAsia="Times New Roman" w:hAnsi="Times New Roman" w:cs="Times New Roman"/>
          <w:color w:val="000000" w:themeColor="text1"/>
          <w:sz w:val="24"/>
          <w:szCs w:val="24"/>
        </w:rPr>
        <w:t xml:space="preserve"> </w:t>
      </w:r>
      <w:r w:rsidR="007D69F7" w:rsidRPr="00641C64">
        <w:rPr>
          <w:rFonts w:ascii="Times New Roman" w:eastAsia="Times New Roman" w:hAnsi="Times New Roman" w:cs="Times New Roman"/>
          <w:color w:val="000000" w:themeColor="text1"/>
          <w:sz w:val="24"/>
          <w:szCs w:val="24"/>
        </w:rPr>
        <w:t xml:space="preserve">e </w:t>
      </w:r>
      <w:r w:rsidR="00D72579" w:rsidRPr="00641C64">
        <w:rPr>
          <w:rFonts w:ascii="Times New Roman" w:eastAsia="Times New Roman" w:hAnsi="Times New Roman" w:cs="Times New Roman"/>
          <w:color w:val="000000" w:themeColor="text1"/>
          <w:sz w:val="24"/>
          <w:szCs w:val="24"/>
        </w:rPr>
        <w:t>as filhas de pequenas proprietárias e profissionais de nível médio. Entre as migrantes interestaduais</w:t>
      </w:r>
      <w:r w:rsidRPr="00641C64">
        <w:rPr>
          <w:rFonts w:ascii="Times New Roman" w:eastAsia="Times New Roman" w:hAnsi="Times New Roman" w:cs="Times New Roman"/>
          <w:color w:val="000000" w:themeColor="text1"/>
          <w:sz w:val="24"/>
          <w:szCs w:val="24"/>
        </w:rPr>
        <w:t xml:space="preserve">, as filhas de trabalhadoras rurais </w:t>
      </w:r>
      <w:r w:rsidR="008A5CEB" w:rsidRPr="00641C64">
        <w:rPr>
          <w:rFonts w:ascii="Times New Roman" w:eastAsia="Times New Roman" w:hAnsi="Times New Roman" w:cs="Times New Roman"/>
          <w:color w:val="000000" w:themeColor="text1"/>
          <w:sz w:val="24"/>
          <w:szCs w:val="24"/>
        </w:rPr>
        <w:t xml:space="preserve">alcançaram as maiores cifras de mobilidade intergeracional ascendente e menor imobilidade. </w:t>
      </w:r>
      <w:r w:rsidR="008A5CEB" w:rsidRPr="00641C64">
        <w:rPr>
          <w:rFonts w:ascii="Times New Roman" w:eastAsia="Times New Roman" w:hAnsi="Times New Roman"/>
          <w:color w:val="000000" w:themeColor="text1"/>
          <w:sz w:val="24"/>
          <w:szCs w:val="24"/>
        </w:rPr>
        <w:t xml:space="preserve">No entanto, nem todas as </w:t>
      </w:r>
      <w:r w:rsidR="0095684B" w:rsidRPr="00641C64">
        <w:rPr>
          <w:rFonts w:ascii="Times New Roman" w:eastAsia="Times New Roman" w:hAnsi="Times New Roman"/>
          <w:color w:val="000000" w:themeColor="text1"/>
          <w:sz w:val="24"/>
          <w:szCs w:val="24"/>
        </w:rPr>
        <w:t>mulheres</w:t>
      </w:r>
      <w:r w:rsidR="008A5CEB" w:rsidRPr="00641C64">
        <w:rPr>
          <w:rFonts w:ascii="Times New Roman" w:eastAsia="Times New Roman" w:hAnsi="Times New Roman"/>
          <w:color w:val="000000" w:themeColor="text1"/>
          <w:sz w:val="24"/>
          <w:szCs w:val="24"/>
        </w:rPr>
        <w:t xml:space="preserve"> que migraram alcançaram </w:t>
      </w:r>
      <w:r w:rsidR="008A5CEB" w:rsidRPr="00641C64">
        <w:rPr>
          <w:rFonts w:ascii="Times New Roman" w:eastAsia="Times New Roman" w:hAnsi="Times New Roman" w:cs="Times New Roman"/>
          <w:color w:val="000000" w:themeColor="text1"/>
          <w:sz w:val="24"/>
          <w:szCs w:val="24"/>
        </w:rPr>
        <w:t>melhores postos de trabalho, dado que boa parte não foi bem-sucedida e experimentou imobilidade ou mobilidade descendente</w:t>
      </w:r>
      <w:r w:rsidR="008A5CEB" w:rsidRPr="00641C64">
        <w:rPr>
          <w:rFonts w:ascii="Times New Roman" w:eastAsia="Times New Roman" w:hAnsi="Times New Roman"/>
          <w:color w:val="000000" w:themeColor="text1"/>
          <w:sz w:val="24"/>
          <w:szCs w:val="24"/>
        </w:rPr>
        <w:t xml:space="preserve">. </w:t>
      </w:r>
      <w:r w:rsidR="0095684B" w:rsidRPr="00641C64">
        <w:rPr>
          <w:rFonts w:ascii="Times New Roman" w:eastAsia="Times New Roman" w:hAnsi="Times New Roman"/>
          <w:color w:val="000000" w:themeColor="text1"/>
          <w:sz w:val="24"/>
          <w:szCs w:val="24"/>
        </w:rPr>
        <w:t xml:space="preserve">Esses cenários </w:t>
      </w:r>
      <w:r w:rsidR="0095684B" w:rsidRPr="00641C64">
        <w:rPr>
          <w:rFonts w:ascii="Times New Roman" w:eastAsia="Times New Roman" w:hAnsi="Times New Roman" w:cs="Times New Roman"/>
          <w:color w:val="000000" w:themeColor="text1"/>
          <w:sz w:val="24"/>
          <w:szCs w:val="24"/>
        </w:rPr>
        <w:t>ratificam a complexidade dos fluxos migratórios e os inúmeros determinantes que influenciam o processo de mobilidade ocupacional</w:t>
      </w:r>
      <w:r w:rsidR="0095684B" w:rsidRPr="00641C64">
        <w:rPr>
          <w:rFonts w:ascii="Times New Roman" w:eastAsia="Times New Roman" w:hAnsi="Times New Roman"/>
          <w:color w:val="000000" w:themeColor="text1"/>
          <w:sz w:val="24"/>
          <w:szCs w:val="24"/>
        </w:rPr>
        <w:t>, quais sejam: as redes de sociabilidade, a conjuntura socioeconômica das localidades, as características individuais, familiares e culturais das pessoas, a seletividade no mercado de trabalho, dentre outros.</w:t>
      </w:r>
    </w:p>
    <w:p w14:paraId="18E3F7E8" w14:textId="00A357F4" w:rsidR="008A5CEB" w:rsidRPr="00641C64" w:rsidRDefault="0095684B" w:rsidP="0095684B">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lastRenderedPageBreak/>
        <w:t xml:space="preserve">Para </w:t>
      </w:r>
      <w:proofErr w:type="gramStart"/>
      <w:r w:rsidRPr="00641C64">
        <w:rPr>
          <w:rFonts w:ascii="Times New Roman" w:eastAsia="Times New Roman" w:hAnsi="Times New Roman" w:cs="Times New Roman"/>
          <w:color w:val="000000" w:themeColor="text1"/>
          <w:sz w:val="24"/>
          <w:szCs w:val="24"/>
        </w:rPr>
        <w:t>as não</w:t>
      </w:r>
      <w:proofErr w:type="gramEnd"/>
      <w:r w:rsidRPr="00641C64">
        <w:rPr>
          <w:rFonts w:ascii="Times New Roman" w:eastAsia="Times New Roman" w:hAnsi="Times New Roman" w:cs="Times New Roman"/>
          <w:color w:val="000000" w:themeColor="text1"/>
          <w:sz w:val="24"/>
          <w:szCs w:val="24"/>
        </w:rPr>
        <w:t xml:space="preserve"> migrantes, a distribuição dos indicadores de mobilidade intergeracional por estratos ocupacionais aponta tendências instigantes. Particularmente para as filhas de trabalhadoras domésticas</w:t>
      </w:r>
      <w:r w:rsidR="00836EDF" w:rsidRPr="00641C64">
        <w:rPr>
          <w:rFonts w:ascii="Times New Roman" w:eastAsia="Times New Roman" w:hAnsi="Times New Roman" w:cs="Times New Roman"/>
          <w:color w:val="000000" w:themeColor="text1"/>
          <w:sz w:val="24"/>
          <w:szCs w:val="24"/>
        </w:rPr>
        <w:t>,</w:t>
      </w:r>
      <w:r w:rsidRPr="00641C64">
        <w:rPr>
          <w:rFonts w:ascii="Times New Roman" w:eastAsia="Times New Roman" w:hAnsi="Times New Roman" w:cs="Times New Roman"/>
          <w:color w:val="000000" w:themeColor="text1"/>
          <w:sz w:val="24"/>
          <w:szCs w:val="24"/>
        </w:rPr>
        <w:t xml:space="preserve"> a permanência na localidade de nascimento proporcionou maior ascensão ocupacional em relação à condição materna do que para aquelas que emigraram </w:t>
      </w:r>
      <w:r w:rsidR="005D6642" w:rsidRPr="00641C64">
        <w:rPr>
          <w:rFonts w:ascii="Times New Roman" w:eastAsia="Times New Roman" w:hAnsi="Times New Roman" w:cs="Times New Roman"/>
          <w:color w:val="000000" w:themeColor="text1"/>
          <w:sz w:val="24"/>
          <w:szCs w:val="24"/>
        </w:rPr>
        <w:t>de seus estados de origem</w:t>
      </w:r>
      <w:r w:rsidRPr="00641C64">
        <w:rPr>
          <w:rFonts w:ascii="Times New Roman" w:eastAsia="Times New Roman" w:hAnsi="Times New Roman" w:cs="Times New Roman"/>
          <w:color w:val="000000" w:themeColor="text1"/>
          <w:sz w:val="24"/>
          <w:szCs w:val="24"/>
        </w:rPr>
        <w:t xml:space="preserve">. </w:t>
      </w:r>
      <w:r w:rsidR="008A5CEB" w:rsidRPr="00641C64">
        <w:rPr>
          <w:rFonts w:ascii="Times New Roman" w:eastAsia="Times New Roman" w:hAnsi="Times New Roman" w:cs="Times New Roman"/>
          <w:color w:val="000000" w:themeColor="text1"/>
          <w:sz w:val="24"/>
          <w:szCs w:val="24"/>
        </w:rPr>
        <w:t xml:space="preserve">Isso é uma novidade/achado porque, em outras épocas/décadas, apesar da seletividade no mercado de trabalho no local de destino, para ter mobilidade ocupacional era preciso emigrar. </w:t>
      </w:r>
      <w:r w:rsidRPr="00641C64">
        <w:rPr>
          <w:rFonts w:ascii="Times New Roman" w:eastAsia="Times New Roman" w:hAnsi="Times New Roman" w:cs="Times New Roman"/>
          <w:color w:val="000000" w:themeColor="text1"/>
          <w:sz w:val="24"/>
          <w:szCs w:val="24"/>
        </w:rPr>
        <w:t xml:space="preserve">Seja pelo aumento dos canais de mobilidade ocupacional, maior desenvolvimento nacional e regional, ou pelo baixo estrato materno. </w:t>
      </w:r>
      <w:r w:rsidR="008A5CEB" w:rsidRPr="00641C64">
        <w:rPr>
          <w:rFonts w:ascii="Times New Roman" w:eastAsia="Times New Roman" w:hAnsi="Times New Roman" w:cs="Times New Roman"/>
          <w:color w:val="000000" w:themeColor="text1"/>
          <w:sz w:val="24"/>
          <w:szCs w:val="24"/>
        </w:rPr>
        <w:t xml:space="preserve">Ademais, os resultados apontam que as cifras de mobilidade ocupacional ascendente aumentaram com o tempo de residência das filhas </w:t>
      </w:r>
      <w:r w:rsidRPr="00641C64">
        <w:rPr>
          <w:rFonts w:ascii="Times New Roman" w:eastAsia="Times New Roman" w:hAnsi="Times New Roman" w:cs="Times New Roman"/>
          <w:color w:val="000000" w:themeColor="text1"/>
          <w:sz w:val="24"/>
          <w:szCs w:val="24"/>
        </w:rPr>
        <w:t xml:space="preserve">de trabalhadoras domésticas </w:t>
      </w:r>
      <w:r w:rsidR="008A5CEB" w:rsidRPr="00641C64">
        <w:rPr>
          <w:rFonts w:ascii="Times New Roman" w:eastAsia="Times New Roman" w:hAnsi="Times New Roman" w:cs="Times New Roman"/>
          <w:color w:val="000000" w:themeColor="text1"/>
          <w:sz w:val="24"/>
          <w:szCs w:val="24"/>
        </w:rPr>
        <w:t xml:space="preserve">migrantes, dado que aquelas residentes há 10 anos experimentaram </w:t>
      </w:r>
      <w:r w:rsidRPr="00641C64">
        <w:rPr>
          <w:rFonts w:ascii="Times New Roman" w:eastAsia="Times New Roman" w:hAnsi="Times New Roman" w:cs="Times New Roman"/>
          <w:color w:val="000000" w:themeColor="text1"/>
          <w:sz w:val="24"/>
          <w:szCs w:val="24"/>
        </w:rPr>
        <w:t>maior mobilidade ascendente e</w:t>
      </w:r>
      <w:r w:rsidR="008A5CEB" w:rsidRPr="00641C64">
        <w:rPr>
          <w:rFonts w:ascii="Times New Roman" w:eastAsia="Times New Roman" w:hAnsi="Times New Roman" w:cs="Times New Roman"/>
          <w:color w:val="000000" w:themeColor="text1"/>
          <w:sz w:val="24"/>
          <w:szCs w:val="24"/>
        </w:rPr>
        <w:t xml:space="preserve"> menor imobilidade. </w:t>
      </w:r>
    </w:p>
    <w:p w14:paraId="7CAA5093" w14:textId="45294602" w:rsidR="00CA31D5" w:rsidRPr="00641C64" w:rsidRDefault="0095684B" w:rsidP="00CA31D5">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s="Times New Roman"/>
          <w:color w:val="000000" w:themeColor="text1"/>
          <w:sz w:val="24"/>
          <w:szCs w:val="24"/>
        </w:rPr>
        <w:t xml:space="preserve">Com relação aos resultados regionais, verificou-se que a grande maioria das mulheres que emigraram do Nordeste alcançaram mobilidade intergeracional ascendente na localidade de destino, em 2014. </w:t>
      </w:r>
      <w:r w:rsidR="00CA31D5" w:rsidRPr="00641C64">
        <w:rPr>
          <w:rFonts w:ascii="Times New Roman" w:eastAsia="Times New Roman" w:hAnsi="Times New Roman" w:cs="Times New Roman"/>
          <w:color w:val="000000" w:themeColor="text1"/>
          <w:sz w:val="24"/>
          <w:szCs w:val="24"/>
        </w:rPr>
        <w:t>Por sua vez, no grupo de</w:t>
      </w:r>
      <w:r w:rsidRPr="00641C64">
        <w:rPr>
          <w:rFonts w:ascii="Times New Roman" w:eastAsia="Times New Roman" w:hAnsi="Times New Roman" w:cs="Times New Roman"/>
          <w:color w:val="000000" w:themeColor="text1"/>
          <w:sz w:val="24"/>
          <w:szCs w:val="24"/>
        </w:rPr>
        <w:t xml:space="preserve"> não migrantes, </w:t>
      </w:r>
      <w:r w:rsidR="00CA31D5" w:rsidRPr="00641C64">
        <w:rPr>
          <w:rFonts w:ascii="Times New Roman" w:eastAsia="Times New Roman" w:hAnsi="Times New Roman" w:cs="Times New Roman"/>
          <w:color w:val="000000" w:themeColor="text1"/>
          <w:sz w:val="24"/>
          <w:szCs w:val="24"/>
        </w:rPr>
        <w:t xml:space="preserve">as cifras de mobilidade ascendente foram menores ao passo que a imobilidade foi mais acentuada. Ainda assim, os achados mostram que mais da metade das filhas não migrantes tiveram ascensão ocupacional em relação as suas mães no Nordeste, no período em apreço. Comparado a mobilidade ascendente entre o Brasil e </w:t>
      </w:r>
      <w:r w:rsidR="00836EDF" w:rsidRPr="00641C64">
        <w:rPr>
          <w:rFonts w:ascii="Times New Roman" w:eastAsia="Times New Roman" w:hAnsi="Times New Roman" w:cs="Times New Roman"/>
          <w:color w:val="000000" w:themeColor="text1"/>
          <w:sz w:val="24"/>
          <w:szCs w:val="24"/>
        </w:rPr>
        <w:t xml:space="preserve">o </w:t>
      </w:r>
      <w:r w:rsidR="00CA31D5" w:rsidRPr="00641C64">
        <w:rPr>
          <w:rFonts w:ascii="Times New Roman" w:eastAsia="Times New Roman" w:hAnsi="Times New Roman" w:cs="Times New Roman"/>
          <w:color w:val="000000" w:themeColor="text1"/>
          <w:sz w:val="24"/>
          <w:szCs w:val="24"/>
        </w:rPr>
        <w:t xml:space="preserve">Nordeste, constata-se que a maioria das mulheres obteve ascensão ocupacional em relação as suas mães, independente da condição de migração. </w:t>
      </w:r>
      <w:r w:rsidR="007D2154" w:rsidRPr="00641C64">
        <w:rPr>
          <w:rFonts w:ascii="Times New Roman" w:eastAsia="Times New Roman" w:hAnsi="Times New Roman" w:cs="Times New Roman"/>
          <w:color w:val="000000" w:themeColor="text1"/>
          <w:sz w:val="24"/>
          <w:szCs w:val="24"/>
        </w:rPr>
        <w:t xml:space="preserve">No entanto, as mulheres que emigraram do Nordeste tiveram maior ascensão intergeracional do que as migrantes internas no país. </w:t>
      </w:r>
    </w:p>
    <w:p w14:paraId="2CE21AAE" w14:textId="33C394B1" w:rsidR="000A3E1B" w:rsidRPr="00641C64" w:rsidRDefault="007D2154" w:rsidP="008A5CEB">
      <w:pPr>
        <w:spacing w:after="0" w:line="360" w:lineRule="auto"/>
        <w:ind w:firstLine="709"/>
        <w:jc w:val="both"/>
        <w:rPr>
          <w:rFonts w:ascii="Times New Roman" w:eastAsia="Times New Roman" w:hAnsi="Times New Roman" w:cs="Times New Roman"/>
          <w:color w:val="000000" w:themeColor="text1"/>
          <w:sz w:val="24"/>
          <w:szCs w:val="24"/>
        </w:rPr>
      </w:pPr>
      <w:r w:rsidRPr="00641C64">
        <w:rPr>
          <w:rFonts w:ascii="Times New Roman" w:eastAsia="Times New Roman" w:hAnsi="Times New Roman"/>
          <w:color w:val="000000" w:themeColor="text1"/>
          <w:sz w:val="24"/>
          <w:szCs w:val="24"/>
        </w:rPr>
        <w:t xml:space="preserve">Esses achados </w:t>
      </w:r>
      <w:r w:rsidR="008A5CEB" w:rsidRPr="00641C64">
        <w:rPr>
          <w:rFonts w:ascii="Times New Roman" w:eastAsia="Times New Roman" w:hAnsi="Times New Roman"/>
          <w:color w:val="000000" w:themeColor="text1"/>
          <w:sz w:val="24"/>
          <w:szCs w:val="24"/>
        </w:rPr>
        <w:t>ratifica</w:t>
      </w:r>
      <w:r w:rsidRPr="00641C64">
        <w:rPr>
          <w:rFonts w:ascii="Times New Roman" w:eastAsia="Times New Roman" w:hAnsi="Times New Roman"/>
          <w:color w:val="000000" w:themeColor="text1"/>
          <w:sz w:val="24"/>
          <w:szCs w:val="24"/>
        </w:rPr>
        <w:t>m</w:t>
      </w:r>
      <w:r w:rsidR="008A5CEB" w:rsidRPr="00641C64">
        <w:rPr>
          <w:rFonts w:ascii="Times New Roman" w:eastAsia="Times New Roman" w:hAnsi="Times New Roman"/>
          <w:color w:val="000000" w:themeColor="text1"/>
          <w:sz w:val="24"/>
          <w:szCs w:val="24"/>
        </w:rPr>
        <w:t xml:space="preserve"> a hipótese des</w:t>
      </w:r>
      <w:r w:rsidR="00836EDF" w:rsidRPr="00641C64">
        <w:rPr>
          <w:rFonts w:ascii="Times New Roman" w:eastAsia="Times New Roman" w:hAnsi="Times New Roman"/>
          <w:color w:val="000000" w:themeColor="text1"/>
          <w:sz w:val="24"/>
          <w:szCs w:val="24"/>
        </w:rPr>
        <w:t>s</w:t>
      </w:r>
      <w:r w:rsidR="008A5CEB" w:rsidRPr="00641C64">
        <w:rPr>
          <w:rFonts w:ascii="Times New Roman" w:eastAsia="Times New Roman" w:hAnsi="Times New Roman"/>
          <w:color w:val="000000" w:themeColor="text1"/>
          <w:sz w:val="24"/>
          <w:szCs w:val="24"/>
        </w:rPr>
        <w:t>e estudo</w:t>
      </w:r>
      <w:r w:rsidRPr="00641C64">
        <w:rPr>
          <w:rFonts w:ascii="Times New Roman" w:eastAsia="Times New Roman" w:hAnsi="Times New Roman"/>
          <w:color w:val="000000" w:themeColor="text1"/>
          <w:sz w:val="24"/>
          <w:szCs w:val="24"/>
        </w:rPr>
        <w:t>:</w:t>
      </w:r>
      <w:r w:rsidR="008A5CEB" w:rsidRPr="00641C64">
        <w:rPr>
          <w:rFonts w:ascii="Times New Roman" w:eastAsia="Times New Roman" w:hAnsi="Times New Roman"/>
          <w:color w:val="000000" w:themeColor="text1"/>
          <w:sz w:val="24"/>
          <w:szCs w:val="24"/>
        </w:rPr>
        <w:t xml:space="preserve"> </w:t>
      </w:r>
      <w:r w:rsidR="008A5CEB" w:rsidRPr="00641C64">
        <w:rPr>
          <w:rFonts w:ascii="Times New Roman" w:eastAsia="Times New Roman" w:hAnsi="Times New Roman" w:cs="Times New Roman"/>
          <w:color w:val="000000" w:themeColor="text1"/>
          <w:sz w:val="24"/>
          <w:szCs w:val="24"/>
        </w:rPr>
        <w:t xml:space="preserve">expressiva parcela das filhas que empreenderam migração logrou mobilidade intergeracional ascendente. </w:t>
      </w:r>
      <w:r w:rsidR="000A3E1B" w:rsidRPr="00641C64">
        <w:rPr>
          <w:rFonts w:ascii="Times New Roman" w:eastAsia="Times New Roman" w:hAnsi="Times New Roman"/>
          <w:color w:val="000000" w:themeColor="text1"/>
          <w:sz w:val="24"/>
          <w:szCs w:val="24"/>
        </w:rPr>
        <w:t xml:space="preserve">Supõe-se que esses resultados são reflexos do fortalecimento das políticas públicas, do aumento do estoque de empregos formais, da ampliação e interiorização do </w:t>
      </w:r>
      <w:r w:rsidR="007D69F7" w:rsidRPr="00641C64">
        <w:rPr>
          <w:rFonts w:ascii="Times New Roman" w:eastAsia="Times New Roman" w:hAnsi="Times New Roman"/>
          <w:color w:val="000000" w:themeColor="text1"/>
          <w:sz w:val="24"/>
          <w:szCs w:val="24"/>
        </w:rPr>
        <w:t>ensino básico, técnico e formal. Além</w:t>
      </w:r>
      <w:r w:rsidR="000A3E1B" w:rsidRPr="00641C64">
        <w:rPr>
          <w:rFonts w:ascii="Times New Roman" w:eastAsia="Times New Roman" w:hAnsi="Times New Roman"/>
          <w:color w:val="000000" w:themeColor="text1"/>
          <w:sz w:val="24"/>
          <w:szCs w:val="24"/>
        </w:rPr>
        <w:t xml:space="preserve"> da política de valorização salarial, dos programas e </w:t>
      </w:r>
      <w:r w:rsidR="000A3E1B" w:rsidRPr="00641C64">
        <w:rPr>
          <w:rFonts w:ascii="Times New Roman" w:eastAsia="Times New Roman" w:hAnsi="Times New Roman" w:cs="Times New Roman"/>
          <w:color w:val="000000" w:themeColor="text1"/>
          <w:sz w:val="24"/>
          <w:szCs w:val="24"/>
        </w:rPr>
        <w:t>ações redistributivas, compensatórias e afirmativas</w:t>
      </w:r>
      <w:r w:rsidR="000A3E1B" w:rsidRPr="00641C64">
        <w:rPr>
          <w:rFonts w:ascii="Times New Roman" w:eastAsia="Times New Roman" w:hAnsi="Times New Roman"/>
          <w:color w:val="000000" w:themeColor="text1"/>
          <w:sz w:val="24"/>
          <w:szCs w:val="24"/>
        </w:rPr>
        <w:t xml:space="preserve"> que possibilitaram novas oportunidades e direções para os fluxos migratórios, especialmente entre 2003 a 2014.</w:t>
      </w:r>
    </w:p>
    <w:p w14:paraId="792641AD" w14:textId="7E190F6A" w:rsidR="000A3E1B" w:rsidRPr="00641C64" w:rsidRDefault="000A3E1B" w:rsidP="006C7812">
      <w:pPr>
        <w:spacing w:after="0" w:line="360" w:lineRule="auto"/>
        <w:ind w:firstLine="709"/>
        <w:jc w:val="both"/>
        <w:rPr>
          <w:rFonts w:ascii="Times New Roman" w:eastAsia="Times New Roman" w:hAnsi="Times New Roman"/>
          <w:color w:val="000000" w:themeColor="text1"/>
          <w:sz w:val="24"/>
          <w:szCs w:val="24"/>
        </w:rPr>
      </w:pPr>
      <w:r w:rsidRPr="00641C64">
        <w:rPr>
          <w:rFonts w:ascii="Times New Roman" w:eastAsia="Times New Roman" w:hAnsi="Times New Roman" w:cs="Times New Roman"/>
          <w:color w:val="000000" w:themeColor="text1"/>
          <w:sz w:val="24"/>
          <w:szCs w:val="24"/>
        </w:rPr>
        <w:lastRenderedPageBreak/>
        <w:t xml:space="preserve">Em suma, </w:t>
      </w:r>
      <w:r w:rsidRPr="00641C64">
        <w:rPr>
          <w:rFonts w:ascii="Times New Roman" w:eastAsia="Times New Roman" w:hAnsi="Times New Roman"/>
          <w:color w:val="000000" w:themeColor="text1"/>
          <w:sz w:val="24"/>
          <w:szCs w:val="24"/>
        </w:rPr>
        <w:t>os resultados des</w:t>
      </w:r>
      <w:r w:rsidR="00836EDF" w:rsidRPr="00641C64">
        <w:rPr>
          <w:rFonts w:ascii="Times New Roman" w:eastAsia="Times New Roman" w:hAnsi="Times New Roman"/>
          <w:color w:val="000000" w:themeColor="text1"/>
          <w:sz w:val="24"/>
          <w:szCs w:val="24"/>
        </w:rPr>
        <w:t>s</w:t>
      </w:r>
      <w:r w:rsidRPr="00641C64">
        <w:rPr>
          <w:rFonts w:ascii="Times New Roman" w:eastAsia="Times New Roman" w:hAnsi="Times New Roman"/>
          <w:color w:val="000000" w:themeColor="text1"/>
          <w:sz w:val="24"/>
          <w:szCs w:val="24"/>
        </w:rPr>
        <w:t>e estudo evidenciam a importância das mudanças sociais e inclusivas, ao longo da última década do século XX (com destaque para o início do século XXI), sobre as possibilidades de ascensão intergeracional</w:t>
      </w:r>
      <w:r w:rsidR="006C7812" w:rsidRPr="00641C64">
        <w:rPr>
          <w:rFonts w:ascii="Times New Roman" w:eastAsia="Times New Roman" w:hAnsi="Times New Roman"/>
          <w:color w:val="000000" w:themeColor="text1"/>
          <w:sz w:val="24"/>
          <w:szCs w:val="24"/>
        </w:rPr>
        <w:t xml:space="preserve">. </w:t>
      </w:r>
      <w:r w:rsidR="006C7812" w:rsidRPr="00641C64">
        <w:rPr>
          <w:rFonts w:ascii="Times New Roman" w:eastAsia="Times New Roman" w:hAnsi="Times New Roman" w:cs="Times New Roman"/>
          <w:color w:val="000000" w:themeColor="text1"/>
          <w:sz w:val="24"/>
          <w:szCs w:val="24"/>
        </w:rPr>
        <w:t>No entanto</w:t>
      </w:r>
      <w:r w:rsidRPr="00641C64">
        <w:rPr>
          <w:rFonts w:ascii="Times New Roman" w:eastAsia="Times New Roman" w:hAnsi="Times New Roman" w:cs="Times New Roman"/>
          <w:color w:val="000000" w:themeColor="text1"/>
          <w:sz w:val="24"/>
          <w:szCs w:val="24"/>
        </w:rPr>
        <w:t>, a partir de 2015, estudos recentes, com outras bases de dados e outros objetivos, evidenciam reversão desse período de desenvolvimento inclusivo</w:t>
      </w:r>
      <w:r w:rsidR="007D69F7" w:rsidRPr="00641C64">
        <w:rPr>
          <w:rFonts w:ascii="Times New Roman" w:eastAsia="Times New Roman" w:hAnsi="Times New Roman" w:cs="Times New Roman"/>
          <w:color w:val="000000" w:themeColor="text1"/>
          <w:sz w:val="24"/>
          <w:szCs w:val="24"/>
        </w:rPr>
        <w:t>. Observou-se</w:t>
      </w:r>
      <w:r w:rsidR="00836EDF" w:rsidRPr="00641C64">
        <w:rPr>
          <w:rFonts w:ascii="Times New Roman" w:eastAsia="Times New Roman" w:hAnsi="Times New Roman" w:cs="Times New Roman"/>
          <w:color w:val="000000" w:themeColor="text1"/>
          <w:sz w:val="24"/>
          <w:szCs w:val="24"/>
        </w:rPr>
        <w:t xml:space="preserve"> </w:t>
      </w:r>
      <w:r w:rsidRPr="00641C64">
        <w:rPr>
          <w:rFonts w:ascii="Times New Roman" w:eastAsia="Times New Roman" w:hAnsi="Times New Roman" w:cs="Times New Roman"/>
          <w:color w:val="000000" w:themeColor="text1"/>
          <w:sz w:val="24"/>
          <w:szCs w:val="24"/>
        </w:rPr>
        <w:t>a</w:t>
      </w:r>
      <w:r w:rsidR="006C7812" w:rsidRPr="00641C64">
        <w:rPr>
          <w:rFonts w:ascii="Times New Roman" w:eastAsia="Times New Roman" w:hAnsi="Times New Roman"/>
          <w:color w:val="000000" w:themeColor="text1"/>
          <w:sz w:val="24"/>
          <w:szCs w:val="24"/>
        </w:rPr>
        <w:t>umento da taxa de desemprego,</w:t>
      </w:r>
      <w:r w:rsidRPr="00641C64">
        <w:rPr>
          <w:rFonts w:ascii="Times New Roman" w:eastAsia="Times New Roman" w:hAnsi="Times New Roman"/>
          <w:color w:val="000000" w:themeColor="text1"/>
          <w:sz w:val="24"/>
          <w:szCs w:val="24"/>
        </w:rPr>
        <w:t xml:space="preserve"> </w:t>
      </w:r>
      <w:r w:rsidR="006C7812" w:rsidRPr="00641C64">
        <w:rPr>
          <w:rFonts w:ascii="Times New Roman" w:eastAsia="Times New Roman" w:hAnsi="Times New Roman" w:cs="Times New Roman"/>
          <w:color w:val="000000" w:themeColor="text1"/>
          <w:sz w:val="24"/>
          <w:szCs w:val="24"/>
        </w:rPr>
        <w:t xml:space="preserve">do </w:t>
      </w:r>
      <w:r w:rsidRPr="00641C64">
        <w:rPr>
          <w:rFonts w:ascii="Times New Roman" w:eastAsia="Times New Roman" w:hAnsi="Times New Roman"/>
          <w:color w:val="000000" w:themeColor="text1"/>
          <w:sz w:val="24"/>
          <w:szCs w:val="24"/>
        </w:rPr>
        <w:t>número de p</w:t>
      </w:r>
      <w:r w:rsidR="006C7812" w:rsidRPr="00641C64">
        <w:rPr>
          <w:rFonts w:ascii="Times New Roman" w:eastAsia="Times New Roman" w:hAnsi="Times New Roman"/>
          <w:color w:val="000000" w:themeColor="text1"/>
          <w:sz w:val="24"/>
          <w:szCs w:val="24"/>
        </w:rPr>
        <w:t>essoas em situação de desalento, de</w:t>
      </w:r>
      <w:r w:rsidRPr="00641C64">
        <w:rPr>
          <w:rFonts w:ascii="Times New Roman" w:eastAsia="Times New Roman" w:hAnsi="Times New Roman"/>
          <w:color w:val="000000" w:themeColor="text1"/>
          <w:sz w:val="24"/>
          <w:szCs w:val="24"/>
        </w:rPr>
        <w:t xml:space="preserve"> trabalhadores por conta própria, trabalhadores informais, </w:t>
      </w:r>
      <w:r w:rsidR="006C7812" w:rsidRPr="00641C64">
        <w:rPr>
          <w:rFonts w:ascii="Times New Roman" w:eastAsia="Times New Roman" w:hAnsi="Times New Roman"/>
          <w:color w:val="000000" w:themeColor="text1"/>
          <w:sz w:val="24"/>
          <w:szCs w:val="24"/>
        </w:rPr>
        <w:t xml:space="preserve">elevação do </w:t>
      </w:r>
      <w:r w:rsidRPr="00641C64">
        <w:rPr>
          <w:rFonts w:ascii="Times New Roman" w:eastAsia="Times New Roman" w:hAnsi="Times New Roman"/>
          <w:color w:val="000000" w:themeColor="text1"/>
          <w:sz w:val="24"/>
          <w:szCs w:val="24"/>
        </w:rPr>
        <w:t>quantitativo de pesso</w:t>
      </w:r>
      <w:r w:rsidR="006C7812" w:rsidRPr="00641C64">
        <w:rPr>
          <w:rFonts w:ascii="Times New Roman" w:eastAsia="Times New Roman" w:hAnsi="Times New Roman"/>
          <w:color w:val="000000" w:themeColor="text1"/>
          <w:sz w:val="24"/>
          <w:szCs w:val="24"/>
        </w:rPr>
        <w:t>as na pobreza e extrema pobreza</w:t>
      </w:r>
      <w:r w:rsidRPr="00641C64">
        <w:rPr>
          <w:rFonts w:ascii="Times New Roman" w:eastAsia="Times New Roman" w:hAnsi="Times New Roman" w:cs="Times New Roman"/>
          <w:color w:val="000000" w:themeColor="text1"/>
          <w:sz w:val="24"/>
          <w:szCs w:val="24"/>
        </w:rPr>
        <w:t xml:space="preserve">. </w:t>
      </w:r>
      <w:r w:rsidR="006C7812" w:rsidRPr="00641C64">
        <w:rPr>
          <w:rFonts w:ascii="Times New Roman" w:eastAsia="Times New Roman" w:hAnsi="Times New Roman" w:cs="Times New Roman"/>
          <w:color w:val="000000" w:themeColor="text1"/>
          <w:sz w:val="24"/>
          <w:szCs w:val="24"/>
        </w:rPr>
        <w:t>Esse</w:t>
      </w:r>
      <w:r w:rsidRPr="00641C64">
        <w:rPr>
          <w:rFonts w:ascii="Times New Roman" w:eastAsia="Times New Roman" w:hAnsi="Times New Roman" w:cs="Times New Roman"/>
          <w:color w:val="000000" w:themeColor="text1"/>
          <w:sz w:val="24"/>
          <w:szCs w:val="24"/>
        </w:rPr>
        <w:t xml:space="preserve"> cenário de crise</w:t>
      </w:r>
      <w:r w:rsidR="006C7812" w:rsidRPr="00641C64">
        <w:rPr>
          <w:rFonts w:ascii="Times New Roman" w:eastAsia="Times New Roman" w:hAnsi="Times New Roman" w:cs="Times New Roman"/>
          <w:color w:val="000000" w:themeColor="text1"/>
          <w:sz w:val="24"/>
          <w:szCs w:val="24"/>
        </w:rPr>
        <w:t xml:space="preserve"> política e recessão econômica </w:t>
      </w:r>
      <w:r w:rsidRPr="00641C64">
        <w:rPr>
          <w:rFonts w:ascii="Times New Roman" w:eastAsia="Times New Roman" w:hAnsi="Times New Roman" w:cs="Times New Roman"/>
          <w:color w:val="000000" w:themeColor="text1"/>
          <w:sz w:val="24"/>
          <w:szCs w:val="24"/>
        </w:rPr>
        <w:t xml:space="preserve">coloca em xeque os ganhos </w:t>
      </w:r>
      <w:r w:rsidR="006C7812" w:rsidRPr="00641C64">
        <w:rPr>
          <w:rFonts w:ascii="Times New Roman" w:eastAsia="Times New Roman" w:hAnsi="Times New Roman" w:cs="Times New Roman"/>
          <w:color w:val="000000" w:themeColor="text1"/>
          <w:sz w:val="24"/>
          <w:szCs w:val="24"/>
        </w:rPr>
        <w:t>verificados entre 2003 e 2014</w:t>
      </w:r>
      <w:r w:rsidRPr="00641C64">
        <w:rPr>
          <w:rFonts w:ascii="Times New Roman" w:eastAsia="Times New Roman" w:hAnsi="Times New Roman" w:cs="Times New Roman"/>
          <w:color w:val="000000" w:themeColor="text1"/>
          <w:sz w:val="24"/>
          <w:szCs w:val="24"/>
        </w:rPr>
        <w:t>.</w:t>
      </w:r>
    </w:p>
    <w:p w14:paraId="4BB27A17" w14:textId="77777777" w:rsidR="000A3E1B" w:rsidRPr="00641C64" w:rsidRDefault="000A3E1B">
      <w:pPr>
        <w:spacing w:after="0" w:line="240" w:lineRule="auto"/>
        <w:jc w:val="both"/>
        <w:rPr>
          <w:rFonts w:ascii="Times New Roman" w:hAnsi="Times New Roman" w:cs="Times New Roman"/>
          <w:b/>
          <w:bCs/>
          <w:color w:val="000000" w:themeColor="text1"/>
          <w:sz w:val="24"/>
          <w:szCs w:val="24"/>
        </w:rPr>
      </w:pPr>
    </w:p>
    <w:p w14:paraId="15112F1D" w14:textId="77777777" w:rsidR="0065191D" w:rsidRPr="00641C64" w:rsidRDefault="00747E1A" w:rsidP="006E0A1E">
      <w:pPr>
        <w:spacing w:after="0" w:line="240" w:lineRule="auto"/>
        <w:jc w:val="both"/>
        <w:rPr>
          <w:rFonts w:ascii="Times New Roman" w:hAnsi="Times New Roman" w:cs="Times New Roman"/>
          <w:b/>
          <w:bCs/>
          <w:color w:val="000000" w:themeColor="text1"/>
          <w:sz w:val="24"/>
          <w:szCs w:val="24"/>
        </w:rPr>
      </w:pPr>
      <w:r w:rsidRPr="00641C64">
        <w:rPr>
          <w:rFonts w:ascii="Times New Roman" w:hAnsi="Times New Roman" w:cs="Times New Roman"/>
          <w:b/>
          <w:bCs/>
          <w:color w:val="000000" w:themeColor="text1"/>
          <w:sz w:val="24"/>
          <w:szCs w:val="24"/>
        </w:rPr>
        <w:t>REFERÊNCIAS</w:t>
      </w:r>
    </w:p>
    <w:p w14:paraId="4F492E72" w14:textId="77777777" w:rsidR="0065191D" w:rsidRPr="00641C64" w:rsidRDefault="0065191D" w:rsidP="006E0A1E">
      <w:pPr>
        <w:spacing w:after="0" w:line="240" w:lineRule="auto"/>
        <w:jc w:val="both"/>
        <w:rPr>
          <w:rFonts w:ascii="Times New Roman" w:hAnsi="Times New Roman" w:cs="Times New Roman"/>
          <w:color w:val="000000" w:themeColor="text1"/>
          <w:sz w:val="24"/>
          <w:szCs w:val="24"/>
        </w:rPr>
      </w:pPr>
    </w:p>
    <w:p w14:paraId="3437B3C5"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ANDRADE, Flávia Cristina Drumond. </w:t>
      </w:r>
      <w:r w:rsidRPr="00641C64">
        <w:rPr>
          <w:rFonts w:ascii="Times New Roman" w:hAnsi="Times New Roman" w:cs="Times New Roman"/>
          <w:b/>
          <w:bCs/>
          <w:color w:val="000000" w:themeColor="text1"/>
          <w:sz w:val="24"/>
          <w:szCs w:val="24"/>
          <w:lang w:eastAsia="pt-BR"/>
        </w:rPr>
        <w:t>Níveis e padrões de mobilidade social em cinco regiões metropolitanas</w:t>
      </w:r>
      <w:r w:rsidRPr="00641C64">
        <w:rPr>
          <w:rFonts w:ascii="Times New Roman" w:hAnsi="Times New Roman" w:cs="Times New Roman"/>
          <w:color w:val="000000" w:themeColor="text1"/>
          <w:sz w:val="24"/>
          <w:szCs w:val="24"/>
          <w:lang w:eastAsia="pt-BR"/>
        </w:rPr>
        <w:t xml:space="preserve">, 1997. Dissertação (Mestrado em Demografia) – Universidade Federal de Minas Gerais, Belo Horizonte, 1997. </w:t>
      </w:r>
    </w:p>
    <w:p w14:paraId="3DB14F3C"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37E8EC38" w14:textId="57F84BE1"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ANDRADE, Flávia Cristina Drumond; RODRIGUES, Roberto Nascimento. Mobilidade Social na Região Metropolitana de Belo Horizonte.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ENCONTRO DE ESTUDOS POPULACIONAIS, 10</w:t>
      </w:r>
      <w:proofErr w:type="gramStart"/>
      <w:r w:rsidRPr="00641C64">
        <w:rPr>
          <w:rFonts w:ascii="Times New Roman" w:hAnsi="Times New Roman" w:cs="Times New Roman"/>
          <w:color w:val="000000" w:themeColor="text1"/>
          <w:sz w:val="24"/>
          <w:szCs w:val="24"/>
          <w:lang w:eastAsia="pt-BR"/>
        </w:rPr>
        <w:t>.,</w:t>
      </w:r>
      <w:proofErr w:type="gramEnd"/>
      <w:r w:rsidRPr="00641C64">
        <w:rPr>
          <w:rFonts w:ascii="Times New Roman" w:hAnsi="Times New Roman" w:cs="Times New Roman"/>
          <w:color w:val="000000" w:themeColor="text1"/>
          <w:sz w:val="24"/>
          <w:szCs w:val="24"/>
          <w:lang w:eastAsia="pt-BR"/>
        </w:rPr>
        <w:t xml:space="preserve"> 1996, Caxambu. </w:t>
      </w:r>
      <w:r w:rsidRPr="00641C64">
        <w:rPr>
          <w:rFonts w:ascii="Times New Roman" w:hAnsi="Times New Roman" w:cs="Times New Roman"/>
          <w:b/>
          <w:bCs/>
          <w:color w:val="000000" w:themeColor="text1"/>
          <w:sz w:val="24"/>
          <w:szCs w:val="24"/>
          <w:lang w:eastAsia="pt-BR"/>
        </w:rPr>
        <w:t xml:space="preserve">Anais </w:t>
      </w:r>
      <w:r w:rsidRPr="00641C64">
        <w:rPr>
          <w:rFonts w:ascii="Times New Roman" w:hAnsi="Times New Roman" w:cs="Times New Roman"/>
          <w:color w:val="000000" w:themeColor="text1"/>
          <w:sz w:val="24"/>
          <w:szCs w:val="24"/>
          <w:lang w:eastAsia="pt-BR"/>
        </w:rPr>
        <w:t xml:space="preserve">[...]. Caxambu, 1996. </w:t>
      </w:r>
      <w:proofErr w:type="gramStart"/>
      <w:r w:rsidRPr="00641C64">
        <w:rPr>
          <w:rFonts w:ascii="Times New Roman" w:hAnsi="Times New Roman" w:cs="Times New Roman"/>
          <w:color w:val="000000" w:themeColor="text1"/>
          <w:sz w:val="24"/>
          <w:szCs w:val="24"/>
          <w:lang w:eastAsia="pt-BR"/>
        </w:rPr>
        <w:t>p.</w:t>
      </w:r>
      <w:proofErr w:type="gramEnd"/>
      <w:r w:rsidRPr="00641C64">
        <w:rPr>
          <w:rFonts w:ascii="Times New Roman" w:hAnsi="Times New Roman" w:cs="Times New Roman"/>
          <w:color w:val="000000" w:themeColor="text1"/>
          <w:sz w:val="24"/>
          <w:szCs w:val="24"/>
          <w:lang w:eastAsia="pt-BR"/>
        </w:rPr>
        <w:t xml:space="preserve"> 407-435.</w:t>
      </w:r>
    </w:p>
    <w:p w14:paraId="563993ED"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641E6584"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ARAUJO, Tania Bacelar. Nordeste: desenvolvimento recente e perspectivas.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xml:space="preserve">: GUIMARÃES, Paulo Ferraz; </w:t>
      </w:r>
      <w:proofErr w:type="gramStart"/>
      <w:r w:rsidRPr="00641C64">
        <w:rPr>
          <w:rFonts w:ascii="Times New Roman" w:hAnsi="Times New Roman" w:cs="Times New Roman"/>
          <w:color w:val="000000" w:themeColor="text1"/>
          <w:sz w:val="24"/>
          <w:szCs w:val="24"/>
          <w:lang w:eastAsia="pt-BR"/>
        </w:rPr>
        <w:t>LASTRES,</w:t>
      </w:r>
      <w:proofErr w:type="gramEnd"/>
      <w:r w:rsidRPr="00641C64">
        <w:rPr>
          <w:rFonts w:ascii="Times New Roman" w:hAnsi="Times New Roman" w:cs="Times New Roman"/>
          <w:color w:val="000000" w:themeColor="text1"/>
          <w:sz w:val="24"/>
          <w:szCs w:val="24"/>
          <w:lang w:eastAsia="pt-BR"/>
        </w:rPr>
        <w:t xml:space="preserve"> Helena; AGUIAR, Rodrigo; SILVA, Marcelo Machado da. (org.). </w:t>
      </w:r>
      <w:r w:rsidRPr="00641C64">
        <w:rPr>
          <w:rFonts w:ascii="Times New Roman" w:hAnsi="Times New Roman" w:cs="Times New Roman"/>
          <w:b/>
          <w:bCs/>
          <w:color w:val="000000" w:themeColor="text1"/>
          <w:sz w:val="24"/>
          <w:szCs w:val="24"/>
          <w:lang w:eastAsia="pt-BR"/>
        </w:rPr>
        <w:t xml:space="preserve">Um olhar territorial para o desenvolvimento </w:t>
      </w:r>
      <w:r w:rsidRPr="00641C64">
        <w:rPr>
          <w:rFonts w:ascii="Times New Roman" w:hAnsi="Times New Roman" w:cs="Times New Roman"/>
          <w:color w:val="000000" w:themeColor="text1"/>
          <w:sz w:val="24"/>
          <w:szCs w:val="24"/>
          <w:lang w:eastAsia="pt-BR"/>
        </w:rPr>
        <w:t xml:space="preserve">- Nordeste. Rio de Janeiro: BNDES, 1° edição, v. 1, 2014. </w:t>
      </w:r>
      <w:proofErr w:type="gramStart"/>
      <w:r w:rsidRPr="00641C64">
        <w:rPr>
          <w:rFonts w:ascii="Times New Roman" w:hAnsi="Times New Roman" w:cs="Times New Roman"/>
          <w:color w:val="000000" w:themeColor="text1"/>
          <w:sz w:val="24"/>
          <w:szCs w:val="24"/>
          <w:lang w:eastAsia="pt-BR"/>
        </w:rPr>
        <w:t>p.</w:t>
      </w:r>
      <w:proofErr w:type="gramEnd"/>
      <w:r w:rsidRPr="00641C64">
        <w:rPr>
          <w:rFonts w:ascii="Times New Roman" w:hAnsi="Times New Roman" w:cs="Times New Roman"/>
          <w:color w:val="000000" w:themeColor="text1"/>
          <w:sz w:val="24"/>
          <w:szCs w:val="24"/>
          <w:lang w:eastAsia="pt-BR"/>
        </w:rPr>
        <w:t xml:space="preserve"> 540-562. </w:t>
      </w:r>
    </w:p>
    <w:p w14:paraId="768CAA60"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7D29739B"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BAENINGER, Rosana. Migrações Internas no Brasil no século 21: entre o local e o global.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ENCONTRO NACIONAL DE ESTUDOS POPULACIONAIS, 18</w:t>
      </w:r>
      <w:proofErr w:type="gramStart"/>
      <w:r w:rsidRPr="00641C64">
        <w:rPr>
          <w:rFonts w:ascii="Times New Roman" w:hAnsi="Times New Roman" w:cs="Times New Roman"/>
          <w:color w:val="000000" w:themeColor="text1"/>
          <w:sz w:val="24"/>
          <w:szCs w:val="24"/>
          <w:lang w:eastAsia="pt-BR"/>
        </w:rPr>
        <w:t>.,</w:t>
      </w:r>
      <w:proofErr w:type="gramEnd"/>
      <w:r w:rsidRPr="00641C64">
        <w:rPr>
          <w:rFonts w:ascii="Times New Roman" w:hAnsi="Times New Roman" w:cs="Times New Roman"/>
          <w:color w:val="000000" w:themeColor="text1"/>
          <w:sz w:val="24"/>
          <w:szCs w:val="24"/>
          <w:lang w:eastAsia="pt-BR"/>
        </w:rPr>
        <w:t xml:space="preserve"> 2012, Águas de Lindóia. </w:t>
      </w:r>
      <w:r w:rsidRPr="00641C64">
        <w:rPr>
          <w:rFonts w:ascii="Times New Roman" w:hAnsi="Times New Roman" w:cs="Times New Roman"/>
          <w:b/>
          <w:bCs/>
          <w:color w:val="000000" w:themeColor="text1"/>
          <w:sz w:val="24"/>
          <w:szCs w:val="24"/>
          <w:lang w:eastAsia="pt-BR"/>
        </w:rPr>
        <w:t xml:space="preserve">Anais </w:t>
      </w:r>
      <w:r w:rsidRPr="00641C64">
        <w:rPr>
          <w:rFonts w:ascii="Times New Roman" w:hAnsi="Times New Roman" w:cs="Times New Roman"/>
          <w:color w:val="000000" w:themeColor="text1"/>
          <w:sz w:val="24"/>
          <w:szCs w:val="24"/>
          <w:lang w:eastAsia="pt-BR"/>
        </w:rPr>
        <w:t xml:space="preserve">[...]. Águas de Lindóia, 2012. </w:t>
      </w:r>
    </w:p>
    <w:p w14:paraId="455B2809"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79ECD0D9" w14:textId="06549960"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BALTAR, Paulo; LEONE, Eugenia. Perspectivas para o mercado de trabalho após o crescimento com inclusão social. </w:t>
      </w:r>
      <w:r w:rsidRPr="00641C64">
        <w:rPr>
          <w:rFonts w:ascii="Times New Roman" w:hAnsi="Times New Roman" w:cs="Times New Roman"/>
          <w:b/>
          <w:bCs/>
          <w:color w:val="000000" w:themeColor="text1"/>
          <w:sz w:val="24"/>
          <w:szCs w:val="24"/>
          <w:lang w:eastAsia="pt-BR"/>
        </w:rPr>
        <w:t>Estudos Avançados</w:t>
      </w:r>
      <w:r w:rsidRPr="00641C64">
        <w:rPr>
          <w:rFonts w:ascii="Times New Roman" w:hAnsi="Times New Roman" w:cs="Times New Roman"/>
          <w:color w:val="000000" w:themeColor="text1"/>
          <w:sz w:val="24"/>
          <w:szCs w:val="24"/>
          <w:lang w:eastAsia="pt-BR"/>
        </w:rPr>
        <w:t>, v. 29, n. 85, p. 53-67, 2015.</w:t>
      </w:r>
    </w:p>
    <w:p w14:paraId="0BF57CB3"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63BD8CCF" w14:textId="312D6178"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CAMARANO, Ana Amélia; ABRAMOVAY, Ricardo. </w:t>
      </w:r>
      <w:r w:rsidRPr="00641C64">
        <w:rPr>
          <w:rFonts w:ascii="Times New Roman" w:hAnsi="Times New Roman" w:cs="Times New Roman"/>
          <w:b/>
          <w:bCs/>
          <w:color w:val="000000" w:themeColor="text1"/>
          <w:sz w:val="24"/>
          <w:szCs w:val="24"/>
        </w:rPr>
        <w:t>Êxodo rural, envelhecimento e masculinização no Brasil</w:t>
      </w:r>
      <w:r w:rsidRPr="00641C64">
        <w:rPr>
          <w:rFonts w:ascii="Times New Roman" w:hAnsi="Times New Roman" w:cs="Times New Roman"/>
          <w:color w:val="000000" w:themeColor="text1"/>
          <w:sz w:val="24"/>
          <w:szCs w:val="24"/>
        </w:rPr>
        <w:t>: panorama nos últimos 50 anos. Rio de Janeiro: IPEA. Texto para Discussão, n. 621, jan. 1999.</w:t>
      </w:r>
    </w:p>
    <w:p w14:paraId="350110C9"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04EDC0D8" w14:textId="52876B4E"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s-AR"/>
        </w:rPr>
      </w:pPr>
      <w:r w:rsidRPr="00641C64">
        <w:rPr>
          <w:rFonts w:ascii="Times New Roman" w:hAnsi="Times New Roman" w:cs="Times New Roman"/>
          <w:noProof/>
          <w:color w:val="000000" w:themeColor="text1"/>
          <w:sz w:val="24"/>
          <w:szCs w:val="24"/>
          <w:lang w:val="es-AR"/>
        </w:rPr>
        <w:t xml:space="preserve">DALLE, Pablo. Movilidad Social Intergeneracional em Argentina: oportunidades sin apertura de la estructura de clases. </w:t>
      </w:r>
      <w:r w:rsidRPr="00641C64">
        <w:rPr>
          <w:rFonts w:ascii="Times New Roman" w:hAnsi="Times New Roman" w:cs="Times New Roman"/>
          <w:b/>
          <w:bCs/>
          <w:noProof/>
          <w:color w:val="000000" w:themeColor="text1"/>
          <w:sz w:val="24"/>
          <w:szCs w:val="24"/>
          <w:lang w:val="es-AR"/>
        </w:rPr>
        <w:t>Revista de Ciencias Sociales</w:t>
      </w:r>
      <w:r w:rsidRPr="00641C64">
        <w:rPr>
          <w:rFonts w:ascii="Times New Roman" w:hAnsi="Times New Roman" w:cs="Times New Roman"/>
          <w:noProof/>
          <w:color w:val="000000" w:themeColor="text1"/>
          <w:sz w:val="24"/>
          <w:szCs w:val="24"/>
          <w:lang w:val="es-AR"/>
        </w:rPr>
        <w:t>, DS-FCS, v. 28, n. 37, p. 139-165, jul./dic. 2015.</w:t>
      </w:r>
    </w:p>
    <w:p w14:paraId="302C8234"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6CE044AE" w14:textId="0B11913B"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s-AR"/>
        </w:rPr>
      </w:pPr>
      <w:r w:rsidRPr="00641C64">
        <w:rPr>
          <w:rFonts w:ascii="Times New Roman" w:hAnsi="Times New Roman" w:cs="Times New Roman"/>
          <w:noProof/>
          <w:color w:val="000000" w:themeColor="text1"/>
          <w:sz w:val="24"/>
          <w:szCs w:val="24"/>
          <w:lang w:val="es-AR"/>
        </w:rPr>
        <w:t xml:space="preserve">DÍAZ, Guillermo. Estratificación y movilidad social en Guatemala. </w:t>
      </w:r>
      <w:r w:rsidRPr="00641C64">
        <w:rPr>
          <w:rFonts w:ascii="Times New Roman" w:hAnsi="Times New Roman" w:cs="Times New Roman"/>
          <w:b/>
          <w:bCs/>
          <w:noProof/>
          <w:color w:val="000000" w:themeColor="text1"/>
          <w:sz w:val="24"/>
          <w:szCs w:val="24"/>
          <w:lang w:val="es-AR"/>
        </w:rPr>
        <w:t>Revista Electrónica Nova Scientia</w:t>
      </w:r>
      <w:r w:rsidRPr="00641C64">
        <w:rPr>
          <w:rFonts w:ascii="Times New Roman" w:hAnsi="Times New Roman" w:cs="Times New Roman"/>
          <w:noProof/>
          <w:color w:val="000000" w:themeColor="text1"/>
          <w:sz w:val="24"/>
          <w:szCs w:val="24"/>
          <w:lang w:val="es-AR"/>
        </w:rPr>
        <w:t>, v. 4 (1), n. 7, p. 205–236, 2011. ISSN 2007 - 0705.</w:t>
      </w:r>
    </w:p>
    <w:p w14:paraId="3BFD4D7D"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7F929211" w14:textId="0CB295A0" w:rsidR="0048581C" w:rsidRPr="00641C64" w:rsidRDefault="0048581C" w:rsidP="006E0A1E">
      <w:pPr>
        <w:spacing w:after="0" w:line="240" w:lineRule="auto"/>
        <w:jc w:val="both"/>
        <w:rPr>
          <w:rFonts w:ascii="Times New Roman" w:hAnsi="Times New Roman" w:cs="Times New Roman"/>
          <w:noProof/>
          <w:color w:val="000000" w:themeColor="text1"/>
          <w:sz w:val="24"/>
          <w:szCs w:val="24"/>
        </w:rPr>
      </w:pPr>
      <w:r w:rsidRPr="00641C64">
        <w:rPr>
          <w:rFonts w:ascii="Times New Roman" w:hAnsi="Times New Roman" w:cs="Times New Roman"/>
          <w:noProof/>
          <w:color w:val="000000" w:themeColor="text1"/>
          <w:sz w:val="24"/>
          <w:szCs w:val="24"/>
        </w:rPr>
        <w:t xml:space="preserve">DOTA, Ednelson Mariano; QUEIROZ, Silvana Nunes. Migração interna em tempos de crise no Brasil. </w:t>
      </w:r>
      <w:r w:rsidRPr="00641C64">
        <w:rPr>
          <w:rFonts w:ascii="Times New Roman" w:hAnsi="Times New Roman" w:cs="Times New Roman"/>
          <w:b/>
          <w:bCs/>
          <w:noProof/>
          <w:color w:val="000000" w:themeColor="text1"/>
          <w:sz w:val="24"/>
          <w:szCs w:val="24"/>
        </w:rPr>
        <w:t>Revista Brasileira de Estudos Urbanos e Regionais</w:t>
      </w:r>
      <w:r w:rsidRPr="00641C64">
        <w:rPr>
          <w:rFonts w:ascii="Times New Roman" w:hAnsi="Times New Roman" w:cs="Times New Roman"/>
          <w:noProof/>
          <w:color w:val="000000" w:themeColor="text1"/>
          <w:sz w:val="24"/>
          <w:szCs w:val="24"/>
        </w:rPr>
        <w:t>, São Paulo, v. 21, n. 2, p. 415-430, mai./ago. 2019.</w:t>
      </w:r>
    </w:p>
    <w:p w14:paraId="3A22DD10"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668782A8" w14:textId="059C3DDE" w:rsidR="0048581C" w:rsidRPr="00641C64" w:rsidRDefault="0048581C" w:rsidP="006E0A1E">
      <w:pPr>
        <w:spacing w:after="0" w:line="240" w:lineRule="auto"/>
        <w:jc w:val="both"/>
        <w:rPr>
          <w:rFonts w:ascii="Times New Roman" w:hAnsi="Times New Roman" w:cs="Times New Roman"/>
          <w:noProof/>
          <w:color w:val="000000" w:themeColor="text1"/>
          <w:sz w:val="24"/>
          <w:szCs w:val="24"/>
        </w:rPr>
      </w:pPr>
      <w:r w:rsidRPr="00641C64">
        <w:rPr>
          <w:rFonts w:ascii="Times New Roman" w:hAnsi="Times New Roman" w:cs="Times New Roman"/>
          <w:noProof/>
          <w:color w:val="000000" w:themeColor="text1"/>
          <w:sz w:val="24"/>
          <w:szCs w:val="24"/>
        </w:rPr>
        <w:t xml:space="preserve">FARIA, Guélmer Júnior Almeida; FERREIRA, Maria da Luz Alves; PAULA, Andrea Maria Narciso Rocha de. “Na casa dos outros”: mulher, doméstica e migrante? A soma das </w:t>
      </w:r>
      <w:r w:rsidR="002F1B3B" w:rsidRPr="00641C64">
        <w:rPr>
          <w:rFonts w:ascii="Times New Roman" w:hAnsi="Times New Roman" w:cs="Times New Roman"/>
          <w:noProof/>
          <w:color w:val="000000" w:themeColor="text1"/>
          <w:sz w:val="24"/>
          <w:szCs w:val="24"/>
        </w:rPr>
        <w:t xml:space="preserve">desigualdades femininas. </w:t>
      </w:r>
      <w:r w:rsidR="002F1B3B" w:rsidRPr="00641C64">
        <w:rPr>
          <w:rFonts w:ascii="Times New Roman" w:hAnsi="Times New Roman" w:cs="Times New Roman"/>
          <w:b/>
          <w:noProof/>
          <w:color w:val="000000" w:themeColor="text1"/>
          <w:sz w:val="24"/>
          <w:szCs w:val="24"/>
        </w:rPr>
        <w:t>Caderno Espaço Feminino</w:t>
      </w:r>
      <w:r w:rsidR="002F1B3B" w:rsidRPr="00641C64">
        <w:rPr>
          <w:rFonts w:ascii="Times New Roman" w:hAnsi="Times New Roman" w:cs="Times New Roman"/>
          <w:noProof/>
          <w:color w:val="000000" w:themeColor="text1"/>
          <w:sz w:val="24"/>
          <w:szCs w:val="24"/>
        </w:rPr>
        <w:t>, Uberlândia, v. 29</w:t>
      </w:r>
      <w:r w:rsidRPr="00641C64">
        <w:rPr>
          <w:rFonts w:ascii="Times New Roman" w:hAnsi="Times New Roman" w:cs="Times New Roman"/>
          <w:noProof/>
          <w:color w:val="000000" w:themeColor="text1"/>
          <w:sz w:val="24"/>
          <w:szCs w:val="24"/>
        </w:rPr>
        <w:t>, n. 2, p. 2</w:t>
      </w:r>
      <w:r w:rsidR="002F1B3B" w:rsidRPr="00641C64">
        <w:rPr>
          <w:rFonts w:ascii="Times New Roman" w:hAnsi="Times New Roman" w:cs="Times New Roman"/>
          <w:noProof/>
          <w:color w:val="000000" w:themeColor="text1"/>
          <w:sz w:val="24"/>
          <w:szCs w:val="24"/>
        </w:rPr>
        <w:t>67</w:t>
      </w:r>
      <w:r w:rsidRPr="00641C64">
        <w:rPr>
          <w:rFonts w:ascii="Times New Roman" w:hAnsi="Times New Roman" w:cs="Times New Roman"/>
          <w:noProof/>
          <w:color w:val="000000" w:themeColor="text1"/>
          <w:sz w:val="24"/>
          <w:szCs w:val="24"/>
        </w:rPr>
        <w:t>-285, jul./dez. 2016.</w:t>
      </w:r>
    </w:p>
    <w:p w14:paraId="27614EB8"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val="en-US"/>
        </w:rPr>
      </w:pPr>
    </w:p>
    <w:p w14:paraId="5B15A263" w14:textId="6DAA5466"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n-US"/>
        </w:rPr>
      </w:pPr>
      <w:r w:rsidRPr="00641C64">
        <w:rPr>
          <w:rFonts w:ascii="Times New Roman" w:hAnsi="Times New Roman" w:cs="Times New Roman"/>
          <w:noProof/>
          <w:color w:val="000000" w:themeColor="text1"/>
          <w:sz w:val="24"/>
          <w:szCs w:val="24"/>
          <w:lang w:val="en-US"/>
        </w:rPr>
        <w:t xml:space="preserve">GANZEBOOM, Harry, LUIJKX, Ruud. (2004). Recent trends in intergenerational occupational class reproduction in the Netherlands 1970–1999. </w:t>
      </w:r>
      <w:r w:rsidRPr="00641C64">
        <w:rPr>
          <w:rFonts w:ascii="Times New Roman" w:hAnsi="Times New Roman" w:cs="Times New Roman"/>
          <w:i/>
          <w:iCs/>
          <w:noProof/>
          <w:color w:val="000000" w:themeColor="text1"/>
          <w:sz w:val="24"/>
          <w:szCs w:val="24"/>
          <w:lang w:val="en-US"/>
        </w:rPr>
        <w:t>In</w:t>
      </w:r>
      <w:r w:rsidRPr="00641C64">
        <w:rPr>
          <w:rFonts w:ascii="Times New Roman" w:hAnsi="Times New Roman" w:cs="Times New Roman"/>
          <w:noProof/>
          <w:color w:val="000000" w:themeColor="text1"/>
          <w:sz w:val="24"/>
          <w:szCs w:val="24"/>
          <w:lang w:val="en-US"/>
        </w:rPr>
        <w:t xml:space="preserve">: BREEN, Richard (ed.). </w:t>
      </w:r>
      <w:r w:rsidRPr="00641C64">
        <w:rPr>
          <w:rFonts w:ascii="Times New Roman" w:hAnsi="Times New Roman" w:cs="Times New Roman"/>
          <w:b/>
          <w:bCs/>
          <w:noProof/>
          <w:color w:val="000000" w:themeColor="text1"/>
          <w:sz w:val="24"/>
          <w:szCs w:val="24"/>
          <w:lang w:val="en-US"/>
        </w:rPr>
        <w:t>Social mobility in Europe</w:t>
      </w:r>
      <w:r w:rsidRPr="00641C64">
        <w:rPr>
          <w:rFonts w:ascii="Times New Roman" w:hAnsi="Times New Roman" w:cs="Times New Roman"/>
          <w:noProof/>
          <w:color w:val="000000" w:themeColor="text1"/>
          <w:sz w:val="24"/>
          <w:szCs w:val="24"/>
          <w:lang w:val="en-US"/>
        </w:rPr>
        <w:t>. Oxford: Oxford University Press, 2004. Cap. 14, p. 345-381.</w:t>
      </w:r>
    </w:p>
    <w:p w14:paraId="0C35551C"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749E08D2"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HASENBALG, Carlos. Raça e Mobilidade Social.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xml:space="preserve">: HASENBALG; Carlos; VALLE SILVA, Nelson do (org.). </w:t>
      </w:r>
      <w:r w:rsidRPr="00641C64">
        <w:rPr>
          <w:rFonts w:ascii="Times New Roman" w:hAnsi="Times New Roman" w:cs="Times New Roman"/>
          <w:b/>
          <w:bCs/>
          <w:color w:val="000000" w:themeColor="text1"/>
          <w:sz w:val="24"/>
          <w:szCs w:val="24"/>
          <w:lang w:eastAsia="pt-BR"/>
        </w:rPr>
        <w:t>Estrutura social, mobilidade e raça</w:t>
      </w:r>
      <w:r w:rsidRPr="00641C64">
        <w:rPr>
          <w:rFonts w:ascii="Times New Roman" w:hAnsi="Times New Roman" w:cs="Times New Roman"/>
          <w:color w:val="000000" w:themeColor="text1"/>
          <w:sz w:val="24"/>
          <w:szCs w:val="24"/>
          <w:lang w:eastAsia="pt-BR"/>
        </w:rPr>
        <w:t xml:space="preserve">. Rio de Janeiro: IUPERJ; São Paulo: Vértice, 1988. Cap. 6, p. 164-182. </w:t>
      </w:r>
    </w:p>
    <w:p w14:paraId="711BC3B7"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5130342C" w14:textId="765344E8"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n-US"/>
        </w:rPr>
      </w:pPr>
      <w:r w:rsidRPr="00641C64">
        <w:rPr>
          <w:rFonts w:ascii="Times New Roman" w:hAnsi="Times New Roman" w:cs="Times New Roman"/>
          <w:noProof/>
          <w:color w:val="000000" w:themeColor="text1"/>
          <w:sz w:val="24"/>
          <w:szCs w:val="24"/>
          <w:lang w:val="en-US"/>
        </w:rPr>
        <w:t xml:space="preserve">HOUT, Michael. More universalism, less structural mobility: The American occupational structure in the 1980s. </w:t>
      </w:r>
      <w:r w:rsidRPr="00641C64">
        <w:rPr>
          <w:rFonts w:ascii="Times New Roman" w:hAnsi="Times New Roman" w:cs="Times New Roman"/>
          <w:b/>
          <w:bCs/>
          <w:noProof/>
          <w:color w:val="000000" w:themeColor="text1"/>
          <w:sz w:val="24"/>
          <w:szCs w:val="24"/>
          <w:lang w:val="en-US"/>
        </w:rPr>
        <w:t>American Journal of Sociology</w:t>
      </w:r>
      <w:r w:rsidRPr="00641C64">
        <w:rPr>
          <w:rFonts w:ascii="Times New Roman" w:hAnsi="Times New Roman" w:cs="Times New Roman"/>
          <w:noProof/>
          <w:color w:val="000000" w:themeColor="text1"/>
          <w:sz w:val="24"/>
          <w:szCs w:val="24"/>
          <w:lang w:val="en-US"/>
        </w:rPr>
        <w:t>, v. 93, n. 6, p. 1358–1400, mai. 1988.</w:t>
      </w:r>
    </w:p>
    <w:p w14:paraId="73876C0B"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2D48D443" w14:textId="56F4BE20"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IBGE. </w:t>
      </w:r>
      <w:r w:rsidRPr="00641C64">
        <w:rPr>
          <w:rFonts w:ascii="Times New Roman" w:hAnsi="Times New Roman" w:cs="Times New Roman"/>
          <w:b/>
          <w:bCs/>
          <w:color w:val="000000" w:themeColor="text1"/>
          <w:sz w:val="24"/>
          <w:szCs w:val="24"/>
        </w:rPr>
        <w:t>Síntese de indicadores sociais</w:t>
      </w:r>
      <w:r w:rsidRPr="00641C64">
        <w:rPr>
          <w:rFonts w:ascii="Times New Roman" w:hAnsi="Times New Roman" w:cs="Times New Roman"/>
          <w:color w:val="000000" w:themeColor="text1"/>
          <w:sz w:val="24"/>
          <w:szCs w:val="24"/>
        </w:rPr>
        <w:t xml:space="preserve">: uma análise das condições de vida da população brasileira 2017. Rio de Janeiro: IBGE, 2017. Disponível em: </w:t>
      </w:r>
      <w:proofErr w:type="gramStart"/>
      <w:r w:rsidRPr="00641C64">
        <w:rPr>
          <w:rFonts w:ascii="Times New Roman" w:hAnsi="Times New Roman" w:cs="Times New Roman"/>
          <w:color w:val="000000" w:themeColor="text1"/>
          <w:sz w:val="24"/>
          <w:szCs w:val="24"/>
        </w:rPr>
        <w:t>https</w:t>
      </w:r>
      <w:proofErr w:type="gramEnd"/>
      <w:r w:rsidRPr="00641C64">
        <w:rPr>
          <w:rFonts w:ascii="Times New Roman" w:hAnsi="Times New Roman" w:cs="Times New Roman"/>
          <w:color w:val="000000" w:themeColor="text1"/>
          <w:sz w:val="24"/>
          <w:szCs w:val="24"/>
        </w:rPr>
        <w:t>://biblioteca.ibge.gov.br/visualizacao/livros/liv101459.pdf. Acesso em: 20 mai. 2019.</w:t>
      </w:r>
    </w:p>
    <w:p w14:paraId="062EA2C7"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462754E7" w14:textId="538C3567"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JANNUZZI, Paulo de Martino. As ocupações brasileiras segundo a CBO 2002: caracterização empírica com base no Censo 2000. </w:t>
      </w:r>
      <w:r w:rsidRPr="00641C64">
        <w:rPr>
          <w:rFonts w:ascii="Times New Roman" w:hAnsi="Times New Roman" w:cs="Times New Roman"/>
          <w:b/>
          <w:bCs/>
          <w:color w:val="000000" w:themeColor="text1"/>
          <w:sz w:val="24"/>
          <w:szCs w:val="24"/>
        </w:rPr>
        <w:t>Revista da ABET</w:t>
      </w:r>
      <w:r w:rsidRPr="00641C64">
        <w:rPr>
          <w:rFonts w:ascii="Times New Roman" w:hAnsi="Times New Roman" w:cs="Times New Roman"/>
          <w:color w:val="000000" w:themeColor="text1"/>
          <w:sz w:val="24"/>
          <w:szCs w:val="24"/>
        </w:rPr>
        <w:t xml:space="preserve">, v. 4, n. 2, jul./dez. </w:t>
      </w:r>
      <w:proofErr w:type="gramStart"/>
      <w:r w:rsidRPr="00641C64">
        <w:rPr>
          <w:rFonts w:ascii="Times New Roman" w:hAnsi="Times New Roman" w:cs="Times New Roman"/>
          <w:color w:val="000000" w:themeColor="text1"/>
          <w:sz w:val="24"/>
          <w:szCs w:val="24"/>
        </w:rPr>
        <w:t>2004a.</w:t>
      </w:r>
      <w:proofErr w:type="gramEnd"/>
    </w:p>
    <w:p w14:paraId="44E9950C"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7E9427BE"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JANNUZZI, Paulo de Martino. Estratificação Socioocupacional para estudos de mercado e pesquisa social no Brasil. </w:t>
      </w:r>
      <w:r w:rsidRPr="00641C64">
        <w:rPr>
          <w:rFonts w:ascii="Times New Roman" w:hAnsi="Times New Roman" w:cs="Times New Roman"/>
          <w:b/>
          <w:bCs/>
          <w:color w:val="000000" w:themeColor="text1"/>
          <w:sz w:val="24"/>
          <w:szCs w:val="24"/>
          <w:lang w:eastAsia="pt-BR"/>
        </w:rPr>
        <w:t>São Paulo em Perspectiva</w:t>
      </w:r>
      <w:r w:rsidRPr="00641C64">
        <w:rPr>
          <w:rFonts w:ascii="Times New Roman" w:hAnsi="Times New Roman" w:cs="Times New Roman"/>
          <w:color w:val="000000" w:themeColor="text1"/>
          <w:sz w:val="24"/>
          <w:szCs w:val="24"/>
          <w:lang w:eastAsia="pt-BR"/>
        </w:rPr>
        <w:t xml:space="preserve">, v. 17, n. 3-4, p. 247-254, 2003. </w:t>
      </w:r>
    </w:p>
    <w:p w14:paraId="799910B8"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14C5AAD3"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JANNUZZI, Paulo de Martino. Mobilidade social e migração no Brasil: revisão bibliográfica e elementos empíricos para análise. </w:t>
      </w:r>
      <w:r w:rsidRPr="00641C64">
        <w:rPr>
          <w:rFonts w:ascii="Times New Roman" w:hAnsi="Times New Roman" w:cs="Times New Roman"/>
          <w:b/>
          <w:bCs/>
          <w:color w:val="000000" w:themeColor="text1"/>
          <w:sz w:val="24"/>
          <w:szCs w:val="24"/>
          <w:lang w:eastAsia="pt-BR"/>
        </w:rPr>
        <w:t>Revista Brasileira de Estudos de População</w:t>
      </w:r>
      <w:r w:rsidRPr="00641C64">
        <w:rPr>
          <w:rFonts w:ascii="Times New Roman" w:hAnsi="Times New Roman" w:cs="Times New Roman"/>
          <w:color w:val="000000" w:themeColor="text1"/>
          <w:sz w:val="24"/>
          <w:szCs w:val="24"/>
          <w:lang w:eastAsia="pt-BR"/>
        </w:rPr>
        <w:t xml:space="preserve">, Brasília, v. 16, n.1/2, p. 55-82, jan./dez. 1999. </w:t>
      </w:r>
    </w:p>
    <w:p w14:paraId="12CAC592" w14:textId="77777777" w:rsidR="00AB33C4" w:rsidRPr="00641C64" w:rsidRDefault="00AB33C4"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7E370B6F"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JANNUZZI, Paulo de Martino. Mobilidade social no Brasil no contexto da reestruturação produtiva.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CONGRESSO DA ASSOCIAÇÃO LATINO AMERICANA DE POPULAÇÃO, 1</w:t>
      </w:r>
      <w:proofErr w:type="gramStart"/>
      <w:r w:rsidRPr="00641C64">
        <w:rPr>
          <w:rFonts w:ascii="Times New Roman" w:hAnsi="Times New Roman" w:cs="Times New Roman"/>
          <w:color w:val="000000" w:themeColor="text1"/>
          <w:sz w:val="24"/>
          <w:szCs w:val="24"/>
          <w:lang w:eastAsia="pt-BR"/>
        </w:rPr>
        <w:t>.,</w:t>
      </w:r>
      <w:proofErr w:type="gramEnd"/>
      <w:r w:rsidRPr="00641C64">
        <w:rPr>
          <w:rFonts w:ascii="Times New Roman" w:hAnsi="Times New Roman" w:cs="Times New Roman"/>
          <w:color w:val="000000" w:themeColor="text1"/>
          <w:sz w:val="24"/>
          <w:szCs w:val="24"/>
          <w:lang w:eastAsia="pt-BR"/>
        </w:rPr>
        <w:t xml:space="preserve"> 2004b, Caxambú. </w:t>
      </w:r>
      <w:r w:rsidRPr="00641C64">
        <w:rPr>
          <w:rFonts w:ascii="Times New Roman" w:hAnsi="Times New Roman" w:cs="Times New Roman"/>
          <w:b/>
          <w:bCs/>
          <w:color w:val="000000" w:themeColor="text1"/>
          <w:sz w:val="24"/>
          <w:szCs w:val="24"/>
          <w:lang w:eastAsia="pt-BR"/>
        </w:rPr>
        <w:t xml:space="preserve">Anais </w:t>
      </w:r>
      <w:r w:rsidRPr="00641C64">
        <w:rPr>
          <w:rFonts w:ascii="Times New Roman" w:hAnsi="Times New Roman" w:cs="Times New Roman"/>
          <w:color w:val="000000" w:themeColor="text1"/>
          <w:sz w:val="24"/>
          <w:szCs w:val="24"/>
          <w:lang w:eastAsia="pt-BR"/>
        </w:rPr>
        <w:t xml:space="preserve">[...] </w:t>
      </w:r>
      <w:proofErr w:type="gramStart"/>
      <w:r w:rsidRPr="00641C64">
        <w:rPr>
          <w:rFonts w:ascii="Times New Roman" w:hAnsi="Times New Roman" w:cs="Times New Roman"/>
          <w:color w:val="000000" w:themeColor="text1"/>
          <w:sz w:val="24"/>
          <w:szCs w:val="24"/>
          <w:lang w:eastAsia="pt-BR"/>
        </w:rPr>
        <w:t>Caxambú –MG</w:t>
      </w:r>
      <w:proofErr w:type="gramEnd"/>
      <w:r w:rsidRPr="00641C64">
        <w:rPr>
          <w:rFonts w:ascii="Times New Roman" w:hAnsi="Times New Roman" w:cs="Times New Roman"/>
          <w:color w:val="000000" w:themeColor="text1"/>
          <w:sz w:val="24"/>
          <w:szCs w:val="24"/>
          <w:lang w:eastAsia="pt-BR"/>
        </w:rPr>
        <w:t xml:space="preserve">, 2004b. </w:t>
      </w:r>
    </w:p>
    <w:p w14:paraId="00236DD7"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20BE96AA"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lastRenderedPageBreak/>
        <w:t xml:space="preserve">JANNUZZI, Paulo de Martino. Mobilidade social no contexto de adversidades crescentes do mercado de trabalho brasileiro dos anos 1990. </w:t>
      </w:r>
      <w:r w:rsidRPr="00641C64">
        <w:rPr>
          <w:rFonts w:ascii="Times New Roman" w:hAnsi="Times New Roman" w:cs="Times New Roman"/>
          <w:b/>
          <w:bCs/>
          <w:color w:val="000000" w:themeColor="text1"/>
          <w:sz w:val="24"/>
          <w:szCs w:val="24"/>
          <w:lang w:eastAsia="pt-BR"/>
        </w:rPr>
        <w:t>Economia e Sociedade</w:t>
      </w:r>
      <w:r w:rsidRPr="00641C64">
        <w:rPr>
          <w:rFonts w:ascii="Times New Roman" w:hAnsi="Times New Roman" w:cs="Times New Roman"/>
          <w:color w:val="000000" w:themeColor="text1"/>
          <w:sz w:val="24"/>
          <w:szCs w:val="24"/>
          <w:lang w:eastAsia="pt-BR"/>
        </w:rPr>
        <w:t xml:space="preserve">, Campinas, v. 11, n. 2 (19), p. 255-278, jul./dez. 2002. </w:t>
      </w:r>
    </w:p>
    <w:p w14:paraId="6A39827B"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5007C506" w14:textId="4AA6BC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JANNUZZI, Paulo de Martino; MONTAGNER, Paula; TAIRA, Edna. Migração e Mobilidade Social: revisitando a discussão a partir da PNAD 2014.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ENCONTRO NACIONAL DE MIGRAÇÃO, 10</w:t>
      </w:r>
      <w:proofErr w:type="gramStart"/>
      <w:r w:rsidRPr="00641C64">
        <w:rPr>
          <w:rFonts w:ascii="Times New Roman" w:hAnsi="Times New Roman" w:cs="Times New Roman"/>
          <w:color w:val="000000" w:themeColor="text1"/>
          <w:sz w:val="24"/>
          <w:szCs w:val="24"/>
          <w:lang w:eastAsia="pt-BR"/>
        </w:rPr>
        <w:t>.,</w:t>
      </w:r>
      <w:proofErr w:type="gramEnd"/>
      <w:r w:rsidRPr="00641C64">
        <w:rPr>
          <w:rFonts w:ascii="Times New Roman" w:hAnsi="Times New Roman" w:cs="Times New Roman"/>
          <w:color w:val="000000" w:themeColor="text1"/>
          <w:sz w:val="24"/>
          <w:szCs w:val="24"/>
          <w:lang w:eastAsia="pt-BR"/>
        </w:rPr>
        <w:t xml:space="preserve"> 2017, Natal. Belo Horizonte: </w:t>
      </w:r>
      <w:r w:rsidRPr="00641C64">
        <w:rPr>
          <w:rFonts w:ascii="Times New Roman" w:hAnsi="Times New Roman" w:cs="Times New Roman"/>
          <w:b/>
          <w:bCs/>
          <w:color w:val="000000" w:themeColor="text1"/>
          <w:sz w:val="24"/>
          <w:szCs w:val="24"/>
          <w:lang w:eastAsia="pt-BR"/>
        </w:rPr>
        <w:t>Blucher Social Sciences Proceedings</w:t>
      </w:r>
      <w:r w:rsidRPr="00641C64">
        <w:rPr>
          <w:rFonts w:ascii="Times New Roman" w:hAnsi="Times New Roman" w:cs="Times New Roman"/>
          <w:color w:val="000000" w:themeColor="text1"/>
          <w:sz w:val="24"/>
          <w:szCs w:val="24"/>
          <w:lang w:eastAsia="pt-BR"/>
        </w:rPr>
        <w:t xml:space="preserve">, v. 3. </w:t>
      </w:r>
      <w:proofErr w:type="gramStart"/>
      <w:r w:rsidRPr="00641C64">
        <w:rPr>
          <w:rFonts w:ascii="Times New Roman" w:hAnsi="Times New Roman" w:cs="Times New Roman"/>
          <w:color w:val="000000" w:themeColor="text1"/>
          <w:sz w:val="24"/>
          <w:szCs w:val="24"/>
          <w:lang w:eastAsia="pt-BR"/>
        </w:rPr>
        <w:t>p.</w:t>
      </w:r>
      <w:proofErr w:type="gramEnd"/>
      <w:r w:rsidRPr="00641C64">
        <w:rPr>
          <w:rFonts w:ascii="Times New Roman" w:hAnsi="Times New Roman" w:cs="Times New Roman"/>
          <w:color w:val="000000" w:themeColor="text1"/>
          <w:sz w:val="24"/>
          <w:szCs w:val="24"/>
          <w:lang w:eastAsia="pt-BR"/>
        </w:rPr>
        <w:t xml:space="preserve"> 242-259, 2017.</w:t>
      </w:r>
    </w:p>
    <w:p w14:paraId="3B4F9D6D"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7857204F" w14:textId="4DF95C04"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JANNUZZI, Paulo de Martino. Pobreza, Desigualdade e Mobilidade Social no Brasil: dos avanços civilizatórios pós Constituição de 1988 aos prenúncios da barbárie liberal pós Golpe de 2016. </w:t>
      </w:r>
      <w:r w:rsidRPr="00641C64">
        <w:rPr>
          <w:rFonts w:ascii="Times New Roman" w:hAnsi="Times New Roman" w:cs="Times New Roman"/>
          <w:i/>
          <w:iCs/>
          <w:color w:val="000000" w:themeColor="text1"/>
          <w:sz w:val="24"/>
          <w:szCs w:val="24"/>
        </w:rPr>
        <w:t xml:space="preserve">In: </w:t>
      </w:r>
      <w:r w:rsidRPr="00641C64">
        <w:rPr>
          <w:rFonts w:ascii="Times New Roman" w:hAnsi="Times New Roman" w:cs="Times New Roman"/>
          <w:color w:val="000000" w:themeColor="text1"/>
          <w:sz w:val="24"/>
          <w:szCs w:val="24"/>
        </w:rPr>
        <w:t>ENCONTRO NACIONAL DE ESTUDOS POPULACIONAIS, 21</w:t>
      </w:r>
      <w:proofErr w:type="gramStart"/>
      <w:r w:rsidRPr="00641C64">
        <w:rPr>
          <w:rFonts w:ascii="Times New Roman" w:hAnsi="Times New Roman" w:cs="Times New Roman"/>
          <w:color w:val="000000" w:themeColor="text1"/>
          <w:sz w:val="24"/>
          <w:szCs w:val="24"/>
        </w:rPr>
        <w:t>.,</w:t>
      </w:r>
      <w:proofErr w:type="gramEnd"/>
      <w:r w:rsidRPr="00641C64">
        <w:rPr>
          <w:rFonts w:ascii="Times New Roman" w:hAnsi="Times New Roman" w:cs="Times New Roman"/>
          <w:color w:val="000000" w:themeColor="text1"/>
          <w:sz w:val="24"/>
          <w:szCs w:val="24"/>
        </w:rPr>
        <w:t xml:space="preserve"> 2018, Poços de Caldas. </w:t>
      </w:r>
      <w:r w:rsidRPr="00641C64">
        <w:rPr>
          <w:rFonts w:ascii="Times New Roman" w:hAnsi="Times New Roman" w:cs="Times New Roman"/>
          <w:b/>
          <w:bCs/>
          <w:color w:val="000000" w:themeColor="text1"/>
          <w:sz w:val="24"/>
          <w:szCs w:val="24"/>
        </w:rPr>
        <w:t xml:space="preserve">Anais </w:t>
      </w:r>
      <w:r w:rsidRPr="00641C64">
        <w:rPr>
          <w:rFonts w:ascii="Times New Roman" w:hAnsi="Times New Roman" w:cs="Times New Roman"/>
          <w:color w:val="000000" w:themeColor="text1"/>
          <w:sz w:val="24"/>
          <w:szCs w:val="24"/>
        </w:rPr>
        <w:t>[...]. Poços de Caldas, 2018.</w:t>
      </w:r>
    </w:p>
    <w:p w14:paraId="724BF47E"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41E7082A" w14:textId="3C429BC3"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roofErr w:type="gramStart"/>
      <w:r w:rsidRPr="00641C64">
        <w:rPr>
          <w:rFonts w:ascii="Times New Roman" w:hAnsi="Times New Roman" w:cs="Times New Roman"/>
          <w:color w:val="000000" w:themeColor="text1"/>
          <w:sz w:val="24"/>
          <w:szCs w:val="24"/>
          <w:lang w:eastAsia="pt-BR"/>
        </w:rPr>
        <w:t>MELO,</w:t>
      </w:r>
      <w:proofErr w:type="gramEnd"/>
      <w:r w:rsidRPr="00641C64">
        <w:rPr>
          <w:rFonts w:ascii="Times New Roman" w:hAnsi="Times New Roman" w:cs="Times New Roman"/>
          <w:color w:val="000000" w:themeColor="text1"/>
          <w:sz w:val="24"/>
          <w:szCs w:val="24"/>
          <w:lang w:eastAsia="pt-BR"/>
        </w:rPr>
        <w:t xml:space="preserve"> Hildete Pereira de. O Serviço Doméstico Remunerado no Brasil: de Criadas a Trabalhadoras. </w:t>
      </w:r>
      <w:r w:rsidRPr="00641C64">
        <w:rPr>
          <w:rFonts w:ascii="Times New Roman" w:hAnsi="Times New Roman" w:cs="Times New Roman"/>
          <w:b/>
          <w:bCs/>
          <w:color w:val="000000" w:themeColor="text1"/>
          <w:sz w:val="24"/>
          <w:szCs w:val="24"/>
          <w:lang w:eastAsia="pt-BR"/>
        </w:rPr>
        <w:t>Texto para Discussão do IPEA</w:t>
      </w:r>
      <w:r w:rsidRPr="00641C64">
        <w:rPr>
          <w:rFonts w:ascii="Times New Roman" w:hAnsi="Times New Roman" w:cs="Times New Roman"/>
          <w:color w:val="000000" w:themeColor="text1"/>
          <w:sz w:val="24"/>
          <w:szCs w:val="24"/>
          <w:lang w:eastAsia="pt-BR"/>
        </w:rPr>
        <w:t>, Rio de Janeiro, p. 1-29, 1998. Disponível em: http://www.ipea.gov.br/portal/images/stories/PDFs/TDs/td_0565.pdf. Acesso em: 29 mar. 2019</w:t>
      </w:r>
    </w:p>
    <w:p w14:paraId="59016B74"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26841895" w14:textId="08EF0363"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NUNES, Erivelton de Souza; SILVA, João Gomes; QUEIROZ, Silvana Nunes. Migração inter-region</w:t>
      </w:r>
      <w:r w:rsidR="00AB33C4" w:rsidRPr="00641C64">
        <w:rPr>
          <w:rFonts w:ascii="Times New Roman" w:hAnsi="Times New Roman" w:cs="Times New Roman"/>
          <w:color w:val="000000" w:themeColor="text1"/>
          <w:sz w:val="24"/>
          <w:szCs w:val="24"/>
        </w:rPr>
        <w:t>al no Brasil: o que há de novo?</w:t>
      </w:r>
      <w:r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b/>
          <w:bCs/>
          <w:color w:val="000000" w:themeColor="text1"/>
          <w:sz w:val="24"/>
          <w:szCs w:val="24"/>
        </w:rPr>
        <w:t>Revista Desenvolvimento Econômico</w:t>
      </w:r>
      <w:r w:rsidRPr="00641C64">
        <w:rPr>
          <w:rFonts w:ascii="Times New Roman" w:hAnsi="Times New Roman" w:cs="Times New Roman"/>
          <w:color w:val="000000" w:themeColor="text1"/>
          <w:sz w:val="24"/>
          <w:szCs w:val="24"/>
        </w:rPr>
        <w:t>, Salvador, v.2, n. 37, p. 388-407, ago. 2017.</w:t>
      </w:r>
    </w:p>
    <w:p w14:paraId="632CD403"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15A43B76"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roofErr w:type="gramStart"/>
      <w:r w:rsidRPr="00641C64">
        <w:rPr>
          <w:rFonts w:ascii="Times New Roman" w:hAnsi="Times New Roman" w:cs="Times New Roman"/>
          <w:color w:val="000000" w:themeColor="text1"/>
          <w:sz w:val="24"/>
          <w:szCs w:val="24"/>
          <w:lang w:eastAsia="pt-BR"/>
        </w:rPr>
        <w:t>PASTORE,</w:t>
      </w:r>
      <w:proofErr w:type="gramEnd"/>
      <w:r w:rsidRPr="00641C64">
        <w:rPr>
          <w:rFonts w:ascii="Times New Roman" w:hAnsi="Times New Roman" w:cs="Times New Roman"/>
          <w:color w:val="000000" w:themeColor="text1"/>
          <w:sz w:val="24"/>
          <w:szCs w:val="24"/>
          <w:lang w:eastAsia="pt-BR"/>
        </w:rPr>
        <w:t xml:space="preserve"> José. </w:t>
      </w:r>
      <w:r w:rsidRPr="00641C64">
        <w:rPr>
          <w:rFonts w:ascii="Times New Roman" w:hAnsi="Times New Roman" w:cs="Times New Roman"/>
          <w:b/>
          <w:bCs/>
          <w:color w:val="000000" w:themeColor="text1"/>
          <w:sz w:val="24"/>
          <w:szCs w:val="24"/>
          <w:lang w:eastAsia="pt-BR"/>
        </w:rPr>
        <w:t>Desigualdade e mobilidade social no Brasil</w:t>
      </w:r>
      <w:r w:rsidRPr="00641C64">
        <w:rPr>
          <w:rFonts w:ascii="Times New Roman" w:hAnsi="Times New Roman" w:cs="Times New Roman"/>
          <w:color w:val="000000" w:themeColor="text1"/>
          <w:sz w:val="24"/>
          <w:szCs w:val="24"/>
          <w:lang w:eastAsia="pt-BR"/>
        </w:rPr>
        <w:t xml:space="preserve">. São Paulo: T. A. Queiroz: Editora da Universidade de São Paulo, 1979. </w:t>
      </w:r>
    </w:p>
    <w:p w14:paraId="3933FA06"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49CE66CF" w14:textId="5889CAC0"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roofErr w:type="gramStart"/>
      <w:r w:rsidRPr="00641C64">
        <w:rPr>
          <w:rFonts w:ascii="Times New Roman" w:hAnsi="Times New Roman" w:cs="Times New Roman"/>
          <w:color w:val="000000" w:themeColor="text1"/>
          <w:sz w:val="24"/>
          <w:szCs w:val="24"/>
          <w:lang w:eastAsia="pt-BR"/>
        </w:rPr>
        <w:t>PASTORE,</w:t>
      </w:r>
      <w:proofErr w:type="gramEnd"/>
      <w:r w:rsidRPr="00641C64">
        <w:rPr>
          <w:rFonts w:ascii="Times New Roman" w:hAnsi="Times New Roman" w:cs="Times New Roman"/>
          <w:color w:val="000000" w:themeColor="text1"/>
          <w:sz w:val="24"/>
          <w:szCs w:val="24"/>
          <w:lang w:eastAsia="pt-BR"/>
        </w:rPr>
        <w:t xml:space="preserve"> José; HALLER, Archibald. O que está acontecendo com a mobilidade social no Brasil?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xml:space="preserve">: VELLOSO; João Paulo dos Reis; ALBUQUERQUE, Roberto Cavalcanti (org.). </w:t>
      </w:r>
      <w:r w:rsidRPr="00641C64">
        <w:rPr>
          <w:rFonts w:ascii="Times New Roman" w:hAnsi="Times New Roman" w:cs="Times New Roman"/>
          <w:b/>
          <w:bCs/>
          <w:color w:val="000000" w:themeColor="text1"/>
          <w:sz w:val="24"/>
          <w:szCs w:val="24"/>
          <w:lang w:eastAsia="pt-BR"/>
        </w:rPr>
        <w:t>Pobreza e Mobilidade Social</w:t>
      </w:r>
      <w:r w:rsidRPr="00641C64">
        <w:rPr>
          <w:rFonts w:ascii="Times New Roman" w:hAnsi="Times New Roman" w:cs="Times New Roman"/>
          <w:color w:val="000000" w:themeColor="text1"/>
          <w:sz w:val="24"/>
          <w:szCs w:val="24"/>
          <w:lang w:eastAsia="pt-BR"/>
        </w:rPr>
        <w:t xml:space="preserve">. As bases do Desenvolvimento Moderno: Fórum Nacional. São Paulo: Nobel. 1993. </w:t>
      </w:r>
      <w:proofErr w:type="gramStart"/>
      <w:r w:rsidRPr="00641C64">
        <w:rPr>
          <w:rFonts w:ascii="Times New Roman" w:hAnsi="Times New Roman" w:cs="Times New Roman"/>
          <w:color w:val="000000" w:themeColor="text1"/>
          <w:sz w:val="24"/>
          <w:szCs w:val="24"/>
          <w:lang w:eastAsia="pt-BR"/>
        </w:rPr>
        <w:t>p.</w:t>
      </w:r>
      <w:proofErr w:type="gramEnd"/>
      <w:r w:rsidRPr="00641C64">
        <w:rPr>
          <w:rFonts w:ascii="Times New Roman" w:hAnsi="Times New Roman" w:cs="Times New Roman"/>
          <w:color w:val="000000" w:themeColor="text1"/>
          <w:sz w:val="24"/>
          <w:szCs w:val="24"/>
          <w:lang w:eastAsia="pt-BR"/>
        </w:rPr>
        <w:t xml:space="preserve"> 25-49.</w:t>
      </w:r>
    </w:p>
    <w:p w14:paraId="1A0B7C98"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45B7807A" w14:textId="495863B5" w:rsidR="0048581C" w:rsidRPr="00641C64" w:rsidRDefault="0048581C" w:rsidP="006E0A1E">
      <w:pPr>
        <w:spacing w:after="0" w:line="240" w:lineRule="auto"/>
        <w:jc w:val="both"/>
        <w:rPr>
          <w:rFonts w:ascii="Times New Roman" w:hAnsi="Times New Roman" w:cs="Times New Roman"/>
          <w:color w:val="000000" w:themeColor="text1"/>
          <w:sz w:val="24"/>
          <w:szCs w:val="24"/>
        </w:rPr>
      </w:pPr>
      <w:proofErr w:type="gramStart"/>
      <w:r w:rsidRPr="00641C64">
        <w:rPr>
          <w:rFonts w:ascii="Times New Roman" w:hAnsi="Times New Roman" w:cs="Times New Roman"/>
          <w:color w:val="000000" w:themeColor="text1"/>
          <w:sz w:val="24"/>
          <w:szCs w:val="24"/>
        </w:rPr>
        <w:t>PASTORE,</w:t>
      </w:r>
      <w:proofErr w:type="gramEnd"/>
      <w:r w:rsidRPr="00641C64">
        <w:rPr>
          <w:rFonts w:ascii="Times New Roman" w:hAnsi="Times New Roman" w:cs="Times New Roman"/>
          <w:color w:val="000000" w:themeColor="text1"/>
          <w:sz w:val="24"/>
          <w:szCs w:val="24"/>
        </w:rPr>
        <w:t xml:space="preserve"> José. VALLE SILVA, Nelson do. Análise dos Processos de Mobilidade Social no Brasil no Último Século. </w:t>
      </w:r>
      <w:r w:rsidRPr="00641C64">
        <w:rPr>
          <w:rFonts w:ascii="Times New Roman" w:hAnsi="Times New Roman" w:cs="Times New Roman"/>
          <w:i/>
          <w:iCs/>
          <w:color w:val="000000" w:themeColor="text1"/>
          <w:sz w:val="24"/>
          <w:szCs w:val="24"/>
        </w:rPr>
        <w:t>In</w:t>
      </w:r>
      <w:r w:rsidRPr="00641C64">
        <w:rPr>
          <w:rFonts w:ascii="Times New Roman" w:hAnsi="Times New Roman" w:cs="Times New Roman"/>
          <w:color w:val="000000" w:themeColor="text1"/>
          <w:sz w:val="24"/>
          <w:szCs w:val="24"/>
        </w:rPr>
        <w:t>: ENCONTRO ANUAL DA ANPOCS, 25</w:t>
      </w:r>
      <w:proofErr w:type="gramStart"/>
      <w:r w:rsidRPr="00641C64">
        <w:rPr>
          <w:rFonts w:ascii="Times New Roman" w:hAnsi="Times New Roman" w:cs="Times New Roman"/>
          <w:color w:val="000000" w:themeColor="text1"/>
          <w:sz w:val="24"/>
          <w:szCs w:val="24"/>
        </w:rPr>
        <w:t>.,</w:t>
      </w:r>
      <w:proofErr w:type="gramEnd"/>
      <w:r w:rsidRPr="00641C64">
        <w:rPr>
          <w:rFonts w:ascii="Times New Roman" w:hAnsi="Times New Roman" w:cs="Times New Roman"/>
          <w:color w:val="000000" w:themeColor="text1"/>
          <w:sz w:val="24"/>
          <w:szCs w:val="24"/>
        </w:rPr>
        <w:t xml:space="preserve"> 2001, Caxambu. </w:t>
      </w:r>
      <w:r w:rsidRPr="00641C64">
        <w:rPr>
          <w:rFonts w:ascii="Times New Roman" w:hAnsi="Times New Roman" w:cs="Times New Roman"/>
          <w:b/>
          <w:bCs/>
          <w:color w:val="000000" w:themeColor="text1"/>
          <w:sz w:val="24"/>
          <w:szCs w:val="24"/>
        </w:rPr>
        <w:t xml:space="preserve">Anais </w:t>
      </w:r>
      <w:r w:rsidRPr="00641C64">
        <w:rPr>
          <w:rFonts w:ascii="Times New Roman" w:hAnsi="Times New Roman" w:cs="Times New Roman"/>
          <w:color w:val="000000" w:themeColor="text1"/>
          <w:sz w:val="24"/>
          <w:szCs w:val="24"/>
        </w:rPr>
        <w:t>[...]. Caxambu, out. 2001.</w:t>
      </w:r>
    </w:p>
    <w:p w14:paraId="5EF5EC3F"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1B751065" w14:textId="02EF82D0"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PASTORE; José; ZYLBERSTAJAM, Hélio. Tendências da mobilidade social. </w:t>
      </w:r>
      <w:r w:rsidRPr="00641C64">
        <w:rPr>
          <w:rFonts w:ascii="Times New Roman" w:hAnsi="Times New Roman" w:cs="Times New Roman"/>
          <w:i/>
          <w:iCs/>
          <w:color w:val="000000" w:themeColor="text1"/>
          <w:sz w:val="24"/>
          <w:szCs w:val="24"/>
        </w:rPr>
        <w:t>In</w:t>
      </w:r>
      <w:r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b/>
          <w:bCs/>
          <w:color w:val="000000" w:themeColor="text1"/>
          <w:sz w:val="24"/>
          <w:szCs w:val="24"/>
        </w:rPr>
        <w:t>Estratégia Social e Desenvolvimento</w:t>
      </w:r>
      <w:r w:rsidRPr="00641C64">
        <w:rPr>
          <w:rFonts w:ascii="Times New Roman" w:hAnsi="Times New Roman" w:cs="Times New Roman"/>
          <w:color w:val="000000" w:themeColor="text1"/>
          <w:sz w:val="24"/>
          <w:szCs w:val="24"/>
        </w:rPr>
        <w:t>. Rio de Janeiro: José Olympio, p. 193-218, 1992.</w:t>
      </w:r>
    </w:p>
    <w:p w14:paraId="397A1764"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1BE02928" w14:textId="2F411CA2"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PERO, Valéria. </w:t>
      </w:r>
      <w:r w:rsidRPr="00641C64">
        <w:rPr>
          <w:rFonts w:ascii="Times New Roman" w:hAnsi="Times New Roman" w:cs="Times New Roman"/>
          <w:b/>
          <w:bCs/>
          <w:color w:val="000000" w:themeColor="text1"/>
          <w:sz w:val="24"/>
          <w:szCs w:val="24"/>
        </w:rPr>
        <w:t xml:space="preserve">Tendências da mobilidade social intergeracional no Rio de Janeiro. </w:t>
      </w:r>
      <w:r w:rsidRPr="00641C64">
        <w:rPr>
          <w:rFonts w:ascii="Times New Roman" w:hAnsi="Times New Roman" w:cs="Times New Roman"/>
          <w:color w:val="000000" w:themeColor="text1"/>
          <w:sz w:val="24"/>
          <w:szCs w:val="24"/>
        </w:rPr>
        <w:t>2002. Tese (Doutorado em Economia da Indústria e da Tecnologia) - Universidade Federal do Rio de Janeiro, Rio de Janeiro, 2002.</w:t>
      </w:r>
    </w:p>
    <w:p w14:paraId="087485C3"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2FB21EFF"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val="es-AR" w:eastAsia="pt-BR"/>
        </w:rPr>
      </w:pPr>
      <w:r w:rsidRPr="00641C64">
        <w:rPr>
          <w:rFonts w:ascii="Times New Roman" w:hAnsi="Times New Roman" w:cs="Times New Roman"/>
          <w:color w:val="000000" w:themeColor="text1"/>
          <w:sz w:val="24"/>
          <w:szCs w:val="24"/>
          <w:lang w:eastAsia="pt-BR"/>
        </w:rPr>
        <w:lastRenderedPageBreak/>
        <w:t xml:space="preserve">QUEIROZ; Silvana Nunes; BAENINGER, Rosana. Migração, Trabalho e Seletividade no Estado do Ceará. </w:t>
      </w:r>
      <w:r w:rsidRPr="00641C64">
        <w:rPr>
          <w:rFonts w:ascii="Times New Roman" w:hAnsi="Times New Roman" w:cs="Times New Roman"/>
          <w:i/>
          <w:iCs/>
          <w:color w:val="000000" w:themeColor="text1"/>
          <w:sz w:val="24"/>
          <w:szCs w:val="24"/>
          <w:lang w:val="es-AR" w:eastAsia="pt-BR"/>
        </w:rPr>
        <w:t>In</w:t>
      </w:r>
      <w:r w:rsidRPr="00641C64">
        <w:rPr>
          <w:rFonts w:ascii="Times New Roman" w:hAnsi="Times New Roman" w:cs="Times New Roman"/>
          <w:color w:val="000000" w:themeColor="text1"/>
          <w:sz w:val="24"/>
          <w:szCs w:val="24"/>
          <w:lang w:val="es-AR" w:eastAsia="pt-BR"/>
        </w:rPr>
        <w:t xml:space="preserve">: CONGRESO LATINOAMERICANO DE SOCIOLOGÍA, 30., 2015, San José-Costa Rica. </w:t>
      </w:r>
      <w:r w:rsidRPr="00641C64">
        <w:rPr>
          <w:rFonts w:ascii="Times New Roman" w:hAnsi="Times New Roman" w:cs="Times New Roman"/>
          <w:b/>
          <w:bCs/>
          <w:color w:val="000000" w:themeColor="text1"/>
          <w:sz w:val="24"/>
          <w:szCs w:val="24"/>
          <w:lang w:val="es-AR" w:eastAsia="pt-BR"/>
        </w:rPr>
        <w:t xml:space="preserve">Anais </w:t>
      </w:r>
      <w:r w:rsidRPr="00641C64">
        <w:rPr>
          <w:rFonts w:ascii="Times New Roman" w:hAnsi="Times New Roman" w:cs="Times New Roman"/>
          <w:color w:val="000000" w:themeColor="text1"/>
          <w:sz w:val="24"/>
          <w:szCs w:val="24"/>
          <w:lang w:val="es-AR" w:eastAsia="pt-BR"/>
        </w:rPr>
        <w:t xml:space="preserve">[...].San José-Costa Rica, 2015. </w:t>
      </w:r>
    </w:p>
    <w:p w14:paraId="61A4AAB0"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val="es-AR" w:eastAsia="pt-BR"/>
        </w:rPr>
      </w:pPr>
    </w:p>
    <w:p w14:paraId="793C4687" w14:textId="5F5BD91A"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QUEIROZ, Silvana Nunes. </w:t>
      </w:r>
      <w:r w:rsidRPr="00641C64">
        <w:rPr>
          <w:rFonts w:ascii="Times New Roman" w:hAnsi="Times New Roman" w:cs="Times New Roman"/>
          <w:b/>
          <w:bCs/>
          <w:color w:val="000000" w:themeColor="text1"/>
          <w:sz w:val="24"/>
          <w:szCs w:val="24"/>
          <w:lang w:eastAsia="pt-BR"/>
        </w:rPr>
        <w:t>Migrações, Retorno e Seletividade no Mercado de Trabalho Cearense</w:t>
      </w:r>
      <w:r w:rsidRPr="00641C64">
        <w:rPr>
          <w:rFonts w:ascii="Times New Roman" w:hAnsi="Times New Roman" w:cs="Times New Roman"/>
          <w:color w:val="000000" w:themeColor="text1"/>
          <w:sz w:val="24"/>
          <w:szCs w:val="24"/>
          <w:lang w:eastAsia="pt-BR"/>
        </w:rPr>
        <w:t>. 2013. Tese (Doutorado em Demografia) - Instituto de Filosofia e Ciências Humanas, Universidade Estadual de Campinas, Campinas, 2013.</w:t>
      </w:r>
    </w:p>
    <w:p w14:paraId="4F935EC4"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2701D668"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noProof/>
          <w:color w:val="000000" w:themeColor="text1"/>
          <w:sz w:val="24"/>
          <w:szCs w:val="24"/>
          <w:lang w:val="es-AR" w:eastAsia="pt-BR"/>
        </w:rPr>
      </w:pPr>
      <w:r w:rsidRPr="00641C64">
        <w:rPr>
          <w:rFonts w:ascii="Times New Roman" w:hAnsi="Times New Roman" w:cs="Times New Roman"/>
          <w:noProof/>
          <w:color w:val="000000" w:themeColor="text1"/>
          <w:sz w:val="24"/>
          <w:szCs w:val="24"/>
          <w:lang w:val="es-AR" w:eastAsia="pt-BR"/>
        </w:rPr>
        <w:t xml:space="preserve">REY, Rafael. El papel de la educación terciaria en la movilidad social intergeneracional. </w:t>
      </w:r>
    </w:p>
    <w:p w14:paraId="5D3B8C7F" w14:textId="0C8B1AE4"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s-AR" w:eastAsia="pt-BR"/>
        </w:rPr>
      </w:pPr>
      <w:r w:rsidRPr="00641C64">
        <w:rPr>
          <w:rFonts w:ascii="Times New Roman" w:hAnsi="Times New Roman" w:cs="Times New Roman"/>
          <w:b/>
          <w:bCs/>
          <w:noProof/>
          <w:color w:val="000000" w:themeColor="text1"/>
          <w:sz w:val="24"/>
          <w:szCs w:val="24"/>
          <w:lang w:val="es-AR" w:eastAsia="pt-BR"/>
        </w:rPr>
        <w:t>InterCambios</w:t>
      </w:r>
      <w:r w:rsidRPr="00641C64">
        <w:rPr>
          <w:rFonts w:ascii="Times New Roman" w:hAnsi="Times New Roman" w:cs="Times New Roman"/>
          <w:noProof/>
          <w:color w:val="000000" w:themeColor="text1"/>
          <w:sz w:val="24"/>
          <w:szCs w:val="24"/>
          <w:lang w:val="es-AR" w:eastAsia="pt-BR"/>
        </w:rPr>
        <w:t>, v. 4, n. 2, p.86-97, 2017. ISSN 2301 – 0118.</w:t>
      </w:r>
    </w:p>
    <w:p w14:paraId="63A7590C"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4DA01DAC"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RIBEIRO, Carlos Antonio Costa. Estrutura de Classes, Condições de Vida e Oportunidades de Mobilidade Social no Brasil.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xml:space="preserve">: HASENBALG, Carlos; VALLE SILVA, Nelson (org.). </w:t>
      </w:r>
      <w:r w:rsidRPr="00641C64">
        <w:rPr>
          <w:rFonts w:ascii="Times New Roman" w:hAnsi="Times New Roman" w:cs="Times New Roman"/>
          <w:b/>
          <w:bCs/>
          <w:color w:val="000000" w:themeColor="text1"/>
          <w:sz w:val="24"/>
          <w:szCs w:val="24"/>
          <w:lang w:eastAsia="pt-BR"/>
        </w:rPr>
        <w:t>Origens e Destinos</w:t>
      </w:r>
      <w:r w:rsidRPr="00641C64">
        <w:rPr>
          <w:rFonts w:ascii="Times New Roman" w:hAnsi="Times New Roman" w:cs="Times New Roman"/>
          <w:color w:val="000000" w:themeColor="text1"/>
          <w:sz w:val="24"/>
          <w:szCs w:val="24"/>
          <w:lang w:eastAsia="pt-BR"/>
        </w:rPr>
        <w:t xml:space="preserve">: Desigualdades sociais ao longo da vida. Rio de Janeiro: </w:t>
      </w:r>
      <w:proofErr w:type="spellStart"/>
      <w:proofErr w:type="gramStart"/>
      <w:r w:rsidRPr="00641C64">
        <w:rPr>
          <w:rFonts w:ascii="Times New Roman" w:hAnsi="Times New Roman" w:cs="Times New Roman"/>
          <w:color w:val="000000" w:themeColor="text1"/>
          <w:sz w:val="24"/>
          <w:szCs w:val="24"/>
          <w:lang w:eastAsia="pt-BR"/>
        </w:rPr>
        <w:t>TopBooks</w:t>
      </w:r>
      <w:proofErr w:type="spellEnd"/>
      <w:proofErr w:type="gramEnd"/>
      <w:r w:rsidRPr="00641C64">
        <w:rPr>
          <w:rFonts w:ascii="Times New Roman" w:hAnsi="Times New Roman" w:cs="Times New Roman"/>
          <w:color w:val="000000" w:themeColor="text1"/>
          <w:sz w:val="24"/>
          <w:szCs w:val="24"/>
          <w:lang w:eastAsia="pt-BR"/>
        </w:rPr>
        <w:t xml:space="preserve">, 2003. </w:t>
      </w:r>
      <w:proofErr w:type="gramStart"/>
      <w:r w:rsidRPr="00641C64">
        <w:rPr>
          <w:rFonts w:ascii="Times New Roman" w:hAnsi="Times New Roman" w:cs="Times New Roman"/>
          <w:color w:val="000000" w:themeColor="text1"/>
          <w:sz w:val="24"/>
          <w:szCs w:val="24"/>
          <w:lang w:eastAsia="pt-BR"/>
        </w:rPr>
        <w:t>p.</w:t>
      </w:r>
      <w:proofErr w:type="gramEnd"/>
      <w:r w:rsidRPr="00641C64">
        <w:rPr>
          <w:rFonts w:ascii="Times New Roman" w:hAnsi="Times New Roman" w:cs="Times New Roman"/>
          <w:color w:val="000000" w:themeColor="text1"/>
          <w:sz w:val="24"/>
          <w:szCs w:val="24"/>
          <w:lang w:eastAsia="pt-BR"/>
        </w:rPr>
        <w:t xml:space="preserve"> 381-430. </w:t>
      </w:r>
    </w:p>
    <w:p w14:paraId="154A0285"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129F33F7" w14:textId="64C1A7D4"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RIBEIRO, Carlos Antonio Costa. </w:t>
      </w:r>
      <w:r w:rsidRPr="00641C64">
        <w:rPr>
          <w:rFonts w:ascii="Times New Roman" w:hAnsi="Times New Roman" w:cs="Times New Roman"/>
          <w:b/>
          <w:bCs/>
          <w:color w:val="000000" w:themeColor="text1"/>
          <w:sz w:val="24"/>
          <w:szCs w:val="24"/>
          <w:lang w:eastAsia="pt-BR"/>
        </w:rPr>
        <w:t xml:space="preserve">Mobilidade social e estrutura ocupacional: </w:t>
      </w:r>
      <w:r w:rsidRPr="00641C64">
        <w:rPr>
          <w:rFonts w:ascii="Times New Roman" w:hAnsi="Times New Roman" w:cs="Times New Roman"/>
          <w:color w:val="000000" w:themeColor="text1"/>
          <w:sz w:val="24"/>
          <w:szCs w:val="24"/>
          <w:lang w:eastAsia="pt-BR"/>
        </w:rPr>
        <w:t xml:space="preserve">desigualdades de oportunidade no mercado de trabalho brasileiro (1973-1996). Prêmio </w:t>
      </w:r>
      <w:proofErr w:type="gramStart"/>
      <w:r w:rsidRPr="00641C64">
        <w:rPr>
          <w:rFonts w:ascii="Times New Roman" w:hAnsi="Times New Roman" w:cs="Times New Roman"/>
          <w:color w:val="000000" w:themeColor="text1"/>
          <w:sz w:val="24"/>
          <w:szCs w:val="24"/>
          <w:lang w:eastAsia="pt-BR"/>
        </w:rPr>
        <w:t>Ipea</w:t>
      </w:r>
      <w:proofErr w:type="gramEnd"/>
      <w:r w:rsidRPr="00641C64">
        <w:rPr>
          <w:rFonts w:ascii="Times New Roman" w:hAnsi="Times New Roman" w:cs="Times New Roman"/>
          <w:color w:val="000000" w:themeColor="text1"/>
          <w:sz w:val="24"/>
          <w:szCs w:val="24"/>
          <w:lang w:eastAsia="pt-BR"/>
        </w:rPr>
        <w:t xml:space="preserve"> 40 anos: </w:t>
      </w:r>
      <w:proofErr w:type="spellStart"/>
      <w:r w:rsidRPr="00641C64">
        <w:rPr>
          <w:rFonts w:ascii="Times New Roman" w:hAnsi="Times New Roman" w:cs="Times New Roman"/>
          <w:color w:val="000000" w:themeColor="text1"/>
          <w:sz w:val="24"/>
          <w:szCs w:val="24"/>
          <w:lang w:eastAsia="pt-BR"/>
        </w:rPr>
        <w:t>Ipeas</w:t>
      </w:r>
      <w:proofErr w:type="spellEnd"/>
      <w:r w:rsidRPr="00641C64">
        <w:rPr>
          <w:rFonts w:ascii="Times New Roman" w:hAnsi="Times New Roman" w:cs="Times New Roman"/>
          <w:color w:val="000000" w:themeColor="text1"/>
          <w:sz w:val="24"/>
          <w:szCs w:val="24"/>
          <w:lang w:eastAsia="pt-BR"/>
        </w:rPr>
        <w:t>-caixa 2005 - Monografias premiadas. Brasília: IPEA, p. 77-130,</w:t>
      </w:r>
      <w:r w:rsidR="00100FCD" w:rsidRPr="00641C64">
        <w:rPr>
          <w:rFonts w:ascii="Times New Roman" w:hAnsi="Times New Roman" w:cs="Times New Roman"/>
          <w:color w:val="000000" w:themeColor="text1"/>
          <w:sz w:val="24"/>
          <w:szCs w:val="24"/>
          <w:lang w:eastAsia="pt-BR"/>
        </w:rPr>
        <w:t xml:space="preserve"> 2006</w:t>
      </w:r>
      <w:r w:rsidRPr="00641C64">
        <w:rPr>
          <w:rFonts w:ascii="Times New Roman" w:hAnsi="Times New Roman" w:cs="Times New Roman"/>
          <w:color w:val="000000" w:themeColor="text1"/>
          <w:sz w:val="24"/>
          <w:szCs w:val="24"/>
          <w:lang w:eastAsia="pt-BR"/>
        </w:rPr>
        <w:t xml:space="preserve">. Disponível em: </w:t>
      </w:r>
      <w:proofErr w:type="gramStart"/>
      <w:r w:rsidRPr="00641C64">
        <w:rPr>
          <w:rFonts w:ascii="Times New Roman" w:hAnsi="Times New Roman" w:cs="Times New Roman"/>
          <w:color w:val="000000" w:themeColor="text1"/>
          <w:sz w:val="24"/>
          <w:szCs w:val="24"/>
          <w:lang w:eastAsia="pt-BR"/>
        </w:rPr>
        <w:t>https</w:t>
      </w:r>
      <w:proofErr w:type="gramEnd"/>
      <w:r w:rsidRPr="00641C64">
        <w:rPr>
          <w:rFonts w:ascii="Times New Roman" w:hAnsi="Times New Roman" w:cs="Times New Roman"/>
          <w:color w:val="000000" w:themeColor="text1"/>
          <w:sz w:val="24"/>
          <w:szCs w:val="24"/>
          <w:lang w:eastAsia="pt-BR"/>
        </w:rPr>
        <w:t xml:space="preserve">://livrozilla.com/doc/450111/2%C2%BA-lugar--carlos-ant%C3%B4nio-costa-ribeiro-.pmd. Acesso em: 08 abr. 2019. </w:t>
      </w:r>
    </w:p>
    <w:p w14:paraId="534F5F04"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26100504" w14:textId="7A7CE243"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RIBEIRO, Carlos Antonio Costa. Mobilidade social, mudanças estruturais e desigualdades de oportunidades. </w:t>
      </w:r>
      <w:r w:rsidRPr="00641C64">
        <w:rPr>
          <w:rFonts w:ascii="Times New Roman" w:hAnsi="Times New Roman" w:cs="Times New Roman"/>
          <w:i/>
          <w:iCs/>
          <w:color w:val="000000" w:themeColor="text1"/>
          <w:sz w:val="24"/>
          <w:szCs w:val="24"/>
          <w:lang w:eastAsia="pt-BR"/>
        </w:rPr>
        <w:t>In</w:t>
      </w:r>
      <w:r w:rsidRPr="00641C64">
        <w:rPr>
          <w:rFonts w:ascii="Times New Roman" w:hAnsi="Times New Roman" w:cs="Times New Roman"/>
          <w:color w:val="000000" w:themeColor="text1"/>
          <w:sz w:val="24"/>
          <w:szCs w:val="24"/>
          <w:lang w:eastAsia="pt-BR"/>
        </w:rPr>
        <w:t xml:space="preserve">: </w:t>
      </w:r>
      <w:r w:rsidRPr="00641C64">
        <w:rPr>
          <w:rFonts w:ascii="Times New Roman" w:hAnsi="Times New Roman" w:cs="Times New Roman"/>
          <w:b/>
          <w:bCs/>
          <w:color w:val="000000" w:themeColor="text1"/>
          <w:sz w:val="24"/>
          <w:szCs w:val="24"/>
          <w:lang w:eastAsia="pt-BR"/>
        </w:rPr>
        <w:t>Estrutura de classe e mobilidade social no Brasil</w:t>
      </w:r>
      <w:r w:rsidR="00100FCD" w:rsidRPr="00641C64">
        <w:rPr>
          <w:rFonts w:ascii="Times New Roman" w:hAnsi="Times New Roman" w:cs="Times New Roman"/>
          <w:color w:val="000000" w:themeColor="text1"/>
          <w:sz w:val="24"/>
          <w:szCs w:val="24"/>
          <w:lang w:eastAsia="pt-BR"/>
        </w:rPr>
        <w:t xml:space="preserve">. Bauru, São Paulo: </w:t>
      </w:r>
      <w:proofErr w:type="spellStart"/>
      <w:r w:rsidR="00100FCD" w:rsidRPr="00641C64">
        <w:rPr>
          <w:rFonts w:ascii="Times New Roman" w:hAnsi="Times New Roman" w:cs="Times New Roman"/>
          <w:color w:val="000000" w:themeColor="text1"/>
          <w:sz w:val="24"/>
          <w:szCs w:val="24"/>
          <w:lang w:eastAsia="pt-BR"/>
        </w:rPr>
        <w:t>Edusc</w:t>
      </w:r>
      <w:proofErr w:type="spellEnd"/>
      <w:r w:rsidR="00100FCD" w:rsidRPr="00641C64">
        <w:rPr>
          <w:rFonts w:ascii="Times New Roman" w:hAnsi="Times New Roman" w:cs="Times New Roman"/>
          <w:color w:val="000000" w:themeColor="text1"/>
          <w:sz w:val="24"/>
          <w:szCs w:val="24"/>
          <w:lang w:eastAsia="pt-BR"/>
        </w:rPr>
        <w:t>, 2007</w:t>
      </w:r>
      <w:r w:rsidRPr="00641C64">
        <w:rPr>
          <w:rFonts w:ascii="Times New Roman" w:hAnsi="Times New Roman" w:cs="Times New Roman"/>
          <w:color w:val="000000" w:themeColor="text1"/>
          <w:sz w:val="24"/>
          <w:szCs w:val="24"/>
          <w:lang w:eastAsia="pt-BR"/>
        </w:rPr>
        <w:t>. Cap. 3, p. 137-196.</w:t>
      </w:r>
    </w:p>
    <w:p w14:paraId="26FCF25C"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187B8C29"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RIBEIRO, Carlos Antonio Costa; SCALON, Maria Celi. Mobilidade de classe no Brasil em perspectiva comparada. </w:t>
      </w:r>
      <w:r w:rsidRPr="00641C64">
        <w:rPr>
          <w:rFonts w:ascii="Times New Roman" w:hAnsi="Times New Roman" w:cs="Times New Roman"/>
          <w:b/>
          <w:bCs/>
          <w:color w:val="000000" w:themeColor="text1"/>
          <w:sz w:val="24"/>
          <w:szCs w:val="24"/>
          <w:lang w:eastAsia="pt-BR"/>
        </w:rPr>
        <w:t>Dados</w:t>
      </w:r>
      <w:r w:rsidRPr="00641C64">
        <w:rPr>
          <w:rFonts w:ascii="Times New Roman" w:hAnsi="Times New Roman" w:cs="Times New Roman"/>
          <w:color w:val="000000" w:themeColor="text1"/>
          <w:sz w:val="24"/>
          <w:szCs w:val="24"/>
          <w:lang w:eastAsia="pt-BR"/>
        </w:rPr>
        <w:t xml:space="preserve">, Rio de Janeiro: Impresso. </w:t>
      </w:r>
      <w:proofErr w:type="gramStart"/>
      <w:r w:rsidRPr="00641C64">
        <w:rPr>
          <w:rFonts w:ascii="Times New Roman" w:hAnsi="Times New Roman" w:cs="Times New Roman"/>
          <w:color w:val="000000" w:themeColor="text1"/>
          <w:sz w:val="24"/>
          <w:szCs w:val="24"/>
          <w:lang w:eastAsia="pt-BR"/>
        </w:rPr>
        <w:t>v.</w:t>
      </w:r>
      <w:proofErr w:type="gramEnd"/>
      <w:r w:rsidRPr="00641C64">
        <w:rPr>
          <w:rFonts w:ascii="Times New Roman" w:hAnsi="Times New Roman" w:cs="Times New Roman"/>
          <w:color w:val="000000" w:themeColor="text1"/>
          <w:sz w:val="24"/>
          <w:szCs w:val="24"/>
          <w:lang w:eastAsia="pt-BR"/>
        </w:rPr>
        <w:t xml:space="preserve"> 44, n.1, p. 1-54, 2001. </w:t>
      </w:r>
    </w:p>
    <w:p w14:paraId="220CBEEB" w14:textId="77777777" w:rsidR="0048581C" w:rsidRPr="00641C64" w:rsidRDefault="0048581C" w:rsidP="006E0A1E">
      <w:pPr>
        <w:autoSpaceDE w:val="0"/>
        <w:autoSpaceDN w:val="0"/>
        <w:adjustRightInd w:val="0"/>
        <w:spacing w:after="0" w:line="240" w:lineRule="auto"/>
        <w:jc w:val="both"/>
        <w:rPr>
          <w:rFonts w:ascii="Times New Roman" w:hAnsi="Times New Roman" w:cs="Times New Roman"/>
          <w:color w:val="000000" w:themeColor="text1"/>
          <w:sz w:val="24"/>
          <w:szCs w:val="24"/>
          <w:lang w:eastAsia="pt-BR"/>
        </w:rPr>
      </w:pPr>
    </w:p>
    <w:p w14:paraId="50EA83BF" w14:textId="0B0DB780"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r w:rsidRPr="00641C64">
        <w:rPr>
          <w:rFonts w:ascii="Times New Roman" w:hAnsi="Times New Roman" w:cs="Times New Roman"/>
          <w:color w:val="000000" w:themeColor="text1"/>
          <w:sz w:val="24"/>
          <w:szCs w:val="24"/>
          <w:lang w:eastAsia="pt-BR"/>
        </w:rPr>
        <w:t xml:space="preserve">RIBEIRO, Carlos Antonio Costa. </w:t>
      </w:r>
      <w:r w:rsidRPr="00641C64">
        <w:rPr>
          <w:rFonts w:ascii="Times New Roman" w:hAnsi="Times New Roman" w:cs="Times New Roman"/>
          <w:b/>
          <w:bCs/>
          <w:color w:val="000000" w:themeColor="text1"/>
          <w:sz w:val="24"/>
          <w:szCs w:val="24"/>
          <w:lang w:eastAsia="pt-BR"/>
        </w:rPr>
        <w:t>Tendências da Desigualdade de Oportunidades no Brasil</w:t>
      </w:r>
      <w:r w:rsidRPr="00641C64">
        <w:rPr>
          <w:rFonts w:ascii="Times New Roman" w:hAnsi="Times New Roman" w:cs="Times New Roman"/>
          <w:color w:val="000000" w:themeColor="text1"/>
          <w:sz w:val="24"/>
          <w:szCs w:val="24"/>
          <w:lang w:eastAsia="pt-BR"/>
        </w:rPr>
        <w:t>: Mobilidade Social e E</w:t>
      </w:r>
      <w:r w:rsidR="00100FCD" w:rsidRPr="00641C64">
        <w:rPr>
          <w:rFonts w:ascii="Times New Roman" w:hAnsi="Times New Roman" w:cs="Times New Roman"/>
          <w:color w:val="000000" w:themeColor="text1"/>
          <w:sz w:val="24"/>
          <w:szCs w:val="24"/>
          <w:lang w:eastAsia="pt-BR"/>
        </w:rPr>
        <w:t>stratificação Educacional. 2017</w:t>
      </w:r>
      <w:r w:rsidRPr="00641C64">
        <w:rPr>
          <w:rFonts w:ascii="Times New Roman" w:hAnsi="Times New Roman" w:cs="Times New Roman"/>
          <w:color w:val="000000" w:themeColor="text1"/>
          <w:sz w:val="24"/>
          <w:szCs w:val="24"/>
          <w:lang w:eastAsia="pt-BR"/>
        </w:rPr>
        <w:t>. Disponível em: http://repositorio.ipea.gov.br/bitstream/11058/7807/1/bmt_62_tend%C3%AAncias.pdf. Acesso em: 19 mai. 2019.</w:t>
      </w:r>
    </w:p>
    <w:p w14:paraId="5E04F02C"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lang w:eastAsia="pt-BR"/>
        </w:rPr>
      </w:pPr>
    </w:p>
    <w:p w14:paraId="7E7EA7AA" w14:textId="199BA604"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SCALON, Celi. </w:t>
      </w:r>
      <w:r w:rsidRPr="00641C64">
        <w:rPr>
          <w:rFonts w:ascii="Times New Roman" w:hAnsi="Times New Roman" w:cs="Times New Roman"/>
          <w:b/>
          <w:bCs/>
          <w:color w:val="000000" w:themeColor="text1"/>
          <w:sz w:val="24"/>
          <w:szCs w:val="24"/>
        </w:rPr>
        <w:t>Mobilidade social no Brasil</w:t>
      </w:r>
      <w:r w:rsidRPr="00641C64">
        <w:rPr>
          <w:rFonts w:ascii="Times New Roman" w:hAnsi="Times New Roman" w:cs="Times New Roman"/>
          <w:color w:val="000000" w:themeColor="text1"/>
          <w:sz w:val="24"/>
          <w:szCs w:val="24"/>
        </w:rPr>
        <w:t xml:space="preserve">: padrões e tendências. Instituto Universitário de Pesquisas do Rio de Janeiro. 1997. Disponível em: </w:t>
      </w:r>
      <w:proofErr w:type="gramStart"/>
      <w:r w:rsidRPr="00641C64">
        <w:rPr>
          <w:rFonts w:ascii="Times New Roman" w:hAnsi="Times New Roman" w:cs="Times New Roman"/>
          <w:color w:val="000000" w:themeColor="text1"/>
          <w:sz w:val="24"/>
          <w:szCs w:val="24"/>
        </w:rPr>
        <w:t>https</w:t>
      </w:r>
      <w:proofErr w:type="gramEnd"/>
      <w:r w:rsidRPr="00641C64">
        <w:rPr>
          <w:rFonts w:ascii="Times New Roman" w:hAnsi="Times New Roman" w:cs="Times New Roman"/>
          <w:color w:val="000000" w:themeColor="text1"/>
          <w:sz w:val="24"/>
          <w:szCs w:val="24"/>
        </w:rPr>
        <w:t>://www.academia.edu/37343027/Mobilidade_Social_no_Brasil_padr%C3%B5es_e_tend%C3%AAncias. Acesso em: 18 abr. 2019.</w:t>
      </w:r>
    </w:p>
    <w:p w14:paraId="64FCB903"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4E5292CA" w14:textId="40FE5824"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SINGER, Paul. Migrações internas: considerações teóricas sobre o seu estudo. </w:t>
      </w:r>
      <w:r w:rsidRPr="00641C64">
        <w:rPr>
          <w:rFonts w:ascii="Times New Roman" w:hAnsi="Times New Roman" w:cs="Times New Roman"/>
          <w:i/>
          <w:iCs/>
          <w:color w:val="000000" w:themeColor="text1"/>
          <w:sz w:val="24"/>
          <w:szCs w:val="24"/>
        </w:rPr>
        <w:t>In</w:t>
      </w:r>
      <w:r w:rsidRPr="00641C64">
        <w:rPr>
          <w:rFonts w:ascii="Times New Roman" w:hAnsi="Times New Roman" w:cs="Times New Roman"/>
          <w:color w:val="000000" w:themeColor="text1"/>
          <w:sz w:val="24"/>
          <w:szCs w:val="24"/>
        </w:rPr>
        <w:t xml:space="preserve">: </w:t>
      </w:r>
      <w:r w:rsidRPr="00641C64">
        <w:rPr>
          <w:rFonts w:ascii="Times New Roman" w:hAnsi="Times New Roman" w:cs="Times New Roman"/>
          <w:b/>
          <w:bCs/>
          <w:color w:val="000000" w:themeColor="text1"/>
          <w:sz w:val="24"/>
          <w:szCs w:val="24"/>
        </w:rPr>
        <w:t>Economia política da urbanização</w:t>
      </w:r>
      <w:r w:rsidRPr="00641C64">
        <w:rPr>
          <w:rFonts w:ascii="Times New Roman" w:hAnsi="Times New Roman" w:cs="Times New Roman"/>
          <w:color w:val="000000" w:themeColor="text1"/>
          <w:sz w:val="24"/>
          <w:szCs w:val="24"/>
        </w:rPr>
        <w:t>. São Paulo: Editora Brasiliense, 1973.</w:t>
      </w:r>
    </w:p>
    <w:p w14:paraId="788832DE"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1C146E07" w14:textId="3155FB3E"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SOUZA, Pedro Ferreira de; RIBEIRO, Carlos Antonio Costa; CARVALHAES, Flavio. Classe, raça e educação: o que influencia a mobilidade social no Brasil? </w:t>
      </w:r>
      <w:r w:rsidRPr="00641C64">
        <w:rPr>
          <w:rFonts w:ascii="Times New Roman" w:hAnsi="Times New Roman" w:cs="Times New Roman"/>
          <w:i/>
          <w:iCs/>
          <w:color w:val="000000" w:themeColor="text1"/>
          <w:sz w:val="24"/>
          <w:szCs w:val="24"/>
        </w:rPr>
        <w:t>In</w:t>
      </w:r>
      <w:r w:rsidRPr="00641C64">
        <w:rPr>
          <w:rFonts w:ascii="Times New Roman" w:hAnsi="Times New Roman" w:cs="Times New Roman"/>
          <w:color w:val="000000" w:themeColor="text1"/>
          <w:sz w:val="24"/>
          <w:szCs w:val="24"/>
        </w:rPr>
        <w:t xml:space="preserve">: CONGRESSO </w:t>
      </w:r>
      <w:r w:rsidRPr="00641C64">
        <w:rPr>
          <w:rFonts w:ascii="Times New Roman" w:hAnsi="Times New Roman" w:cs="Times New Roman"/>
          <w:color w:val="000000" w:themeColor="text1"/>
          <w:sz w:val="24"/>
          <w:szCs w:val="24"/>
        </w:rPr>
        <w:lastRenderedPageBreak/>
        <w:t>BRASILEIRO DE SOCIOLOGIA, 14</w:t>
      </w:r>
      <w:proofErr w:type="gramStart"/>
      <w:r w:rsidRPr="00641C64">
        <w:rPr>
          <w:rFonts w:ascii="Times New Roman" w:hAnsi="Times New Roman" w:cs="Times New Roman"/>
          <w:color w:val="000000" w:themeColor="text1"/>
          <w:sz w:val="24"/>
          <w:szCs w:val="24"/>
        </w:rPr>
        <w:t>.,</w:t>
      </w:r>
      <w:proofErr w:type="gramEnd"/>
      <w:r w:rsidRPr="00641C64">
        <w:rPr>
          <w:rFonts w:ascii="Times New Roman" w:hAnsi="Times New Roman" w:cs="Times New Roman"/>
          <w:color w:val="000000" w:themeColor="text1"/>
          <w:sz w:val="24"/>
          <w:szCs w:val="24"/>
        </w:rPr>
        <w:t xml:space="preserve"> 2009, Rio de Janeiro. </w:t>
      </w:r>
      <w:r w:rsidRPr="00641C64">
        <w:rPr>
          <w:rFonts w:ascii="Times New Roman" w:hAnsi="Times New Roman" w:cs="Times New Roman"/>
          <w:b/>
          <w:bCs/>
          <w:color w:val="000000" w:themeColor="text1"/>
          <w:sz w:val="24"/>
          <w:szCs w:val="24"/>
        </w:rPr>
        <w:t xml:space="preserve">Anais </w:t>
      </w:r>
      <w:r w:rsidRPr="00641C64">
        <w:rPr>
          <w:rFonts w:ascii="Times New Roman" w:hAnsi="Times New Roman" w:cs="Times New Roman"/>
          <w:color w:val="000000" w:themeColor="text1"/>
          <w:sz w:val="24"/>
          <w:szCs w:val="24"/>
        </w:rPr>
        <w:t>[...]. Rio de Janeiro, 2009.</w:t>
      </w:r>
    </w:p>
    <w:p w14:paraId="4A9443A1"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34F3439E" w14:textId="0940B9D7" w:rsidR="0048581C" w:rsidRPr="00641C64" w:rsidRDefault="0048581C" w:rsidP="006E0A1E">
      <w:pPr>
        <w:spacing w:after="0" w:line="240" w:lineRule="auto"/>
        <w:jc w:val="both"/>
        <w:rPr>
          <w:rFonts w:ascii="Times New Roman" w:hAnsi="Times New Roman" w:cs="Times New Roman"/>
          <w:noProof/>
          <w:color w:val="000000" w:themeColor="text1"/>
          <w:sz w:val="24"/>
          <w:szCs w:val="24"/>
          <w:lang w:val="es-AR"/>
        </w:rPr>
      </w:pPr>
      <w:r w:rsidRPr="00641C64">
        <w:rPr>
          <w:rFonts w:ascii="Times New Roman" w:hAnsi="Times New Roman" w:cs="Times New Roman"/>
          <w:noProof/>
          <w:color w:val="000000" w:themeColor="text1"/>
          <w:sz w:val="24"/>
          <w:szCs w:val="24"/>
          <w:lang w:val="es-AR"/>
        </w:rPr>
        <w:t xml:space="preserve">VALLE SILVA, Nelson do. </w:t>
      </w:r>
      <w:r w:rsidRPr="00641C64">
        <w:rPr>
          <w:rFonts w:ascii="Times New Roman" w:hAnsi="Times New Roman" w:cs="Times New Roman"/>
          <w:b/>
          <w:bCs/>
          <w:noProof/>
          <w:color w:val="000000" w:themeColor="text1"/>
          <w:sz w:val="24"/>
          <w:szCs w:val="24"/>
          <w:lang w:val="es-AR"/>
        </w:rPr>
        <w:t>Cambios sociales y estratificación en el Brasil contemporáneo (1945-1999)</w:t>
      </w:r>
      <w:r w:rsidRPr="00641C64">
        <w:rPr>
          <w:rFonts w:ascii="Times New Roman" w:hAnsi="Times New Roman" w:cs="Times New Roman"/>
          <w:noProof/>
          <w:color w:val="000000" w:themeColor="text1"/>
          <w:sz w:val="24"/>
          <w:szCs w:val="24"/>
          <w:lang w:val="es-AR"/>
        </w:rPr>
        <w:t>. División de Desarrollo Social. Naciones Unidas: Santiago de Chile, jul. 2004. Disponível em: https://repositorio.cepal.org/bitstream/handle/11362/6078/1/S044228_es.pdf. Acesso em: 26 mai. 2019.</w:t>
      </w:r>
    </w:p>
    <w:p w14:paraId="13261D23"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38388BC0" w14:textId="3E78DD2F" w:rsidR="0048581C" w:rsidRPr="00641C64" w:rsidRDefault="0048581C" w:rsidP="006E0A1E">
      <w:pPr>
        <w:spacing w:after="0" w:line="240" w:lineRule="auto"/>
        <w:jc w:val="both"/>
        <w:rPr>
          <w:rFonts w:ascii="Times New Roman" w:hAnsi="Times New Roman" w:cs="Times New Roman"/>
          <w:color w:val="000000" w:themeColor="text1"/>
          <w:sz w:val="24"/>
          <w:szCs w:val="24"/>
        </w:rPr>
      </w:pPr>
      <w:proofErr w:type="gramStart"/>
      <w:r w:rsidRPr="00641C64">
        <w:rPr>
          <w:rFonts w:ascii="Times New Roman" w:hAnsi="Times New Roman" w:cs="Times New Roman"/>
          <w:color w:val="000000" w:themeColor="text1"/>
          <w:sz w:val="24"/>
          <w:szCs w:val="24"/>
          <w:lang w:val="en-US"/>
        </w:rPr>
        <w:t>VALLET, Louis-André.</w:t>
      </w:r>
      <w:proofErr w:type="gramEnd"/>
      <w:r w:rsidRPr="00641C64">
        <w:rPr>
          <w:rFonts w:ascii="Times New Roman" w:hAnsi="Times New Roman" w:cs="Times New Roman"/>
          <w:color w:val="000000" w:themeColor="text1"/>
          <w:sz w:val="24"/>
          <w:szCs w:val="24"/>
          <w:lang w:val="en-US"/>
        </w:rPr>
        <w:t xml:space="preserve"> Change in intergenerational class mobility in France from the 1970s to the 1990s and its explanation: An analysis following the CASMIN approach. </w:t>
      </w:r>
      <w:r w:rsidRPr="00641C64">
        <w:rPr>
          <w:rFonts w:ascii="Times New Roman" w:hAnsi="Times New Roman" w:cs="Times New Roman"/>
          <w:i/>
          <w:iCs/>
          <w:color w:val="000000" w:themeColor="text1"/>
          <w:sz w:val="24"/>
          <w:szCs w:val="24"/>
          <w:lang w:val="en-US"/>
        </w:rPr>
        <w:t>In</w:t>
      </w:r>
      <w:r w:rsidRPr="00641C64">
        <w:rPr>
          <w:rFonts w:ascii="Times New Roman" w:hAnsi="Times New Roman" w:cs="Times New Roman"/>
          <w:color w:val="000000" w:themeColor="text1"/>
          <w:sz w:val="24"/>
          <w:szCs w:val="24"/>
          <w:lang w:val="en-US"/>
        </w:rPr>
        <w:t>: BREEN, Richard (</w:t>
      </w:r>
      <w:proofErr w:type="gramStart"/>
      <w:r w:rsidRPr="00641C64">
        <w:rPr>
          <w:rFonts w:ascii="Times New Roman" w:hAnsi="Times New Roman" w:cs="Times New Roman"/>
          <w:color w:val="000000" w:themeColor="text1"/>
          <w:sz w:val="24"/>
          <w:szCs w:val="24"/>
          <w:lang w:val="en-US"/>
        </w:rPr>
        <w:t>ed</w:t>
      </w:r>
      <w:proofErr w:type="gramEnd"/>
      <w:r w:rsidRPr="00641C64">
        <w:rPr>
          <w:rFonts w:ascii="Times New Roman" w:hAnsi="Times New Roman" w:cs="Times New Roman"/>
          <w:color w:val="000000" w:themeColor="text1"/>
          <w:sz w:val="24"/>
          <w:szCs w:val="24"/>
          <w:lang w:val="en-US"/>
        </w:rPr>
        <w:t xml:space="preserve">.). </w:t>
      </w:r>
      <w:proofErr w:type="gramStart"/>
      <w:r w:rsidRPr="00641C64">
        <w:rPr>
          <w:rFonts w:ascii="Times New Roman" w:hAnsi="Times New Roman" w:cs="Times New Roman"/>
          <w:b/>
          <w:bCs/>
          <w:color w:val="000000" w:themeColor="text1"/>
          <w:sz w:val="24"/>
          <w:szCs w:val="24"/>
          <w:lang w:val="en-US"/>
        </w:rPr>
        <w:t>Social mobility in Europe.</w:t>
      </w:r>
      <w:proofErr w:type="gramEnd"/>
      <w:r w:rsidRPr="00641C64">
        <w:rPr>
          <w:rFonts w:ascii="Times New Roman" w:hAnsi="Times New Roman" w:cs="Times New Roman"/>
          <w:b/>
          <w:bCs/>
          <w:color w:val="000000" w:themeColor="text1"/>
          <w:sz w:val="24"/>
          <w:szCs w:val="24"/>
          <w:lang w:val="en-US"/>
        </w:rPr>
        <w:t xml:space="preserve"> </w:t>
      </w:r>
      <w:r w:rsidRPr="00641C64">
        <w:rPr>
          <w:rFonts w:ascii="Times New Roman" w:hAnsi="Times New Roman" w:cs="Times New Roman"/>
          <w:color w:val="000000" w:themeColor="text1"/>
          <w:sz w:val="24"/>
          <w:szCs w:val="24"/>
          <w:lang w:val="en-US"/>
        </w:rPr>
        <w:t xml:space="preserve">Oxford: Oxford University Press. </w:t>
      </w:r>
      <w:r w:rsidRPr="00641C64">
        <w:rPr>
          <w:rFonts w:ascii="Times New Roman" w:hAnsi="Times New Roman" w:cs="Times New Roman"/>
          <w:color w:val="000000" w:themeColor="text1"/>
          <w:sz w:val="24"/>
          <w:szCs w:val="24"/>
        </w:rPr>
        <w:t xml:space="preserve">2004. </w:t>
      </w:r>
      <w:proofErr w:type="gramStart"/>
      <w:r w:rsidRPr="00641C64">
        <w:rPr>
          <w:rFonts w:ascii="Times New Roman" w:hAnsi="Times New Roman" w:cs="Times New Roman"/>
          <w:color w:val="000000" w:themeColor="text1"/>
          <w:sz w:val="24"/>
          <w:szCs w:val="24"/>
        </w:rPr>
        <w:t>p.</w:t>
      </w:r>
      <w:proofErr w:type="gramEnd"/>
      <w:r w:rsidRPr="00641C64">
        <w:rPr>
          <w:rFonts w:ascii="Times New Roman" w:hAnsi="Times New Roman" w:cs="Times New Roman"/>
          <w:color w:val="000000" w:themeColor="text1"/>
          <w:sz w:val="24"/>
          <w:szCs w:val="24"/>
        </w:rPr>
        <w:t xml:space="preserve"> 1-37.</w:t>
      </w:r>
    </w:p>
    <w:p w14:paraId="3DCA285E" w14:textId="77777777" w:rsidR="0048581C" w:rsidRPr="00641C64" w:rsidRDefault="0048581C" w:rsidP="006E0A1E">
      <w:pPr>
        <w:spacing w:after="0" w:line="240" w:lineRule="auto"/>
        <w:jc w:val="both"/>
        <w:rPr>
          <w:rFonts w:ascii="Times New Roman" w:hAnsi="Times New Roman" w:cs="Times New Roman"/>
          <w:color w:val="000000" w:themeColor="text1"/>
          <w:sz w:val="24"/>
          <w:szCs w:val="24"/>
        </w:rPr>
      </w:pPr>
    </w:p>
    <w:p w14:paraId="0F7B8541" w14:textId="5ACDC22A" w:rsidR="0048581C" w:rsidRPr="00641C64" w:rsidRDefault="0048581C" w:rsidP="006E0A1E">
      <w:pPr>
        <w:spacing w:after="0" w:line="240" w:lineRule="auto"/>
        <w:jc w:val="both"/>
        <w:rPr>
          <w:rFonts w:ascii="Times New Roman" w:hAnsi="Times New Roman" w:cs="Times New Roman"/>
          <w:color w:val="000000" w:themeColor="text1"/>
          <w:sz w:val="24"/>
          <w:szCs w:val="24"/>
        </w:rPr>
      </w:pPr>
      <w:r w:rsidRPr="00641C64">
        <w:rPr>
          <w:rFonts w:ascii="Times New Roman" w:hAnsi="Times New Roman" w:cs="Times New Roman"/>
          <w:color w:val="000000" w:themeColor="text1"/>
          <w:sz w:val="24"/>
          <w:szCs w:val="24"/>
        </w:rPr>
        <w:t xml:space="preserve">WAJNMAN, Simone. Mulheres na sociedade e no mercado de trabalho brasileiro: avanços e entraves. </w:t>
      </w:r>
      <w:r w:rsidRPr="00641C64">
        <w:rPr>
          <w:rFonts w:ascii="Times New Roman" w:hAnsi="Times New Roman" w:cs="Times New Roman"/>
          <w:i/>
          <w:color w:val="000000" w:themeColor="text1"/>
          <w:sz w:val="24"/>
          <w:szCs w:val="24"/>
        </w:rPr>
        <w:t>In</w:t>
      </w:r>
      <w:r w:rsidRPr="00641C64">
        <w:rPr>
          <w:rFonts w:ascii="Times New Roman" w:hAnsi="Times New Roman" w:cs="Times New Roman"/>
          <w:color w:val="000000" w:themeColor="text1"/>
          <w:sz w:val="24"/>
          <w:szCs w:val="24"/>
        </w:rPr>
        <w:t xml:space="preserve">: PORTO, Marta (org.). </w:t>
      </w:r>
      <w:r w:rsidRPr="00641C64">
        <w:rPr>
          <w:rFonts w:ascii="Times New Roman" w:hAnsi="Times New Roman" w:cs="Times New Roman"/>
          <w:b/>
          <w:bCs/>
          <w:color w:val="000000" w:themeColor="text1"/>
          <w:sz w:val="24"/>
          <w:szCs w:val="24"/>
        </w:rPr>
        <w:t xml:space="preserve">Olhares Femininos, mulheres brasileiras. </w:t>
      </w:r>
      <w:r w:rsidRPr="00641C64">
        <w:rPr>
          <w:rFonts w:ascii="Times New Roman" w:hAnsi="Times New Roman" w:cs="Times New Roman"/>
          <w:color w:val="000000" w:themeColor="text1"/>
          <w:sz w:val="24"/>
          <w:szCs w:val="24"/>
        </w:rPr>
        <w:t xml:space="preserve">Rio de Janeiro: X Brasil, 2006. </w:t>
      </w:r>
      <w:proofErr w:type="gramStart"/>
      <w:r w:rsidRPr="00641C64">
        <w:rPr>
          <w:rFonts w:ascii="Times New Roman" w:hAnsi="Times New Roman" w:cs="Times New Roman"/>
          <w:color w:val="000000" w:themeColor="text1"/>
          <w:sz w:val="24"/>
          <w:szCs w:val="24"/>
        </w:rPr>
        <w:t>p.</w:t>
      </w:r>
      <w:proofErr w:type="gramEnd"/>
      <w:r w:rsidRPr="00641C64">
        <w:rPr>
          <w:rFonts w:ascii="Times New Roman" w:hAnsi="Times New Roman" w:cs="Times New Roman"/>
          <w:color w:val="000000" w:themeColor="text1"/>
          <w:sz w:val="24"/>
          <w:szCs w:val="24"/>
        </w:rPr>
        <w:t xml:space="preserve"> 77-108.</w:t>
      </w:r>
    </w:p>
    <w:sectPr w:rsidR="0048581C" w:rsidRPr="00641C64">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134" w:left="1701" w:header="851"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1F65FE" w15:done="0"/>
  <w15:commentEx w15:paraId="5D1FF1E5" w15:done="0"/>
  <w15:commentEx w15:paraId="5BCF9428" w15:done="0"/>
  <w15:commentEx w15:paraId="6B79ACD7" w15:done="0"/>
  <w15:commentEx w15:paraId="48F80AB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A9F42" w16cex:dateUtc="2022-07-26T20:13:00Z"/>
  <w16cex:commentExtensible w16cex:durableId="268B76AF" w16cex:dateUtc="2022-07-27T11:32:00Z"/>
  <w16cex:commentExtensible w16cex:durableId="268B742B" w16cex:dateUtc="2022-07-27T11:22:00Z"/>
  <w16cex:commentExtensible w16cex:durableId="268B744E" w16cex:dateUtc="2022-07-27T11:22:00Z"/>
  <w16cex:commentExtensible w16cex:durableId="268B7FAF" w16cex:dateUtc="2022-07-27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1F65FE" w16cid:durableId="268A9F42"/>
  <w16cid:commentId w16cid:paraId="5D1FF1E5" w16cid:durableId="268B76AF"/>
  <w16cid:commentId w16cid:paraId="5BCF9428" w16cid:durableId="268B742B"/>
  <w16cid:commentId w16cid:paraId="6B79ACD7" w16cid:durableId="268B744E"/>
  <w16cid:commentId w16cid:paraId="48F80AB5" w16cid:durableId="268B7FA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CAFE42" w14:textId="77777777" w:rsidR="0048581C" w:rsidRDefault="0048581C">
      <w:pPr>
        <w:spacing w:line="240" w:lineRule="auto"/>
      </w:pPr>
      <w:r>
        <w:separator/>
      </w:r>
    </w:p>
  </w:endnote>
  <w:endnote w:type="continuationSeparator" w:id="0">
    <w:p w14:paraId="7E4A04BD" w14:textId="77777777" w:rsidR="0048581C" w:rsidRDefault="004858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491B33" w14:textId="77777777" w:rsidR="00F5184F" w:rsidRDefault="00F5184F">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9DBF6" w14:textId="77777777" w:rsidR="0048581C" w:rsidRDefault="0048581C">
    <w:pPr>
      <w:pStyle w:val="Rodap"/>
      <w:jc w:val="both"/>
      <w:rPr>
        <w:rFonts w:ascii="Times New Roman" w:hAnsi="Times New Roman" w:cs="Times New Roman"/>
        <w:sz w:val="20"/>
        <w:szCs w:val="20"/>
      </w:rPr>
    </w:pPr>
    <w:r>
      <w:rPr>
        <w:noProof/>
        <w:lang w:eastAsia="pt-BR"/>
      </w:rPr>
      <mc:AlternateContent>
        <mc:Choice Requires="wps">
          <w:drawing>
            <wp:anchor distT="0" distB="0" distL="114300" distR="114300" simplePos="0" relativeHeight="251661312" behindDoc="1" locked="0" layoutInCell="1" allowOverlap="1" wp14:anchorId="5D4E1910" wp14:editId="18246ECE">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1716B1" id="Conector Reto 3" o:spid="_x0000_s1026" style="position:absolute;z-index:-251655168;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" strokecolor="#00b050" strokeweight=".5pt">
              <v:stroke joinstyle="miter"/>
              <w10:wrap anchorx="margin"/>
            </v:line>
          </w:pict>
        </mc:Fallback>
      </mc:AlternateContent>
    </w:r>
  </w:p>
  <w:p w14:paraId="5BF82922" w14:textId="77777777" w:rsidR="0048581C" w:rsidRDefault="0048581C">
    <w:pPr>
      <w:pStyle w:val="Rodap"/>
      <w:jc w:val="both"/>
      <w:rPr>
        <w:rFonts w:ascii="Times New Roman" w:hAnsi="Times New Roman" w:cs="Times New Roman"/>
        <w:sz w:val="20"/>
        <w:szCs w:val="20"/>
      </w:rPr>
    </w:pPr>
  </w:p>
  <w:p w14:paraId="5A4EE31A" w14:textId="77777777" w:rsidR="0048581C" w:rsidRDefault="0048581C">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proofErr w:type="gramStart"/>
    <w:r>
      <w:rPr>
        <w:rFonts w:ascii="Times New Roman" w:hAnsi="Times New Roman" w:cs="Times New Roman"/>
        <w:sz w:val="20"/>
        <w:szCs w:val="20"/>
      </w:rPr>
      <w:t>Ce</w:t>
    </w:r>
    <w:proofErr w:type="spellEnd"/>
    <w:proofErr w:type="gramEnd"/>
    <w:r>
      <w:rPr>
        <w:rFonts w:ascii="Times New Roman" w:hAnsi="Times New Roman" w:cs="Times New Roman"/>
        <w:sz w:val="20"/>
        <w:szCs w:val="20"/>
      </w:rPr>
      <w:t>, 06 a 08 de dezembro de 2022. ISSN 2358-4408.</w:t>
    </w:r>
  </w:p>
  <w:p w14:paraId="1F6B4FEA" w14:textId="77777777" w:rsidR="0048581C" w:rsidRDefault="0048581C">
    <w:pPr>
      <w:pStyle w:val="Rodap"/>
      <w:jc w:val="both"/>
      <w:rPr>
        <w:rFonts w:ascii="Times New Roman" w:hAnsi="Times New Roman" w:cs="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33913" w14:textId="77777777" w:rsidR="00F5184F" w:rsidRDefault="00F5184F">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42483" w14:textId="77777777" w:rsidR="0048581C" w:rsidRDefault="0048581C">
      <w:pPr>
        <w:spacing w:after="0"/>
      </w:pPr>
      <w:r>
        <w:separator/>
      </w:r>
    </w:p>
  </w:footnote>
  <w:footnote w:type="continuationSeparator" w:id="0">
    <w:p w14:paraId="49F4F8F6" w14:textId="77777777" w:rsidR="0048581C" w:rsidRDefault="0048581C">
      <w:pPr>
        <w:spacing w:after="0"/>
      </w:pPr>
      <w:r>
        <w:continuationSeparator/>
      </w:r>
    </w:p>
  </w:footnote>
  <w:footnote w:id="1">
    <w:p w14:paraId="48BB8F34" w14:textId="77777777" w:rsidR="0048581C" w:rsidRDefault="0048581C" w:rsidP="000A3E1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Os indicadores de cada uma das 510 famílias ocupacionais estão expostos em Jannuzzi (2004a, p. 80-95).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47145" w14:textId="77777777" w:rsidR="00F5184F" w:rsidRDefault="00F5184F">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46C21" w14:textId="77777777" w:rsidR="0048581C" w:rsidRDefault="0048581C">
    <w:pPr>
      <w:pStyle w:val="Cabealho"/>
      <w:jc w:val="center"/>
    </w:pPr>
    <w:r>
      <w:rPr>
        <w:noProof/>
        <w:lang w:eastAsia="pt-BR"/>
      </w:rPr>
      <mc:AlternateContent>
        <mc:Choice Requires="wps">
          <w:drawing>
            <wp:anchor distT="0" distB="0" distL="114300" distR="114300" simplePos="0" relativeHeight="251660288" behindDoc="1" locked="0" layoutInCell="1" allowOverlap="1" wp14:anchorId="47CC7872" wp14:editId="0A35975E">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10A1B2"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" strokecolor="#00b050" strokeweight=".5pt">
              <v:stroke joinstyle="miter"/>
            </v:line>
          </w:pict>
        </mc:Fallback>
      </mc:AlternateContent>
    </w:r>
    <w:r>
      <w:rPr>
        <w:noProof/>
        <w:lang w:eastAsia="pt-BR"/>
      </w:rPr>
      <mc:AlternateContent>
        <mc:Choice Requires="wps">
          <w:drawing>
            <wp:inline distT="0" distB="0" distL="0" distR="0" wp14:anchorId="44FC9E7B" wp14:editId="2A58AA67">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FCABDF"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lang w:eastAsia="pt-BR"/>
      </w:rPr>
      <w:drawing>
        <wp:inline distT="0" distB="0" distL="0" distR="0" wp14:anchorId="268E0377" wp14:editId="3127C219">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0D7528CD" w14:textId="77777777" w:rsidR="0048581C" w:rsidRDefault="0048581C">
    <w:pPr>
      <w:pStyle w:val="Cabealho"/>
      <w:jc w:val="center"/>
    </w:pPr>
  </w:p>
  <w:p w14:paraId="62AAE8C8" w14:textId="77777777" w:rsidR="0048581C" w:rsidRDefault="0048581C">
    <w:pPr>
      <w:pStyle w:val="Cabealh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AC704" w14:textId="77777777" w:rsidR="00F5184F" w:rsidRDefault="00F5184F">
    <w:pPr>
      <w:pStyle w:val="Cabealho"/>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lvana Queiroz">
    <w15:presenceInfo w15:providerId="Windows Live" w15:userId="d4a1cb195b86a4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C01"/>
    <w:rsid w:val="00000143"/>
    <w:rsid w:val="00003F7F"/>
    <w:rsid w:val="00023603"/>
    <w:rsid w:val="00036C01"/>
    <w:rsid w:val="000A20BC"/>
    <w:rsid w:val="000A3CF9"/>
    <w:rsid w:val="000A3E1B"/>
    <w:rsid w:val="000E4DD5"/>
    <w:rsid w:val="000F2C33"/>
    <w:rsid w:val="00100FCD"/>
    <w:rsid w:val="0017619A"/>
    <w:rsid w:val="00181AD9"/>
    <w:rsid w:val="00183C83"/>
    <w:rsid w:val="0019761B"/>
    <w:rsid w:val="001A004E"/>
    <w:rsid w:val="001A1183"/>
    <w:rsid w:val="001B757A"/>
    <w:rsid w:val="001C3A6C"/>
    <w:rsid w:val="001C42CE"/>
    <w:rsid w:val="00206A92"/>
    <w:rsid w:val="00224EE8"/>
    <w:rsid w:val="00234862"/>
    <w:rsid w:val="00241841"/>
    <w:rsid w:val="00255C43"/>
    <w:rsid w:val="002824BA"/>
    <w:rsid w:val="0028646C"/>
    <w:rsid w:val="00287AB2"/>
    <w:rsid w:val="002D339F"/>
    <w:rsid w:val="002F1B3B"/>
    <w:rsid w:val="00311385"/>
    <w:rsid w:val="00332DAA"/>
    <w:rsid w:val="00354A65"/>
    <w:rsid w:val="00375362"/>
    <w:rsid w:val="00386158"/>
    <w:rsid w:val="003E0704"/>
    <w:rsid w:val="004057DB"/>
    <w:rsid w:val="00426983"/>
    <w:rsid w:val="00437FBE"/>
    <w:rsid w:val="00465425"/>
    <w:rsid w:val="00466755"/>
    <w:rsid w:val="00482C38"/>
    <w:rsid w:val="0048581C"/>
    <w:rsid w:val="004D292A"/>
    <w:rsid w:val="00507F7E"/>
    <w:rsid w:val="00510F45"/>
    <w:rsid w:val="00552500"/>
    <w:rsid w:val="00562B0A"/>
    <w:rsid w:val="00583E43"/>
    <w:rsid w:val="00596AC4"/>
    <w:rsid w:val="005A61FA"/>
    <w:rsid w:val="005D6642"/>
    <w:rsid w:val="006067B4"/>
    <w:rsid w:val="00611AB4"/>
    <w:rsid w:val="00641C64"/>
    <w:rsid w:val="0065191D"/>
    <w:rsid w:val="006802C4"/>
    <w:rsid w:val="00696FC3"/>
    <w:rsid w:val="006A4983"/>
    <w:rsid w:val="006A7002"/>
    <w:rsid w:val="006B4A57"/>
    <w:rsid w:val="006C737D"/>
    <w:rsid w:val="006C7812"/>
    <w:rsid w:val="006D684A"/>
    <w:rsid w:val="006E0A1E"/>
    <w:rsid w:val="007200E2"/>
    <w:rsid w:val="00721623"/>
    <w:rsid w:val="00730466"/>
    <w:rsid w:val="00731976"/>
    <w:rsid w:val="00747E1A"/>
    <w:rsid w:val="0077550C"/>
    <w:rsid w:val="007A2AD8"/>
    <w:rsid w:val="007A3A8D"/>
    <w:rsid w:val="007C3EAC"/>
    <w:rsid w:val="007D2154"/>
    <w:rsid w:val="007D69F7"/>
    <w:rsid w:val="00822DFC"/>
    <w:rsid w:val="00836EDF"/>
    <w:rsid w:val="008446D1"/>
    <w:rsid w:val="0085799B"/>
    <w:rsid w:val="008A5CEB"/>
    <w:rsid w:val="0095684B"/>
    <w:rsid w:val="009C3E1E"/>
    <w:rsid w:val="009F167A"/>
    <w:rsid w:val="00A12BDF"/>
    <w:rsid w:val="00A74CAA"/>
    <w:rsid w:val="00A912F0"/>
    <w:rsid w:val="00A96177"/>
    <w:rsid w:val="00AA4FE3"/>
    <w:rsid w:val="00AB33C4"/>
    <w:rsid w:val="00BB249D"/>
    <w:rsid w:val="00BC6D50"/>
    <w:rsid w:val="00BC78DE"/>
    <w:rsid w:val="00BD372A"/>
    <w:rsid w:val="00BF72B4"/>
    <w:rsid w:val="00C274FA"/>
    <w:rsid w:val="00C87F92"/>
    <w:rsid w:val="00CA31D5"/>
    <w:rsid w:val="00CB4374"/>
    <w:rsid w:val="00CD7535"/>
    <w:rsid w:val="00CF28F8"/>
    <w:rsid w:val="00CF4A66"/>
    <w:rsid w:val="00D07C40"/>
    <w:rsid w:val="00D172D7"/>
    <w:rsid w:val="00D2570B"/>
    <w:rsid w:val="00D30D0A"/>
    <w:rsid w:val="00D4610E"/>
    <w:rsid w:val="00D72579"/>
    <w:rsid w:val="00D764B2"/>
    <w:rsid w:val="00D81A07"/>
    <w:rsid w:val="00D85FBC"/>
    <w:rsid w:val="00D978F8"/>
    <w:rsid w:val="00DA31A9"/>
    <w:rsid w:val="00DB11B8"/>
    <w:rsid w:val="00DB661E"/>
    <w:rsid w:val="00DC7697"/>
    <w:rsid w:val="00E0511D"/>
    <w:rsid w:val="00E2283E"/>
    <w:rsid w:val="00E50039"/>
    <w:rsid w:val="00E6767E"/>
    <w:rsid w:val="00E85C43"/>
    <w:rsid w:val="00EB4EEC"/>
    <w:rsid w:val="00EB52F5"/>
    <w:rsid w:val="00F03467"/>
    <w:rsid w:val="00F05CED"/>
    <w:rsid w:val="00F44F45"/>
    <w:rsid w:val="00F5184F"/>
    <w:rsid w:val="00F65487"/>
    <w:rsid w:val="00F91E75"/>
    <w:rsid w:val="00FC4F7E"/>
    <w:rsid w:val="00FD0206"/>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2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D172D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172D7"/>
    <w:rPr>
      <w:rFonts w:ascii="Tahoma" w:hAnsi="Tahoma" w:cs="Tahoma"/>
      <w:sz w:val="16"/>
      <w:szCs w:val="16"/>
      <w:lang w:eastAsia="en-US"/>
    </w:rPr>
  </w:style>
  <w:style w:type="character" w:styleId="Hyperlink">
    <w:name w:val="Hyperlink"/>
    <w:uiPriority w:val="99"/>
    <w:unhideWhenUsed/>
    <w:rsid w:val="000A3E1B"/>
    <w:rPr>
      <w:color w:val="0000FF"/>
      <w:u w:val="single"/>
    </w:rPr>
  </w:style>
  <w:style w:type="paragraph" w:customStyle="1" w:styleId="Default">
    <w:name w:val="Default"/>
    <w:rsid w:val="000A3E1B"/>
    <w:pPr>
      <w:autoSpaceDE w:val="0"/>
      <w:autoSpaceDN w:val="0"/>
      <w:adjustRightInd w:val="0"/>
      <w:spacing w:after="200" w:line="276" w:lineRule="auto"/>
    </w:pPr>
    <w:rPr>
      <w:rFonts w:ascii="Times New Roman" w:eastAsia="Calibri" w:hAnsi="Times New Roman" w:cs="Calibri"/>
      <w:color w:val="000000"/>
      <w:sz w:val="24"/>
      <w:szCs w:val="24"/>
      <w:lang w:eastAsia="en-US"/>
    </w:rPr>
  </w:style>
  <w:style w:type="paragraph" w:styleId="Textodecomentrio">
    <w:name w:val="annotation text"/>
    <w:basedOn w:val="Normal"/>
    <w:link w:val="TextodecomentrioChar"/>
    <w:uiPriority w:val="99"/>
    <w:unhideWhenUsed/>
    <w:rsid w:val="000A3E1B"/>
    <w:pPr>
      <w:spacing w:after="200" w:line="240" w:lineRule="auto"/>
    </w:pPr>
    <w:rPr>
      <w:rFonts w:ascii="Calibri" w:eastAsia="Calibri" w:hAnsi="Calibri" w:cs="Calibri"/>
      <w:sz w:val="20"/>
      <w:szCs w:val="20"/>
    </w:rPr>
  </w:style>
  <w:style w:type="character" w:customStyle="1" w:styleId="TextodecomentrioChar">
    <w:name w:val="Texto de comentário Char"/>
    <w:basedOn w:val="Fontepargpadro"/>
    <w:link w:val="Textodecomentrio"/>
    <w:uiPriority w:val="99"/>
    <w:rsid w:val="000A3E1B"/>
    <w:rPr>
      <w:rFonts w:ascii="Calibri" w:eastAsia="Calibri" w:hAnsi="Calibri" w:cs="Calibri"/>
      <w:lang w:eastAsia="en-US"/>
    </w:rPr>
  </w:style>
  <w:style w:type="paragraph" w:styleId="Reviso">
    <w:name w:val="Revision"/>
    <w:hidden/>
    <w:uiPriority w:val="99"/>
    <w:semiHidden/>
    <w:rsid w:val="0019761B"/>
    <w:rPr>
      <w:sz w:val="22"/>
      <w:szCs w:val="22"/>
      <w:lang w:eastAsia="en-US"/>
    </w:rPr>
  </w:style>
  <w:style w:type="character" w:styleId="Refdecomentrio">
    <w:name w:val="annotation reference"/>
    <w:basedOn w:val="Fontepargpadro"/>
    <w:uiPriority w:val="99"/>
    <w:semiHidden/>
    <w:unhideWhenUsed/>
    <w:rsid w:val="00D978F8"/>
    <w:rPr>
      <w:sz w:val="16"/>
      <w:szCs w:val="16"/>
    </w:rPr>
  </w:style>
  <w:style w:type="paragraph" w:styleId="Assuntodocomentrio">
    <w:name w:val="annotation subject"/>
    <w:basedOn w:val="Textodecomentrio"/>
    <w:next w:val="Textodecomentrio"/>
    <w:link w:val="AssuntodocomentrioChar"/>
    <w:uiPriority w:val="99"/>
    <w:semiHidden/>
    <w:unhideWhenUsed/>
    <w:rsid w:val="00D978F8"/>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D978F8"/>
    <w:rPr>
      <w:rFonts w:ascii="Calibri" w:eastAsia="Calibri" w:hAnsi="Calibri" w:cs="Calibri"/>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11" w:unhideWhenUsed="0" w:qFormat="1"/>
    <w:lsdException w:name="Body Text 3"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balo">
    <w:name w:val="Balloon Text"/>
    <w:basedOn w:val="Normal"/>
    <w:link w:val="TextodebaloChar"/>
    <w:uiPriority w:val="99"/>
    <w:semiHidden/>
    <w:unhideWhenUsed/>
    <w:rsid w:val="00D172D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172D7"/>
    <w:rPr>
      <w:rFonts w:ascii="Tahoma" w:hAnsi="Tahoma" w:cs="Tahoma"/>
      <w:sz w:val="16"/>
      <w:szCs w:val="16"/>
      <w:lang w:eastAsia="en-US"/>
    </w:rPr>
  </w:style>
  <w:style w:type="character" w:styleId="Hyperlink">
    <w:name w:val="Hyperlink"/>
    <w:uiPriority w:val="99"/>
    <w:unhideWhenUsed/>
    <w:rsid w:val="000A3E1B"/>
    <w:rPr>
      <w:color w:val="0000FF"/>
      <w:u w:val="single"/>
    </w:rPr>
  </w:style>
  <w:style w:type="paragraph" w:customStyle="1" w:styleId="Default">
    <w:name w:val="Default"/>
    <w:rsid w:val="000A3E1B"/>
    <w:pPr>
      <w:autoSpaceDE w:val="0"/>
      <w:autoSpaceDN w:val="0"/>
      <w:adjustRightInd w:val="0"/>
      <w:spacing w:after="200" w:line="276" w:lineRule="auto"/>
    </w:pPr>
    <w:rPr>
      <w:rFonts w:ascii="Times New Roman" w:eastAsia="Calibri" w:hAnsi="Times New Roman" w:cs="Calibri"/>
      <w:color w:val="000000"/>
      <w:sz w:val="24"/>
      <w:szCs w:val="24"/>
      <w:lang w:eastAsia="en-US"/>
    </w:rPr>
  </w:style>
  <w:style w:type="paragraph" w:styleId="Textodecomentrio">
    <w:name w:val="annotation text"/>
    <w:basedOn w:val="Normal"/>
    <w:link w:val="TextodecomentrioChar"/>
    <w:uiPriority w:val="99"/>
    <w:unhideWhenUsed/>
    <w:rsid w:val="000A3E1B"/>
    <w:pPr>
      <w:spacing w:after="200" w:line="240" w:lineRule="auto"/>
    </w:pPr>
    <w:rPr>
      <w:rFonts w:ascii="Calibri" w:eastAsia="Calibri" w:hAnsi="Calibri" w:cs="Calibri"/>
      <w:sz w:val="20"/>
      <w:szCs w:val="20"/>
    </w:rPr>
  </w:style>
  <w:style w:type="character" w:customStyle="1" w:styleId="TextodecomentrioChar">
    <w:name w:val="Texto de comentário Char"/>
    <w:basedOn w:val="Fontepargpadro"/>
    <w:link w:val="Textodecomentrio"/>
    <w:uiPriority w:val="99"/>
    <w:rsid w:val="000A3E1B"/>
    <w:rPr>
      <w:rFonts w:ascii="Calibri" w:eastAsia="Calibri" w:hAnsi="Calibri" w:cs="Calibri"/>
      <w:lang w:eastAsia="en-US"/>
    </w:rPr>
  </w:style>
  <w:style w:type="paragraph" w:styleId="Reviso">
    <w:name w:val="Revision"/>
    <w:hidden/>
    <w:uiPriority w:val="99"/>
    <w:semiHidden/>
    <w:rsid w:val="0019761B"/>
    <w:rPr>
      <w:sz w:val="22"/>
      <w:szCs w:val="22"/>
      <w:lang w:eastAsia="en-US"/>
    </w:rPr>
  </w:style>
  <w:style w:type="character" w:styleId="Refdecomentrio">
    <w:name w:val="annotation reference"/>
    <w:basedOn w:val="Fontepargpadro"/>
    <w:uiPriority w:val="99"/>
    <w:semiHidden/>
    <w:unhideWhenUsed/>
    <w:rsid w:val="00D978F8"/>
    <w:rPr>
      <w:sz w:val="16"/>
      <w:szCs w:val="16"/>
    </w:rPr>
  </w:style>
  <w:style w:type="paragraph" w:styleId="Assuntodocomentrio">
    <w:name w:val="annotation subject"/>
    <w:basedOn w:val="Textodecomentrio"/>
    <w:next w:val="Textodecomentrio"/>
    <w:link w:val="AssuntodocomentrioChar"/>
    <w:uiPriority w:val="99"/>
    <w:semiHidden/>
    <w:unhideWhenUsed/>
    <w:rsid w:val="00D978F8"/>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D978F8"/>
    <w:rPr>
      <w:rFonts w:ascii="Calibri" w:eastAsia="Calibri" w:hAnsi="Calibri" w:cs="Calibr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18"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3.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G:\Meu%20Drive\3.%20ARTIGOS%202016%20-%202021\3.%20EVENTOS\2022_%20VI%20SEDRES%20(URCA)\Mobilidade%20por%20Migra&#231;&#227;o.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Meu%20Drive\3.%20ARTIGOS%202016%20-%202021\3.%20EVENTOS\2022_%20VI%20SEDRES%20(URCA)\Mobilidade%20por%20Migra&#231;&#227;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63364853365932"/>
          <c:y val="3.657522859517872E-2"/>
          <c:w val="0.81335874111626461"/>
          <c:h val="0.77531787329576318"/>
        </c:manualLayout>
      </c:layout>
      <c:barChart>
        <c:barDir val="bar"/>
        <c:grouping val="stacked"/>
        <c:varyColors val="0"/>
        <c:ser>
          <c:idx val="0"/>
          <c:order val="0"/>
          <c:tx>
            <c:strRef>
              <c:f>'Migração Todas as Filhas'!$O$50</c:f>
              <c:strCache>
                <c:ptCount val="1"/>
                <c:pt idx="0">
                  <c:v>Mobilidade Ascendente</c:v>
                </c:pt>
              </c:strCache>
            </c:strRef>
          </c:tx>
          <c:spPr>
            <a:solidFill>
              <a:srgbClr val="0070C0"/>
            </a:solidFill>
          </c:spPr>
          <c:invertIfNegative val="0"/>
          <c:dLbls>
            <c:spPr>
              <a:noFill/>
              <a:ln>
                <a:noFill/>
              </a:ln>
              <a:effectLst/>
            </c:spPr>
            <c:txPr>
              <a:bodyPr/>
              <a:lstStyle/>
              <a:p>
                <a:pPr>
                  <a:defRPr sz="1200">
                    <a:latin typeface="Times New Roman" pitchFamily="18" charset="0"/>
                    <a:cs typeface="Times New Roman" pitchFamily="18" charset="0"/>
                  </a:defRPr>
                </a:pPr>
                <a:endParaRPr lang="pt-B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'Migração Todas as Filhas'!$P$49:$Q$49</c:f>
              <c:strCache>
                <c:ptCount val="2"/>
                <c:pt idx="0">
                  <c:v>Não Migrantes</c:v>
                </c:pt>
                <c:pt idx="1">
                  <c:v>Emigrantes</c:v>
                </c:pt>
              </c:strCache>
            </c:strRef>
          </c:cat>
          <c:val>
            <c:numRef>
              <c:f>'Migração Todas as Filhas'!$P$50:$Q$50</c:f>
              <c:numCache>
                <c:formatCode>0.0</c:formatCode>
                <c:ptCount val="2"/>
                <c:pt idx="0">
                  <c:v>57.760198039903742</c:v>
                </c:pt>
                <c:pt idx="1">
                  <c:v>89.180088502167848</c:v>
                </c:pt>
              </c:numCache>
            </c:numRef>
          </c:val>
          <c:extLst xmlns:c16r2="http://schemas.microsoft.com/office/drawing/2015/06/chart">
            <c:ext xmlns:c16="http://schemas.microsoft.com/office/drawing/2014/chart" uri="{C3380CC4-5D6E-409C-BE32-E72D297353CC}">
              <c16:uniqueId val="{00000000-1820-44D2-AA96-3B439C9B7691}"/>
            </c:ext>
          </c:extLst>
        </c:ser>
        <c:ser>
          <c:idx val="1"/>
          <c:order val="1"/>
          <c:tx>
            <c:strRef>
              <c:f>'Migração Todas as Filhas'!$O$51</c:f>
              <c:strCache>
                <c:ptCount val="1"/>
                <c:pt idx="0">
                  <c:v>Imobilidade</c:v>
                </c:pt>
              </c:strCache>
            </c:strRef>
          </c:tx>
          <c:spPr>
            <a:solidFill>
              <a:schemeClr val="bg1">
                <a:lumMod val="65000"/>
              </a:schemeClr>
            </a:solidFill>
          </c:spPr>
          <c:invertIfNegative val="0"/>
          <c:dLbls>
            <c:spPr>
              <a:noFill/>
              <a:ln>
                <a:noFill/>
              </a:ln>
              <a:effectLst/>
            </c:spPr>
            <c:txPr>
              <a:bodyPr/>
              <a:lstStyle/>
              <a:p>
                <a:pPr>
                  <a:defRPr sz="1100">
                    <a:latin typeface="Times New Roman" pitchFamily="18" charset="0"/>
                    <a:cs typeface="Times New Roman" pitchFamily="18" charset="0"/>
                  </a:defRPr>
                </a:pPr>
                <a:endParaRPr lang="pt-B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'Migração Todas as Filhas'!$P$49:$Q$49</c:f>
              <c:strCache>
                <c:ptCount val="2"/>
                <c:pt idx="0">
                  <c:v>Não Migrantes</c:v>
                </c:pt>
                <c:pt idx="1">
                  <c:v>Emigrantes</c:v>
                </c:pt>
              </c:strCache>
            </c:strRef>
          </c:cat>
          <c:val>
            <c:numRef>
              <c:f>'Migração Todas as Filhas'!$P$51:$Q$51</c:f>
              <c:numCache>
                <c:formatCode>0.0</c:formatCode>
                <c:ptCount val="2"/>
                <c:pt idx="0">
                  <c:v>31.84466526407909</c:v>
                </c:pt>
                <c:pt idx="1">
                  <c:v>4.7767331674538491</c:v>
                </c:pt>
              </c:numCache>
            </c:numRef>
          </c:val>
          <c:extLst xmlns:c16r2="http://schemas.microsoft.com/office/drawing/2015/06/chart">
            <c:ext xmlns:c16="http://schemas.microsoft.com/office/drawing/2014/chart" uri="{C3380CC4-5D6E-409C-BE32-E72D297353CC}">
              <c16:uniqueId val="{00000001-1820-44D2-AA96-3B439C9B7691}"/>
            </c:ext>
          </c:extLst>
        </c:ser>
        <c:ser>
          <c:idx val="2"/>
          <c:order val="2"/>
          <c:tx>
            <c:strRef>
              <c:f>'Migração Todas as Filhas'!$O$52</c:f>
              <c:strCache>
                <c:ptCount val="1"/>
                <c:pt idx="0">
                  <c:v>Mobilidade Descendente</c:v>
                </c:pt>
              </c:strCache>
            </c:strRef>
          </c:tx>
          <c:spPr>
            <a:solidFill>
              <a:schemeClr val="accent6">
                <a:lumMod val="60000"/>
                <a:lumOff val="40000"/>
              </a:schemeClr>
            </a:solidFill>
          </c:spPr>
          <c:invertIfNegative val="0"/>
          <c:dLbls>
            <c:spPr>
              <a:noFill/>
              <a:ln>
                <a:noFill/>
              </a:ln>
              <a:effectLst/>
            </c:spPr>
            <c:txPr>
              <a:bodyPr/>
              <a:lstStyle/>
              <a:p>
                <a:pPr>
                  <a:defRPr sz="1100">
                    <a:latin typeface="Times New Roman" pitchFamily="18" charset="0"/>
                    <a:cs typeface="Times New Roman" pitchFamily="18" charset="0"/>
                  </a:defRPr>
                </a:pPr>
                <a:endParaRPr lang="pt-B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'Migração Todas as Filhas'!$P$49:$Q$49</c:f>
              <c:strCache>
                <c:ptCount val="2"/>
                <c:pt idx="0">
                  <c:v>Não Migrantes</c:v>
                </c:pt>
                <c:pt idx="1">
                  <c:v>Emigrantes</c:v>
                </c:pt>
              </c:strCache>
            </c:strRef>
          </c:cat>
          <c:val>
            <c:numRef>
              <c:f>'Migração Todas as Filhas'!$P$52:$Q$52</c:f>
              <c:numCache>
                <c:formatCode>0.0</c:formatCode>
                <c:ptCount val="2"/>
                <c:pt idx="0">
                  <c:v>10.395136696017165</c:v>
                </c:pt>
                <c:pt idx="1">
                  <c:v>6.0431783303782947</c:v>
                </c:pt>
              </c:numCache>
            </c:numRef>
          </c:val>
          <c:extLst xmlns:c16r2="http://schemas.microsoft.com/office/drawing/2015/06/chart">
            <c:ext xmlns:c16="http://schemas.microsoft.com/office/drawing/2014/chart" uri="{C3380CC4-5D6E-409C-BE32-E72D297353CC}">
              <c16:uniqueId val="{00000002-1820-44D2-AA96-3B439C9B7691}"/>
            </c:ext>
          </c:extLst>
        </c:ser>
        <c:dLbls>
          <c:showLegendKey val="0"/>
          <c:showVal val="1"/>
          <c:showCatName val="0"/>
          <c:showSerName val="0"/>
          <c:showPercent val="0"/>
          <c:showBubbleSize val="0"/>
        </c:dLbls>
        <c:gapWidth val="75"/>
        <c:overlap val="100"/>
        <c:axId val="160941184"/>
        <c:axId val="161891072"/>
      </c:barChart>
      <c:catAx>
        <c:axId val="160941184"/>
        <c:scaling>
          <c:orientation val="minMax"/>
        </c:scaling>
        <c:delete val="0"/>
        <c:axPos val="l"/>
        <c:numFmt formatCode="General" sourceLinked="0"/>
        <c:majorTickMark val="none"/>
        <c:minorTickMark val="none"/>
        <c:tickLblPos val="nextTo"/>
        <c:txPr>
          <a:bodyPr/>
          <a:lstStyle/>
          <a:p>
            <a:pPr>
              <a:defRPr>
                <a:latin typeface="Times New Roman" pitchFamily="18" charset="0"/>
                <a:cs typeface="Times New Roman" pitchFamily="18" charset="0"/>
              </a:defRPr>
            </a:pPr>
            <a:endParaRPr lang="pt-BR"/>
          </a:p>
        </c:txPr>
        <c:crossAx val="161891072"/>
        <c:crosses val="autoZero"/>
        <c:auto val="1"/>
        <c:lblAlgn val="ctr"/>
        <c:lblOffset val="100"/>
        <c:noMultiLvlLbl val="0"/>
      </c:catAx>
      <c:valAx>
        <c:axId val="161891072"/>
        <c:scaling>
          <c:orientation val="minMax"/>
          <c:max val="100"/>
        </c:scaling>
        <c:delete val="0"/>
        <c:axPos val="b"/>
        <c:numFmt formatCode="0.0" sourceLinked="1"/>
        <c:majorTickMark val="none"/>
        <c:minorTickMark val="none"/>
        <c:tickLblPos val="nextTo"/>
        <c:txPr>
          <a:bodyPr/>
          <a:lstStyle/>
          <a:p>
            <a:pPr>
              <a:defRPr>
                <a:latin typeface="Times New Roman" pitchFamily="18" charset="0"/>
                <a:cs typeface="Times New Roman" pitchFamily="18" charset="0"/>
              </a:defRPr>
            </a:pPr>
            <a:endParaRPr lang="pt-BR"/>
          </a:p>
        </c:txPr>
        <c:crossAx val="160941184"/>
        <c:crosses val="autoZero"/>
        <c:crossBetween val="between"/>
      </c:valAx>
    </c:plotArea>
    <c:legend>
      <c:legendPos val="b"/>
      <c:layout>
        <c:manualLayout>
          <c:xMode val="edge"/>
          <c:yMode val="edge"/>
          <c:x val="0.15169119761089933"/>
          <c:y val="0.91668126272245887"/>
          <c:w val="0.82113704868163562"/>
          <c:h val="6.0043591807881873E-2"/>
        </c:manualLayout>
      </c:layout>
      <c:overlay val="0"/>
      <c:txPr>
        <a:bodyPr/>
        <a:lstStyle/>
        <a:p>
          <a:pPr>
            <a:defRPr sz="1100">
              <a:latin typeface="Times New Roman" pitchFamily="18" charset="0"/>
              <a:cs typeface="Times New Roman" pitchFamily="18" charset="0"/>
            </a:defRPr>
          </a:pPr>
          <a:endParaRPr lang="pt-BR"/>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'Migração Todas as Filhas'!$P$56</c:f>
              <c:strCache>
                <c:ptCount val="1"/>
                <c:pt idx="0">
                  <c:v>Brasil</c:v>
                </c:pt>
              </c:strCache>
            </c:strRef>
          </c:tx>
          <c:spPr>
            <a:solidFill>
              <a:srgbClr val="0070C0"/>
            </a:solidFill>
          </c:spPr>
          <c:invertIfNegative val="0"/>
          <c:dLbls>
            <c:spPr>
              <a:noFill/>
              <a:ln>
                <a:noFill/>
              </a:ln>
              <a:effectLst/>
            </c:spPr>
            <c:txPr>
              <a:bodyPr/>
              <a:lstStyle/>
              <a:p>
                <a:pPr>
                  <a:defRPr sz="1200">
                    <a:latin typeface="Times New Roman" pitchFamily="18" charset="0"/>
                    <a:cs typeface="Times New Roman" pitchFamily="18" charset="0"/>
                  </a:defRPr>
                </a:pPr>
                <a:endParaRPr lang="pt-B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'Migração Todas as Filhas'!$O$57:$O$58</c:f>
              <c:strCache>
                <c:ptCount val="2"/>
                <c:pt idx="0">
                  <c:v>Não Migrantes</c:v>
                </c:pt>
                <c:pt idx="1">
                  <c:v>Migrantes</c:v>
                </c:pt>
              </c:strCache>
            </c:strRef>
          </c:cat>
          <c:val>
            <c:numRef>
              <c:f>'Migração Todas as Filhas'!$P$57:$P$58</c:f>
              <c:numCache>
                <c:formatCode>0.0</c:formatCode>
                <c:ptCount val="2"/>
                <c:pt idx="0">
                  <c:v>62.045012505291375</c:v>
                </c:pt>
                <c:pt idx="1">
                  <c:v>67.759395149324192</c:v>
                </c:pt>
              </c:numCache>
            </c:numRef>
          </c:val>
          <c:extLst xmlns:c16r2="http://schemas.microsoft.com/office/drawing/2015/06/chart">
            <c:ext xmlns:c16="http://schemas.microsoft.com/office/drawing/2014/chart" uri="{C3380CC4-5D6E-409C-BE32-E72D297353CC}">
              <c16:uniqueId val="{00000000-E5C7-42DE-BC5B-47A286EF420D}"/>
            </c:ext>
          </c:extLst>
        </c:ser>
        <c:ser>
          <c:idx val="1"/>
          <c:order val="1"/>
          <c:tx>
            <c:strRef>
              <c:f>'Migração Todas as Filhas'!$Q$56</c:f>
              <c:strCache>
                <c:ptCount val="1"/>
                <c:pt idx="0">
                  <c:v>Nordeste</c:v>
                </c:pt>
              </c:strCache>
            </c:strRef>
          </c:tx>
          <c:spPr>
            <a:solidFill>
              <a:schemeClr val="bg1">
                <a:lumMod val="65000"/>
              </a:schemeClr>
            </a:solidFill>
          </c:spPr>
          <c:invertIfNegative val="0"/>
          <c:dLbls>
            <c:spPr>
              <a:noFill/>
              <a:ln>
                <a:noFill/>
              </a:ln>
              <a:effectLst/>
            </c:spPr>
            <c:txPr>
              <a:bodyPr/>
              <a:lstStyle/>
              <a:p>
                <a:pPr>
                  <a:defRPr sz="1200">
                    <a:latin typeface="Times New Roman" pitchFamily="18" charset="0"/>
                    <a:cs typeface="Times New Roman" pitchFamily="18" charset="0"/>
                  </a:defRPr>
                </a:pPr>
                <a:endParaRPr lang="pt-B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'Migração Todas as Filhas'!$O$57:$O$58</c:f>
              <c:strCache>
                <c:ptCount val="2"/>
                <c:pt idx="0">
                  <c:v>Não Migrantes</c:v>
                </c:pt>
                <c:pt idx="1">
                  <c:v>Migrantes</c:v>
                </c:pt>
              </c:strCache>
            </c:strRef>
          </c:cat>
          <c:val>
            <c:numRef>
              <c:f>'Migração Todas as Filhas'!$Q$57:$Q$58</c:f>
              <c:numCache>
                <c:formatCode>0.0</c:formatCode>
                <c:ptCount val="2"/>
                <c:pt idx="0">
                  <c:v>57.760198039903742</c:v>
                </c:pt>
                <c:pt idx="1">
                  <c:v>89.180088502167848</c:v>
                </c:pt>
              </c:numCache>
            </c:numRef>
          </c:val>
          <c:extLst xmlns:c16r2="http://schemas.microsoft.com/office/drawing/2015/06/chart">
            <c:ext xmlns:c16="http://schemas.microsoft.com/office/drawing/2014/chart" uri="{C3380CC4-5D6E-409C-BE32-E72D297353CC}">
              <c16:uniqueId val="{00000001-E5C7-42DE-BC5B-47A286EF420D}"/>
            </c:ext>
          </c:extLst>
        </c:ser>
        <c:dLbls>
          <c:showLegendKey val="0"/>
          <c:showVal val="1"/>
          <c:showCatName val="0"/>
          <c:showSerName val="0"/>
          <c:showPercent val="0"/>
          <c:showBubbleSize val="0"/>
        </c:dLbls>
        <c:gapWidth val="75"/>
        <c:axId val="161913856"/>
        <c:axId val="161915648"/>
      </c:barChart>
      <c:catAx>
        <c:axId val="161913856"/>
        <c:scaling>
          <c:orientation val="minMax"/>
        </c:scaling>
        <c:delete val="0"/>
        <c:axPos val="b"/>
        <c:numFmt formatCode="General" sourceLinked="0"/>
        <c:majorTickMark val="none"/>
        <c:minorTickMark val="none"/>
        <c:tickLblPos val="nextTo"/>
        <c:txPr>
          <a:bodyPr/>
          <a:lstStyle/>
          <a:p>
            <a:pPr>
              <a:defRPr sz="1200">
                <a:latin typeface="Times New Roman" pitchFamily="18" charset="0"/>
                <a:cs typeface="Times New Roman" pitchFamily="18" charset="0"/>
              </a:defRPr>
            </a:pPr>
            <a:endParaRPr lang="pt-BR"/>
          </a:p>
        </c:txPr>
        <c:crossAx val="161915648"/>
        <c:crosses val="autoZero"/>
        <c:auto val="1"/>
        <c:lblAlgn val="ctr"/>
        <c:lblOffset val="100"/>
        <c:noMultiLvlLbl val="0"/>
      </c:catAx>
      <c:valAx>
        <c:axId val="161915648"/>
        <c:scaling>
          <c:orientation val="minMax"/>
        </c:scaling>
        <c:delete val="0"/>
        <c:axPos val="l"/>
        <c:numFmt formatCode="0.0" sourceLinked="1"/>
        <c:majorTickMark val="none"/>
        <c:minorTickMark val="none"/>
        <c:tickLblPos val="nextTo"/>
        <c:txPr>
          <a:bodyPr/>
          <a:lstStyle/>
          <a:p>
            <a:pPr>
              <a:defRPr>
                <a:latin typeface="Times New Roman" pitchFamily="18" charset="0"/>
                <a:cs typeface="Times New Roman" pitchFamily="18" charset="0"/>
              </a:defRPr>
            </a:pPr>
            <a:endParaRPr lang="pt-BR"/>
          </a:p>
        </c:txPr>
        <c:crossAx val="161913856"/>
        <c:crosses val="autoZero"/>
        <c:crossBetween val="between"/>
      </c:valAx>
    </c:plotArea>
    <c:legend>
      <c:legendPos val="b"/>
      <c:layout/>
      <c:overlay val="0"/>
      <c:txPr>
        <a:bodyPr/>
        <a:lstStyle/>
        <a:p>
          <a:pPr>
            <a:defRPr sz="1200">
              <a:latin typeface="Times New Roman" pitchFamily="18" charset="0"/>
              <a:cs typeface="Times New Roman" pitchFamily="18" charset="0"/>
            </a:defRPr>
          </a:pPr>
          <a:endParaRPr lang="pt-BR"/>
        </a:p>
      </c:txPr>
    </c:legend>
    <c:plotVisOnly val="1"/>
    <c:dispBlanksAs val="gap"/>
    <c:showDLblsOverMax val="0"/>
  </c:chart>
  <c:externalData r:id="rId1">
    <c:autoUpdate val="0"/>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87016-0759-4F31-B770-87B3F919D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8392</Words>
  <Characters>45320</Characters>
  <Application>Microsoft Office Word</Application>
  <DocSecurity>0</DocSecurity>
  <Lines>377</Lines>
  <Paragraphs>107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53605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2022-07-28T16:41:00Z</dcterms:created>
  <dcterms:modified xsi:type="dcterms:W3CDTF">2022-07-28T16:41:00Z</dcterms:modified>
</cp:coreProperties>
</file>